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EB0F11"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EB0F1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EB0F11"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EB0F1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EB0F11" w:rsidTr="002E5576">
        <w:tc>
          <w:tcPr>
            <w:tcW w:w="4518" w:type="dxa"/>
          </w:tcPr>
          <w:p w:rsidR="00BF25F3" w:rsidRPr="002E2327" w:rsidRDefault="0006361A"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6361A"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EB0F11"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EB0F11"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EB0F11">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EB0F11">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2E3DAD" w:rsidP="00F0068D">
      <w:pPr>
        <w:pBdr>
          <w:bottom w:val="single" w:sz="6" w:space="1" w:color="auto"/>
        </w:pBdr>
        <w:tabs>
          <w:tab w:val="center" w:pos="4680"/>
          <w:tab w:val="right" w:pos="9360"/>
        </w:tabs>
        <w:rPr>
          <w:lang w:val="fr-CA"/>
        </w:rPr>
      </w:pPr>
      <w:r>
        <w:rPr>
          <w:lang w:val="fr-CA"/>
        </w:rPr>
        <w:t>Febr</w:t>
      </w:r>
      <w:r w:rsidR="00C73D06">
        <w:rPr>
          <w:lang w:val="fr-CA"/>
        </w:rPr>
        <w:t>uary</w:t>
      </w:r>
      <w:r w:rsidR="00440E24" w:rsidRPr="00675479">
        <w:rPr>
          <w:lang w:val="fr-CA"/>
        </w:rPr>
        <w:t xml:space="preserve"> </w:t>
      </w:r>
      <w:r>
        <w:rPr>
          <w:lang w:val="fr-CA"/>
        </w:rPr>
        <w:t>21</w:t>
      </w:r>
      <w:r w:rsidR="00440E24" w:rsidRPr="00675479">
        <w:rPr>
          <w:lang w:val="fr-CA"/>
        </w:rPr>
        <w:t>, 201</w:t>
      </w:r>
      <w:r w:rsidR="00501F3C">
        <w:rPr>
          <w:lang w:val="fr-CA"/>
        </w:rPr>
        <w:t>4</w:t>
      </w:r>
      <w:r w:rsidR="00F0068D" w:rsidRPr="00675479">
        <w:rPr>
          <w:lang w:val="fr-CA"/>
        </w:rPr>
        <w:tab/>
      </w:r>
      <w:r>
        <w:rPr>
          <w:lang w:val="fr-CA"/>
        </w:rPr>
        <w:t>305</w:t>
      </w:r>
      <w:r w:rsidR="00F0068D" w:rsidRPr="00675479">
        <w:rPr>
          <w:lang w:val="fr-CA"/>
        </w:rPr>
        <w:t xml:space="preserve"> - </w:t>
      </w:r>
      <w:r w:rsidR="005022D8">
        <w:rPr>
          <w:lang w:val="fr-CA"/>
        </w:rPr>
        <w:t>358</w:t>
      </w:r>
      <w:r w:rsidR="00440E24" w:rsidRPr="00675479">
        <w:rPr>
          <w:lang w:val="fr-CA"/>
        </w:rPr>
        <w:tab/>
      </w:r>
      <w:r w:rsidR="00440E24" w:rsidRPr="002E2327">
        <w:rPr>
          <w:lang w:val="fr-CA"/>
        </w:rPr>
        <w:t>Le</w:t>
      </w:r>
      <w:r w:rsidR="00C73D06">
        <w:rPr>
          <w:lang w:val="fr-CA"/>
        </w:rPr>
        <w:t xml:space="preserve"> </w:t>
      </w:r>
      <w:r>
        <w:rPr>
          <w:lang w:val="fr-CA"/>
        </w:rPr>
        <w:t>21 fé</w:t>
      </w:r>
      <w:r w:rsidR="00440E24" w:rsidRPr="002E2327">
        <w:rPr>
          <w:lang w:val="fr-CA"/>
        </w:rPr>
        <w:t>v</w:t>
      </w:r>
      <w:r>
        <w:rPr>
          <w:lang w:val="fr-CA"/>
        </w:rPr>
        <w:t>r</w:t>
      </w:r>
      <w:r w:rsidR="00440E24" w:rsidRPr="002E2327">
        <w:rPr>
          <w:lang w:val="fr-CA"/>
        </w:rPr>
        <w:t>i</w:t>
      </w:r>
      <w:r w:rsidR="00C73D06">
        <w:rPr>
          <w:lang w:val="fr-CA"/>
        </w:rPr>
        <w:t>er</w:t>
      </w:r>
      <w:r w:rsidR="00440E24" w:rsidRPr="002E2327">
        <w:rPr>
          <w:lang w:val="fr-CA"/>
        </w:rPr>
        <w:t xml:space="preserve"> 201</w:t>
      </w:r>
      <w:r w:rsidR="00501F3C">
        <w:rPr>
          <w:lang w:val="fr-CA"/>
        </w:rPr>
        <w:t>4</w:t>
      </w:r>
    </w:p>
    <w:p w:rsidR="00440E24" w:rsidRPr="00675479" w:rsidRDefault="00440E24" w:rsidP="00440E24">
      <w:pPr>
        <w:pBdr>
          <w:bottom w:val="single" w:sz="6" w:space="1" w:color="auto"/>
        </w:pBdr>
        <w:tabs>
          <w:tab w:val="right" w:pos="9360"/>
        </w:tabs>
        <w:rPr>
          <w:lang w:val="fr-CA"/>
        </w:rPr>
      </w:pPr>
    </w:p>
    <w:p w:rsidR="00440E24" w:rsidRPr="00501F3C" w:rsidRDefault="00440E24" w:rsidP="00440E24">
      <w:pPr>
        <w:pBdr>
          <w:bottom w:val="single" w:sz="6" w:space="1" w:color="auto"/>
        </w:pBdr>
        <w:tabs>
          <w:tab w:val="right" w:pos="9360"/>
        </w:tabs>
        <w:rPr>
          <w:sz w:val="18"/>
          <w:szCs w:val="18"/>
          <w:lang w:val="fr-CA"/>
        </w:rPr>
      </w:pPr>
      <w:r w:rsidRPr="00501F3C">
        <w:rPr>
          <w:sz w:val="18"/>
          <w:szCs w:val="18"/>
          <w:lang w:val="fr-CA"/>
        </w:rPr>
        <w:lastRenderedPageBreak/>
        <w:t>© Supreme Court of Canada (201</w:t>
      </w:r>
      <w:r w:rsidR="00501F3C">
        <w:rPr>
          <w:sz w:val="18"/>
          <w:szCs w:val="18"/>
          <w:lang w:val="fr-CA"/>
        </w:rPr>
        <w:t>4</w:t>
      </w:r>
      <w:r w:rsidRPr="00501F3C">
        <w:rPr>
          <w:sz w:val="18"/>
          <w:szCs w:val="18"/>
          <w:lang w:val="fr-CA"/>
        </w:rPr>
        <w:t>)</w:t>
      </w:r>
      <w:r w:rsidRPr="00501F3C">
        <w:rPr>
          <w:sz w:val="18"/>
          <w:szCs w:val="18"/>
          <w:lang w:val="fr-CA"/>
        </w:rPr>
        <w:tab/>
        <w:t>© Cour suprême du Canada (201</w:t>
      </w:r>
      <w:r w:rsidR="00501F3C">
        <w:rPr>
          <w:sz w:val="18"/>
          <w:szCs w:val="18"/>
          <w:lang w:val="fr-CA"/>
        </w:rPr>
        <w:t>4</w:t>
      </w:r>
      <w:r w:rsidRPr="00501F3C">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71128A">
            <w:pPr>
              <w:tabs>
                <w:tab w:val="right" w:pos="9360"/>
              </w:tabs>
              <w:rPr>
                <w:rFonts w:cs="Times New Roman"/>
                <w:sz w:val="20"/>
                <w:szCs w:val="20"/>
              </w:rPr>
            </w:pPr>
          </w:p>
        </w:tc>
        <w:tc>
          <w:tcPr>
            <w:tcW w:w="1980" w:type="dxa"/>
          </w:tcPr>
          <w:p w:rsidR="0095096B" w:rsidRPr="002E2327" w:rsidRDefault="002E3DAD" w:rsidP="0095096B">
            <w:pPr>
              <w:jc w:val="center"/>
              <w:rPr>
                <w:rFonts w:cs="Times New Roman"/>
                <w:sz w:val="20"/>
                <w:szCs w:val="20"/>
              </w:rPr>
            </w:pPr>
            <w:r>
              <w:rPr>
                <w:rFonts w:cs="Times New Roman"/>
                <w:sz w:val="20"/>
                <w:szCs w:val="20"/>
              </w:rPr>
              <w:t xml:space="preserve">305 </w:t>
            </w:r>
            <w:r w:rsidR="0006361A" w:rsidRPr="002E2327">
              <w:rPr>
                <w:rFonts w:cs="Times New Roman"/>
                <w:sz w:val="20"/>
                <w:szCs w:val="20"/>
              </w:rPr>
              <w:fldChar w:fldCharType="begin"/>
            </w:r>
            <w:r w:rsidR="0095096B" w:rsidRPr="002E2327">
              <w:rPr>
                <w:rFonts w:cs="Times New Roman"/>
                <w:sz w:val="20"/>
                <w:szCs w:val="20"/>
              </w:rPr>
              <w:instrText xml:space="preserve"> SEQ CHAPTER \h \r 1</w:instrText>
            </w:r>
            <w:r w:rsidR="0006361A" w:rsidRPr="002E2327">
              <w:rPr>
                <w:rFonts w:cs="Times New Roman"/>
                <w:sz w:val="20"/>
                <w:szCs w:val="20"/>
              </w:rPr>
              <w:fldChar w:fldCharType="end"/>
            </w:r>
            <w:r w:rsidR="0095096B" w:rsidRPr="002E2327">
              <w:rPr>
                <w:rFonts w:cs="Times New Roman"/>
                <w:sz w:val="20"/>
                <w:szCs w:val="20"/>
              </w:rPr>
              <w:t>-</w:t>
            </w:r>
            <w:r w:rsidR="00AE4E02">
              <w:rPr>
                <w:rFonts w:cs="Times New Roman"/>
                <w:sz w:val="20"/>
                <w:szCs w:val="20"/>
              </w:rPr>
              <w:t xml:space="preserve"> 306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AE4E02" w:rsidP="0095096B">
            <w:pPr>
              <w:jc w:val="center"/>
              <w:rPr>
                <w:rFonts w:cs="Times New Roman"/>
                <w:sz w:val="20"/>
                <w:szCs w:val="20"/>
              </w:rPr>
            </w:pPr>
            <w:r>
              <w:rPr>
                <w:rFonts w:cs="Times New Roman"/>
                <w:sz w:val="20"/>
                <w:szCs w:val="20"/>
              </w:rPr>
              <w:t>307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71128A" w:rsidP="0095096B">
            <w:pPr>
              <w:jc w:val="center"/>
              <w:rPr>
                <w:rFonts w:cs="Times New Roman"/>
                <w:sz w:val="20"/>
                <w:szCs w:val="20"/>
              </w:rPr>
            </w:pPr>
            <w:r>
              <w:rPr>
                <w:rFonts w:cs="Times New Roman"/>
                <w:sz w:val="20"/>
                <w:szCs w:val="20"/>
              </w:rPr>
              <w:t xml:space="preserve">308 </w:t>
            </w:r>
            <w:r w:rsidR="0095096B" w:rsidRPr="002E2327">
              <w:rPr>
                <w:rFonts w:cs="Times New Roman"/>
                <w:sz w:val="20"/>
                <w:szCs w:val="20"/>
              </w:rPr>
              <w:t>-</w:t>
            </w:r>
            <w:r w:rsidR="002B62A3">
              <w:rPr>
                <w:rFonts w:cs="Times New Roman"/>
                <w:sz w:val="20"/>
                <w:szCs w:val="20"/>
              </w:rPr>
              <w:t xml:space="preserve"> 334</w:t>
            </w:r>
          </w:p>
          <w:p w:rsidR="0095096B" w:rsidRDefault="0095096B" w:rsidP="0095096B">
            <w:pPr>
              <w:jc w:val="center"/>
              <w:rPr>
                <w:rFonts w:cs="Times New Roman"/>
                <w:sz w:val="20"/>
                <w:szCs w:val="20"/>
              </w:rPr>
            </w:pPr>
          </w:p>
          <w:p w:rsidR="002B62A3" w:rsidRPr="002E2327" w:rsidRDefault="002B62A3" w:rsidP="0095096B">
            <w:pPr>
              <w:jc w:val="center"/>
              <w:rPr>
                <w:rFonts w:cs="Times New Roman"/>
                <w:sz w:val="20"/>
                <w:szCs w:val="20"/>
              </w:rPr>
            </w:pPr>
          </w:p>
          <w:p w:rsidR="0095096B" w:rsidRPr="002E2327" w:rsidRDefault="002B62A3" w:rsidP="0095096B">
            <w:pPr>
              <w:jc w:val="center"/>
              <w:rPr>
                <w:rFonts w:cs="Times New Roman"/>
                <w:sz w:val="20"/>
                <w:szCs w:val="20"/>
              </w:rPr>
            </w:pPr>
            <w:r>
              <w:rPr>
                <w:rFonts w:cs="Times New Roman"/>
                <w:sz w:val="20"/>
                <w:szCs w:val="20"/>
              </w:rPr>
              <w:t xml:space="preserve">335 </w:t>
            </w:r>
            <w:r w:rsidR="0095096B" w:rsidRPr="002E2327">
              <w:rPr>
                <w:rFonts w:cs="Times New Roman"/>
                <w:sz w:val="20"/>
                <w:szCs w:val="20"/>
              </w:rPr>
              <w:t>-</w:t>
            </w:r>
            <w:r>
              <w:rPr>
                <w:rFonts w:cs="Times New Roman"/>
                <w:sz w:val="20"/>
                <w:szCs w:val="20"/>
              </w:rPr>
              <w:t xml:space="preserve"> 343</w:t>
            </w:r>
          </w:p>
          <w:p w:rsidR="0095096B" w:rsidRPr="002E2327" w:rsidRDefault="0095096B" w:rsidP="0095096B">
            <w:pPr>
              <w:jc w:val="center"/>
              <w:rPr>
                <w:rFonts w:cs="Times New Roman"/>
                <w:sz w:val="20"/>
                <w:szCs w:val="20"/>
              </w:rPr>
            </w:pPr>
          </w:p>
          <w:p w:rsidR="0095096B" w:rsidRDefault="002B62A3" w:rsidP="0095096B">
            <w:pPr>
              <w:jc w:val="center"/>
              <w:rPr>
                <w:rFonts w:cs="Times New Roman"/>
                <w:sz w:val="20"/>
                <w:szCs w:val="20"/>
              </w:rPr>
            </w:pPr>
            <w:r>
              <w:rPr>
                <w:rFonts w:cs="Times New Roman"/>
                <w:sz w:val="20"/>
                <w:szCs w:val="20"/>
              </w:rPr>
              <w:t>344</w:t>
            </w:r>
          </w:p>
          <w:p w:rsidR="002B62A3" w:rsidRDefault="002B62A3" w:rsidP="0095096B">
            <w:pPr>
              <w:jc w:val="center"/>
              <w:rPr>
                <w:rFonts w:cs="Times New Roman"/>
                <w:sz w:val="20"/>
                <w:szCs w:val="20"/>
              </w:rPr>
            </w:pPr>
          </w:p>
          <w:p w:rsidR="002B62A3" w:rsidRPr="002E2327" w:rsidRDefault="002B62A3" w:rsidP="0095096B">
            <w:pPr>
              <w:jc w:val="center"/>
              <w:rPr>
                <w:rFonts w:cs="Times New Roman"/>
                <w:sz w:val="20"/>
                <w:szCs w:val="20"/>
              </w:rPr>
            </w:pPr>
          </w:p>
          <w:p w:rsidR="0095096B" w:rsidRPr="002E2327" w:rsidRDefault="002B62A3" w:rsidP="0095096B">
            <w:pPr>
              <w:jc w:val="center"/>
              <w:rPr>
                <w:rFonts w:cs="Times New Roman"/>
                <w:sz w:val="20"/>
                <w:szCs w:val="20"/>
              </w:rPr>
            </w:pPr>
            <w:r>
              <w:rPr>
                <w:rFonts w:cs="Times New Roman"/>
                <w:sz w:val="20"/>
                <w:szCs w:val="20"/>
              </w:rPr>
              <w:t xml:space="preserve">345 </w:t>
            </w:r>
            <w:r w:rsidR="0095096B" w:rsidRPr="002E2327">
              <w:rPr>
                <w:rFonts w:cs="Times New Roman"/>
                <w:sz w:val="20"/>
                <w:szCs w:val="20"/>
              </w:rPr>
              <w:t>-</w:t>
            </w:r>
            <w:r w:rsidR="00064AAB">
              <w:rPr>
                <w:rFonts w:cs="Times New Roman"/>
                <w:sz w:val="20"/>
                <w:szCs w:val="20"/>
              </w:rPr>
              <w:t xml:space="preserve"> 349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64AAB" w:rsidP="0095096B">
            <w:pPr>
              <w:jc w:val="center"/>
              <w:rPr>
                <w:rFonts w:cs="Times New Roman"/>
                <w:sz w:val="20"/>
                <w:szCs w:val="20"/>
              </w:rPr>
            </w:pPr>
            <w:r>
              <w:rPr>
                <w:rFonts w:cs="Times New Roman"/>
                <w:sz w:val="20"/>
                <w:szCs w:val="20"/>
              </w:rPr>
              <w:t>350</w:t>
            </w:r>
          </w:p>
          <w:p w:rsidR="0095096B" w:rsidRDefault="0095096B" w:rsidP="0095096B">
            <w:pPr>
              <w:jc w:val="center"/>
              <w:rPr>
                <w:rFonts w:cs="Times New Roman"/>
                <w:sz w:val="20"/>
                <w:szCs w:val="20"/>
              </w:rPr>
            </w:pPr>
          </w:p>
          <w:p w:rsidR="00064AAB" w:rsidRPr="002E2327" w:rsidRDefault="00064AAB" w:rsidP="0095096B">
            <w:pPr>
              <w:jc w:val="center"/>
              <w:rPr>
                <w:rFonts w:cs="Times New Roman"/>
                <w:sz w:val="20"/>
                <w:szCs w:val="20"/>
              </w:rPr>
            </w:pPr>
          </w:p>
          <w:p w:rsidR="0095096B" w:rsidRPr="002E2327" w:rsidRDefault="00181751" w:rsidP="0095096B">
            <w:pPr>
              <w:jc w:val="center"/>
              <w:rPr>
                <w:rFonts w:cs="Times New Roman"/>
                <w:sz w:val="20"/>
                <w:szCs w:val="20"/>
              </w:rPr>
            </w:pPr>
            <w:r>
              <w:rPr>
                <w:rFonts w:cs="Times New Roman"/>
                <w:sz w:val="20"/>
                <w:szCs w:val="20"/>
              </w:rPr>
              <w:t xml:space="preserve">351 </w:t>
            </w:r>
            <w:r w:rsidR="0095096B" w:rsidRPr="002E2327">
              <w:rPr>
                <w:rFonts w:cs="Times New Roman"/>
                <w:sz w:val="20"/>
                <w:szCs w:val="20"/>
              </w:rPr>
              <w:t>-</w:t>
            </w:r>
            <w:r>
              <w:rPr>
                <w:rFonts w:cs="Times New Roman"/>
                <w:sz w:val="20"/>
                <w:szCs w:val="20"/>
              </w:rPr>
              <w:t xml:space="preserve"> </w:t>
            </w:r>
            <w:r w:rsidR="005022D8">
              <w:rPr>
                <w:rFonts w:cs="Times New Roman"/>
                <w:sz w:val="20"/>
                <w:szCs w:val="20"/>
              </w:rPr>
              <w:t>358</w:t>
            </w:r>
          </w:p>
          <w:p w:rsidR="00A87207" w:rsidRPr="002E2327" w:rsidRDefault="00A87207" w:rsidP="0071128A">
            <w:pPr>
              <w:jc w:val="center"/>
              <w:rPr>
                <w:rFonts w:cs="Times New Roman"/>
                <w:sz w:val="20"/>
                <w:szCs w:val="20"/>
              </w:rPr>
            </w:pPr>
          </w:p>
        </w:tc>
        <w:tc>
          <w:tcPr>
            <w:tcW w:w="3888" w:type="dxa"/>
          </w:tcPr>
          <w:p w:rsidR="0095096B" w:rsidRPr="002E2327" w:rsidRDefault="0006361A"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71128A">
            <w:pPr>
              <w:tabs>
                <w:tab w:val="right" w:pos="9360"/>
              </w:tabs>
              <w:rPr>
                <w:rFonts w:cs="Times New Roman"/>
                <w:sz w:val="20"/>
                <w:szCs w:val="20"/>
                <w:lang w:val="fr-CA"/>
              </w:rPr>
            </w:pPr>
          </w:p>
        </w:tc>
      </w:tr>
    </w:tbl>
    <w:p w:rsidR="0095096B" w:rsidRDefault="0095096B" w:rsidP="0095096B">
      <w:pPr>
        <w:tabs>
          <w:tab w:val="right" w:pos="9360"/>
        </w:tabs>
      </w:pPr>
    </w:p>
    <w:p w:rsidR="00837820" w:rsidRDefault="00837820" w:rsidP="0095096B">
      <w:pPr>
        <w:tabs>
          <w:tab w:val="right" w:pos="9360"/>
        </w:tabs>
      </w:pPr>
    </w:p>
    <w:p w:rsidR="00837820" w:rsidRDefault="00837820" w:rsidP="0095096B">
      <w:pPr>
        <w:tabs>
          <w:tab w:val="right" w:pos="9360"/>
        </w:tabs>
      </w:pPr>
    </w:p>
    <w:p w:rsidR="00837820" w:rsidRPr="002E2327" w:rsidRDefault="00837820" w:rsidP="0095096B">
      <w:pPr>
        <w:tabs>
          <w:tab w:val="right" w:pos="9360"/>
        </w:tabs>
      </w:pPr>
    </w:p>
    <w:tbl>
      <w:tblPr>
        <w:tblStyle w:val="TableGrid"/>
        <w:tblW w:w="0" w:type="auto"/>
        <w:tblLook w:val="04A0" w:firstRow="1" w:lastRow="0" w:firstColumn="1" w:lastColumn="0" w:noHBand="0" w:noVBand="1"/>
      </w:tblPr>
      <w:tblGrid>
        <w:gridCol w:w="9576"/>
      </w:tblGrid>
      <w:tr w:rsidR="0079724F" w:rsidRPr="00EB0F11"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B173AF" w:rsidRPr="00A935AA" w:rsidTr="003B3977">
        <w:tc>
          <w:tcPr>
            <w:tcW w:w="4320" w:type="dxa"/>
            <w:shd w:val="clear" w:color="auto" w:fill="auto"/>
          </w:tcPr>
          <w:p w:rsidR="00B173AF" w:rsidRPr="00A935AA" w:rsidRDefault="00B173AF" w:rsidP="00B173AF">
            <w:pPr>
              <w:rPr>
                <w:b/>
                <w:sz w:val="20"/>
                <w:szCs w:val="20"/>
              </w:rPr>
            </w:pPr>
            <w:r>
              <w:rPr>
                <w:b/>
                <w:sz w:val="20"/>
                <w:szCs w:val="20"/>
              </w:rPr>
              <w:t>Valery I. Fabrikant</w:t>
            </w:r>
          </w:p>
          <w:p w:rsidR="00B173AF" w:rsidRPr="00A935AA" w:rsidRDefault="00B173AF" w:rsidP="00B173AF">
            <w:pPr>
              <w:tabs>
                <w:tab w:val="left" w:pos="-1440"/>
                <w:tab w:val="left" w:pos="-720"/>
              </w:tabs>
              <w:rPr>
                <w:sz w:val="20"/>
                <w:szCs w:val="20"/>
              </w:rPr>
            </w:pPr>
            <w:r w:rsidRPr="00A935AA">
              <w:rPr>
                <w:sz w:val="20"/>
                <w:szCs w:val="20"/>
              </w:rPr>
              <w:tab/>
            </w:r>
            <w:r>
              <w:rPr>
                <w:sz w:val="20"/>
                <w:szCs w:val="20"/>
              </w:rPr>
              <w:t>Valery I. Fabrikant</w:t>
            </w:r>
          </w:p>
          <w:p w:rsidR="00B173AF" w:rsidRPr="00A935AA" w:rsidRDefault="00B173AF" w:rsidP="00B173AF">
            <w:pPr>
              <w:tabs>
                <w:tab w:val="left" w:pos="-1440"/>
                <w:tab w:val="left" w:pos="-720"/>
              </w:tabs>
              <w:rPr>
                <w:sz w:val="20"/>
                <w:szCs w:val="20"/>
              </w:rPr>
            </w:pPr>
          </w:p>
          <w:p w:rsidR="00B173AF" w:rsidRPr="00A935AA" w:rsidRDefault="00B173AF" w:rsidP="00B173AF">
            <w:pPr>
              <w:tabs>
                <w:tab w:val="left" w:pos="-1440"/>
                <w:tab w:val="left" w:pos="-720"/>
              </w:tabs>
              <w:rPr>
                <w:sz w:val="20"/>
                <w:szCs w:val="20"/>
              </w:rPr>
            </w:pPr>
            <w:r w:rsidRPr="00A935AA">
              <w:rPr>
                <w:sz w:val="20"/>
                <w:szCs w:val="20"/>
              </w:rPr>
              <w:tab/>
              <w:t>v. (3</w:t>
            </w:r>
            <w:r>
              <w:rPr>
                <w:sz w:val="20"/>
                <w:szCs w:val="20"/>
              </w:rPr>
              <w:t>5680</w:t>
            </w:r>
            <w:r w:rsidRPr="00A935AA">
              <w:rPr>
                <w:sz w:val="20"/>
                <w:szCs w:val="20"/>
              </w:rPr>
              <w:t>)</w:t>
            </w:r>
          </w:p>
          <w:p w:rsidR="00B173AF" w:rsidRPr="00A935AA" w:rsidRDefault="00B173AF" w:rsidP="00B173AF">
            <w:pPr>
              <w:tabs>
                <w:tab w:val="left" w:pos="-1440"/>
                <w:tab w:val="left" w:pos="-720"/>
              </w:tabs>
              <w:rPr>
                <w:sz w:val="20"/>
                <w:szCs w:val="20"/>
              </w:rPr>
            </w:pPr>
          </w:p>
          <w:p w:rsidR="00B173AF" w:rsidRPr="007455DE" w:rsidRDefault="00B173AF" w:rsidP="00B173AF">
            <w:pPr>
              <w:tabs>
                <w:tab w:val="left" w:pos="-1440"/>
                <w:tab w:val="left" w:pos="-720"/>
              </w:tabs>
              <w:rPr>
                <w:b/>
                <w:sz w:val="20"/>
                <w:szCs w:val="20"/>
              </w:rPr>
            </w:pPr>
            <w:r>
              <w:rPr>
                <w:b/>
                <w:sz w:val="20"/>
                <w:szCs w:val="20"/>
              </w:rPr>
              <w:t xml:space="preserve">Attorney General of Canada et al. </w:t>
            </w:r>
            <w:r w:rsidRPr="007455DE">
              <w:rPr>
                <w:b/>
                <w:sz w:val="20"/>
                <w:szCs w:val="20"/>
              </w:rPr>
              <w:t>(Que.)</w:t>
            </w:r>
          </w:p>
          <w:p w:rsidR="00B173AF" w:rsidRPr="007455DE" w:rsidRDefault="00B173AF" w:rsidP="00B173AF">
            <w:pPr>
              <w:tabs>
                <w:tab w:val="left" w:pos="-1440"/>
                <w:tab w:val="left" w:pos="-720"/>
              </w:tabs>
              <w:rPr>
                <w:sz w:val="20"/>
                <w:szCs w:val="20"/>
              </w:rPr>
            </w:pPr>
            <w:r w:rsidRPr="007455DE">
              <w:rPr>
                <w:sz w:val="20"/>
                <w:szCs w:val="20"/>
              </w:rPr>
              <w:tab/>
              <w:t>Éric Lafrenière</w:t>
            </w:r>
          </w:p>
          <w:p w:rsidR="00B173AF" w:rsidRPr="007455DE" w:rsidRDefault="00B173AF" w:rsidP="00B173AF">
            <w:pPr>
              <w:tabs>
                <w:tab w:val="left" w:pos="-1440"/>
                <w:tab w:val="left" w:pos="-720"/>
              </w:tabs>
              <w:rPr>
                <w:sz w:val="20"/>
                <w:szCs w:val="20"/>
              </w:rPr>
            </w:pPr>
            <w:r w:rsidRPr="007455DE">
              <w:rPr>
                <w:sz w:val="20"/>
                <w:szCs w:val="20"/>
              </w:rPr>
              <w:tab/>
            </w:r>
            <w:r w:rsidR="00C97437" w:rsidRPr="007455DE">
              <w:rPr>
                <w:sz w:val="20"/>
                <w:szCs w:val="20"/>
              </w:rPr>
              <w:t>A</w:t>
            </w:r>
            <w:r w:rsidRPr="007455DE">
              <w:rPr>
                <w:sz w:val="20"/>
                <w:szCs w:val="20"/>
              </w:rPr>
              <w:t xml:space="preserve">.G. </w:t>
            </w:r>
            <w:r w:rsidR="00C97437" w:rsidRPr="007455DE">
              <w:rPr>
                <w:sz w:val="20"/>
                <w:szCs w:val="20"/>
              </w:rPr>
              <w:t>of</w:t>
            </w:r>
            <w:r w:rsidRPr="007455DE">
              <w:rPr>
                <w:sz w:val="20"/>
                <w:szCs w:val="20"/>
              </w:rPr>
              <w:t xml:space="preserve"> Canada</w:t>
            </w:r>
          </w:p>
          <w:p w:rsidR="00B173AF" w:rsidRPr="007455DE" w:rsidRDefault="00B173AF" w:rsidP="00B173AF">
            <w:pPr>
              <w:tabs>
                <w:tab w:val="left" w:pos="-1440"/>
                <w:tab w:val="left" w:pos="-720"/>
              </w:tabs>
              <w:rPr>
                <w:sz w:val="20"/>
                <w:szCs w:val="20"/>
              </w:rPr>
            </w:pPr>
          </w:p>
          <w:p w:rsidR="00B173AF" w:rsidRPr="00A935AA" w:rsidRDefault="00B173AF" w:rsidP="00B173AF">
            <w:pPr>
              <w:rPr>
                <w:sz w:val="20"/>
                <w:szCs w:val="20"/>
              </w:rPr>
            </w:pPr>
            <w:r w:rsidRPr="00A935AA">
              <w:rPr>
                <w:sz w:val="20"/>
                <w:szCs w:val="20"/>
              </w:rPr>
              <w:t xml:space="preserve">FILING DATE: </w:t>
            </w:r>
            <w:r>
              <w:rPr>
                <w:sz w:val="20"/>
                <w:szCs w:val="20"/>
              </w:rPr>
              <w:t>07</w:t>
            </w:r>
            <w:r w:rsidRPr="00A935AA">
              <w:rPr>
                <w:sz w:val="20"/>
                <w:szCs w:val="20"/>
              </w:rPr>
              <w:t>.0</w:t>
            </w:r>
            <w:r>
              <w:rPr>
                <w:sz w:val="20"/>
                <w:szCs w:val="20"/>
              </w:rPr>
              <w:t>1</w:t>
            </w:r>
            <w:r w:rsidRPr="00A935AA">
              <w:rPr>
                <w:sz w:val="20"/>
                <w:szCs w:val="20"/>
              </w:rPr>
              <w:t>.201</w:t>
            </w:r>
            <w:r>
              <w:rPr>
                <w:sz w:val="20"/>
                <w:szCs w:val="20"/>
              </w:rPr>
              <w:t>4</w:t>
            </w:r>
          </w:p>
          <w:p w:rsidR="00B173AF" w:rsidRPr="00A935AA" w:rsidRDefault="00EB0F11" w:rsidP="00B173AF">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B173AF" w:rsidRDefault="00B173AF" w:rsidP="00242AEE">
            <w:pPr>
              <w:jc w:val="center"/>
              <w:rPr>
                <w:sz w:val="20"/>
                <w:szCs w:val="20"/>
              </w:rPr>
            </w:pPr>
          </w:p>
          <w:p w:rsidR="00B173AF" w:rsidRDefault="00B173AF" w:rsidP="00242AEE">
            <w:pPr>
              <w:jc w:val="center"/>
              <w:rPr>
                <w:sz w:val="20"/>
                <w:szCs w:val="20"/>
              </w:rPr>
            </w:pPr>
          </w:p>
          <w:p w:rsidR="00B173AF" w:rsidRDefault="00B173AF" w:rsidP="00242AEE">
            <w:pPr>
              <w:jc w:val="center"/>
              <w:rPr>
                <w:sz w:val="20"/>
                <w:szCs w:val="20"/>
              </w:rPr>
            </w:pPr>
          </w:p>
          <w:p w:rsidR="00B173AF" w:rsidRDefault="00B173AF" w:rsidP="00242AEE">
            <w:pPr>
              <w:jc w:val="center"/>
              <w:rPr>
                <w:sz w:val="20"/>
                <w:szCs w:val="20"/>
              </w:rPr>
            </w:pPr>
          </w:p>
          <w:p w:rsidR="00B173AF" w:rsidRDefault="00B173AF" w:rsidP="00242AEE">
            <w:pPr>
              <w:jc w:val="center"/>
              <w:rPr>
                <w:sz w:val="20"/>
                <w:szCs w:val="20"/>
              </w:rPr>
            </w:pPr>
          </w:p>
          <w:p w:rsidR="00B173AF" w:rsidRDefault="00B173AF" w:rsidP="00242AEE">
            <w:pPr>
              <w:jc w:val="center"/>
              <w:rPr>
                <w:sz w:val="20"/>
                <w:szCs w:val="20"/>
              </w:rPr>
            </w:pPr>
          </w:p>
          <w:p w:rsidR="00B173AF" w:rsidRDefault="00B173AF" w:rsidP="00242AEE">
            <w:pPr>
              <w:jc w:val="center"/>
              <w:rPr>
                <w:sz w:val="20"/>
                <w:szCs w:val="20"/>
              </w:rPr>
            </w:pPr>
          </w:p>
          <w:p w:rsidR="00B173AF" w:rsidRDefault="00B173AF" w:rsidP="00242AEE">
            <w:pPr>
              <w:jc w:val="center"/>
              <w:rPr>
                <w:sz w:val="20"/>
                <w:szCs w:val="20"/>
              </w:rPr>
            </w:pPr>
          </w:p>
          <w:p w:rsidR="00B173AF" w:rsidRDefault="00B173AF" w:rsidP="00242AEE">
            <w:pPr>
              <w:jc w:val="center"/>
              <w:rPr>
                <w:sz w:val="20"/>
                <w:szCs w:val="20"/>
              </w:rPr>
            </w:pPr>
          </w:p>
          <w:p w:rsidR="00B173AF" w:rsidRDefault="00B173AF" w:rsidP="00242AEE">
            <w:pPr>
              <w:jc w:val="center"/>
              <w:rPr>
                <w:sz w:val="20"/>
                <w:szCs w:val="20"/>
              </w:rPr>
            </w:pPr>
          </w:p>
          <w:p w:rsidR="00B173AF" w:rsidRDefault="00B173AF" w:rsidP="00242AEE">
            <w:pPr>
              <w:jc w:val="center"/>
              <w:rPr>
                <w:sz w:val="20"/>
                <w:szCs w:val="20"/>
              </w:rPr>
            </w:pPr>
          </w:p>
          <w:p w:rsidR="00B173AF" w:rsidRPr="00A935AA" w:rsidRDefault="00B173AF" w:rsidP="00242AEE">
            <w:pPr>
              <w:jc w:val="center"/>
              <w:rPr>
                <w:sz w:val="20"/>
                <w:szCs w:val="20"/>
              </w:rPr>
            </w:pPr>
          </w:p>
        </w:tc>
        <w:tc>
          <w:tcPr>
            <w:tcW w:w="4320" w:type="dxa"/>
            <w:shd w:val="clear" w:color="auto" w:fill="auto"/>
          </w:tcPr>
          <w:p w:rsidR="00B173AF" w:rsidRDefault="00B173AF" w:rsidP="003B3977">
            <w:pPr>
              <w:keepNext/>
              <w:keepLines/>
              <w:tabs>
                <w:tab w:val="left" w:pos="-1440"/>
                <w:tab w:val="left" w:pos="-720"/>
              </w:tabs>
              <w:rPr>
                <w:sz w:val="20"/>
                <w:szCs w:val="20"/>
              </w:rPr>
            </w:pPr>
            <w:r>
              <w:rPr>
                <w:b/>
                <w:sz w:val="20"/>
                <w:szCs w:val="20"/>
              </w:rPr>
              <w:t>Surgirthanraj Kailayapil</w:t>
            </w:r>
            <w:r w:rsidR="00837820">
              <w:rPr>
                <w:b/>
                <w:sz w:val="20"/>
                <w:szCs w:val="20"/>
              </w:rPr>
              <w:t>l</w:t>
            </w:r>
            <w:r>
              <w:rPr>
                <w:b/>
                <w:sz w:val="20"/>
                <w:szCs w:val="20"/>
              </w:rPr>
              <w:t>ai</w:t>
            </w:r>
          </w:p>
          <w:p w:rsidR="00B173AF" w:rsidRPr="00A935AA" w:rsidRDefault="006F20D6" w:rsidP="00B173AF">
            <w:pPr>
              <w:tabs>
                <w:tab w:val="left" w:pos="-1440"/>
                <w:tab w:val="left" w:pos="-720"/>
              </w:tabs>
              <w:rPr>
                <w:sz w:val="20"/>
                <w:szCs w:val="20"/>
              </w:rPr>
            </w:pPr>
            <w:r>
              <w:rPr>
                <w:sz w:val="20"/>
                <w:szCs w:val="20"/>
              </w:rPr>
              <w:tab/>
            </w:r>
            <w:r w:rsidR="00B173AF">
              <w:rPr>
                <w:sz w:val="20"/>
                <w:szCs w:val="20"/>
              </w:rPr>
              <w:t>R. Philip Campbell</w:t>
            </w:r>
          </w:p>
          <w:p w:rsidR="00B173AF" w:rsidRPr="00A935AA" w:rsidRDefault="00B173AF" w:rsidP="00B173AF">
            <w:pPr>
              <w:tabs>
                <w:tab w:val="left" w:pos="-1440"/>
                <w:tab w:val="left" w:pos="-720"/>
              </w:tabs>
              <w:rPr>
                <w:sz w:val="20"/>
                <w:szCs w:val="20"/>
              </w:rPr>
            </w:pPr>
            <w:r w:rsidRPr="00A935AA">
              <w:rPr>
                <w:sz w:val="20"/>
                <w:szCs w:val="20"/>
              </w:rPr>
              <w:tab/>
            </w:r>
            <w:r>
              <w:rPr>
                <w:sz w:val="20"/>
                <w:szCs w:val="20"/>
              </w:rPr>
              <w:t>Lockyer Campbell Posner</w:t>
            </w:r>
          </w:p>
          <w:p w:rsidR="00B173AF" w:rsidRPr="00A935AA" w:rsidRDefault="00B173AF" w:rsidP="00B173AF">
            <w:pPr>
              <w:tabs>
                <w:tab w:val="left" w:pos="-1440"/>
                <w:tab w:val="left" w:pos="-720"/>
              </w:tabs>
              <w:rPr>
                <w:sz w:val="20"/>
                <w:szCs w:val="20"/>
              </w:rPr>
            </w:pPr>
          </w:p>
          <w:p w:rsidR="00B173AF" w:rsidRPr="00A935AA" w:rsidRDefault="00B173AF" w:rsidP="00B173AF">
            <w:pPr>
              <w:tabs>
                <w:tab w:val="left" w:pos="-1440"/>
                <w:tab w:val="left" w:pos="-720"/>
              </w:tabs>
              <w:rPr>
                <w:sz w:val="20"/>
                <w:szCs w:val="20"/>
              </w:rPr>
            </w:pPr>
            <w:r w:rsidRPr="00A935AA">
              <w:rPr>
                <w:sz w:val="20"/>
                <w:szCs w:val="20"/>
              </w:rPr>
              <w:tab/>
              <w:t>v. (3</w:t>
            </w:r>
            <w:r>
              <w:rPr>
                <w:sz w:val="20"/>
                <w:szCs w:val="20"/>
              </w:rPr>
              <w:t>5701</w:t>
            </w:r>
            <w:r w:rsidRPr="00A935AA">
              <w:rPr>
                <w:sz w:val="20"/>
                <w:szCs w:val="20"/>
              </w:rPr>
              <w:t>)</w:t>
            </w:r>
          </w:p>
          <w:p w:rsidR="00B173AF" w:rsidRPr="00A935AA" w:rsidRDefault="00B173AF" w:rsidP="00B173AF">
            <w:pPr>
              <w:tabs>
                <w:tab w:val="left" w:pos="-1440"/>
                <w:tab w:val="left" w:pos="-720"/>
              </w:tabs>
              <w:rPr>
                <w:sz w:val="20"/>
                <w:szCs w:val="20"/>
              </w:rPr>
            </w:pPr>
          </w:p>
          <w:p w:rsidR="00B173AF" w:rsidRPr="00A935AA" w:rsidRDefault="00B173AF" w:rsidP="00B173AF">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Ont</w:t>
            </w:r>
            <w:r w:rsidRPr="00A935AA">
              <w:rPr>
                <w:b/>
                <w:sz w:val="20"/>
                <w:szCs w:val="20"/>
              </w:rPr>
              <w:t>.)</w:t>
            </w:r>
          </w:p>
          <w:p w:rsidR="00B173AF" w:rsidRPr="00A935AA" w:rsidRDefault="00B173AF" w:rsidP="00B173AF">
            <w:pPr>
              <w:tabs>
                <w:tab w:val="left" w:pos="-1440"/>
                <w:tab w:val="left" w:pos="-720"/>
              </w:tabs>
              <w:rPr>
                <w:sz w:val="20"/>
                <w:szCs w:val="20"/>
              </w:rPr>
            </w:pPr>
            <w:r w:rsidRPr="00A935AA">
              <w:rPr>
                <w:sz w:val="20"/>
                <w:szCs w:val="20"/>
              </w:rPr>
              <w:tab/>
            </w:r>
            <w:r>
              <w:rPr>
                <w:sz w:val="20"/>
                <w:szCs w:val="20"/>
              </w:rPr>
              <w:t>Michael Bernstein</w:t>
            </w:r>
          </w:p>
          <w:p w:rsidR="00B173AF" w:rsidRPr="00A935AA" w:rsidRDefault="00B173AF" w:rsidP="00B173AF">
            <w:pPr>
              <w:tabs>
                <w:tab w:val="left" w:pos="-1440"/>
                <w:tab w:val="left" w:pos="-720"/>
              </w:tabs>
              <w:rPr>
                <w:sz w:val="20"/>
                <w:szCs w:val="20"/>
              </w:rPr>
            </w:pPr>
            <w:r w:rsidRPr="00A935AA">
              <w:rPr>
                <w:sz w:val="20"/>
                <w:szCs w:val="20"/>
              </w:rPr>
              <w:tab/>
            </w:r>
            <w:r>
              <w:rPr>
                <w:sz w:val="20"/>
                <w:szCs w:val="20"/>
              </w:rPr>
              <w:t>A.G. of Ontario</w:t>
            </w:r>
          </w:p>
          <w:p w:rsidR="00B173AF" w:rsidRPr="00A935AA" w:rsidRDefault="00B173AF" w:rsidP="00B173AF">
            <w:pPr>
              <w:tabs>
                <w:tab w:val="left" w:pos="-1440"/>
                <w:tab w:val="left" w:pos="-720"/>
              </w:tabs>
              <w:rPr>
                <w:sz w:val="20"/>
                <w:szCs w:val="20"/>
              </w:rPr>
            </w:pPr>
          </w:p>
          <w:p w:rsidR="00B173AF" w:rsidRPr="00A935AA" w:rsidRDefault="00B173AF" w:rsidP="00B173AF">
            <w:pPr>
              <w:rPr>
                <w:sz w:val="20"/>
                <w:szCs w:val="20"/>
              </w:rPr>
            </w:pPr>
            <w:r w:rsidRPr="00A935AA">
              <w:rPr>
                <w:sz w:val="20"/>
                <w:szCs w:val="20"/>
              </w:rPr>
              <w:t>FILING DATE: 2</w:t>
            </w:r>
            <w:r>
              <w:rPr>
                <w:sz w:val="20"/>
                <w:szCs w:val="20"/>
              </w:rPr>
              <w:t>3</w:t>
            </w:r>
            <w:r w:rsidRPr="00A935AA">
              <w:rPr>
                <w:sz w:val="20"/>
                <w:szCs w:val="20"/>
              </w:rPr>
              <w:t>.0</w:t>
            </w:r>
            <w:r>
              <w:rPr>
                <w:sz w:val="20"/>
                <w:szCs w:val="20"/>
              </w:rPr>
              <w:t>1</w:t>
            </w:r>
            <w:r w:rsidRPr="00A935AA">
              <w:rPr>
                <w:sz w:val="20"/>
                <w:szCs w:val="20"/>
              </w:rPr>
              <w:t>.201</w:t>
            </w:r>
            <w:r>
              <w:rPr>
                <w:sz w:val="20"/>
                <w:szCs w:val="20"/>
              </w:rPr>
              <w:t>4</w:t>
            </w:r>
          </w:p>
          <w:p w:rsidR="00B173AF" w:rsidRPr="00B173AF" w:rsidRDefault="00EB0F11" w:rsidP="00B173AF">
            <w:pPr>
              <w:keepNext/>
              <w:keepLines/>
              <w:tabs>
                <w:tab w:val="left" w:pos="-1440"/>
                <w:tab w:val="left" w:pos="-720"/>
              </w:tabs>
              <w:rPr>
                <w:sz w:val="20"/>
                <w:szCs w:val="20"/>
              </w:rPr>
            </w:pPr>
            <w:r>
              <w:rPr>
                <w:sz w:val="20"/>
                <w:szCs w:val="20"/>
                <w:lang w:val="fr-CA"/>
              </w:rPr>
              <w:pict>
                <v:rect id="_x0000_i1026" style="width:108pt;height:1pt" o:hrpct="0" o:hralign="center" o:hrstd="t" o:hrnoshade="t" o:hr="t" fillcolor="black [3213]" stroked="f"/>
              </w:pict>
            </w:r>
          </w:p>
        </w:tc>
      </w:tr>
      <w:tr w:rsidR="008C1F1D" w:rsidRPr="00A935AA" w:rsidTr="003B3977">
        <w:tc>
          <w:tcPr>
            <w:tcW w:w="4320" w:type="dxa"/>
            <w:shd w:val="clear" w:color="auto" w:fill="auto"/>
          </w:tcPr>
          <w:p w:rsidR="008C1F1D" w:rsidRPr="00A935AA" w:rsidRDefault="008C1F1D" w:rsidP="009C4053">
            <w:pPr>
              <w:rPr>
                <w:b/>
                <w:sz w:val="20"/>
                <w:szCs w:val="20"/>
              </w:rPr>
            </w:pPr>
            <w:r>
              <w:rPr>
                <w:b/>
                <w:sz w:val="20"/>
                <w:szCs w:val="20"/>
              </w:rPr>
              <w:t>Inco Limited</w:t>
            </w:r>
          </w:p>
          <w:p w:rsidR="008C1F1D" w:rsidRPr="00B173AF" w:rsidRDefault="008C1F1D" w:rsidP="009C4053">
            <w:pPr>
              <w:keepNext/>
              <w:keepLines/>
              <w:tabs>
                <w:tab w:val="left" w:pos="-1440"/>
                <w:tab w:val="left" w:pos="-720"/>
              </w:tabs>
              <w:rPr>
                <w:sz w:val="20"/>
                <w:szCs w:val="20"/>
              </w:rPr>
            </w:pPr>
            <w:r w:rsidRPr="00A935AA">
              <w:rPr>
                <w:sz w:val="20"/>
                <w:szCs w:val="20"/>
              </w:rPr>
              <w:tab/>
            </w:r>
            <w:r w:rsidRPr="00B173AF">
              <w:rPr>
                <w:sz w:val="20"/>
                <w:szCs w:val="20"/>
              </w:rPr>
              <w:t>Alan J. Lenczner, Q.C.</w:t>
            </w:r>
          </w:p>
          <w:p w:rsidR="008C1F1D" w:rsidRPr="00CC3B1C" w:rsidRDefault="008C1F1D" w:rsidP="009C4053">
            <w:pPr>
              <w:keepNext/>
              <w:keepLines/>
              <w:tabs>
                <w:tab w:val="left" w:pos="-1440"/>
                <w:tab w:val="left" w:pos="-720"/>
              </w:tabs>
              <w:rPr>
                <w:sz w:val="20"/>
                <w:szCs w:val="20"/>
              </w:rPr>
            </w:pPr>
            <w:r w:rsidRPr="00B173AF">
              <w:rPr>
                <w:sz w:val="20"/>
                <w:szCs w:val="20"/>
              </w:rPr>
              <w:tab/>
            </w:r>
            <w:r w:rsidRPr="00CC3B1C">
              <w:rPr>
                <w:sz w:val="20"/>
                <w:szCs w:val="20"/>
              </w:rPr>
              <w:t xml:space="preserve">Lenczner Slaght Royce Smith Griffin </w:t>
            </w:r>
            <w:r w:rsidRPr="00CC3B1C">
              <w:rPr>
                <w:sz w:val="20"/>
                <w:szCs w:val="20"/>
              </w:rPr>
              <w:tab/>
              <w:t>LLP</w:t>
            </w:r>
          </w:p>
          <w:p w:rsidR="008C1F1D" w:rsidRPr="00CC3B1C" w:rsidRDefault="008C1F1D" w:rsidP="009C4053">
            <w:pPr>
              <w:keepNext/>
              <w:keepLines/>
              <w:tabs>
                <w:tab w:val="left" w:pos="-1440"/>
                <w:tab w:val="left" w:pos="-720"/>
              </w:tabs>
              <w:rPr>
                <w:sz w:val="20"/>
                <w:szCs w:val="20"/>
              </w:rPr>
            </w:pPr>
          </w:p>
          <w:p w:rsidR="008C1F1D" w:rsidRPr="00633A3E" w:rsidRDefault="008C1F1D" w:rsidP="009C4053">
            <w:pPr>
              <w:keepNext/>
              <w:keepLines/>
              <w:tabs>
                <w:tab w:val="left" w:pos="-1440"/>
                <w:tab w:val="left" w:pos="-720"/>
              </w:tabs>
              <w:rPr>
                <w:sz w:val="20"/>
                <w:szCs w:val="20"/>
              </w:rPr>
            </w:pPr>
            <w:r w:rsidRPr="00CC3B1C">
              <w:rPr>
                <w:sz w:val="20"/>
                <w:szCs w:val="20"/>
              </w:rPr>
              <w:tab/>
            </w:r>
            <w:r w:rsidRPr="00633A3E">
              <w:rPr>
                <w:sz w:val="20"/>
                <w:szCs w:val="20"/>
              </w:rPr>
              <w:t>v. (35</w:t>
            </w:r>
            <w:r>
              <w:rPr>
                <w:sz w:val="20"/>
                <w:szCs w:val="20"/>
              </w:rPr>
              <w:t>703</w:t>
            </w:r>
            <w:r w:rsidRPr="00633A3E">
              <w:rPr>
                <w:sz w:val="20"/>
                <w:szCs w:val="20"/>
              </w:rPr>
              <w:t>)</w:t>
            </w:r>
          </w:p>
          <w:p w:rsidR="008C1F1D" w:rsidRPr="00633A3E" w:rsidRDefault="008C1F1D" w:rsidP="009C4053">
            <w:pPr>
              <w:keepNext/>
              <w:keepLines/>
              <w:tabs>
                <w:tab w:val="left" w:pos="-1440"/>
                <w:tab w:val="left" w:pos="-720"/>
              </w:tabs>
              <w:rPr>
                <w:sz w:val="20"/>
                <w:szCs w:val="20"/>
              </w:rPr>
            </w:pPr>
          </w:p>
          <w:p w:rsidR="008C1F1D" w:rsidRPr="00633A3E" w:rsidRDefault="008C1F1D" w:rsidP="009C4053">
            <w:pPr>
              <w:keepNext/>
              <w:keepLines/>
              <w:tabs>
                <w:tab w:val="left" w:pos="-1440"/>
                <w:tab w:val="left" w:pos="-720"/>
              </w:tabs>
              <w:rPr>
                <w:b/>
                <w:sz w:val="20"/>
                <w:szCs w:val="20"/>
              </w:rPr>
            </w:pPr>
            <w:r>
              <w:rPr>
                <w:b/>
                <w:sz w:val="20"/>
                <w:szCs w:val="20"/>
              </w:rPr>
              <w:t xml:space="preserve">Ellen Smith </w:t>
            </w:r>
            <w:r w:rsidRPr="00633A3E">
              <w:rPr>
                <w:b/>
                <w:sz w:val="20"/>
                <w:szCs w:val="20"/>
              </w:rPr>
              <w:t>(Ont.)</w:t>
            </w:r>
          </w:p>
          <w:p w:rsidR="008C1F1D" w:rsidRPr="00633A3E" w:rsidRDefault="008C1F1D" w:rsidP="009C4053">
            <w:pPr>
              <w:keepNext/>
              <w:keepLines/>
              <w:tabs>
                <w:tab w:val="left" w:pos="-1440"/>
                <w:tab w:val="left" w:pos="-720"/>
              </w:tabs>
              <w:rPr>
                <w:sz w:val="20"/>
                <w:szCs w:val="20"/>
              </w:rPr>
            </w:pPr>
            <w:r w:rsidRPr="00633A3E">
              <w:rPr>
                <w:sz w:val="20"/>
                <w:szCs w:val="20"/>
              </w:rPr>
              <w:tab/>
            </w:r>
            <w:r>
              <w:rPr>
                <w:sz w:val="20"/>
                <w:szCs w:val="20"/>
              </w:rPr>
              <w:t>Scott C. Hutchinson</w:t>
            </w:r>
          </w:p>
          <w:p w:rsidR="008C1F1D" w:rsidRPr="00633A3E" w:rsidRDefault="008C1F1D" w:rsidP="009C4053">
            <w:pPr>
              <w:keepNext/>
              <w:keepLines/>
              <w:tabs>
                <w:tab w:val="left" w:pos="-1440"/>
                <w:tab w:val="left" w:pos="-720"/>
              </w:tabs>
              <w:rPr>
                <w:sz w:val="20"/>
                <w:szCs w:val="20"/>
              </w:rPr>
            </w:pPr>
            <w:r w:rsidRPr="00633A3E">
              <w:rPr>
                <w:sz w:val="20"/>
                <w:szCs w:val="20"/>
              </w:rPr>
              <w:tab/>
            </w:r>
            <w:r>
              <w:rPr>
                <w:sz w:val="20"/>
                <w:szCs w:val="20"/>
              </w:rPr>
              <w:t>Stockwoods LLP</w:t>
            </w:r>
          </w:p>
          <w:p w:rsidR="008C1F1D" w:rsidRPr="00633A3E" w:rsidRDefault="008C1F1D" w:rsidP="009C4053">
            <w:pPr>
              <w:keepNext/>
              <w:keepLines/>
              <w:tabs>
                <w:tab w:val="left" w:pos="-1440"/>
                <w:tab w:val="left" w:pos="-720"/>
              </w:tabs>
              <w:rPr>
                <w:sz w:val="20"/>
                <w:szCs w:val="20"/>
              </w:rPr>
            </w:pPr>
          </w:p>
          <w:p w:rsidR="008C1F1D" w:rsidRPr="00A935AA" w:rsidRDefault="008C1F1D" w:rsidP="009C4053">
            <w:pPr>
              <w:rPr>
                <w:sz w:val="20"/>
                <w:szCs w:val="20"/>
              </w:rPr>
            </w:pPr>
            <w:r w:rsidRPr="00A935AA">
              <w:rPr>
                <w:sz w:val="20"/>
                <w:szCs w:val="20"/>
              </w:rPr>
              <w:t>FILING DATE: 2</w:t>
            </w:r>
            <w:r>
              <w:rPr>
                <w:sz w:val="20"/>
                <w:szCs w:val="20"/>
              </w:rPr>
              <w:t>7</w:t>
            </w:r>
            <w:r w:rsidRPr="00A935AA">
              <w:rPr>
                <w:sz w:val="20"/>
                <w:szCs w:val="20"/>
              </w:rPr>
              <w:t>.0</w:t>
            </w:r>
            <w:r>
              <w:rPr>
                <w:sz w:val="20"/>
                <w:szCs w:val="20"/>
              </w:rPr>
              <w:t>1</w:t>
            </w:r>
            <w:r w:rsidRPr="00A935AA">
              <w:rPr>
                <w:sz w:val="20"/>
                <w:szCs w:val="20"/>
              </w:rPr>
              <w:t>.201</w:t>
            </w:r>
            <w:r>
              <w:rPr>
                <w:sz w:val="20"/>
                <w:szCs w:val="20"/>
              </w:rPr>
              <w:t>4</w:t>
            </w:r>
            <w:r w:rsidR="00EB0F11">
              <w:rPr>
                <w:sz w:val="20"/>
                <w:szCs w:val="20"/>
                <w:lang w:val="fr-CA"/>
              </w:rPr>
              <w:pict>
                <v:rect id="_x0000_i1027" style="width:108pt;height:1pt" o:hrpct="0" o:hralign="center" o:hrstd="t" o:hrnoshade="t" o:hr="t" fillcolor="black [3213]" stroked="f"/>
              </w:pict>
            </w:r>
          </w:p>
        </w:tc>
        <w:tc>
          <w:tcPr>
            <w:tcW w:w="1181" w:type="dxa"/>
            <w:shd w:val="clear" w:color="auto" w:fill="auto"/>
          </w:tcPr>
          <w:p w:rsidR="008C1F1D" w:rsidRDefault="008C1F1D" w:rsidP="00242AEE">
            <w:pPr>
              <w:jc w:val="center"/>
              <w:rPr>
                <w:sz w:val="20"/>
                <w:szCs w:val="20"/>
              </w:rPr>
            </w:pPr>
          </w:p>
          <w:p w:rsidR="008C1F1D" w:rsidRDefault="008C1F1D" w:rsidP="00242AEE">
            <w:pPr>
              <w:jc w:val="center"/>
              <w:rPr>
                <w:sz w:val="20"/>
                <w:szCs w:val="20"/>
              </w:rPr>
            </w:pPr>
          </w:p>
          <w:p w:rsidR="008C1F1D" w:rsidRDefault="008C1F1D" w:rsidP="00242AEE">
            <w:pPr>
              <w:jc w:val="center"/>
              <w:rPr>
                <w:sz w:val="20"/>
                <w:szCs w:val="20"/>
              </w:rPr>
            </w:pPr>
          </w:p>
          <w:p w:rsidR="008C1F1D" w:rsidRDefault="008C1F1D" w:rsidP="00242AEE">
            <w:pPr>
              <w:jc w:val="center"/>
              <w:rPr>
                <w:sz w:val="20"/>
                <w:szCs w:val="20"/>
              </w:rPr>
            </w:pPr>
          </w:p>
          <w:p w:rsidR="008C1F1D" w:rsidRDefault="008C1F1D" w:rsidP="00242AEE">
            <w:pPr>
              <w:jc w:val="center"/>
              <w:rPr>
                <w:sz w:val="20"/>
                <w:szCs w:val="20"/>
              </w:rPr>
            </w:pPr>
          </w:p>
          <w:p w:rsidR="008C1F1D" w:rsidRDefault="008C1F1D" w:rsidP="00242AEE">
            <w:pPr>
              <w:jc w:val="center"/>
              <w:rPr>
                <w:sz w:val="20"/>
                <w:szCs w:val="20"/>
              </w:rPr>
            </w:pPr>
          </w:p>
          <w:p w:rsidR="008C1F1D" w:rsidRDefault="008C1F1D" w:rsidP="00242AEE">
            <w:pPr>
              <w:jc w:val="center"/>
              <w:rPr>
                <w:sz w:val="20"/>
                <w:szCs w:val="20"/>
              </w:rPr>
            </w:pPr>
          </w:p>
          <w:p w:rsidR="008C1F1D" w:rsidRDefault="008C1F1D" w:rsidP="00242AEE">
            <w:pPr>
              <w:jc w:val="center"/>
              <w:rPr>
                <w:sz w:val="20"/>
                <w:szCs w:val="20"/>
              </w:rPr>
            </w:pPr>
          </w:p>
          <w:p w:rsidR="008C1F1D" w:rsidRDefault="008C1F1D" w:rsidP="00242AEE">
            <w:pPr>
              <w:jc w:val="center"/>
              <w:rPr>
                <w:sz w:val="20"/>
                <w:szCs w:val="20"/>
              </w:rPr>
            </w:pPr>
          </w:p>
          <w:p w:rsidR="008C1F1D" w:rsidRDefault="008C1F1D" w:rsidP="00242AEE">
            <w:pPr>
              <w:jc w:val="center"/>
              <w:rPr>
                <w:sz w:val="20"/>
                <w:szCs w:val="20"/>
              </w:rPr>
            </w:pPr>
          </w:p>
          <w:p w:rsidR="008C1F1D" w:rsidRDefault="008C1F1D" w:rsidP="00242AEE">
            <w:pPr>
              <w:jc w:val="center"/>
              <w:rPr>
                <w:sz w:val="20"/>
                <w:szCs w:val="20"/>
              </w:rPr>
            </w:pPr>
          </w:p>
          <w:p w:rsidR="008C1F1D" w:rsidRDefault="008C1F1D" w:rsidP="00242AEE">
            <w:pPr>
              <w:jc w:val="center"/>
              <w:rPr>
                <w:sz w:val="20"/>
                <w:szCs w:val="20"/>
              </w:rPr>
            </w:pPr>
          </w:p>
          <w:p w:rsidR="008C1F1D" w:rsidRDefault="008C1F1D" w:rsidP="00242AEE">
            <w:pPr>
              <w:jc w:val="center"/>
              <w:rPr>
                <w:sz w:val="20"/>
                <w:szCs w:val="20"/>
              </w:rPr>
            </w:pPr>
          </w:p>
        </w:tc>
        <w:tc>
          <w:tcPr>
            <w:tcW w:w="4320" w:type="dxa"/>
            <w:shd w:val="clear" w:color="auto" w:fill="auto"/>
          </w:tcPr>
          <w:p w:rsidR="008C1F1D" w:rsidRDefault="008C1F1D" w:rsidP="009C4053">
            <w:pPr>
              <w:keepNext/>
              <w:keepLines/>
              <w:tabs>
                <w:tab w:val="left" w:pos="-1440"/>
                <w:tab w:val="left" w:pos="-720"/>
              </w:tabs>
              <w:rPr>
                <w:b/>
                <w:sz w:val="20"/>
                <w:szCs w:val="20"/>
              </w:rPr>
            </w:pPr>
          </w:p>
          <w:p w:rsidR="008C1F1D" w:rsidRPr="00A935AA" w:rsidRDefault="008C1F1D" w:rsidP="009C4053">
            <w:pPr>
              <w:keepNext/>
              <w:keepLines/>
              <w:tabs>
                <w:tab w:val="left" w:pos="-1440"/>
                <w:tab w:val="left" w:pos="-720"/>
              </w:tabs>
              <w:rPr>
                <w:b/>
                <w:sz w:val="20"/>
                <w:szCs w:val="20"/>
              </w:rPr>
            </w:pPr>
            <w:r>
              <w:rPr>
                <w:b/>
                <w:sz w:val="20"/>
                <w:szCs w:val="20"/>
              </w:rPr>
              <w:t>William Unrau</w:t>
            </w:r>
          </w:p>
          <w:p w:rsidR="008C1F1D" w:rsidRPr="00A935AA" w:rsidRDefault="008C1F1D" w:rsidP="009C4053">
            <w:pPr>
              <w:tabs>
                <w:tab w:val="left" w:pos="-1440"/>
                <w:tab w:val="left" w:pos="-720"/>
              </w:tabs>
              <w:rPr>
                <w:sz w:val="20"/>
                <w:szCs w:val="20"/>
              </w:rPr>
            </w:pPr>
            <w:r w:rsidRPr="00A935AA">
              <w:rPr>
                <w:sz w:val="20"/>
                <w:szCs w:val="20"/>
              </w:rPr>
              <w:tab/>
            </w:r>
            <w:r>
              <w:rPr>
                <w:sz w:val="20"/>
                <w:szCs w:val="20"/>
              </w:rPr>
              <w:t>William Unrau</w:t>
            </w:r>
          </w:p>
          <w:p w:rsidR="008C1F1D" w:rsidRPr="00A935AA" w:rsidRDefault="008C1F1D" w:rsidP="009C4053">
            <w:pPr>
              <w:tabs>
                <w:tab w:val="left" w:pos="-1440"/>
                <w:tab w:val="left" w:pos="-720"/>
              </w:tabs>
              <w:rPr>
                <w:sz w:val="20"/>
                <w:szCs w:val="20"/>
              </w:rPr>
            </w:pPr>
          </w:p>
          <w:p w:rsidR="008C1F1D" w:rsidRPr="00A935AA" w:rsidRDefault="008C1F1D" w:rsidP="009C4053">
            <w:pPr>
              <w:tabs>
                <w:tab w:val="left" w:pos="-1440"/>
                <w:tab w:val="left" w:pos="-720"/>
              </w:tabs>
              <w:rPr>
                <w:sz w:val="20"/>
                <w:szCs w:val="20"/>
              </w:rPr>
            </w:pPr>
            <w:r w:rsidRPr="00A935AA">
              <w:rPr>
                <w:sz w:val="20"/>
                <w:szCs w:val="20"/>
              </w:rPr>
              <w:tab/>
              <w:t>v. (3</w:t>
            </w:r>
            <w:r>
              <w:rPr>
                <w:sz w:val="20"/>
                <w:szCs w:val="20"/>
              </w:rPr>
              <w:t>5708</w:t>
            </w:r>
            <w:r w:rsidRPr="00A935AA">
              <w:rPr>
                <w:sz w:val="20"/>
                <w:szCs w:val="20"/>
              </w:rPr>
              <w:t>)</w:t>
            </w:r>
          </w:p>
          <w:p w:rsidR="008C1F1D" w:rsidRPr="00A935AA" w:rsidRDefault="008C1F1D" w:rsidP="009C4053">
            <w:pPr>
              <w:tabs>
                <w:tab w:val="left" w:pos="-1440"/>
                <w:tab w:val="left" w:pos="-720"/>
              </w:tabs>
              <w:rPr>
                <w:sz w:val="20"/>
                <w:szCs w:val="20"/>
              </w:rPr>
            </w:pPr>
          </w:p>
          <w:p w:rsidR="008C1F1D" w:rsidRPr="008C1F1D" w:rsidRDefault="008C1F1D" w:rsidP="009C4053">
            <w:pPr>
              <w:tabs>
                <w:tab w:val="left" w:pos="-1440"/>
                <w:tab w:val="left" w:pos="-720"/>
              </w:tabs>
              <w:rPr>
                <w:b/>
                <w:sz w:val="20"/>
                <w:szCs w:val="20"/>
              </w:rPr>
            </w:pPr>
            <w:r w:rsidRPr="006F20D6">
              <w:rPr>
                <w:b/>
                <w:sz w:val="20"/>
                <w:szCs w:val="20"/>
                <w:lang w:val="fr-CA"/>
              </w:rPr>
              <w:t>Robert D. McSween et al.</w:t>
            </w:r>
            <w:r>
              <w:rPr>
                <w:b/>
                <w:sz w:val="20"/>
                <w:szCs w:val="20"/>
                <w:lang w:val="fr-CA"/>
              </w:rPr>
              <w:t xml:space="preserve"> </w:t>
            </w:r>
            <w:r w:rsidRPr="008C1F1D">
              <w:rPr>
                <w:b/>
                <w:sz w:val="20"/>
                <w:szCs w:val="20"/>
              </w:rPr>
              <w:t>(B.C.)</w:t>
            </w:r>
          </w:p>
          <w:p w:rsidR="008C1F1D" w:rsidRPr="00A935AA" w:rsidRDefault="008C1F1D" w:rsidP="009C4053">
            <w:pPr>
              <w:tabs>
                <w:tab w:val="left" w:pos="-1440"/>
                <w:tab w:val="left" w:pos="-720"/>
              </w:tabs>
              <w:rPr>
                <w:sz w:val="20"/>
                <w:szCs w:val="20"/>
              </w:rPr>
            </w:pPr>
            <w:r w:rsidRPr="008C1F1D">
              <w:rPr>
                <w:sz w:val="20"/>
                <w:szCs w:val="20"/>
              </w:rPr>
              <w:tab/>
            </w:r>
            <w:r>
              <w:rPr>
                <w:sz w:val="20"/>
                <w:szCs w:val="20"/>
              </w:rPr>
              <w:t>George E.H. Cadman, Q.C.</w:t>
            </w:r>
          </w:p>
          <w:p w:rsidR="008C1F1D" w:rsidRPr="00A935AA" w:rsidRDefault="008C1F1D" w:rsidP="009C4053">
            <w:pPr>
              <w:tabs>
                <w:tab w:val="left" w:pos="-1440"/>
                <w:tab w:val="left" w:pos="-720"/>
              </w:tabs>
              <w:rPr>
                <w:sz w:val="20"/>
                <w:szCs w:val="20"/>
              </w:rPr>
            </w:pPr>
            <w:r w:rsidRPr="00A935AA">
              <w:rPr>
                <w:sz w:val="20"/>
                <w:szCs w:val="20"/>
              </w:rPr>
              <w:tab/>
            </w:r>
            <w:r>
              <w:rPr>
                <w:sz w:val="20"/>
                <w:szCs w:val="20"/>
              </w:rPr>
              <w:t>Boughton Law Corporation</w:t>
            </w:r>
          </w:p>
          <w:p w:rsidR="008C1F1D" w:rsidRPr="00A935AA" w:rsidRDefault="008C1F1D" w:rsidP="009C4053">
            <w:pPr>
              <w:tabs>
                <w:tab w:val="left" w:pos="-1440"/>
                <w:tab w:val="left" w:pos="-720"/>
              </w:tabs>
              <w:rPr>
                <w:sz w:val="20"/>
                <w:szCs w:val="20"/>
              </w:rPr>
            </w:pPr>
          </w:p>
          <w:p w:rsidR="008C1F1D" w:rsidRPr="00A935AA" w:rsidRDefault="008C1F1D" w:rsidP="009C4053">
            <w:pPr>
              <w:rPr>
                <w:sz w:val="20"/>
                <w:szCs w:val="20"/>
              </w:rPr>
            </w:pPr>
            <w:r w:rsidRPr="00A935AA">
              <w:rPr>
                <w:sz w:val="20"/>
                <w:szCs w:val="20"/>
              </w:rPr>
              <w:t>FILING DATE: 2</w:t>
            </w:r>
            <w:r>
              <w:rPr>
                <w:sz w:val="20"/>
                <w:szCs w:val="20"/>
              </w:rPr>
              <w:t>7</w:t>
            </w:r>
            <w:r w:rsidRPr="00A935AA">
              <w:rPr>
                <w:sz w:val="20"/>
                <w:szCs w:val="20"/>
              </w:rPr>
              <w:t>.0</w:t>
            </w:r>
            <w:r>
              <w:rPr>
                <w:sz w:val="20"/>
                <w:szCs w:val="20"/>
              </w:rPr>
              <w:t>1</w:t>
            </w:r>
            <w:r w:rsidRPr="00A935AA">
              <w:rPr>
                <w:sz w:val="20"/>
                <w:szCs w:val="20"/>
              </w:rPr>
              <w:t>.201</w:t>
            </w:r>
            <w:r>
              <w:rPr>
                <w:sz w:val="20"/>
                <w:szCs w:val="20"/>
              </w:rPr>
              <w:t>4</w:t>
            </w:r>
          </w:p>
          <w:p w:rsidR="008C1F1D" w:rsidRPr="00A935AA" w:rsidRDefault="00EB0F11" w:rsidP="009C4053">
            <w:pPr>
              <w:rPr>
                <w:sz w:val="20"/>
                <w:szCs w:val="20"/>
              </w:rPr>
            </w:pPr>
            <w:r>
              <w:rPr>
                <w:sz w:val="20"/>
                <w:szCs w:val="20"/>
                <w:lang w:val="fr-CA"/>
              </w:rPr>
              <w:pict>
                <v:rect id="_x0000_i1028" style="width:108pt;height:1pt" o:hrpct="0" o:hralign="center" o:hrstd="t" o:hrnoshade="t" o:hr="t" fillcolor="black [3213]" stroked="f"/>
              </w:pict>
            </w:r>
          </w:p>
        </w:tc>
      </w:tr>
      <w:tr w:rsidR="008C1F1D" w:rsidRPr="00A935AA" w:rsidTr="003B3977">
        <w:tc>
          <w:tcPr>
            <w:tcW w:w="4320" w:type="dxa"/>
            <w:shd w:val="clear" w:color="auto" w:fill="auto"/>
          </w:tcPr>
          <w:p w:rsidR="008C1F1D" w:rsidRDefault="008C1F1D" w:rsidP="00A51A60">
            <w:pPr>
              <w:rPr>
                <w:b/>
                <w:sz w:val="20"/>
                <w:szCs w:val="20"/>
              </w:rPr>
            </w:pPr>
          </w:p>
          <w:p w:rsidR="008C1F1D" w:rsidRPr="00A935AA" w:rsidRDefault="008C1F1D" w:rsidP="00A51A60">
            <w:pPr>
              <w:rPr>
                <w:b/>
                <w:sz w:val="20"/>
                <w:szCs w:val="20"/>
              </w:rPr>
            </w:pPr>
            <w:r>
              <w:rPr>
                <w:b/>
                <w:sz w:val="20"/>
                <w:szCs w:val="20"/>
              </w:rPr>
              <w:t>Ahmad Mostafalou</w:t>
            </w:r>
          </w:p>
          <w:p w:rsidR="008C1F1D" w:rsidRPr="00A935AA" w:rsidRDefault="008C1F1D" w:rsidP="009C0719">
            <w:pPr>
              <w:keepNext/>
              <w:keepLines/>
              <w:tabs>
                <w:tab w:val="left" w:pos="-1440"/>
                <w:tab w:val="left" w:pos="-720"/>
              </w:tabs>
              <w:rPr>
                <w:sz w:val="20"/>
                <w:szCs w:val="20"/>
              </w:rPr>
            </w:pPr>
            <w:r w:rsidRPr="00A935AA">
              <w:rPr>
                <w:sz w:val="20"/>
                <w:szCs w:val="20"/>
              </w:rPr>
              <w:tab/>
            </w:r>
            <w:r>
              <w:rPr>
                <w:sz w:val="20"/>
                <w:szCs w:val="20"/>
              </w:rPr>
              <w:t>Ahmad Mostafalou</w:t>
            </w:r>
          </w:p>
          <w:p w:rsidR="008C1F1D" w:rsidRPr="00A935AA" w:rsidRDefault="008C1F1D" w:rsidP="009C0719">
            <w:pPr>
              <w:keepNext/>
              <w:keepLines/>
              <w:tabs>
                <w:tab w:val="left" w:pos="-1440"/>
                <w:tab w:val="left" w:pos="-720"/>
              </w:tabs>
              <w:rPr>
                <w:sz w:val="20"/>
                <w:szCs w:val="20"/>
              </w:rPr>
            </w:pPr>
          </w:p>
          <w:p w:rsidR="008C1F1D" w:rsidRPr="009C0719" w:rsidRDefault="008C1F1D" w:rsidP="009C0719">
            <w:pPr>
              <w:keepNext/>
              <w:keepLines/>
              <w:tabs>
                <w:tab w:val="left" w:pos="-1440"/>
                <w:tab w:val="left" w:pos="-720"/>
              </w:tabs>
              <w:rPr>
                <w:sz w:val="20"/>
                <w:szCs w:val="20"/>
              </w:rPr>
            </w:pPr>
            <w:r w:rsidRPr="00A935AA">
              <w:rPr>
                <w:sz w:val="20"/>
                <w:szCs w:val="20"/>
              </w:rPr>
              <w:tab/>
            </w:r>
            <w:r w:rsidRPr="009C0719">
              <w:rPr>
                <w:sz w:val="20"/>
                <w:szCs w:val="20"/>
              </w:rPr>
              <w:t>c. (35725)</w:t>
            </w:r>
          </w:p>
          <w:p w:rsidR="008C1F1D" w:rsidRPr="009C0719" w:rsidRDefault="008C1F1D" w:rsidP="009C0719">
            <w:pPr>
              <w:keepNext/>
              <w:keepLines/>
              <w:tabs>
                <w:tab w:val="left" w:pos="-1440"/>
                <w:tab w:val="left" w:pos="-720"/>
              </w:tabs>
              <w:rPr>
                <w:sz w:val="20"/>
                <w:szCs w:val="20"/>
              </w:rPr>
            </w:pPr>
          </w:p>
          <w:p w:rsidR="008C1F1D" w:rsidRPr="009C0719" w:rsidRDefault="008C1F1D" w:rsidP="009C0719">
            <w:pPr>
              <w:keepNext/>
              <w:keepLines/>
              <w:tabs>
                <w:tab w:val="left" w:pos="-1440"/>
                <w:tab w:val="left" w:pos="-720"/>
              </w:tabs>
              <w:rPr>
                <w:b/>
                <w:sz w:val="20"/>
                <w:szCs w:val="20"/>
                <w:lang w:val="fr-CA"/>
              </w:rPr>
            </w:pPr>
            <w:r w:rsidRPr="009C0719">
              <w:rPr>
                <w:b/>
                <w:sz w:val="20"/>
                <w:szCs w:val="20"/>
                <w:lang w:val="fr-CA"/>
              </w:rPr>
              <w:t>Université de Sherbrooke (Qc)</w:t>
            </w:r>
          </w:p>
          <w:p w:rsidR="008C1F1D" w:rsidRPr="009C0719" w:rsidRDefault="008C1F1D" w:rsidP="009C0719">
            <w:pPr>
              <w:keepNext/>
              <w:keepLines/>
              <w:tabs>
                <w:tab w:val="left" w:pos="-1440"/>
                <w:tab w:val="left" w:pos="-720"/>
              </w:tabs>
              <w:rPr>
                <w:sz w:val="20"/>
                <w:szCs w:val="20"/>
                <w:lang w:val="fr-CA"/>
              </w:rPr>
            </w:pPr>
            <w:r w:rsidRPr="009C0719">
              <w:rPr>
                <w:sz w:val="20"/>
                <w:szCs w:val="20"/>
                <w:lang w:val="fr-CA"/>
              </w:rPr>
              <w:tab/>
            </w:r>
            <w:r>
              <w:rPr>
                <w:sz w:val="20"/>
                <w:szCs w:val="20"/>
                <w:lang w:val="fr-CA"/>
              </w:rPr>
              <w:t>Michèle Bédard</w:t>
            </w:r>
          </w:p>
          <w:p w:rsidR="008C1F1D" w:rsidRPr="009C0719" w:rsidRDefault="008C1F1D" w:rsidP="009C0719">
            <w:pPr>
              <w:keepNext/>
              <w:keepLines/>
              <w:tabs>
                <w:tab w:val="left" w:pos="-1440"/>
                <w:tab w:val="left" w:pos="-720"/>
              </w:tabs>
              <w:rPr>
                <w:sz w:val="20"/>
                <w:szCs w:val="20"/>
                <w:lang w:val="fr-CA"/>
              </w:rPr>
            </w:pPr>
            <w:r w:rsidRPr="009C0719">
              <w:rPr>
                <w:sz w:val="20"/>
                <w:szCs w:val="20"/>
                <w:lang w:val="fr-CA"/>
              </w:rPr>
              <w:tab/>
            </w:r>
            <w:r>
              <w:rPr>
                <w:sz w:val="20"/>
                <w:szCs w:val="20"/>
                <w:lang w:val="fr-CA"/>
              </w:rPr>
              <w:t xml:space="preserve">Langlois Kronström Desjardins, </w:t>
            </w:r>
            <w:r>
              <w:rPr>
                <w:sz w:val="20"/>
                <w:szCs w:val="20"/>
                <w:lang w:val="fr-CA"/>
              </w:rPr>
              <w:tab/>
              <w:t>s.e.n.c.r.l.</w:t>
            </w:r>
          </w:p>
          <w:p w:rsidR="008C1F1D" w:rsidRPr="009C0719" w:rsidRDefault="008C1F1D" w:rsidP="009C0719">
            <w:pPr>
              <w:keepNext/>
              <w:keepLines/>
              <w:tabs>
                <w:tab w:val="left" w:pos="-1440"/>
                <w:tab w:val="left" w:pos="-720"/>
              </w:tabs>
              <w:rPr>
                <w:sz w:val="20"/>
                <w:szCs w:val="20"/>
                <w:lang w:val="fr-CA"/>
              </w:rPr>
            </w:pPr>
          </w:p>
          <w:p w:rsidR="008C1F1D" w:rsidRPr="00A935AA" w:rsidRDefault="008C1F1D" w:rsidP="009C0719">
            <w:pPr>
              <w:rPr>
                <w:sz w:val="20"/>
                <w:szCs w:val="20"/>
              </w:rPr>
            </w:pPr>
            <w:r w:rsidRPr="00A935AA">
              <w:rPr>
                <w:sz w:val="20"/>
                <w:szCs w:val="20"/>
              </w:rPr>
              <w:t>DATE</w:t>
            </w:r>
            <w:r>
              <w:rPr>
                <w:sz w:val="20"/>
                <w:szCs w:val="20"/>
              </w:rPr>
              <w:t xml:space="preserve"> DE PRODUCTION </w:t>
            </w:r>
            <w:r w:rsidRPr="00A935AA">
              <w:rPr>
                <w:sz w:val="20"/>
                <w:szCs w:val="20"/>
              </w:rPr>
              <w:t>: 28.0</w:t>
            </w:r>
            <w:r>
              <w:rPr>
                <w:sz w:val="20"/>
                <w:szCs w:val="20"/>
              </w:rPr>
              <w:t>1</w:t>
            </w:r>
            <w:r w:rsidRPr="00A935AA">
              <w:rPr>
                <w:sz w:val="20"/>
                <w:szCs w:val="20"/>
              </w:rPr>
              <w:t>.201</w:t>
            </w:r>
            <w:r>
              <w:rPr>
                <w:sz w:val="20"/>
                <w:szCs w:val="20"/>
              </w:rPr>
              <w:t>4</w:t>
            </w:r>
            <w:r w:rsidR="00EB0F11">
              <w:rPr>
                <w:sz w:val="20"/>
                <w:szCs w:val="20"/>
                <w:lang w:val="fr-CA"/>
              </w:rPr>
              <w:pict>
                <v:rect id="_x0000_i1029" style="width:108pt;height:1pt" o:hrpct="0" o:hralign="center" o:hrstd="t" o:hrnoshade="t" o:hr="t" fillcolor="black [3213]" stroked="f"/>
              </w:pict>
            </w:r>
          </w:p>
        </w:tc>
        <w:tc>
          <w:tcPr>
            <w:tcW w:w="1181" w:type="dxa"/>
            <w:shd w:val="clear" w:color="auto" w:fill="auto"/>
          </w:tcPr>
          <w:p w:rsidR="008C1F1D" w:rsidRPr="00A935AA" w:rsidRDefault="008C1F1D" w:rsidP="00242AEE">
            <w:pPr>
              <w:jc w:val="center"/>
              <w:rPr>
                <w:sz w:val="20"/>
                <w:szCs w:val="20"/>
              </w:rPr>
            </w:pPr>
          </w:p>
          <w:p w:rsidR="008C1F1D" w:rsidRPr="00A935AA" w:rsidRDefault="008C1F1D" w:rsidP="00242AEE">
            <w:pPr>
              <w:jc w:val="center"/>
              <w:rPr>
                <w:sz w:val="20"/>
                <w:szCs w:val="20"/>
              </w:rPr>
            </w:pPr>
          </w:p>
          <w:p w:rsidR="008C1F1D" w:rsidRPr="00A935AA" w:rsidRDefault="008C1F1D" w:rsidP="00242AEE">
            <w:pPr>
              <w:jc w:val="center"/>
              <w:rPr>
                <w:sz w:val="20"/>
                <w:szCs w:val="20"/>
              </w:rPr>
            </w:pPr>
          </w:p>
          <w:p w:rsidR="008C1F1D" w:rsidRPr="00A935AA" w:rsidRDefault="008C1F1D" w:rsidP="00242AEE">
            <w:pPr>
              <w:jc w:val="center"/>
              <w:rPr>
                <w:sz w:val="20"/>
                <w:szCs w:val="20"/>
              </w:rPr>
            </w:pPr>
          </w:p>
          <w:p w:rsidR="008C1F1D" w:rsidRPr="00A935AA" w:rsidRDefault="008C1F1D" w:rsidP="00242AEE">
            <w:pPr>
              <w:jc w:val="center"/>
              <w:rPr>
                <w:sz w:val="20"/>
                <w:szCs w:val="20"/>
              </w:rPr>
            </w:pPr>
          </w:p>
          <w:p w:rsidR="008C1F1D" w:rsidRPr="00A935AA" w:rsidRDefault="008C1F1D" w:rsidP="00242AEE">
            <w:pPr>
              <w:jc w:val="center"/>
              <w:rPr>
                <w:sz w:val="20"/>
                <w:szCs w:val="20"/>
              </w:rPr>
            </w:pPr>
          </w:p>
          <w:p w:rsidR="008C1F1D" w:rsidRPr="00A935AA" w:rsidRDefault="008C1F1D" w:rsidP="00242AEE">
            <w:pPr>
              <w:jc w:val="center"/>
              <w:rPr>
                <w:sz w:val="20"/>
                <w:szCs w:val="20"/>
              </w:rPr>
            </w:pPr>
          </w:p>
          <w:p w:rsidR="008C1F1D" w:rsidRPr="00A935AA" w:rsidRDefault="008C1F1D" w:rsidP="00242AEE">
            <w:pPr>
              <w:jc w:val="center"/>
              <w:rPr>
                <w:sz w:val="20"/>
                <w:szCs w:val="20"/>
              </w:rPr>
            </w:pPr>
          </w:p>
          <w:p w:rsidR="008C1F1D" w:rsidRPr="00A935AA" w:rsidRDefault="008C1F1D" w:rsidP="00242AEE">
            <w:pPr>
              <w:jc w:val="center"/>
              <w:rPr>
                <w:sz w:val="20"/>
                <w:szCs w:val="20"/>
              </w:rPr>
            </w:pPr>
          </w:p>
          <w:p w:rsidR="008C1F1D" w:rsidRPr="00A935AA" w:rsidRDefault="008C1F1D" w:rsidP="00242AEE">
            <w:pPr>
              <w:jc w:val="center"/>
              <w:rPr>
                <w:sz w:val="20"/>
                <w:szCs w:val="20"/>
              </w:rPr>
            </w:pPr>
          </w:p>
          <w:p w:rsidR="008C1F1D" w:rsidRDefault="008C1F1D" w:rsidP="00242AEE">
            <w:pPr>
              <w:jc w:val="center"/>
              <w:rPr>
                <w:sz w:val="20"/>
                <w:szCs w:val="20"/>
              </w:rPr>
            </w:pPr>
          </w:p>
          <w:p w:rsidR="008C1F1D" w:rsidRDefault="008C1F1D" w:rsidP="00242AEE">
            <w:pPr>
              <w:jc w:val="center"/>
              <w:rPr>
                <w:sz w:val="20"/>
                <w:szCs w:val="20"/>
              </w:rPr>
            </w:pPr>
          </w:p>
          <w:p w:rsidR="008C1F1D" w:rsidRPr="00A935AA" w:rsidRDefault="008C1F1D" w:rsidP="00242AEE">
            <w:pPr>
              <w:jc w:val="center"/>
              <w:rPr>
                <w:sz w:val="20"/>
                <w:szCs w:val="20"/>
              </w:rPr>
            </w:pPr>
          </w:p>
        </w:tc>
        <w:tc>
          <w:tcPr>
            <w:tcW w:w="4320" w:type="dxa"/>
            <w:shd w:val="clear" w:color="auto" w:fill="auto"/>
          </w:tcPr>
          <w:p w:rsidR="008C1F1D" w:rsidRPr="00B173AF" w:rsidRDefault="008C1F1D" w:rsidP="009C4053">
            <w:pPr>
              <w:keepNext/>
              <w:keepLines/>
              <w:tabs>
                <w:tab w:val="left" w:pos="-1440"/>
                <w:tab w:val="left" w:pos="-720"/>
              </w:tabs>
              <w:rPr>
                <w:b/>
                <w:sz w:val="20"/>
                <w:szCs w:val="20"/>
                <w:lang w:val="fr-CA"/>
              </w:rPr>
            </w:pPr>
            <w:r w:rsidRPr="00B173AF">
              <w:rPr>
                <w:b/>
                <w:sz w:val="20"/>
                <w:szCs w:val="20"/>
                <w:lang w:val="fr-CA"/>
              </w:rPr>
              <w:t>Giovanni Stante et autre</w:t>
            </w:r>
          </w:p>
          <w:p w:rsidR="008C1F1D" w:rsidRPr="00E508D2" w:rsidRDefault="008C1F1D" w:rsidP="009C4053">
            <w:pPr>
              <w:tabs>
                <w:tab w:val="left" w:pos="-1440"/>
                <w:tab w:val="left" w:pos="-720"/>
              </w:tabs>
              <w:rPr>
                <w:sz w:val="20"/>
                <w:szCs w:val="20"/>
                <w:lang w:val="fr-CA"/>
              </w:rPr>
            </w:pPr>
            <w:r w:rsidRPr="00B173AF">
              <w:rPr>
                <w:sz w:val="20"/>
                <w:szCs w:val="20"/>
                <w:lang w:val="fr-CA"/>
              </w:rPr>
              <w:tab/>
            </w:r>
            <w:r>
              <w:rPr>
                <w:sz w:val="20"/>
                <w:szCs w:val="20"/>
                <w:lang w:val="fr-CA"/>
              </w:rPr>
              <w:t>Mario Coderre</w:t>
            </w:r>
          </w:p>
          <w:p w:rsidR="008C1F1D" w:rsidRPr="00E508D2" w:rsidRDefault="008C1F1D" w:rsidP="009C4053">
            <w:pPr>
              <w:tabs>
                <w:tab w:val="left" w:pos="-1440"/>
                <w:tab w:val="left" w:pos="-720"/>
              </w:tabs>
              <w:rPr>
                <w:sz w:val="20"/>
                <w:szCs w:val="20"/>
                <w:lang w:val="fr-CA"/>
              </w:rPr>
            </w:pPr>
          </w:p>
          <w:p w:rsidR="008C1F1D" w:rsidRPr="00E508D2" w:rsidRDefault="008C1F1D" w:rsidP="009C4053">
            <w:pPr>
              <w:tabs>
                <w:tab w:val="left" w:pos="-1440"/>
                <w:tab w:val="left" w:pos="-720"/>
              </w:tabs>
              <w:rPr>
                <w:sz w:val="20"/>
                <w:szCs w:val="20"/>
                <w:lang w:val="fr-CA"/>
              </w:rPr>
            </w:pPr>
            <w:r w:rsidRPr="00E508D2">
              <w:rPr>
                <w:sz w:val="20"/>
                <w:szCs w:val="20"/>
                <w:lang w:val="fr-CA"/>
              </w:rPr>
              <w:tab/>
            </w:r>
            <w:r>
              <w:rPr>
                <w:sz w:val="20"/>
                <w:szCs w:val="20"/>
                <w:lang w:val="fr-CA"/>
              </w:rPr>
              <w:t>c</w:t>
            </w:r>
            <w:r w:rsidRPr="00E508D2">
              <w:rPr>
                <w:sz w:val="20"/>
                <w:szCs w:val="20"/>
                <w:lang w:val="fr-CA"/>
              </w:rPr>
              <w:t>. (35710)</w:t>
            </w:r>
          </w:p>
          <w:p w:rsidR="008C1F1D" w:rsidRPr="00E508D2" w:rsidRDefault="008C1F1D" w:rsidP="009C4053">
            <w:pPr>
              <w:tabs>
                <w:tab w:val="left" w:pos="-1440"/>
                <w:tab w:val="left" w:pos="-720"/>
              </w:tabs>
              <w:rPr>
                <w:sz w:val="20"/>
                <w:szCs w:val="20"/>
                <w:lang w:val="fr-CA"/>
              </w:rPr>
            </w:pPr>
          </w:p>
          <w:p w:rsidR="008C1F1D" w:rsidRPr="00E508D2" w:rsidRDefault="008C1F1D" w:rsidP="009C4053">
            <w:pPr>
              <w:tabs>
                <w:tab w:val="left" w:pos="-1440"/>
                <w:tab w:val="left" w:pos="-720"/>
              </w:tabs>
              <w:rPr>
                <w:b/>
                <w:sz w:val="20"/>
                <w:szCs w:val="20"/>
                <w:lang w:val="fr-CA"/>
              </w:rPr>
            </w:pPr>
            <w:r w:rsidRPr="00E508D2">
              <w:rPr>
                <w:b/>
                <w:sz w:val="20"/>
                <w:szCs w:val="20"/>
                <w:lang w:val="fr-CA"/>
              </w:rPr>
              <w:t>Claude Simard, ès qualités de Commissaire à la déontologie poli</w:t>
            </w:r>
            <w:r>
              <w:rPr>
                <w:b/>
                <w:sz w:val="20"/>
                <w:szCs w:val="20"/>
                <w:lang w:val="fr-CA"/>
              </w:rPr>
              <w:t xml:space="preserve">cière </w:t>
            </w:r>
            <w:r w:rsidRPr="00E508D2">
              <w:rPr>
                <w:b/>
                <w:sz w:val="20"/>
                <w:szCs w:val="20"/>
                <w:lang w:val="fr-CA"/>
              </w:rPr>
              <w:t>(Qc)</w:t>
            </w:r>
          </w:p>
          <w:p w:rsidR="008C1F1D" w:rsidRPr="00E508D2" w:rsidRDefault="008C1F1D" w:rsidP="009C4053">
            <w:pPr>
              <w:tabs>
                <w:tab w:val="left" w:pos="-1440"/>
                <w:tab w:val="left" w:pos="-720"/>
              </w:tabs>
              <w:rPr>
                <w:sz w:val="20"/>
                <w:szCs w:val="20"/>
                <w:lang w:val="fr-CA"/>
              </w:rPr>
            </w:pPr>
            <w:r w:rsidRPr="00E508D2">
              <w:rPr>
                <w:sz w:val="20"/>
                <w:szCs w:val="20"/>
                <w:lang w:val="fr-CA"/>
              </w:rPr>
              <w:tab/>
            </w:r>
            <w:r>
              <w:rPr>
                <w:sz w:val="20"/>
                <w:szCs w:val="20"/>
                <w:lang w:val="fr-CA"/>
              </w:rPr>
              <w:t>Christiane Mathieu</w:t>
            </w:r>
          </w:p>
          <w:p w:rsidR="008C1F1D" w:rsidRPr="00E508D2" w:rsidRDefault="008C1F1D" w:rsidP="009C4053">
            <w:pPr>
              <w:tabs>
                <w:tab w:val="left" w:pos="-1440"/>
                <w:tab w:val="left" w:pos="-720"/>
              </w:tabs>
              <w:rPr>
                <w:sz w:val="20"/>
                <w:szCs w:val="20"/>
                <w:lang w:val="fr-CA"/>
              </w:rPr>
            </w:pPr>
            <w:r w:rsidRPr="00E508D2">
              <w:rPr>
                <w:sz w:val="20"/>
                <w:szCs w:val="20"/>
                <w:lang w:val="fr-CA"/>
              </w:rPr>
              <w:tab/>
              <w:t>Commissaire à la déontologie policière</w:t>
            </w:r>
          </w:p>
          <w:p w:rsidR="008C1F1D" w:rsidRPr="00E508D2" w:rsidRDefault="008C1F1D" w:rsidP="009C4053">
            <w:pPr>
              <w:tabs>
                <w:tab w:val="left" w:pos="-1440"/>
                <w:tab w:val="left" w:pos="-720"/>
              </w:tabs>
              <w:rPr>
                <w:sz w:val="20"/>
                <w:szCs w:val="20"/>
                <w:lang w:val="fr-CA"/>
              </w:rPr>
            </w:pPr>
          </w:p>
          <w:p w:rsidR="008C1F1D" w:rsidRPr="00A935AA" w:rsidRDefault="008C1F1D" w:rsidP="009C4053">
            <w:pPr>
              <w:rPr>
                <w:sz w:val="20"/>
                <w:szCs w:val="20"/>
              </w:rPr>
            </w:pPr>
            <w:r w:rsidRPr="00E508D2">
              <w:rPr>
                <w:sz w:val="20"/>
                <w:szCs w:val="20"/>
                <w:lang w:val="fr-CA"/>
              </w:rPr>
              <w:t xml:space="preserve">DATE DE PRODUCTION : </w:t>
            </w:r>
            <w:r>
              <w:rPr>
                <w:sz w:val="20"/>
                <w:szCs w:val="20"/>
                <w:lang w:val="fr-CA"/>
              </w:rPr>
              <w:t>31</w:t>
            </w:r>
            <w:r w:rsidRPr="00E508D2">
              <w:rPr>
                <w:sz w:val="20"/>
                <w:szCs w:val="20"/>
                <w:lang w:val="fr-CA"/>
              </w:rPr>
              <w:t>.01.2014</w:t>
            </w:r>
            <w:r w:rsidR="00EB0F11">
              <w:rPr>
                <w:sz w:val="20"/>
                <w:szCs w:val="20"/>
                <w:lang w:val="fr-CA"/>
              </w:rPr>
              <w:pict>
                <v:rect id="_x0000_i1030" style="width:108pt;height:1pt" o:hrpct="0" o:hralign="center" o:hrstd="t" o:hrnoshade="t" o:hr="t" fillcolor="black [3213]" stroked="f"/>
              </w:pict>
            </w:r>
          </w:p>
        </w:tc>
      </w:tr>
      <w:tr w:rsidR="008C1F1D" w:rsidRPr="00EC0FEF" w:rsidTr="003B3977">
        <w:trPr>
          <w:cantSplit/>
        </w:trPr>
        <w:tc>
          <w:tcPr>
            <w:tcW w:w="4320" w:type="dxa"/>
            <w:shd w:val="clear" w:color="auto" w:fill="auto"/>
          </w:tcPr>
          <w:p w:rsidR="008C1F1D" w:rsidRDefault="008C1F1D" w:rsidP="00A51A60">
            <w:pPr>
              <w:rPr>
                <w:b/>
                <w:sz w:val="20"/>
                <w:szCs w:val="20"/>
              </w:rPr>
            </w:pPr>
          </w:p>
          <w:p w:rsidR="008C1F1D" w:rsidRPr="00A935AA" w:rsidRDefault="008C1F1D" w:rsidP="00A51A60">
            <w:pPr>
              <w:rPr>
                <w:b/>
                <w:sz w:val="20"/>
                <w:szCs w:val="20"/>
              </w:rPr>
            </w:pPr>
            <w:r>
              <w:rPr>
                <w:b/>
                <w:sz w:val="20"/>
                <w:szCs w:val="20"/>
              </w:rPr>
              <w:t>Daniel Lewis Allan</w:t>
            </w:r>
          </w:p>
          <w:p w:rsidR="008C1F1D" w:rsidRPr="00A935AA" w:rsidRDefault="008C1F1D" w:rsidP="00A51A60">
            <w:pPr>
              <w:tabs>
                <w:tab w:val="left" w:pos="-1440"/>
                <w:tab w:val="left" w:pos="-720"/>
              </w:tabs>
              <w:rPr>
                <w:sz w:val="20"/>
                <w:szCs w:val="20"/>
              </w:rPr>
            </w:pPr>
            <w:r w:rsidRPr="00A935AA">
              <w:rPr>
                <w:sz w:val="20"/>
                <w:szCs w:val="20"/>
              </w:rPr>
              <w:tab/>
            </w:r>
            <w:r>
              <w:rPr>
                <w:sz w:val="20"/>
                <w:szCs w:val="20"/>
              </w:rPr>
              <w:t>Daniel Lewis Allan</w:t>
            </w:r>
          </w:p>
          <w:p w:rsidR="008C1F1D" w:rsidRPr="00A935AA" w:rsidRDefault="008C1F1D" w:rsidP="00A51A60">
            <w:pPr>
              <w:tabs>
                <w:tab w:val="left" w:pos="-1440"/>
                <w:tab w:val="left" w:pos="-720"/>
              </w:tabs>
              <w:rPr>
                <w:sz w:val="20"/>
                <w:szCs w:val="20"/>
              </w:rPr>
            </w:pPr>
          </w:p>
          <w:p w:rsidR="008C1F1D" w:rsidRPr="00A935AA" w:rsidRDefault="008C1F1D" w:rsidP="00A51A60">
            <w:pPr>
              <w:tabs>
                <w:tab w:val="left" w:pos="-1440"/>
                <w:tab w:val="left" w:pos="-720"/>
              </w:tabs>
              <w:rPr>
                <w:sz w:val="20"/>
                <w:szCs w:val="20"/>
              </w:rPr>
            </w:pPr>
            <w:r w:rsidRPr="00A935AA">
              <w:rPr>
                <w:sz w:val="20"/>
                <w:szCs w:val="20"/>
              </w:rPr>
              <w:tab/>
              <w:t>v. (3</w:t>
            </w:r>
            <w:r>
              <w:rPr>
                <w:sz w:val="20"/>
                <w:szCs w:val="20"/>
              </w:rPr>
              <w:t>5719</w:t>
            </w:r>
            <w:r w:rsidRPr="00A935AA">
              <w:rPr>
                <w:sz w:val="20"/>
                <w:szCs w:val="20"/>
              </w:rPr>
              <w:t>)</w:t>
            </w:r>
          </w:p>
          <w:p w:rsidR="008C1F1D" w:rsidRPr="00A935AA" w:rsidRDefault="008C1F1D" w:rsidP="00A51A60">
            <w:pPr>
              <w:tabs>
                <w:tab w:val="left" w:pos="-1440"/>
                <w:tab w:val="left" w:pos="-720"/>
              </w:tabs>
              <w:rPr>
                <w:sz w:val="20"/>
                <w:szCs w:val="20"/>
              </w:rPr>
            </w:pPr>
          </w:p>
          <w:p w:rsidR="008C1F1D" w:rsidRPr="00A935AA" w:rsidRDefault="008C1F1D" w:rsidP="00A51A60">
            <w:pPr>
              <w:tabs>
                <w:tab w:val="left" w:pos="-1440"/>
                <w:tab w:val="left" w:pos="-720"/>
              </w:tabs>
              <w:rPr>
                <w:b/>
                <w:sz w:val="20"/>
                <w:szCs w:val="20"/>
              </w:rPr>
            </w:pPr>
            <w:r>
              <w:rPr>
                <w:b/>
                <w:sz w:val="20"/>
                <w:szCs w:val="20"/>
              </w:rPr>
              <w:t xml:space="preserve">Regina </w:t>
            </w:r>
            <w:r w:rsidRPr="00A935AA">
              <w:rPr>
                <w:b/>
                <w:sz w:val="20"/>
                <w:szCs w:val="20"/>
              </w:rPr>
              <w:t>(B.C.)</w:t>
            </w:r>
          </w:p>
          <w:p w:rsidR="008C1F1D" w:rsidRPr="00A935AA" w:rsidRDefault="008C1F1D" w:rsidP="00A51A60">
            <w:pPr>
              <w:tabs>
                <w:tab w:val="left" w:pos="-1440"/>
                <w:tab w:val="left" w:pos="-720"/>
              </w:tabs>
              <w:rPr>
                <w:sz w:val="20"/>
                <w:szCs w:val="20"/>
              </w:rPr>
            </w:pPr>
            <w:r w:rsidRPr="00A935AA">
              <w:rPr>
                <w:sz w:val="20"/>
                <w:szCs w:val="20"/>
              </w:rPr>
              <w:tab/>
            </w:r>
            <w:r>
              <w:rPr>
                <w:sz w:val="20"/>
                <w:szCs w:val="20"/>
              </w:rPr>
              <w:t>Mary T. Ainslie, Q.C.</w:t>
            </w:r>
          </w:p>
          <w:p w:rsidR="008C1F1D" w:rsidRPr="00A935AA" w:rsidRDefault="008C1F1D" w:rsidP="00A51A60">
            <w:pPr>
              <w:tabs>
                <w:tab w:val="left" w:pos="-1440"/>
                <w:tab w:val="left" w:pos="-720"/>
              </w:tabs>
              <w:rPr>
                <w:sz w:val="20"/>
                <w:szCs w:val="20"/>
              </w:rPr>
            </w:pPr>
            <w:r w:rsidRPr="00A935AA">
              <w:rPr>
                <w:sz w:val="20"/>
                <w:szCs w:val="20"/>
              </w:rPr>
              <w:tab/>
            </w:r>
            <w:r>
              <w:rPr>
                <w:sz w:val="20"/>
                <w:szCs w:val="20"/>
              </w:rPr>
              <w:t>A.G. of British Columbia</w:t>
            </w:r>
          </w:p>
          <w:p w:rsidR="008C1F1D" w:rsidRPr="00A935AA" w:rsidRDefault="008C1F1D" w:rsidP="00A51A60">
            <w:pPr>
              <w:tabs>
                <w:tab w:val="left" w:pos="-1440"/>
                <w:tab w:val="left" w:pos="-720"/>
              </w:tabs>
              <w:rPr>
                <w:sz w:val="20"/>
                <w:szCs w:val="20"/>
              </w:rPr>
            </w:pPr>
          </w:p>
          <w:p w:rsidR="008C1F1D" w:rsidRPr="00A935AA" w:rsidRDefault="008C1F1D" w:rsidP="00A51A60">
            <w:pPr>
              <w:rPr>
                <w:sz w:val="20"/>
                <w:szCs w:val="20"/>
              </w:rPr>
            </w:pPr>
            <w:r w:rsidRPr="00A935AA">
              <w:rPr>
                <w:sz w:val="20"/>
                <w:szCs w:val="20"/>
              </w:rPr>
              <w:t xml:space="preserve">FILING DATE: </w:t>
            </w:r>
            <w:r>
              <w:rPr>
                <w:sz w:val="20"/>
                <w:szCs w:val="20"/>
              </w:rPr>
              <w:t>31</w:t>
            </w:r>
            <w:r w:rsidRPr="00A935AA">
              <w:rPr>
                <w:sz w:val="20"/>
                <w:szCs w:val="20"/>
              </w:rPr>
              <w:t>.0</w:t>
            </w:r>
            <w:r>
              <w:rPr>
                <w:sz w:val="20"/>
                <w:szCs w:val="20"/>
              </w:rPr>
              <w:t>1</w:t>
            </w:r>
            <w:r w:rsidRPr="00A935AA">
              <w:rPr>
                <w:sz w:val="20"/>
                <w:szCs w:val="20"/>
              </w:rPr>
              <w:t>.201</w:t>
            </w:r>
            <w:r>
              <w:rPr>
                <w:sz w:val="20"/>
                <w:szCs w:val="20"/>
              </w:rPr>
              <w:t>4</w:t>
            </w:r>
          </w:p>
          <w:p w:rsidR="008C1F1D" w:rsidRPr="00A935AA" w:rsidRDefault="00EB0F11" w:rsidP="00A51A60">
            <w:pPr>
              <w:rPr>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8C1F1D" w:rsidRPr="00A935AA" w:rsidRDefault="008C1F1D" w:rsidP="00242AEE">
            <w:pPr>
              <w:jc w:val="center"/>
              <w:rPr>
                <w:sz w:val="20"/>
                <w:szCs w:val="20"/>
              </w:rPr>
            </w:pPr>
          </w:p>
          <w:p w:rsidR="008C1F1D" w:rsidRPr="00A935AA" w:rsidRDefault="008C1F1D" w:rsidP="00242AEE">
            <w:pPr>
              <w:jc w:val="center"/>
              <w:rPr>
                <w:sz w:val="20"/>
                <w:szCs w:val="20"/>
              </w:rPr>
            </w:pPr>
          </w:p>
          <w:p w:rsidR="008C1F1D" w:rsidRPr="00A935AA" w:rsidRDefault="008C1F1D" w:rsidP="00242AEE">
            <w:pPr>
              <w:jc w:val="center"/>
              <w:rPr>
                <w:sz w:val="20"/>
                <w:szCs w:val="20"/>
              </w:rPr>
            </w:pPr>
          </w:p>
          <w:p w:rsidR="008C1F1D" w:rsidRPr="00A935AA" w:rsidRDefault="008C1F1D" w:rsidP="00242AEE">
            <w:pPr>
              <w:jc w:val="center"/>
              <w:rPr>
                <w:sz w:val="20"/>
                <w:szCs w:val="20"/>
              </w:rPr>
            </w:pPr>
          </w:p>
          <w:p w:rsidR="008C1F1D" w:rsidRPr="00A935AA" w:rsidRDefault="008C1F1D" w:rsidP="00242AEE">
            <w:pPr>
              <w:jc w:val="center"/>
              <w:rPr>
                <w:sz w:val="20"/>
                <w:szCs w:val="20"/>
              </w:rPr>
            </w:pPr>
          </w:p>
          <w:p w:rsidR="008C1F1D" w:rsidRPr="00A935AA" w:rsidRDefault="008C1F1D" w:rsidP="00242AEE">
            <w:pPr>
              <w:jc w:val="center"/>
              <w:rPr>
                <w:sz w:val="20"/>
                <w:szCs w:val="20"/>
              </w:rPr>
            </w:pPr>
          </w:p>
          <w:p w:rsidR="008C1F1D" w:rsidRPr="00A935AA" w:rsidRDefault="008C1F1D" w:rsidP="00242AEE">
            <w:pPr>
              <w:jc w:val="center"/>
              <w:rPr>
                <w:sz w:val="20"/>
                <w:szCs w:val="20"/>
              </w:rPr>
            </w:pPr>
          </w:p>
          <w:p w:rsidR="008C1F1D" w:rsidRPr="00A935AA" w:rsidRDefault="008C1F1D" w:rsidP="00242AEE">
            <w:pPr>
              <w:jc w:val="center"/>
              <w:rPr>
                <w:sz w:val="20"/>
                <w:szCs w:val="20"/>
              </w:rPr>
            </w:pPr>
          </w:p>
          <w:p w:rsidR="008C1F1D" w:rsidRPr="00A935AA" w:rsidRDefault="008C1F1D" w:rsidP="00242AEE">
            <w:pPr>
              <w:jc w:val="center"/>
              <w:rPr>
                <w:sz w:val="20"/>
                <w:szCs w:val="20"/>
              </w:rPr>
            </w:pPr>
          </w:p>
          <w:p w:rsidR="008C1F1D" w:rsidRPr="00A935AA" w:rsidRDefault="008C1F1D" w:rsidP="00242AEE">
            <w:pPr>
              <w:jc w:val="center"/>
              <w:rPr>
                <w:sz w:val="20"/>
                <w:szCs w:val="20"/>
              </w:rPr>
            </w:pPr>
          </w:p>
          <w:p w:rsidR="008C1F1D" w:rsidRPr="00A935AA" w:rsidRDefault="008C1F1D" w:rsidP="00242AEE">
            <w:pPr>
              <w:jc w:val="center"/>
              <w:rPr>
                <w:sz w:val="20"/>
                <w:szCs w:val="20"/>
              </w:rPr>
            </w:pPr>
          </w:p>
          <w:p w:rsidR="008C1F1D" w:rsidRDefault="008C1F1D" w:rsidP="00242AEE">
            <w:pPr>
              <w:jc w:val="center"/>
              <w:rPr>
                <w:sz w:val="20"/>
                <w:szCs w:val="20"/>
              </w:rPr>
            </w:pPr>
          </w:p>
          <w:p w:rsidR="008C1F1D" w:rsidRPr="00A935AA" w:rsidRDefault="008C1F1D" w:rsidP="00242AEE">
            <w:pPr>
              <w:jc w:val="center"/>
              <w:rPr>
                <w:sz w:val="20"/>
                <w:szCs w:val="20"/>
              </w:rPr>
            </w:pPr>
          </w:p>
        </w:tc>
        <w:tc>
          <w:tcPr>
            <w:tcW w:w="4320" w:type="dxa"/>
            <w:shd w:val="clear" w:color="auto" w:fill="auto"/>
          </w:tcPr>
          <w:p w:rsidR="008C1F1D" w:rsidRPr="004071E1" w:rsidRDefault="008C1F1D" w:rsidP="00A51A60">
            <w:pPr>
              <w:keepNext/>
              <w:keepLines/>
              <w:tabs>
                <w:tab w:val="left" w:pos="-1440"/>
                <w:tab w:val="left" w:pos="-720"/>
              </w:tabs>
              <w:rPr>
                <w:b/>
                <w:sz w:val="20"/>
                <w:szCs w:val="20"/>
                <w:lang w:val="fr-CA"/>
              </w:rPr>
            </w:pPr>
            <w:r w:rsidRPr="004071E1">
              <w:rPr>
                <w:b/>
                <w:sz w:val="20"/>
                <w:szCs w:val="20"/>
                <w:lang w:val="fr-CA"/>
              </w:rPr>
              <w:t>Lyne Trudeau</w:t>
            </w:r>
          </w:p>
          <w:p w:rsidR="008C1F1D" w:rsidRPr="004071E1" w:rsidRDefault="008C1F1D" w:rsidP="00A51A60">
            <w:pPr>
              <w:keepNext/>
              <w:keepLines/>
              <w:tabs>
                <w:tab w:val="left" w:pos="-1440"/>
                <w:tab w:val="left" w:pos="-720"/>
              </w:tabs>
              <w:rPr>
                <w:sz w:val="20"/>
                <w:szCs w:val="20"/>
                <w:lang w:val="fr-CA"/>
              </w:rPr>
            </w:pPr>
            <w:r w:rsidRPr="004071E1">
              <w:rPr>
                <w:sz w:val="20"/>
                <w:szCs w:val="20"/>
                <w:lang w:val="fr-CA"/>
              </w:rPr>
              <w:tab/>
              <w:t>Jacques Jeansonne</w:t>
            </w:r>
          </w:p>
          <w:p w:rsidR="008C1F1D" w:rsidRPr="004071E1" w:rsidRDefault="008C1F1D" w:rsidP="00A51A60">
            <w:pPr>
              <w:keepNext/>
              <w:keepLines/>
              <w:tabs>
                <w:tab w:val="left" w:pos="-1440"/>
                <w:tab w:val="left" w:pos="-720"/>
              </w:tabs>
              <w:rPr>
                <w:sz w:val="20"/>
                <w:szCs w:val="20"/>
                <w:lang w:val="fr-CA"/>
              </w:rPr>
            </w:pPr>
            <w:r w:rsidRPr="004071E1">
              <w:rPr>
                <w:sz w:val="20"/>
                <w:szCs w:val="20"/>
                <w:lang w:val="fr-CA"/>
              </w:rPr>
              <w:tab/>
              <w:t>Jeansonne Avocats, inc.</w:t>
            </w:r>
          </w:p>
          <w:p w:rsidR="008C1F1D" w:rsidRPr="004071E1" w:rsidRDefault="008C1F1D" w:rsidP="00A51A60">
            <w:pPr>
              <w:keepNext/>
              <w:keepLines/>
              <w:tabs>
                <w:tab w:val="left" w:pos="-1440"/>
                <w:tab w:val="left" w:pos="-720"/>
              </w:tabs>
              <w:rPr>
                <w:sz w:val="20"/>
                <w:szCs w:val="20"/>
                <w:lang w:val="fr-CA"/>
              </w:rPr>
            </w:pPr>
          </w:p>
          <w:p w:rsidR="008C1F1D" w:rsidRPr="004071E1" w:rsidRDefault="008C1F1D" w:rsidP="00A51A60">
            <w:pPr>
              <w:keepNext/>
              <w:keepLines/>
              <w:tabs>
                <w:tab w:val="left" w:pos="-1440"/>
                <w:tab w:val="left" w:pos="-720"/>
              </w:tabs>
              <w:rPr>
                <w:sz w:val="20"/>
                <w:szCs w:val="20"/>
                <w:lang w:val="fr-CA"/>
              </w:rPr>
            </w:pPr>
            <w:r w:rsidRPr="004071E1">
              <w:rPr>
                <w:sz w:val="20"/>
                <w:szCs w:val="20"/>
                <w:lang w:val="fr-CA"/>
              </w:rPr>
              <w:tab/>
            </w:r>
            <w:r>
              <w:rPr>
                <w:sz w:val="20"/>
                <w:szCs w:val="20"/>
                <w:lang w:val="fr-CA"/>
              </w:rPr>
              <w:t>c</w:t>
            </w:r>
            <w:r w:rsidRPr="004071E1">
              <w:rPr>
                <w:sz w:val="20"/>
                <w:szCs w:val="20"/>
                <w:lang w:val="fr-CA"/>
              </w:rPr>
              <w:t>. (35713)</w:t>
            </w:r>
          </w:p>
          <w:p w:rsidR="008C1F1D" w:rsidRPr="004071E1" w:rsidRDefault="008C1F1D" w:rsidP="00A51A60">
            <w:pPr>
              <w:keepNext/>
              <w:keepLines/>
              <w:tabs>
                <w:tab w:val="left" w:pos="-1440"/>
                <w:tab w:val="left" w:pos="-720"/>
              </w:tabs>
              <w:rPr>
                <w:sz w:val="20"/>
                <w:szCs w:val="20"/>
                <w:lang w:val="fr-CA"/>
              </w:rPr>
            </w:pPr>
          </w:p>
          <w:p w:rsidR="008C1F1D" w:rsidRPr="004071E1" w:rsidRDefault="008C1F1D" w:rsidP="00A51A60">
            <w:pPr>
              <w:keepNext/>
              <w:keepLines/>
              <w:tabs>
                <w:tab w:val="left" w:pos="-1440"/>
                <w:tab w:val="left" w:pos="-720"/>
              </w:tabs>
              <w:rPr>
                <w:b/>
                <w:sz w:val="20"/>
                <w:szCs w:val="20"/>
                <w:lang w:val="fr-CA"/>
              </w:rPr>
            </w:pPr>
            <w:r w:rsidRPr="004071E1">
              <w:rPr>
                <w:b/>
                <w:sz w:val="20"/>
                <w:szCs w:val="20"/>
                <w:lang w:val="fr-CA"/>
              </w:rPr>
              <w:t>Fraternité des policiers et policières de Montréal (Qc)</w:t>
            </w:r>
          </w:p>
          <w:p w:rsidR="008C1F1D" w:rsidRPr="004071E1" w:rsidRDefault="008C1F1D" w:rsidP="00A51A60">
            <w:pPr>
              <w:keepNext/>
              <w:keepLines/>
              <w:tabs>
                <w:tab w:val="left" w:pos="-1440"/>
                <w:tab w:val="left" w:pos="-720"/>
              </w:tabs>
              <w:rPr>
                <w:sz w:val="20"/>
                <w:szCs w:val="20"/>
                <w:lang w:val="fr-CA"/>
              </w:rPr>
            </w:pPr>
            <w:r w:rsidRPr="004071E1">
              <w:rPr>
                <w:sz w:val="20"/>
                <w:szCs w:val="20"/>
                <w:lang w:val="fr-CA"/>
              </w:rPr>
              <w:tab/>
            </w:r>
            <w:r>
              <w:rPr>
                <w:sz w:val="20"/>
                <w:szCs w:val="20"/>
                <w:lang w:val="fr-CA"/>
              </w:rPr>
              <w:t>Jacques Rossignol</w:t>
            </w:r>
          </w:p>
          <w:p w:rsidR="008C1F1D" w:rsidRPr="004071E1" w:rsidRDefault="008C1F1D" w:rsidP="00A51A60">
            <w:pPr>
              <w:keepNext/>
              <w:keepLines/>
              <w:tabs>
                <w:tab w:val="left" w:pos="-1440"/>
                <w:tab w:val="left" w:pos="-720"/>
              </w:tabs>
              <w:rPr>
                <w:sz w:val="20"/>
                <w:szCs w:val="20"/>
                <w:lang w:val="fr-CA"/>
              </w:rPr>
            </w:pPr>
            <w:r w:rsidRPr="004071E1">
              <w:rPr>
                <w:sz w:val="20"/>
                <w:szCs w:val="20"/>
                <w:lang w:val="fr-CA"/>
              </w:rPr>
              <w:tab/>
            </w:r>
            <w:r>
              <w:rPr>
                <w:sz w:val="20"/>
                <w:szCs w:val="20"/>
                <w:lang w:val="fr-CA"/>
              </w:rPr>
              <w:t>Lapointe Rosenstein Marchand Mélançon</w:t>
            </w:r>
          </w:p>
          <w:p w:rsidR="008C1F1D" w:rsidRPr="004071E1" w:rsidRDefault="008C1F1D" w:rsidP="00A51A60">
            <w:pPr>
              <w:keepNext/>
              <w:keepLines/>
              <w:tabs>
                <w:tab w:val="left" w:pos="-1440"/>
                <w:tab w:val="left" w:pos="-720"/>
              </w:tabs>
              <w:rPr>
                <w:sz w:val="20"/>
                <w:szCs w:val="20"/>
                <w:lang w:val="fr-CA"/>
              </w:rPr>
            </w:pPr>
          </w:p>
          <w:p w:rsidR="008C1F1D" w:rsidRPr="00EC0FEF" w:rsidRDefault="008C1F1D" w:rsidP="004071E1">
            <w:pPr>
              <w:rPr>
                <w:sz w:val="20"/>
                <w:szCs w:val="20"/>
                <w:lang w:val="fr-CA"/>
              </w:rPr>
            </w:pPr>
            <w:r w:rsidRPr="00E508D2">
              <w:rPr>
                <w:sz w:val="20"/>
                <w:szCs w:val="20"/>
                <w:lang w:val="fr-CA"/>
              </w:rPr>
              <w:t>DATE DE PRODUCTION</w:t>
            </w:r>
            <w:r>
              <w:rPr>
                <w:sz w:val="20"/>
                <w:szCs w:val="20"/>
                <w:lang w:val="fr-CA"/>
              </w:rPr>
              <w:t xml:space="preserve"> </w:t>
            </w:r>
            <w:r w:rsidRPr="00EC0FEF">
              <w:rPr>
                <w:sz w:val="20"/>
                <w:szCs w:val="20"/>
                <w:lang w:val="fr-CA"/>
              </w:rPr>
              <w:t>: 31.01.2014</w:t>
            </w:r>
            <w:r w:rsidR="00EB0F11">
              <w:rPr>
                <w:sz w:val="20"/>
                <w:szCs w:val="20"/>
                <w:lang w:val="fr-CA"/>
              </w:rPr>
              <w:pict>
                <v:rect id="_x0000_i1032" style="width:108pt;height:1pt" o:hrpct="0" o:hralign="center" o:hrstd="t" o:hrnoshade="t" o:hr="t" fillcolor="black [3213]" stroked="f"/>
              </w:pict>
            </w:r>
          </w:p>
        </w:tc>
      </w:tr>
      <w:tr w:rsidR="008C1F1D" w:rsidRPr="00A935AA" w:rsidTr="003B3977">
        <w:trPr>
          <w:cantSplit/>
        </w:trPr>
        <w:tc>
          <w:tcPr>
            <w:tcW w:w="4320" w:type="dxa"/>
            <w:shd w:val="clear" w:color="auto" w:fill="auto"/>
          </w:tcPr>
          <w:p w:rsidR="008C1F1D" w:rsidRPr="004071E1" w:rsidRDefault="008C1F1D" w:rsidP="00A51A60">
            <w:pPr>
              <w:rPr>
                <w:b/>
                <w:sz w:val="20"/>
                <w:szCs w:val="20"/>
                <w:lang w:val="fr-CA"/>
              </w:rPr>
            </w:pPr>
            <w:r w:rsidRPr="004071E1">
              <w:rPr>
                <w:b/>
                <w:sz w:val="20"/>
                <w:szCs w:val="20"/>
                <w:lang w:val="fr-CA"/>
              </w:rPr>
              <w:lastRenderedPageBreak/>
              <w:t>Syndicat des chargées et chargés de cours de l’UQAM (CSN)</w:t>
            </w:r>
          </w:p>
          <w:p w:rsidR="008C1F1D" w:rsidRPr="004071E1" w:rsidRDefault="008C1F1D" w:rsidP="00A51A60">
            <w:pPr>
              <w:tabs>
                <w:tab w:val="left" w:pos="-1440"/>
                <w:tab w:val="left" w:pos="-720"/>
              </w:tabs>
              <w:rPr>
                <w:sz w:val="20"/>
                <w:szCs w:val="20"/>
                <w:lang w:val="fr-CA"/>
              </w:rPr>
            </w:pPr>
            <w:r w:rsidRPr="004071E1">
              <w:rPr>
                <w:sz w:val="20"/>
                <w:szCs w:val="20"/>
                <w:lang w:val="fr-CA"/>
              </w:rPr>
              <w:tab/>
            </w:r>
            <w:r>
              <w:rPr>
                <w:sz w:val="20"/>
                <w:szCs w:val="20"/>
                <w:lang w:val="fr-CA"/>
              </w:rPr>
              <w:t>Isabelle Lanson</w:t>
            </w:r>
          </w:p>
          <w:p w:rsidR="008C1F1D" w:rsidRPr="004071E1" w:rsidRDefault="008C1F1D" w:rsidP="00A51A60">
            <w:pPr>
              <w:tabs>
                <w:tab w:val="left" w:pos="-1440"/>
                <w:tab w:val="left" w:pos="-720"/>
              </w:tabs>
              <w:rPr>
                <w:sz w:val="20"/>
                <w:szCs w:val="20"/>
                <w:lang w:val="fr-CA"/>
              </w:rPr>
            </w:pPr>
            <w:r w:rsidRPr="004071E1">
              <w:rPr>
                <w:sz w:val="20"/>
                <w:szCs w:val="20"/>
                <w:lang w:val="fr-CA"/>
              </w:rPr>
              <w:tab/>
            </w:r>
            <w:r w:rsidR="00C97437">
              <w:rPr>
                <w:sz w:val="20"/>
                <w:szCs w:val="20"/>
                <w:lang w:val="fr-CA"/>
              </w:rPr>
              <w:t xml:space="preserve">Laroche </w:t>
            </w:r>
            <w:r>
              <w:rPr>
                <w:sz w:val="20"/>
                <w:szCs w:val="20"/>
                <w:lang w:val="fr-CA"/>
              </w:rPr>
              <w:t xml:space="preserve">Martin </w:t>
            </w:r>
          </w:p>
          <w:p w:rsidR="008C1F1D" w:rsidRPr="004071E1" w:rsidRDefault="008C1F1D" w:rsidP="00A51A60">
            <w:pPr>
              <w:tabs>
                <w:tab w:val="left" w:pos="-1440"/>
                <w:tab w:val="left" w:pos="-720"/>
              </w:tabs>
              <w:rPr>
                <w:sz w:val="20"/>
                <w:szCs w:val="20"/>
                <w:lang w:val="fr-CA"/>
              </w:rPr>
            </w:pPr>
          </w:p>
          <w:p w:rsidR="008C1F1D" w:rsidRPr="004071E1" w:rsidRDefault="008C1F1D" w:rsidP="00A51A60">
            <w:pPr>
              <w:tabs>
                <w:tab w:val="left" w:pos="-1440"/>
                <w:tab w:val="left" w:pos="-720"/>
              </w:tabs>
              <w:rPr>
                <w:sz w:val="20"/>
                <w:szCs w:val="20"/>
                <w:lang w:val="fr-CA"/>
              </w:rPr>
            </w:pPr>
            <w:r w:rsidRPr="004071E1">
              <w:rPr>
                <w:sz w:val="20"/>
                <w:szCs w:val="20"/>
                <w:lang w:val="fr-CA"/>
              </w:rPr>
              <w:tab/>
            </w:r>
            <w:r>
              <w:rPr>
                <w:sz w:val="20"/>
                <w:szCs w:val="20"/>
                <w:lang w:val="fr-CA"/>
              </w:rPr>
              <w:t>c</w:t>
            </w:r>
            <w:r w:rsidRPr="004071E1">
              <w:rPr>
                <w:sz w:val="20"/>
                <w:szCs w:val="20"/>
                <w:lang w:val="fr-CA"/>
              </w:rPr>
              <w:t>. (35712)</w:t>
            </w:r>
          </w:p>
          <w:p w:rsidR="008C1F1D" w:rsidRPr="004071E1" w:rsidRDefault="008C1F1D" w:rsidP="00A51A60">
            <w:pPr>
              <w:tabs>
                <w:tab w:val="left" w:pos="-1440"/>
                <w:tab w:val="left" w:pos="-720"/>
              </w:tabs>
              <w:rPr>
                <w:sz w:val="20"/>
                <w:szCs w:val="20"/>
                <w:lang w:val="fr-CA"/>
              </w:rPr>
            </w:pPr>
          </w:p>
          <w:p w:rsidR="008C1F1D" w:rsidRPr="00AD651A" w:rsidRDefault="008C1F1D" w:rsidP="00A51A60">
            <w:pPr>
              <w:tabs>
                <w:tab w:val="left" w:pos="-1440"/>
                <w:tab w:val="left" w:pos="-720"/>
              </w:tabs>
              <w:rPr>
                <w:b/>
                <w:sz w:val="20"/>
                <w:szCs w:val="20"/>
                <w:lang w:val="fr-CA"/>
              </w:rPr>
            </w:pPr>
            <w:r w:rsidRPr="00AD651A">
              <w:rPr>
                <w:b/>
                <w:sz w:val="20"/>
                <w:szCs w:val="20"/>
                <w:lang w:val="fr-CA"/>
              </w:rPr>
              <w:t>Claudio Benedetti (Qc)</w:t>
            </w:r>
          </w:p>
          <w:p w:rsidR="008C1F1D" w:rsidRPr="00AD651A" w:rsidRDefault="008C1F1D" w:rsidP="00A51A60">
            <w:pPr>
              <w:tabs>
                <w:tab w:val="left" w:pos="-1440"/>
                <w:tab w:val="left" w:pos="-720"/>
              </w:tabs>
              <w:rPr>
                <w:sz w:val="20"/>
                <w:szCs w:val="20"/>
                <w:lang w:val="fr-CA"/>
              </w:rPr>
            </w:pPr>
            <w:r w:rsidRPr="00AD651A">
              <w:rPr>
                <w:sz w:val="20"/>
                <w:szCs w:val="20"/>
                <w:lang w:val="fr-CA"/>
              </w:rPr>
              <w:tab/>
              <w:t>Michel Jean Girard</w:t>
            </w:r>
          </w:p>
          <w:p w:rsidR="008C1F1D" w:rsidRPr="00AD651A" w:rsidRDefault="008C1F1D" w:rsidP="00A51A60">
            <w:pPr>
              <w:tabs>
                <w:tab w:val="left" w:pos="-1440"/>
                <w:tab w:val="left" w:pos="-720"/>
              </w:tabs>
              <w:rPr>
                <w:sz w:val="20"/>
                <w:szCs w:val="20"/>
                <w:lang w:val="fr-CA"/>
              </w:rPr>
            </w:pPr>
          </w:p>
          <w:p w:rsidR="008C1F1D" w:rsidRPr="00AD651A" w:rsidRDefault="00EC0FEF" w:rsidP="00A51A60">
            <w:pPr>
              <w:rPr>
                <w:sz w:val="20"/>
                <w:szCs w:val="20"/>
                <w:lang w:val="fr-CA"/>
              </w:rPr>
            </w:pPr>
            <w:r w:rsidRPr="00AD651A">
              <w:rPr>
                <w:sz w:val="20"/>
                <w:szCs w:val="20"/>
                <w:lang w:val="fr-CA"/>
              </w:rPr>
              <w:t xml:space="preserve">DATE DE PRODUCTION </w:t>
            </w:r>
            <w:r w:rsidR="008C1F1D" w:rsidRPr="00AD651A">
              <w:rPr>
                <w:sz w:val="20"/>
                <w:szCs w:val="20"/>
                <w:lang w:val="fr-CA"/>
              </w:rPr>
              <w:t>: 03.02.2014</w:t>
            </w:r>
          </w:p>
          <w:p w:rsidR="008C1F1D" w:rsidRPr="00A935AA" w:rsidRDefault="00EB0F11" w:rsidP="00A51A60">
            <w:pPr>
              <w:rPr>
                <w:sz w:val="20"/>
                <w:szCs w:val="20"/>
              </w:rPr>
            </w:pPr>
            <w:r>
              <w:rPr>
                <w:sz w:val="20"/>
                <w:szCs w:val="20"/>
                <w:lang w:val="fr-CA"/>
              </w:rPr>
              <w:pict>
                <v:rect id="_x0000_i1033" style="width:108pt;height:1pt" o:hrpct="0" o:hralign="center" o:hrstd="t" o:hrnoshade="t" o:hr="t" fillcolor="black [3213]" stroked="f"/>
              </w:pict>
            </w:r>
          </w:p>
        </w:tc>
        <w:tc>
          <w:tcPr>
            <w:tcW w:w="1181" w:type="dxa"/>
            <w:shd w:val="clear" w:color="auto" w:fill="auto"/>
          </w:tcPr>
          <w:p w:rsidR="008C1F1D" w:rsidRDefault="008C1F1D" w:rsidP="00242AEE">
            <w:pPr>
              <w:jc w:val="center"/>
              <w:rPr>
                <w:sz w:val="20"/>
                <w:szCs w:val="20"/>
              </w:rPr>
            </w:pPr>
          </w:p>
          <w:p w:rsidR="008C1F1D" w:rsidRDefault="008C1F1D" w:rsidP="00242AEE">
            <w:pPr>
              <w:jc w:val="center"/>
              <w:rPr>
                <w:sz w:val="20"/>
                <w:szCs w:val="20"/>
              </w:rPr>
            </w:pPr>
          </w:p>
          <w:p w:rsidR="008C1F1D" w:rsidRDefault="008C1F1D" w:rsidP="00242AEE">
            <w:pPr>
              <w:jc w:val="center"/>
              <w:rPr>
                <w:sz w:val="20"/>
                <w:szCs w:val="20"/>
              </w:rPr>
            </w:pPr>
          </w:p>
          <w:p w:rsidR="008C1F1D" w:rsidRDefault="008C1F1D" w:rsidP="00242AEE">
            <w:pPr>
              <w:jc w:val="center"/>
              <w:rPr>
                <w:sz w:val="20"/>
                <w:szCs w:val="20"/>
              </w:rPr>
            </w:pPr>
          </w:p>
          <w:p w:rsidR="008C1F1D" w:rsidRDefault="008C1F1D" w:rsidP="00242AEE">
            <w:pPr>
              <w:jc w:val="center"/>
              <w:rPr>
                <w:sz w:val="20"/>
                <w:szCs w:val="20"/>
              </w:rPr>
            </w:pPr>
          </w:p>
          <w:p w:rsidR="008C1F1D" w:rsidRDefault="008C1F1D" w:rsidP="00242AEE">
            <w:pPr>
              <w:jc w:val="center"/>
              <w:rPr>
                <w:sz w:val="20"/>
                <w:szCs w:val="20"/>
              </w:rPr>
            </w:pPr>
          </w:p>
          <w:p w:rsidR="008C1F1D" w:rsidRDefault="008C1F1D" w:rsidP="00242AEE">
            <w:pPr>
              <w:jc w:val="center"/>
              <w:rPr>
                <w:sz w:val="20"/>
                <w:szCs w:val="20"/>
              </w:rPr>
            </w:pPr>
          </w:p>
          <w:p w:rsidR="008C1F1D" w:rsidRDefault="008C1F1D" w:rsidP="00242AEE">
            <w:pPr>
              <w:jc w:val="center"/>
              <w:rPr>
                <w:sz w:val="20"/>
                <w:szCs w:val="20"/>
              </w:rPr>
            </w:pPr>
          </w:p>
          <w:p w:rsidR="008C1F1D" w:rsidRDefault="008C1F1D" w:rsidP="00242AEE">
            <w:pPr>
              <w:jc w:val="center"/>
              <w:rPr>
                <w:sz w:val="20"/>
                <w:szCs w:val="20"/>
              </w:rPr>
            </w:pPr>
          </w:p>
          <w:p w:rsidR="008C1F1D" w:rsidRDefault="008C1F1D" w:rsidP="00242AEE">
            <w:pPr>
              <w:jc w:val="center"/>
              <w:rPr>
                <w:sz w:val="20"/>
                <w:szCs w:val="20"/>
              </w:rPr>
            </w:pPr>
          </w:p>
          <w:p w:rsidR="008C1F1D" w:rsidRDefault="008C1F1D" w:rsidP="00242AEE">
            <w:pPr>
              <w:jc w:val="center"/>
              <w:rPr>
                <w:sz w:val="20"/>
                <w:szCs w:val="20"/>
              </w:rPr>
            </w:pPr>
          </w:p>
          <w:p w:rsidR="008C1F1D" w:rsidRDefault="008C1F1D" w:rsidP="00242AEE">
            <w:pPr>
              <w:jc w:val="center"/>
              <w:rPr>
                <w:sz w:val="20"/>
                <w:szCs w:val="20"/>
              </w:rPr>
            </w:pPr>
          </w:p>
          <w:p w:rsidR="008C1F1D" w:rsidRPr="00A935AA" w:rsidRDefault="008C1F1D" w:rsidP="00242AEE">
            <w:pPr>
              <w:jc w:val="center"/>
              <w:rPr>
                <w:sz w:val="20"/>
                <w:szCs w:val="20"/>
              </w:rPr>
            </w:pPr>
          </w:p>
        </w:tc>
        <w:tc>
          <w:tcPr>
            <w:tcW w:w="4320" w:type="dxa"/>
            <w:shd w:val="clear" w:color="auto" w:fill="auto"/>
          </w:tcPr>
          <w:p w:rsidR="008C1F1D" w:rsidRPr="00A935AA" w:rsidRDefault="008C1F1D" w:rsidP="00A51A60">
            <w:pPr>
              <w:keepNext/>
              <w:keepLines/>
              <w:tabs>
                <w:tab w:val="left" w:pos="-1440"/>
                <w:tab w:val="left" w:pos="-720"/>
              </w:tabs>
              <w:rPr>
                <w:b/>
                <w:sz w:val="20"/>
                <w:szCs w:val="20"/>
              </w:rPr>
            </w:pPr>
            <w:r>
              <w:rPr>
                <w:b/>
                <w:sz w:val="20"/>
                <w:szCs w:val="20"/>
              </w:rPr>
              <w:t>Apotex Inc.</w:t>
            </w:r>
          </w:p>
          <w:p w:rsidR="008C1F1D" w:rsidRPr="00A935AA" w:rsidRDefault="008C1F1D" w:rsidP="00A51A60">
            <w:pPr>
              <w:keepNext/>
              <w:keepLines/>
              <w:tabs>
                <w:tab w:val="left" w:pos="-1440"/>
                <w:tab w:val="left" w:pos="-720"/>
              </w:tabs>
              <w:rPr>
                <w:sz w:val="20"/>
                <w:szCs w:val="20"/>
              </w:rPr>
            </w:pPr>
            <w:r w:rsidRPr="00A935AA">
              <w:rPr>
                <w:sz w:val="20"/>
                <w:szCs w:val="20"/>
              </w:rPr>
              <w:tab/>
            </w:r>
            <w:r>
              <w:rPr>
                <w:sz w:val="20"/>
                <w:szCs w:val="20"/>
              </w:rPr>
              <w:t>Andrew R. Brodkin</w:t>
            </w:r>
          </w:p>
          <w:p w:rsidR="008C1F1D" w:rsidRPr="00A935AA" w:rsidRDefault="008C1F1D" w:rsidP="00A51A60">
            <w:pPr>
              <w:keepNext/>
              <w:keepLines/>
              <w:tabs>
                <w:tab w:val="left" w:pos="-1440"/>
                <w:tab w:val="left" w:pos="-720"/>
              </w:tabs>
              <w:rPr>
                <w:sz w:val="20"/>
                <w:szCs w:val="20"/>
              </w:rPr>
            </w:pPr>
            <w:r w:rsidRPr="00A935AA">
              <w:rPr>
                <w:sz w:val="20"/>
                <w:szCs w:val="20"/>
              </w:rPr>
              <w:tab/>
            </w:r>
            <w:r>
              <w:rPr>
                <w:sz w:val="20"/>
                <w:szCs w:val="20"/>
              </w:rPr>
              <w:t>Goodmans LLP</w:t>
            </w:r>
          </w:p>
          <w:p w:rsidR="008C1F1D" w:rsidRPr="00A935AA" w:rsidRDefault="008C1F1D" w:rsidP="00A51A60">
            <w:pPr>
              <w:keepNext/>
              <w:keepLines/>
              <w:tabs>
                <w:tab w:val="left" w:pos="-1440"/>
                <w:tab w:val="left" w:pos="-720"/>
              </w:tabs>
              <w:rPr>
                <w:sz w:val="20"/>
                <w:szCs w:val="20"/>
              </w:rPr>
            </w:pPr>
          </w:p>
          <w:p w:rsidR="008C1F1D" w:rsidRPr="004071E1" w:rsidRDefault="008C1F1D" w:rsidP="00A51A60">
            <w:pPr>
              <w:keepNext/>
              <w:keepLines/>
              <w:tabs>
                <w:tab w:val="left" w:pos="-1440"/>
                <w:tab w:val="left" w:pos="-720"/>
              </w:tabs>
              <w:rPr>
                <w:sz w:val="20"/>
                <w:szCs w:val="20"/>
              </w:rPr>
            </w:pPr>
            <w:r w:rsidRPr="00A935AA">
              <w:rPr>
                <w:sz w:val="20"/>
                <w:szCs w:val="20"/>
              </w:rPr>
              <w:tab/>
            </w:r>
            <w:r w:rsidRPr="004071E1">
              <w:rPr>
                <w:sz w:val="20"/>
                <w:szCs w:val="20"/>
              </w:rPr>
              <w:t>v. (35</w:t>
            </w:r>
            <w:r>
              <w:rPr>
                <w:sz w:val="20"/>
                <w:szCs w:val="20"/>
              </w:rPr>
              <w:t>714</w:t>
            </w:r>
            <w:r w:rsidRPr="004071E1">
              <w:rPr>
                <w:sz w:val="20"/>
                <w:szCs w:val="20"/>
              </w:rPr>
              <w:t>)</w:t>
            </w:r>
          </w:p>
          <w:p w:rsidR="008C1F1D" w:rsidRPr="004071E1" w:rsidRDefault="008C1F1D" w:rsidP="00A51A60">
            <w:pPr>
              <w:keepNext/>
              <w:keepLines/>
              <w:tabs>
                <w:tab w:val="left" w:pos="-1440"/>
                <w:tab w:val="left" w:pos="-720"/>
              </w:tabs>
              <w:rPr>
                <w:sz w:val="20"/>
                <w:szCs w:val="20"/>
              </w:rPr>
            </w:pPr>
          </w:p>
          <w:p w:rsidR="008C1F1D" w:rsidRPr="004071E1" w:rsidRDefault="008C1F1D" w:rsidP="00A51A60">
            <w:pPr>
              <w:keepNext/>
              <w:keepLines/>
              <w:tabs>
                <w:tab w:val="left" w:pos="-1440"/>
                <w:tab w:val="left" w:pos="-720"/>
              </w:tabs>
              <w:rPr>
                <w:b/>
                <w:sz w:val="20"/>
                <w:szCs w:val="20"/>
              </w:rPr>
            </w:pPr>
            <w:r>
              <w:rPr>
                <w:b/>
                <w:sz w:val="20"/>
                <w:szCs w:val="20"/>
              </w:rPr>
              <w:t>Eli Lilly Can</w:t>
            </w:r>
            <w:r w:rsidR="00C97437">
              <w:rPr>
                <w:b/>
                <w:sz w:val="20"/>
                <w:szCs w:val="20"/>
              </w:rPr>
              <w:t>ada Inc.</w:t>
            </w:r>
            <w:r>
              <w:rPr>
                <w:b/>
                <w:sz w:val="20"/>
                <w:szCs w:val="20"/>
              </w:rPr>
              <w:t xml:space="preserve"> </w:t>
            </w:r>
            <w:r w:rsidR="00A638BE">
              <w:rPr>
                <w:b/>
                <w:sz w:val="20"/>
                <w:szCs w:val="20"/>
              </w:rPr>
              <w:t xml:space="preserve">et al. </w:t>
            </w:r>
            <w:r w:rsidRPr="004071E1">
              <w:rPr>
                <w:b/>
                <w:sz w:val="20"/>
                <w:szCs w:val="20"/>
              </w:rPr>
              <w:t>(</w:t>
            </w:r>
            <w:r>
              <w:rPr>
                <w:b/>
                <w:sz w:val="20"/>
                <w:szCs w:val="20"/>
              </w:rPr>
              <w:t>F</w:t>
            </w:r>
            <w:r w:rsidRPr="004071E1">
              <w:rPr>
                <w:b/>
                <w:sz w:val="20"/>
                <w:szCs w:val="20"/>
              </w:rPr>
              <w:t>.</w:t>
            </w:r>
            <w:r>
              <w:rPr>
                <w:b/>
                <w:sz w:val="20"/>
                <w:szCs w:val="20"/>
              </w:rPr>
              <w:t>C.</w:t>
            </w:r>
            <w:r w:rsidRPr="004071E1">
              <w:rPr>
                <w:b/>
                <w:sz w:val="20"/>
                <w:szCs w:val="20"/>
              </w:rPr>
              <w:t>)</w:t>
            </w:r>
          </w:p>
          <w:p w:rsidR="008C1F1D" w:rsidRPr="004071E1" w:rsidRDefault="008C1F1D" w:rsidP="00A51A60">
            <w:pPr>
              <w:keepNext/>
              <w:keepLines/>
              <w:tabs>
                <w:tab w:val="left" w:pos="-1440"/>
                <w:tab w:val="left" w:pos="-720"/>
              </w:tabs>
              <w:rPr>
                <w:sz w:val="20"/>
                <w:szCs w:val="20"/>
              </w:rPr>
            </w:pPr>
            <w:r w:rsidRPr="004071E1">
              <w:rPr>
                <w:sz w:val="20"/>
                <w:szCs w:val="20"/>
              </w:rPr>
              <w:tab/>
            </w:r>
            <w:r>
              <w:rPr>
                <w:sz w:val="20"/>
                <w:szCs w:val="20"/>
              </w:rPr>
              <w:t>Anthony G. Creber</w:t>
            </w:r>
          </w:p>
          <w:p w:rsidR="008C1F1D" w:rsidRPr="004071E1" w:rsidRDefault="008C1F1D" w:rsidP="00A51A60">
            <w:pPr>
              <w:keepNext/>
              <w:keepLines/>
              <w:tabs>
                <w:tab w:val="left" w:pos="-1440"/>
                <w:tab w:val="left" w:pos="-720"/>
              </w:tabs>
              <w:rPr>
                <w:sz w:val="20"/>
                <w:szCs w:val="20"/>
              </w:rPr>
            </w:pPr>
            <w:r w:rsidRPr="004071E1">
              <w:rPr>
                <w:sz w:val="20"/>
                <w:szCs w:val="20"/>
              </w:rPr>
              <w:tab/>
            </w:r>
            <w:r>
              <w:rPr>
                <w:sz w:val="20"/>
                <w:szCs w:val="20"/>
              </w:rPr>
              <w:t>Gowling Lafleur Henderson LLP</w:t>
            </w:r>
          </w:p>
          <w:p w:rsidR="008C1F1D" w:rsidRPr="004071E1" w:rsidRDefault="008C1F1D" w:rsidP="00A51A60">
            <w:pPr>
              <w:keepNext/>
              <w:keepLines/>
              <w:tabs>
                <w:tab w:val="left" w:pos="-1440"/>
                <w:tab w:val="left" w:pos="-720"/>
              </w:tabs>
              <w:rPr>
                <w:sz w:val="20"/>
                <w:szCs w:val="20"/>
              </w:rPr>
            </w:pPr>
          </w:p>
          <w:p w:rsidR="008C1F1D" w:rsidRPr="00A935AA" w:rsidRDefault="008C1F1D" w:rsidP="004071E1">
            <w:pPr>
              <w:rPr>
                <w:sz w:val="20"/>
                <w:szCs w:val="20"/>
              </w:rPr>
            </w:pPr>
            <w:r w:rsidRPr="00A935AA">
              <w:rPr>
                <w:sz w:val="20"/>
                <w:szCs w:val="20"/>
              </w:rPr>
              <w:t xml:space="preserve">FILING DATE: </w:t>
            </w:r>
            <w:r>
              <w:rPr>
                <w:sz w:val="20"/>
                <w:szCs w:val="20"/>
              </w:rPr>
              <w:t>03</w:t>
            </w:r>
            <w:r w:rsidRPr="00A935AA">
              <w:rPr>
                <w:sz w:val="20"/>
                <w:szCs w:val="20"/>
              </w:rPr>
              <w:t>.0</w:t>
            </w:r>
            <w:r>
              <w:rPr>
                <w:sz w:val="20"/>
                <w:szCs w:val="20"/>
              </w:rPr>
              <w:t>2</w:t>
            </w:r>
            <w:r w:rsidRPr="00A935AA">
              <w:rPr>
                <w:sz w:val="20"/>
                <w:szCs w:val="20"/>
              </w:rPr>
              <w:t>.201</w:t>
            </w:r>
            <w:r>
              <w:rPr>
                <w:sz w:val="20"/>
                <w:szCs w:val="20"/>
              </w:rPr>
              <w:t>4</w:t>
            </w:r>
            <w:r w:rsidR="00EB0F11">
              <w:rPr>
                <w:sz w:val="20"/>
                <w:szCs w:val="20"/>
                <w:lang w:val="fr-CA"/>
              </w:rPr>
              <w:pict>
                <v:rect id="_x0000_i1034" style="width:108pt;height:1pt" o:hrpct="0" o:hralign="center" o:hrstd="t" o:hrnoshade="t" o:hr="t" fillcolor="black [3213]" stroked="f"/>
              </w:pict>
            </w:r>
          </w:p>
        </w:tc>
      </w:tr>
      <w:tr w:rsidR="008C1F1D" w:rsidRPr="00A935AA" w:rsidTr="003B3977">
        <w:trPr>
          <w:cantSplit/>
        </w:trPr>
        <w:tc>
          <w:tcPr>
            <w:tcW w:w="4320" w:type="dxa"/>
            <w:shd w:val="clear" w:color="auto" w:fill="auto"/>
          </w:tcPr>
          <w:p w:rsidR="008C1F1D" w:rsidRPr="00A935AA" w:rsidRDefault="008C1F1D" w:rsidP="00A51A60">
            <w:pPr>
              <w:rPr>
                <w:b/>
                <w:sz w:val="20"/>
                <w:szCs w:val="20"/>
              </w:rPr>
            </w:pPr>
            <w:r>
              <w:rPr>
                <w:b/>
                <w:sz w:val="20"/>
                <w:szCs w:val="20"/>
              </w:rPr>
              <w:t>Transalta Corporation</w:t>
            </w:r>
          </w:p>
          <w:p w:rsidR="008C1F1D" w:rsidRPr="00AD651A" w:rsidRDefault="008C1F1D" w:rsidP="00A51A60">
            <w:pPr>
              <w:tabs>
                <w:tab w:val="left" w:pos="-1440"/>
                <w:tab w:val="left" w:pos="-720"/>
              </w:tabs>
              <w:rPr>
                <w:sz w:val="20"/>
                <w:szCs w:val="20"/>
              </w:rPr>
            </w:pPr>
            <w:r w:rsidRPr="00A935AA">
              <w:rPr>
                <w:sz w:val="20"/>
                <w:szCs w:val="20"/>
              </w:rPr>
              <w:tab/>
            </w:r>
            <w:r w:rsidRPr="00AD651A">
              <w:rPr>
                <w:sz w:val="20"/>
                <w:szCs w:val="20"/>
              </w:rPr>
              <w:t>Robert D. McCue</w:t>
            </w:r>
          </w:p>
          <w:p w:rsidR="008C1F1D" w:rsidRPr="00AD651A" w:rsidRDefault="008C1F1D" w:rsidP="00A51A60">
            <w:pPr>
              <w:tabs>
                <w:tab w:val="left" w:pos="-1440"/>
                <w:tab w:val="left" w:pos="-720"/>
              </w:tabs>
              <w:rPr>
                <w:sz w:val="20"/>
                <w:szCs w:val="20"/>
              </w:rPr>
            </w:pPr>
            <w:r w:rsidRPr="00AD651A">
              <w:rPr>
                <w:sz w:val="20"/>
                <w:szCs w:val="20"/>
              </w:rPr>
              <w:tab/>
              <w:t>Bennett Jones LLP</w:t>
            </w:r>
          </w:p>
          <w:p w:rsidR="008C1F1D" w:rsidRPr="00AD651A" w:rsidRDefault="008C1F1D" w:rsidP="00A51A60">
            <w:pPr>
              <w:tabs>
                <w:tab w:val="left" w:pos="-1440"/>
                <w:tab w:val="left" w:pos="-720"/>
              </w:tabs>
              <w:rPr>
                <w:sz w:val="20"/>
                <w:szCs w:val="20"/>
              </w:rPr>
            </w:pPr>
          </w:p>
          <w:p w:rsidR="008C1F1D" w:rsidRPr="00A935AA" w:rsidRDefault="008C1F1D" w:rsidP="00A51A60">
            <w:pPr>
              <w:tabs>
                <w:tab w:val="left" w:pos="-1440"/>
                <w:tab w:val="left" w:pos="-720"/>
              </w:tabs>
              <w:rPr>
                <w:sz w:val="20"/>
                <w:szCs w:val="20"/>
              </w:rPr>
            </w:pPr>
            <w:r w:rsidRPr="00AD651A">
              <w:rPr>
                <w:sz w:val="20"/>
                <w:szCs w:val="20"/>
              </w:rPr>
              <w:tab/>
            </w:r>
            <w:r w:rsidRPr="00A935AA">
              <w:rPr>
                <w:sz w:val="20"/>
                <w:szCs w:val="20"/>
              </w:rPr>
              <w:t>v. (3</w:t>
            </w:r>
            <w:r>
              <w:rPr>
                <w:sz w:val="20"/>
                <w:szCs w:val="20"/>
              </w:rPr>
              <w:t>5717</w:t>
            </w:r>
            <w:r w:rsidRPr="00A935AA">
              <w:rPr>
                <w:sz w:val="20"/>
                <w:szCs w:val="20"/>
              </w:rPr>
              <w:t>)</w:t>
            </w:r>
          </w:p>
          <w:p w:rsidR="008C1F1D" w:rsidRPr="00A935AA" w:rsidRDefault="008C1F1D" w:rsidP="00A51A60">
            <w:pPr>
              <w:tabs>
                <w:tab w:val="left" w:pos="-1440"/>
                <w:tab w:val="left" w:pos="-720"/>
              </w:tabs>
              <w:rPr>
                <w:sz w:val="20"/>
                <w:szCs w:val="20"/>
              </w:rPr>
            </w:pPr>
          </w:p>
          <w:p w:rsidR="008C1F1D" w:rsidRPr="00A935AA" w:rsidRDefault="008C1F1D" w:rsidP="00A51A60">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F</w:t>
            </w:r>
            <w:r w:rsidRPr="00A935AA">
              <w:rPr>
                <w:b/>
                <w:sz w:val="20"/>
                <w:szCs w:val="20"/>
              </w:rPr>
              <w:t>.C.)</w:t>
            </w:r>
          </w:p>
          <w:p w:rsidR="008C1F1D" w:rsidRPr="00A935AA" w:rsidRDefault="008C1F1D" w:rsidP="00A51A60">
            <w:pPr>
              <w:tabs>
                <w:tab w:val="left" w:pos="-1440"/>
                <w:tab w:val="left" w:pos="-720"/>
              </w:tabs>
              <w:rPr>
                <w:sz w:val="20"/>
                <w:szCs w:val="20"/>
              </w:rPr>
            </w:pPr>
            <w:r w:rsidRPr="00A935AA">
              <w:rPr>
                <w:sz w:val="20"/>
                <w:szCs w:val="20"/>
              </w:rPr>
              <w:tab/>
            </w:r>
            <w:r>
              <w:rPr>
                <w:sz w:val="20"/>
                <w:szCs w:val="20"/>
              </w:rPr>
              <w:t>Carla L. Lamash</w:t>
            </w:r>
          </w:p>
          <w:p w:rsidR="008C1F1D" w:rsidRPr="00A935AA" w:rsidRDefault="008C1F1D" w:rsidP="00A51A60">
            <w:pPr>
              <w:tabs>
                <w:tab w:val="left" w:pos="-1440"/>
                <w:tab w:val="left" w:pos="-720"/>
              </w:tabs>
              <w:rPr>
                <w:sz w:val="20"/>
                <w:szCs w:val="20"/>
              </w:rPr>
            </w:pPr>
            <w:r w:rsidRPr="00A935AA">
              <w:rPr>
                <w:sz w:val="20"/>
                <w:szCs w:val="20"/>
              </w:rPr>
              <w:tab/>
            </w:r>
            <w:r>
              <w:rPr>
                <w:sz w:val="20"/>
                <w:szCs w:val="20"/>
              </w:rPr>
              <w:t>A.G. of Canada</w:t>
            </w:r>
          </w:p>
          <w:p w:rsidR="008C1F1D" w:rsidRPr="00A935AA" w:rsidRDefault="008C1F1D" w:rsidP="00A51A60">
            <w:pPr>
              <w:tabs>
                <w:tab w:val="left" w:pos="-1440"/>
                <w:tab w:val="left" w:pos="-720"/>
              </w:tabs>
              <w:rPr>
                <w:sz w:val="20"/>
                <w:szCs w:val="20"/>
              </w:rPr>
            </w:pPr>
          </w:p>
          <w:p w:rsidR="008C1F1D" w:rsidRPr="00A935AA" w:rsidRDefault="008C1F1D" w:rsidP="00A51A60">
            <w:pPr>
              <w:rPr>
                <w:sz w:val="20"/>
                <w:szCs w:val="20"/>
              </w:rPr>
            </w:pPr>
            <w:r w:rsidRPr="00A935AA">
              <w:rPr>
                <w:sz w:val="20"/>
                <w:szCs w:val="20"/>
              </w:rPr>
              <w:t xml:space="preserve">FILING DATE: </w:t>
            </w:r>
            <w:r>
              <w:rPr>
                <w:sz w:val="20"/>
                <w:szCs w:val="20"/>
              </w:rPr>
              <w:t>04</w:t>
            </w:r>
            <w:r w:rsidRPr="00A935AA">
              <w:rPr>
                <w:sz w:val="20"/>
                <w:szCs w:val="20"/>
              </w:rPr>
              <w:t>.0</w:t>
            </w:r>
            <w:r>
              <w:rPr>
                <w:sz w:val="20"/>
                <w:szCs w:val="20"/>
              </w:rPr>
              <w:t>2</w:t>
            </w:r>
            <w:r w:rsidRPr="00A935AA">
              <w:rPr>
                <w:sz w:val="20"/>
                <w:szCs w:val="20"/>
              </w:rPr>
              <w:t>.201</w:t>
            </w:r>
            <w:r>
              <w:rPr>
                <w:sz w:val="20"/>
                <w:szCs w:val="20"/>
              </w:rPr>
              <w:t>4</w:t>
            </w:r>
          </w:p>
          <w:p w:rsidR="008C1F1D" w:rsidRPr="00A935AA" w:rsidRDefault="00EB0F11" w:rsidP="00A51A60">
            <w:pPr>
              <w:rPr>
                <w:sz w:val="20"/>
                <w:szCs w:val="20"/>
              </w:rPr>
            </w:pPr>
            <w:r>
              <w:rPr>
                <w:sz w:val="20"/>
                <w:szCs w:val="20"/>
                <w:lang w:val="fr-CA"/>
              </w:rPr>
              <w:pict>
                <v:rect id="_x0000_i1035" style="width:108pt;height:1pt" o:hrpct="0" o:hralign="center" o:hrstd="t" o:hrnoshade="t" o:hr="t" fillcolor="black [3213]" stroked="f"/>
              </w:pict>
            </w:r>
          </w:p>
        </w:tc>
        <w:tc>
          <w:tcPr>
            <w:tcW w:w="1181" w:type="dxa"/>
            <w:shd w:val="clear" w:color="auto" w:fill="auto"/>
          </w:tcPr>
          <w:p w:rsidR="008C1F1D" w:rsidRDefault="008C1F1D" w:rsidP="00242AEE">
            <w:pPr>
              <w:jc w:val="center"/>
              <w:rPr>
                <w:sz w:val="20"/>
                <w:szCs w:val="20"/>
              </w:rPr>
            </w:pPr>
          </w:p>
          <w:p w:rsidR="008C1F1D" w:rsidRDefault="008C1F1D" w:rsidP="00242AEE">
            <w:pPr>
              <w:jc w:val="center"/>
              <w:rPr>
                <w:sz w:val="20"/>
                <w:szCs w:val="20"/>
              </w:rPr>
            </w:pPr>
          </w:p>
          <w:p w:rsidR="008C1F1D" w:rsidRDefault="008C1F1D" w:rsidP="00242AEE">
            <w:pPr>
              <w:jc w:val="center"/>
              <w:rPr>
                <w:sz w:val="20"/>
                <w:szCs w:val="20"/>
              </w:rPr>
            </w:pPr>
          </w:p>
          <w:p w:rsidR="008C1F1D" w:rsidRDefault="008C1F1D" w:rsidP="00242AEE">
            <w:pPr>
              <w:jc w:val="center"/>
              <w:rPr>
                <w:sz w:val="20"/>
                <w:szCs w:val="20"/>
              </w:rPr>
            </w:pPr>
          </w:p>
          <w:p w:rsidR="008C1F1D" w:rsidRDefault="008C1F1D" w:rsidP="00242AEE">
            <w:pPr>
              <w:jc w:val="center"/>
              <w:rPr>
                <w:sz w:val="20"/>
                <w:szCs w:val="20"/>
              </w:rPr>
            </w:pPr>
          </w:p>
          <w:p w:rsidR="008C1F1D" w:rsidRDefault="008C1F1D" w:rsidP="00242AEE">
            <w:pPr>
              <w:jc w:val="center"/>
              <w:rPr>
                <w:sz w:val="20"/>
                <w:szCs w:val="20"/>
              </w:rPr>
            </w:pPr>
          </w:p>
          <w:p w:rsidR="008C1F1D" w:rsidRDefault="008C1F1D" w:rsidP="00242AEE">
            <w:pPr>
              <w:jc w:val="center"/>
              <w:rPr>
                <w:sz w:val="20"/>
                <w:szCs w:val="20"/>
              </w:rPr>
            </w:pPr>
          </w:p>
          <w:p w:rsidR="008C1F1D" w:rsidRDefault="008C1F1D" w:rsidP="00242AEE">
            <w:pPr>
              <w:jc w:val="center"/>
              <w:rPr>
                <w:sz w:val="20"/>
                <w:szCs w:val="20"/>
              </w:rPr>
            </w:pPr>
          </w:p>
          <w:p w:rsidR="008C1F1D" w:rsidRDefault="008C1F1D" w:rsidP="00242AEE">
            <w:pPr>
              <w:jc w:val="center"/>
              <w:rPr>
                <w:sz w:val="20"/>
                <w:szCs w:val="20"/>
              </w:rPr>
            </w:pPr>
          </w:p>
          <w:p w:rsidR="008C1F1D" w:rsidRDefault="008C1F1D" w:rsidP="00242AEE">
            <w:pPr>
              <w:jc w:val="center"/>
              <w:rPr>
                <w:sz w:val="20"/>
                <w:szCs w:val="20"/>
              </w:rPr>
            </w:pPr>
          </w:p>
          <w:p w:rsidR="008C1F1D" w:rsidRDefault="008C1F1D" w:rsidP="00242AEE">
            <w:pPr>
              <w:jc w:val="center"/>
              <w:rPr>
                <w:sz w:val="20"/>
                <w:szCs w:val="20"/>
              </w:rPr>
            </w:pPr>
          </w:p>
          <w:p w:rsidR="008C1F1D" w:rsidRPr="00A935AA" w:rsidRDefault="008C1F1D" w:rsidP="00242AEE">
            <w:pPr>
              <w:jc w:val="center"/>
              <w:rPr>
                <w:sz w:val="20"/>
                <w:szCs w:val="20"/>
              </w:rPr>
            </w:pPr>
          </w:p>
        </w:tc>
        <w:tc>
          <w:tcPr>
            <w:tcW w:w="4320" w:type="dxa"/>
            <w:shd w:val="clear" w:color="auto" w:fill="auto"/>
          </w:tcPr>
          <w:p w:rsidR="008C1F1D" w:rsidRPr="00A935AA" w:rsidRDefault="008C1F1D" w:rsidP="00A51A60">
            <w:pPr>
              <w:rPr>
                <w:sz w:val="20"/>
                <w:szCs w:val="20"/>
              </w:rPr>
            </w:pP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2E3DAD">
          <w:headerReference w:type="default" r:id="rId16"/>
          <w:footerReference w:type="default" r:id="rId17"/>
          <w:headerReference w:type="first" r:id="rId18"/>
          <w:footerReference w:type="first" r:id="rId19"/>
          <w:pgSz w:w="12240" w:h="15840"/>
          <w:pgMar w:top="720" w:right="965" w:bottom="1080" w:left="1656" w:header="706" w:footer="706" w:gutter="0"/>
          <w:pgNumType w:start="305"/>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EB0F11"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927A38" w:rsidP="004B7F60">
      <w:pPr>
        <w:widowControl w:val="0"/>
        <w:rPr>
          <w:b/>
          <w:sz w:val="20"/>
          <w:szCs w:val="20"/>
        </w:rPr>
      </w:pPr>
      <w:r>
        <w:rPr>
          <w:b/>
          <w:sz w:val="20"/>
          <w:szCs w:val="20"/>
        </w:rPr>
        <w:t>F</w:t>
      </w:r>
      <w:r w:rsidR="00DE349D">
        <w:rPr>
          <w:b/>
          <w:sz w:val="20"/>
          <w:szCs w:val="20"/>
        </w:rPr>
        <w:t>EBR</w:t>
      </w:r>
      <w:r>
        <w:rPr>
          <w:b/>
          <w:sz w:val="20"/>
          <w:szCs w:val="20"/>
        </w:rPr>
        <w:t>UARY</w:t>
      </w:r>
      <w:r w:rsidR="00F761A3">
        <w:rPr>
          <w:b/>
          <w:sz w:val="20"/>
          <w:szCs w:val="20"/>
        </w:rPr>
        <w:t xml:space="preserve"> </w:t>
      </w:r>
      <w:r>
        <w:rPr>
          <w:b/>
          <w:sz w:val="20"/>
          <w:szCs w:val="20"/>
        </w:rPr>
        <w:t>17</w:t>
      </w:r>
      <w:r w:rsidR="004B7F60" w:rsidRPr="00C50A5C">
        <w:rPr>
          <w:b/>
          <w:sz w:val="20"/>
          <w:szCs w:val="20"/>
        </w:rPr>
        <w:t>, 201</w:t>
      </w:r>
      <w:r>
        <w:rPr>
          <w:b/>
          <w:sz w:val="20"/>
          <w:szCs w:val="20"/>
        </w:rPr>
        <w:t>4</w:t>
      </w:r>
      <w:r w:rsidR="004B7F60" w:rsidRPr="00C50A5C">
        <w:rPr>
          <w:b/>
          <w:sz w:val="20"/>
          <w:szCs w:val="20"/>
        </w:rPr>
        <w:t xml:space="preserve"> / LE </w:t>
      </w:r>
      <w:r>
        <w:rPr>
          <w:b/>
          <w:sz w:val="20"/>
          <w:szCs w:val="20"/>
        </w:rPr>
        <w:t>17</w:t>
      </w:r>
      <w:r w:rsidR="004B7F60">
        <w:rPr>
          <w:b/>
          <w:sz w:val="20"/>
          <w:szCs w:val="20"/>
        </w:rPr>
        <w:t xml:space="preserve"> </w:t>
      </w:r>
      <w:r>
        <w:rPr>
          <w:b/>
          <w:sz w:val="20"/>
          <w:szCs w:val="20"/>
        </w:rPr>
        <w:t>FÉV</w:t>
      </w:r>
      <w:r w:rsidR="004B7F60">
        <w:rPr>
          <w:b/>
          <w:sz w:val="20"/>
          <w:szCs w:val="20"/>
        </w:rPr>
        <w:t>R</w:t>
      </w:r>
      <w:r>
        <w:rPr>
          <w:b/>
          <w:sz w:val="20"/>
          <w:szCs w:val="20"/>
        </w:rPr>
        <w:t>I</w:t>
      </w:r>
      <w:r w:rsidR="00DE349D">
        <w:rPr>
          <w:b/>
          <w:sz w:val="20"/>
          <w:szCs w:val="20"/>
        </w:rPr>
        <w:t>E</w:t>
      </w:r>
      <w:r>
        <w:rPr>
          <w:b/>
          <w:sz w:val="20"/>
          <w:szCs w:val="20"/>
        </w:rPr>
        <w:t>R</w:t>
      </w:r>
      <w:r w:rsidR="004B7F60" w:rsidRPr="00C50A5C">
        <w:rPr>
          <w:b/>
          <w:sz w:val="20"/>
          <w:szCs w:val="20"/>
        </w:rPr>
        <w:t xml:space="preserve"> 201</w:t>
      </w:r>
      <w:r>
        <w:rPr>
          <w:b/>
          <w:sz w:val="20"/>
          <w:szCs w:val="20"/>
        </w:rPr>
        <w:t>4</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DE349D">
        <w:rPr>
          <w:b/>
          <w:sz w:val="20"/>
          <w:szCs w:val="20"/>
        </w:rPr>
        <w:t>Cromwell</w:t>
      </w:r>
      <w:r w:rsidRPr="00C50A5C">
        <w:rPr>
          <w:b/>
          <w:sz w:val="20"/>
          <w:szCs w:val="20"/>
        </w:rPr>
        <w:t xml:space="preserve"> and </w:t>
      </w:r>
      <w:r w:rsidR="00DE349D">
        <w:rPr>
          <w:b/>
          <w:sz w:val="20"/>
          <w:szCs w:val="20"/>
        </w:rPr>
        <w:t xml:space="preserve">Wagner </w:t>
      </w:r>
      <w:r w:rsidRPr="00C50A5C">
        <w:rPr>
          <w:b/>
          <w:sz w:val="20"/>
          <w:szCs w:val="20"/>
        </w:rPr>
        <w:t>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DE349D">
        <w:rPr>
          <w:b/>
          <w:sz w:val="20"/>
          <w:szCs w:val="20"/>
          <w:lang w:val="fr-CA"/>
        </w:rPr>
        <w:t>Cromwell</w:t>
      </w:r>
      <w:r w:rsidR="00DE349D" w:rsidRPr="00C50A5C">
        <w:rPr>
          <w:b/>
          <w:sz w:val="20"/>
          <w:szCs w:val="20"/>
          <w:lang w:val="fr-CA"/>
        </w:rPr>
        <w:t xml:space="preserve"> </w:t>
      </w:r>
      <w:r w:rsidRPr="00C50A5C">
        <w:rPr>
          <w:b/>
          <w:sz w:val="20"/>
          <w:szCs w:val="20"/>
          <w:lang w:val="fr-CA"/>
        </w:rPr>
        <w:t xml:space="preserve">et </w:t>
      </w:r>
      <w:r w:rsidR="00DE349D">
        <w:rPr>
          <w:b/>
          <w:sz w:val="20"/>
          <w:szCs w:val="20"/>
          <w:lang w:val="fr-CA"/>
        </w:rPr>
        <w:t>Wagn</w:t>
      </w:r>
      <w:r>
        <w:rPr>
          <w:b/>
          <w:sz w:val="20"/>
          <w:szCs w:val="20"/>
          <w:lang w:val="fr-CA"/>
        </w:rPr>
        <w:t>e</w:t>
      </w:r>
      <w:r w:rsidR="00DE349D">
        <w:rPr>
          <w:b/>
          <w:sz w:val="20"/>
          <w:szCs w:val="20"/>
          <w:lang w:val="fr-CA"/>
        </w:rPr>
        <w:t>r</w:t>
      </w:r>
    </w:p>
    <w:p w:rsidR="004B7F60" w:rsidRPr="00C50A5C" w:rsidRDefault="004B7F60" w:rsidP="004B7F60">
      <w:pPr>
        <w:widowControl w:val="0"/>
        <w:rPr>
          <w:sz w:val="20"/>
          <w:szCs w:val="20"/>
          <w:lang w:val="fr-CA"/>
        </w:rPr>
      </w:pPr>
    </w:p>
    <w:p w:rsidR="004B7F60" w:rsidRPr="00C50A5C" w:rsidRDefault="00080695" w:rsidP="004B7F60">
      <w:pPr>
        <w:pStyle w:val="ListParagraph"/>
        <w:widowControl w:val="0"/>
        <w:numPr>
          <w:ilvl w:val="0"/>
          <w:numId w:val="1"/>
        </w:numPr>
        <w:ind w:hanging="720"/>
        <w:jc w:val="both"/>
        <w:rPr>
          <w:sz w:val="20"/>
          <w:szCs w:val="20"/>
        </w:rPr>
      </w:pPr>
      <w:r w:rsidRPr="00080695">
        <w:rPr>
          <w:i/>
          <w:sz w:val="20"/>
          <w:szCs w:val="20"/>
        </w:rPr>
        <w:t>Geoffrey James Gaunt v. Kelley Elizabeth Hawes</w:t>
      </w:r>
      <w:r w:rsidRPr="00080695">
        <w:rPr>
          <w:sz w:val="20"/>
          <w:szCs w:val="20"/>
        </w:rPr>
        <w:t xml:space="preserve"> (N.S.) (Civil) (By Leave)</w:t>
      </w:r>
      <w:r w:rsidRPr="00C50A5C">
        <w:rPr>
          <w:sz w:val="20"/>
          <w:szCs w:val="20"/>
        </w:rPr>
        <w:t xml:space="preserve"> </w:t>
      </w:r>
      <w:r w:rsidR="004B7F60" w:rsidRPr="00C50A5C">
        <w:rPr>
          <w:sz w:val="20"/>
          <w:szCs w:val="20"/>
        </w:rPr>
        <w:t>(3</w:t>
      </w:r>
      <w:r>
        <w:rPr>
          <w:sz w:val="20"/>
          <w:szCs w:val="20"/>
        </w:rPr>
        <w:t>5709</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080695" w:rsidP="004B7F60">
      <w:pPr>
        <w:pStyle w:val="ListParagraph"/>
        <w:widowControl w:val="0"/>
        <w:numPr>
          <w:ilvl w:val="0"/>
          <w:numId w:val="1"/>
        </w:numPr>
        <w:ind w:hanging="720"/>
        <w:jc w:val="both"/>
        <w:rPr>
          <w:sz w:val="20"/>
          <w:szCs w:val="20"/>
        </w:rPr>
      </w:pPr>
      <w:r w:rsidRPr="00080695">
        <w:rPr>
          <w:i/>
          <w:sz w:val="20"/>
          <w:szCs w:val="20"/>
        </w:rPr>
        <w:t>Corbar Holdings Inc. et al. v. The Corporation of the Township of Uxbridge</w:t>
      </w:r>
      <w:r w:rsidRPr="00080695">
        <w:rPr>
          <w:sz w:val="20"/>
          <w:szCs w:val="20"/>
        </w:rPr>
        <w:t xml:space="preserve"> (Ont.) (Civil) (By Leave)</w:t>
      </w:r>
      <w:r w:rsidRPr="00C612D0">
        <w:rPr>
          <w:sz w:val="20"/>
          <w:szCs w:val="20"/>
        </w:rPr>
        <w:t xml:space="preserve"> </w:t>
      </w:r>
      <w:r w:rsidR="004B7F60" w:rsidRPr="00C612D0">
        <w:rPr>
          <w:sz w:val="20"/>
          <w:szCs w:val="20"/>
        </w:rPr>
        <w:t>(3</w:t>
      </w:r>
      <w:r>
        <w:rPr>
          <w:sz w:val="20"/>
          <w:szCs w:val="20"/>
        </w:rPr>
        <w:t>5607</w:t>
      </w:r>
      <w:r w:rsidR="004B7F60" w:rsidRPr="00C612D0">
        <w:rPr>
          <w:sz w:val="20"/>
          <w:szCs w:val="20"/>
        </w:rPr>
        <w:t>)</w:t>
      </w:r>
    </w:p>
    <w:p w:rsidR="004B7F60" w:rsidRDefault="004B7F60" w:rsidP="004B7F60">
      <w:pPr>
        <w:widowControl w:val="0"/>
        <w:jc w:val="both"/>
        <w:rPr>
          <w:sz w:val="20"/>
          <w:szCs w:val="20"/>
        </w:rPr>
      </w:pPr>
    </w:p>
    <w:p w:rsidR="00080695" w:rsidRDefault="00080695" w:rsidP="004B7F60">
      <w:pPr>
        <w:widowControl w:val="0"/>
        <w:jc w:val="both"/>
        <w:rPr>
          <w:sz w:val="20"/>
          <w:szCs w:val="20"/>
        </w:rPr>
      </w:pPr>
    </w:p>
    <w:p w:rsidR="00080695" w:rsidRPr="00C50A5C" w:rsidRDefault="00080695" w:rsidP="00080695">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080695" w:rsidRPr="00C50A5C" w:rsidRDefault="00080695" w:rsidP="00080695">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080695" w:rsidRPr="00C16CB3" w:rsidRDefault="00080695" w:rsidP="00080695">
      <w:pPr>
        <w:widowControl w:val="0"/>
        <w:jc w:val="both"/>
        <w:rPr>
          <w:sz w:val="20"/>
          <w:szCs w:val="20"/>
          <w:lang w:val="fr-CA"/>
        </w:rPr>
      </w:pPr>
    </w:p>
    <w:p w:rsidR="004B7F60" w:rsidRPr="00C50A5C" w:rsidRDefault="00080695" w:rsidP="004B7F60">
      <w:pPr>
        <w:pStyle w:val="ListParagraph"/>
        <w:widowControl w:val="0"/>
        <w:numPr>
          <w:ilvl w:val="0"/>
          <w:numId w:val="1"/>
        </w:numPr>
        <w:ind w:hanging="720"/>
        <w:jc w:val="both"/>
        <w:rPr>
          <w:sz w:val="20"/>
          <w:szCs w:val="20"/>
        </w:rPr>
      </w:pPr>
      <w:r w:rsidRPr="00080695">
        <w:rPr>
          <w:i/>
          <w:sz w:val="20"/>
          <w:szCs w:val="20"/>
        </w:rPr>
        <w:t>Terrence Cecil Robinson v. Attorney General of Canada</w:t>
      </w:r>
      <w:r w:rsidRPr="00080695">
        <w:rPr>
          <w:sz w:val="20"/>
          <w:szCs w:val="20"/>
        </w:rPr>
        <w:t xml:space="preserve"> (F.C.) (Civil) (By Leave)</w:t>
      </w:r>
      <w:r w:rsidRPr="00940CAD">
        <w:rPr>
          <w:sz w:val="20"/>
          <w:szCs w:val="20"/>
        </w:rPr>
        <w:t xml:space="preserve"> </w:t>
      </w:r>
      <w:r w:rsidR="004B7F60" w:rsidRPr="00940CAD">
        <w:rPr>
          <w:sz w:val="20"/>
          <w:szCs w:val="20"/>
        </w:rPr>
        <w:t>(3</w:t>
      </w:r>
      <w:r>
        <w:rPr>
          <w:sz w:val="20"/>
          <w:szCs w:val="20"/>
        </w:rPr>
        <w:t>567</w:t>
      </w:r>
      <w:r w:rsidR="004B7F60" w:rsidRPr="00940CAD">
        <w:rPr>
          <w:sz w:val="20"/>
          <w:szCs w:val="20"/>
        </w:rPr>
        <w:t>3)</w:t>
      </w:r>
    </w:p>
    <w:p w:rsidR="004B7F60" w:rsidRPr="00C50A5C" w:rsidRDefault="004B7F60" w:rsidP="004B7F60">
      <w:pPr>
        <w:widowControl w:val="0"/>
        <w:rPr>
          <w:sz w:val="20"/>
          <w:szCs w:val="20"/>
        </w:rPr>
      </w:pPr>
    </w:p>
    <w:p w:rsidR="004B7F60" w:rsidRPr="00080695" w:rsidRDefault="00080695" w:rsidP="004B7F60">
      <w:pPr>
        <w:pStyle w:val="ListParagraph"/>
        <w:widowControl w:val="0"/>
        <w:numPr>
          <w:ilvl w:val="0"/>
          <w:numId w:val="1"/>
        </w:numPr>
        <w:ind w:hanging="720"/>
        <w:jc w:val="both"/>
        <w:rPr>
          <w:sz w:val="20"/>
          <w:szCs w:val="20"/>
          <w:lang w:val="fr-CA"/>
        </w:rPr>
      </w:pPr>
      <w:r w:rsidRPr="00080695">
        <w:rPr>
          <w:i/>
          <w:sz w:val="20"/>
          <w:szCs w:val="20"/>
          <w:lang w:val="fr-CA"/>
        </w:rPr>
        <w:t>Réjean Hinse c. Procureur Général du Canada</w:t>
      </w:r>
      <w:r w:rsidRPr="00080695">
        <w:rPr>
          <w:sz w:val="20"/>
          <w:szCs w:val="20"/>
          <w:lang w:val="fr-CA"/>
        </w:rPr>
        <w:t xml:space="preserve"> (Qc) (Civile) (Autorisation) </w:t>
      </w:r>
      <w:r w:rsidR="004B7F60" w:rsidRPr="00080695">
        <w:rPr>
          <w:sz w:val="20"/>
          <w:szCs w:val="20"/>
          <w:lang w:val="fr-CA"/>
        </w:rPr>
        <w:t>(3</w:t>
      </w:r>
      <w:r w:rsidRPr="00080695">
        <w:rPr>
          <w:sz w:val="20"/>
          <w:szCs w:val="20"/>
          <w:lang w:val="fr-CA"/>
        </w:rPr>
        <w:t>5</w:t>
      </w:r>
      <w:r w:rsidR="004B7F60" w:rsidRPr="00080695">
        <w:rPr>
          <w:sz w:val="20"/>
          <w:szCs w:val="20"/>
          <w:lang w:val="fr-CA"/>
        </w:rPr>
        <w:t>6</w:t>
      </w:r>
      <w:r w:rsidRPr="00080695">
        <w:rPr>
          <w:sz w:val="20"/>
          <w:szCs w:val="20"/>
          <w:lang w:val="fr-CA"/>
        </w:rPr>
        <w:t>13</w:t>
      </w:r>
      <w:r w:rsidR="004B7F60" w:rsidRPr="00080695">
        <w:rPr>
          <w:sz w:val="20"/>
          <w:szCs w:val="20"/>
          <w:lang w:val="fr-CA"/>
        </w:rPr>
        <w:t>)</w:t>
      </w:r>
    </w:p>
    <w:p w:rsidR="004B7F60" w:rsidRPr="00080695" w:rsidRDefault="004B7F60" w:rsidP="004B7F60">
      <w:pPr>
        <w:widowControl w:val="0"/>
        <w:jc w:val="both"/>
        <w:rPr>
          <w:sz w:val="20"/>
          <w:szCs w:val="20"/>
          <w:lang w:val="fr-CA"/>
        </w:rPr>
      </w:pPr>
    </w:p>
    <w:p w:rsidR="004B7F60" w:rsidRPr="00080695" w:rsidRDefault="00080695" w:rsidP="004B7F60">
      <w:pPr>
        <w:pStyle w:val="ListParagraph"/>
        <w:widowControl w:val="0"/>
        <w:numPr>
          <w:ilvl w:val="0"/>
          <w:numId w:val="1"/>
        </w:numPr>
        <w:ind w:hanging="720"/>
        <w:jc w:val="both"/>
        <w:rPr>
          <w:sz w:val="20"/>
          <w:szCs w:val="20"/>
        </w:rPr>
      </w:pPr>
      <w:r w:rsidRPr="00080695">
        <w:rPr>
          <w:i/>
          <w:sz w:val="20"/>
          <w:szCs w:val="20"/>
        </w:rPr>
        <w:t>British Columbia Teachers</w:t>
      </w:r>
      <w:r>
        <w:rPr>
          <w:i/>
          <w:sz w:val="20"/>
          <w:szCs w:val="20"/>
        </w:rPr>
        <w:t>’</w:t>
      </w:r>
      <w:r w:rsidRPr="00080695">
        <w:rPr>
          <w:i/>
          <w:sz w:val="20"/>
          <w:szCs w:val="20"/>
        </w:rPr>
        <w:t xml:space="preserve"> Federation et al. v. British Columbia Public School Employers’ Association et al.</w:t>
      </w:r>
      <w:r w:rsidRPr="00080695">
        <w:rPr>
          <w:sz w:val="20"/>
          <w:szCs w:val="20"/>
        </w:rPr>
        <w:t xml:space="preserve"> (B.C.) (Civil) (By Leave) </w:t>
      </w:r>
      <w:r w:rsidR="004B7F60" w:rsidRPr="00080695">
        <w:rPr>
          <w:sz w:val="20"/>
          <w:szCs w:val="20"/>
        </w:rPr>
        <w:t>(3</w:t>
      </w:r>
      <w:r w:rsidRPr="00080695">
        <w:rPr>
          <w:sz w:val="20"/>
          <w:szCs w:val="20"/>
        </w:rPr>
        <w:t>5</w:t>
      </w:r>
      <w:r w:rsidR="004B7F60" w:rsidRPr="00080695">
        <w:rPr>
          <w:sz w:val="20"/>
          <w:szCs w:val="20"/>
        </w:rPr>
        <w:t>6</w:t>
      </w:r>
      <w:r w:rsidRPr="00080695">
        <w:rPr>
          <w:sz w:val="20"/>
          <w:szCs w:val="20"/>
        </w:rPr>
        <w:t>23</w:t>
      </w:r>
      <w:r w:rsidR="004B7F60" w:rsidRPr="00080695">
        <w:rPr>
          <w:sz w:val="20"/>
          <w:szCs w:val="20"/>
        </w:rPr>
        <w:t>)</w:t>
      </w:r>
    </w:p>
    <w:p w:rsidR="004B7F60" w:rsidRPr="00080695" w:rsidRDefault="004B7F60" w:rsidP="004B7F60">
      <w:pPr>
        <w:widowControl w:val="0"/>
        <w:rPr>
          <w:sz w:val="20"/>
          <w:szCs w:val="20"/>
        </w:rPr>
      </w:pPr>
    </w:p>
    <w:p w:rsidR="00080695" w:rsidRPr="00080695" w:rsidRDefault="00080695" w:rsidP="004B7F60">
      <w:pPr>
        <w:widowControl w:val="0"/>
        <w:rPr>
          <w:sz w:val="20"/>
          <w:szCs w:val="20"/>
        </w:rPr>
      </w:pPr>
    </w:p>
    <w:p w:rsidR="00080695" w:rsidRPr="00C50A5C" w:rsidRDefault="00080695" w:rsidP="00080695">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080695" w:rsidRPr="00C50A5C" w:rsidRDefault="00080695" w:rsidP="00080695">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080695" w:rsidRPr="00C612D0" w:rsidRDefault="00080695" w:rsidP="004B7F60">
      <w:pPr>
        <w:widowControl w:val="0"/>
        <w:rPr>
          <w:sz w:val="20"/>
          <w:szCs w:val="20"/>
          <w:lang w:val="fr-CA"/>
        </w:rPr>
      </w:pPr>
    </w:p>
    <w:p w:rsidR="004B7F60" w:rsidRPr="00080695" w:rsidRDefault="00080695" w:rsidP="004B7F60">
      <w:pPr>
        <w:pStyle w:val="ListParagraph"/>
        <w:widowControl w:val="0"/>
        <w:numPr>
          <w:ilvl w:val="0"/>
          <w:numId w:val="1"/>
        </w:numPr>
        <w:ind w:hanging="720"/>
        <w:jc w:val="both"/>
        <w:rPr>
          <w:sz w:val="20"/>
          <w:szCs w:val="20"/>
        </w:rPr>
      </w:pPr>
      <w:r w:rsidRPr="00080695">
        <w:rPr>
          <w:i/>
          <w:sz w:val="20"/>
          <w:szCs w:val="20"/>
        </w:rPr>
        <w:t>Vijay Arora et al. v. Whirlpool Canada LP et al.</w:t>
      </w:r>
      <w:r w:rsidRPr="00080695">
        <w:rPr>
          <w:sz w:val="20"/>
          <w:szCs w:val="20"/>
        </w:rPr>
        <w:t xml:space="preserve"> (Ont.) (Civil) (By Leave) </w:t>
      </w:r>
      <w:r w:rsidR="004B7F60" w:rsidRPr="00080695">
        <w:rPr>
          <w:sz w:val="20"/>
          <w:szCs w:val="20"/>
        </w:rPr>
        <w:t>(35</w:t>
      </w:r>
      <w:r w:rsidRPr="00080695">
        <w:rPr>
          <w:sz w:val="20"/>
          <w:szCs w:val="20"/>
        </w:rPr>
        <w:t>661</w:t>
      </w:r>
      <w:r w:rsidR="004B7F60" w:rsidRPr="00080695">
        <w:rPr>
          <w:sz w:val="20"/>
          <w:szCs w:val="20"/>
        </w:rPr>
        <w:t>)</w:t>
      </w:r>
    </w:p>
    <w:p w:rsidR="004B7F60" w:rsidRPr="00080695" w:rsidRDefault="004B7F60" w:rsidP="004B7F60">
      <w:pPr>
        <w:widowControl w:val="0"/>
        <w:jc w:val="both"/>
        <w:rPr>
          <w:sz w:val="20"/>
          <w:szCs w:val="20"/>
        </w:rPr>
      </w:pPr>
    </w:p>
    <w:p w:rsidR="004B7F60" w:rsidRPr="00080695" w:rsidRDefault="00080695" w:rsidP="004B7F60">
      <w:pPr>
        <w:pStyle w:val="ListParagraph"/>
        <w:widowControl w:val="0"/>
        <w:numPr>
          <w:ilvl w:val="0"/>
          <w:numId w:val="1"/>
        </w:numPr>
        <w:ind w:hanging="720"/>
        <w:jc w:val="both"/>
        <w:rPr>
          <w:sz w:val="20"/>
          <w:szCs w:val="20"/>
        </w:rPr>
      </w:pPr>
      <w:r w:rsidRPr="00080695">
        <w:rPr>
          <w:i/>
          <w:sz w:val="20"/>
          <w:szCs w:val="20"/>
        </w:rPr>
        <w:t>Vlasta Stubicar v. Her Majesty the Queen in Right of Canada</w:t>
      </w:r>
      <w:r w:rsidRPr="00080695">
        <w:rPr>
          <w:sz w:val="20"/>
          <w:szCs w:val="20"/>
        </w:rPr>
        <w:t xml:space="preserve"> (F.C.) (Civil) (By Leave) </w:t>
      </w:r>
      <w:r w:rsidR="004B7F60" w:rsidRPr="00080695">
        <w:rPr>
          <w:sz w:val="20"/>
          <w:szCs w:val="20"/>
        </w:rPr>
        <w:t>(35</w:t>
      </w:r>
      <w:r w:rsidRPr="00080695">
        <w:rPr>
          <w:sz w:val="20"/>
          <w:szCs w:val="20"/>
        </w:rPr>
        <w:t>670</w:t>
      </w:r>
      <w:r w:rsidR="004B7F60" w:rsidRPr="00080695">
        <w:rPr>
          <w:sz w:val="20"/>
          <w:szCs w:val="20"/>
        </w:rPr>
        <w:t>)</w:t>
      </w:r>
    </w:p>
    <w:p w:rsidR="004B7F60" w:rsidRPr="00080695" w:rsidRDefault="004B7F60" w:rsidP="004B7F60">
      <w:pPr>
        <w:widowControl w:val="0"/>
        <w:jc w:val="both"/>
        <w:rPr>
          <w:sz w:val="20"/>
          <w:szCs w:val="20"/>
        </w:rPr>
      </w:pPr>
    </w:p>
    <w:p w:rsidR="004B7F60" w:rsidRPr="00C50A5C" w:rsidRDefault="00080695" w:rsidP="004B7F60">
      <w:pPr>
        <w:pStyle w:val="ListParagraph"/>
        <w:widowControl w:val="0"/>
        <w:numPr>
          <w:ilvl w:val="0"/>
          <w:numId w:val="1"/>
        </w:numPr>
        <w:ind w:hanging="720"/>
        <w:jc w:val="both"/>
        <w:rPr>
          <w:sz w:val="20"/>
          <w:szCs w:val="20"/>
          <w:lang w:val="fr-CA"/>
        </w:rPr>
      </w:pPr>
      <w:r w:rsidRPr="00080695">
        <w:rPr>
          <w:i/>
          <w:sz w:val="20"/>
          <w:szCs w:val="20"/>
        </w:rPr>
        <w:t>Minister of National Revenue v. Duncan Thompson</w:t>
      </w:r>
      <w:r w:rsidRPr="00080695">
        <w:rPr>
          <w:sz w:val="20"/>
          <w:szCs w:val="20"/>
        </w:rPr>
        <w:t xml:space="preserve"> (F.C.) (Civil) (By Leave)</w:t>
      </w:r>
      <w:r w:rsidRPr="00C50A5C">
        <w:rPr>
          <w:sz w:val="20"/>
          <w:szCs w:val="20"/>
          <w:lang w:val="fr-CA"/>
        </w:rPr>
        <w:t xml:space="preserve"> </w:t>
      </w:r>
      <w:r w:rsidR="004B7F60" w:rsidRPr="00C50A5C">
        <w:rPr>
          <w:sz w:val="20"/>
          <w:szCs w:val="20"/>
          <w:lang w:val="fr-CA"/>
        </w:rPr>
        <w:t>(3</w:t>
      </w:r>
      <w:r>
        <w:rPr>
          <w:sz w:val="20"/>
          <w:szCs w:val="20"/>
          <w:lang w:val="fr-CA"/>
        </w:rPr>
        <w:t>5590</w:t>
      </w:r>
      <w:r w:rsidR="004B7F60" w:rsidRPr="00C50A5C">
        <w:rPr>
          <w:sz w:val="20"/>
          <w:szCs w:val="20"/>
          <w:lang w:val="fr-CA"/>
        </w:rPr>
        <w:t>)</w:t>
      </w:r>
    </w:p>
    <w:p w:rsidR="002E2327" w:rsidRPr="00C50A5C" w:rsidRDefault="002E2327" w:rsidP="002E2327">
      <w:pPr>
        <w:widowControl w:val="0"/>
        <w:rPr>
          <w:sz w:val="20"/>
          <w:szCs w:val="20"/>
          <w:lang w:val="fr-CA"/>
        </w:rPr>
      </w:pPr>
    </w:p>
    <w:p w:rsidR="002E2327" w:rsidRDefault="00EB0F11" w:rsidP="002E2327">
      <w:pPr>
        <w:widowControl w:val="0"/>
        <w:rPr>
          <w:sz w:val="20"/>
          <w:szCs w:val="20"/>
        </w:rPr>
      </w:pPr>
      <w:r>
        <w:rPr>
          <w:sz w:val="20"/>
          <w:szCs w:val="20"/>
        </w:rPr>
        <w:pict>
          <v:rect id="_x0000_i1038" style="width:2in;height:1pt" o:hrpct="0" o:hralign="center" o:hrstd="t" o:hrnoshade="t" o:hr="t" fillcolor="black [3213]" stroked="f"/>
        </w:pict>
      </w: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EB0F11"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927A38" w:rsidP="000E2959">
      <w:pPr>
        <w:rPr>
          <w:b/>
          <w:sz w:val="20"/>
          <w:szCs w:val="20"/>
        </w:rPr>
      </w:pPr>
      <w:r>
        <w:rPr>
          <w:b/>
          <w:sz w:val="20"/>
          <w:szCs w:val="20"/>
        </w:rPr>
        <w:t>FEBRUAR</w:t>
      </w:r>
      <w:r w:rsidR="000E2959">
        <w:rPr>
          <w:b/>
          <w:sz w:val="20"/>
          <w:szCs w:val="20"/>
        </w:rPr>
        <w:t>Y</w:t>
      </w:r>
      <w:r w:rsidR="000E2959" w:rsidRPr="00C50A5C">
        <w:rPr>
          <w:b/>
          <w:sz w:val="20"/>
          <w:szCs w:val="20"/>
        </w:rPr>
        <w:t xml:space="preserve"> 2</w:t>
      </w:r>
      <w:r>
        <w:rPr>
          <w:b/>
          <w:sz w:val="20"/>
          <w:szCs w:val="20"/>
        </w:rPr>
        <w:t>0</w:t>
      </w:r>
      <w:r w:rsidR="000E2959" w:rsidRPr="00C50A5C">
        <w:rPr>
          <w:b/>
          <w:sz w:val="20"/>
          <w:szCs w:val="20"/>
        </w:rPr>
        <w:t>, 201</w:t>
      </w:r>
      <w:r>
        <w:rPr>
          <w:b/>
          <w:sz w:val="20"/>
          <w:szCs w:val="20"/>
        </w:rPr>
        <w:t>4</w:t>
      </w:r>
      <w:r w:rsidR="000E2959" w:rsidRPr="00C50A5C">
        <w:rPr>
          <w:b/>
          <w:sz w:val="20"/>
          <w:szCs w:val="20"/>
        </w:rPr>
        <w:t xml:space="preserve"> / LE 2</w:t>
      </w:r>
      <w:r>
        <w:rPr>
          <w:b/>
          <w:sz w:val="20"/>
          <w:szCs w:val="20"/>
        </w:rPr>
        <w:t>0</w:t>
      </w:r>
      <w:r w:rsidR="000E2959" w:rsidRPr="00C50A5C">
        <w:rPr>
          <w:b/>
          <w:sz w:val="20"/>
          <w:szCs w:val="20"/>
        </w:rPr>
        <w:t xml:space="preserve"> </w:t>
      </w:r>
      <w:r>
        <w:rPr>
          <w:b/>
          <w:sz w:val="20"/>
          <w:szCs w:val="20"/>
        </w:rPr>
        <w:t>FÉVR</w:t>
      </w:r>
      <w:r w:rsidR="000E2959" w:rsidRPr="00C50A5C">
        <w:rPr>
          <w:b/>
          <w:sz w:val="20"/>
          <w:szCs w:val="20"/>
        </w:rPr>
        <w:t>I</w:t>
      </w:r>
      <w:r>
        <w:rPr>
          <w:b/>
          <w:sz w:val="20"/>
          <w:szCs w:val="20"/>
        </w:rPr>
        <w:t>ER</w:t>
      </w:r>
      <w:r w:rsidR="000E2959" w:rsidRPr="00C50A5C">
        <w:rPr>
          <w:b/>
          <w:sz w:val="20"/>
          <w:szCs w:val="20"/>
        </w:rPr>
        <w:t xml:space="preserve"> 201</w:t>
      </w:r>
      <w:r>
        <w:rPr>
          <w:b/>
          <w:sz w:val="20"/>
          <w:szCs w:val="20"/>
        </w:rPr>
        <w:t>4</w:t>
      </w:r>
    </w:p>
    <w:p w:rsidR="000E2959" w:rsidRDefault="000E2959" w:rsidP="000E2959">
      <w:pPr>
        <w:rPr>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46666" w:rsidRPr="00A46666" w:rsidTr="00A46666">
        <w:trPr>
          <w:cantSplit/>
        </w:trPr>
        <w:tc>
          <w:tcPr>
            <w:tcW w:w="1458" w:type="dxa"/>
          </w:tcPr>
          <w:p w:rsidR="00A46666" w:rsidRPr="00A46666" w:rsidRDefault="00A46666" w:rsidP="00A46666">
            <w:pPr>
              <w:rPr>
                <w:sz w:val="20"/>
              </w:rPr>
            </w:pPr>
            <w:r w:rsidRPr="00A46666">
              <w:rPr>
                <w:b/>
                <w:sz w:val="20"/>
                <w:lang w:val="fr-CA"/>
              </w:rPr>
              <w:t>35528</w:t>
            </w:r>
          </w:p>
          <w:p w:rsidR="00A46666" w:rsidRPr="00A46666" w:rsidRDefault="00A46666" w:rsidP="00A46666">
            <w:pPr>
              <w:rPr>
                <w:b/>
                <w:sz w:val="20"/>
                <w:lang w:val="fr-CA"/>
              </w:rPr>
            </w:pPr>
          </w:p>
        </w:tc>
        <w:tc>
          <w:tcPr>
            <w:tcW w:w="8118" w:type="dxa"/>
          </w:tcPr>
          <w:p w:rsidR="00A46666" w:rsidRPr="00A46666" w:rsidRDefault="00A46666" w:rsidP="00A46666">
            <w:pPr>
              <w:jc w:val="both"/>
              <w:rPr>
                <w:sz w:val="20"/>
              </w:rPr>
            </w:pPr>
            <w:r w:rsidRPr="00A46666">
              <w:rPr>
                <w:b/>
                <w:sz w:val="20"/>
                <w:u w:val="single"/>
              </w:rPr>
              <w:t>Norman Gerard Belong v. Her Majesty the Queen in Right of the Attorney General of Canada</w:t>
            </w:r>
            <w:r w:rsidR="001C27C6">
              <w:rPr>
                <w:b/>
                <w:sz w:val="20"/>
                <w:u w:val="single"/>
              </w:rPr>
              <w:t xml:space="preserve"> and</w:t>
            </w:r>
            <w:r w:rsidRPr="00A46666">
              <w:rPr>
                <w:b/>
                <w:sz w:val="20"/>
                <w:u w:val="single"/>
              </w:rPr>
              <w:t xml:space="preserve"> Timothy Quigley</w:t>
            </w:r>
            <w:r w:rsidRPr="00A46666">
              <w:rPr>
                <w:sz w:val="20"/>
              </w:rPr>
              <w:t xml:space="preserve"> (N.B.) (Civil) (By Leave)</w:t>
            </w:r>
          </w:p>
          <w:p w:rsidR="00A46666" w:rsidRPr="00A46666" w:rsidRDefault="00A46666" w:rsidP="00A46666">
            <w:pPr>
              <w:jc w:val="both"/>
              <w:rPr>
                <w:sz w:val="20"/>
              </w:rPr>
            </w:pPr>
          </w:p>
        </w:tc>
      </w:tr>
      <w:tr w:rsidR="00A46666" w:rsidRPr="00A46666" w:rsidTr="00A46666">
        <w:trPr>
          <w:cantSplit/>
        </w:trPr>
        <w:tc>
          <w:tcPr>
            <w:tcW w:w="1458" w:type="dxa"/>
          </w:tcPr>
          <w:p w:rsidR="00A46666" w:rsidRPr="00A46666" w:rsidRDefault="00A46666" w:rsidP="00A46666">
            <w:pPr>
              <w:rPr>
                <w:sz w:val="20"/>
              </w:rPr>
            </w:pPr>
            <w:r w:rsidRPr="00A46666">
              <w:rPr>
                <w:sz w:val="20"/>
              </w:rPr>
              <w:t>Coram :</w:t>
            </w:r>
          </w:p>
        </w:tc>
        <w:tc>
          <w:tcPr>
            <w:tcW w:w="8118" w:type="dxa"/>
          </w:tcPr>
          <w:p w:rsidR="00A46666" w:rsidRPr="00A46666" w:rsidRDefault="00A46666" w:rsidP="00A46666">
            <w:pPr>
              <w:rPr>
                <w:sz w:val="20"/>
              </w:rPr>
            </w:pPr>
            <w:r w:rsidRPr="00A46666">
              <w:rPr>
                <w:sz w:val="20"/>
                <w:u w:val="single"/>
              </w:rPr>
              <w:t>LeBel, Karakatsanis and Wagner JJ.</w:t>
            </w:r>
          </w:p>
          <w:p w:rsidR="00A46666" w:rsidRPr="00A46666" w:rsidRDefault="00A46666" w:rsidP="00A46666">
            <w:pPr>
              <w:rPr>
                <w:sz w:val="20"/>
                <w:u w:val="single"/>
              </w:rPr>
            </w:pPr>
          </w:p>
        </w:tc>
      </w:tr>
      <w:tr w:rsidR="00A46666" w:rsidRPr="00EB0F11" w:rsidTr="00A46666">
        <w:trPr>
          <w:cantSplit/>
        </w:trPr>
        <w:tc>
          <w:tcPr>
            <w:tcW w:w="9576" w:type="dxa"/>
            <w:gridSpan w:val="2"/>
          </w:tcPr>
          <w:p w:rsidR="00A46666" w:rsidRPr="00A46666" w:rsidRDefault="00A46666" w:rsidP="00A46666">
            <w:pPr>
              <w:ind w:firstLine="720"/>
              <w:jc w:val="both"/>
              <w:rPr>
                <w:sz w:val="20"/>
              </w:rPr>
            </w:pPr>
            <w:r w:rsidRPr="00A46666">
              <w:rPr>
                <w:sz w:val="20"/>
              </w:rPr>
              <w:t>The application for leave to appeal from the judgment of the Court of Appeal of New Brunswick, Number 98-12-CA, 2013 NBCA 68, dated June 20, 2013, is dismissed with costs.</w:t>
            </w:r>
          </w:p>
          <w:p w:rsidR="00A46666" w:rsidRPr="00A46666" w:rsidRDefault="00A46666" w:rsidP="00A46666">
            <w:pPr>
              <w:jc w:val="both"/>
              <w:rPr>
                <w:sz w:val="20"/>
              </w:rPr>
            </w:pPr>
          </w:p>
          <w:p w:rsidR="00A46666" w:rsidRPr="00A46666" w:rsidRDefault="00A46666" w:rsidP="00A46666">
            <w:pPr>
              <w:ind w:firstLine="720"/>
              <w:jc w:val="both"/>
              <w:rPr>
                <w:sz w:val="20"/>
                <w:lang w:val="fr-CA"/>
              </w:rPr>
            </w:pPr>
            <w:r w:rsidRPr="00A46666">
              <w:rPr>
                <w:sz w:val="20"/>
                <w:lang w:val="fr-CA"/>
              </w:rPr>
              <w:t>La demande d’autorisation d’appel de l’arrêt de la Cour d’appel du Nouveau-Brunswick, numéro 98-12-CA, 2013 NBCA 68, daté du 20 juin 2013, est rejetée avec dépens.</w:t>
            </w:r>
          </w:p>
        </w:tc>
      </w:tr>
    </w:tbl>
    <w:p w:rsidR="00927A38" w:rsidRPr="00A46666" w:rsidRDefault="00927A38" w:rsidP="00927A38">
      <w:pPr>
        <w:rPr>
          <w:sz w:val="20"/>
          <w:szCs w:val="20"/>
          <w:lang w:val="fr-CA"/>
        </w:rPr>
      </w:pPr>
    </w:p>
    <w:p w:rsidR="00927A38" w:rsidRPr="001B157C" w:rsidRDefault="00927A38" w:rsidP="00927A38">
      <w:pPr>
        <w:rPr>
          <w:sz w:val="20"/>
          <w:szCs w:val="20"/>
          <w:u w:val="single"/>
        </w:rPr>
      </w:pPr>
      <w:r w:rsidRPr="001B157C">
        <w:rPr>
          <w:sz w:val="20"/>
          <w:szCs w:val="20"/>
          <w:u w:val="single"/>
        </w:rPr>
        <w:t>CASE SUMMARY</w:t>
      </w:r>
    </w:p>
    <w:p w:rsidR="00927A38" w:rsidRDefault="00927A38"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E4E02" w:rsidRPr="002832A9" w:rsidTr="001C4AC6">
        <w:tc>
          <w:tcPr>
            <w:tcW w:w="5000" w:type="pct"/>
            <w:gridSpan w:val="3"/>
          </w:tcPr>
          <w:p w:rsidR="00AE4E02" w:rsidRPr="002832A9" w:rsidRDefault="00AE4E02" w:rsidP="001C4AC6">
            <w:pPr>
              <w:jc w:val="both"/>
              <w:rPr>
                <w:rFonts w:eastAsia="Calibri"/>
                <w:sz w:val="20"/>
              </w:rPr>
            </w:pPr>
            <w:r w:rsidRPr="002832A9">
              <w:rPr>
                <w:rFonts w:eastAsia="Calibri"/>
                <w:sz w:val="20"/>
              </w:rPr>
              <w:t>Torts – Intentional torts – Tort of abuse of process – Evidence – In the absence of other evidence, where a person is wrongfully convicted and later acquitted based on the complainant’s recantation, can an employer force re-litigation of the very same charges that the person was acquitted of without creating an abuse of process? – Can a trial judge, in assessing the conduct of a party’s treatment of a person who was wrongfully convicted, ignore the evidence before him and rely on testimony and assessments of credibility from the very hearing in which the person was wrongfully convicted? – When the conduct of an investigating officer is called into question by a recanting complainant, is it the responsibility of the wrongfully convicted to call the officer as a witness?</w:t>
            </w:r>
          </w:p>
        </w:tc>
      </w:tr>
      <w:tr w:rsidR="00AE4E02" w:rsidRPr="002832A9" w:rsidTr="001C4AC6">
        <w:tc>
          <w:tcPr>
            <w:tcW w:w="5000" w:type="pct"/>
            <w:gridSpan w:val="3"/>
          </w:tcPr>
          <w:p w:rsidR="00AE4E02" w:rsidRPr="002832A9" w:rsidRDefault="00AE4E02" w:rsidP="001C4AC6">
            <w:pPr>
              <w:jc w:val="both"/>
              <w:rPr>
                <w:rFonts w:eastAsia="Calibri"/>
                <w:sz w:val="20"/>
              </w:rPr>
            </w:pPr>
          </w:p>
        </w:tc>
      </w:tr>
      <w:tr w:rsidR="00AE4E02" w:rsidRPr="002832A9" w:rsidTr="001C4AC6">
        <w:tc>
          <w:tcPr>
            <w:tcW w:w="5000" w:type="pct"/>
            <w:gridSpan w:val="3"/>
          </w:tcPr>
          <w:p w:rsidR="00AE4E02" w:rsidRPr="002832A9" w:rsidRDefault="00AE4E02" w:rsidP="001C4AC6">
            <w:pPr>
              <w:jc w:val="both"/>
              <w:rPr>
                <w:rFonts w:eastAsia="Calibri"/>
                <w:sz w:val="20"/>
              </w:rPr>
            </w:pPr>
            <w:r w:rsidRPr="002832A9">
              <w:rPr>
                <w:rFonts w:eastAsia="Calibri"/>
                <w:sz w:val="20"/>
              </w:rPr>
              <w:t xml:space="preserve">The applicant is an officer with the R.C.M.P.  In 2000, his spouse, the complainant, complained to his supervisor that he had committed acts of domestic violence against her.  The applicant was charged with offences of uttering a threat, assault causing bodily harm and sexual assault.  The applicant was convicted of all three offences and a 10 month conditional sentence was imposed.  The applicant appealed but discontinued his appeal.  The complainant, who was by that time a constable in the RCMP, swore an affidavit recanting aspects of her testimony as it related to the sexual assault. She did not recant her testimony in relation to the other charges.  As a result, the applicant’s appeal was set.  The Crown did not contest the appeal and subsequently offered no evidence on the charges.  All convictions were quashed and the applicant was acquitted.  Despite the acquittals, the RCMP internal disciplinary proceedings continued.  The applicant commenced a civil action alleging bias, negligent investigation and the tort of abuse of process, amongst others. </w:t>
            </w:r>
          </w:p>
          <w:p w:rsidR="00AE4E02" w:rsidRPr="002832A9" w:rsidRDefault="00AE4E02" w:rsidP="001C4AC6">
            <w:pPr>
              <w:jc w:val="both"/>
              <w:rPr>
                <w:rFonts w:eastAsia="Calibri"/>
                <w:sz w:val="20"/>
              </w:rPr>
            </w:pPr>
          </w:p>
        </w:tc>
      </w:tr>
      <w:tr w:rsidR="00AE4E02" w:rsidRPr="002832A9" w:rsidTr="001C4AC6">
        <w:tc>
          <w:tcPr>
            <w:tcW w:w="2427" w:type="pct"/>
          </w:tcPr>
          <w:p w:rsidR="00AE4E02" w:rsidRPr="002832A9" w:rsidRDefault="00AE4E02" w:rsidP="001C4AC6">
            <w:pPr>
              <w:jc w:val="both"/>
              <w:rPr>
                <w:rFonts w:eastAsia="Calibri"/>
                <w:sz w:val="20"/>
              </w:rPr>
            </w:pPr>
            <w:r w:rsidRPr="002832A9">
              <w:rPr>
                <w:rFonts w:eastAsia="Calibri"/>
                <w:sz w:val="20"/>
              </w:rPr>
              <w:t>July 3, 2012</w:t>
            </w:r>
          </w:p>
          <w:p w:rsidR="00AE4E02" w:rsidRPr="002832A9" w:rsidRDefault="00AE4E02" w:rsidP="001C4AC6">
            <w:pPr>
              <w:jc w:val="both"/>
              <w:rPr>
                <w:rFonts w:eastAsia="Calibri"/>
                <w:sz w:val="20"/>
              </w:rPr>
            </w:pPr>
            <w:r w:rsidRPr="002832A9">
              <w:rPr>
                <w:rFonts w:eastAsia="Calibri"/>
                <w:sz w:val="20"/>
              </w:rPr>
              <w:t>Court of Queen’s Bench of New Brunswick</w:t>
            </w:r>
          </w:p>
          <w:p w:rsidR="00AE4E02" w:rsidRPr="002832A9" w:rsidRDefault="00AE4E02" w:rsidP="001C4AC6">
            <w:pPr>
              <w:jc w:val="both"/>
              <w:rPr>
                <w:rFonts w:eastAsia="Calibri"/>
                <w:sz w:val="20"/>
              </w:rPr>
            </w:pPr>
            <w:r w:rsidRPr="002832A9">
              <w:rPr>
                <w:rFonts w:eastAsia="Calibri"/>
                <w:sz w:val="20"/>
              </w:rPr>
              <w:t>(Dionne J.)</w:t>
            </w:r>
          </w:p>
          <w:p w:rsidR="00AE4E02" w:rsidRPr="002832A9" w:rsidRDefault="00AE4E02" w:rsidP="001C4AC6">
            <w:pPr>
              <w:jc w:val="both"/>
              <w:rPr>
                <w:rFonts w:eastAsia="Calibri"/>
                <w:sz w:val="20"/>
              </w:rPr>
            </w:pPr>
            <w:r w:rsidRPr="002832A9">
              <w:rPr>
                <w:rFonts w:eastAsia="Calibri"/>
                <w:sz w:val="20"/>
              </w:rPr>
              <w:t>Neutral citation: 2012 NBQB 218 (not online)</w:t>
            </w:r>
          </w:p>
          <w:p w:rsidR="00AE4E02" w:rsidRPr="002832A9" w:rsidRDefault="00AE4E02" w:rsidP="001C4AC6">
            <w:pPr>
              <w:jc w:val="both"/>
              <w:rPr>
                <w:rFonts w:eastAsia="Calibri"/>
                <w:sz w:val="20"/>
              </w:rPr>
            </w:pPr>
          </w:p>
        </w:tc>
        <w:tc>
          <w:tcPr>
            <w:tcW w:w="243" w:type="pct"/>
          </w:tcPr>
          <w:p w:rsidR="00AE4E02" w:rsidRPr="002832A9" w:rsidRDefault="00AE4E02" w:rsidP="001C4AC6">
            <w:pPr>
              <w:jc w:val="both"/>
              <w:rPr>
                <w:rFonts w:eastAsia="Calibri"/>
                <w:sz w:val="20"/>
              </w:rPr>
            </w:pPr>
          </w:p>
        </w:tc>
        <w:tc>
          <w:tcPr>
            <w:tcW w:w="2330" w:type="pct"/>
          </w:tcPr>
          <w:p w:rsidR="00AE4E02" w:rsidRPr="002832A9" w:rsidRDefault="00AE4E02" w:rsidP="001C4AC6">
            <w:pPr>
              <w:jc w:val="both"/>
              <w:rPr>
                <w:rFonts w:eastAsia="Calibri"/>
                <w:sz w:val="20"/>
              </w:rPr>
            </w:pPr>
            <w:r w:rsidRPr="002832A9">
              <w:rPr>
                <w:rFonts w:eastAsia="Calibri"/>
                <w:sz w:val="20"/>
              </w:rPr>
              <w:t>Claims for damages dismissed with costs.</w:t>
            </w:r>
          </w:p>
          <w:p w:rsidR="00AE4E02" w:rsidRPr="002832A9" w:rsidRDefault="00AE4E02" w:rsidP="001C4AC6">
            <w:pPr>
              <w:jc w:val="both"/>
              <w:rPr>
                <w:rFonts w:eastAsia="Calibri"/>
                <w:sz w:val="20"/>
              </w:rPr>
            </w:pPr>
          </w:p>
        </w:tc>
      </w:tr>
      <w:tr w:rsidR="00AE4E02" w:rsidRPr="002832A9" w:rsidTr="001C4AC6">
        <w:tc>
          <w:tcPr>
            <w:tcW w:w="2427" w:type="pct"/>
          </w:tcPr>
          <w:p w:rsidR="00AE4E02" w:rsidRPr="002832A9" w:rsidRDefault="00AE4E02" w:rsidP="001C4AC6">
            <w:pPr>
              <w:jc w:val="both"/>
              <w:rPr>
                <w:rFonts w:eastAsia="Calibri"/>
                <w:sz w:val="20"/>
              </w:rPr>
            </w:pPr>
            <w:r w:rsidRPr="002832A9">
              <w:rPr>
                <w:rFonts w:eastAsia="Calibri"/>
                <w:sz w:val="20"/>
              </w:rPr>
              <w:t>June 20, 2013</w:t>
            </w:r>
          </w:p>
          <w:p w:rsidR="00AE4E02" w:rsidRPr="002832A9" w:rsidRDefault="00AE4E02" w:rsidP="001C4AC6">
            <w:pPr>
              <w:jc w:val="both"/>
              <w:rPr>
                <w:rFonts w:eastAsia="Calibri"/>
                <w:sz w:val="20"/>
              </w:rPr>
            </w:pPr>
            <w:r w:rsidRPr="002832A9">
              <w:rPr>
                <w:rFonts w:eastAsia="Calibri"/>
                <w:sz w:val="20"/>
              </w:rPr>
              <w:t>Court of Appeal of New Brunswick</w:t>
            </w:r>
          </w:p>
          <w:p w:rsidR="00AE4E02" w:rsidRPr="002832A9" w:rsidRDefault="00AE4E02" w:rsidP="001C4AC6">
            <w:pPr>
              <w:jc w:val="both"/>
              <w:rPr>
                <w:rFonts w:eastAsia="Calibri"/>
                <w:sz w:val="20"/>
              </w:rPr>
            </w:pPr>
            <w:r w:rsidRPr="002832A9">
              <w:rPr>
                <w:rFonts w:eastAsia="Calibri"/>
                <w:sz w:val="20"/>
              </w:rPr>
              <w:t>(Deschênes, Robertson, and Bell JJ.A.)</w:t>
            </w:r>
          </w:p>
          <w:p w:rsidR="00AE4E02" w:rsidRPr="002832A9" w:rsidRDefault="00AE4E02" w:rsidP="001C4AC6">
            <w:pPr>
              <w:jc w:val="both"/>
              <w:rPr>
                <w:rFonts w:eastAsia="Calibri"/>
                <w:sz w:val="20"/>
              </w:rPr>
            </w:pPr>
            <w:r w:rsidRPr="002832A9">
              <w:rPr>
                <w:rFonts w:eastAsia="Calibri"/>
                <w:sz w:val="20"/>
              </w:rPr>
              <w:t xml:space="preserve">Neutral citation: </w:t>
            </w:r>
            <w:hyperlink r:id="rId24" w:history="1">
              <w:r w:rsidRPr="002832A9">
                <w:rPr>
                  <w:rFonts w:eastAsia="Calibri"/>
                  <w:color w:val="0000FF"/>
                  <w:sz w:val="20"/>
                  <w:u w:val="single"/>
                </w:rPr>
                <w:t>2013 NBCA 68</w:t>
              </w:r>
            </w:hyperlink>
          </w:p>
          <w:p w:rsidR="00AE4E02" w:rsidRPr="002832A9" w:rsidRDefault="00AE4E02" w:rsidP="001C4AC6">
            <w:pPr>
              <w:jc w:val="both"/>
              <w:rPr>
                <w:rFonts w:eastAsia="Calibri"/>
                <w:sz w:val="20"/>
              </w:rPr>
            </w:pPr>
          </w:p>
        </w:tc>
        <w:tc>
          <w:tcPr>
            <w:tcW w:w="243" w:type="pct"/>
          </w:tcPr>
          <w:p w:rsidR="00AE4E02" w:rsidRPr="002832A9" w:rsidRDefault="00AE4E02" w:rsidP="001C4AC6">
            <w:pPr>
              <w:jc w:val="both"/>
              <w:rPr>
                <w:rFonts w:eastAsia="Calibri"/>
                <w:sz w:val="20"/>
              </w:rPr>
            </w:pPr>
          </w:p>
        </w:tc>
        <w:tc>
          <w:tcPr>
            <w:tcW w:w="2330" w:type="pct"/>
          </w:tcPr>
          <w:p w:rsidR="00AE4E02" w:rsidRPr="002832A9" w:rsidRDefault="00AE4E02" w:rsidP="001C4AC6">
            <w:pPr>
              <w:jc w:val="both"/>
              <w:rPr>
                <w:rFonts w:eastAsia="Calibri"/>
                <w:sz w:val="20"/>
              </w:rPr>
            </w:pPr>
            <w:r w:rsidRPr="002832A9">
              <w:rPr>
                <w:rFonts w:eastAsia="Calibri"/>
                <w:sz w:val="20"/>
              </w:rPr>
              <w:t>Appeal dismissed with costs.</w:t>
            </w:r>
          </w:p>
          <w:p w:rsidR="00AE4E02" w:rsidRPr="002832A9" w:rsidRDefault="00AE4E02" w:rsidP="001C4AC6">
            <w:pPr>
              <w:jc w:val="both"/>
              <w:rPr>
                <w:rFonts w:eastAsia="Calibri"/>
                <w:sz w:val="20"/>
              </w:rPr>
            </w:pPr>
          </w:p>
          <w:p w:rsidR="00AE4E02" w:rsidRPr="002832A9" w:rsidRDefault="00AE4E02" w:rsidP="001C4AC6">
            <w:pPr>
              <w:jc w:val="both"/>
              <w:rPr>
                <w:rFonts w:eastAsia="Calibri"/>
                <w:sz w:val="20"/>
              </w:rPr>
            </w:pPr>
          </w:p>
        </w:tc>
      </w:tr>
      <w:tr w:rsidR="00AE4E02" w:rsidRPr="002832A9" w:rsidTr="001C4AC6">
        <w:tc>
          <w:tcPr>
            <w:tcW w:w="2427" w:type="pct"/>
          </w:tcPr>
          <w:p w:rsidR="00AE4E02" w:rsidRPr="002832A9" w:rsidRDefault="00AE4E02" w:rsidP="001C4AC6">
            <w:pPr>
              <w:jc w:val="both"/>
              <w:rPr>
                <w:rFonts w:eastAsia="Calibri"/>
                <w:sz w:val="20"/>
              </w:rPr>
            </w:pPr>
            <w:r w:rsidRPr="002832A9">
              <w:rPr>
                <w:rFonts w:eastAsia="Calibri"/>
                <w:sz w:val="20"/>
              </w:rPr>
              <w:lastRenderedPageBreak/>
              <w:t>September 16, 2013</w:t>
            </w:r>
          </w:p>
          <w:p w:rsidR="00AE4E02" w:rsidRPr="002832A9" w:rsidRDefault="00AE4E02" w:rsidP="001C4AC6">
            <w:pPr>
              <w:jc w:val="both"/>
              <w:rPr>
                <w:rFonts w:eastAsia="Calibri"/>
                <w:sz w:val="20"/>
              </w:rPr>
            </w:pPr>
            <w:r w:rsidRPr="002832A9">
              <w:rPr>
                <w:rFonts w:eastAsia="Calibri"/>
                <w:sz w:val="20"/>
              </w:rPr>
              <w:t>Supreme Court of Canada</w:t>
            </w:r>
          </w:p>
        </w:tc>
        <w:tc>
          <w:tcPr>
            <w:tcW w:w="243" w:type="pct"/>
          </w:tcPr>
          <w:p w:rsidR="00AE4E02" w:rsidRPr="002832A9" w:rsidRDefault="00AE4E02" w:rsidP="001C4AC6">
            <w:pPr>
              <w:jc w:val="both"/>
              <w:rPr>
                <w:rFonts w:eastAsia="Calibri"/>
                <w:sz w:val="20"/>
              </w:rPr>
            </w:pPr>
          </w:p>
        </w:tc>
        <w:tc>
          <w:tcPr>
            <w:tcW w:w="2330" w:type="pct"/>
          </w:tcPr>
          <w:p w:rsidR="00AE4E02" w:rsidRPr="002832A9" w:rsidRDefault="00AE4E02" w:rsidP="001C4AC6">
            <w:pPr>
              <w:jc w:val="both"/>
              <w:rPr>
                <w:rFonts w:eastAsia="Calibri"/>
                <w:sz w:val="20"/>
              </w:rPr>
            </w:pPr>
            <w:r w:rsidRPr="002832A9">
              <w:rPr>
                <w:rFonts w:eastAsia="Calibri"/>
                <w:sz w:val="20"/>
              </w:rPr>
              <w:t>Application for leave to appeal filed.</w:t>
            </w:r>
          </w:p>
          <w:p w:rsidR="00AE4E02" w:rsidRPr="002832A9" w:rsidRDefault="00AE4E02" w:rsidP="001C4AC6">
            <w:pPr>
              <w:jc w:val="both"/>
              <w:rPr>
                <w:rFonts w:eastAsia="Calibri"/>
                <w:sz w:val="20"/>
              </w:rPr>
            </w:pPr>
          </w:p>
        </w:tc>
      </w:tr>
    </w:tbl>
    <w:p w:rsidR="00927A38" w:rsidRDefault="00927A38" w:rsidP="00927A38">
      <w:pPr>
        <w:rPr>
          <w:sz w:val="20"/>
          <w:szCs w:val="20"/>
        </w:rPr>
      </w:pPr>
    </w:p>
    <w:p w:rsidR="00927A38" w:rsidRPr="00C50A5C" w:rsidRDefault="00EB0F11" w:rsidP="00927A38">
      <w:pPr>
        <w:rPr>
          <w:sz w:val="20"/>
          <w:szCs w:val="20"/>
        </w:rPr>
      </w:pPr>
      <w:r>
        <w:rPr>
          <w:sz w:val="20"/>
          <w:szCs w:val="20"/>
          <w:lang w:val="fr-CA"/>
        </w:rPr>
        <w:pict>
          <v:rect id="_x0000_i1041" style="width:2in;height:1pt" o:hrpct="0" o:hralign="center" o:hrstd="t" o:hrnoshade="t" o:hr="t" fillcolor="black [3213]" stroked="f"/>
        </w:pict>
      </w:r>
    </w:p>
    <w:p w:rsidR="00927A38" w:rsidRDefault="00927A38" w:rsidP="00927A38">
      <w:pPr>
        <w:rPr>
          <w:sz w:val="20"/>
          <w:szCs w:val="20"/>
        </w:rPr>
      </w:pPr>
    </w:p>
    <w:p w:rsidR="00927A38" w:rsidRPr="001B157C" w:rsidRDefault="00927A38" w:rsidP="00927A38">
      <w:pPr>
        <w:rPr>
          <w:sz w:val="20"/>
          <w:szCs w:val="20"/>
          <w:u w:val="single"/>
          <w:lang w:val="fr-CA"/>
        </w:rPr>
      </w:pPr>
      <w:r w:rsidRPr="001B157C">
        <w:rPr>
          <w:sz w:val="20"/>
          <w:szCs w:val="20"/>
          <w:u w:val="single"/>
          <w:lang w:val="fr-CA"/>
        </w:rPr>
        <w:t>RÉSUMÉ DE L’AFFAIRE</w:t>
      </w:r>
    </w:p>
    <w:p w:rsidR="00927A38" w:rsidRDefault="00927A38"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E4E02" w:rsidRPr="00EB0F11" w:rsidTr="001C4AC6">
        <w:tc>
          <w:tcPr>
            <w:tcW w:w="5000" w:type="pct"/>
            <w:gridSpan w:val="3"/>
          </w:tcPr>
          <w:p w:rsidR="00AE4E02" w:rsidRPr="002832A9" w:rsidRDefault="00AE4E02" w:rsidP="001C4AC6">
            <w:pPr>
              <w:jc w:val="both"/>
              <w:rPr>
                <w:rFonts w:eastAsia="Calibri"/>
                <w:sz w:val="20"/>
                <w:lang w:val="fr-CA"/>
              </w:rPr>
            </w:pPr>
            <w:r w:rsidRPr="002832A9">
              <w:rPr>
                <w:rFonts w:eastAsia="Calibri"/>
                <w:sz w:val="20"/>
                <w:lang w:val="fr-CA"/>
              </w:rPr>
              <w:t>Responsabilité délictuelle – Délits intentionnels – Délit d’abus de procédure – Preuve – En l'absence d'autres éléments de preuve, lorsque quelqu’un est condamné injustement, puis acquitté par la suite sur la foi d'une rétractation du plaignant, un employeur peut-il imposer une nouvelle instruction des mêmes accusations pour lesquelles l'intéressé a été acquitté sans qu’il en résulte un abus de procédure? – Un juge de première instance peut-il, dans l'appréciation de la manière dont une partie a traité une personne injustement déclarée coupable, faire abstraction de la preuve devant lui et s'appuyer sur un témoignage et des appréciations de crédibilité présenté et tirées, selon le cas, à l'audience même au cours de laquelle la personne a été injustement déclarée coupable? – Lorsque le plaignant qui se rétracte met en question la conduite d'un enquêteur, incombe-t-il à la personne injustement déclarée coupable d’assigner l’enquêteur comme témoin?</w:t>
            </w:r>
          </w:p>
        </w:tc>
      </w:tr>
      <w:tr w:rsidR="00AE4E02" w:rsidRPr="00EB0F11" w:rsidTr="001C4AC6">
        <w:tc>
          <w:tcPr>
            <w:tcW w:w="5000" w:type="pct"/>
            <w:gridSpan w:val="3"/>
          </w:tcPr>
          <w:p w:rsidR="00AE4E02" w:rsidRPr="002832A9" w:rsidRDefault="00AE4E02" w:rsidP="001C4AC6">
            <w:pPr>
              <w:jc w:val="both"/>
              <w:rPr>
                <w:rFonts w:eastAsia="Calibri"/>
                <w:sz w:val="20"/>
                <w:lang w:val="fr-CA"/>
              </w:rPr>
            </w:pPr>
          </w:p>
        </w:tc>
      </w:tr>
      <w:tr w:rsidR="00AE4E02" w:rsidRPr="00EB0F11" w:rsidTr="001C4AC6">
        <w:tc>
          <w:tcPr>
            <w:tcW w:w="5000" w:type="pct"/>
            <w:gridSpan w:val="3"/>
          </w:tcPr>
          <w:p w:rsidR="00AE4E02" w:rsidRPr="002832A9" w:rsidRDefault="00AE4E02" w:rsidP="001C4AC6">
            <w:pPr>
              <w:jc w:val="both"/>
              <w:rPr>
                <w:rFonts w:eastAsia="Calibri"/>
                <w:sz w:val="20"/>
                <w:lang w:val="fr-CA"/>
              </w:rPr>
            </w:pPr>
            <w:r w:rsidRPr="002832A9">
              <w:rPr>
                <w:rFonts w:eastAsia="Calibri"/>
                <w:sz w:val="20"/>
                <w:lang w:val="fr-CA"/>
              </w:rPr>
              <w:t xml:space="preserve">Le demandeur est membre de la GRC.  En 2000, sa conjointe s’est plainte au superviseur du demandeur que ce dernier avait commis des actes de violence conjugale à son endroit.  Le demandeur a été accusé d’avoir proféré une menace, de voies de faits ayant causé des lésions corporelles et d’agression sexuelle.  Le demandeur a été déclaré coupable de ces trois infractions et condamné à un emprisonnement de dix mois avec sursis.  Le demandeur a interjeté appel, mais il s’est désisté de son appel.  La plaignante, qui était maintenant gendarme de la GRC, a fait sous serment un affidavit dans lequel elle se rétractait en ce qui concernait certains aspects de son témoignage relatifs à l’agression sexuelle. Elle ne s’est pas rétractée en ce qui concerne les autres accusations.  En conséquence, l’appel du demandeur a été inscrit au rôle.  Le ministère public n’a pas contesté l’appel et n’a déposé aucune preuve relativement aux accusations.  Toutes les déclarations de culpabilité ont été annulées et le demandeur a été acquitté.  Malgré les acquittements, l’instance disciplinaire que la GRC avait engagée à l’interne s’est poursuivie.  Le demandeur a engagé une poursuite civile, plaidant notamment la partialité, la négligence au cours de l’enquête et le délit d’abus de procédure. </w:t>
            </w:r>
          </w:p>
          <w:p w:rsidR="00AE4E02" w:rsidRPr="002832A9" w:rsidRDefault="00AE4E02" w:rsidP="001C4AC6">
            <w:pPr>
              <w:jc w:val="both"/>
              <w:rPr>
                <w:rFonts w:eastAsia="Calibri"/>
                <w:sz w:val="20"/>
                <w:lang w:val="fr-CA"/>
              </w:rPr>
            </w:pPr>
          </w:p>
        </w:tc>
      </w:tr>
      <w:tr w:rsidR="00AE4E02" w:rsidRPr="00EB0F11" w:rsidTr="001C4AC6">
        <w:tc>
          <w:tcPr>
            <w:tcW w:w="2427" w:type="pct"/>
          </w:tcPr>
          <w:p w:rsidR="00AE4E02" w:rsidRPr="002832A9" w:rsidRDefault="00AE4E02" w:rsidP="001C4AC6">
            <w:pPr>
              <w:jc w:val="both"/>
              <w:rPr>
                <w:rFonts w:eastAsia="Calibri"/>
                <w:sz w:val="20"/>
                <w:lang w:val="fr-CA"/>
              </w:rPr>
            </w:pPr>
            <w:r w:rsidRPr="002832A9">
              <w:rPr>
                <w:rFonts w:eastAsia="Calibri"/>
                <w:sz w:val="20"/>
                <w:lang w:val="fr-CA"/>
              </w:rPr>
              <w:t>3 juillet 2012</w:t>
            </w:r>
          </w:p>
          <w:p w:rsidR="00AE4E02" w:rsidRPr="002832A9" w:rsidRDefault="00AE4E02" w:rsidP="001C4AC6">
            <w:pPr>
              <w:jc w:val="both"/>
              <w:rPr>
                <w:rFonts w:eastAsia="Calibri"/>
                <w:sz w:val="20"/>
                <w:lang w:val="fr-CA"/>
              </w:rPr>
            </w:pPr>
            <w:r w:rsidRPr="002832A9">
              <w:rPr>
                <w:rFonts w:eastAsia="Calibri"/>
                <w:sz w:val="20"/>
                <w:lang w:val="fr-CA"/>
              </w:rPr>
              <w:t>Cour du Banc de la Reine du Nouveau-Brunswick</w:t>
            </w:r>
          </w:p>
          <w:p w:rsidR="00AE4E02" w:rsidRPr="002832A9" w:rsidRDefault="00AE4E02" w:rsidP="001C4AC6">
            <w:pPr>
              <w:jc w:val="both"/>
              <w:rPr>
                <w:rFonts w:eastAsia="Calibri"/>
                <w:sz w:val="20"/>
                <w:lang w:val="fr-CA"/>
              </w:rPr>
            </w:pPr>
            <w:r w:rsidRPr="002832A9">
              <w:rPr>
                <w:rFonts w:eastAsia="Calibri"/>
                <w:sz w:val="20"/>
                <w:lang w:val="fr-CA"/>
              </w:rPr>
              <w:t>(Juge Dionne)</w:t>
            </w:r>
          </w:p>
          <w:p w:rsidR="00AE4E02" w:rsidRPr="002832A9" w:rsidRDefault="00AE4E02" w:rsidP="001C4AC6">
            <w:pPr>
              <w:jc w:val="both"/>
              <w:rPr>
                <w:rFonts w:eastAsia="Calibri"/>
                <w:sz w:val="20"/>
                <w:lang w:val="fr-CA"/>
              </w:rPr>
            </w:pPr>
            <w:r w:rsidRPr="002832A9">
              <w:rPr>
                <w:rFonts w:eastAsia="Calibri"/>
                <w:sz w:val="20"/>
                <w:lang w:val="fr-CA"/>
              </w:rPr>
              <w:t>Référence neutre : 2012 NBQB 218 (jugement non disponible en ligne)</w:t>
            </w:r>
          </w:p>
          <w:p w:rsidR="00AE4E02" w:rsidRPr="002832A9" w:rsidRDefault="00AE4E02" w:rsidP="001C4AC6">
            <w:pPr>
              <w:jc w:val="both"/>
              <w:rPr>
                <w:rFonts w:eastAsia="Calibri"/>
                <w:sz w:val="20"/>
                <w:lang w:val="fr-CA"/>
              </w:rPr>
            </w:pPr>
          </w:p>
        </w:tc>
        <w:tc>
          <w:tcPr>
            <w:tcW w:w="243" w:type="pct"/>
          </w:tcPr>
          <w:p w:rsidR="00AE4E02" w:rsidRPr="002832A9" w:rsidRDefault="00AE4E02" w:rsidP="001C4AC6">
            <w:pPr>
              <w:jc w:val="both"/>
              <w:rPr>
                <w:rFonts w:eastAsia="Calibri"/>
                <w:sz w:val="20"/>
                <w:lang w:val="fr-CA"/>
              </w:rPr>
            </w:pPr>
          </w:p>
        </w:tc>
        <w:tc>
          <w:tcPr>
            <w:tcW w:w="2330" w:type="pct"/>
          </w:tcPr>
          <w:p w:rsidR="00AE4E02" w:rsidRPr="002832A9" w:rsidRDefault="00AE4E02" w:rsidP="001C4AC6">
            <w:pPr>
              <w:jc w:val="both"/>
              <w:rPr>
                <w:rFonts w:eastAsia="Calibri"/>
                <w:sz w:val="20"/>
                <w:lang w:val="fr-CA"/>
              </w:rPr>
            </w:pPr>
            <w:r w:rsidRPr="002832A9">
              <w:rPr>
                <w:rFonts w:eastAsia="Calibri"/>
                <w:sz w:val="20"/>
                <w:lang w:val="fr-CA"/>
              </w:rPr>
              <w:t>Action en dommages-intérêts rejetée avec dépens.</w:t>
            </w:r>
          </w:p>
          <w:p w:rsidR="00AE4E02" w:rsidRPr="002832A9" w:rsidRDefault="00AE4E02" w:rsidP="001C4AC6">
            <w:pPr>
              <w:jc w:val="both"/>
              <w:rPr>
                <w:rFonts w:eastAsia="Calibri"/>
                <w:sz w:val="20"/>
                <w:lang w:val="fr-CA"/>
              </w:rPr>
            </w:pPr>
          </w:p>
        </w:tc>
      </w:tr>
      <w:tr w:rsidR="00AE4E02" w:rsidRPr="002832A9" w:rsidTr="001C4AC6">
        <w:tc>
          <w:tcPr>
            <w:tcW w:w="2427" w:type="pct"/>
          </w:tcPr>
          <w:p w:rsidR="00AE4E02" w:rsidRPr="002832A9" w:rsidRDefault="00AE4E02" w:rsidP="001C4AC6">
            <w:pPr>
              <w:jc w:val="both"/>
              <w:rPr>
                <w:rFonts w:eastAsia="Calibri"/>
                <w:sz w:val="20"/>
                <w:lang w:val="fr-CA"/>
              </w:rPr>
            </w:pPr>
            <w:r w:rsidRPr="002832A9">
              <w:rPr>
                <w:rFonts w:eastAsia="Calibri"/>
                <w:sz w:val="20"/>
                <w:lang w:val="fr-CA"/>
              </w:rPr>
              <w:t>20 juin 2013</w:t>
            </w:r>
          </w:p>
          <w:p w:rsidR="00AE4E02" w:rsidRPr="002832A9" w:rsidRDefault="00AE4E02" w:rsidP="001C4AC6">
            <w:pPr>
              <w:jc w:val="both"/>
              <w:rPr>
                <w:rFonts w:eastAsia="Calibri"/>
                <w:sz w:val="20"/>
                <w:lang w:val="fr-CA"/>
              </w:rPr>
            </w:pPr>
            <w:r w:rsidRPr="002832A9">
              <w:rPr>
                <w:rFonts w:eastAsia="Calibri"/>
                <w:sz w:val="20"/>
                <w:lang w:val="fr-CA"/>
              </w:rPr>
              <w:t>Cour d'appel du Nouveau-Brunswick</w:t>
            </w:r>
          </w:p>
          <w:p w:rsidR="00AE4E02" w:rsidRPr="002832A9" w:rsidRDefault="00AE4E02" w:rsidP="001C4AC6">
            <w:pPr>
              <w:jc w:val="both"/>
              <w:rPr>
                <w:rFonts w:eastAsia="Calibri"/>
                <w:sz w:val="20"/>
                <w:lang w:val="fr-CA"/>
              </w:rPr>
            </w:pPr>
            <w:r w:rsidRPr="002832A9">
              <w:rPr>
                <w:rFonts w:eastAsia="Calibri"/>
                <w:sz w:val="20"/>
                <w:lang w:val="fr-CA"/>
              </w:rPr>
              <w:t>(Juges Deschênes, Robertson et Bell)</w:t>
            </w:r>
          </w:p>
          <w:p w:rsidR="00AE4E02" w:rsidRPr="002832A9" w:rsidRDefault="00AE4E02" w:rsidP="001C4AC6">
            <w:pPr>
              <w:jc w:val="both"/>
              <w:rPr>
                <w:rFonts w:eastAsia="Calibri"/>
                <w:sz w:val="20"/>
                <w:lang w:val="fr-CA"/>
              </w:rPr>
            </w:pPr>
            <w:r w:rsidRPr="002832A9">
              <w:rPr>
                <w:rFonts w:eastAsia="Calibri"/>
                <w:sz w:val="20"/>
                <w:lang w:val="fr-CA"/>
              </w:rPr>
              <w:t xml:space="preserve">Référence neutre : </w:t>
            </w:r>
            <w:hyperlink r:id="rId25" w:history="1">
              <w:r w:rsidRPr="002832A9">
                <w:rPr>
                  <w:rFonts w:eastAsia="Calibri"/>
                  <w:color w:val="0000FF"/>
                  <w:sz w:val="20"/>
                  <w:u w:val="single"/>
                  <w:lang w:val="fr-CA"/>
                </w:rPr>
                <w:t>2013 NBCA 68</w:t>
              </w:r>
            </w:hyperlink>
          </w:p>
          <w:p w:rsidR="00AE4E02" w:rsidRPr="002832A9" w:rsidRDefault="00AE4E02" w:rsidP="001C4AC6">
            <w:pPr>
              <w:jc w:val="both"/>
              <w:rPr>
                <w:rFonts w:eastAsia="Calibri"/>
                <w:sz w:val="20"/>
                <w:lang w:val="fr-CA"/>
              </w:rPr>
            </w:pPr>
          </w:p>
        </w:tc>
        <w:tc>
          <w:tcPr>
            <w:tcW w:w="243" w:type="pct"/>
          </w:tcPr>
          <w:p w:rsidR="00AE4E02" w:rsidRPr="002832A9" w:rsidRDefault="00AE4E02" w:rsidP="001C4AC6">
            <w:pPr>
              <w:jc w:val="both"/>
              <w:rPr>
                <w:rFonts w:eastAsia="Calibri"/>
                <w:sz w:val="20"/>
                <w:lang w:val="fr-CA"/>
              </w:rPr>
            </w:pPr>
          </w:p>
        </w:tc>
        <w:tc>
          <w:tcPr>
            <w:tcW w:w="2330" w:type="pct"/>
          </w:tcPr>
          <w:p w:rsidR="00AE4E02" w:rsidRPr="002832A9" w:rsidRDefault="00AE4E02" w:rsidP="001C4AC6">
            <w:pPr>
              <w:jc w:val="both"/>
              <w:rPr>
                <w:rFonts w:eastAsia="Calibri"/>
                <w:sz w:val="20"/>
                <w:lang w:val="fr-CA"/>
              </w:rPr>
            </w:pPr>
            <w:r w:rsidRPr="002832A9">
              <w:rPr>
                <w:rFonts w:eastAsia="Calibri"/>
                <w:sz w:val="20"/>
                <w:lang w:val="fr-CA"/>
              </w:rPr>
              <w:t>Appel rejeté avec dépens.</w:t>
            </w:r>
          </w:p>
          <w:p w:rsidR="00AE4E02" w:rsidRPr="002832A9" w:rsidRDefault="00AE4E02" w:rsidP="001C4AC6">
            <w:pPr>
              <w:jc w:val="both"/>
              <w:rPr>
                <w:rFonts w:eastAsia="Calibri"/>
                <w:sz w:val="20"/>
                <w:lang w:val="fr-CA"/>
              </w:rPr>
            </w:pPr>
          </w:p>
          <w:p w:rsidR="00AE4E02" w:rsidRPr="002832A9" w:rsidRDefault="00AE4E02" w:rsidP="001C4AC6">
            <w:pPr>
              <w:jc w:val="both"/>
              <w:rPr>
                <w:rFonts w:eastAsia="Calibri"/>
                <w:sz w:val="20"/>
                <w:lang w:val="fr-CA"/>
              </w:rPr>
            </w:pPr>
          </w:p>
        </w:tc>
      </w:tr>
      <w:tr w:rsidR="00AE4E02" w:rsidRPr="002832A9" w:rsidTr="001C4AC6">
        <w:tc>
          <w:tcPr>
            <w:tcW w:w="2427" w:type="pct"/>
          </w:tcPr>
          <w:p w:rsidR="00AE4E02" w:rsidRPr="002832A9" w:rsidRDefault="00AE4E02" w:rsidP="001C4AC6">
            <w:pPr>
              <w:jc w:val="both"/>
              <w:rPr>
                <w:rFonts w:eastAsia="Calibri"/>
                <w:sz w:val="20"/>
                <w:lang w:val="fr-CA"/>
              </w:rPr>
            </w:pPr>
            <w:r w:rsidRPr="002832A9">
              <w:rPr>
                <w:rFonts w:eastAsia="Calibri"/>
                <w:sz w:val="20"/>
                <w:lang w:val="fr-CA"/>
              </w:rPr>
              <w:t>16 septembre 2013</w:t>
            </w:r>
          </w:p>
          <w:p w:rsidR="00AE4E02" w:rsidRPr="002832A9" w:rsidRDefault="00AE4E02" w:rsidP="001C4AC6">
            <w:pPr>
              <w:jc w:val="both"/>
              <w:rPr>
                <w:rFonts w:eastAsia="Calibri"/>
                <w:sz w:val="20"/>
                <w:lang w:val="fr-CA"/>
              </w:rPr>
            </w:pPr>
            <w:r w:rsidRPr="002832A9">
              <w:rPr>
                <w:rFonts w:eastAsia="Calibri"/>
                <w:sz w:val="20"/>
                <w:lang w:val="fr-CA"/>
              </w:rPr>
              <w:t>Cour suprême du Canada</w:t>
            </w:r>
          </w:p>
        </w:tc>
        <w:tc>
          <w:tcPr>
            <w:tcW w:w="243" w:type="pct"/>
          </w:tcPr>
          <w:p w:rsidR="00AE4E02" w:rsidRPr="002832A9" w:rsidRDefault="00AE4E02" w:rsidP="001C4AC6">
            <w:pPr>
              <w:jc w:val="both"/>
              <w:rPr>
                <w:rFonts w:eastAsia="Calibri"/>
                <w:sz w:val="20"/>
                <w:lang w:val="fr-CA"/>
              </w:rPr>
            </w:pPr>
          </w:p>
        </w:tc>
        <w:tc>
          <w:tcPr>
            <w:tcW w:w="2330" w:type="pct"/>
          </w:tcPr>
          <w:p w:rsidR="00AE4E02" w:rsidRPr="002832A9" w:rsidRDefault="00AE4E02" w:rsidP="001C4AC6">
            <w:pPr>
              <w:jc w:val="both"/>
              <w:rPr>
                <w:rFonts w:eastAsia="Calibri"/>
                <w:sz w:val="20"/>
                <w:lang w:val="fr-CA"/>
              </w:rPr>
            </w:pPr>
            <w:r w:rsidRPr="002832A9">
              <w:rPr>
                <w:rFonts w:eastAsia="Calibri"/>
                <w:sz w:val="20"/>
                <w:lang w:val="fr-CA"/>
              </w:rPr>
              <w:t>Demande d'autorisation d'appel, déposée.</w:t>
            </w:r>
          </w:p>
          <w:p w:rsidR="00AE4E02" w:rsidRPr="002832A9" w:rsidRDefault="00AE4E02" w:rsidP="001C4AC6">
            <w:pPr>
              <w:jc w:val="both"/>
              <w:rPr>
                <w:rFonts w:eastAsia="Calibri"/>
                <w:sz w:val="20"/>
                <w:lang w:val="fr-CA"/>
              </w:rPr>
            </w:pPr>
          </w:p>
        </w:tc>
      </w:tr>
    </w:tbl>
    <w:p w:rsidR="00927A38" w:rsidRDefault="00927A38" w:rsidP="000E2959">
      <w:pPr>
        <w:rPr>
          <w:sz w:val="20"/>
          <w:szCs w:val="20"/>
        </w:rPr>
      </w:pPr>
    </w:p>
    <w:p w:rsidR="00927A38" w:rsidRDefault="00EB0F11" w:rsidP="000E2959">
      <w:pPr>
        <w:rPr>
          <w:sz w:val="20"/>
          <w:szCs w:val="20"/>
        </w:rPr>
      </w:pPr>
      <w:r>
        <w:rPr>
          <w:sz w:val="20"/>
          <w:szCs w:val="20"/>
          <w:lang w:val="fr-CA"/>
        </w:rPr>
        <w:pict>
          <v:rect id="_x0000_i1042" style="width:2in;height:1pt" o:hrpct="0" o:hralign="center" o:hrstd="t" o:hrnoshade="t" o:hr="t" fillcolor="black [3213]" stroked="f"/>
        </w:pict>
      </w:r>
    </w:p>
    <w:p w:rsidR="00927A38" w:rsidRDefault="00927A38" w:rsidP="000E2959">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C36376" w:rsidRPr="00EB0F11" w:rsidTr="003052E5">
        <w:trPr>
          <w:cantSplit/>
        </w:trPr>
        <w:tc>
          <w:tcPr>
            <w:tcW w:w="1458" w:type="dxa"/>
          </w:tcPr>
          <w:p w:rsidR="00C36376" w:rsidRPr="00C36376" w:rsidRDefault="00C36376" w:rsidP="00C36376">
            <w:pPr>
              <w:rPr>
                <w:sz w:val="20"/>
              </w:rPr>
            </w:pPr>
            <w:r w:rsidRPr="00C36376">
              <w:rPr>
                <w:b/>
                <w:sz w:val="20"/>
                <w:lang w:val="fr-CA"/>
              </w:rPr>
              <w:lastRenderedPageBreak/>
              <w:t>35534</w:t>
            </w:r>
          </w:p>
          <w:p w:rsidR="00C36376" w:rsidRPr="00C36376" w:rsidRDefault="00C36376" w:rsidP="00C36376">
            <w:pPr>
              <w:rPr>
                <w:b/>
                <w:sz w:val="20"/>
                <w:lang w:val="fr-CA"/>
              </w:rPr>
            </w:pPr>
          </w:p>
        </w:tc>
        <w:tc>
          <w:tcPr>
            <w:tcW w:w="8118" w:type="dxa"/>
          </w:tcPr>
          <w:p w:rsidR="00C36376" w:rsidRPr="00C36376" w:rsidRDefault="00C36376" w:rsidP="00C36376">
            <w:pPr>
              <w:jc w:val="both"/>
              <w:rPr>
                <w:sz w:val="20"/>
                <w:lang w:val="fr-CA"/>
              </w:rPr>
            </w:pPr>
            <w:r w:rsidRPr="00C36376">
              <w:rPr>
                <w:b/>
                <w:sz w:val="20"/>
                <w:u w:val="single"/>
                <w:lang w:val="fr-CA"/>
              </w:rPr>
              <w:t>Lafarge Canada inc.</w:t>
            </w:r>
            <w:r w:rsidR="00977B8B">
              <w:rPr>
                <w:b/>
                <w:sz w:val="20"/>
                <w:u w:val="single"/>
                <w:lang w:val="fr-CA"/>
              </w:rPr>
              <w:t xml:space="preserve"> et</w:t>
            </w:r>
            <w:r w:rsidRPr="00C36376">
              <w:rPr>
                <w:b/>
                <w:sz w:val="20"/>
                <w:u w:val="single"/>
                <w:lang w:val="fr-CA"/>
              </w:rPr>
              <w:t xml:space="preserve"> Marie De Grosbois c. SNC Lavalin environnement inc.</w:t>
            </w:r>
            <w:r w:rsidR="00977B8B">
              <w:rPr>
                <w:b/>
                <w:sz w:val="20"/>
                <w:u w:val="single"/>
                <w:lang w:val="fr-CA"/>
              </w:rPr>
              <w:t xml:space="preserve"> et</w:t>
            </w:r>
            <w:r w:rsidRPr="00C36376">
              <w:rPr>
                <w:b/>
                <w:sz w:val="20"/>
                <w:u w:val="single"/>
                <w:lang w:val="fr-CA"/>
              </w:rPr>
              <w:t xml:space="preserve"> Alain Blanchette ET ENTRE Lafarge Canada inc.</w:t>
            </w:r>
            <w:r w:rsidR="00977B8B">
              <w:rPr>
                <w:b/>
                <w:sz w:val="20"/>
                <w:u w:val="single"/>
                <w:lang w:val="fr-CA"/>
              </w:rPr>
              <w:t xml:space="preserve"> et</w:t>
            </w:r>
            <w:r w:rsidRPr="00C36376">
              <w:rPr>
                <w:b/>
                <w:sz w:val="20"/>
                <w:u w:val="single"/>
                <w:lang w:val="fr-CA"/>
              </w:rPr>
              <w:t xml:space="preserve"> Marie De Grosbois c. SNC Lavalin environnement inc.</w:t>
            </w:r>
            <w:r w:rsidR="00977B8B">
              <w:rPr>
                <w:b/>
                <w:sz w:val="20"/>
                <w:u w:val="single"/>
                <w:lang w:val="fr-CA"/>
              </w:rPr>
              <w:t xml:space="preserve"> et</w:t>
            </w:r>
            <w:r w:rsidRPr="00C36376">
              <w:rPr>
                <w:b/>
                <w:sz w:val="20"/>
                <w:u w:val="single"/>
                <w:lang w:val="fr-CA"/>
              </w:rPr>
              <w:t xml:space="preserve"> Alain Blanchette ET ENTRE Lafarge Canada inc.</w:t>
            </w:r>
            <w:r w:rsidR="00977B8B">
              <w:rPr>
                <w:b/>
                <w:sz w:val="20"/>
                <w:u w:val="single"/>
                <w:lang w:val="fr-CA"/>
              </w:rPr>
              <w:t xml:space="preserve"> et</w:t>
            </w:r>
            <w:r w:rsidRPr="00C36376">
              <w:rPr>
                <w:b/>
                <w:sz w:val="20"/>
                <w:u w:val="single"/>
                <w:lang w:val="fr-CA"/>
              </w:rPr>
              <w:t xml:space="preserve"> Marie De Grosbois c. SNC Lavalin environnement inc.</w:t>
            </w:r>
            <w:r w:rsidR="00977B8B">
              <w:rPr>
                <w:b/>
                <w:sz w:val="20"/>
                <w:u w:val="single"/>
                <w:lang w:val="fr-CA"/>
              </w:rPr>
              <w:t xml:space="preserve"> et</w:t>
            </w:r>
            <w:r w:rsidRPr="00C36376">
              <w:rPr>
                <w:b/>
                <w:sz w:val="20"/>
                <w:u w:val="single"/>
                <w:lang w:val="fr-CA"/>
              </w:rPr>
              <w:t xml:space="preserve"> Alain Blanchette ET ENTRE Lafarge Canada inc.</w:t>
            </w:r>
            <w:r w:rsidR="00977B8B">
              <w:rPr>
                <w:b/>
                <w:sz w:val="20"/>
                <w:u w:val="single"/>
                <w:lang w:val="fr-CA"/>
              </w:rPr>
              <w:t xml:space="preserve"> et</w:t>
            </w:r>
            <w:r w:rsidRPr="00C36376">
              <w:rPr>
                <w:b/>
                <w:sz w:val="20"/>
                <w:u w:val="single"/>
                <w:lang w:val="fr-CA"/>
              </w:rPr>
              <w:t xml:space="preserve"> Marie De Grosbois c. SNC Lavalin environnement inc.</w:t>
            </w:r>
            <w:r w:rsidR="00977B8B">
              <w:rPr>
                <w:b/>
                <w:sz w:val="20"/>
                <w:u w:val="single"/>
                <w:lang w:val="fr-CA"/>
              </w:rPr>
              <w:t xml:space="preserve"> et</w:t>
            </w:r>
            <w:r w:rsidRPr="00C36376">
              <w:rPr>
                <w:b/>
                <w:sz w:val="20"/>
                <w:u w:val="single"/>
                <w:lang w:val="fr-CA"/>
              </w:rPr>
              <w:t xml:space="preserve"> Alain Blanchette ET ENTRE Lafarge Canada inc.</w:t>
            </w:r>
            <w:r w:rsidR="00977B8B">
              <w:rPr>
                <w:b/>
                <w:sz w:val="20"/>
                <w:u w:val="single"/>
                <w:lang w:val="fr-CA"/>
              </w:rPr>
              <w:t xml:space="preserve"> et</w:t>
            </w:r>
            <w:r w:rsidRPr="00C36376">
              <w:rPr>
                <w:b/>
                <w:sz w:val="20"/>
                <w:u w:val="single"/>
                <w:lang w:val="fr-CA"/>
              </w:rPr>
              <w:t xml:space="preserve"> Marie De Grosbois c. SNC Lavalin environnement inc.</w:t>
            </w:r>
            <w:r w:rsidR="00977B8B">
              <w:rPr>
                <w:b/>
                <w:sz w:val="20"/>
                <w:u w:val="single"/>
                <w:lang w:val="fr-CA"/>
              </w:rPr>
              <w:t xml:space="preserve"> et</w:t>
            </w:r>
            <w:r w:rsidRPr="00C36376">
              <w:rPr>
                <w:b/>
                <w:sz w:val="20"/>
                <w:u w:val="single"/>
                <w:lang w:val="fr-CA"/>
              </w:rPr>
              <w:t xml:space="preserve"> Alain Blanchette ET ENTRE Lafarge Canada inc.</w:t>
            </w:r>
            <w:r w:rsidR="00977B8B">
              <w:rPr>
                <w:b/>
                <w:sz w:val="20"/>
                <w:u w:val="single"/>
                <w:lang w:val="fr-CA"/>
              </w:rPr>
              <w:t xml:space="preserve"> et</w:t>
            </w:r>
            <w:r w:rsidRPr="00C36376">
              <w:rPr>
                <w:b/>
                <w:sz w:val="20"/>
                <w:u w:val="single"/>
                <w:lang w:val="fr-CA"/>
              </w:rPr>
              <w:t xml:space="preserve"> Marie De Grosbois c. SNC Lavalin environnement inc.</w:t>
            </w:r>
            <w:r w:rsidR="00977B8B">
              <w:rPr>
                <w:b/>
                <w:sz w:val="20"/>
                <w:u w:val="single"/>
                <w:lang w:val="fr-CA"/>
              </w:rPr>
              <w:t xml:space="preserve"> et</w:t>
            </w:r>
            <w:r w:rsidRPr="00C36376">
              <w:rPr>
                <w:b/>
                <w:sz w:val="20"/>
                <w:u w:val="single"/>
                <w:lang w:val="fr-CA"/>
              </w:rPr>
              <w:t xml:space="preserve"> Alain Blanchette</w:t>
            </w:r>
            <w:r w:rsidRPr="00C36376">
              <w:rPr>
                <w:sz w:val="20"/>
                <w:lang w:val="fr-CA"/>
              </w:rPr>
              <w:t xml:space="preserve"> (Qc) (Civile) (Autorisation)</w:t>
            </w:r>
          </w:p>
          <w:p w:rsidR="00C36376" w:rsidRPr="00C36376" w:rsidRDefault="00C36376" w:rsidP="00C36376">
            <w:pPr>
              <w:jc w:val="both"/>
              <w:rPr>
                <w:sz w:val="20"/>
                <w:lang w:val="fr-CA"/>
              </w:rPr>
            </w:pPr>
          </w:p>
        </w:tc>
      </w:tr>
      <w:tr w:rsidR="00C36376" w:rsidRPr="00EB0F11" w:rsidTr="003052E5">
        <w:trPr>
          <w:cantSplit/>
        </w:trPr>
        <w:tc>
          <w:tcPr>
            <w:tcW w:w="1458" w:type="dxa"/>
          </w:tcPr>
          <w:p w:rsidR="00C36376" w:rsidRPr="00977B8B" w:rsidRDefault="00C36376" w:rsidP="00C36376">
            <w:pPr>
              <w:rPr>
                <w:sz w:val="20"/>
                <w:lang w:val="fr-CA"/>
              </w:rPr>
            </w:pPr>
            <w:r w:rsidRPr="00977B8B">
              <w:rPr>
                <w:sz w:val="20"/>
                <w:lang w:val="fr-CA"/>
              </w:rPr>
              <w:t>Coram :</w:t>
            </w:r>
          </w:p>
        </w:tc>
        <w:tc>
          <w:tcPr>
            <w:tcW w:w="8118" w:type="dxa"/>
          </w:tcPr>
          <w:p w:rsidR="00C36376" w:rsidRPr="00C36376" w:rsidRDefault="00C36376" w:rsidP="00C36376">
            <w:pPr>
              <w:rPr>
                <w:sz w:val="20"/>
                <w:lang w:val="fr-CA"/>
              </w:rPr>
            </w:pPr>
            <w:r w:rsidRPr="00C36376">
              <w:rPr>
                <w:sz w:val="20"/>
                <w:u w:val="single"/>
                <w:lang w:val="fr-CA"/>
              </w:rPr>
              <w:t>Les juges LeBel, Karakatsanis et Wagner</w:t>
            </w:r>
          </w:p>
          <w:p w:rsidR="00C36376" w:rsidRPr="00C36376" w:rsidRDefault="00C36376" w:rsidP="00C36376">
            <w:pPr>
              <w:rPr>
                <w:sz w:val="20"/>
                <w:u w:val="single"/>
                <w:lang w:val="fr-CA"/>
              </w:rPr>
            </w:pPr>
          </w:p>
        </w:tc>
      </w:tr>
      <w:tr w:rsidR="00C36376" w:rsidRPr="00C36376" w:rsidTr="003052E5">
        <w:trPr>
          <w:cantSplit/>
        </w:trPr>
        <w:tc>
          <w:tcPr>
            <w:tcW w:w="9576" w:type="dxa"/>
            <w:gridSpan w:val="2"/>
          </w:tcPr>
          <w:p w:rsidR="00C36376" w:rsidRPr="00C36376" w:rsidRDefault="00C36376" w:rsidP="00C36376">
            <w:pPr>
              <w:ind w:firstLine="720"/>
              <w:jc w:val="both"/>
              <w:rPr>
                <w:sz w:val="20"/>
                <w:lang w:val="fr-CA"/>
              </w:rPr>
            </w:pPr>
            <w:r w:rsidRPr="00C36376">
              <w:rPr>
                <w:sz w:val="20"/>
                <w:lang w:val="fr-CA"/>
              </w:rPr>
              <w:t>La demande d’autorisation d’appel de l’arrêt de la Cour d’appel du Québec (Québec), numéro 200-09-008012-137, 2013 QCCA 1140, daté du 25 juin 2013, est rejetée avec dépens.</w:t>
            </w:r>
          </w:p>
          <w:p w:rsidR="00C36376" w:rsidRPr="00C36376" w:rsidRDefault="00C36376" w:rsidP="00C36376">
            <w:pPr>
              <w:jc w:val="both"/>
              <w:rPr>
                <w:sz w:val="20"/>
                <w:lang w:val="fr-CA"/>
              </w:rPr>
            </w:pPr>
          </w:p>
          <w:p w:rsidR="00C36376" w:rsidRPr="00C36376" w:rsidRDefault="00C36376" w:rsidP="00C36376">
            <w:pPr>
              <w:ind w:firstLine="720"/>
              <w:jc w:val="both"/>
              <w:rPr>
                <w:sz w:val="20"/>
              </w:rPr>
            </w:pPr>
            <w:r w:rsidRPr="00C36376">
              <w:rPr>
                <w:sz w:val="20"/>
              </w:rPr>
              <w:t>The application for leave to appeal from the judgment of the Court of Appeal of Quebec (Québec), Number 200-09-008012-137, 2013 QCCA 1140, dated June 25, 2013, is dismissed with costs.</w:t>
            </w:r>
          </w:p>
        </w:tc>
      </w:tr>
    </w:tbl>
    <w:p w:rsidR="002A46DC" w:rsidRPr="00C36376" w:rsidRDefault="002A46DC" w:rsidP="002A46DC">
      <w:pPr>
        <w:rPr>
          <w:sz w:val="20"/>
          <w:szCs w:val="20"/>
        </w:rPr>
      </w:pPr>
    </w:p>
    <w:p w:rsidR="002A46DC" w:rsidRPr="001B157C" w:rsidRDefault="002A46DC" w:rsidP="002A46DC">
      <w:pPr>
        <w:rPr>
          <w:sz w:val="20"/>
          <w:szCs w:val="20"/>
          <w:u w:val="single"/>
        </w:rPr>
      </w:pPr>
      <w:r w:rsidRPr="001B157C">
        <w:rPr>
          <w:sz w:val="20"/>
          <w:szCs w:val="20"/>
          <w:u w:val="single"/>
        </w:rPr>
        <w:t>CASE SUMMARY</w:t>
      </w:r>
    </w:p>
    <w:p w:rsidR="002A46DC" w:rsidRDefault="002A46DC" w:rsidP="002A46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E4E02" w:rsidRPr="002832A9" w:rsidTr="001C4AC6">
        <w:tc>
          <w:tcPr>
            <w:tcW w:w="5000" w:type="pct"/>
            <w:gridSpan w:val="3"/>
          </w:tcPr>
          <w:p w:rsidR="00AE4E02" w:rsidRPr="002832A9" w:rsidRDefault="00AE4E02" w:rsidP="001C4AC6">
            <w:pPr>
              <w:jc w:val="both"/>
              <w:rPr>
                <w:rFonts w:eastAsia="Calibri"/>
                <w:sz w:val="20"/>
              </w:rPr>
            </w:pPr>
            <w:r w:rsidRPr="002832A9">
              <w:rPr>
                <w:rFonts w:eastAsia="Calibri"/>
                <w:sz w:val="20"/>
              </w:rPr>
              <w:t>Civil procedure – Action in warranty – Multi</w:t>
            </w:r>
            <w:r w:rsidRPr="002832A9">
              <w:rPr>
                <w:rFonts w:eastAsia="Calibri"/>
                <w:sz w:val="20"/>
              </w:rPr>
              <w:noBreakHyphen/>
              <w:t xml:space="preserve">party civil liability litigation for use of pyrite in foundations – Judicial contract entered into to facilitate proceedings – Forced impleading of third party subsequently denied to contractor – Action in warranty against same third party instituted by defendant and permitted by court – Whether Court of Appeal disregarded principle of proportionality as guiding principle in administration of justice – Whether advance recursory action based on right of action not yet arisen can proceed in parallel with and independent of principal action – Whether there was </w:t>
            </w:r>
            <w:r w:rsidRPr="002832A9">
              <w:rPr>
                <w:rFonts w:eastAsia="Calibri"/>
                <w:i/>
                <w:sz w:val="20"/>
              </w:rPr>
              <w:t xml:space="preserve">res judicata </w:t>
            </w:r>
            <w:r w:rsidRPr="002832A9">
              <w:rPr>
                <w:rFonts w:eastAsia="Calibri"/>
                <w:sz w:val="20"/>
              </w:rPr>
              <w:t xml:space="preserve">in light of </w:t>
            </w:r>
            <w:r w:rsidRPr="002832A9">
              <w:rPr>
                <w:rFonts w:eastAsia="Calibri"/>
                <w:i/>
                <w:sz w:val="20"/>
              </w:rPr>
              <w:t>Lafarge v. Construction Fré</w:t>
            </w:r>
            <w:r w:rsidRPr="002832A9">
              <w:rPr>
                <w:rFonts w:eastAsia="Calibri"/>
                <w:i/>
                <w:sz w:val="20"/>
              </w:rPr>
              <w:noBreakHyphen/>
              <w:t>Jean</w:t>
            </w:r>
            <w:r w:rsidRPr="002832A9">
              <w:rPr>
                <w:rFonts w:eastAsia="Calibri"/>
                <w:sz w:val="20"/>
              </w:rPr>
              <w:t xml:space="preserve">, 2012 QCCA 1264, which denied forced impleading of same third party in case – </w:t>
            </w:r>
            <w:r w:rsidRPr="002832A9">
              <w:rPr>
                <w:rFonts w:eastAsia="Calibri"/>
                <w:i/>
                <w:sz w:val="20"/>
              </w:rPr>
              <w:t>Code of Civil Procedure</w:t>
            </w:r>
            <w:r w:rsidRPr="002832A9">
              <w:rPr>
                <w:rFonts w:eastAsia="Calibri"/>
                <w:sz w:val="20"/>
              </w:rPr>
              <w:t>, R.S.Q. c. C</w:t>
            </w:r>
            <w:r w:rsidRPr="002832A9">
              <w:rPr>
                <w:rFonts w:eastAsia="Calibri"/>
                <w:sz w:val="20"/>
              </w:rPr>
              <w:noBreakHyphen/>
              <w:t>25, art. 29.</w:t>
            </w:r>
          </w:p>
        </w:tc>
      </w:tr>
      <w:tr w:rsidR="00AE4E02" w:rsidRPr="002832A9" w:rsidTr="001C4AC6">
        <w:tc>
          <w:tcPr>
            <w:tcW w:w="5000" w:type="pct"/>
            <w:gridSpan w:val="3"/>
          </w:tcPr>
          <w:p w:rsidR="00AE4E02" w:rsidRPr="002832A9" w:rsidRDefault="00AE4E02" w:rsidP="001C4AC6">
            <w:pPr>
              <w:jc w:val="both"/>
              <w:rPr>
                <w:rFonts w:eastAsia="Calibri"/>
                <w:sz w:val="20"/>
              </w:rPr>
            </w:pPr>
          </w:p>
        </w:tc>
      </w:tr>
      <w:tr w:rsidR="00AE4E02" w:rsidRPr="002832A9" w:rsidTr="001C4AC6">
        <w:tc>
          <w:tcPr>
            <w:tcW w:w="5000" w:type="pct"/>
            <w:gridSpan w:val="3"/>
          </w:tcPr>
          <w:p w:rsidR="00AE4E02" w:rsidRPr="002832A9" w:rsidRDefault="00AE4E02" w:rsidP="001C4AC6">
            <w:pPr>
              <w:jc w:val="both"/>
              <w:rPr>
                <w:rFonts w:eastAsia="Calibri"/>
                <w:sz w:val="20"/>
              </w:rPr>
            </w:pPr>
            <w:r w:rsidRPr="002832A9">
              <w:rPr>
                <w:rFonts w:eastAsia="Calibri"/>
                <w:sz w:val="20"/>
              </w:rPr>
              <w:t>In dozens of civil liability cases in Trois</w:t>
            </w:r>
            <w:r w:rsidRPr="002832A9">
              <w:rPr>
                <w:rFonts w:eastAsia="Calibri"/>
                <w:sz w:val="20"/>
              </w:rPr>
              <w:noBreakHyphen/>
              <w:t>Rivières, more than a thousand plaintiffs alleged that the concrete from which the foundations of their houses were made was contaminated by iron sulfide, which meant that the foundations had to be replaced.  Multiple parties involved agreed to become defendants and proceed with a test case.  The judgment to be rendered in that case was to apply to all the cases.  In this specific context, the forced impleading of Lafarge was denied to a contractor in July 2012.  SNC, whose opinion had, according to the action, made it directly liable to the concrete companies and indirectly liable to the purchasers, argued in its defence that Lafarge had also been involved and was at fault through negligence; it therefore filed actions in warranty against Lafarge.</w:t>
            </w:r>
          </w:p>
          <w:p w:rsidR="00AE4E02" w:rsidRPr="002832A9" w:rsidRDefault="00AE4E02" w:rsidP="001C4AC6">
            <w:pPr>
              <w:jc w:val="both"/>
              <w:rPr>
                <w:rFonts w:eastAsia="Calibri"/>
                <w:sz w:val="20"/>
              </w:rPr>
            </w:pPr>
          </w:p>
        </w:tc>
      </w:tr>
      <w:tr w:rsidR="00AE4E02" w:rsidRPr="002832A9" w:rsidTr="001C4AC6">
        <w:tc>
          <w:tcPr>
            <w:tcW w:w="2427" w:type="pct"/>
          </w:tcPr>
          <w:p w:rsidR="00AE4E02" w:rsidRPr="002832A9" w:rsidRDefault="00AE4E02" w:rsidP="001C4AC6">
            <w:pPr>
              <w:jc w:val="both"/>
              <w:rPr>
                <w:rFonts w:eastAsia="Calibri"/>
                <w:sz w:val="20"/>
              </w:rPr>
            </w:pPr>
            <w:r w:rsidRPr="002832A9">
              <w:rPr>
                <w:rFonts w:eastAsia="Calibri"/>
                <w:sz w:val="20"/>
              </w:rPr>
              <w:t>March 12, 2013</w:t>
            </w:r>
          </w:p>
          <w:p w:rsidR="00AE4E02" w:rsidRPr="002832A9" w:rsidRDefault="00AE4E02" w:rsidP="001C4AC6">
            <w:pPr>
              <w:jc w:val="both"/>
              <w:rPr>
                <w:rFonts w:eastAsia="Calibri"/>
                <w:sz w:val="20"/>
              </w:rPr>
            </w:pPr>
            <w:r w:rsidRPr="002832A9">
              <w:rPr>
                <w:rFonts w:eastAsia="Calibri"/>
                <w:sz w:val="20"/>
              </w:rPr>
              <w:t>Quebec Superior Court</w:t>
            </w:r>
          </w:p>
          <w:p w:rsidR="00AE4E02" w:rsidRPr="002832A9" w:rsidRDefault="00AE4E02" w:rsidP="001C4AC6">
            <w:pPr>
              <w:jc w:val="both"/>
              <w:rPr>
                <w:rFonts w:eastAsia="Calibri"/>
                <w:sz w:val="20"/>
              </w:rPr>
            </w:pPr>
            <w:r w:rsidRPr="002832A9">
              <w:rPr>
                <w:rFonts w:eastAsia="Calibri"/>
                <w:sz w:val="20"/>
              </w:rPr>
              <w:t>(Parent J.)</w:t>
            </w:r>
          </w:p>
          <w:p w:rsidR="00AE4E02" w:rsidRPr="002832A9" w:rsidRDefault="00AE4E02" w:rsidP="001C4AC6">
            <w:pPr>
              <w:jc w:val="both"/>
              <w:rPr>
                <w:rFonts w:eastAsia="Calibri"/>
                <w:sz w:val="20"/>
              </w:rPr>
            </w:pPr>
            <w:r w:rsidRPr="002832A9">
              <w:rPr>
                <w:rFonts w:eastAsia="Calibri"/>
                <w:sz w:val="20"/>
              </w:rPr>
              <w:t>2013 QCCS 1973</w:t>
            </w:r>
          </w:p>
          <w:p w:rsidR="00AE4E02" w:rsidRPr="002832A9" w:rsidRDefault="00AE4E02" w:rsidP="001C4AC6">
            <w:pPr>
              <w:jc w:val="both"/>
              <w:rPr>
                <w:rFonts w:eastAsia="Calibri"/>
                <w:sz w:val="20"/>
              </w:rPr>
            </w:pPr>
          </w:p>
        </w:tc>
        <w:tc>
          <w:tcPr>
            <w:tcW w:w="243" w:type="pct"/>
          </w:tcPr>
          <w:p w:rsidR="00AE4E02" w:rsidRPr="002832A9" w:rsidRDefault="00AE4E02" w:rsidP="001C4AC6">
            <w:pPr>
              <w:jc w:val="both"/>
              <w:rPr>
                <w:rFonts w:eastAsia="Calibri"/>
                <w:sz w:val="20"/>
              </w:rPr>
            </w:pPr>
          </w:p>
        </w:tc>
        <w:tc>
          <w:tcPr>
            <w:tcW w:w="2330" w:type="pct"/>
          </w:tcPr>
          <w:p w:rsidR="00AE4E02" w:rsidRPr="002832A9" w:rsidRDefault="00AE4E02" w:rsidP="001C4AC6">
            <w:pPr>
              <w:jc w:val="both"/>
              <w:rPr>
                <w:rFonts w:eastAsia="Calibri"/>
                <w:sz w:val="20"/>
              </w:rPr>
            </w:pPr>
            <w:r w:rsidRPr="002832A9">
              <w:rPr>
                <w:rFonts w:eastAsia="Calibri"/>
                <w:sz w:val="20"/>
              </w:rPr>
              <w:t>Applicants’ motion to dismiss respondents’ action in warranty dismissed</w:t>
            </w:r>
          </w:p>
          <w:p w:rsidR="00AE4E02" w:rsidRPr="002832A9" w:rsidRDefault="00AE4E02" w:rsidP="001C4AC6">
            <w:pPr>
              <w:jc w:val="both"/>
              <w:rPr>
                <w:rFonts w:eastAsia="Calibri"/>
                <w:sz w:val="20"/>
              </w:rPr>
            </w:pPr>
          </w:p>
        </w:tc>
      </w:tr>
      <w:tr w:rsidR="00AE4E02" w:rsidRPr="002832A9" w:rsidTr="001C4AC6">
        <w:tc>
          <w:tcPr>
            <w:tcW w:w="2427" w:type="pct"/>
          </w:tcPr>
          <w:p w:rsidR="00AE4E02" w:rsidRPr="002832A9" w:rsidRDefault="00AE4E02" w:rsidP="001C4AC6">
            <w:pPr>
              <w:jc w:val="both"/>
              <w:rPr>
                <w:rFonts w:eastAsia="Calibri"/>
                <w:sz w:val="20"/>
              </w:rPr>
            </w:pPr>
            <w:r w:rsidRPr="002832A9">
              <w:rPr>
                <w:rFonts w:eastAsia="Calibri"/>
                <w:sz w:val="20"/>
              </w:rPr>
              <w:t>June 25, 2013</w:t>
            </w:r>
          </w:p>
          <w:p w:rsidR="00AE4E02" w:rsidRPr="002832A9" w:rsidRDefault="00AE4E02" w:rsidP="001C4AC6">
            <w:pPr>
              <w:jc w:val="both"/>
              <w:rPr>
                <w:rFonts w:eastAsia="Calibri"/>
                <w:sz w:val="20"/>
              </w:rPr>
            </w:pPr>
            <w:r w:rsidRPr="002832A9">
              <w:rPr>
                <w:rFonts w:eastAsia="Calibri"/>
                <w:sz w:val="20"/>
              </w:rPr>
              <w:t>Quebec Court of Appeal (Québec)</w:t>
            </w:r>
          </w:p>
          <w:p w:rsidR="00AE4E02" w:rsidRPr="002832A9" w:rsidRDefault="00AE4E02" w:rsidP="001C4AC6">
            <w:pPr>
              <w:jc w:val="both"/>
              <w:rPr>
                <w:rFonts w:eastAsia="Calibri"/>
                <w:sz w:val="20"/>
              </w:rPr>
            </w:pPr>
            <w:r w:rsidRPr="002832A9">
              <w:rPr>
                <w:rFonts w:eastAsia="Calibri"/>
                <w:sz w:val="20"/>
              </w:rPr>
              <w:t>(Bélanger J.A.)</w:t>
            </w:r>
          </w:p>
          <w:p w:rsidR="00AE4E02" w:rsidRPr="002832A9" w:rsidRDefault="00EB0F11" w:rsidP="001C4AC6">
            <w:pPr>
              <w:jc w:val="both"/>
              <w:rPr>
                <w:rFonts w:eastAsia="Calibri"/>
                <w:sz w:val="20"/>
              </w:rPr>
            </w:pPr>
            <w:hyperlink r:id="rId26" w:history="1">
              <w:r w:rsidR="00AE4E02" w:rsidRPr="002832A9">
                <w:rPr>
                  <w:rFonts w:eastAsia="Calibri"/>
                  <w:color w:val="0000FF"/>
                  <w:sz w:val="20"/>
                  <w:u w:val="single"/>
                </w:rPr>
                <w:t>2013 QCCA 1140</w:t>
              </w:r>
            </w:hyperlink>
          </w:p>
          <w:p w:rsidR="00AE4E02" w:rsidRPr="002832A9" w:rsidRDefault="00AE4E02" w:rsidP="001C4AC6">
            <w:pPr>
              <w:jc w:val="both"/>
              <w:rPr>
                <w:rFonts w:eastAsia="Calibri"/>
                <w:sz w:val="20"/>
              </w:rPr>
            </w:pPr>
          </w:p>
        </w:tc>
        <w:tc>
          <w:tcPr>
            <w:tcW w:w="243" w:type="pct"/>
          </w:tcPr>
          <w:p w:rsidR="00AE4E02" w:rsidRPr="002832A9" w:rsidRDefault="00AE4E02" w:rsidP="001C4AC6">
            <w:pPr>
              <w:jc w:val="both"/>
              <w:rPr>
                <w:rFonts w:eastAsia="Calibri"/>
                <w:sz w:val="20"/>
              </w:rPr>
            </w:pPr>
          </w:p>
        </w:tc>
        <w:tc>
          <w:tcPr>
            <w:tcW w:w="2330" w:type="pct"/>
          </w:tcPr>
          <w:p w:rsidR="00AE4E02" w:rsidRPr="002832A9" w:rsidRDefault="00AE4E02" w:rsidP="001C4AC6">
            <w:pPr>
              <w:jc w:val="both"/>
              <w:rPr>
                <w:rFonts w:eastAsia="Calibri"/>
                <w:sz w:val="20"/>
              </w:rPr>
            </w:pPr>
            <w:r w:rsidRPr="002832A9">
              <w:rPr>
                <w:rFonts w:eastAsia="Calibri"/>
                <w:sz w:val="20"/>
              </w:rPr>
              <w:t>Leave to appeal denied</w:t>
            </w:r>
          </w:p>
        </w:tc>
      </w:tr>
      <w:tr w:rsidR="00AE4E02" w:rsidRPr="002832A9" w:rsidTr="001C4AC6">
        <w:tc>
          <w:tcPr>
            <w:tcW w:w="2427" w:type="pct"/>
          </w:tcPr>
          <w:p w:rsidR="00AE4E02" w:rsidRPr="002832A9" w:rsidRDefault="00AE4E02" w:rsidP="001C4AC6">
            <w:pPr>
              <w:jc w:val="both"/>
              <w:rPr>
                <w:rFonts w:eastAsia="Calibri"/>
                <w:sz w:val="20"/>
              </w:rPr>
            </w:pPr>
            <w:r w:rsidRPr="002832A9">
              <w:rPr>
                <w:rFonts w:eastAsia="Calibri"/>
                <w:sz w:val="20"/>
              </w:rPr>
              <w:t>September 23, 2013</w:t>
            </w:r>
          </w:p>
          <w:p w:rsidR="00AE4E02" w:rsidRPr="002832A9" w:rsidRDefault="00AE4E02" w:rsidP="001C4AC6">
            <w:pPr>
              <w:jc w:val="both"/>
              <w:rPr>
                <w:rFonts w:eastAsia="Calibri"/>
                <w:sz w:val="20"/>
              </w:rPr>
            </w:pPr>
            <w:r w:rsidRPr="002832A9">
              <w:rPr>
                <w:rFonts w:eastAsia="Calibri"/>
                <w:sz w:val="20"/>
              </w:rPr>
              <w:t>Supreme Court of Canada</w:t>
            </w:r>
          </w:p>
        </w:tc>
        <w:tc>
          <w:tcPr>
            <w:tcW w:w="243" w:type="pct"/>
          </w:tcPr>
          <w:p w:rsidR="00AE4E02" w:rsidRPr="002832A9" w:rsidRDefault="00AE4E02" w:rsidP="001C4AC6">
            <w:pPr>
              <w:jc w:val="both"/>
              <w:rPr>
                <w:rFonts w:eastAsia="Calibri"/>
                <w:sz w:val="20"/>
              </w:rPr>
            </w:pPr>
          </w:p>
        </w:tc>
        <w:tc>
          <w:tcPr>
            <w:tcW w:w="2330" w:type="pct"/>
          </w:tcPr>
          <w:p w:rsidR="00AE4E02" w:rsidRPr="002832A9" w:rsidRDefault="00AE4E02" w:rsidP="001C4AC6">
            <w:pPr>
              <w:jc w:val="both"/>
              <w:rPr>
                <w:rFonts w:eastAsia="Calibri"/>
                <w:sz w:val="20"/>
              </w:rPr>
            </w:pPr>
            <w:r w:rsidRPr="002832A9">
              <w:rPr>
                <w:rFonts w:eastAsia="Calibri"/>
                <w:sz w:val="20"/>
              </w:rPr>
              <w:t>Application for leave to appeal filed</w:t>
            </w:r>
          </w:p>
        </w:tc>
      </w:tr>
    </w:tbl>
    <w:p w:rsidR="002A46DC" w:rsidRDefault="002A46DC" w:rsidP="002A46DC">
      <w:pPr>
        <w:rPr>
          <w:sz w:val="20"/>
          <w:szCs w:val="20"/>
        </w:rPr>
      </w:pPr>
    </w:p>
    <w:p w:rsidR="002A46DC" w:rsidRPr="00C50A5C" w:rsidRDefault="00EB0F11" w:rsidP="002A46DC">
      <w:pPr>
        <w:rPr>
          <w:sz w:val="20"/>
          <w:szCs w:val="20"/>
        </w:rPr>
      </w:pPr>
      <w:r>
        <w:rPr>
          <w:sz w:val="20"/>
          <w:szCs w:val="20"/>
          <w:lang w:val="fr-CA"/>
        </w:rPr>
        <w:lastRenderedPageBreak/>
        <w:pict>
          <v:rect id="_x0000_i1043" style="width:2in;height:1pt" o:hrpct="0" o:hralign="center" o:hrstd="t" o:hrnoshade="t" o:hr="t" fillcolor="black [3213]" stroked="f"/>
        </w:pict>
      </w:r>
    </w:p>
    <w:p w:rsidR="002A46DC" w:rsidRDefault="002A46DC" w:rsidP="002A46DC">
      <w:pPr>
        <w:rPr>
          <w:sz w:val="20"/>
          <w:szCs w:val="20"/>
        </w:rPr>
      </w:pPr>
    </w:p>
    <w:p w:rsidR="002A46DC" w:rsidRPr="001B157C" w:rsidRDefault="002A46DC" w:rsidP="002A46DC">
      <w:pPr>
        <w:rPr>
          <w:sz w:val="20"/>
          <w:szCs w:val="20"/>
          <w:u w:val="single"/>
          <w:lang w:val="fr-CA"/>
        </w:rPr>
      </w:pPr>
      <w:r w:rsidRPr="001B157C">
        <w:rPr>
          <w:sz w:val="20"/>
          <w:szCs w:val="20"/>
          <w:u w:val="single"/>
          <w:lang w:val="fr-CA"/>
        </w:rPr>
        <w:t>RÉSUMÉ DE L’AFFAIRE</w:t>
      </w:r>
    </w:p>
    <w:p w:rsidR="002A46DC" w:rsidRDefault="002A46DC" w:rsidP="002A46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E4E02" w:rsidRPr="002832A9" w:rsidTr="001C4AC6">
        <w:tc>
          <w:tcPr>
            <w:tcW w:w="5000" w:type="pct"/>
            <w:gridSpan w:val="3"/>
          </w:tcPr>
          <w:p w:rsidR="00AE4E02" w:rsidRPr="002832A9" w:rsidRDefault="00AE4E02" w:rsidP="001C4AC6">
            <w:pPr>
              <w:jc w:val="both"/>
              <w:rPr>
                <w:rFonts w:eastAsia="Calibri"/>
                <w:sz w:val="20"/>
                <w:lang w:val="fr-CA"/>
              </w:rPr>
            </w:pPr>
            <w:r w:rsidRPr="002832A9">
              <w:rPr>
                <w:rFonts w:eastAsia="Calibri"/>
                <w:sz w:val="20"/>
                <w:lang w:val="fr-CA"/>
              </w:rPr>
              <w:t xml:space="preserve">Procédure civile – Action en garantie – Litige multipartite en responsabilité civile pour utilisation de pyrite dans les solages – Contrat judiciaire intervenu pour faciliter les procédures - Mise en cause forcée d’un tiers refusée ultérieurement à un entrepreneur – Action en garantie contre ce même tiers entreprise par un défendeur et permise par le tribunal – La Cour d’appel a-t-elle négligé le principe de proportionnalité en tant que principe directif de l’administration de la justice? – Un recours récursoire anticipé, fondé sur un droit d’action non encore né, peut-il procéder de façon parallèle et autonome par rapport au recours principal? – Y avait-il chose jugée au regard de </w:t>
            </w:r>
            <w:r w:rsidRPr="002832A9">
              <w:rPr>
                <w:rFonts w:eastAsia="Calibri"/>
                <w:i/>
                <w:sz w:val="20"/>
                <w:lang w:val="fr-CA"/>
              </w:rPr>
              <w:t>Lafarge c. Construction Fré-Jean</w:t>
            </w:r>
            <w:r w:rsidRPr="002832A9">
              <w:rPr>
                <w:rFonts w:eastAsia="Calibri"/>
                <w:sz w:val="20"/>
                <w:lang w:val="fr-CA"/>
              </w:rPr>
              <w:t xml:space="preserve">, 2012 QCCA 1264, qui a refusé la mise en cause forcée du même tiers au litige? – </w:t>
            </w:r>
            <w:r w:rsidRPr="002832A9">
              <w:rPr>
                <w:rFonts w:eastAsia="Calibri"/>
                <w:i/>
                <w:sz w:val="20"/>
                <w:lang w:val="fr-CA"/>
              </w:rPr>
              <w:t>Code de procédure civile</w:t>
            </w:r>
            <w:r w:rsidRPr="002832A9">
              <w:rPr>
                <w:rFonts w:eastAsia="Calibri"/>
                <w:sz w:val="20"/>
                <w:lang w:val="fr-CA"/>
              </w:rPr>
              <w:t>, L.R.Q. ch. C-25, art. 29.</w:t>
            </w:r>
          </w:p>
        </w:tc>
      </w:tr>
      <w:tr w:rsidR="00AE4E02" w:rsidRPr="002832A9" w:rsidTr="001C4AC6">
        <w:tc>
          <w:tcPr>
            <w:tcW w:w="5000" w:type="pct"/>
            <w:gridSpan w:val="3"/>
          </w:tcPr>
          <w:p w:rsidR="00AE4E02" w:rsidRPr="002832A9" w:rsidRDefault="00AE4E02" w:rsidP="001C4AC6">
            <w:pPr>
              <w:jc w:val="both"/>
              <w:rPr>
                <w:rFonts w:eastAsia="Calibri"/>
                <w:sz w:val="20"/>
                <w:lang w:val="fr-CA"/>
              </w:rPr>
            </w:pPr>
          </w:p>
        </w:tc>
      </w:tr>
      <w:tr w:rsidR="00AE4E02" w:rsidRPr="00EB0F11" w:rsidTr="001C4AC6">
        <w:tc>
          <w:tcPr>
            <w:tcW w:w="5000" w:type="pct"/>
            <w:gridSpan w:val="3"/>
          </w:tcPr>
          <w:p w:rsidR="00AE4E02" w:rsidRPr="002832A9" w:rsidRDefault="00AE4E02" w:rsidP="001C4AC6">
            <w:pPr>
              <w:jc w:val="both"/>
              <w:rPr>
                <w:rFonts w:eastAsia="Calibri"/>
                <w:sz w:val="20"/>
                <w:lang w:val="fr-CA"/>
              </w:rPr>
            </w:pPr>
            <w:r w:rsidRPr="002832A9">
              <w:rPr>
                <w:rFonts w:eastAsia="Calibri"/>
                <w:sz w:val="20"/>
                <w:lang w:val="fr-CA"/>
              </w:rPr>
              <w:t>Dans des dizaines de dossiers en responsabilité civile, à Trois-Rivières, plus de mille demandeurs allèguent que le béton dont est composé le solage de leur maison est corrompu par du sulfure de fer. Cette présence exigerait le remplacement des solages.  De multiples parties impliquées acceptent de se constituer défenderesses et de procéder dans un dossier type, le jugement à intervenir devant valoir pour l'ensemble des dossiers.  Dans ce contexte particulier, un entrepreneur s’est vu refuser, en juillet 2012, la mise en cause forcée de Lafarge.  SNC, dont l’opinion aurait, selon la poursuite, engagé sa responsabilité directe auprès des bétonnières et indirecte auprès des acheteurs, soutient dans sa défense que Lafarge a également été impliquée et a commis des fautes de négligence; elle dépose donc contre elle des actions en garantie.</w:t>
            </w:r>
          </w:p>
          <w:p w:rsidR="00AE4E02" w:rsidRPr="002832A9" w:rsidRDefault="00AE4E02" w:rsidP="001C4AC6">
            <w:pPr>
              <w:jc w:val="both"/>
              <w:rPr>
                <w:rFonts w:eastAsia="Calibri"/>
                <w:sz w:val="20"/>
                <w:lang w:val="fr-CA"/>
              </w:rPr>
            </w:pPr>
          </w:p>
        </w:tc>
      </w:tr>
      <w:tr w:rsidR="00AE4E02" w:rsidRPr="00EB0F11" w:rsidTr="001C4AC6">
        <w:tc>
          <w:tcPr>
            <w:tcW w:w="2427" w:type="pct"/>
          </w:tcPr>
          <w:p w:rsidR="00AE4E02" w:rsidRPr="002832A9" w:rsidRDefault="00AE4E02" w:rsidP="001C4AC6">
            <w:pPr>
              <w:jc w:val="both"/>
              <w:rPr>
                <w:rFonts w:eastAsia="Calibri"/>
                <w:sz w:val="20"/>
                <w:lang w:val="fr-CA"/>
              </w:rPr>
            </w:pPr>
            <w:r w:rsidRPr="002832A9">
              <w:rPr>
                <w:rFonts w:eastAsia="Calibri"/>
                <w:sz w:val="20"/>
                <w:lang w:val="fr-CA"/>
              </w:rPr>
              <w:t>Le 12 mars 2013</w:t>
            </w:r>
          </w:p>
          <w:p w:rsidR="00AE4E02" w:rsidRPr="002832A9" w:rsidRDefault="00AE4E02" w:rsidP="001C4AC6">
            <w:pPr>
              <w:jc w:val="both"/>
              <w:rPr>
                <w:rFonts w:eastAsia="Calibri"/>
                <w:sz w:val="20"/>
                <w:lang w:val="fr-CA"/>
              </w:rPr>
            </w:pPr>
            <w:r w:rsidRPr="002832A9">
              <w:rPr>
                <w:rFonts w:eastAsia="Calibri"/>
                <w:sz w:val="20"/>
                <w:lang w:val="fr-CA"/>
              </w:rPr>
              <w:t>Cour supérieure du Québec</w:t>
            </w:r>
          </w:p>
          <w:p w:rsidR="00AE4E02" w:rsidRPr="002832A9" w:rsidRDefault="00AE4E02" w:rsidP="001C4AC6">
            <w:pPr>
              <w:jc w:val="both"/>
              <w:rPr>
                <w:rFonts w:eastAsia="Calibri"/>
                <w:sz w:val="20"/>
                <w:lang w:val="fr-CA"/>
              </w:rPr>
            </w:pPr>
            <w:r w:rsidRPr="002832A9">
              <w:rPr>
                <w:rFonts w:eastAsia="Calibri"/>
                <w:sz w:val="20"/>
                <w:lang w:val="fr-CA"/>
              </w:rPr>
              <w:t>(Le juge Parent)</w:t>
            </w:r>
          </w:p>
          <w:p w:rsidR="00AE4E02" w:rsidRPr="002832A9" w:rsidRDefault="00AE4E02" w:rsidP="001C4AC6">
            <w:pPr>
              <w:jc w:val="both"/>
              <w:rPr>
                <w:rFonts w:eastAsia="Calibri"/>
                <w:sz w:val="20"/>
                <w:lang w:val="fr-CA"/>
              </w:rPr>
            </w:pPr>
            <w:r w:rsidRPr="002832A9">
              <w:rPr>
                <w:rFonts w:eastAsia="Calibri"/>
                <w:sz w:val="20"/>
                <w:lang w:val="fr-CA"/>
              </w:rPr>
              <w:t>2013 QCCS 1973</w:t>
            </w:r>
          </w:p>
          <w:p w:rsidR="00AE4E02" w:rsidRPr="002832A9" w:rsidRDefault="00AE4E02" w:rsidP="001C4AC6">
            <w:pPr>
              <w:jc w:val="both"/>
              <w:rPr>
                <w:rFonts w:eastAsia="Calibri"/>
                <w:sz w:val="20"/>
              </w:rPr>
            </w:pPr>
          </w:p>
        </w:tc>
        <w:tc>
          <w:tcPr>
            <w:tcW w:w="243" w:type="pct"/>
          </w:tcPr>
          <w:p w:rsidR="00AE4E02" w:rsidRPr="002832A9" w:rsidRDefault="00AE4E02" w:rsidP="001C4AC6">
            <w:pPr>
              <w:jc w:val="both"/>
              <w:rPr>
                <w:rFonts w:eastAsia="Calibri"/>
                <w:sz w:val="20"/>
              </w:rPr>
            </w:pPr>
          </w:p>
        </w:tc>
        <w:tc>
          <w:tcPr>
            <w:tcW w:w="2330" w:type="pct"/>
          </w:tcPr>
          <w:p w:rsidR="00AE4E02" w:rsidRPr="002832A9" w:rsidRDefault="00AE4E02" w:rsidP="001C4AC6">
            <w:pPr>
              <w:jc w:val="both"/>
              <w:rPr>
                <w:rFonts w:eastAsia="Calibri"/>
                <w:sz w:val="20"/>
                <w:lang w:val="fr-CA"/>
              </w:rPr>
            </w:pPr>
            <w:r w:rsidRPr="002832A9">
              <w:rPr>
                <w:rFonts w:eastAsia="Calibri"/>
                <w:sz w:val="20"/>
                <w:lang w:val="fr-CA"/>
              </w:rPr>
              <w:t>Rejet de la requête des demanderesses en rejet de l’action en garantie des intimés.</w:t>
            </w:r>
          </w:p>
          <w:p w:rsidR="00AE4E02" w:rsidRPr="002832A9" w:rsidRDefault="00AE4E02" w:rsidP="001C4AC6">
            <w:pPr>
              <w:jc w:val="both"/>
              <w:rPr>
                <w:rFonts w:eastAsia="Calibri"/>
                <w:sz w:val="20"/>
                <w:lang w:val="fr-CA"/>
              </w:rPr>
            </w:pPr>
          </w:p>
        </w:tc>
      </w:tr>
      <w:tr w:rsidR="00AE4E02" w:rsidRPr="00EB0F11" w:rsidTr="001C4AC6">
        <w:tc>
          <w:tcPr>
            <w:tcW w:w="2427" w:type="pct"/>
          </w:tcPr>
          <w:p w:rsidR="00AE4E02" w:rsidRPr="002832A9" w:rsidRDefault="00AE4E02" w:rsidP="001C4AC6">
            <w:pPr>
              <w:jc w:val="both"/>
              <w:rPr>
                <w:rFonts w:eastAsia="Calibri"/>
                <w:sz w:val="20"/>
                <w:lang w:val="fr-CA"/>
              </w:rPr>
            </w:pPr>
            <w:r w:rsidRPr="002832A9">
              <w:rPr>
                <w:rFonts w:eastAsia="Calibri"/>
                <w:sz w:val="20"/>
                <w:lang w:val="fr-CA"/>
              </w:rPr>
              <w:t>Le 25 juin 2013</w:t>
            </w:r>
          </w:p>
          <w:p w:rsidR="00AE4E02" w:rsidRPr="002832A9" w:rsidRDefault="00AE4E02" w:rsidP="001C4AC6">
            <w:pPr>
              <w:jc w:val="both"/>
              <w:rPr>
                <w:rFonts w:eastAsia="Calibri"/>
                <w:sz w:val="20"/>
                <w:lang w:val="fr-CA"/>
              </w:rPr>
            </w:pPr>
            <w:r w:rsidRPr="002832A9">
              <w:rPr>
                <w:rFonts w:eastAsia="Calibri"/>
                <w:sz w:val="20"/>
                <w:lang w:val="fr-CA"/>
              </w:rPr>
              <w:t>Cour d’appel du Québec (Québec)</w:t>
            </w:r>
          </w:p>
          <w:p w:rsidR="00AE4E02" w:rsidRPr="002832A9" w:rsidRDefault="00AE4E02" w:rsidP="001C4AC6">
            <w:pPr>
              <w:jc w:val="both"/>
              <w:rPr>
                <w:rFonts w:eastAsia="Calibri"/>
                <w:sz w:val="20"/>
                <w:lang w:val="fr-CA"/>
              </w:rPr>
            </w:pPr>
            <w:r w:rsidRPr="002832A9">
              <w:rPr>
                <w:rFonts w:eastAsia="Calibri"/>
                <w:sz w:val="20"/>
                <w:lang w:val="fr-CA"/>
              </w:rPr>
              <w:t>(La juge Bélanger)</w:t>
            </w:r>
          </w:p>
          <w:p w:rsidR="00AE4E02" w:rsidRPr="002832A9" w:rsidRDefault="00EB0F11" w:rsidP="001C4AC6">
            <w:pPr>
              <w:jc w:val="both"/>
              <w:rPr>
                <w:rFonts w:eastAsia="Calibri"/>
                <w:sz w:val="20"/>
                <w:lang w:val="fr-CA"/>
              </w:rPr>
            </w:pPr>
            <w:hyperlink r:id="rId27" w:history="1">
              <w:r w:rsidR="00AE4E02" w:rsidRPr="002832A9">
                <w:rPr>
                  <w:rFonts w:eastAsia="Calibri"/>
                  <w:color w:val="0000FF"/>
                  <w:sz w:val="20"/>
                  <w:u w:val="single"/>
                  <w:lang w:val="fr-CA"/>
                </w:rPr>
                <w:t>2013 QCCA 1140</w:t>
              </w:r>
            </w:hyperlink>
          </w:p>
          <w:p w:rsidR="00AE4E02" w:rsidRPr="002832A9" w:rsidRDefault="00AE4E02" w:rsidP="001C4AC6">
            <w:pPr>
              <w:jc w:val="both"/>
              <w:rPr>
                <w:rFonts w:eastAsia="Calibri"/>
                <w:sz w:val="20"/>
              </w:rPr>
            </w:pPr>
          </w:p>
        </w:tc>
        <w:tc>
          <w:tcPr>
            <w:tcW w:w="243" w:type="pct"/>
          </w:tcPr>
          <w:p w:rsidR="00AE4E02" w:rsidRPr="002832A9" w:rsidRDefault="00AE4E02" w:rsidP="001C4AC6">
            <w:pPr>
              <w:jc w:val="both"/>
              <w:rPr>
                <w:rFonts w:eastAsia="Calibri"/>
                <w:sz w:val="20"/>
              </w:rPr>
            </w:pPr>
          </w:p>
        </w:tc>
        <w:tc>
          <w:tcPr>
            <w:tcW w:w="2330" w:type="pct"/>
          </w:tcPr>
          <w:p w:rsidR="00AE4E02" w:rsidRPr="002832A9" w:rsidRDefault="00AE4E02" w:rsidP="001C4AC6">
            <w:pPr>
              <w:jc w:val="both"/>
              <w:rPr>
                <w:rFonts w:eastAsia="Calibri"/>
                <w:sz w:val="20"/>
                <w:lang w:val="fr-CA"/>
              </w:rPr>
            </w:pPr>
            <w:r w:rsidRPr="002832A9">
              <w:rPr>
                <w:rFonts w:eastAsia="Calibri"/>
                <w:sz w:val="20"/>
                <w:lang w:val="fr-CA"/>
              </w:rPr>
              <w:t>Refus de la permission d’appeler.</w:t>
            </w:r>
          </w:p>
        </w:tc>
      </w:tr>
      <w:tr w:rsidR="00AE4E02" w:rsidRPr="00EB0F11" w:rsidTr="001C4AC6">
        <w:tc>
          <w:tcPr>
            <w:tcW w:w="2427" w:type="pct"/>
          </w:tcPr>
          <w:p w:rsidR="00AE4E02" w:rsidRPr="002832A9" w:rsidRDefault="00AE4E02" w:rsidP="001C4AC6">
            <w:pPr>
              <w:jc w:val="both"/>
              <w:rPr>
                <w:rFonts w:eastAsia="Calibri"/>
                <w:sz w:val="20"/>
                <w:lang w:val="fr-CA"/>
              </w:rPr>
            </w:pPr>
            <w:r w:rsidRPr="002832A9">
              <w:rPr>
                <w:rFonts w:eastAsia="Calibri"/>
                <w:sz w:val="20"/>
                <w:lang w:val="fr-CA"/>
              </w:rPr>
              <w:t>Le 23 septembre 2013</w:t>
            </w:r>
          </w:p>
          <w:p w:rsidR="00AE4E02" w:rsidRPr="002832A9" w:rsidRDefault="00AE4E02" w:rsidP="001C4AC6">
            <w:pPr>
              <w:jc w:val="both"/>
              <w:rPr>
                <w:rFonts w:eastAsia="Calibri"/>
                <w:sz w:val="20"/>
                <w:lang w:val="fr-CA"/>
              </w:rPr>
            </w:pPr>
            <w:r w:rsidRPr="002832A9">
              <w:rPr>
                <w:rFonts w:eastAsia="Calibri"/>
                <w:sz w:val="20"/>
                <w:lang w:val="fr-CA"/>
              </w:rPr>
              <w:t>Cour suprême du Canada</w:t>
            </w:r>
          </w:p>
        </w:tc>
        <w:tc>
          <w:tcPr>
            <w:tcW w:w="243" w:type="pct"/>
          </w:tcPr>
          <w:p w:rsidR="00AE4E02" w:rsidRPr="002832A9" w:rsidRDefault="00AE4E02" w:rsidP="001C4AC6">
            <w:pPr>
              <w:jc w:val="both"/>
              <w:rPr>
                <w:rFonts w:eastAsia="Calibri"/>
                <w:sz w:val="20"/>
                <w:lang w:val="fr-CA"/>
              </w:rPr>
            </w:pPr>
          </w:p>
        </w:tc>
        <w:tc>
          <w:tcPr>
            <w:tcW w:w="2330" w:type="pct"/>
          </w:tcPr>
          <w:p w:rsidR="00AE4E02" w:rsidRPr="002832A9" w:rsidRDefault="00AE4E02" w:rsidP="001C4AC6">
            <w:pPr>
              <w:jc w:val="both"/>
              <w:rPr>
                <w:rFonts w:eastAsia="Calibri"/>
                <w:sz w:val="20"/>
                <w:lang w:val="fr-CA"/>
              </w:rPr>
            </w:pPr>
            <w:r w:rsidRPr="002832A9">
              <w:rPr>
                <w:rFonts w:eastAsia="Calibri"/>
                <w:sz w:val="20"/>
                <w:lang w:val="fr-CA"/>
              </w:rPr>
              <w:t>Dépôt de la demande d'autorisation d'appel.</w:t>
            </w:r>
          </w:p>
          <w:p w:rsidR="00AE4E02" w:rsidRPr="002832A9" w:rsidRDefault="00AE4E02" w:rsidP="001C4AC6">
            <w:pPr>
              <w:jc w:val="both"/>
              <w:rPr>
                <w:rFonts w:eastAsia="Calibri"/>
                <w:sz w:val="20"/>
                <w:lang w:val="fr-CA"/>
              </w:rPr>
            </w:pPr>
          </w:p>
        </w:tc>
      </w:tr>
    </w:tbl>
    <w:p w:rsidR="002A46DC" w:rsidRPr="00AE4E02" w:rsidRDefault="002A46DC" w:rsidP="002A46DC">
      <w:pPr>
        <w:rPr>
          <w:sz w:val="20"/>
          <w:szCs w:val="20"/>
          <w:lang w:val="fr-CA"/>
        </w:rPr>
      </w:pPr>
    </w:p>
    <w:p w:rsidR="002A46DC" w:rsidRDefault="00EB0F11" w:rsidP="002A46DC">
      <w:pPr>
        <w:rPr>
          <w:sz w:val="20"/>
          <w:szCs w:val="20"/>
        </w:rPr>
      </w:pPr>
      <w:r>
        <w:rPr>
          <w:sz w:val="20"/>
          <w:szCs w:val="20"/>
          <w:lang w:val="fr-CA"/>
        </w:rPr>
        <w:pict>
          <v:rect id="_x0000_i1044" style="width:2in;height:1pt" o:hrpct="0" o:hralign="center" o:hrstd="t" o:hrnoshade="t" o:hr="t" fillcolor="black [3213]" stroked="f"/>
        </w:pict>
      </w:r>
    </w:p>
    <w:p w:rsidR="002A46DC" w:rsidRDefault="002A46DC" w:rsidP="002A46DC">
      <w:pPr>
        <w:rPr>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C36376" w:rsidRPr="00C36376" w:rsidTr="003052E5">
        <w:trPr>
          <w:cantSplit/>
        </w:trPr>
        <w:tc>
          <w:tcPr>
            <w:tcW w:w="1458" w:type="dxa"/>
          </w:tcPr>
          <w:p w:rsidR="00C36376" w:rsidRPr="00C36376" w:rsidRDefault="00C36376" w:rsidP="00C36376">
            <w:pPr>
              <w:rPr>
                <w:sz w:val="20"/>
              </w:rPr>
            </w:pPr>
            <w:r w:rsidRPr="00C36376">
              <w:rPr>
                <w:b/>
                <w:sz w:val="20"/>
                <w:lang w:val="fr-CA"/>
              </w:rPr>
              <w:t>35544</w:t>
            </w:r>
          </w:p>
          <w:p w:rsidR="00C36376" w:rsidRPr="00C36376" w:rsidRDefault="00C36376" w:rsidP="00C36376">
            <w:pPr>
              <w:rPr>
                <w:b/>
                <w:sz w:val="20"/>
                <w:lang w:val="fr-CA"/>
              </w:rPr>
            </w:pPr>
          </w:p>
        </w:tc>
        <w:tc>
          <w:tcPr>
            <w:tcW w:w="8118" w:type="dxa"/>
          </w:tcPr>
          <w:p w:rsidR="00C36376" w:rsidRPr="00C36376" w:rsidRDefault="00C36376" w:rsidP="00C36376">
            <w:pPr>
              <w:jc w:val="both"/>
              <w:rPr>
                <w:sz w:val="20"/>
              </w:rPr>
            </w:pPr>
            <w:r w:rsidRPr="00C36376">
              <w:rPr>
                <w:b/>
                <w:sz w:val="20"/>
                <w:u w:val="single"/>
              </w:rPr>
              <w:t>IMS Health Canada Inc. c. Th!nk Business Insights Ltd.</w:t>
            </w:r>
            <w:r w:rsidR="001C2AB7">
              <w:rPr>
                <w:b/>
                <w:sz w:val="20"/>
                <w:u w:val="single"/>
              </w:rPr>
              <w:t xml:space="preserve"> et</w:t>
            </w:r>
            <w:r w:rsidRPr="00C36376">
              <w:rPr>
                <w:b/>
                <w:sz w:val="20"/>
                <w:u w:val="single"/>
              </w:rPr>
              <w:t xml:space="preserve"> Mark Maciw</w:t>
            </w:r>
            <w:r w:rsidRPr="00C36376">
              <w:rPr>
                <w:sz w:val="20"/>
              </w:rPr>
              <w:t xml:space="preserve"> (Qc) (Civile) (Autorisation)</w:t>
            </w:r>
          </w:p>
          <w:p w:rsidR="00C36376" w:rsidRPr="00C36376" w:rsidRDefault="00C36376" w:rsidP="00C36376">
            <w:pPr>
              <w:jc w:val="both"/>
              <w:rPr>
                <w:sz w:val="20"/>
              </w:rPr>
            </w:pPr>
          </w:p>
        </w:tc>
      </w:tr>
      <w:tr w:rsidR="00C36376" w:rsidRPr="00EB0F11" w:rsidTr="003052E5">
        <w:trPr>
          <w:cantSplit/>
        </w:trPr>
        <w:tc>
          <w:tcPr>
            <w:tcW w:w="1458" w:type="dxa"/>
          </w:tcPr>
          <w:p w:rsidR="00C36376" w:rsidRPr="00C36376" w:rsidRDefault="00C36376" w:rsidP="00C36376">
            <w:pPr>
              <w:rPr>
                <w:sz w:val="20"/>
              </w:rPr>
            </w:pPr>
            <w:r w:rsidRPr="00C36376">
              <w:rPr>
                <w:sz w:val="20"/>
              </w:rPr>
              <w:t>Coram :</w:t>
            </w:r>
          </w:p>
        </w:tc>
        <w:tc>
          <w:tcPr>
            <w:tcW w:w="8118" w:type="dxa"/>
          </w:tcPr>
          <w:p w:rsidR="00C36376" w:rsidRPr="00C36376" w:rsidRDefault="00C36376" w:rsidP="00C36376">
            <w:pPr>
              <w:rPr>
                <w:sz w:val="20"/>
                <w:lang w:val="fr-CA"/>
              </w:rPr>
            </w:pPr>
            <w:r w:rsidRPr="00C36376">
              <w:rPr>
                <w:sz w:val="20"/>
                <w:u w:val="single"/>
                <w:lang w:val="fr-CA"/>
              </w:rPr>
              <w:t>Les juges LeBel, Karakatsanis et Wagner</w:t>
            </w:r>
          </w:p>
          <w:p w:rsidR="00C36376" w:rsidRPr="00C36376" w:rsidRDefault="00C36376" w:rsidP="00C36376">
            <w:pPr>
              <w:rPr>
                <w:sz w:val="20"/>
                <w:u w:val="single"/>
                <w:lang w:val="fr-CA"/>
              </w:rPr>
            </w:pPr>
          </w:p>
        </w:tc>
      </w:tr>
      <w:tr w:rsidR="00C36376" w:rsidRPr="00C36376" w:rsidTr="003052E5">
        <w:trPr>
          <w:cantSplit/>
        </w:trPr>
        <w:tc>
          <w:tcPr>
            <w:tcW w:w="9576" w:type="dxa"/>
            <w:gridSpan w:val="2"/>
          </w:tcPr>
          <w:p w:rsidR="00C36376" w:rsidRPr="00C36376" w:rsidRDefault="00C36376" w:rsidP="00C36376">
            <w:pPr>
              <w:ind w:firstLine="720"/>
              <w:jc w:val="both"/>
              <w:rPr>
                <w:sz w:val="20"/>
                <w:lang w:val="fr-CA"/>
              </w:rPr>
            </w:pPr>
            <w:r w:rsidRPr="00C36376">
              <w:rPr>
                <w:sz w:val="20"/>
                <w:lang w:val="fr-CA"/>
              </w:rPr>
              <w:lastRenderedPageBreak/>
              <w:t>La demande d’autorisation d’appel de l’arrêt de la Cour d’appel du Québec (Montréal), numéro 500-09-023492-135, 2013 QCCA 1303, daté du 31 juillet 2013, est rejetée sans dépens.</w:t>
            </w:r>
          </w:p>
          <w:p w:rsidR="00C36376" w:rsidRPr="00C36376" w:rsidRDefault="00C36376" w:rsidP="00C36376">
            <w:pPr>
              <w:ind w:firstLine="720"/>
              <w:jc w:val="both"/>
              <w:rPr>
                <w:sz w:val="20"/>
                <w:lang w:val="fr-CA"/>
              </w:rPr>
            </w:pPr>
          </w:p>
          <w:p w:rsidR="00C36376" w:rsidRPr="00C36376" w:rsidRDefault="00C36376" w:rsidP="00C36376">
            <w:pPr>
              <w:ind w:firstLine="720"/>
              <w:jc w:val="both"/>
              <w:rPr>
                <w:sz w:val="20"/>
              </w:rPr>
            </w:pPr>
            <w:r w:rsidRPr="00C36376">
              <w:rPr>
                <w:sz w:val="20"/>
              </w:rPr>
              <w:t>The application for leave to appeal from the judgment of the Court of Appeal of Quebec (Montréal), Number 500-09-023492-135, 2013 QCCA 1303, dated July 31, 2013, is dismissed without costs.</w:t>
            </w:r>
          </w:p>
        </w:tc>
      </w:tr>
    </w:tbl>
    <w:p w:rsidR="002A46DC" w:rsidRPr="00C36376" w:rsidRDefault="002A46DC" w:rsidP="002A46DC">
      <w:pPr>
        <w:rPr>
          <w:sz w:val="20"/>
          <w:szCs w:val="20"/>
        </w:rPr>
      </w:pPr>
    </w:p>
    <w:p w:rsidR="002A46DC" w:rsidRPr="001B157C" w:rsidRDefault="002A46DC" w:rsidP="002A46DC">
      <w:pPr>
        <w:rPr>
          <w:sz w:val="20"/>
          <w:szCs w:val="20"/>
          <w:u w:val="single"/>
        </w:rPr>
      </w:pPr>
      <w:r w:rsidRPr="001B157C">
        <w:rPr>
          <w:sz w:val="20"/>
          <w:szCs w:val="20"/>
          <w:u w:val="single"/>
        </w:rPr>
        <w:t>CASE SUMMARY</w:t>
      </w:r>
    </w:p>
    <w:p w:rsidR="002A46DC" w:rsidRDefault="002A46DC" w:rsidP="002A46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E4E02" w:rsidRPr="002832A9" w:rsidTr="001C4AC6">
        <w:tc>
          <w:tcPr>
            <w:tcW w:w="5000" w:type="pct"/>
            <w:gridSpan w:val="3"/>
          </w:tcPr>
          <w:p w:rsidR="00AE4E02" w:rsidRPr="002832A9" w:rsidRDefault="00AE4E02" w:rsidP="001C4AC6">
            <w:pPr>
              <w:jc w:val="both"/>
              <w:rPr>
                <w:rFonts w:eastAsia="Calibri"/>
                <w:sz w:val="20"/>
              </w:rPr>
            </w:pPr>
            <w:r w:rsidRPr="002832A9">
              <w:rPr>
                <w:rFonts w:eastAsia="Calibri"/>
                <w:sz w:val="20"/>
              </w:rPr>
              <w:t>Civil procedure – Anton Piller orders – Motion to rescind – Access to seized material – Criteria for denying party that obtained Anton Piller order access to seized material until ruling by court on grounds for rescinding order raised by party covered by order – Whether courts below erred in this regard.</w:t>
            </w:r>
          </w:p>
        </w:tc>
      </w:tr>
      <w:tr w:rsidR="00AE4E02" w:rsidRPr="002832A9" w:rsidTr="001C4AC6">
        <w:tc>
          <w:tcPr>
            <w:tcW w:w="5000" w:type="pct"/>
            <w:gridSpan w:val="3"/>
          </w:tcPr>
          <w:p w:rsidR="00AE4E02" w:rsidRPr="002832A9" w:rsidRDefault="00AE4E02" w:rsidP="001C4AC6">
            <w:pPr>
              <w:jc w:val="both"/>
              <w:rPr>
                <w:rFonts w:eastAsia="Calibri"/>
                <w:sz w:val="20"/>
              </w:rPr>
            </w:pPr>
          </w:p>
        </w:tc>
      </w:tr>
      <w:tr w:rsidR="00AE4E02" w:rsidRPr="002832A9" w:rsidTr="001C4AC6">
        <w:tc>
          <w:tcPr>
            <w:tcW w:w="5000" w:type="pct"/>
            <w:gridSpan w:val="3"/>
          </w:tcPr>
          <w:p w:rsidR="00AE4E02" w:rsidRPr="002832A9" w:rsidRDefault="00AE4E02" w:rsidP="001C4AC6">
            <w:pPr>
              <w:jc w:val="both"/>
              <w:rPr>
                <w:rFonts w:eastAsia="Calibri"/>
                <w:sz w:val="20"/>
              </w:rPr>
            </w:pPr>
            <w:r w:rsidRPr="002832A9">
              <w:rPr>
                <w:rFonts w:eastAsia="Calibri"/>
                <w:sz w:val="20"/>
              </w:rPr>
              <w:t xml:space="preserve">In 2012, the applicant, IMS, instituted injunction proceedings against the respondents, Th!nk Business and Mark Maciw, alleging, </w:t>
            </w:r>
            <w:r w:rsidRPr="002832A9">
              <w:rPr>
                <w:rFonts w:eastAsia="Calibri"/>
                <w:i/>
                <w:sz w:val="20"/>
              </w:rPr>
              <w:t>inter alia</w:t>
            </w:r>
            <w:r w:rsidRPr="002832A9">
              <w:rPr>
                <w:rFonts w:eastAsia="Calibri"/>
                <w:sz w:val="20"/>
              </w:rPr>
              <w:t>, the breach of confidentiality and non</w:t>
            </w:r>
            <w:r w:rsidRPr="002832A9">
              <w:rPr>
                <w:rFonts w:eastAsia="Calibri"/>
                <w:sz w:val="20"/>
              </w:rPr>
              <w:noBreakHyphen/>
              <w:t>competition obligations by Mr. Maciw, the former director of supplier relations at IMS.  Prior to the hearing, IMS sought an Anton Pillar safeguard order on the ground that its analysis of certain documents already handed over by Mr. Maciw showed that Mr. Maciw had accessed confidential information belonging to IMS and copied it onto USB keys, contrary to what he had previously stated.  The Superior Court made the order and computer material was seized.  The respondents subsequently served a motion to rescind the order.  In reply, IMS requested access to the seized material, which until then had been in the custody of independent supervising lawyers.</w:t>
            </w:r>
          </w:p>
          <w:p w:rsidR="00AE4E02" w:rsidRPr="002832A9" w:rsidRDefault="00AE4E02" w:rsidP="001C4AC6">
            <w:pPr>
              <w:jc w:val="both"/>
              <w:rPr>
                <w:rFonts w:eastAsia="Calibri"/>
                <w:sz w:val="20"/>
              </w:rPr>
            </w:pPr>
          </w:p>
          <w:p w:rsidR="00AE4E02" w:rsidRPr="002832A9" w:rsidRDefault="00AE4E02" w:rsidP="001C4AC6">
            <w:pPr>
              <w:jc w:val="both"/>
              <w:rPr>
                <w:rFonts w:eastAsia="Calibri"/>
                <w:sz w:val="20"/>
              </w:rPr>
            </w:pPr>
            <w:r w:rsidRPr="002832A9">
              <w:rPr>
                <w:rFonts w:eastAsia="Calibri"/>
                <w:sz w:val="20"/>
              </w:rPr>
              <w:t>The Superior Court denied access to the seized material.  The judge noted that the purpose of the order was to preserve the evidence and that this purpose had been achieved.  Moreover, according to the judge, the respondents’ application to rescind, on its face, raised serious grounds.  He therefore ordered that the evidence remain sealed and in the custody of the supervising lawyers until a final judgment was rendered on the motion to rescind.  The Court of Appeal dismissed the appeal brought by IMS.  In its opinion, having regard to the circumstances of the case, the seriousness of the grounds for rescinding the order raised by the respondents and the interests of justice, the trial judge could deny access to the seized material.</w:t>
            </w:r>
          </w:p>
          <w:p w:rsidR="00AE4E02" w:rsidRPr="002832A9" w:rsidRDefault="00AE4E02" w:rsidP="001C4AC6">
            <w:pPr>
              <w:jc w:val="both"/>
              <w:rPr>
                <w:rFonts w:eastAsia="Calibri"/>
                <w:sz w:val="20"/>
              </w:rPr>
            </w:pPr>
          </w:p>
        </w:tc>
      </w:tr>
      <w:tr w:rsidR="00AE4E02" w:rsidRPr="002832A9" w:rsidTr="001C4AC6">
        <w:tc>
          <w:tcPr>
            <w:tcW w:w="2427" w:type="pct"/>
          </w:tcPr>
          <w:p w:rsidR="00AE4E02" w:rsidRPr="002832A9" w:rsidRDefault="00AE4E02" w:rsidP="001C4AC6">
            <w:pPr>
              <w:jc w:val="both"/>
              <w:rPr>
                <w:rFonts w:eastAsia="Calibri"/>
                <w:sz w:val="20"/>
              </w:rPr>
            </w:pPr>
            <w:r w:rsidRPr="002832A9">
              <w:rPr>
                <w:rFonts w:eastAsia="Calibri"/>
                <w:sz w:val="20"/>
              </w:rPr>
              <w:t>March 21, 2013</w:t>
            </w:r>
          </w:p>
          <w:p w:rsidR="00AE4E02" w:rsidRPr="002832A9" w:rsidRDefault="00AE4E02" w:rsidP="001C4AC6">
            <w:pPr>
              <w:jc w:val="both"/>
              <w:rPr>
                <w:rFonts w:eastAsia="Calibri"/>
                <w:sz w:val="20"/>
              </w:rPr>
            </w:pPr>
            <w:r w:rsidRPr="002832A9">
              <w:rPr>
                <w:rFonts w:eastAsia="Calibri"/>
                <w:sz w:val="20"/>
              </w:rPr>
              <w:t>Quebec Superior Court</w:t>
            </w:r>
          </w:p>
          <w:p w:rsidR="00AE4E02" w:rsidRPr="002832A9" w:rsidRDefault="00AE4E02" w:rsidP="001C4AC6">
            <w:pPr>
              <w:jc w:val="both"/>
              <w:rPr>
                <w:rFonts w:eastAsia="Calibri"/>
                <w:sz w:val="20"/>
              </w:rPr>
            </w:pPr>
            <w:r w:rsidRPr="002832A9">
              <w:rPr>
                <w:rFonts w:eastAsia="Calibri"/>
                <w:sz w:val="20"/>
              </w:rPr>
              <w:t>(Mayer J.)</w:t>
            </w:r>
          </w:p>
          <w:p w:rsidR="00AE4E02" w:rsidRPr="002832A9" w:rsidRDefault="00AE4E02" w:rsidP="001C4AC6">
            <w:pPr>
              <w:jc w:val="both"/>
              <w:rPr>
                <w:rFonts w:eastAsia="Calibri"/>
                <w:sz w:val="20"/>
              </w:rPr>
            </w:pPr>
          </w:p>
        </w:tc>
        <w:tc>
          <w:tcPr>
            <w:tcW w:w="243" w:type="pct"/>
          </w:tcPr>
          <w:p w:rsidR="00AE4E02" w:rsidRPr="002832A9" w:rsidRDefault="00AE4E02" w:rsidP="001C4AC6">
            <w:pPr>
              <w:jc w:val="both"/>
              <w:rPr>
                <w:rFonts w:eastAsia="Calibri"/>
                <w:sz w:val="20"/>
              </w:rPr>
            </w:pPr>
          </w:p>
        </w:tc>
        <w:tc>
          <w:tcPr>
            <w:tcW w:w="2330" w:type="pct"/>
          </w:tcPr>
          <w:p w:rsidR="00AE4E02" w:rsidRPr="002832A9" w:rsidRDefault="00AE4E02" w:rsidP="001C4AC6">
            <w:pPr>
              <w:jc w:val="both"/>
              <w:rPr>
                <w:rFonts w:eastAsia="Calibri"/>
                <w:sz w:val="20"/>
              </w:rPr>
            </w:pPr>
            <w:r w:rsidRPr="002832A9">
              <w:rPr>
                <w:rFonts w:eastAsia="Calibri"/>
                <w:sz w:val="20"/>
              </w:rPr>
              <w:t>Safeguard order extended and varied; seized material declared sealed</w:t>
            </w:r>
          </w:p>
          <w:p w:rsidR="00AE4E02" w:rsidRPr="002832A9" w:rsidRDefault="00AE4E02" w:rsidP="001C4AC6">
            <w:pPr>
              <w:jc w:val="both"/>
              <w:rPr>
                <w:rFonts w:eastAsia="Calibri"/>
                <w:sz w:val="20"/>
              </w:rPr>
            </w:pPr>
          </w:p>
        </w:tc>
      </w:tr>
      <w:tr w:rsidR="00AE4E02" w:rsidRPr="002832A9" w:rsidTr="001C4AC6">
        <w:tc>
          <w:tcPr>
            <w:tcW w:w="2427" w:type="pct"/>
          </w:tcPr>
          <w:p w:rsidR="00AE4E02" w:rsidRPr="002832A9" w:rsidRDefault="00AE4E02" w:rsidP="001C4AC6">
            <w:pPr>
              <w:jc w:val="both"/>
              <w:rPr>
                <w:rFonts w:eastAsia="Calibri"/>
                <w:sz w:val="20"/>
              </w:rPr>
            </w:pPr>
            <w:r w:rsidRPr="002832A9">
              <w:rPr>
                <w:rFonts w:eastAsia="Calibri"/>
                <w:sz w:val="20"/>
              </w:rPr>
              <w:t>July 31, 2013</w:t>
            </w:r>
          </w:p>
          <w:p w:rsidR="00AE4E02" w:rsidRPr="002832A9" w:rsidRDefault="00AE4E02" w:rsidP="001C4AC6">
            <w:pPr>
              <w:jc w:val="both"/>
              <w:rPr>
                <w:rFonts w:eastAsia="Calibri"/>
                <w:sz w:val="20"/>
              </w:rPr>
            </w:pPr>
            <w:r w:rsidRPr="002832A9">
              <w:rPr>
                <w:rFonts w:eastAsia="Calibri"/>
                <w:sz w:val="20"/>
              </w:rPr>
              <w:t>Quebec Court of Appeal (Montréal)</w:t>
            </w:r>
          </w:p>
          <w:p w:rsidR="00AE4E02" w:rsidRPr="002832A9" w:rsidRDefault="00AE4E02" w:rsidP="001C4AC6">
            <w:pPr>
              <w:jc w:val="both"/>
              <w:rPr>
                <w:rFonts w:eastAsia="Calibri"/>
                <w:sz w:val="20"/>
              </w:rPr>
            </w:pPr>
            <w:r w:rsidRPr="002832A9">
              <w:rPr>
                <w:rFonts w:eastAsia="Calibri"/>
                <w:sz w:val="20"/>
              </w:rPr>
              <w:t>(Duval Hesler C.J. and Giroux and Gascon JJ.A.)</w:t>
            </w:r>
          </w:p>
          <w:p w:rsidR="00AE4E02" w:rsidRPr="002832A9" w:rsidRDefault="00AE4E02" w:rsidP="001C4AC6">
            <w:pPr>
              <w:jc w:val="both"/>
              <w:rPr>
                <w:rFonts w:eastAsia="Calibri"/>
                <w:sz w:val="20"/>
              </w:rPr>
            </w:pPr>
            <w:r w:rsidRPr="002832A9">
              <w:rPr>
                <w:rFonts w:eastAsia="Calibri"/>
                <w:sz w:val="20"/>
              </w:rPr>
              <w:t xml:space="preserve">500-09-023492-135; </w:t>
            </w:r>
            <w:hyperlink r:id="rId28" w:history="1">
              <w:r w:rsidRPr="002832A9">
                <w:rPr>
                  <w:rFonts w:eastAsia="Calibri"/>
                  <w:color w:val="0000FF"/>
                  <w:sz w:val="20"/>
                  <w:u w:val="single"/>
                </w:rPr>
                <w:t>2013 QCCA 1303</w:t>
              </w:r>
            </w:hyperlink>
          </w:p>
          <w:p w:rsidR="00AE4E02" w:rsidRPr="002832A9" w:rsidRDefault="00AE4E02" w:rsidP="001C4AC6">
            <w:pPr>
              <w:jc w:val="both"/>
              <w:rPr>
                <w:rFonts w:eastAsia="Calibri"/>
                <w:sz w:val="20"/>
              </w:rPr>
            </w:pPr>
          </w:p>
        </w:tc>
        <w:tc>
          <w:tcPr>
            <w:tcW w:w="243" w:type="pct"/>
          </w:tcPr>
          <w:p w:rsidR="00AE4E02" w:rsidRPr="002832A9" w:rsidRDefault="00AE4E02" w:rsidP="001C4AC6">
            <w:pPr>
              <w:jc w:val="both"/>
              <w:rPr>
                <w:rFonts w:eastAsia="Calibri"/>
                <w:sz w:val="20"/>
              </w:rPr>
            </w:pPr>
          </w:p>
        </w:tc>
        <w:tc>
          <w:tcPr>
            <w:tcW w:w="2330" w:type="pct"/>
          </w:tcPr>
          <w:p w:rsidR="00AE4E02" w:rsidRPr="002832A9" w:rsidRDefault="00AE4E02" w:rsidP="001C4AC6">
            <w:pPr>
              <w:jc w:val="both"/>
              <w:rPr>
                <w:rFonts w:eastAsia="Calibri"/>
                <w:sz w:val="20"/>
              </w:rPr>
            </w:pPr>
            <w:r w:rsidRPr="002832A9">
              <w:rPr>
                <w:rFonts w:eastAsia="Calibri"/>
                <w:sz w:val="20"/>
              </w:rPr>
              <w:t>Appeal dismissed</w:t>
            </w:r>
          </w:p>
          <w:p w:rsidR="00AE4E02" w:rsidRPr="002832A9" w:rsidRDefault="00AE4E02" w:rsidP="001C4AC6">
            <w:pPr>
              <w:jc w:val="both"/>
              <w:rPr>
                <w:rFonts w:eastAsia="Calibri"/>
                <w:sz w:val="20"/>
              </w:rPr>
            </w:pPr>
          </w:p>
        </w:tc>
      </w:tr>
      <w:tr w:rsidR="00AE4E02" w:rsidRPr="002832A9" w:rsidTr="001C4AC6">
        <w:tc>
          <w:tcPr>
            <w:tcW w:w="2427" w:type="pct"/>
          </w:tcPr>
          <w:p w:rsidR="00AE4E02" w:rsidRPr="002832A9" w:rsidRDefault="00AE4E02" w:rsidP="001C4AC6">
            <w:pPr>
              <w:jc w:val="both"/>
              <w:rPr>
                <w:rFonts w:eastAsia="Calibri"/>
                <w:sz w:val="20"/>
              </w:rPr>
            </w:pPr>
            <w:r w:rsidRPr="002832A9">
              <w:rPr>
                <w:rFonts w:eastAsia="Calibri"/>
                <w:sz w:val="20"/>
              </w:rPr>
              <w:t>September 27, 2013</w:t>
            </w:r>
          </w:p>
          <w:p w:rsidR="00AE4E02" w:rsidRPr="002832A9" w:rsidRDefault="00AE4E02" w:rsidP="001C4AC6">
            <w:pPr>
              <w:jc w:val="both"/>
              <w:rPr>
                <w:rFonts w:eastAsia="Calibri"/>
                <w:sz w:val="20"/>
              </w:rPr>
            </w:pPr>
            <w:r w:rsidRPr="002832A9">
              <w:rPr>
                <w:rFonts w:eastAsia="Calibri"/>
                <w:sz w:val="20"/>
              </w:rPr>
              <w:t>Supreme Court of Canada</w:t>
            </w:r>
          </w:p>
        </w:tc>
        <w:tc>
          <w:tcPr>
            <w:tcW w:w="243" w:type="pct"/>
          </w:tcPr>
          <w:p w:rsidR="00AE4E02" w:rsidRPr="002832A9" w:rsidRDefault="00AE4E02" w:rsidP="001C4AC6">
            <w:pPr>
              <w:jc w:val="both"/>
              <w:rPr>
                <w:rFonts w:eastAsia="Calibri"/>
                <w:sz w:val="20"/>
              </w:rPr>
            </w:pPr>
          </w:p>
        </w:tc>
        <w:tc>
          <w:tcPr>
            <w:tcW w:w="2330" w:type="pct"/>
          </w:tcPr>
          <w:p w:rsidR="00AE4E02" w:rsidRPr="002832A9" w:rsidRDefault="00AE4E02" w:rsidP="001C4AC6">
            <w:pPr>
              <w:jc w:val="both"/>
              <w:rPr>
                <w:rFonts w:eastAsia="Calibri"/>
                <w:sz w:val="20"/>
              </w:rPr>
            </w:pPr>
            <w:r w:rsidRPr="002832A9">
              <w:rPr>
                <w:rFonts w:eastAsia="Calibri"/>
                <w:sz w:val="20"/>
              </w:rPr>
              <w:t>Application for leave to appeal filed</w:t>
            </w:r>
          </w:p>
          <w:p w:rsidR="00AE4E02" w:rsidRPr="002832A9" w:rsidRDefault="00AE4E02" w:rsidP="001C4AC6">
            <w:pPr>
              <w:jc w:val="both"/>
              <w:rPr>
                <w:rFonts w:eastAsia="Calibri"/>
                <w:sz w:val="20"/>
              </w:rPr>
            </w:pPr>
          </w:p>
        </w:tc>
      </w:tr>
    </w:tbl>
    <w:p w:rsidR="002A46DC" w:rsidRDefault="002A46DC" w:rsidP="002A46DC">
      <w:pPr>
        <w:rPr>
          <w:sz w:val="20"/>
          <w:szCs w:val="20"/>
        </w:rPr>
      </w:pPr>
    </w:p>
    <w:p w:rsidR="002A46DC" w:rsidRPr="00C50A5C" w:rsidRDefault="00EB0F11" w:rsidP="002A46DC">
      <w:pPr>
        <w:rPr>
          <w:sz w:val="20"/>
          <w:szCs w:val="20"/>
        </w:rPr>
      </w:pPr>
      <w:r>
        <w:rPr>
          <w:sz w:val="20"/>
          <w:szCs w:val="20"/>
          <w:lang w:val="fr-CA"/>
        </w:rPr>
        <w:pict>
          <v:rect id="_x0000_i1045" style="width:2in;height:1pt" o:hrpct="0" o:hralign="center" o:hrstd="t" o:hrnoshade="t" o:hr="t" fillcolor="black [3213]" stroked="f"/>
        </w:pict>
      </w:r>
    </w:p>
    <w:p w:rsidR="002A46DC" w:rsidRDefault="002A46DC" w:rsidP="002A46DC">
      <w:pPr>
        <w:rPr>
          <w:sz w:val="20"/>
          <w:szCs w:val="20"/>
        </w:rPr>
      </w:pPr>
    </w:p>
    <w:p w:rsidR="002A46DC" w:rsidRPr="001B157C" w:rsidRDefault="002A46DC" w:rsidP="002A46DC">
      <w:pPr>
        <w:rPr>
          <w:sz w:val="20"/>
          <w:szCs w:val="20"/>
          <w:u w:val="single"/>
          <w:lang w:val="fr-CA"/>
        </w:rPr>
      </w:pPr>
      <w:r w:rsidRPr="001B157C">
        <w:rPr>
          <w:sz w:val="20"/>
          <w:szCs w:val="20"/>
          <w:u w:val="single"/>
          <w:lang w:val="fr-CA"/>
        </w:rPr>
        <w:t>RÉSUMÉ DE L’AFFAIRE</w:t>
      </w:r>
    </w:p>
    <w:p w:rsidR="002A46DC" w:rsidRDefault="002A46DC" w:rsidP="002A46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E4E02" w:rsidRPr="00EB0F11" w:rsidTr="001C4AC6">
        <w:tc>
          <w:tcPr>
            <w:tcW w:w="5000" w:type="pct"/>
            <w:gridSpan w:val="3"/>
          </w:tcPr>
          <w:p w:rsidR="00AE4E02" w:rsidRPr="002832A9" w:rsidRDefault="00AE4E02" w:rsidP="001C4AC6">
            <w:pPr>
              <w:jc w:val="both"/>
              <w:rPr>
                <w:rFonts w:eastAsia="Calibri"/>
                <w:sz w:val="20"/>
                <w:lang w:val="fr-CA"/>
              </w:rPr>
            </w:pPr>
            <w:r w:rsidRPr="002832A9">
              <w:rPr>
                <w:rFonts w:eastAsia="Calibri"/>
                <w:sz w:val="20"/>
                <w:lang w:val="fr-CA"/>
              </w:rPr>
              <w:t>Procédure civile – Ordonnances de type Anton Piller – Requête en annulation – Accès au matériel saisi – Quels sont les critères à appliquer pour refuser à la partie qui a obtenu l’émission d’une ordonnance de type Anton Piller l’accès au matériel saisi, et ce, avant qu’un tribunal ne statue sur les motifs d’annulation invoqués par la partie visée par l’ordonnance? – Les tribunaux des instances inférieures ont-ils fait erreur à cet égard?</w:t>
            </w:r>
          </w:p>
        </w:tc>
      </w:tr>
      <w:tr w:rsidR="00AE4E02" w:rsidRPr="00EB0F11" w:rsidTr="001C4AC6">
        <w:tc>
          <w:tcPr>
            <w:tcW w:w="5000" w:type="pct"/>
            <w:gridSpan w:val="3"/>
          </w:tcPr>
          <w:p w:rsidR="00AE4E02" w:rsidRPr="002832A9" w:rsidRDefault="00AE4E02" w:rsidP="001C4AC6">
            <w:pPr>
              <w:jc w:val="both"/>
              <w:rPr>
                <w:rFonts w:eastAsia="Calibri"/>
                <w:sz w:val="20"/>
                <w:lang w:val="fr-CA"/>
              </w:rPr>
            </w:pPr>
          </w:p>
        </w:tc>
      </w:tr>
      <w:tr w:rsidR="00AE4E02" w:rsidRPr="00EB0F11" w:rsidTr="001C4AC6">
        <w:tc>
          <w:tcPr>
            <w:tcW w:w="5000" w:type="pct"/>
            <w:gridSpan w:val="3"/>
          </w:tcPr>
          <w:p w:rsidR="00AE4E02" w:rsidRPr="002832A9" w:rsidRDefault="00AE4E02" w:rsidP="001C4AC6">
            <w:pPr>
              <w:jc w:val="both"/>
              <w:rPr>
                <w:rFonts w:eastAsia="Calibri"/>
                <w:sz w:val="20"/>
                <w:lang w:val="fr-CA"/>
              </w:rPr>
            </w:pPr>
            <w:r w:rsidRPr="002832A9">
              <w:rPr>
                <w:rFonts w:eastAsia="Calibri"/>
                <w:sz w:val="20"/>
                <w:lang w:val="fr-CA"/>
              </w:rPr>
              <w:t>En 2012, la demanderesse, IMS, intente des procédures en injonction contre les intimés, Th!nk Business et Mark Maciw, alléguant, entre autres, la violation d’obligations de confidentialité et non-concurrence par M. Maciw, ex-directeur aux relations avec les fournisseurs chez IMS. Avant l’audition, IMS demande l’émission d’une ordonnance de sauvegarde de type Anton Piller, au motif que selon son analyse de certains documents déjà remis par M. Maciw, celui-ci aurait accédé à de l’information confidentielle appartenant à IMS et copié cette information sur des clés USB, contrairement à ce qu’il avait affirmé auparavant.  La Cour supérieure rend l’ordonnance et du matériel informatique est saisi. Par la suite, les intimés signifient une requête en annulation de l’ordonnance.  En réponse, IMS requiert l’accès au matériel saisi, jusqu’alors sous la garde d’avocats superviseurs indépendants.</w:t>
            </w:r>
          </w:p>
          <w:p w:rsidR="00AE4E02" w:rsidRPr="002832A9" w:rsidRDefault="00AE4E02" w:rsidP="001C4AC6">
            <w:pPr>
              <w:jc w:val="both"/>
              <w:rPr>
                <w:rFonts w:eastAsia="Calibri"/>
                <w:sz w:val="20"/>
                <w:lang w:val="fr-CA"/>
              </w:rPr>
            </w:pPr>
          </w:p>
          <w:p w:rsidR="00AE4E02" w:rsidRPr="002832A9" w:rsidRDefault="00AE4E02" w:rsidP="001C4AC6">
            <w:pPr>
              <w:jc w:val="both"/>
              <w:rPr>
                <w:rFonts w:eastAsia="Calibri"/>
                <w:sz w:val="20"/>
                <w:lang w:val="fr-CA"/>
              </w:rPr>
            </w:pPr>
            <w:r w:rsidRPr="002832A9">
              <w:rPr>
                <w:rFonts w:eastAsia="Calibri"/>
                <w:sz w:val="20"/>
                <w:lang w:val="fr-CA"/>
              </w:rPr>
              <w:t>La Cour supérieure refuse l’accès au matériel saisi.  Le juge note que l’objectif de l’ordonnance était de préserver la preuve et que cet objectif est atteint.  De plus, selon lui, la demande d’annulation faite par les intimés comporte à sa face même des motifs sérieux.  Il ordonne en conséquence que la preuve demeure placée sous scellés, sous la garde des avocats superviseurs, et ce, jusqu’à ce que ce le jugement final soit rendu sur la requête en annulation.  La Cour d’appel rejette l’appel d’IMS. Selon elle, compte tenu des circonstances de l’affaire, du sérieux des motifs d’annulation invoqués par les intimés et des intérêts de la justice, le premier juge pouvait refuser l’accès au matériel saisi.</w:t>
            </w:r>
          </w:p>
          <w:p w:rsidR="00AE4E02" w:rsidRPr="002832A9" w:rsidRDefault="00AE4E02" w:rsidP="001C4AC6">
            <w:pPr>
              <w:jc w:val="both"/>
              <w:rPr>
                <w:rFonts w:eastAsia="Calibri"/>
                <w:sz w:val="20"/>
                <w:lang w:val="fr-CA"/>
              </w:rPr>
            </w:pPr>
          </w:p>
        </w:tc>
      </w:tr>
      <w:tr w:rsidR="00AE4E02" w:rsidRPr="00EB0F11" w:rsidTr="001C4AC6">
        <w:tc>
          <w:tcPr>
            <w:tcW w:w="2427" w:type="pct"/>
          </w:tcPr>
          <w:p w:rsidR="00AE4E02" w:rsidRPr="002832A9" w:rsidRDefault="00AE4E02" w:rsidP="001C4AC6">
            <w:pPr>
              <w:jc w:val="both"/>
              <w:rPr>
                <w:rFonts w:eastAsia="Calibri"/>
                <w:sz w:val="20"/>
                <w:lang w:val="fr-CA"/>
              </w:rPr>
            </w:pPr>
            <w:r w:rsidRPr="002832A9">
              <w:rPr>
                <w:rFonts w:eastAsia="Calibri"/>
                <w:sz w:val="20"/>
                <w:lang w:val="fr-CA"/>
              </w:rPr>
              <w:t>Le 21 mars 2013</w:t>
            </w:r>
          </w:p>
          <w:p w:rsidR="00AE4E02" w:rsidRPr="002832A9" w:rsidRDefault="00AE4E02" w:rsidP="001C4AC6">
            <w:pPr>
              <w:jc w:val="both"/>
              <w:rPr>
                <w:rFonts w:eastAsia="Calibri"/>
                <w:sz w:val="20"/>
                <w:lang w:val="fr-CA"/>
              </w:rPr>
            </w:pPr>
            <w:r w:rsidRPr="002832A9">
              <w:rPr>
                <w:rFonts w:eastAsia="Calibri"/>
                <w:sz w:val="20"/>
                <w:lang w:val="fr-CA"/>
              </w:rPr>
              <w:t>Cour supérieure du Québec</w:t>
            </w:r>
          </w:p>
          <w:p w:rsidR="00AE4E02" w:rsidRPr="002832A9" w:rsidRDefault="00AE4E02" w:rsidP="001C4AC6">
            <w:pPr>
              <w:jc w:val="both"/>
              <w:rPr>
                <w:rFonts w:eastAsia="Calibri"/>
                <w:sz w:val="20"/>
                <w:lang w:val="fr-CA"/>
              </w:rPr>
            </w:pPr>
            <w:r w:rsidRPr="002832A9">
              <w:rPr>
                <w:rFonts w:eastAsia="Calibri"/>
                <w:sz w:val="20"/>
                <w:lang w:val="fr-CA"/>
              </w:rPr>
              <w:t>(Le juge Mayer)</w:t>
            </w:r>
          </w:p>
          <w:p w:rsidR="00AE4E02" w:rsidRPr="002832A9" w:rsidRDefault="00AE4E02" w:rsidP="001C4AC6">
            <w:pPr>
              <w:jc w:val="both"/>
              <w:rPr>
                <w:rFonts w:eastAsia="Calibri"/>
                <w:sz w:val="20"/>
              </w:rPr>
            </w:pPr>
          </w:p>
        </w:tc>
        <w:tc>
          <w:tcPr>
            <w:tcW w:w="243" w:type="pct"/>
          </w:tcPr>
          <w:p w:rsidR="00AE4E02" w:rsidRPr="002832A9" w:rsidRDefault="00AE4E02" w:rsidP="001C4AC6">
            <w:pPr>
              <w:jc w:val="both"/>
              <w:rPr>
                <w:rFonts w:eastAsia="Calibri"/>
                <w:sz w:val="20"/>
              </w:rPr>
            </w:pPr>
          </w:p>
        </w:tc>
        <w:tc>
          <w:tcPr>
            <w:tcW w:w="2330" w:type="pct"/>
          </w:tcPr>
          <w:p w:rsidR="00AE4E02" w:rsidRPr="002832A9" w:rsidRDefault="00AE4E02" w:rsidP="001C4AC6">
            <w:pPr>
              <w:jc w:val="both"/>
              <w:rPr>
                <w:rFonts w:eastAsia="Calibri"/>
                <w:sz w:val="20"/>
                <w:lang w:val="fr-CA"/>
              </w:rPr>
            </w:pPr>
            <w:r w:rsidRPr="002832A9">
              <w:rPr>
                <w:rFonts w:eastAsia="Calibri"/>
                <w:sz w:val="20"/>
                <w:lang w:val="fr-CA"/>
              </w:rPr>
              <w:t>Ordonnance de sauvegarde prolongée et modifiée; matériel saisi déclaré placé sous scellés</w:t>
            </w:r>
          </w:p>
          <w:p w:rsidR="00AE4E02" w:rsidRPr="002832A9" w:rsidRDefault="00AE4E02" w:rsidP="001C4AC6">
            <w:pPr>
              <w:jc w:val="both"/>
              <w:rPr>
                <w:rFonts w:eastAsia="Calibri"/>
                <w:sz w:val="20"/>
                <w:lang w:val="fr-CA"/>
              </w:rPr>
            </w:pPr>
          </w:p>
        </w:tc>
      </w:tr>
      <w:tr w:rsidR="00AE4E02" w:rsidRPr="002832A9" w:rsidTr="001C4AC6">
        <w:tc>
          <w:tcPr>
            <w:tcW w:w="2427" w:type="pct"/>
          </w:tcPr>
          <w:p w:rsidR="00AE4E02" w:rsidRPr="002832A9" w:rsidRDefault="00AE4E02" w:rsidP="001C4AC6">
            <w:pPr>
              <w:jc w:val="both"/>
              <w:rPr>
                <w:rFonts w:eastAsia="Calibri"/>
                <w:sz w:val="20"/>
                <w:lang w:val="fr-CA"/>
              </w:rPr>
            </w:pPr>
            <w:r w:rsidRPr="002832A9">
              <w:rPr>
                <w:rFonts w:eastAsia="Calibri"/>
                <w:sz w:val="20"/>
                <w:lang w:val="fr-CA"/>
              </w:rPr>
              <w:t>Le 31 juillet 2013</w:t>
            </w:r>
          </w:p>
          <w:p w:rsidR="00AE4E02" w:rsidRPr="002832A9" w:rsidRDefault="00AE4E02" w:rsidP="001C4AC6">
            <w:pPr>
              <w:jc w:val="both"/>
              <w:rPr>
                <w:rFonts w:eastAsia="Calibri"/>
                <w:sz w:val="20"/>
                <w:lang w:val="fr-CA"/>
              </w:rPr>
            </w:pPr>
            <w:r w:rsidRPr="002832A9">
              <w:rPr>
                <w:rFonts w:eastAsia="Calibri"/>
                <w:sz w:val="20"/>
                <w:lang w:val="fr-CA"/>
              </w:rPr>
              <w:t>Cour d’appel du Québec (Montréal)</w:t>
            </w:r>
          </w:p>
          <w:p w:rsidR="00AE4E02" w:rsidRPr="002832A9" w:rsidRDefault="00AE4E02" w:rsidP="001C4AC6">
            <w:pPr>
              <w:jc w:val="both"/>
              <w:rPr>
                <w:rFonts w:eastAsia="Calibri"/>
                <w:sz w:val="20"/>
                <w:lang w:val="fr-CA"/>
              </w:rPr>
            </w:pPr>
            <w:r w:rsidRPr="002832A9">
              <w:rPr>
                <w:rFonts w:eastAsia="Calibri"/>
                <w:sz w:val="20"/>
                <w:lang w:val="fr-CA"/>
              </w:rPr>
              <w:t>(La juge en chef Duval Hesler et les juges Giroux et Gascon)</w:t>
            </w:r>
          </w:p>
          <w:p w:rsidR="00AE4E02" w:rsidRDefault="00AE4E02" w:rsidP="00C36376">
            <w:pPr>
              <w:jc w:val="both"/>
            </w:pPr>
            <w:r w:rsidRPr="002832A9">
              <w:rPr>
                <w:rFonts w:eastAsia="Calibri"/>
                <w:sz w:val="20"/>
                <w:lang w:val="fr-CA"/>
              </w:rPr>
              <w:t xml:space="preserve">500-09-023492-135; </w:t>
            </w:r>
            <w:hyperlink r:id="rId29" w:history="1">
              <w:r w:rsidRPr="002832A9">
                <w:rPr>
                  <w:rFonts w:eastAsia="Calibri"/>
                  <w:color w:val="0000FF"/>
                  <w:sz w:val="20"/>
                  <w:u w:val="single"/>
                  <w:lang w:val="fr-CA"/>
                </w:rPr>
                <w:t>2013 QCCA 1303</w:t>
              </w:r>
            </w:hyperlink>
          </w:p>
          <w:p w:rsidR="001A2C3C" w:rsidRPr="002832A9" w:rsidRDefault="001A2C3C" w:rsidP="00C36376">
            <w:pPr>
              <w:jc w:val="both"/>
              <w:rPr>
                <w:rFonts w:eastAsia="Calibri"/>
                <w:sz w:val="20"/>
              </w:rPr>
            </w:pPr>
          </w:p>
        </w:tc>
        <w:tc>
          <w:tcPr>
            <w:tcW w:w="243" w:type="pct"/>
          </w:tcPr>
          <w:p w:rsidR="00AE4E02" w:rsidRPr="002832A9" w:rsidRDefault="00AE4E02" w:rsidP="001C4AC6">
            <w:pPr>
              <w:jc w:val="both"/>
              <w:rPr>
                <w:rFonts w:eastAsia="Calibri"/>
                <w:sz w:val="20"/>
              </w:rPr>
            </w:pPr>
          </w:p>
        </w:tc>
        <w:tc>
          <w:tcPr>
            <w:tcW w:w="2330" w:type="pct"/>
          </w:tcPr>
          <w:p w:rsidR="00AE4E02" w:rsidRPr="002832A9" w:rsidRDefault="00AE4E02" w:rsidP="001C4AC6">
            <w:pPr>
              <w:jc w:val="both"/>
              <w:rPr>
                <w:rFonts w:eastAsia="Calibri"/>
                <w:sz w:val="20"/>
                <w:lang w:val="fr-CA"/>
              </w:rPr>
            </w:pPr>
            <w:r w:rsidRPr="002832A9">
              <w:rPr>
                <w:rFonts w:eastAsia="Calibri"/>
                <w:sz w:val="20"/>
                <w:lang w:val="fr-CA"/>
              </w:rPr>
              <w:t>Appel rejeté</w:t>
            </w:r>
          </w:p>
          <w:p w:rsidR="00AE4E02" w:rsidRPr="002832A9" w:rsidRDefault="00AE4E02" w:rsidP="001C4AC6">
            <w:pPr>
              <w:jc w:val="both"/>
              <w:rPr>
                <w:rFonts w:eastAsia="Calibri"/>
                <w:sz w:val="20"/>
                <w:lang w:val="fr-CA"/>
              </w:rPr>
            </w:pPr>
          </w:p>
        </w:tc>
      </w:tr>
      <w:tr w:rsidR="00AE4E02" w:rsidRPr="002832A9" w:rsidTr="00C36376">
        <w:trPr>
          <w:cantSplit/>
        </w:trPr>
        <w:tc>
          <w:tcPr>
            <w:tcW w:w="2427" w:type="pct"/>
          </w:tcPr>
          <w:p w:rsidR="00AE4E02" w:rsidRPr="002832A9" w:rsidRDefault="00AE4E02" w:rsidP="001C4AC6">
            <w:pPr>
              <w:jc w:val="both"/>
              <w:rPr>
                <w:rFonts w:eastAsia="Calibri"/>
                <w:sz w:val="20"/>
                <w:lang w:val="fr-CA"/>
              </w:rPr>
            </w:pPr>
            <w:r w:rsidRPr="002832A9">
              <w:rPr>
                <w:rFonts w:eastAsia="Calibri"/>
                <w:sz w:val="20"/>
                <w:lang w:val="fr-CA"/>
              </w:rPr>
              <w:t>Le 27 septembre 2013</w:t>
            </w:r>
          </w:p>
          <w:p w:rsidR="00AE4E02" w:rsidRPr="002832A9" w:rsidRDefault="00AE4E02" w:rsidP="001C4AC6">
            <w:pPr>
              <w:jc w:val="both"/>
              <w:rPr>
                <w:rFonts w:eastAsia="Calibri"/>
                <w:sz w:val="20"/>
                <w:lang w:val="fr-CA"/>
              </w:rPr>
            </w:pPr>
            <w:r w:rsidRPr="002832A9">
              <w:rPr>
                <w:rFonts w:eastAsia="Calibri"/>
                <w:sz w:val="20"/>
                <w:lang w:val="fr-CA"/>
              </w:rPr>
              <w:t>Cour suprême du Canada</w:t>
            </w:r>
          </w:p>
        </w:tc>
        <w:tc>
          <w:tcPr>
            <w:tcW w:w="243" w:type="pct"/>
          </w:tcPr>
          <w:p w:rsidR="00AE4E02" w:rsidRPr="002832A9" w:rsidRDefault="00AE4E02" w:rsidP="001C4AC6">
            <w:pPr>
              <w:jc w:val="both"/>
              <w:rPr>
                <w:rFonts w:eastAsia="Calibri"/>
                <w:sz w:val="20"/>
                <w:lang w:val="fr-CA"/>
              </w:rPr>
            </w:pPr>
          </w:p>
        </w:tc>
        <w:tc>
          <w:tcPr>
            <w:tcW w:w="2330" w:type="pct"/>
          </w:tcPr>
          <w:p w:rsidR="00AE4E02" w:rsidRPr="002832A9" w:rsidRDefault="00AE4E02" w:rsidP="001C4AC6">
            <w:pPr>
              <w:jc w:val="both"/>
              <w:rPr>
                <w:rFonts w:eastAsia="Calibri"/>
                <w:sz w:val="20"/>
                <w:lang w:val="fr-CA"/>
              </w:rPr>
            </w:pPr>
            <w:r w:rsidRPr="002832A9">
              <w:rPr>
                <w:rFonts w:eastAsia="Calibri"/>
                <w:sz w:val="20"/>
                <w:lang w:val="fr-CA"/>
              </w:rPr>
              <w:t>Demande d'autorisation d'appel déposée</w:t>
            </w:r>
          </w:p>
          <w:p w:rsidR="00AE4E02" w:rsidRPr="002832A9" w:rsidRDefault="00AE4E02" w:rsidP="001C4AC6">
            <w:pPr>
              <w:jc w:val="both"/>
              <w:rPr>
                <w:rFonts w:eastAsia="Calibri"/>
                <w:sz w:val="20"/>
                <w:lang w:val="fr-CA"/>
              </w:rPr>
            </w:pPr>
          </w:p>
        </w:tc>
      </w:tr>
    </w:tbl>
    <w:p w:rsidR="002A46DC" w:rsidRDefault="002A46DC" w:rsidP="002A46DC">
      <w:pPr>
        <w:rPr>
          <w:sz w:val="20"/>
          <w:szCs w:val="20"/>
        </w:rPr>
      </w:pPr>
    </w:p>
    <w:p w:rsidR="002A46DC" w:rsidRDefault="00EB0F11" w:rsidP="002A46DC">
      <w:pPr>
        <w:rPr>
          <w:sz w:val="20"/>
          <w:szCs w:val="20"/>
        </w:rPr>
      </w:pPr>
      <w:r>
        <w:rPr>
          <w:sz w:val="20"/>
          <w:szCs w:val="20"/>
          <w:lang w:val="fr-CA"/>
        </w:rPr>
        <w:pict>
          <v:rect id="_x0000_i1046" style="width:2in;height:1pt" o:hrpct="0" o:hralign="center" o:hrstd="t" o:hrnoshade="t" o:hr="t" fillcolor="black [3213]" stroked="f"/>
        </w:pict>
      </w:r>
    </w:p>
    <w:p w:rsidR="002A46DC" w:rsidRDefault="002A46DC" w:rsidP="002A46DC">
      <w:pPr>
        <w:rPr>
          <w:sz w:val="20"/>
          <w:szCs w:val="20"/>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A2C3C" w:rsidRPr="001A2C3C" w:rsidTr="003052E5">
        <w:trPr>
          <w:cantSplit/>
        </w:trPr>
        <w:tc>
          <w:tcPr>
            <w:tcW w:w="1458" w:type="dxa"/>
          </w:tcPr>
          <w:p w:rsidR="001A2C3C" w:rsidRPr="001A2C3C" w:rsidRDefault="001A2C3C" w:rsidP="001A2C3C">
            <w:pPr>
              <w:rPr>
                <w:sz w:val="20"/>
              </w:rPr>
            </w:pPr>
            <w:r w:rsidRPr="001A2C3C">
              <w:rPr>
                <w:b/>
                <w:sz w:val="20"/>
                <w:lang w:val="fr-CA"/>
              </w:rPr>
              <w:t>35550</w:t>
            </w:r>
          </w:p>
          <w:p w:rsidR="001A2C3C" w:rsidRPr="001A2C3C" w:rsidRDefault="001A2C3C" w:rsidP="001A2C3C">
            <w:pPr>
              <w:rPr>
                <w:b/>
                <w:sz w:val="20"/>
                <w:lang w:val="fr-CA"/>
              </w:rPr>
            </w:pPr>
          </w:p>
        </w:tc>
        <w:tc>
          <w:tcPr>
            <w:tcW w:w="8118" w:type="dxa"/>
          </w:tcPr>
          <w:p w:rsidR="001A2C3C" w:rsidRPr="001A2C3C" w:rsidRDefault="001A2C3C" w:rsidP="001A2C3C">
            <w:pPr>
              <w:jc w:val="both"/>
              <w:rPr>
                <w:sz w:val="20"/>
              </w:rPr>
            </w:pPr>
            <w:r w:rsidRPr="001A2C3C">
              <w:rPr>
                <w:b/>
                <w:sz w:val="20"/>
                <w:u w:val="single"/>
                <w:lang w:val="fr-CA"/>
              </w:rPr>
              <w:t>Theratechnologies inc., Yves Rosconi et Paul Pommier c. 121851 Canada inc.</w:t>
            </w:r>
            <w:r w:rsidRPr="001A2C3C">
              <w:rPr>
                <w:sz w:val="20"/>
                <w:lang w:val="fr-CA"/>
              </w:rPr>
              <w:t xml:space="preserve"> </w:t>
            </w:r>
            <w:r w:rsidRPr="001A2C3C">
              <w:rPr>
                <w:sz w:val="20"/>
              </w:rPr>
              <w:t>(Qc) (Civile) (Autorisation)</w:t>
            </w:r>
          </w:p>
          <w:p w:rsidR="001A2C3C" w:rsidRPr="001A2C3C" w:rsidRDefault="001A2C3C" w:rsidP="001A2C3C">
            <w:pPr>
              <w:jc w:val="both"/>
              <w:rPr>
                <w:sz w:val="20"/>
              </w:rPr>
            </w:pPr>
          </w:p>
        </w:tc>
      </w:tr>
      <w:tr w:rsidR="001A2C3C" w:rsidRPr="00EB0F11" w:rsidTr="003052E5">
        <w:trPr>
          <w:cantSplit/>
        </w:trPr>
        <w:tc>
          <w:tcPr>
            <w:tcW w:w="1458" w:type="dxa"/>
          </w:tcPr>
          <w:p w:rsidR="001A2C3C" w:rsidRPr="001A2C3C" w:rsidRDefault="001A2C3C" w:rsidP="001A2C3C">
            <w:pPr>
              <w:rPr>
                <w:sz w:val="20"/>
              </w:rPr>
            </w:pPr>
            <w:r w:rsidRPr="001A2C3C">
              <w:rPr>
                <w:sz w:val="20"/>
              </w:rPr>
              <w:t>Coram :</w:t>
            </w:r>
          </w:p>
        </w:tc>
        <w:tc>
          <w:tcPr>
            <w:tcW w:w="8118" w:type="dxa"/>
          </w:tcPr>
          <w:p w:rsidR="001A2C3C" w:rsidRPr="001A2C3C" w:rsidRDefault="001A2C3C" w:rsidP="001A2C3C">
            <w:pPr>
              <w:rPr>
                <w:sz w:val="20"/>
                <w:lang w:val="fr-CA"/>
              </w:rPr>
            </w:pPr>
            <w:r w:rsidRPr="001A2C3C">
              <w:rPr>
                <w:sz w:val="20"/>
                <w:u w:val="single"/>
                <w:lang w:val="fr-CA"/>
              </w:rPr>
              <w:t>Les juges LeBel, Karakatsanis et Wagner</w:t>
            </w:r>
          </w:p>
          <w:p w:rsidR="001A2C3C" w:rsidRPr="001A2C3C" w:rsidRDefault="001A2C3C" w:rsidP="001A2C3C">
            <w:pPr>
              <w:rPr>
                <w:sz w:val="20"/>
                <w:u w:val="single"/>
                <w:lang w:val="fr-CA"/>
              </w:rPr>
            </w:pPr>
          </w:p>
        </w:tc>
      </w:tr>
      <w:tr w:rsidR="001A2C3C" w:rsidRPr="001A2C3C" w:rsidTr="003052E5">
        <w:trPr>
          <w:cantSplit/>
        </w:trPr>
        <w:tc>
          <w:tcPr>
            <w:tcW w:w="9576" w:type="dxa"/>
            <w:gridSpan w:val="2"/>
          </w:tcPr>
          <w:p w:rsidR="001A2C3C" w:rsidRPr="001A2C3C" w:rsidRDefault="001A2C3C" w:rsidP="001A2C3C">
            <w:pPr>
              <w:ind w:firstLine="720"/>
              <w:jc w:val="both"/>
              <w:rPr>
                <w:sz w:val="20"/>
                <w:lang w:val="fr-CA"/>
              </w:rPr>
            </w:pPr>
            <w:r w:rsidRPr="001A2C3C">
              <w:rPr>
                <w:sz w:val="20"/>
                <w:lang w:val="fr-CA"/>
              </w:rPr>
              <w:t>La demande d’autorisation d’appel de l’arrêt de la Cour d’appel du Québec (Montréal), numéro 500-09-022519-128, 2013 QCCA 1256, daté du 17 juillet 2013, est accueillie avec dépens selon l’issue de la cause.</w:t>
            </w:r>
          </w:p>
          <w:p w:rsidR="001A2C3C" w:rsidRPr="001A2C3C" w:rsidRDefault="001A2C3C" w:rsidP="001A2C3C">
            <w:pPr>
              <w:jc w:val="both"/>
              <w:rPr>
                <w:sz w:val="20"/>
                <w:lang w:val="fr-CA"/>
              </w:rPr>
            </w:pPr>
          </w:p>
          <w:p w:rsidR="001A2C3C" w:rsidRPr="001A2C3C" w:rsidRDefault="001A2C3C" w:rsidP="003052E5">
            <w:pPr>
              <w:ind w:firstLine="720"/>
              <w:jc w:val="both"/>
              <w:rPr>
                <w:sz w:val="20"/>
              </w:rPr>
            </w:pPr>
            <w:r w:rsidRPr="001A2C3C">
              <w:rPr>
                <w:sz w:val="20"/>
              </w:rPr>
              <w:t>The application for leave to appeal from the judgment of the Court of Appeal of Quebec (Montréal), Number 500-09-022519-128, 2013 QCCA 1256, dated July 17, 2013, is granted with costs in the cause.</w:t>
            </w:r>
          </w:p>
        </w:tc>
      </w:tr>
    </w:tbl>
    <w:p w:rsidR="002A46DC" w:rsidRPr="00EE4CC7" w:rsidRDefault="002A46DC" w:rsidP="002A46DC">
      <w:pPr>
        <w:rPr>
          <w:sz w:val="20"/>
          <w:szCs w:val="20"/>
        </w:rPr>
      </w:pPr>
    </w:p>
    <w:p w:rsidR="002A46DC" w:rsidRPr="001B157C" w:rsidRDefault="002A46DC" w:rsidP="002A46DC">
      <w:pPr>
        <w:rPr>
          <w:sz w:val="20"/>
          <w:szCs w:val="20"/>
          <w:u w:val="single"/>
        </w:rPr>
      </w:pPr>
      <w:r w:rsidRPr="001B157C">
        <w:rPr>
          <w:sz w:val="20"/>
          <w:szCs w:val="20"/>
          <w:u w:val="single"/>
        </w:rPr>
        <w:t>CASE SUMMARY</w:t>
      </w:r>
    </w:p>
    <w:p w:rsidR="002A46DC" w:rsidRDefault="002A46DC" w:rsidP="002A46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E4CC7" w:rsidRPr="002832A9" w:rsidTr="001C4AC6">
        <w:tc>
          <w:tcPr>
            <w:tcW w:w="5000" w:type="pct"/>
            <w:gridSpan w:val="3"/>
          </w:tcPr>
          <w:p w:rsidR="00EE4CC7" w:rsidRPr="002832A9" w:rsidRDefault="00EE4CC7" w:rsidP="001C4AC6">
            <w:pPr>
              <w:jc w:val="both"/>
              <w:rPr>
                <w:rFonts w:eastAsia="Calibri"/>
                <w:sz w:val="20"/>
              </w:rPr>
            </w:pPr>
            <w:r w:rsidRPr="002832A9">
              <w:rPr>
                <w:rFonts w:eastAsia="Calibri"/>
                <w:sz w:val="20"/>
              </w:rPr>
              <w:t>Civil procedure – Class action specific to securities field – Criteria for authorizing class action –Share</w:t>
            </w:r>
            <w:r w:rsidRPr="002832A9">
              <w:rPr>
                <w:rFonts w:eastAsia="Calibri"/>
                <w:sz w:val="20"/>
              </w:rPr>
              <w:noBreakHyphen/>
              <w:t xml:space="preserve">issuing company in process of obtaining authorization to market new drug – Rating agencies publishing questions or objections raised by health authorities in this context – Market reacting negatively between that press release and </w:t>
            </w:r>
            <w:r w:rsidRPr="002832A9">
              <w:rPr>
                <w:rFonts w:eastAsia="Calibri"/>
                <w:sz w:val="20"/>
              </w:rPr>
              <w:lastRenderedPageBreak/>
              <w:t xml:space="preserve">subsequent authorization – Some investors selling quickly at loss in meantime – Those investors applying for authorization to institute class action on basis of company’s alleged failure to reveal questions raised by FDA – Obligation to disclose any material change relied on – Action authorized – Whether Court of Appeal erred in stating that mere fact of raising serious arguments about material change in company, without slightest analysis of evidence, was sufficient to establish reasonable chance of success – </w:t>
            </w:r>
            <w:r w:rsidRPr="002832A9">
              <w:rPr>
                <w:rFonts w:eastAsia="Calibri"/>
                <w:i/>
                <w:sz w:val="20"/>
              </w:rPr>
              <w:t>Securities Act</w:t>
            </w:r>
            <w:r w:rsidRPr="002832A9">
              <w:rPr>
                <w:rFonts w:eastAsia="Calibri"/>
                <w:sz w:val="20"/>
              </w:rPr>
              <w:t>, R.S.Q. c. V</w:t>
            </w:r>
            <w:r w:rsidRPr="002832A9">
              <w:rPr>
                <w:rFonts w:eastAsia="Calibri"/>
                <w:sz w:val="20"/>
              </w:rPr>
              <w:noBreakHyphen/>
              <w:t>1.1, s. 225.4.</w:t>
            </w:r>
          </w:p>
        </w:tc>
      </w:tr>
      <w:tr w:rsidR="00EE4CC7" w:rsidRPr="002832A9" w:rsidTr="001C4AC6">
        <w:tc>
          <w:tcPr>
            <w:tcW w:w="5000" w:type="pct"/>
            <w:gridSpan w:val="3"/>
          </w:tcPr>
          <w:p w:rsidR="00EE4CC7" w:rsidRPr="002832A9" w:rsidRDefault="00EE4CC7" w:rsidP="001C4AC6">
            <w:pPr>
              <w:jc w:val="both"/>
              <w:rPr>
                <w:rFonts w:eastAsia="Calibri"/>
                <w:sz w:val="20"/>
              </w:rPr>
            </w:pPr>
          </w:p>
        </w:tc>
      </w:tr>
      <w:tr w:rsidR="00EE4CC7" w:rsidRPr="002832A9" w:rsidTr="001C4AC6">
        <w:tc>
          <w:tcPr>
            <w:tcW w:w="5000" w:type="pct"/>
            <w:gridSpan w:val="3"/>
          </w:tcPr>
          <w:p w:rsidR="00EE4CC7" w:rsidRPr="002832A9" w:rsidRDefault="00EE4CC7" w:rsidP="001C4AC6">
            <w:pPr>
              <w:jc w:val="both"/>
              <w:rPr>
                <w:rFonts w:eastAsia="Calibri"/>
                <w:sz w:val="20"/>
              </w:rPr>
            </w:pPr>
            <w:r w:rsidRPr="002832A9">
              <w:rPr>
                <w:rFonts w:eastAsia="Calibri"/>
                <w:sz w:val="20"/>
              </w:rPr>
              <w:t>In the spring of 2010, the applicant company was awaiting approval of a new drug, tesamorelin, from the United States Food and Drug Administration.  A public information meeting was scheduled for May 27, 2010.  On May 25, in accordance with its procedure, the FDA published the information on its site.  The information attracted the attention of stock market rating companies like Bloomberg, Dow Jones and Thomson Reuters, which expressed their reservations in a press release.  The respondent 121851 Canada sold its 190,000 shares in Thera the same day.  It incurred a net loss of $271,752 in relation to the market value of the shares on May 21, the business day preceding the press release.  In fact, the share price fell 58% in a sudden high volume of trading.  On May 27, a halt in trading in Thera’s securities was even ordered.  However, on May 27, the drug was approved following the scheduled public meeting.  On May 29, the value of the share went back to normal.</w:t>
            </w:r>
          </w:p>
          <w:p w:rsidR="00EE4CC7" w:rsidRPr="002832A9" w:rsidRDefault="00EE4CC7" w:rsidP="001C4AC6">
            <w:pPr>
              <w:jc w:val="both"/>
              <w:rPr>
                <w:rFonts w:eastAsia="Calibri"/>
                <w:sz w:val="20"/>
              </w:rPr>
            </w:pPr>
          </w:p>
        </w:tc>
      </w:tr>
      <w:tr w:rsidR="00EE4CC7" w:rsidRPr="002832A9" w:rsidTr="001C4AC6">
        <w:tc>
          <w:tcPr>
            <w:tcW w:w="2427" w:type="pct"/>
          </w:tcPr>
          <w:p w:rsidR="00EE4CC7" w:rsidRPr="002832A9" w:rsidRDefault="00EE4CC7" w:rsidP="001C4AC6">
            <w:pPr>
              <w:jc w:val="both"/>
              <w:rPr>
                <w:rFonts w:eastAsia="Calibri"/>
                <w:sz w:val="20"/>
              </w:rPr>
            </w:pPr>
            <w:r w:rsidRPr="002832A9">
              <w:rPr>
                <w:rFonts w:eastAsia="Calibri"/>
                <w:sz w:val="20"/>
              </w:rPr>
              <w:t>February 24, 2012</w:t>
            </w:r>
          </w:p>
          <w:p w:rsidR="00EE4CC7" w:rsidRPr="002832A9" w:rsidRDefault="00EE4CC7" w:rsidP="001C4AC6">
            <w:pPr>
              <w:jc w:val="both"/>
              <w:rPr>
                <w:rFonts w:eastAsia="Calibri"/>
                <w:sz w:val="20"/>
              </w:rPr>
            </w:pPr>
            <w:r w:rsidRPr="002832A9">
              <w:rPr>
                <w:rFonts w:eastAsia="Calibri"/>
                <w:sz w:val="20"/>
              </w:rPr>
              <w:t>Quebec Superior Court</w:t>
            </w:r>
          </w:p>
          <w:p w:rsidR="00EE4CC7" w:rsidRPr="002832A9" w:rsidRDefault="00EE4CC7" w:rsidP="001C4AC6">
            <w:pPr>
              <w:jc w:val="both"/>
              <w:rPr>
                <w:rFonts w:eastAsia="Calibri"/>
                <w:sz w:val="20"/>
              </w:rPr>
            </w:pPr>
            <w:r w:rsidRPr="002832A9">
              <w:rPr>
                <w:rFonts w:eastAsia="Calibri"/>
                <w:sz w:val="20"/>
              </w:rPr>
              <w:t>(Blanchard J.)</w:t>
            </w:r>
          </w:p>
          <w:p w:rsidR="00EE4CC7" w:rsidRPr="002832A9" w:rsidRDefault="00EB0F11" w:rsidP="001C4AC6">
            <w:pPr>
              <w:jc w:val="both"/>
              <w:rPr>
                <w:rFonts w:eastAsia="Calibri"/>
                <w:sz w:val="20"/>
              </w:rPr>
            </w:pPr>
            <w:hyperlink r:id="rId30" w:history="1">
              <w:r w:rsidR="00EE4CC7" w:rsidRPr="002832A9">
                <w:rPr>
                  <w:rFonts w:eastAsia="Calibri"/>
                  <w:color w:val="0000FF"/>
                  <w:sz w:val="20"/>
                  <w:u w:val="single"/>
                </w:rPr>
                <w:t>CanLII - 2012 QCCS 699 (CanLII)</w:t>
              </w:r>
            </w:hyperlink>
          </w:p>
          <w:p w:rsidR="00EE4CC7" w:rsidRPr="002832A9" w:rsidRDefault="00EE4CC7" w:rsidP="001C4AC6">
            <w:pPr>
              <w:jc w:val="both"/>
              <w:rPr>
                <w:rFonts w:eastAsia="Calibri"/>
                <w:sz w:val="20"/>
              </w:rPr>
            </w:pPr>
          </w:p>
        </w:tc>
        <w:tc>
          <w:tcPr>
            <w:tcW w:w="243" w:type="pct"/>
          </w:tcPr>
          <w:p w:rsidR="00EE4CC7" w:rsidRPr="002832A9" w:rsidRDefault="00EE4CC7" w:rsidP="001C4AC6">
            <w:pPr>
              <w:jc w:val="both"/>
              <w:rPr>
                <w:rFonts w:eastAsia="Calibri"/>
                <w:sz w:val="20"/>
              </w:rPr>
            </w:pPr>
          </w:p>
        </w:tc>
        <w:tc>
          <w:tcPr>
            <w:tcW w:w="2330" w:type="pct"/>
          </w:tcPr>
          <w:p w:rsidR="00EE4CC7" w:rsidRPr="002832A9" w:rsidRDefault="00EE4CC7" w:rsidP="001C4AC6">
            <w:pPr>
              <w:jc w:val="both"/>
              <w:rPr>
                <w:rFonts w:eastAsia="Calibri"/>
                <w:sz w:val="20"/>
              </w:rPr>
            </w:pPr>
            <w:r w:rsidRPr="002832A9">
              <w:rPr>
                <w:rFonts w:eastAsia="Calibri"/>
                <w:sz w:val="20"/>
              </w:rPr>
              <w:t>Class action led by respondent authorized</w:t>
            </w:r>
          </w:p>
        </w:tc>
      </w:tr>
      <w:tr w:rsidR="00EE4CC7" w:rsidRPr="002832A9" w:rsidTr="003052E5">
        <w:trPr>
          <w:cantSplit/>
        </w:trPr>
        <w:tc>
          <w:tcPr>
            <w:tcW w:w="2427" w:type="pct"/>
          </w:tcPr>
          <w:p w:rsidR="00EE4CC7" w:rsidRPr="002832A9" w:rsidRDefault="00EE4CC7" w:rsidP="001C4AC6">
            <w:pPr>
              <w:jc w:val="both"/>
              <w:rPr>
                <w:rFonts w:eastAsia="Calibri"/>
                <w:sz w:val="20"/>
              </w:rPr>
            </w:pPr>
            <w:r w:rsidRPr="002832A9">
              <w:rPr>
                <w:rFonts w:eastAsia="Calibri"/>
                <w:sz w:val="20"/>
              </w:rPr>
              <w:t>July 17, 2013</w:t>
            </w:r>
          </w:p>
          <w:p w:rsidR="00EE4CC7" w:rsidRPr="002832A9" w:rsidRDefault="00EE4CC7" w:rsidP="001C4AC6">
            <w:pPr>
              <w:jc w:val="both"/>
              <w:rPr>
                <w:rFonts w:eastAsia="Calibri"/>
                <w:sz w:val="20"/>
              </w:rPr>
            </w:pPr>
            <w:r w:rsidRPr="002832A9">
              <w:rPr>
                <w:rFonts w:eastAsia="Calibri"/>
                <w:sz w:val="20"/>
              </w:rPr>
              <w:t>Quebec Court of Appeal (Montréal)</w:t>
            </w:r>
          </w:p>
          <w:p w:rsidR="00EE4CC7" w:rsidRPr="002832A9" w:rsidRDefault="00EE4CC7" w:rsidP="001C4AC6">
            <w:pPr>
              <w:jc w:val="both"/>
              <w:rPr>
                <w:rFonts w:eastAsia="Calibri"/>
                <w:sz w:val="20"/>
              </w:rPr>
            </w:pPr>
            <w:r w:rsidRPr="002832A9">
              <w:rPr>
                <w:rFonts w:eastAsia="Calibri"/>
                <w:sz w:val="20"/>
              </w:rPr>
              <w:t>(Rochon, Bouchard and Gascon JJ.A.)</w:t>
            </w:r>
          </w:p>
          <w:p w:rsidR="00EE4CC7" w:rsidRPr="002832A9" w:rsidRDefault="00EB0F11" w:rsidP="001C4AC6">
            <w:pPr>
              <w:jc w:val="both"/>
              <w:rPr>
                <w:rFonts w:eastAsia="Calibri"/>
                <w:sz w:val="20"/>
              </w:rPr>
            </w:pPr>
            <w:hyperlink r:id="rId31" w:history="1">
              <w:r w:rsidR="00EE4CC7" w:rsidRPr="002832A9">
                <w:rPr>
                  <w:rFonts w:eastAsia="Calibri"/>
                  <w:color w:val="0000FF"/>
                  <w:sz w:val="20"/>
                  <w:u w:val="single"/>
                </w:rPr>
                <w:t>http://www.canlii.org/2013qcca1256</w:t>
              </w:r>
            </w:hyperlink>
          </w:p>
          <w:p w:rsidR="00EE4CC7" w:rsidRPr="002832A9" w:rsidRDefault="00EE4CC7" w:rsidP="001C4AC6">
            <w:pPr>
              <w:jc w:val="both"/>
              <w:rPr>
                <w:rFonts w:eastAsia="Calibri"/>
                <w:sz w:val="20"/>
              </w:rPr>
            </w:pPr>
          </w:p>
        </w:tc>
        <w:tc>
          <w:tcPr>
            <w:tcW w:w="243" w:type="pct"/>
          </w:tcPr>
          <w:p w:rsidR="00EE4CC7" w:rsidRPr="002832A9" w:rsidRDefault="00EE4CC7" w:rsidP="001C4AC6">
            <w:pPr>
              <w:jc w:val="both"/>
              <w:rPr>
                <w:rFonts w:eastAsia="Calibri"/>
                <w:sz w:val="20"/>
              </w:rPr>
            </w:pPr>
          </w:p>
        </w:tc>
        <w:tc>
          <w:tcPr>
            <w:tcW w:w="2330" w:type="pct"/>
          </w:tcPr>
          <w:p w:rsidR="00EE4CC7" w:rsidRPr="002832A9" w:rsidRDefault="00EE4CC7" w:rsidP="001C4AC6">
            <w:pPr>
              <w:jc w:val="both"/>
              <w:rPr>
                <w:rFonts w:eastAsia="Calibri"/>
                <w:sz w:val="20"/>
              </w:rPr>
            </w:pPr>
            <w:r w:rsidRPr="002832A9">
              <w:rPr>
                <w:rFonts w:eastAsia="Calibri"/>
                <w:sz w:val="20"/>
              </w:rPr>
              <w:t>Appeal dismissed</w:t>
            </w:r>
          </w:p>
        </w:tc>
      </w:tr>
      <w:tr w:rsidR="00EE4CC7" w:rsidRPr="002832A9" w:rsidTr="003052E5">
        <w:trPr>
          <w:cantSplit/>
        </w:trPr>
        <w:tc>
          <w:tcPr>
            <w:tcW w:w="2427" w:type="pct"/>
          </w:tcPr>
          <w:p w:rsidR="00EE4CC7" w:rsidRPr="002832A9" w:rsidRDefault="00EE4CC7" w:rsidP="001C4AC6">
            <w:pPr>
              <w:jc w:val="both"/>
              <w:rPr>
                <w:rFonts w:eastAsia="Calibri"/>
                <w:sz w:val="20"/>
              </w:rPr>
            </w:pPr>
            <w:r w:rsidRPr="002832A9">
              <w:rPr>
                <w:rFonts w:eastAsia="Calibri"/>
                <w:sz w:val="20"/>
              </w:rPr>
              <w:t>September 30, 2013</w:t>
            </w:r>
          </w:p>
          <w:p w:rsidR="00EE4CC7" w:rsidRPr="002832A9" w:rsidRDefault="00EE4CC7" w:rsidP="001C4AC6">
            <w:pPr>
              <w:jc w:val="both"/>
              <w:rPr>
                <w:rFonts w:eastAsia="Calibri"/>
                <w:sz w:val="20"/>
              </w:rPr>
            </w:pPr>
            <w:r w:rsidRPr="002832A9">
              <w:rPr>
                <w:rFonts w:eastAsia="Calibri"/>
                <w:sz w:val="20"/>
              </w:rPr>
              <w:t>Supreme Court of Canada</w:t>
            </w:r>
          </w:p>
        </w:tc>
        <w:tc>
          <w:tcPr>
            <w:tcW w:w="243" w:type="pct"/>
          </w:tcPr>
          <w:p w:rsidR="00EE4CC7" w:rsidRPr="002832A9" w:rsidRDefault="00EE4CC7" w:rsidP="001C4AC6">
            <w:pPr>
              <w:jc w:val="both"/>
              <w:rPr>
                <w:rFonts w:eastAsia="Calibri"/>
                <w:sz w:val="20"/>
              </w:rPr>
            </w:pPr>
          </w:p>
        </w:tc>
        <w:tc>
          <w:tcPr>
            <w:tcW w:w="2330" w:type="pct"/>
          </w:tcPr>
          <w:p w:rsidR="00EE4CC7" w:rsidRPr="002832A9" w:rsidRDefault="00EE4CC7" w:rsidP="001C4AC6">
            <w:pPr>
              <w:jc w:val="both"/>
              <w:rPr>
                <w:rFonts w:eastAsia="Calibri"/>
                <w:sz w:val="20"/>
              </w:rPr>
            </w:pPr>
            <w:r w:rsidRPr="002832A9">
              <w:rPr>
                <w:rFonts w:eastAsia="Calibri"/>
                <w:sz w:val="20"/>
              </w:rPr>
              <w:t>Application for leave to appeal filed</w:t>
            </w:r>
          </w:p>
          <w:p w:rsidR="00EE4CC7" w:rsidRPr="002832A9" w:rsidRDefault="00EE4CC7" w:rsidP="001C4AC6">
            <w:pPr>
              <w:jc w:val="both"/>
              <w:rPr>
                <w:rFonts w:eastAsia="Calibri"/>
                <w:sz w:val="20"/>
              </w:rPr>
            </w:pPr>
          </w:p>
        </w:tc>
      </w:tr>
    </w:tbl>
    <w:p w:rsidR="002A46DC" w:rsidRDefault="002A46DC" w:rsidP="002A46DC">
      <w:pPr>
        <w:rPr>
          <w:sz w:val="20"/>
          <w:szCs w:val="20"/>
        </w:rPr>
      </w:pPr>
    </w:p>
    <w:p w:rsidR="002A46DC" w:rsidRPr="00C50A5C" w:rsidRDefault="00EB0F11" w:rsidP="002A46DC">
      <w:pPr>
        <w:rPr>
          <w:sz w:val="20"/>
          <w:szCs w:val="20"/>
        </w:rPr>
      </w:pPr>
      <w:r>
        <w:rPr>
          <w:sz w:val="20"/>
          <w:szCs w:val="20"/>
          <w:lang w:val="fr-CA"/>
        </w:rPr>
        <w:pict>
          <v:rect id="_x0000_i1047" style="width:2in;height:1pt" o:hrpct="0" o:hralign="center" o:hrstd="t" o:hrnoshade="t" o:hr="t" fillcolor="black [3213]" stroked="f"/>
        </w:pict>
      </w:r>
    </w:p>
    <w:p w:rsidR="002A46DC" w:rsidRDefault="002A46DC" w:rsidP="002A46DC">
      <w:pPr>
        <w:rPr>
          <w:sz w:val="20"/>
          <w:szCs w:val="20"/>
        </w:rPr>
      </w:pPr>
    </w:p>
    <w:p w:rsidR="002A46DC" w:rsidRPr="001B157C" w:rsidRDefault="002A46DC" w:rsidP="002A46DC">
      <w:pPr>
        <w:rPr>
          <w:sz w:val="20"/>
          <w:szCs w:val="20"/>
          <w:u w:val="single"/>
          <w:lang w:val="fr-CA"/>
        </w:rPr>
      </w:pPr>
      <w:r w:rsidRPr="001B157C">
        <w:rPr>
          <w:sz w:val="20"/>
          <w:szCs w:val="20"/>
          <w:u w:val="single"/>
          <w:lang w:val="fr-CA"/>
        </w:rPr>
        <w:t>RÉSUMÉ DE L’AFFAIRE</w:t>
      </w:r>
    </w:p>
    <w:p w:rsidR="002A46DC" w:rsidRDefault="002A46DC" w:rsidP="002A46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E4CC7" w:rsidRPr="00EB0F11" w:rsidTr="001C4AC6">
        <w:tc>
          <w:tcPr>
            <w:tcW w:w="5000" w:type="pct"/>
            <w:gridSpan w:val="3"/>
          </w:tcPr>
          <w:p w:rsidR="00EE4CC7" w:rsidRPr="002832A9" w:rsidRDefault="00EE4CC7" w:rsidP="001C4AC6">
            <w:pPr>
              <w:jc w:val="both"/>
              <w:rPr>
                <w:rFonts w:eastAsia="Calibri"/>
                <w:sz w:val="20"/>
                <w:lang w:val="fr-CA"/>
              </w:rPr>
            </w:pPr>
            <w:r w:rsidRPr="002832A9">
              <w:rPr>
                <w:rFonts w:eastAsia="Calibri"/>
                <w:sz w:val="20"/>
                <w:lang w:val="fr-CA"/>
              </w:rPr>
              <w:t xml:space="preserve">Procédure civile – Recours collectif spécifique au domaine des valeurs mobilières – Critères d’autorisation – Compagnie émettrice d’actions en voie d’obtenir une autorisation pour mettre en marché un nouveau médicament – Publication par des agences de cotation des questions ou objections formulées par les autorités de la santé dans ce cadre – Réaction négative du marché entre ce communiqué et l’autorisation subséquente – Vente rapide à perte de la part de certains investisseurs pendant l’intervalle – Demande de ceux-ci d’être autorisés à intenter un recours collectif sur la base du défaut allégué de la compagnie de révéler les questions posées par la FDA – Obligation de divulgation de tout changement important invoquée – Recours autorisé – La Cour d’appel a-t-elle erré en affirmant que le seul fait d’avancer des arguments sérieux relativement à l’existence d’un changement important dans la compagnie sans faire la moindre analyse de la preuve est suffisant pour établir une chance raisonnable de succès? – </w:t>
            </w:r>
            <w:r w:rsidRPr="002832A9">
              <w:rPr>
                <w:rFonts w:eastAsia="Calibri"/>
                <w:i/>
                <w:sz w:val="20"/>
                <w:lang w:val="fr-CA"/>
              </w:rPr>
              <w:t>Loi sur les valeurs mobilières</w:t>
            </w:r>
            <w:r w:rsidRPr="002832A9">
              <w:rPr>
                <w:rFonts w:eastAsia="Calibri"/>
                <w:sz w:val="20"/>
                <w:lang w:val="fr-CA"/>
              </w:rPr>
              <w:t>, L.R.Q. ch. 1.1, art. 225.4.</w:t>
            </w:r>
          </w:p>
        </w:tc>
      </w:tr>
      <w:tr w:rsidR="00EE4CC7" w:rsidRPr="00EB0F11" w:rsidTr="001C4AC6">
        <w:tc>
          <w:tcPr>
            <w:tcW w:w="5000" w:type="pct"/>
            <w:gridSpan w:val="3"/>
          </w:tcPr>
          <w:p w:rsidR="00EE4CC7" w:rsidRPr="002832A9" w:rsidRDefault="00EE4CC7" w:rsidP="001C4AC6">
            <w:pPr>
              <w:jc w:val="both"/>
              <w:rPr>
                <w:rFonts w:eastAsia="Calibri"/>
                <w:sz w:val="20"/>
                <w:lang w:val="fr-CA"/>
              </w:rPr>
            </w:pPr>
          </w:p>
        </w:tc>
      </w:tr>
      <w:tr w:rsidR="00EE4CC7" w:rsidRPr="00EB0F11" w:rsidTr="001C4AC6">
        <w:tc>
          <w:tcPr>
            <w:tcW w:w="5000" w:type="pct"/>
            <w:gridSpan w:val="3"/>
          </w:tcPr>
          <w:p w:rsidR="00EE4CC7" w:rsidRPr="002832A9" w:rsidRDefault="00EE4CC7" w:rsidP="001C4AC6">
            <w:pPr>
              <w:jc w:val="both"/>
              <w:rPr>
                <w:rFonts w:eastAsia="Calibri"/>
                <w:sz w:val="20"/>
                <w:lang w:val="fr-CA"/>
              </w:rPr>
            </w:pPr>
            <w:r w:rsidRPr="002832A9">
              <w:rPr>
                <w:rFonts w:eastAsia="Calibri"/>
                <w:sz w:val="20"/>
                <w:lang w:val="fr-CA"/>
              </w:rPr>
              <w:t xml:space="preserve">Au printemps 2010, la compagnie demanderesse est en attente d’une approbation de la Food and Drug Administration </w:t>
            </w:r>
            <w:r w:rsidRPr="002832A9">
              <w:rPr>
                <w:rFonts w:eastAsia="Calibri"/>
                <w:sz w:val="20"/>
                <w:lang w:val="fr-CA"/>
              </w:rPr>
              <w:lastRenderedPageBreak/>
              <w:t>des États-Unis pour un nouveau médicament, la tésamoréline.  Une séance publique d’information est prévue le 27 mai 2010.  Le 25 mai, conformément à sa procédure, la FDA publie les données sur son site.  Ces renseignements attirent l'attention d’entreprises de cotation boursière telles Bloomberg, Dow Jones, Thompson et Reuters, qui expriment leurs réserves dans un communiqué.  L’intimée 121851 Canada vend ses 190 000 actions de Thera le jour même.  Elle enregistre une perte nette de 271 752 $ sur leur valeur marchande au 21 mai, jour ouvrable précédant le communiqué.  Dans un fort volume soudain de transactions, le prix de l'action chutera de fait de 58 %.  Le 27 mai, une suspension de transactions sur le titre de Thera sera même décrétée.  Le 27 mai cependant, à la suite de la séance publique prévue, l'approbation du médicament devient chose faite.  Le 29 mai, la valeur de l'action revient à la normale.</w:t>
            </w:r>
          </w:p>
          <w:p w:rsidR="00EE4CC7" w:rsidRPr="002832A9" w:rsidRDefault="00EE4CC7" w:rsidP="001C4AC6">
            <w:pPr>
              <w:jc w:val="both"/>
              <w:rPr>
                <w:rFonts w:eastAsia="Calibri"/>
                <w:sz w:val="20"/>
                <w:lang w:val="fr-CA"/>
              </w:rPr>
            </w:pPr>
          </w:p>
        </w:tc>
      </w:tr>
      <w:tr w:rsidR="00EE4CC7" w:rsidRPr="00EB0F11" w:rsidTr="001C4AC6">
        <w:tc>
          <w:tcPr>
            <w:tcW w:w="2427" w:type="pct"/>
          </w:tcPr>
          <w:p w:rsidR="00EE4CC7" w:rsidRPr="002832A9" w:rsidRDefault="00EE4CC7" w:rsidP="001C4AC6">
            <w:pPr>
              <w:jc w:val="both"/>
              <w:rPr>
                <w:rFonts w:eastAsia="Calibri"/>
                <w:sz w:val="20"/>
                <w:lang w:val="fr-CA"/>
              </w:rPr>
            </w:pPr>
            <w:r w:rsidRPr="002832A9">
              <w:rPr>
                <w:rFonts w:eastAsia="Calibri"/>
                <w:sz w:val="20"/>
                <w:lang w:val="fr-CA"/>
              </w:rPr>
              <w:lastRenderedPageBreak/>
              <w:t>Le 24 février 2012</w:t>
            </w:r>
          </w:p>
          <w:p w:rsidR="00EE4CC7" w:rsidRPr="002832A9" w:rsidRDefault="00EE4CC7" w:rsidP="001C4AC6">
            <w:pPr>
              <w:jc w:val="both"/>
              <w:rPr>
                <w:rFonts w:eastAsia="Calibri"/>
                <w:sz w:val="20"/>
                <w:lang w:val="fr-CA"/>
              </w:rPr>
            </w:pPr>
            <w:r w:rsidRPr="002832A9">
              <w:rPr>
                <w:rFonts w:eastAsia="Calibri"/>
                <w:sz w:val="20"/>
                <w:lang w:val="fr-CA"/>
              </w:rPr>
              <w:t>Cour supérieure du Québec</w:t>
            </w:r>
          </w:p>
          <w:p w:rsidR="00EE4CC7" w:rsidRPr="002832A9" w:rsidRDefault="00EE4CC7" w:rsidP="001C4AC6">
            <w:pPr>
              <w:jc w:val="both"/>
              <w:rPr>
                <w:rFonts w:eastAsia="Calibri"/>
                <w:sz w:val="20"/>
                <w:lang w:val="fr-CA"/>
              </w:rPr>
            </w:pPr>
            <w:r w:rsidRPr="002832A9">
              <w:rPr>
                <w:rFonts w:eastAsia="Calibri"/>
                <w:sz w:val="20"/>
                <w:lang w:val="fr-CA"/>
              </w:rPr>
              <w:t>(Le juge Blanchard)</w:t>
            </w:r>
          </w:p>
          <w:p w:rsidR="00EE4CC7" w:rsidRPr="002832A9" w:rsidRDefault="00EB0F11" w:rsidP="001C4AC6">
            <w:pPr>
              <w:jc w:val="both"/>
              <w:rPr>
                <w:rFonts w:eastAsia="Calibri"/>
                <w:sz w:val="20"/>
                <w:lang w:val="fr-CA"/>
              </w:rPr>
            </w:pPr>
            <w:hyperlink r:id="rId32" w:history="1">
              <w:r w:rsidR="00EE4CC7" w:rsidRPr="002832A9">
                <w:rPr>
                  <w:rFonts w:eastAsia="Calibri"/>
                  <w:color w:val="0000FF"/>
                  <w:sz w:val="20"/>
                  <w:u w:val="single"/>
                  <w:lang w:val="fr-CA"/>
                </w:rPr>
                <w:t>CanLII - 2012 QCCS 699 (CanLII)</w:t>
              </w:r>
            </w:hyperlink>
          </w:p>
          <w:p w:rsidR="00EE4CC7" w:rsidRPr="002832A9" w:rsidRDefault="00EE4CC7" w:rsidP="001C4AC6">
            <w:pPr>
              <w:jc w:val="both"/>
              <w:rPr>
                <w:rFonts w:eastAsia="Calibri"/>
                <w:sz w:val="20"/>
                <w:lang w:val="fr-FR"/>
              </w:rPr>
            </w:pPr>
          </w:p>
        </w:tc>
        <w:tc>
          <w:tcPr>
            <w:tcW w:w="243" w:type="pct"/>
          </w:tcPr>
          <w:p w:rsidR="00EE4CC7" w:rsidRPr="002832A9" w:rsidRDefault="00EE4CC7" w:rsidP="001C4AC6">
            <w:pPr>
              <w:jc w:val="both"/>
              <w:rPr>
                <w:rFonts w:eastAsia="Calibri"/>
                <w:sz w:val="20"/>
                <w:lang w:val="fr-FR"/>
              </w:rPr>
            </w:pPr>
          </w:p>
        </w:tc>
        <w:tc>
          <w:tcPr>
            <w:tcW w:w="2330" w:type="pct"/>
          </w:tcPr>
          <w:p w:rsidR="00EE4CC7" w:rsidRPr="002832A9" w:rsidRDefault="00EE4CC7" w:rsidP="001C4AC6">
            <w:pPr>
              <w:jc w:val="both"/>
              <w:rPr>
                <w:rFonts w:eastAsia="Calibri"/>
                <w:sz w:val="20"/>
                <w:lang w:val="fr-CA"/>
              </w:rPr>
            </w:pPr>
            <w:r w:rsidRPr="002832A9">
              <w:rPr>
                <w:rFonts w:eastAsia="Calibri"/>
                <w:sz w:val="20"/>
                <w:lang w:val="fr-CA"/>
              </w:rPr>
              <w:t>Autorisation du recours collectif piloté par l’intimée.</w:t>
            </w:r>
          </w:p>
        </w:tc>
      </w:tr>
      <w:tr w:rsidR="00EE4CC7" w:rsidRPr="002832A9" w:rsidTr="001C4AC6">
        <w:tc>
          <w:tcPr>
            <w:tcW w:w="2427" w:type="pct"/>
          </w:tcPr>
          <w:p w:rsidR="00EE4CC7" w:rsidRPr="002832A9" w:rsidRDefault="00EE4CC7" w:rsidP="001C4AC6">
            <w:pPr>
              <w:jc w:val="both"/>
              <w:rPr>
                <w:rFonts w:eastAsia="Calibri"/>
                <w:sz w:val="20"/>
                <w:lang w:val="fr-CA"/>
              </w:rPr>
            </w:pPr>
            <w:r w:rsidRPr="002832A9">
              <w:rPr>
                <w:rFonts w:eastAsia="Calibri"/>
                <w:sz w:val="20"/>
                <w:lang w:val="fr-CA"/>
              </w:rPr>
              <w:t>Le 17 juillet 2013</w:t>
            </w:r>
          </w:p>
          <w:p w:rsidR="00EE4CC7" w:rsidRPr="002832A9" w:rsidRDefault="00EE4CC7" w:rsidP="001C4AC6">
            <w:pPr>
              <w:jc w:val="both"/>
              <w:rPr>
                <w:rFonts w:eastAsia="Calibri"/>
                <w:sz w:val="20"/>
                <w:lang w:val="fr-CA"/>
              </w:rPr>
            </w:pPr>
            <w:r w:rsidRPr="002832A9">
              <w:rPr>
                <w:rFonts w:eastAsia="Calibri"/>
                <w:sz w:val="20"/>
                <w:lang w:val="fr-CA"/>
              </w:rPr>
              <w:t>Cour d’appel du Québec (Montréal)</w:t>
            </w:r>
          </w:p>
          <w:p w:rsidR="00EE4CC7" w:rsidRPr="002832A9" w:rsidRDefault="00EE4CC7" w:rsidP="001C4AC6">
            <w:pPr>
              <w:jc w:val="both"/>
              <w:rPr>
                <w:rFonts w:eastAsia="Calibri"/>
                <w:sz w:val="20"/>
                <w:lang w:val="fr-CA"/>
              </w:rPr>
            </w:pPr>
            <w:r w:rsidRPr="002832A9">
              <w:rPr>
                <w:rFonts w:eastAsia="Calibri"/>
                <w:sz w:val="20"/>
                <w:lang w:val="fr-CA"/>
              </w:rPr>
              <w:t>(Les juges Rochon, Bouchard et Gascon)</w:t>
            </w:r>
          </w:p>
          <w:p w:rsidR="00EE4CC7" w:rsidRPr="002832A9" w:rsidRDefault="00EB0F11" w:rsidP="001C4AC6">
            <w:pPr>
              <w:jc w:val="both"/>
              <w:rPr>
                <w:rFonts w:eastAsia="Calibri"/>
                <w:sz w:val="20"/>
                <w:lang w:val="fr-CA"/>
              </w:rPr>
            </w:pPr>
            <w:hyperlink r:id="rId33" w:history="1">
              <w:r w:rsidR="00EE4CC7" w:rsidRPr="002832A9">
                <w:rPr>
                  <w:rFonts w:eastAsia="Calibri"/>
                  <w:color w:val="0000FF"/>
                  <w:sz w:val="20"/>
                  <w:u w:val="single"/>
                  <w:lang w:val="fr-CA"/>
                </w:rPr>
                <w:t>http://www.canlii.org/2013qcca1256</w:t>
              </w:r>
            </w:hyperlink>
          </w:p>
          <w:p w:rsidR="00EE4CC7" w:rsidRPr="002832A9" w:rsidRDefault="00EE4CC7" w:rsidP="001C4AC6">
            <w:pPr>
              <w:jc w:val="both"/>
              <w:rPr>
                <w:rFonts w:eastAsia="Calibri"/>
                <w:sz w:val="20"/>
                <w:lang w:val="fr-CA"/>
              </w:rPr>
            </w:pPr>
          </w:p>
        </w:tc>
        <w:tc>
          <w:tcPr>
            <w:tcW w:w="243" w:type="pct"/>
          </w:tcPr>
          <w:p w:rsidR="00EE4CC7" w:rsidRPr="002832A9" w:rsidRDefault="00EE4CC7" w:rsidP="001C4AC6">
            <w:pPr>
              <w:jc w:val="both"/>
              <w:rPr>
                <w:rFonts w:eastAsia="Calibri"/>
                <w:sz w:val="20"/>
                <w:lang w:val="fr-CA"/>
              </w:rPr>
            </w:pPr>
          </w:p>
        </w:tc>
        <w:tc>
          <w:tcPr>
            <w:tcW w:w="2330" w:type="pct"/>
          </w:tcPr>
          <w:p w:rsidR="00EE4CC7" w:rsidRPr="002832A9" w:rsidRDefault="00EE4CC7" w:rsidP="001C4AC6">
            <w:pPr>
              <w:jc w:val="both"/>
              <w:rPr>
                <w:rFonts w:eastAsia="Calibri"/>
                <w:sz w:val="20"/>
                <w:lang w:val="fr-CA"/>
              </w:rPr>
            </w:pPr>
            <w:r w:rsidRPr="002832A9">
              <w:rPr>
                <w:rFonts w:eastAsia="Calibri"/>
                <w:sz w:val="20"/>
                <w:lang w:val="fr-CA"/>
              </w:rPr>
              <w:t>Rejet de l’appel.</w:t>
            </w:r>
          </w:p>
        </w:tc>
      </w:tr>
      <w:tr w:rsidR="00EE4CC7" w:rsidRPr="00EB0F11" w:rsidTr="001C4AC6">
        <w:tc>
          <w:tcPr>
            <w:tcW w:w="2427" w:type="pct"/>
          </w:tcPr>
          <w:p w:rsidR="00EE4CC7" w:rsidRPr="002832A9" w:rsidRDefault="00EE4CC7" w:rsidP="001C4AC6">
            <w:pPr>
              <w:jc w:val="both"/>
              <w:rPr>
                <w:rFonts w:eastAsia="Calibri"/>
                <w:sz w:val="20"/>
                <w:lang w:val="fr-CA"/>
              </w:rPr>
            </w:pPr>
            <w:r w:rsidRPr="002832A9">
              <w:rPr>
                <w:rFonts w:eastAsia="Calibri"/>
                <w:sz w:val="20"/>
                <w:lang w:val="fr-CA"/>
              </w:rPr>
              <w:t>Le 30 septembre 2013</w:t>
            </w:r>
          </w:p>
          <w:p w:rsidR="00EE4CC7" w:rsidRPr="002832A9" w:rsidRDefault="00EE4CC7" w:rsidP="001C4AC6">
            <w:pPr>
              <w:jc w:val="both"/>
              <w:rPr>
                <w:rFonts w:eastAsia="Calibri"/>
                <w:sz w:val="20"/>
                <w:lang w:val="fr-CA"/>
              </w:rPr>
            </w:pPr>
            <w:r w:rsidRPr="002832A9">
              <w:rPr>
                <w:rFonts w:eastAsia="Calibri"/>
                <w:sz w:val="20"/>
                <w:lang w:val="fr-CA"/>
              </w:rPr>
              <w:t>Cour suprême du Canada</w:t>
            </w:r>
          </w:p>
        </w:tc>
        <w:tc>
          <w:tcPr>
            <w:tcW w:w="243" w:type="pct"/>
          </w:tcPr>
          <w:p w:rsidR="00EE4CC7" w:rsidRPr="002832A9" w:rsidRDefault="00EE4CC7" w:rsidP="001C4AC6">
            <w:pPr>
              <w:jc w:val="both"/>
              <w:rPr>
                <w:rFonts w:eastAsia="Calibri"/>
                <w:sz w:val="20"/>
                <w:lang w:val="fr-CA"/>
              </w:rPr>
            </w:pPr>
          </w:p>
        </w:tc>
        <w:tc>
          <w:tcPr>
            <w:tcW w:w="2330" w:type="pct"/>
          </w:tcPr>
          <w:p w:rsidR="00EE4CC7" w:rsidRPr="002832A9" w:rsidRDefault="00EE4CC7" w:rsidP="001C4AC6">
            <w:pPr>
              <w:jc w:val="both"/>
              <w:rPr>
                <w:rFonts w:eastAsia="Calibri"/>
                <w:sz w:val="20"/>
                <w:lang w:val="fr-CA"/>
              </w:rPr>
            </w:pPr>
            <w:r w:rsidRPr="002832A9">
              <w:rPr>
                <w:rFonts w:eastAsia="Calibri"/>
                <w:sz w:val="20"/>
                <w:lang w:val="fr-CA"/>
              </w:rPr>
              <w:t>Dépôt de la demande d'autorisation d'appel.</w:t>
            </w:r>
          </w:p>
          <w:p w:rsidR="00EE4CC7" w:rsidRPr="002832A9" w:rsidRDefault="00EE4CC7" w:rsidP="001C4AC6">
            <w:pPr>
              <w:jc w:val="both"/>
              <w:rPr>
                <w:rFonts w:eastAsia="Calibri"/>
                <w:sz w:val="20"/>
                <w:lang w:val="fr-CA"/>
              </w:rPr>
            </w:pPr>
          </w:p>
        </w:tc>
      </w:tr>
    </w:tbl>
    <w:p w:rsidR="002A46DC" w:rsidRPr="00EE4CC7" w:rsidRDefault="002A46DC" w:rsidP="002A46DC">
      <w:pPr>
        <w:rPr>
          <w:sz w:val="20"/>
          <w:szCs w:val="20"/>
          <w:lang w:val="fr-CA"/>
        </w:rPr>
      </w:pPr>
    </w:p>
    <w:p w:rsidR="002A46DC" w:rsidRDefault="00EB0F11" w:rsidP="002A46DC">
      <w:pPr>
        <w:rPr>
          <w:sz w:val="20"/>
          <w:szCs w:val="20"/>
        </w:rPr>
      </w:pPr>
      <w:r>
        <w:rPr>
          <w:sz w:val="20"/>
          <w:szCs w:val="20"/>
          <w:lang w:val="fr-CA"/>
        </w:rPr>
        <w:pict>
          <v:rect id="_x0000_i1048" style="width:2in;height:1pt" o:hrpct="0" o:hralign="center" o:hrstd="t" o:hrnoshade="t" o:hr="t" fillcolor="black [3213]" stroked="f"/>
        </w:pict>
      </w:r>
    </w:p>
    <w:p w:rsidR="002A46DC" w:rsidRDefault="002A46DC" w:rsidP="002A46DC">
      <w:pPr>
        <w:rPr>
          <w:sz w:val="20"/>
          <w:szCs w:val="20"/>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3052E5" w:rsidRPr="003052E5" w:rsidTr="003052E5">
        <w:trPr>
          <w:cantSplit/>
        </w:trPr>
        <w:tc>
          <w:tcPr>
            <w:tcW w:w="1458" w:type="dxa"/>
          </w:tcPr>
          <w:p w:rsidR="003052E5" w:rsidRPr="003052E5" w:rsidRDefault="003052E5" w:rsidP="003052E5">
            <w:pPr>
              <w:rPr>
                <w:sz w:val="20"/>
              </w:rPr>
            </w:pPr>
            <w:r w:rsidRPr="003052E5">
              <w:rPr>
                <w:b/>
                <w:sz w:val="20"/>
                <w:lang w:val="fr-CA"/>
              </w:rPr>
              <w:t>35555</w:t>
            </w:r>
          </w:p>
          <w:p w:rsidR="003052E5" w:rsidRPr="003052E5" w:rsidRDefault="003052E5" w:rsidP="003052E5">
            <w:pPr>
              <w:rPr>
                <w:b/>
                <w:sz w:val="20"/>
                <w:lang w:val="fr-CA"/>
              </w:rPr>
            </w:pPr>
          </w:p>
        </w:tc>
        <w:tc>
          <w:tcPr>
            <w:tcW w:w="8118" w:type="dxa"/>
          </w:tcPr>
          <w:p w:rsidR="003052E5" w:rsidRPr="003052E5" w:rsidRDefault="003052E5" w:rsidP="003052E5">
            <w:pPr>
              <w:rPr>
                <w:sz w:val="20"/>
              </w:rPr>
            </w:pPr>
            <w:r w:rsidRPr="003052E5">
              <w:rPr>
                <w:b/>
                <w:sz w:val="20"/>
                <w:u w:val="single"/>
                <w:lang w:val="fr-CA"/>
              </w:rPr>
              <w:t>Jesse Jia-Bei Zhu v. XY, LLC</w:t>
            </w:r>
            <w:r w:rsidRPr="003052E5">
              <w:rPr>
                <w:sz w:val="20"/>
                <w:lang w:val="fr-CA"/>
              </w:rPr>
              <w:t xml:space="preserve"> (B.C.) </w:t>
            </w:r>
            <w:r w:rsidRPr="003052E5">
              <w:rPr>
                <w:sz w:val="20"/>
              </w:rPr>
              <w:t>(Civil) (By Leave)</w:t>
            </w:r>
          </w:p>
          <w:p w:rsidR="003052E5" w:rsidRPr="003052E5" w:rsidRDefault="003052E5" w:rsidP="003052E5">
            <w:pPr>
              <w:rPr>
                <w:sz w:val="20"/>
              </w:rPr>
            </w:pPr>
          </w:p>
        </w:tc>
      </w:tr>
      <w:tr w:rsidR="003052E5" w:rsidRPr="003052E5" w:rsidTr="003052E5">
        <w:trPr>
          <w:cantSplit/>
        </w:trPr>
        <w:tc>
          <w:tcPr>
            <w:tcW w:w="1458" w:type="dxa"/>
          </w:tcPr>
          <w:p w:rsidR="003052E5" w:rsidRPr="003052E5" w:rsidRDefault="003052E5" w:rsidP="003052E5">
            <w:pPr>
              <w:rPr>
                <w:sz w:val="20"/>
              </w:rPr>
            </w:pPr>
            <w:r w:rsidRPr="003052E5">
              <w:rPr>
                <w:sz w:val="20"/>
              </w:rPr>
              <w:t>Coram :</w:t>
            </w:r>
          </w:p>
        </w:tc>
        <w:tc>
          <w:tcPr>
            <w:tcW w:w="8118" w:type="dxa"/>
          </w:tcPr>
          <w:p w:rsidR="003052E5" w:rsidRPr="003052E5" w:rsidRDefault="003052E5" w:rsidP="003052E5">
            <w:pPr>
              <w:rPr>
                <w:sz w:val="20"/>
              </w:rPr>
            </w:pPr>
            <w:r w:rsidRPr="003052E5">
              <w:rPr>
                <w:sz w:val="20"/>
                <w:u w:val="single"/>
              </w:rPr>
              <w:t>Abella, Rothstein and Moldaver JJ.</w:t>
            </w:r>
          </w:p>
          <w:p w:rsidR="003052E5" w:rsidRPr="003052E5" w:rsidRDefault="003052E5" w:rsidP="003052E5">
            <w:pPr>
              <w:rPr>
                <w:sz w:val="20"/>
                <w:u w:val="single"/>
              </w:rPr>
            </w:pPr>
          </w:p>
        </w:tc>
      </w:tr>
      <w:tr w:rsidR="003052E5" w:rsidRPr="003052E5" w:rsidTr="003052E5">
        <w:trPr>
          <w:cantSplit/>
        </w:trPr>
        <w:tc>
          <w:tcPr>
            <w:tcW w:w="9576" w:type="dxa"/>
            <w:gridSpan w:val="2"/>
          </w:tcPr>
          <w:p w:rsidR="003052E5" w:rsidRPr="003052E5" w:rsidRDefault="003052E5" w:rsidP="003052E5">
            <w:pPr>
              <w:ind w:firstLine="720"/>
              <w:jc w:val="both"/>
              <w:rPr>
                <w:sz w:val="20"/>
              </w:rPr>
            </w:pPr>
            <w:r w:rsidRPr="003052E5">
              <w:rPr>
                <w:sz w:val="20"/>
              </w:rPr>
              <w:t>The application for leave to appeal from the judgment of the Court of Appeal for British Columbia (Vancouver), Numbers CA039816 and CA039822, 2013 BCCA 352, dated July 26 2013, is dismissed with costs.  The application for leave to cross- appeal is dismissed without costs.</w:t>
            </w:r>
          </w:p>
          <w:p w:rsidR="003052E5" w:rsidRPr="003052E5" w:rsidRDefault="003052E5" w:rsidP="003052E5">
            <w:pPr>
              <w:jc w:val="both"/>
              <w:rPr>
                <w:sz w:val="20"/>
              </w:rPr>
            </w:pPr>
          </w:p>
          <w:p w:rsidR="003052E5" w:rsidRPr="003052E5" w:rsidRDefault="003052E5" w:rsidP="003052E5">
            <w:pPr>
              <w:ind w:firstLine="720"/>
              <w:jc w:val="both"/>
              <w:rPr>
                <w:sz w:val="20"/>
              </w:rPr>
            </w:pPr>
            <w:r w:rsidRPr="003052E5">
              <w:rPr>
                <w:sz w:val="20"/>
                <w:lang w:val="fr-CA"/>
              </w:rPr>
              <w:t xml:space="preserve">La demande d’autorisation d’appel de l’arrêt de la Cour d’appel de la Colombie-Britannique (Vancouver), numéros CA039816 et CA039822, 2013 BCCA 352, daté du 26 juillet 2013, est rejetée avec dépens.  </w:t>
            </w:r>
            <w:r w:rsidRPr="003052E5">
              <w:rPr>
                <w:sz w:val="20"/>
              </w:rPr>
              <w:t>La demande d’autorisation d’appel incident est rejetée sans dépens.</w:t>
            </w:r>
          </w:p>
        </w:tc>
      </w:tr>
    </w:tbl>
    <w:p w:rsidR="002A46DC" w:rsidRPr="00EE4CC7" w:rsidRDefault="002A46DC" w:rsidP="002A46DC">
      <w:pPr>
        <w:rPr>
          <w:sz w:val="20"/>
          <w:szCs w:val="20"/>
        </w:rPr>
      </w:pPr>
    </w:p>
    <w:p w:rsidR="002A46DC" w:rsidRPr="001B157C" w:rsidRDefault="002A46DC" w:rsidP="002A46DC">
      <w:pPr>
        <w:rPr>
          <w:sz w:val="20"/>
          <w:szCs w:val="20"/>
          <w:u w:val="single"/>
        </w:rPr>
      </w:pPr>
      <w:r w:rsidRPr="001B157C">
        <w:rPr>
          <w:sz w:val="20"/>
          <w:szCs w:val="20"/>
          <w:u w:val="single"/>
        </w:rPr>
        <w:t>CASE SUMMARY</w:t>
      </w:r>
    </w:p>
    <w:p w:rsidR="002A46DC" w:rsidRDefault="002A46DC" w:rsidP="002A46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54"/>
        <w:gridCol w:w="514"/>
        <w:gridCol w:w="4459"/>
      </w:tblGrid>
      <w:tr w:rsidR="00EE4CC7" w:rsidRPr="002832A9" w:rsidTr="001C4AC6">
        <w:tc>
          <w:tcPr>
            <w:tcW w:w="5000" w:type="pct"/>
            <w:gridSpan w:val="3"/>
          </w:tcPr>
          <w:p w:rsidR="00EE4CC7" w:rsidRPr="002832A9" w:rsidRDefault="00EE4CC7" w:rsidP="001C4AC6">
            <w:pPr>
              <w:jc w:val="both"/>
              <w:rPr>
                <w:rFonts w:eastAsia="Calibri"/>
                <w:i/>
                <w:sz w:val="20"/>
              </w:rPr>
            </w:pPr>
            <w:r w:rsidRPr="002832A9">
              <w:rPr>
                <w:rFonts w:eastAsia="Calibri"/>
                <w:sz w:val="20"/>
              </w:rPr>
              <w:t>Tort law — Deceit and civil conspiracy — Specific elements — Evidence established JingJing, licensee of XY’s technology, underreported use of technology and underpaid royalties — What are specific elements of tort of deceit? — In particular, is tort established in absence of proof XY altered its position in reliance on JingJing’s misrepresentation and thereby suffered loss? — What acts or omissions fall within scope of term “unlawful act” in civil conspiracy claim context?  In particular, does behaviour not actionable at private law found claim pursuant to “unlawful act” branch of tort of civil conspiracy?</w:t>
            </w:r>
          </w:p>
        </w:tc>
      </w:tr>
      <w:tr w:rsidR="00EE4CC7" w:rsidRPr="002832A9" w:rsidTr="001C4AC6">
        <w:tc>
          <w:tcPr>
            <w:tcW w:w="5000" w:type="pct"/>
            <w:gridSpan w:val="3"/>
          </w:tcPr>
          <w:p w:rsidR="00EE4CC7" w:rsidRPr="002832A9" w:rsidRDefault="00EE4CC7" w:rsidP="001C4AC6">
            <w:pPr>
              <w:jc w:val="both"/>
              <w:rPr>
                <w:rFonts w:eastAsia="Calibri"/>
                <w:sz w:val="20"/>
              </w:rPr>
            </w:pPr>
          </w:p>
        </w:tc>
      </w:tr>
      <w:tr w:rsidR="00EE4CC7" w:rsidRPr="002832A9" w:rsidTr="001C4AC6">
        <w:tc>
          <w:tcPr>
            <w:tcW w:w="5000" w:type="pct"/>
            <w:gridSpan w:val="3"/>
          </w:tcPr>
          <w:p w:rsidR="00EE4CC7" w:rsidRPr="002832A9" w:rsidRDefault="00EE4CC7" w:rsidP="001C4AC6">
            <w:pPr>
              <w:jc w:val="both"/>
              <w:rPr>
                <w:rFonts w:eastAsia="Calibri"/>
                <w:sz w:val="20"/>
              </w:rPr>
            </w:pPr>
            <w:r w:rsidRPr="002832A9">
              <w:rPr>
                <w:rFonts w:eastAsia="Calibri"/>
                <w:sz w:val="20"/>
              </w:rPr>
              <w:lastRenderedPageBreak/>
              <w:t xml:space="preserve">This case arises in the context of a technology licensing agreement between the respondent XY, LLC as licensor and JingJing Genetic Inc. (of the “IND Group” of corporations), as licensee. The technology makes it possible to separate X and Y chromosomes in bovine spermatozoa, thus permitting the production of calves of a desired sex.  The trial judge found that JingJing had provided XY with false reports concerning revenues it received from its use of the technology, underpaid the royalties it owed to XY, concealed documents from XY, and violated in several ways the confidentiality provisions in the agreement.  The trial judge found JingJing liable for breach of contract and the tort of deceit and found three employees, including the applicant Mr. Zhu, liable for the torts of deceit and civil conspiracy.  The trial judge awarded $8.6 million in damages jointly and severally against the employees as well as against JingJing and ordered a permanent injunction against them in respect of future use of XY’s technology. The Court of Appeal allowed their appeals in part and allowed XY’s cross-appeal to amend the terms of the permanent injunction and order a retrial of XY’s claim of unjust enrichment against the IND Group.  In all other respects, the appeals were dismissed. </w:t>
            </w:r>
          </w:p>
          <w:p w:rsidR="00EE4CC7" w:rsidRPr="002832A9" w:rsidRDefault="00EE4CC7" w:rsidP="001C4AC6">
            <w:pPr>
              <w:jc w:val="both"/>
              <w:rPr>
                <w:rFonts w:eastAsia="Calibri"/>
                <w:sz w:val="20"/>
              </w:rPr>
            </w:pPr>
          </w:p>
        </w:tc>
      </w:tr>
      <w:tr w:rsidR="00EE4CC7" w:rsidRPr="002832A9" w:rsidTr="001C4AC6">
        <w:tblPrEx>
          <w:tblCellMar>
            <w:bottom w:w="0" w:type="dxa"/>
          </w:tblCellMar>
        </w:tblPrEx>
        <w:tc>
          <w:tcPr>
            <w:tcW w:w="2390" w:type="pct"/>
          </w:tcPr>
          <w:p w:rsidR="00EE4CC7" w:rsidRPr="002832A9" w:rsidRDefault="00EE4CC7" w:rsidP="001C4AC6">
            <w:pPr>
              <w:jc w:val="both"/>
              <w:rPr>
                <w:rFonts w:eastAsia="Calibri"/>
                <w:sz w:val="20"/>
              </w:rPr>
            </w:pPr>
            <w:r w:rsidRPr="002832A9">
              <w:rPr>
                <w:rFonts w:eastAsia="Calibri"/>
                <w:sz w:val="20"/>
              </w:rPr>
              <w:t>March 2, 2012</w:t>
            </w:r>
          </w:p>
          <w:p w:rsidR="00EE4CC7" w:rsidRPr="002832A9" w:rsidRDefault="00EE4CC7" w:rsidP="001C4AC6">
            <w:pPr>
              <w:jc w:val="both"/>
              <w:rPr>
                <w:rFonts w:eastAsia="Calibri"/>
                <w:sz w:val="20"/>
              </w:rPr>
            </w:pPr>
            <w:r w:rsidRPr="002832A9">
              <w:rPr>
                <w:rFonts w:eastAsia="Calibri"/>
                <w:sz w:val="20"/>
              </w:rPr>
              <w:t>Supreme Court of British Columbia</w:t>
            </w:r>
          </w:p>
          <w:p w:rsidR="00EE4CC7" w:rsidRPr="002832A9" w:rsidRDefault="00EE4CC7" w:rsidP="001C4AC6">
            <w:pPr>
              <w:jc w:val="both"/>
              <w:rPr>
                <w:rFonts w:eastAsia="Calibri"/>
                <w:sz w:val="20"/>
              </w:rPr>
            </w:pPr>
            <w:r w:rsidRPr="002832A9">
              <w:rPr>
                <w:rFonts w:eastAsia="Calibri"/>
                <w:sz w:val="20"/>
              </w:rPr>
              <w:t>(Kelleher J.)</w:t>
            </w:r>
          </w:p>
          <w:p w:rsidR="00EE4CC7" w:rsidRPr="002832A9" w:rsidRDefault="00EB0F11" w:rsidP="001C4AC6">
            <w:pPr>
              <w:jc w:val="both"/>
              <w:rPr>
                <w:rFonts w:eastAsia="Calibri"/>
                <w:sz w:val="20"/>
                <w:highlight w:val="yellow"/>
                <w:u w:val="single"/>
              </w:rPr>
            </w:pPr>
            <w:hyperlink r:id="rId34" w:history="1">
              <w:r w:rsidR="00EE4CC7" w:rsidRPr="002832A9">
                <w:rPr>
                  <w:rFonts w:eastAsia="Calibri"/>
                  <w:color w:val="0000FF"/>
                  <w:sz w:val="20"/>
                  <w:u w:val="single"/>
                </w:rPr>
                <w:t>2012 BCSC 319</w:t>
              </w:r>
            </w:hyperlink>
            <w:r w:rsidR="00EE4CC7" w:rsidRPr="002832A9">
              <w:rPr>
                <w:rFonts w:eastAsia="Calibri"/>
                <w:sz w:val="20"/>
                <w:highlight w:val="yellow"/>
                <w:u w:val="single"/>
              </w:rPr>
              <w:t xml:space="preserve"> </w:t>
            </w:r>
          </w:p>
          <w:p w:rsidR="00EE4CC7" w:rsidRPr="002832A9" w:rsidRDefault="00EE4CC7" w:rsidP="001C4AC6">
            <w:pPr>
              <w:jc w:val="both"/>
              <w:rPr>
                <w:rFonts w:eastAsia="Calibri"/>
                <w:sz w:val="20"/>
                <w:highlight w:val="yellow"/>
              </w:rPr>
            </w:pPr>
          </w:p>
        </w:tc>
        <w:tc>
          <w:tcPr>
            <w:tcW w:w="270" w:type="pct"/>
          </w:tcPr>
          <w:p w:rsidR="00EE4CC7" w:rsidRPr="002832A9" w:rsidRDefault="00EE4CC7" w:rsidP="001C4AC6">
            <w:pPr>
              <w:jc w:val="both"/>
              <w:rPr>
                <w:rFonts w:eastAsia="Calibri"/>
                <w:sz w:val="20"/>
              </w:rPr>
            </w:pPr>
          </w:p>
        </w:tc>
        <w:tc>
          <w:tcPr>
            <w:tcW w:w="2340" w:type="pct"/>
          </w:tcPr>
          <w:p w:rsidR="00EE4CC7" w:rsidRPr="002832A9" w:rsidRDefault="00EE4CC7" w:rsidP="001C4AC6">
            <w:pPr>
              <w:jc w:val="both"/>
              <w:rPr>
                <w:rFonts w:eastAsia="Calibri"/>
                <w:sz w:val="20"/>
              </w:rPr>
            </w:pPr>
            <w:r w:rsidRPr="002832A9">
              <w:rPr>
                <w:rFonts w:eastAsia="Calibri"/>
                <w:sz w:val="20"/>
              </w:rPr>
              <w:t>JingJing found liable for breach of contract and tort of deceit whereas three employees found liable for torts of deceit and civil conspiracy. $8.6 million in damages awarded jointly and severally against them as well as permanent injunction against them, in respect of future use of XY’s technology.</w:t>
            </w:r>
          </w:p>
          <w:p w:rsidR="00EE4CC7" w:rsidRPr="002832A9" w:rsidRDefault="00EE4CC7" w:rsidP="001C4AC6">
            <w:pPr>
              <w:jc w:val="both"/>
              <w:rPr>
                <w:rFonts w:eastAsia="Calibri"/>
                <w:sz w:val="20"/>
              </w:rPr>
            </w:pPr>
          </w:p>
        </w:tc>
      </w:tr>
      <w:tr w:rsidR="00EE4CC7" w:rsidRPr="002832A9" w:rsidTr="001C4AC6">
        <w:tblPrEx>
          <w:tblCellMar>
            <w:bottom w:w="0" w:type="dxa"/>
          </w:tblCellMar>
        </w:tblPrEx>
        <w:tc>
          <w:tcPr>
            <w:tcW w:w="2390" w:type="pct"/>
          </w:tcPr>
          <w:p w:rsidR="00EE4CC7" w:rsidRPr="002832A9" w:rsidRDefault="00EE4CC7" w:rsidP="001C4AC6">
            <w:pPr>
              <w:jc w:val="both"/>
              <w:rPr>
                <w:rFonts w:eastAsia="Calibri"/>
                <w:sz w:val="20"/>
              </w:rPr>
            </w:pPr>
            <w:r w:rsidRPr="002832A9">
              <w:rPr>
                <w:rFonts w:eastAsia="Calibri"/>
                <w:sz w:val="20"/>
              </w:rPr>
              <w:t>July 26, 2013</w:t>
            </w:r>
          </w:p>
          <w:p w:rsidR="00EE4CC7" w:rsidRPr="002832A9" w:rsidRDefault="00EE4CC7" w:rsidP="001C4AC6">
            <w:pPr>
              <w:jc w:val="both"/>
              <w:rPr>
                <w:rFonts w:eastAsia="Calibri"/>
                <w:sz w:val="20"/>
              </w:rPr>
            </w:pPr>
            <w:r w:rsidRPr="002832A9">
              <w:rPr>
                <w:rFonts w:eastAsia="Calibri"/>
                <w:sz w:val="20"/>
              </w:rPr>
              <w:t>Court of Appeal for British Columbia (Vancouver)</w:t>
            </w:r>
          </w:p>
          <w:p w:rsidR="00EE4CC7" w:rsidRPr="002832A9" w:rsidRDefault="00EE4CC7" w:rsidP="001C4AC6">
            <w:pPr>
              <w:jc w:val="both"/>
              <w:rPr>
                <w:rFonts w:eastAsia="Calibri"/>
                <w:sz w:val="20"/>
              </w:rPr>
            </w:pPr>
            <w:r w:rsidRPr="002832A9">
              <w:rPr>
                <w:rFonts w:eastAsia="Calibri"/>
                <w:sz w:val="20"/>
              </w:rPr>
              <w:t>(Newbury, Chiasson and Smith JJ.A.)</w:t>
            </w:r>
          </w:p>
          <w:p w:rsidR="00EE4CC7" w:rsidRPr="002832A9" w:rsidRDefault="00EB0F11" w:rsidP="001C4AC6">
            <w:pPr>
              <w:jc w:val="both"/>
              <w:rPr>
                <w:rFonts w:eastAsia="Calibri"/>
                <w:sz w:val="20"/>
              </w:rPr>
            </w:pPr>
            <w:hyperlink r:id="rId35" w:history="1">
              <w:r w:rsidR="00EE4CC7" w:rsidRPr="002832A9">
                <w:rPr>
                  <w:rFonts w:eastAsia="Calibri"/>
                  <w:color w:val="0000FF"/>
                  <w:sz w:val="20"/>
                  <w:u w:val="single"/>
                </w:rPr>
                <w:t>2013 BCCA 352</w:t>
              </w:r>
            </w:hyperlink>
          </w:p>
          <w:p w:rsidR="00EE4CC7" w:rsidRPr="002832A9" w:rsidRDefault="00EE4CC7" w:rsidP="001C4AC6">
            <w:pPr>
              <w:jc w:val="both"/>
              <w:rPr>
                <w:rFonts w:eastAsia="Calibri"/>
                <w:sz w:val="20"/>
                <w:highlight w:val="yellow"/>
              </w:rPr>
            </w:pPr>
          </w:p>
        </w:tc>
        <w:tc>
          <w:tcPr>
            <w:tcW w:w="270" w:type="pct"/>
          </w:tcPr>
          <w:p w:rsidR="00EE4CC7" w:rsidRPr="002832A9" w:rsidRDefault="00EE4CC7" w:rsidP="001C4AC6">
            <w:pPr>
              <w:jc w:val="both"/>
              <w:rPr>
                <w:rFonts w:eastAsia="Calibri"/>
                <w:sz w:val="20"/>
              </w:rPr>
            </w:pPr>
          </w:p>
        </w:tc>
        <w:tc>
          <w:tcPr>
            <w:tcW w:w="2340" w:type="pct"/>
          </w:tcPr>
          <w:p w:rsidR="00EE4CC7" w:rsidRPr="002832A9" w:rsidRDefault="00EE4CC7" w:rsidP="001C4AC6">
            <w:pPr>
              <w:jc w:val="both"/>
              <w:rPr>
                <w:rFonts w:eastAsia="Calibri"/>
                <w:sz w:val="20"/>
              </w:rPr>
            </w:pPr>
            <w:r w:rsidRPr="002832A9">
              <w:rPr>
                <w:rFonts w:eastAsia="Calibri"/>
                <w:sz w:val="20"/>
              </w:rPr>
              <w:t>Appeals allowed in part and cross-appeal allowed (to amend permanent injunction terms and order retrial of unjust enrichment claim), In all other respects, appeals dismissed.</w:t>
            </w:r>
          </w:p>
          <w:p w:rsidR="00EE4CC7" w:rsidRPr="002832A9" w:rsidRDefault="00EE4CC7" w:rsidP="001C4AC6">
            <w:pPr>
              <w:jc w:val="both"/>
              <w:rPr>
                <w:rFonts w:eastAsia="Calibri"/>
                <w:sz w:val="20"/>
              </w:rPr>
            </w:pPr>
          </w:p>
        </w:tc>
      </w:tr>
      <w:tr w:rsidR="00EE4CC7" w:rsidRPr="002832A9" w:rsidTr="001C4AC6">
        <w:tblPrEx>
          <w:tblCellMar>
            <w:bottom w:w="0" w:type="dxa"/>
          </w:tblCellMar>
        </w:tblPrEx>
        <w:tc>
          <w:tcPr>
            <w:tcW w:w="2390" w:type="pct"/>
          </w:tcPr>
          <w:p w:rsidR="00EE4CC7" w:rsidRPr="002832A9" w:rsidRDefault="00EE4CC7" w:rsidP="001C4AC6">
            <w:pPr>
              <w:jc w:val="both"/>
              <w:rPr>
                <w:rFonts w:eastAsia="Calibri"/>
                <w:sz w:val="20"/>
              </w:rPr>
            </w:pPr>
            <w:r w:rsidRPr="002832A9">
              <w:rPr>
                <w:rFonts w:eastAsia="Calibri"/>
                <w:sz w:val="20"/>
              </w:rPr>
              <w:t>September 30, 2013</w:t>
            </w:r>
          </w:p>
          <w:p w:rsidR="00EE4CC7" w:rsidRPr="002832A9" w:rsidRDefault="00EE4CC7" w:rsidP="003052E5">
            <w:pPr>
              <w:jc w:val="both"/>
              <w:rPr>
                <w:rFonts w:eastAsia="Calibri"/>
                <w:sz w:val="20"/>
              </w:rPr>
            </w:pPr>
            <w:r w:rsidRPr="002832A9">
              <w:rPr>
                <w:rFonts w:eastAsia="Calibri"/>
                <w:sz w:val="20"/>
              </w:rPr>
              <w:t>Supreme Court of Canada</w:t>
            </w:r>
          </w:p>
        </w:tc>
        <w:tc>
          <w:tcPr>
            <w:tcW w:w="270" w:type="pct"/>
          </w:tcPr>
          <w:p w:rsidR="00EE4CC7" w:rsidRPr="002832A9" w:rsidRDefault="00EE4CC7" w:rsidP="001C4AC6">
            <w:pPr>
              <w:jc w:val="both"/>
              <w:rPr>
                <w:rFonts w:eastAsia="Calibri"/>
                <w:sz w:val="20"/>
              </w:rPr>
            </w:pPr>
          </w:p>
        </w:tc>
        <w:tc>
          <w:tcPr>
            <w:tcW w:w="2340" w:type="pct"/>
          </w:tcPr>
          <w:p w:rsidR="00EE4CC7" w:rsidRPr="002832A9" w:rsidRDefault="00EE4CC7" w:rsidP="001C4AC6">
            <w:pPr>
              <w:jc w:val="both"/>
              <w:rPr>
                <w:rFonts w:eastAsia="Calibri"/>
                <w:sz w:val="20"/>
              </w:rPr>
            </w:pPr>
            <w:r w:rsidRPr="002832A9">
              <w:rPr>
                <w:rFonts w:eastAsia="Calibri"/>
                <w:sz w:val="20"/>
              </w:rPr>
              <w:t>Applications for leave to appeal filed.</w:t>
            </w:r>
          </w:p>
          <w:p w:rsidR="00EE4CC7" w:rsidRPr="002832A9" w:rsidRDefault="00EE4CC7" w:rsidP="001C4AC6">
            <w:pPr>
              <w:jc w:val="both"/>
              <w:rPr>
                <w:rFonts w:eastAsia="Calibri"/>
                <w:sz w:val="20"/>
              </w:rPr>
            </w:pPr>
          </w:p>
        </w:tc>
      </w:tr>
    </w:tbl>
    <w:p w:rsidR="003052E5" w:rsidRDefault="003052E5"/>
    <w:p w:rsidR="003052E5" w:rsidRDefault="003052E5">
      <w:r>
        <w:br w:type="page"/>
      </w:r>
    </w:p>
    <w:tbl>
      <w:tblPr>
        <w:tblW w:w="4952" w:type="pct"/>
        <w:tblLayout w:type="fixed"/>
        <w:tblCellMar>
          <w:left w:w="0" w:type="dxa"/>
          <w:right w:w="0" w:type="dxa"/>
        </w:tblCellMar>
        <w:tblLook w:val="04A0" w:firstRow="1" w:lastRow="0" w:firstColumn="1" w:lastColumn="0" w:noHBand="0" w:noVBand="1"/>
      </w:tblPr>
      <w:tblGrid>
        <w:gridCol w:w="4554"/>
        <w:gridCol w:w="514"/>
        <w:gridCol w:w="4459"/>
      </w:tblGrid>
      <w:tr w:rsidR="00EE4CC7" w:rsidRPr="002832A9" w:rsidTr="003052E5">
        <w:trPr>
          <w:cantSplit/>
        </w:trPr>
        <w:tc>
          <w:tcPr>
            <w:tcW w:w="2390" w:type="pct"/>
          </w:tcPr>
          <w:p w:rsidR="00EE4CC7" w:rsidRPr="002832A9" w:rsidRDefault="00EE4CC7" w:rsidP="001C4AC6">
            <w:pPr>
              <w:jc w:val="both"/>
              <w:rPr>
                <w:rFonts w:eastAsia="Calibri"/>
                <w:sz w:val="20"/>
              </w:rPr>
            </w:pPr>
            <w:r w:rsidRPr="002832A9">
              <w:rPr>
                <w:rFonts w:eastAsia="Calibri"/>
                <w:sz w:val="20"/>
              </w:rPr>
              <w:lastRenderedPageBreak/>
              <w:t>October 30, 2013</w:t>
            </w:r>
          </w:p>
          <w:p w:rsidR="00EE4CC7" w:rsidRPr="002832A9" w:rsidRDefault="00EE4CC7" w:rsidP="001C4AC6">
            <w:pPr>
              <w:jc w:val="both"/>
              <w:rPr>
                <w:rFonts w:eastAsia="Calibri"/>
                <w:sz w:val="20"/>
              </w:rPr>
            </w:pPr>
            <w:r w:rsidRPr="002832A9">
              <w:rPr>
                <w:rFonts w:eastAsia="Calibri"/>
                <w:sz w:val="20"/>
              </w:rPr>
              <w:t>Supreme Court of Canada</w:t>
            </w:r>
          </w:p>
        </w:tc>
        <w:tc>
          <w:tcPr>
            <w:tcW w:w="270" w:type="pct"/>
          </w:tcPr>
          <w:p w:rsidR="00EE4CC7" w:rsidRPr="002832A9" w:rsidRDefault="00EE4CC7" w:rsidP="001C4AC6">
            <w:pPr>
              <w:jc w:val="both"/>
              <w:rPr>
                <w:rFonts w:eastAsia="Calibri"/>
                <w:sz w:val="20"/>
              </w:rPr>
            </w:pPr>
          </w:p>
        </w:tc>
        <w:tc>
          <w:tcPr>
            <w:tcW w:w="2340" w:type="pct"/>
          </w:tcPr>
          <w:p w:rsidR="00EE4CC7" w:rsidRPr="002832A9" w:rsidRDefault="00EE4CC7" w:rsidP="001C4AC6">
            <w:pPr>
              <w:jc w:val="both"/>
              <w:rPr>
                <w:rFonts w:eastAsia="Calibri"/>
                <w:sz w:val="20"/>
              </w:rPr>
            </w:pPr>
            <w:r w:rsidRPr="002832A9">
              <w:rPr>
                <w:rFonts w:eastAsia="Calibri"/>
                <w:sz w:val="20"/>
              </w:rPr>
              <w:t>Conditional application for leave to cross-appeal filed.</w:t>
            </w:r>
          </w:p>
        </w:tc>
      </w:tr>
    </w:tbl>
    <w:p w:rsidR="002A46DC" w:rsidRDefault="002A46DC" w:rsidP="002A46DC">
      <w:pPr>
        <w:rPr>
          <w:sz w:val="20"/>
          <w:szCs w:val="20"/>
        </w:rPr>
      </w:pPr>
    </w:p>
    <w:p w:rsidR="002A46DC" w:rsidRPr="00C50A5C" w:rsidRDefault="00EB0F11" w:rsidP="002A46DC">
      <w:pPr>
        <w:rPr>
          <w:sz w:val="20"/>
          <w:szCs w:val="20"/>
        </w:rPr>
      </w:pPr>
      <w:r>
        <w:rPr>
          <w:sz w:val="20"/>
          <w:szCs w:val="20"/>
          <w:lang w:val="fr-CA"/>
        </w:rPr>
        <w:pict>
          <v:rect id="_x0000_i1049" style="width:2in;height:1pt" o:hrpct="0" o:hralign="center" o:hrstd="t" o:hrnoshade="t" o:hr="t" fillcolor="black [3213]" stroked="f"/>
        </w:pict>
      </w:r>
    </w:p>
    <w:p w:rsidR="002A46DC" w:rsidRDefault="002A46DC" w:rsidP="002A46DC">
      <w:pPr>
        <w:rPr>
          <w:sz w:val="20"/>
          <w:szCs w:val="20"/>
        </w:rPr>
      </w:pPr>
    </w:p>
    <w:p w:rsidR="002A46DC" w:rsidRPr="001B157C" w:rsidRDefault="002A46DC" w:rsidP="002A46DC">
      <w:pPr>
        <w:rPr>
          <w:sz w:val="20"/>
          <w:szCs w:val="20"/>
          <w:u w:val="single"/>
          <w:lang w:val="fr-CA"/>
        </w:rPr>
      </w:pPr>
      <w:r w:rsidRPr="001B157C">
        <w:rPr>
          <w:sz w:val="20"/>
          <w:szCs w:val="20"/>
          <w:u w:val="single"/>
          <w:lang w:val="fr-CA"/>
        </w:rPr>
        <w:t>RÉSUMÉ DE L’AFFAIRE</w:t>
      </w:r>
    </w:p>
    <w:p w:rsidR="002A46DC" w:rsidRDefault="002A46DC" w:rsidP="002A46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54"/>
        <w:gridCol w:w="514"/>
        <w:gridCol w:w="4459"/>
      </w:tblGrid>
      <w:tr w:rsidR="00EE4CC7" w:rsidRPr="00EB0F11" w:rsidTr="001C4AC6">
        <w:tc>
          <w:tcPr>
            <w:tcW w:w="5000" w:type="pct"/>
            <w:gridSpan w:val="3"/>
          </w:tcPr>
          <w:p w:rsidR="00EE4CC7" w:rsidRPr="002832A9" w:rsidRDefault="00EE4CC7" w:rsidP="001C4AC6">
            <w:pPr>
              <w:jc w:val="both"/>
              <w:rPr>
                <w:rFonts w:eastAsia="Calibri"/>
                <w:i/>
                <w:sz w:val="20"/>
                <w:lang w:val="fr-CA"/>
              </w:rPr>
            </w:pPr>
            <w:r w:rsidRPr="002832A9">
              <w:rPr>
                <w:rFonts w:eastAsia="Calibri"/>
                <w:sz w:val="20"/>
                <w:lang w:val="fr-CA"/>
              </w:rPr>
              <w:t>Droit de la responsabilité délictuelle — Dol et complot civil — Éléments précis — Preuve que  JingJing, titulaire d’une licence d’utilisation de la technologie appartenant à XY, n’a déclaré qu’une partie de son utilisation et n’a pas payé toutes les redevances — Quels sont les éléments précis du délit de dol? — Plus particulièrement, le délit est-il établi en l’absence de preuve que XY a modifié sa position en se fiant à la déclaration inexacte de JingJing et a de ce fait subi une perte? — Quels actes ou quelles omissions sont visés par le terme « acte illégal » dans le contexte d’une poursuite pour complot civil?  Plus précisément, la conduite qui ne peut donner lieu à une poursuite en droit privé peut-elle ouvrir droit à une poursuite en vertu du volet « acte illégal » du délit de complot civil?</w:t>
            </w:r>
          </w:p>
        </w:tc>
      </w:tr>
      <w:tr w:rsidR="00EE4CC7" w:rsidRPr="00EB0F11" w:rsidTr="001C4AC6">
        <w:tc>
          <w:tcPr>
            <w:tcW w:w="5000" w:type="pct"/>
            <w:gridSpan w:val="3"/>
          </w:tcPr>
          <w:p w:rsidR="00EE4CC7" w:rsidRPr="002832A9" w:rsidRDefault="00EE4CC7" w:rsidP="001C4AC6">
            <w:pPr>
              <w:jc w:val="both"/>
              <w:rPr>
                <w:rFonts w:eastAsia="Calibri"/>
                <w:sz w:val="20"/>
                <w:lang w:val="fr-CA"/>
              </w:rPr>
            </w:pPr>
          </w:p>
        </w:tc>
      </w:tr>
      <w:tr w:rsidR="00EE4CC7" w:rsidRPr="002832A9" w:rsidTr="001C4AC6">
        <w:tc>
          <w:tcPr>
            <w:tcW w:w="5000" w:type="pct"/>
            <w:gridSpan w:val="3"/>
          </w:tcPr>
          <w:p w:rsidR="00EE4CC7" w:rsidRPr="002832A9" w:rsidRDefault="00EE4CC7" w:rsidP="001C4AC6">
            <w:pPr>
              <w:jc w:val="both"/>
              <w:rPr>
                <w:rFonts w:eastAsia="Calibri"/>
                <w:sz w:val="20"/>
                <w:lang w:val="fr-CA"/>
              </w:rPr>
            </w:pPr>
            <w:r w:rsidRPr="002832A9">
              <w:rPr>
                <w:rFonts w:eastAsia="Calibri"/>
                <w:sz w:val="20"/>
                <w:lang w:val="fr-CA"/>
              </w:rPr>
              <w:t xml:space="preserve">La présente affaire se situe dans le contexte d’un contrat de licence pour l’utilisation d’une technologie conclu entre l’intimée XY, le concédant de la licence, LLC, et JingJing Genetic Inc. (du « groupe de sociétés IND »), la titulaire de la licence.  Cette technologie permet de séparer les chromosomes X et Y d’un spermatozoïde bovin et de produire ainsi des veaux du sexe voulu.  Le juge de première instance a conclu que JingJing avait soumis à XY de faux rapports sur les recettes qu’elle avait tirées de l’utilisation de la technologie, n’avait pas payé toutes les redevances qu’elle devait à XY, avait caché à XY des documents et avait violé de plusieurs façons les clauses du contrat en matière de confidentialité.  En outre, il a conclu à la responsabilité de JingJing pour violation de contrat et délit de dol ainsi qu’à celle de trois employés, y compris le demandeur M. Zhu, pour délits de dol et de complot civil.  Le juge de première instance a condamné solidairement les employés et JingJing à des dommages-intérêts de 8,6 millions de dollars et a prononcé contre eux une injonction permanente leur interdisant d’utiliser à l’avenir la technologie de XY.  La Cour d’appel a accueilli en partie leurs appels et fait droit à l’appel incident de XY visant à faire modifier l’injonction permanente et à faire ordonner une nouvelle instruction de l’action qu’elle avait intentée contre le groupe IND pour enrichissement sans cause.  Tous les autres volets des appels ont été rejetés. </w:t>
            </w:r>
          </w:p>
          <w:p w:rsidR="00EE4CC7" w:rsidRPr="002832A9" w:rsidRDefault="00EE4CC7" w:rsidP="001C4AC6">
            <w:pPr>
              <w:jc w:val="both"/>
              <w:rPr>
                <w:rFonts w:eastAsia="Calibri"/>
                <w:sz w:val="20"/>
                <w:lang w:val="fr-CA"/>
              </w:rPr>
            </w:pPr>
          </w:p>
        </w:tc>
      </w:tr>
      <w:tr w:rsidR="00EE4CC7" w:rsidRPr="00EB0F11" w:rsidTr="001C4AC6">
        <w:tblPrEx>
          <w:tblCellMar>
            <w:bottom w:w="0" w:type="dxa"/>
          </w:tblCellMar>
        </w:tblPrEx>
        <w:tc>
          <w:tcPr>
            <w:tcW w:w="2390" w:type="pct"/>
          </w:tcPr>
          <w:p w:rsidR="00EE4CC7" w:rsidRPr="002832A9" w:rsidRDefault="00EE4CC7" w:rsidP="001C4AC6">
            <w:pPr>
              <w:jc w:val="both"/>
              <w:rPr>
                <w:rFonts w:eastAsia="Calibri"/>
                <w:sz w:val="20"/>
                <w:lang w:val="fr-CA"/>
              </w:rPr>
            </w:pPr>
            <w:r w:rsidRPr="002832A9">
              <w:rPr>
                <w:rFonts w:eastAsia="Calibri"/>
                <w:sz w:val="20"/>
                <w:lang w:val="fr-CA"/>
              </w:rPr>
              <w:t>2 mars 2012</w:t>
            </w:r>
          </w:p>
          <w:p w:rsidR="00EE4CC7" w:rsidRPr="002832A9" w:rsidRDefault="00EE4CC7" w:rsidP="001C4AC6">
            <w:pPr>
              <w:jc w:val="both"/>
              <w:rPr>
                <w:rFonts w:eastAsia="Calibri"/>
                <w:sz w:val="20"/>
                <w:lang w:val="fr-CA"/>
              </w:rPr>
            </w:pPr>
            <w:r w:rsidRPr="002832A9">
              <w:rPr>
                <w:rFonts w:eastAsia="Calibri"/>
                <w:sz w:val="20"/>
                <w:lang w:val="fr-CA"/>
              </w:rPr>
              <w:t>Cour suprême de la Colombie-Britannique</w:t>
            </w:r>
          </w:p>
          <w:p w:rsidR="00EE4CC7" w:rsidRPr="002832A9" w:rsidRDefault="00EE4CC7" w:rsidP="001C4AC6">
            <w:pPr>
              <w:jc w:val="both"/>
              <w:rPr>
                <w:rFonts w:eastAsia="Calibri"/>
                <w:sz w:val="20"/>
              </w:rPr>
            </w:pPr>
            <w:r w:rsidRPr="002832A9">
              <w:rPr>
                <w:rFonts w:eastAsia="Calibri"/>
                <w:sz w:val="20"/>
              </w:rPr>
              <w:t>(Juge Kelleher)</w:t>
            </w:r>
          </w:p>
          <w:p w:rsidR="00EE4CC7" w:rsidRPr="002832A9" w:rsidRDefault="00EB0F11" w:rsidP="001C4AC6">
            <w:pPr>
              <w:jc w:val="both"/>
              <w:rPr>
                <w:rFonts w:eastAsia="Calibri"/>
                <w:sz w:val="20"/>
                <w:highlight w:val="yellow"/>
                <w:u w:val="single"/>
              </w:rPr>
            </w:pPr>
            <w:hyperlink r:id="rId36" w:history="1">
              <w:r w:rsidR="00EE4CC7" w:rsidRPr="002832A9">
                <w:rPr>
                  <w:rFonts w:eastAsia="Calibri"/>
                  <w:color w:val="0000FF"/>
                  <w:sz w:val="20"/>
                  <w:u w:val="single"/>
                </w:rPr>
                <w:t>2012 BCSC 319</w:t>
              </w:r>
            </w:hyperlink>
            <w:r w:rsidR="00EE4CC7" w:rsidRPr="002832A9">
              <w:rPr>
                <w:rFonts w:eastAsia="Calibri"/>
                <w:sz w:val="20"/>
                <w:highlight w:val="yellow"/>
                <w:u w:val="single"/>
              </w:rPr>
              <w:t xml:space="preserve"> </w:t>
            </w:r>
          </w:p>
          <w:p w:rsidR="00EE4CC7" w:rsidRPr="002832A9" w:rsidRDefault="00EE4CC7" w:rsidP="001C4AC6">
            <w:pPr>
              <w:jc w:val="both"/>
              <w:rPr>
                <w:rFonts w:eastAsia="Calibri"/>
                <w:sz w:val="20"/>
                <w:highlight w:val="yellow"/>
              </w:rPr>
            </w:pPr>
          </w:p>
        </w:tc>
        <w:tc>
          <w:tcPr>
            <w:tcW w:w="270" w:type="pct"/>
          </w:tcPr>
          <w:p w:rsidR="00EE4CC7" w:rsidRPr="002832A9" w:rsidRDefault="00EE4CC7" w:rsidP="001C4AC6">
            <w:pPr>
              <w:jc w:val="both"/>
              <w:rPr>
                <w:rFonts w:eastAsia="Calibri"/>
                <w:sz w:val="20"/>
              </w:rPr>
            </w:pPr>
          </w:p>
        </w:tc>
        <w:tc>
          <w:tcPr>
            <w:tcW w:w="2340" w:type="pct"/>
          </w:tcPr>
          <w:p w:rsidR="00EE4CC7" w:rsidRPr="002832A9" w:rsidRDefault="00EE4CC7" w:rsidP="001C4AC6">
            <w:pPr>
              <w:jc w:val="both"/>
              <w:rPr>
                <w:rFonts w:eastAsia="Calibri"/>
                <w:sz w:val="20"/>
                <w:lang w:val="fr-CA"/>
              </w:rPr>
            </w:pPr>
            <w:r w:rsidRPr="002832A9">
              <w:rPr>
                <w:rFonts w:eastAsia="Calibri"/>
                <w:sz w:val="20"/>
                <w:lang w:val="fr-CA"/>
              </w:rPr>
              <w:t>JingJing tenue responsable de violation de contrat et de dol et trois employés tenus responsables de dol et de complot civil. JingJing et ces employés condamnés solidairement à des dommages-intérêts de  8,6 millions de dollars et injonction permanente prononcée contre eux quant à l’utilisation future de la technologie de XY.</w:t>
            </w:r>
          </w:p>
          <w:p w:rsidR="00EE4CC7" w:rsidRPr="002832A9" w:rsidRDefault="00EE4CC7" w:rsidP="001C4AC6">
            <w:pPr>
              <w:jc w:val="both"/>
              <w:rPr>
                <w:rFonts w:eastAsia="Calibri"/>
                <w:sz w:val="20"/>
                <w:lang w:val="fr-CA"/>
              </w:rPr>
            </w:pPr>
          </w:p>
        </w:tc>
      </w:tr>
      <w:tr w:rsidR="00EE4CC7" w:rsidRPr="002832A9" w:rsidTr="001C4AC6">
        <w:tblPrEx>
          <w:tblCellMar>
            <w:bottom w:w="0" w:type="dxa"/>
          </w:tblCellMar>
        </w:tblPrEx>
        <w:tc>
          <w:tcPr>
            <w:tcW w:w="2390" w:type="pct"/>
          </w:tcPr>
          <w:p w:rsidR="00EE4CC7" w:rsidRPr="002832A9" w:rsidRDefault="00EE4CC7" w:rsidP="001C4AC6">
            <w:pPr>
              <w:jc w:val="both"/>
              <w:rPr>
                <w:rFonts w:eastAsia="Calibri"/>
                <w:sz w:val="20"/>
                <w:lang w:val="fr-CA"/>
              </w:rPr>
            </w:pPr>
            <w:r w:rsidRPr="002832A9">
              <w:rPr>
                <w:rFonts w:eastAsia="Calibri"/>
                <w:sz w:val="20"/>
                <w:lang w:val="fr-CA"/>
              </w:rPr>
              <w:t>26 juillet 2013</w:t>
            </w:r>
          </w:p>
          <w:p w:rsidR="00EE4CC7" w:rsidRPr="002832A9" w:rsidRDefault="00EE4CC7" w:rsidP="001C4AC6">
            <w:pPr>
              <w:jc w:val="both"/>
              <w:rPr>
                <w:rFonts w:eastAsia="Calibri"/>
                <w:sz w:val="20"/>
                <w:lang w:val="fr-CA"/>
              </w:rPr>
            </w:pPr>
            <w:r w:rsidRPr="002832A9">
              <w:rPr>
                <w:rFonts w:eastAsia="Calibri"/>
                <w:sz w:val="20"/>
                <w:lang w:val="fr-CA"/>
              </w:rPr>
              <w:t>Cour d’appel de la Colombie-Britannique  (Vancouver)</w:t>
            </w:r>
          </w:p>
          <w:p w:rsidR="00EE4CC7" w:rsidRPr="002832A9" w:rsidRDefault="00EE4CC7" w:rsidP="001C4AC6">
            <w:pPr>
              <w:jc w:val="both"/>
              <w:rPr>
                <w:rFonts w:eastAsia="Calibri"/>
                <w:sz w:val="20"/>
              </w:rPr>
            </w:pPr>
            <w:r w:rsidRPr="002832A9">
              <w:rPr>
                <w:rFonts w:eastAsia="Calibri"/>
                <w:sz w:val="20"/>
              </w:rPr>
              <w:t>(Juges Newbury, Chiasson et Smith)</w:t>
            </w:r>
          </w:p>
          <w:p w:rsidR="00EE4CC7" w:rsidRPr="002832A9" w:rsidRDefault="00EB0F11" w:rsidP="001C4AC6">
            <w:pPr>
              <w:jc w:val="both"/>
              <w:rPr>
                <w:rFonts w:eastAsia="Calibri"/>
                <w:sz w:val="20"/>
              </w:rPr>
            </w:pPr>
            <w:hyperlink r:id="rId37" w:history="1">
              <w:r w:rsidR="00EE4CC7" w:rsidRPr="002832A9">
                <w:rPr>
                  <w:rFonts w:eastAsia="Calibri"/>
                  <w:color w:val="0000FF"/>
                  <w:sz w:val="20"/>
                  <w:u w:val="single"/>
                </w:rPr>
                <w:t>2013 BCCA 352</w:t>
              </w:r>
            </w:hyperlink>
          </w:p>
          <w:p w:rsidR="00EE4CC7" w:rsidRPr="002832A9" w:rsidRDefault="00EE4CC7" w:rsidP="001C4AC6">
            <w:pPr>
              <w:jc w:val="both"/>
              <w:rPr>
                <w:rFonts w:eastAsia="Calibri"/>
                <w:sz w:val="20"/>
                <w:highlight w:val="yellow"/>
              </w:rPr>
            </w:pPr>
          </w:p>
        </w:tc>
        <w:tc>
          <w:tcPr>
            <w:tcW w:w="270" w:type="pct"/>
          </w:tcPr>
          <w:p w:rsidR="00EE4CC7" w:rsidRPr="002832A9" w:rsidRDefault="00EE4CC7" w:rsidP="001C4AC6">
            <w:pPr>
              <w:jc w:val="both"/>
              <w:rPr>
                <w:rFonts w:eastAsia="Calibri"/>
                <w:sz w:val="20"/>
              </w:rPr>
            </w:pPr>
          </w:p>
        </w:tc>
        <w:tc>
          <w:tcPr>
            <w:tcW w:w="2340" w:type="pct"/>
          </w:tcPr>
          <w:p w:rsidR="00EE4CC7" w:rsidRPr="002832A9" w:rsidRDefault="00EE4CC7" w:rsidP="001C4AC6">
            <w:pPr>
              <w:jc w:val="both"/>
              <w:rPr>
                <w:rFonts w:eastAsia="Calibri"/>
                <w:sz w:val="20"/>
                <w:lang w:val="fr-CA"/>
              </w:rPr>
            </w:pPr>
            <w:r w:rsidRPr="002832A9">
              <w:rPr>
                <w:rFonts w:eastAsia="Calibri"/>
                <w:sz w:val="20"/>
                <w:lang w:val="fr-CA"/>
              </w:rPr>
              <w:t>Appels accueillis en partie et appel incident accueilli (pour faire modifier l’injonction permanente et faire ordonner une nouvelle instruction de la poursuite pour enrichissement sans cause).  Tous les autres volets des appels rejetés.</w:t>
            </w:r>
          </w:p>
          <w:p w:rsidR="00EE4CC7" w:rsidRPr="002832A9" w:rsidRDefault="00EE4CC7" w:rsidP="001C4AC6">
            <w:pPr>
              <w:jc w:val="both"/>
              <w:rPr>
                <w:rFonts w:eastAsia="Calibri"/>
                <w:sz w:val="20"/>
                <w:lang w:val="fr-CA"/>
              </w:rPr>
            </w:pPr>
          </w:p>
        </w:tc>
      </w:tr>
      <w:tr w:rsidR="00EE4CC7" w:rsidRPr="002832A9" w:rsidTr="001C4AC6">
        <w:tblPrEx>
          <w:tblCellMar>
            <w:bottom w:w="0" w:type="dxa"/>
          </w:tblCellMar>
        </w:tblPrEx>
        <w:tc>
          <w:tcPr>
            <w:tcW w:w="2390" w:type="pct"/>
          </w:tcPr>
          <w:p w:rsidR="00EE4CC7" w:rsidRPr="002832A9" w:rsidRDefault="00EE4CC7" w:rsidP="001C4AC6">
            <w:pPr>
              <w:jc w:val="both"/>
              <w:rPr>
                <w:rFonts w:eastAsia="Calibri"/>
                <w:sz w:val="20"/>
                <w:lang w:val="fr-CA"/>
              </w:rPr>
            </w:pPr>
            <w:r w:rsidRPr="002832A9">
              <w:rPr>
                <w:rFonts w:eastAsia="Calibri"/>
                <w:sz w:val="20"/>
                <w:lang w:val="fr-CA"/>
              </w:rPr>
              <w:t>30 septembre 2013</w:t>
            </w:r>
          </w:p>
          <w:p w:rsidR="00EE4CC7" w:rsidRPr="002832A9" w:rsidRDefault="00EE4CC7" w:rsidP="001C4AC6">
            <w:pPr>
              <w:jc w:val="both"/>
              <w:rPr>
                <w:rFonts w:eastAsia="Calibri"/>
                <w:sz w:val="20"/>
                <w:lang w:val="fr-CA"/>
              </w:rPr>
            </w:pPr>
            <w:r w:rsidRPr="002832A9">
              <w:rPr>
                <w:rFonts w:eastAsia="Calibri"/>
                <w:sz w:val="20"/>
                <w:lang w:val="fr-CA"/>
              </w:rPr>
              <w:t>Cour suprême du Canada</w:t>
            </w:r>
          </w:p>
          <w:p w:rsidR="00EE4CC7" w:rsidRPr="002832A9" w:rsidRDefault="00EE4CC7" w:rsidP="001C4AC6">
            <w:pPr>
              <w:jc w:val="both"/>
              <w:rPr>
                <w:rFonts w:eastAsia="Calibri"/>
                <w:sz w:val="20"/>
                <w:lang w:val="fr-CA"/>
              </w:rPr>
            </w:pPr>
          </w:p>
        </w:tc>
        <w:tc>
          <w:tcPr>
            <w:tcW w:w="270" w:type="pct"/>
          </w:tcPr>
          <w:p w:rsidR="00EE4CC7" w:rsidRPr="002832A9" w:rsidRDefault="00EE4CC7" w:rsidP="001C4AC6">
            <w:pPr>
              <w:jc w:val="both"/>
              <w:rPr>
                <w:rFonts w:eastAsia="Calibri"/>
                <w:sz w:val="20"/>
                <w:lang w:val="fr-CA"/>
              </w:rPr>
            </w:pPr>
          </w:p>
        </w:tc>
        <w:tc>
          <w:tcPr>
            <w:tcW w:w="2340" w:type="pct"/>
          </w:tcPr>
          <w:p w:rsidR="00EE4CC7" w:rsidRPr="002832A9" w:rsidRDefault="00EE4CC7" w:rsidP="001C4AC6">
            <w:pPr>
              <w:jc w:val="both"/>
              <w:rPr>
                <w:rFonts w:eastAsia="Calibri"/>
                <w:sz w:val="20"/>
                <w:lang w:val="fr-CA"/>
              </w:rPr>
            </w:pPr>
            <w:r w:rsidRPr="002832A9">
              <w:rPr>
                <w:rFonts w:eastAsia="Calibri"/>
                <w:sz w:val="20"/>
                <w:lang w:val="fr-CA"/>
              </w:rPr>
              <w:t>Demandes d’autorisation d’appel déposées.</w:t>
            </w:r>
          </w:p>
          <w:p w:rsidR="00EE4CC7" w:rsidRPr="002832A9" w:rsidRDefault="00EE4CC7" w:rsidP="001C4AC6">
            <w:pPr>
              <w:jc w:val="both"/>
              <w:rPr>
                <w:rFonts w:eastAsia="Calibri"/>
                <w:sz w:val="20"/>
                <w:lang w:val="fr-CA"/>
              </w:rPr>
            </w:pPr>
          </w:p>
        </w:tc>
      </w:tr>
      <w:tr w:rsidR="00EE4CC7" w:rsidRPr="00EB0F11" w:rsidTr="001C4AC6">
        <w:tblPrEx>
          <w:tblCellMar>
            <w:bottom w:w="0" w:type="dxa"/>
          </w:tblCellMar>
        </w:tblPrEx>
        <w:tc>
          <w:tcPr>
            <w:tcW w:w="2390" w:type="pct"/>
          </w:tcPr>
          <w:p w:rsidR="00EE4CC7" w:rsidRPr="002832A9" w:rsidRDefault="00EE4CC7" w:rsidP="001C4AC6">
            <w:pPr>
              <w:jc w:val="both"/>
              <w:rPr>
                <w:rFonts w:eastAsia="Calibri"/>
                <w:sz w:val="20"/>
                <w:lang w:val="fr-CA"/>
              </w:rPr>
            </w:pPr>
            <w:r w:rsidRPr="002832A9">
              <w:rPr>
                <w:rFonts w:eastAsia="Calibri"/>
                <w:sz w:val="20"/>
                <w:lang w:val="fr-CA"/>
              </w:rPr>
              <w:t>30 octobre 2013</w:t>
            </w:r>
          </w:p>
          <w:p w:rsidR="00EE4CC7" w:rsidRPr="002832A9" w:rsidRDefault="00EE4CC7" w:rsidP="001C4AC6">
            <w:pPr>
              <w:jc w:val="both"/>
              <w:rPr>
                <w:rFonts w:eastAsia="Calibri"/>
                <w:sz w:val="20"/>
                <w:lang w:val="fr-CA"/>
              </w:rPr>
            </w:pPr>
            <w:r w:rsidRPr="002832A9">
              <w:rPr>
                <w:rFonts w:eastAsia="Calibri"/>
                <w:sz w:val="20"/>
                <w:lang w:val="fr-CA"/>
              </w:rPr>
              <w:lastRenderedPageBreak/>
              <w:t>Cour suprême du Canada</w:t>
            </w:r>
          </w:p>
        </w:tc>
        <w:tc>
          <w:tcPr>
            <w:tcW w:w="270" w:type="pct"/>
          </w:tcPr>
          <w:p w:rsidR="00EE4CC7" w:rsidRPr="002832A9" w:rsidRDefault="00EE4CC7" w:rsidP="001C4AC6">
            <w:pPr>
              <w:jc w:val="both"/>
              <w:rPr>
                <w:rFonts w:eastAsia="Calibri"/>
                <w:sz w:val="20"/>
                <w:lang w:val="fr-CA"/>
              </w:rPr>
            </w:pPr>
          </w:p>
        </w:tc>
        <w:tc>
          <w:tcPr>
            <w:tcW w:w="2340" w:type="pct"/>
          </w:tcPr>
          <w:p w:rsidR="00EE4CC7" w:rsidRPr="002832A9" w:rsidRDefault="00EE4CC7" w:rsidP="001C4AC6">
            <w:pPr>
              <w:jc w:val="both"/>
              <w:rPr>
                <w:rFonts w:eastAsia="Calibri"/>
                <w:sz w:val="20"/>
                <w:lang w:val="fr-CA"/>
              </w:rPr>
            </w:pPr>
            <w:r w:rsidRPr="002832A9">
              <w:rPr>
                <w:rFonts w:eastAsia="Calibri"/>
                <w:sz w:val="20"/>
                <w:lang w:val="fr-CA"/>
              </w:rPr>
              <w:t xml:space="preserve">Demande conditionnelle d’autorisation d’appel </w:t>
            </w:r>
            <w:r w:rsidRPr="002832A9">
              <w:rPr>
                <w:rFonts w:eastAsia="Calibri"/>
                <w:sz w:val="20"/>
                <w:lang w:val="fr-CA"/>
              </w:rPr>
              <w:lastRenderedPageBreak/>
              <w:t>incident déposée.</w:t>
            </w:r>
          </w:p>
        </w:tc>
      </w:tr>
    </w:tbl>
    <w:p w:rsidR="002A46DC" w:rsidRPr="00EE4CC7" w:rsidRDefault="002A46DC" w:rsidP="002A46DC">
      <w:pPr>
        <w:rPr>
          <w:sz w:val="20"/>
          <w:szCs w:val="20"/>
          <w:lang w:val="fr-CA"/>
        </w:rPr>
      </w:pPr>
    </w:p>
    <w:p w:rsidR="002A46DC" w:rsidRDefault="00EB0F11" w:rsidP="002A46DC">
      <w:pPr>
        <w:rPr>
          <w:sz w:val="20"/>
          <w:szCs w:val="20"/>
        </w:rPr>
      </w:pPr>
      <w:r>
        <w:rPr>
          <w:sz w:val="20"/>
          <w:szCs w:val="20"/>
          <w:lang w:val="fr-CA"/>
        </w:rPr>
        <w:pict>
          <v:rect id="_x0000_i1050" style="width:2in;height:1pt" o:hrpct="0" o:hralign="center" o:hrstd="t" o:hrnoshade="t" o:hr="t" fillcolor="black [3213]" stroked="f"/>
        </w:pict>
      </w:r>
    </w:p>
    <w:p w:rsidR="002A46DC" w:rsidRDefault="002A46DC" w:rsidP="002A46DC">
      <w:pPr>
        <w:rPr>
          <w:sz w:val="20"/>
          <w:szCs w:val="20"/>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3052E5" w:rsidRPr="003052E5" w:rsidTr="003052E5">
        <w:trPr>
          <w:cantSplit/>
        </w:trPr>
        <w:tc>
          <w:tcPr>
            <w:tcW w:w="1458" w:type="dxa"/>
          </w:tcPr>
          <w:p w:rsidR="003052E5" w:rsidRPr="003052E5" w:rsidRDefault="003052E5" w:rsidP="003052E5">
            <w:pPr>
              <w:rPr>
                <w:sz w:val="20"/>
              </w:rPr>
            </w:pPr>
            <w:r w:rsidRPr="003052E5">
              <w:rPr>
                <w:b/>
                <w:sz w:val="20"/>
                <w:lang w:val="fr-CA"/>
              </w:rPr>
              <w:t>35557</w:t>
            </w:r>
          </w:p>
          <w:p w:rsidR="003052E5" w:rsidRPr="003052E5" w:rsidRDefault="003052E5" w:rsidP="003052E5">
            <w:pPr>
              <w:rPr>
                <w:b/>
                <w:sz w:val="20"/>
                <w:lang w:val="fr-CA"/>
              </w:rPr>
            </w:pPr>
          </w:p>
        </w:tc>
        <w:tc>
          <w:tcPr>
            <w:tcW w:w="8118" w:type="dxa"/>
          </w:tcPr>
          <w:p w:rsidR="003052E5" w:rsidRPr="003052E5" w:rsidRDefault="003052E5" w:rsidP="003052E5">
            <w:pPr>
              <w:jc w:val="both"/>
              <w:rPr>
                <w:sz w:val="20"/>
              </w:rPr>
            </w:pPr>
            <w:r w:rsidRPr="002D6D4D">
              <w:rPr>
                <w:b/>
                <w:sz w:val="20"/>
                <w:u w:val="single"/>
                <w:lang w:val="fr-CA"/>
              </w:rPr>
              <w:t>Selen Zhou v. XY, LLC (formely XY, Inc.), Jesse Jia-Bei Zhu</w:t>
            </w:r>
            <w:r w:rsidR="002D6D4D" w:rsidRPr="002D6D4D">
              <w:rPr>
                <w:b/>
                <w:sz w:val="20"/>
                <w:u w:val="single"/>
                <w:lang w:val="fr-CA"/>
              </w:rPr>
              <w:t>,</w:t>
            </w:r>
            <w:r w:rsidRPr="002D6D4D">
              <w:rPr>
                <w:b/>
                <w:sz w:val="20"/>
                <w:u w:val="single"/>
                <w:lang w:val="fr-CA"/>
              </w:rPr>
              <w:t xml:space="preserve"> Jingjing Genetic Inc. </w:t>
            </w:r>
            <w:r w:rsidRPr="003052E5">
              <w:rPr>
                <w:b/>
                <w:sz w:val="20"/>
                <w:u w:val="single"/>
              </w:rPr>
              <w:t>(formely IND Lifetech Inc.)</w:t>
            </w:r>
            <w:r w:rsidR="002D6D4D">
              <w:rPr>
                <w:b/>
                <w:sz w:val="20"/>
                <w:u w:val="single"/>
              </w:rPr>
              <w:t xml:space="preserve"> and</w:t>
            </w:r>
            <w:r w:rsidRPr="003052E5">
              <w:rPr>
                <w:b/>
                <w:sz w:val="20"/>
                <w:u w:val="single"/>
              </w:rPr>
              <w:t xml:space="preserve"> Jin Tang</w:t>
            </w:r>
            <w:r w:rsidRPr="003052E5">
              <w:rPr>
                <w:sz w:val="20"/>
              </w:rPr>
              <w:t xml:space="preserve"> (B.C.) (Civil) (By Leave)</w:t>
            </w:r>
          </w:p>
          <w:p w:rsidR="003052E5" w:rsidRPr="003052E5" w:rsidRDefault="003052E5" w:rsidP="003052E5">
            <w:pPr>
              <w:jc w:val="both"/>
              <w:rPr>
                <w:sz w:val="20"/>
              </w:rPr>
            </w:pPr>
          </w:p>
        </w:tc>
      </w:tr>
      <w:tr w:rsidR="003052E5" w:rsidRPr="003052E5" w:rsidTr="003052E5">
        <w:trPr>
          <w:cantSplit/>
        </w:trPr>
        <w:tc>
          <w:tcPr>
            <w:tcW w:w="1458" w:type="dxa"/>
          </w:tcPr>
          <w:p w:rsidR="003052E5" w:rsidRPr="003052E5" w:rsidRDefault="003052E5" w:rsidP="003052E5">
            <w:pPr>
              <w:rPr>
                <w:sz w:val="20"/>
              </w:rPr>
            </w:pPr>
            <w:r w:rsidRPr="003052E5">
              <w:rPr>
                <w:sz w:val="20"/>
              </w:rPr>
              <w:t>Coram :</w:t>
            </w:r>
          </w:p>
        </w:tc>
        <w:tc>
          <w:tcPr>
            <w:tcW w:w="8118" w:type="dxa"/>
          </w:tcPr>
          <w:p w:rsidR="003052E5" w:rsidRPr="003052E5" w:rsidRDefault="003052E5" w:rsidP="003052E5">
            <w:pPr>
              <w:rPr>
                <w:sz w:val="20"/>
              </w:rPr>
            </w:pPr>
            <w:r w:rsidRPr="003052E5">
              <w:rPr>
                <w:sz w:val="20"/>
                <w:u w:val="single"/>
              </w:rPr>
              <w:t>Abella, Rothstein and Moldaver JJ.</w:t>
            </w:r>
          </w:p>
          <w:p w:rsidR="003052E5" w:rsidRPr="003052E5" w:rsidRDefault="003052E5" w:rsidP="003052E5">
            <w:pPr>
              <w:rPr>
                <w:sz w:val="20"/>
                <w:u w:val="single"/>
              </w:rPr>
            </w:pPr>
          </w:p>
        </w:tc>
      </w:tr>
      <w:tr w:rsidR="003052E5" w:rsidRPr="003052E5" w:rsidTr="003052E5">
        <w:trPr>
          <w:cantSplit/>
        </w:trPr>
        <w:tc>
          <w:tcPr>
            <w:tcW w:w="9576" w:type="dxa"/>
            <w:gridSpan w:val="2"/>
          </w:tcPr>
          <w:p w:rsidR="003052E5" w:rsidRPr="003052E5" w:rsidRDefault="003052E5" w:rsidP="003052E5">
            <w:pPr>
              <w:ind w:firstLine="720"/>
              <w:jc w:val="both"/>
              <w:rPr>
                <w:sz w:val="20"/>
              </w:rPr>
            </w:pPr>
            <w:r w:rsidRPr="003052E5">
              <w:rPr>
                <w:sz w:val="20"/>
              </w:rPr>
              <w:t>The application for leave to appeal from the judgment of the Court of Appeal for British Columbia (Vancouver), Numbers CA039817 and CA039822, 2013 BCCA 352, dated July 26, 2013, is dismissed with costs.  The application for leave to cross-appeal is dismissed without costs.</w:t>
            </w:r>
          </w:p>
          <w:p w:rsidR="003052E5" w:rsidRPr="003052E5" w:rsidRDefault="003052E5" w:rsidP="003052E5">
            <w:pPr>
              <w:jc w:val="both"/>
              <w:rPr>
                <w:sz w:val="20"/>
              </w:rPr>
            </w:pPr>
          </w:p>
          <w:p w:rsidR="003052E5" w:rsidRPr="003052E5" w:rsidRDefault="003052E5" w:rsidP="003052E5">
            <w:pPr>
              <w:ind w:firstLine="720"/>
              <w:jc w:val="both"/>
              <w:rPr>
                <w:sz w:val="20"/>
              </w:rPr>
            </w:pPr>
            <w:r w:rsidRPr="003052E5">
              <w:rPr>
                <w:sz w:val="20"/>
                <w:lang w:val="fr-CA"/>
              </w:rPr>
              <w:t>La demande d’autorisation d’appel de l’arrêt de la Cour d’appel de la Colombie-Britannique (Vancouver), numéros CA039817 et CA039822, 2013 BCCA 352, daté du 26 juillet 2013, est rejetée avec dépens.  La demande d’autorisation d’appel incident est rejetée sans dépens.</w:t>
            </w:r>
          </w:p>
        </w:tc>
      </w:tr>
    </w:tbl>
    <w:p w:rsidR="002A46DC" w:rsidRPr="0016547E" w:rsidRDefault="002A46DC" w:rsidP="002A46DC">
      <w:pPr>
        <w:rPr>
          <w:sz w:val="20"/>
          <w:szCs w:val="20"/>
          <w:lang w:val="fr-CA"/>
        </w:rPr>
      </w:pPr>
    </w:p>
    <w:p w:rsidR="002A46DC" w:rsidRPr="001B157C" w:rsidRDefault="002A46DC" w:rsidP="002A46DC">
      <w:pPr>
        <w:rPr>
          <w:sz w:val="20"/>
          <w:szCs w:val="20"/>
          <w:u w:val="single"/>
        </w:rPr>
      </w:pPr>
      <w:r w:rsidRPr="001B157C">
        <w:rPr>
          <w:sz w:val="20"/>
          <w:szCs w:val="20"/>
          <w:u w:val="single"/>
        </w:rPr>
        <w:t>CASE SUMMARY</w:t>
      </w:r>
    </w:p>
    <w:p w:rsidR="002A46DC" w:rsidRDefault="002A46DC" w:rsidP="002A46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278"/>
        <w:gridCol w:w="514"/>
        <w:gridCol w:w="4735"/>
      </w:tblGrid>
      <w:tr w:rsidR="00EE4CC7" w:rsidRPr="002832A9" w:rsidTr="001C4AC6">
        <w:tc>
          <w:tcPr>
            <w:tcW w:w="5000" w:type="pct"/>
            <w:gridSpan w:val="3"/>
          </w:tcPr>
          <w:p w:rsidR="00EE4CC7" w:rsidRPr="002832A9" w:rsidRDefault="00EE4CC7" w:rsidP="001C4AC6">
            <w:pPr>
              <w:jc w:val="both"/>
              <w:rPr>
                <w:rFonts w:eastAsia="Calibri"/>
                <w:sz w:val="20"/>
              </w:rPr>
            </w:pPr>
            <w:r w:rsidRPr="002832A9">
              <w:rPr>
                <w:rFonts w:eastAsia="Calibri"/>
                <w:sz w:val="20"/>
              </w:rPr>
              <w:t>Tort law — Deceit and civil conspiracy — Specific elements — Evidence established JingJing, licensee of XY’s technology, underreported use of technology and underpaid royalties — Is resulting loss still element of tort of deceit? — In particular, where A has ongoing reporting obligations to B under contract and A intentionally underreports, may B recover in deceit (as well as contract) without proving A’s underreporting cause B loss? — In circumstances where company’s wrongful act is carried out by employees, when may employees be held personally liable? — In particular, where company’s employees perform acts that cause company breach to another, may other obtain redress from employees themselves in fraud and conspiracy? — Is civil conspiracy still tort known to Canadian common law and, if so, does it extend to cases where unlawful act that founds claim is conduct by employees which causes employer to breach contract with third party?</w:t>
            </w:r>
          </w:p>
          <w:p w:rsidR="00EE4CC7" w:rsidRPr="002832A9" w:rsidRDefault="00EE4CC7" w:rsidP="001C4AC6">
            <w:pPr>
              <w:jc w:val="both"/>
              <w:rPr>
                <w:rFonts w:eastAsia="Calibri"/>
                <w:sz w:val="20"/>
              </w:rPr>
            </w:pPr>
          </w:p>
        </w:tc>
      </w:tr>
      <w:tr w:rsidR="00EE4CC7" w:rsidRPr="002832A9" w:rsidTr="001C4AC6">
        <w:tc>
          <w:tcPr>
            <w:tcW w:w="5000" w:type="pct"/>
            <w:gridSpan w:val="3"/>
          </w:tcPr>
          <w:p w:rsidR="00EE4CC7" w:rsidRPr="002832A9" w:rsidRDefault="00EE4CC7" w:rsidP="001C4AC6">
            <w:pPr>
              <w:jc w:val="both"/>
              <w:rPr>
                <w:rFonts w:eastAsia="Calibri"/>
                <w:sz w:val="20"/>
              </w:rPr>
            </w:pPr>
            <w:r w:rsidRPr="002832A9">
              <w:rPr>
                <w:rFonts w:eastAsia="Calibri"/>
                <w:sz w:val="20"/>
              </w:rPr>
              <w:t xml:space="preserve">This case arises in the context of a technology licensing agreement between the respondent XY, LLC as licensor and JingJing Genetic Inc. (of the “IND Group” of corporations), as licensee.  The technology makes it possible to separate X and Y chromosomes in bovine spermatozoa, thus permitting the production of calves of a desired sex.  The trial judge found that JingJing had provided XY with false reports concerning revenues it received from its use of the technology, underpaid the royalties it owed to XY, concealed documents from XY, and violated in several ways the confidentiality provisions in the agreement.  The trial judge found JingJing liable for breach of contract and the tort of deceit and found three employees, including the applicant Ms. Zhou, liable for the torts of deceit and civil conspiracy.  The trial judge awarded $8.6 million in damages jointly and severally against the employees as well as against JingJing and ordered a permanent injunction against them in respect of future use of XY’s technology.  The Court of Appeal allowed their appeals in part and allowed XY’s cross-appeal to amend the terms of the permanent injunction and order a retrial of XY’s claim of unjust enrichment against the IND Group. In all other respects, the appeals were dismissed. </w:t>
            </w:r>
          </w:p>
          <w:p w:rsidR="00EE4CC7" w:rsidRPr="002832A9" w:rsidRDefault="00EE4CC7" w:rsidP="001C4AC6">
            <w:pPr>
              <w:jc w:val="both"/>
              <w:rPr>
                <w:rFonts w:eastAsia="Calibri"/>
                <w:sz w:val="20"/>
              </w:rPr>
            </w:pPr>
          </w:p>
        </w:tc>
      </w:tr>
      <w:tr w:rsidR="00EE4CC7" w:rsidRPr="002832A9" w:rsidTr="001C4AC6">
        <w:tblPrEx>
          <w:tblCellMar>
            <w:bottom w:w="0" w:type="dxa"/>
          </w:tblCellMar>
        </w:tblPrEx>
        <w:tc>
          <w:tcPr>
            <w:tcW w:w="2245" w:type="pct"/>
          </w:tcPr>
          <w:p w:rsidR="00EE4CC7" w:rsidRPr="002832A9" w:rsidRDefault="00EE4CC7" w:rsidP="001C4AC6">
            <w:pPr>
              <w:jc w:val="both"/>
              <w:rPr>
                <w:rFonts w:eastAsia="Calibri"/>
                <w:sz w:val="20"/>
              </w:rPr>
            </w:pPr>
            <w:r w:rsidRPr="002832A9">
              <w:rPr>
                <w:rFonts w:eastAsia="Calibri"/>
                <w:sz w:val="20"/>
              </w:rPr>
              <w:t>March 2, 2012</w:t>
            </w:r>
          </w:p>
          <w:p w:rsidR="00EE4CC7" w:rsidRPr="002832A9" w:rsidRDefault="00EE4CC7" w:rsidP="001C4AC6">
            <w:pPr>
              <w:jc w:val="both"/>
              <w:rPr>
                <w:rFonts w:eastAsia="Calibri"/>
                <w:sz w:val="20"/>
              </w:rPr>
            </w:pPr>
            <w:r w:rsidRPr="002832A9">
              <w:rPr>
                <w:rFonts w:eastAsia="Calibri"/>
                <w:sz w:val="20"/>
              </w:rPr>
              <w:t>Supreme Court of British Columbia</w:t>
            </w:r>
          </w:p>
          <w:p w:rsidR="00EE4CC7" w:rsidRPr="002832A9" w:rsidRDefault="00EE4CC7" w:rsidP="001C4AC6">
            <w:pPr>
              <w:jc w:val="both"/>
              <w:rPr>
                <w:rFonts w:eastAsia="Calibri"/>
                <w:sz w:val="20"/>
              </w:rPr>
            </w:pPr>
            <w:r w:rsidRPr="002832A9">
              <w:rPr>
                <w:rFonts w:eastAsia="Calibri"/>
                <w:sz w:val="20"/>
              </w:rPr>
              <w:t>(Kelleher J.)</w:t>
            </w:r>
          </w:p>
          <w:p w:rsidR="00EE4CC7" w:rsidRPr="002832A9" w:rsidRDefault="00EB0F11" w:rsidP="001C4AC6">
            <w:pPr>
              <w:jc w:val="both"/>
              <w:rPr>
                <w:rFonts w:eastAsia="Calibri"/>
                <w:sz w:val="20"/>
                <w:highlight w:val="yellow"/>
                <w:u w:val="single"/>
              </w:rPr>
            </w:pPr>
            <w:hyperlink r:id="rId38" w:history="1">
              <w:r w:rsidR="00EE4CC7" w:rsidRPr="002832A9">
                <w:rPr>
                  <w:rFonts w:eastAsia="Calibri"/>
                  <w:color w:val="0000FF"/>
                  <w:sz w:val="20"/>
                  <w:u w:val="single"/>
                </w:rPr>
                <w:t>2012 BCSC 319</w:t>
              </w:r>
            </w:hyperlink>
            <w:r w:rsidR="00EE4CC7" w:rsidRPr="002832A9">
              <w:rPr>
                <w:rFonts w:eastAsia="Calibri"/>
                <w:sz w:val="20"/>
                <w:highlight w:val="yellow"/>
                <w:u w:val="single"/>
              </w:rPr>
              <w:t xml:space="preserve"> </w:t>
            </w:r>
          </w:p>
          <w:p w:rsidR="00EE4CC7" w:rsidRPr="002832A9" w:rsidRDefault="00EE4CC7" w:rsidP="001C4AC6">
            <w:pPr>
              <w:jc w:val="both"/>
              <w:rPr>
                <w:rFonts w:eastAsia="Calibri"/>
                <w:sz w:val="20"/>
                <w:highlight w:val="yellow"/>
              </w:rPr>
            </w:pPr>
          </w:p>
        </w:tc>
        <w:tc>
          <w:tcPr>
            <w:tcW w:w="270" w:type="pct"/>
          </w:tcPr>
          <w:p w:rsidR="00EE4CC7" w:rsidRPr="002832A9" w:rsidRDefault="00EE4CC7" w:rsidP="001C4AC6">
            <w:pPr>
              <w:jc w:val="both"/>
              <w:rPr>
                <w:rFonts w:eastAsia="Calibri"/>
                <w:sz w:val="20"/>
              </w:rPr>
            </w:pPr>
          </w:p>
        </w:tc>
        <w:tc>
          <w:tcPr>
            <w:tcW w:w="2485" w:type="pct"/>
          </w:tcPr>
          <w:p w:rsidR="00EE4CC7" w:rsidRPr="002832A9" w:rsidRDefault="00EE4CC7" w:rsidP="001C4AC6">
            <w:pPr>
              <w:jc w:val="both"/>
              <w:rPr>
                <w:rFonts w:eastAsia="Calibri"/>
                <w:sz w:val="20"/>
              </w:rPr>
            </w:pPr>
            <w:r w:rsidRPr="002832A9">
              <w:rPr>
                <w:rFonts w:eastAsia="Calibri"/>
                <w:sz w:val="20"/>
              </w:rPr>
              <w:t>JingJing found liable for breach of contract and tort of deceit whereas three employees found liable for torts of deceit and civil conspiracy.  $8.6 million in damages awarded jointly and severally against them as well as permanent injunction against them, in respect of future use of XY’s technology.</w:t>
            </w:r>
          </w:p>
          <w:p w:rsidR="00EE4CC7" w:rsidRPr="002832A9" w:rsidRDefault="00EE4CC7" w:rsidP="001C4AC6">
            <w:pPr>
              <w:jc w:val="both"/>
              <w:rPr>
                <w:rFonts w:eastAsia="Calibri"/>
                <w:sz w:val="20"/>
              </w:rPr>
            </w:pPr>
          </w:p>
        </w:tc>
      </w:tr>
      <w:tr w:rsidR="00EE4CC7" w:rsidRPr="002832A9" w:rsidTr="001C4AC6">
        <w:tblPrEx>
          <w:tblCellMar>
            <w:bottom w:w="0" w:type="dxa"/>
          </w:tblCellMar>
        </w:tblPrEx>
        <w:tc>
          <w:tcPr>
            <w:tcW w:w="2245" w:type="pct"/>
          </w:tcPr>
          <w:p w:rsidR="00EE4CC7" w:rsidRPr="002832A9" w:rsidRDefault="00EE4CC7" w:rsidP="001C4AC6">
            <w:pPr>
              <w:jc w:val="both"/>
              <w:rPr>
                <w:rFonts w:eastAsia="Calibri"/>
                <w:sz w:val="20"/>
              </w:rPr>
            </w:pPr>
            <w:r w:rsidRPr="002832A9">
              <w:rPr>
                <w:rFonts w:eastAsia="Calibri"/>
                <w:sz w:val="20"/>
              </w:rPr>
              <w:lastRenderedPageBreak/>
              <w:t>July 26, 2013</w:t>
            </w:r>
          </w:p>
          <w:p w:rsidR="00EE4CC7" w:rsidRPr="002832A9" w:rsidRDefault="00EE4CC7" w:rsidP="001C4AC6">
            <w:pPr>
              <w:jc w:val="both"/>
              <w:rPr>
                <w:rFonts w:eastAsia="Calibri"/>
                <w:sz w:val="20"/>
              </w:rPr>
            </w:pPr>
            <w:r w:rsidRPr="002832A9">
              <w:rPr>
                <w:rFonts w:eastAsia="Calibri"/>
                <w:sz w:val="20"/>
              </w:rPr>
              <w:t>Court of Appeal for British Columbia (Vancouver)</w:t>
            </w:r>
          </w:p>
          <w:p w:rsidR="00EE4CC7" w:rsidRPr="002832A9" w:rsidRDefault="00EE4CC7" w:rsidP="001C4AC6">
            <w:pPr>
              <w:jc w:val="both"/>
              <w:rPr>
                <w:rFonts w:eastAsia="Calibri"/>
                <w:sz w:val="20"/>
              </w:rPr>
            </w:pPr>
            <w:r w:rsidRPr="002832A9">
              <w:rPr>
                <w:rFonts w:eastAsia="Calibri"/>
                <w:sz w:val="20"/>
              </w:rPr>
              <w:t>(Newbury, Chiasson and Smith JJ.A.)</w:t>
            </w:r>
          </w:p>
          <w:p w:rsidR="00EE4CC7" w:rsidRPr="002832A9" w:rsidRDefault="00EB0F11" w:rsidP="001C4AC6">
            <w:pPr>
              <w:jc w:val="both"/>
              <w:rPr>
                <w:rFonts w:eastAsia="Calibri"/>
                <w:sz w:val="20"/>
              </w:rPr>
            </w:pPr>
            <w:hyperlink r:id="rId39" w:history="1">
              <w:r w:rsidR="00EE4CC7" w:rsidRPr="002832A9">
                <w:rPr>
                  <w:rFonts w:eastAsia="Calibri"/>
                  <w:color w:val="0000FF"/>
                  <w:sz w:val="20"/>
                  <w:u w:val="single"/>
                </w:rPr>
                <w:t>2013 BCCA 352</w:t>
              </w:r>
            </w:hyperlink>
          </w:p>
          <w:p w:rsidR="00EE4CC7" w:rsidRPr="002832A9" w:rsidRDefault="00EE4CC7" w:rsidP="001C4AC6">
            <w:pPr>
              <w:jc w:val="both"/>
              <w:rPr>
                <w:rFonts w:eastAsia="Calibri"/>
                <w:sz w:val="20"/>
                <w:highlight w:val="yellow"/>
              </w:rPr>
            </w:pPr>
          </w:p>
        </w:tc>
        <w:tc>
          <w:tcPr>
            <w:tcW w:w="270" w:type="pct"/>
          </w:tcPr>
          <w:p w:rsidR="00EE4CC7" w:rsidRPr="002832A9" w:rsidRDefault="00EE4CC7" w:rsidP="001C4AC6">
            <w:pPr>
              <w:jc w:val="both"/>
              <w:rPr>
                <w:rFonts w:eastAsia="Calibri"/>
                <w:sz w:val="20"/>
              </w:rPr>
            </w:pPr>
          </w:p>
        </w:tc>
        <w:tc>
          <w:tcPr>
            <w:tcW w:w="2485" w:type="pct"/>
          </w:tcPr>
          <w:p w:rsidR="00EE4CC7" w:rsidRPr="002832A9" w:rsidRDefault="00EE4CC7" w:rsidP="001C4AC6">
            <w:pPr>
              <w:jc w:val="both"/>
              <w:rPr>
                <w:rFonts w:eastAsia="Calibri"/>
                <w:sz w:val="20"/>
              </w:rPr>
            </w:pPr>
            <w:r w:rsidRPr="002832A9">
              <w:rPr>
                <w:rFonts w:eastAsia="Calibri"/>
                <w:sz w:val="20"/>
              </w:rPr>
              <w:t>Appeals allowed in part and cross-appeal allowed (to amend permanent injunction terms and order retrial of unjust enrichment claim), In all other respects, appeals dismissed.</w:t>
            </w:r>
          </w:p>
          <w:p w:rsidR="00EE4CC7" w:rsidRPr="002832A9" w:rsidRDefault="00EE4CC7" w:rsidP="001C4AC6">
            <w:pPr>
              <w:jc w:val="both"/>
              <w:rPr>
                <w:rFonts w:eastAsia="Calibri"/>
                <w:sz w:val="20"/>
              </w:rPr>
            </w:pPr>
          </w:p>
        </w:tc>
      </w:tr>
      <w:tr w:rsidR="00EE4CC7" w:rsidRPr="002832A9" w:rsidTr="00943DC0">
        <w:tblPrEx>
          <w:tblCellMar>
            <w:bottom w:w="0" w:type="dxa"/>
          </w:tblCellMar>
        </w:tblPrEx>
        <w:trPr>
          <w:cantSplit/>
        </w:trPr>
        <w:tc>
          <w:tcPr>
            <w:tcW w:w="2245" w:type="pct"/>
          </w:tcPr>
          <w:p w:rsidR="00EE4CC7" w:rsidRPr="002832A9" w:rsidRDefault="00EE4CC7" w:rsidP="001C4AC6">
            <w:pPr>
              <w:jc w:val="both"/>
              <w:rPr>
                <w:rFonts w:eastAsia="Calibri"/>
                <w:sz w:val="20"/>
              </w:rPr>
            </w:pPr>
            <w:r w:rsidRPr="002832A9">
              <w:rPr>
                <w:rFonts w:eastAsia="Calibri"/>
                <w:sz w:val="20"/>
              </w:rPr>
              <w:t>September 30, 2013</w:t>
            </w:r>
          </w:p>
          <w:p w:rsidR="00EE4CC7" w:rsidRPr="002832A9" w:rsidRDefault="00EE4CC7" w:rsidP="001C4AC6">
            <w:pPr>
              <w:jc w:val="both"/>
              <w:rPr>
                <w:rFonts w:eastAsia="Calibri"/>
                <w:sz w:val="20"/>
              </w:rPr>
            </w:pPr>
            <w:r w:rsidRPr="002832A9">
              <w:rPr>
                <w:rFonts w:eastAsia="Calibri"/>
                <w:sz w:val="20"/>
              </w:rPr>
              <w:t>Supreme Court of Canada</w:t>
            </w:r>
          </w:p>
          <w:p w:rsidR="00EE4CC7" w:rsidRPr="002832A9" w:rsidRDefault="00EE4CC7" w:rsidP="001C4AC6">
            <w:pPr>
              <w:jc w:val="both"/>
              <w:rPr>
                <w:rFonts w:eastAsia="Calibri"/>
                <w:sz w:val="20"/>
              </w:rPr>
            </w:pPr>
          </w:p>
        </w:tc>
        <w:tc>
          <w:tcPr>
            <w:tcW w:w="270" w:type="pct"/>
          </w:tcPr>
          <w:p w:rsidR="00EE4CC7" w:rsidRPr="002832A9" w:rsidRDefault="00EE4CC7" w:rsidP="001C4AC6">
            <w:pPr>
              <w:jc w:val="both"/>
              <w:rPr>
                <w:rFonts w:eastAsia="Calibri"/>
                <w:sz w:val="20"/>
              </w:rPr>
            </w:pPr>
          </w:p>
        </w:tc>
        <w:tc>
          <w:tcPr>
            <w:tcW w:w="2485" w:type="pct"/>
          </w:tcPr>
          <w:p w:rsidR="00EE4CC7" w:rsidRPr="002832A9" w:rsidRDefault="00EE4CC7" w:rsidP="001C4AC6">
            <w:pPr>
              <w:jc w:val="both"/>
              <w:rPr>
                <w:rFonts w:eastAsia="Calibri"/>
                <w:sz w:val="20"/>
              </w:rPr>
            </w:pPr>
            <w:r w:rsidRPr="002832A9">
              <w:rPr>
                <w:rFonts w:eastAsia="Calibri"/>
                <w:sz w:val="20"/>
              </w:rPr>
              <w:t>Applications for leave to appeal filed.</w:t>
            </w:r>
          </w:p>
          <w:p w:rsidR="00EE4CC7" w:rsidRPr="002832A9" w:rsidRDefault="00EE4CC7" w:rsidP="001C4AC6">
            <w:pPr>
              <w:jc w:val="both"/>
              <w:rPr>
                <w:rFonts w:eastAsia="Calibri"/>
                <w:sz w:val="20"/>
              </w:rPr>
            </w:pPr>
          </w:p>
        </w:tc>
      </w:tr>
      <w:tr w:rsidR="00EE4CC7" w:rsidRPr="002832A9" w:rsidTr="00943DC0">
        <w:tblPrEx>
          <w:tblCellMar>
            <w:bottom w:w="0" w:type="dxa"/>
          </w:tblCellMar>
        </w:tblPrEx>
        <w:trPr>
          <w:cantSplit/>
        </w:trPr>
        <w:tc>
          <w:tcPr>
            <w:tcW w:w="2245" w:type="pct"/>
          </w:tcPr>
          <w:p w:rsidR="00EE4CC7" w:rsidRPr="002832A9" w:rsidRDefault="00EE4CC7" w:rsidP="001C4AC6">
            <w:pPr>
              <w:jc w:val="both"/>
              <w:rPr>
                <w:rFonts w:eastAsia="Calibri"/>
                <w:sz w:val="20"/>
              </w:rPr>
            </w:pPr>
            <w:r w:rsidRPr="002832A9">
              <w:rPr>
                <w:rFonts w:eastAsia="Calibri"/>
                <w:sz w:val="20"/>
              </w:rPr>
              <w:t>October 30, 2013</w:t>
            </w:r>
          </w:p>
          <w:p w:rsidR="00EE4CC7" w:rsidRPr="002832A9" w:rsidRDefault="00EE4CC7" w:rsidP="001C4AC6">
            <w:pPr>
              <w:jc w:val="both"/>
              <w:rPr>
                <w:rFonts w:eastAsia="Calibri"/>
                <w:sz w:val="20"/>
              </w:rPr>
            </w:pPr>
            <w:r w:rsidRPr="002832A9">
              <w:rPr>
                <w:rFonts w:eastAsia="Calibri"/>
                <w:sz w:val="20"/>
              </w:rPr>
              <w:t>Supreme Court of Canada</w:t>
            </w:r>
          </w:p>
        </w:tc>
        <w:tc>
          <w:tcPr>
            <w:tcW w:w="270" w:type="pct"/>
          </w:tcPr>
          <w:p w:rsidR="00EE4CC7" w:rsidRPr="002832A9" w:rsidRDefault="00EE4CC7" w:rsidP="001C4AC6">
            <w:pPr>
              <w:jc w:val="both"/>
              <w:rPr>
                <w:rFonts w:eastAsia="Calibri"/>
                <w:sz w:val="20"/>
              </w:rPr>
            </w:pPr>
          </w:p>
        </w:tc>
        <w:tc>
          <w:tcPr>
            <w:tcW w:w="2485" w:type="pct"/>
          </w:tcPr>
          <w:p w:rsidR="00EE4CC7" w:rsidRPr="002832A9" w:rsidRDefault="00EE4CC7" w:rsidP="001C4AC6">
            <w:pPr>
              <w:jc w:val="both"/>
              <w:rPr>
                <w:rFonts w:eastAsia="Calibri"/>
                <w:sz w:val="20"/>
              </w:rPr>
            </w:pPr>
            <w:r w:rsidRPr="002832A9">
              <w:rPr>
                <w:rFonts w:eastAsia="Calibri"/>
                <w:sz w:val="20"/>
              </w:rPr>
              <w:t>Conditional application for leave to cross-appeal filed.</w:t>
            </w:r>
          </w:p>
        </w:tc>
      </w:tr>
    </w:tbl>
    <w:p w:rsidR="002A46DC" w:rsidRDefault="002A46DC" w:rsidP="002A46DC">
      <w:pPr>
        <w:rPr>
          <w:sz w:val="20"/>
          <w:szCs w:val="20"/>
        </w:rPr>
      </w:pPr>
    </w:p>
    <w:p w:rsidR="002A46DC" w:rsidRPr="00C50A5C" w:rsidRDefault="00EB0F11" w:rsidP="002A46DC">
      <w:pPr>
        <w:rPr>
          <w:sz w:val="20"/>
          <w:szCs w:val="20"/>
        </w:rPr>
      </w:pPr>
      <w:r>
        <w:rPr>
          <w:sz w:val="20"/>
          <w:szCs w:val="20"/>
          <w:lang w:val="fr-CA"/>
        </w:rPr>
        <w:pict>
          <v:rect id="_x0000_i1051" style="width:2in;height:1pt" o:hrpct="0" o:hralign="center" o:hrstd="t" o:hrnoshade="t" o:hr="t" fillcolor="black [3213]" stroked="f"/>
        </w:pict>
      </w:r>
    </w:p>
    <w:p w:rsidR="002A46DC" w:rsidRDefault="002A46DC" w:rsidP="002A46DC">
      <w:pPr>
        <w:rPr>
          <w:sz w:val="20"/>
          <w:szCs w:val="20"/>
        </w:rPr>
      </w:pPr>
    </w:p>
    <w:p w:rsidR="002A46DC" w:rsidRPr="001B157C" w:rsidRDefault="002A46DC" w:rsidP="002A46DC">
      <w:pPr>
        <w:rPr>
          <w:sz w:val="20"/>
          <w:szCs w:val="20"/>
          <w:u w:val="single"/>
          <w:lang w:val="fr-CA"/>
        </w:rPr>
      </w:pPr>
      <w:r w:rsidRPr="001B157C">
        <w:rPr>
          <w:sz w:val="20"/>
          <w:szCs w:val="20"/>
          <w:u w:val="single"/>
          <w:lang w:val="fr-CA"/>
        </w:rPr>
        <w:t>RÉSUMÉ DE L’AFFAIRE</w:t>
      </w:r>
    </w:p>
    <w:p w:rsidR="002A46DC" w:rsidRDefault="002A46DC" w:rsidP="002A46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278"/>
        <w:gridCol w:w="514"/>
        <w:gridCol w:w="4735"/>
      </w:tblGrid>
      <w:tr w:rsidR="00EE4CC7" w:rsidRPr="00EB0F11" w:rsidTr="001C4AC6">
        <w:tc>
          <w:tcPr>
            <w:tcW w:w="5000" w:type="pct"/>
            <w:gridSpan w:val="3"/>
          </w:tcPr>
          <w:p w:rsidR="00EE4CC7" w:rsidRPr="002832A9" w:rsidRDefault="00EE4CC7" w:rsidP="001C4AC6">
            <w:pPr>
              <w:jc w:val="both"/>
              <w:rPr>
                <w:rFonts w:eastAsia="Calibri"/>
                <w:sz w:val="20"/>
                <w:lang w:val="fr-CA"/>
              </w:rPr>
            </w:pPr>
            <w:r w:rsidRPr="002832A9">
              <w:rPr>
                <w:rFonts w:eastAsia="Calibri"/>
                <w:sz w:val="20"/>
                <w:lang w:val="fr-CA"/>
              </w:rPr>
              <w:t>Droit de la responsabilité délictuelle — Dol et complot civil — Éléments précis — Preuve que  JingJing, titulaire d’une licence d’utilisation de la technologie appartenant à XY, n’a déclaré qu’une partie de son utilisation et n’a pas payé toutes les redevances — La perte qui en découle constitue</w:t>
            </w:r>
            <w:r w:rsidRPr="002832A9">
              <w:rPr>
                <w:rFonts w:eastAsia="Calibri"/>
                <w:sz w:val="20"/>
                <w:lang w:val="fr-CA"/>
              </w:rPr>
              <w:noBreakHyphen/>
              <w:t>t</w:t>
            </w:r>
            <w:r w:rsidRPr="002832A9">
              <w:rPr>
                <w:rFonts w:eastAsia="Calibri"/>
                <w:sz w:val="20"/>
                <w:lang w:val="fr-CA"/>
              </w:rPr>
              <w:noBreakHyphen/>
              <w:t>elle un élément du délit de dol? — Plus particulièrement, si A est tenu par contrat de soumettre continuellement des rapports à B et omet délibérément de communiquer toute l’information nécessaire, B peut-il être indemnisé du dol (et de la violation du contrat) sans établir que le manque à déclarer de A lui a fait subir une perte? — Des employés peuvent-ils être tenus personnellement responsables de l’acte fautif qu’ils ont commis pour le compte de la société? — Plus précisément, lorsque les actes des employés de la société amènent celle-ci à rompre son contrat avec une autre société, cette autre société peut-elle obtenir réparation de la part des employés eux</w:t>
            </w:r>
            <w:r w:rsidRPr="002832A9">
              <w:rPr>
                <w:rFonts w:eastAsia="Calibri"/>
                <w:sz w:val="20"/>
                <w:lang w:val="fr-CA"/>
              </w:rPr>
              <w:noBreakHyphen/>
              <w:t>mêmes pour fraude et complot? — Le complot civil demeure-t-il un délit reconnu en common law canadienne et, le cas échéant, s’étend-il à l’acte illégal commis par des employés et amenant l’employeur à violer un contrat conclu avec un tiers?</w:t>
            </w:r>
          </w:p>
        </w:tc>
      </w:tr>
      <w:tr w:rsidR="00EE4CC7" w:rsidRPr="002832A9" w:rsidTr="001C4AC6">
        <w:tc>
          <w:tcPr>
            <w:tcW w:w="5000" w:type="pct"/>
            <w:gridSpan w:val="3"/>
          </w:tcPr>
          <w:p w:rsidR="00EE4CC7" w:rsidRPr="002832A9" w:rsidRDefault="00EE4CC7" w:rsidP="001C4AC6">
            <w:pPr>
              <w:jc w:val="both"/>
              <w:rPr>
                <w:rFonts w:eastAsia="Calibri"/>
                <w:sz w:val="20"/>
                <w:lang w:val="fr-CA"/>
              </w:rPr>
            </w:pPr>
          </w:p>
          <w:p w:rsidR="00EE4CC7" w:rsidRPr="002832A9" w:rsidRDefault="00EE4CC7" w:rsidP="001C4AC6">
            <w:pPr>
              <w:jc w:val="both"/>
              <w:rPr>
                <w:rFonts w:eastAsia="Calibri"/>
                <w:sz w:val="20"/>
                <w:lang w:val="fr-CA"/>
              </w:rPr>
            </w:pPr>
            <w:r w:rsidRPr="002832A9">
              <w:rPr>
                <w:rFonts w:eastAsia="Calibri"/>
                <w:sz w:val="20"/>
                <w:lang w:val="fr-CA"/>
              </w:rPr>
              <w:t>La présente affaire se situe dans le contexte d’un contrat de licence pour l’utilisation d’une technologie conclu entre l’intimée XY, LLC, le concédant de la licence, et JingJing Genetic Inc. (du « groupe de sociétés IND »), la titulaire de la licence.  La technologie permet de séparer les chromosomes X et Y d’un spermatozoïde bovin et de produire ainsi des veaux du sexe voulu.  Le juge de première instance a conclu que JingJing avait soumis à XY de faux rapports sur les recettes qu’elle avait tirées de l’utilisation de la technologie, n’avait pas payé toutes les redevances qu’elle devait à XY, avait caché à XY des documents et avait violé de plusieurs façons les clauses du contrat en matière de confidentialité.  En outre, il a conclu à la responsabilité de JingJing pour violation de contrat et délit de dol ainsi qu’à celle de trois employés, y compris la demanderesse M</w:t>
            </w:r>
            <w:r w:rsidRPr="002832A9">
              <w:rPr>
                <w:rFonts w:eastAsia="Calibri"/>
                <w:sz w:val="20"/>
                <w:vertAlign w:val="superscript"/>
                <w:lang w:val="fr-CA"/>
              </w:rPr>
              <w:t>me</w:t>
            </w:r>
            <w:r w:rsidRPr="002832A9">
              <w:rPr>
                <w:rFonts w:eastAsia="Calibri"/>
                <w:sz w:val="20"/>
                <w:lang w:val="fr-CA"/>
              </w:rPr>
              <w:t xml:space="preserve"> Zhou, pour délits de dol et de complot civil.  Le juge de première instance a condamné solidairement les employés et JingJing à des dommages-intérêts de 8,6 millions de dollars et a prononcé contre eux une injonction permanente leur interdisant d’utiliser à l’avenir la technologie de XY.  La Cour d’appel a accueilli en partie leurs appels et fait droit à l’appel incident de XY visant à faire modifier l’injonction permanente et à faire ordonner une nouvelle instruction de l’action qu’elle avait intentée contre le groupe IND pour enrichissement sans cause.  Tous les autres volets des appels ont été rejetés. </w:t>
            </w:r>
          </w:p>
          <w:p w:rsidR="00EE4CC7" w:rsidRPr="002832A9" w:rsidRDefault="00EE4CC7" w:rsidP="001C4AC6">
            <w:pPr>
              <w:jc w:val="both"/>
              <w:rPr>
                <w:rFonts w:eastAsia="Calibri"/>
                <w:sz w:val="20"/>
                <w:lang w:val="fr-CA"/>
              </w:rPr>
            </w:pPr>
          </w:p>
        </w:tc>
      </w:tr>
      <w:tr w:rsidR="00EE4CC7" w:rsidRPr="00EB0F11" w:rsidTr="001C4AC6">
        <w:tblPrEx>
          <w:tblCellMar>
            <w:bottom w:w="0" w:type="dxa"/>
          </w:tblCellMar>
        </w:tblPrEx>
        <w:tc>
          <w:tcPr>
            <w:tcW w:w="2245" w:type="pct"/>
          </w:tcPr>
          <w:p w:rsidR="00EE4CC7" w:rsidRPr="002832A9" w:rsidRDefault="00EE4CC7" w:rsidP="001C4AC6">
            <w:pPr>
              <w:jc w:val="both"/>
              <w:rPr>
                <w:rFonts w:eastAsia="Calibri"/>
                <w:sz w:val="20"/>
                <w:lang w:val="fr-CA"/>
              </w:rPr>
            </w:pPr>
            <w:r w:rsidRPr="002832A9">
              <w:rPr>
                <w:rFonts w:eastAsia="Calibri"/>
                <w:sz w:val="20"/>
                <w:lang w:val="fr-CA"/>
              </w:rPr>
              <w:t>2 mars 2012</w:t>
            </w:r>
          </w:p>
          <w:p w:rsidR="00EE4CC7" w:rsidRPr="002832A9" w:rsidRDefault="00EE4CC7" w:rsidP="001C4AC6">
            <w:pPr>
              <w:jc w:val="both"/>
              <w:rPr>
                <w:rFonts w:eastAsia="Calibri"/>
                <w:sz w:val="20"/>
                <w:lang w:val="fr-CA"/>
              </w:rPr>
            </w:pPr>
            <w:r w:rsidRPr="002832A9">
              <w:rPr>
                <w:rFonts w:eastAsia="Calibri"/>
                <w:sz w:val="20"/>
                <w:lang w:val="fr-CA"/>
              </w:rPr>
              <w:t>Cour suprême de la Colombie-Britannique</w:t>
            </w:r>
          </w:p>
          <w:p w:rsidR="00EE4CC7" w:rsidRPr="002832A9" w:rsidRDefault="00EE4CC7" w:rsidP="001C4AC6">
            <w:pPr>
              <w:jc w:val="both"/>
              <w:rPr>
                <w:rFonts w:eastAsia="Calibri"/>
                <w:sz w:val="20"/>
              </w:rPr>
            </w:pPr>
            <w:r w:rsidRPr="002832A9">
              <w:rPr>
                <w:rFonts w:eastAsia="Calibri"/>
                <w:sz w:val="20"/>
              </w:rPr>
              <w:t>(Kelleher J.)</w:t>
            </w:r>
          </w:p>
          <w:p w:rsidR="00EE4CC7" w:rsidRPr="002832A9" w:rsidRDefault="00EB0F11" w:rsidP="001C4AC6">
            <w:pPr>
              <w:jc w:val="both"/>
              <w:rPr>
                <w:rFonts w:eastAsia="Calibri"/>
                <w:sz w:val="20"/>
                <w:highlight w:val="yellow"/>
                <w:u w:val="single"/>
              </w:rPr>
            </w:pPr>
            <w:hyperlink r:id="rId40" w:history="1">
              <w:r w:rsidR="00EE4CC7" w:rsidRPr="002832A9">
                <w:rPr>
                  <w:rFonts w:eastAsia="Calibri"/>
                  <w:color w:val="0000FF"/>
                  <w:sz w:val="20"/>
                  <w:u w:val="single"/>
                </w:rPr>
                <w:t>2012 BCSC 319</w:t>
              </w:r>
            </w:hyperlink>
            <w:r w:rsidR="00EE4CC7" w:rsidRPr="002832A9">
              <w:rPr>
                <w:rFonts w:eastAsia="Calibri"/>
                <w:sz w:val="20"/>
                <w:highlight w:val="yellow"/>
                <w:u w:val="single"/>
              </w:rPr>
              <w:t xml:space="preserve"> </w:t>
            </w:r>
          </w:p>
          <w:p w:rsidR="00EE4CC7" w:rsidRPr="002832A9" w:rsidRDefault="00EE4CC7" w:rsidP="001C4AC6">
            <w:pPr>
              <w:jc w:val="both"/>
              <w:rPr>
                <w:rFonts w:eastAsia="Calibri"/>
                <w:sz w:val="20"/>
                <w:highlight w:val="yellow"/>
              </w:rPr>
            </w:pPr>
          </w:p>
        </w:tc>
        <w:tc>
          <w:tcPr>
            <w:tcW w:w="270" w:type="pct"/>
          </w:tcPr>
          <w:p w:rsidR="00EE4CC7" w:rsidRPr="002832A9" w:rsidRDefault="00EE4CC7" w:rsidP="001C4AC6">
            <w:pPr>
              <w:jc w:val="both"/>
              <w:rPr>
                <w:rFonts w:eastAsia="Calibri"/>
                <w:sz w:val="20"/>
              </w:rPr>
            </w:pPr>
          </w:p>
        </w:tc>
        <w:tc>
          <w:tcPr>
            <w:tcW w:w="2485" w:type="pct"/>
          </w:tcPr>
          <w:p w:rsidR="00EE4CC7" w:rsidRPr="002832A9" w:rsidRDefault="00EE4CC7" w:rsidP="001C4AC6">
            <w:pPr>
              <w:jc w:val="both"/>
              <w:rPr>
                <w:rFonts w:eastAsia="Calibri"/>
                <w:sz w:val="20"/>
                <w:lang w:val="fr-CA"/>
              </w:rPr>
            </w:pPr>
            <w:r w:rsidRPr="002832A9">
              <w:rPr>
                <w:rFonts w:eastAsia="Calibri"/>
                <w:sz w:val="20"/>
                <w:lang w:val="fr-CA"/>
              </w:rPr>
              <w:t>JingJing tenue responsable de violation de contrat et de dol et trois employés tenus responsables de dol et de complot civil. JingJing et ces employés  condamnés solidairement à des dommages-intérêts de 8,6 millions de dollars et injonction permanente prononcée contre eux quant à l’utilisation future de la technologie de XY.</w:t>
            </w:r>
          </w:p>
          <w:p w:rsidR="00EE4CC7" w:rsidRPr="002832A9" w:rsidRDefault="00EE4CC7" w:rsidP="001C4AC6">
            <w:pPr>
              <w:jc w:val="both"/>
              <w:rPr>
                <w:rFonts w:eastAsia="Calibri"/>
                <w:sz w:val="20"/>
                <w:lang w:val="fr-CA"/>
              </w:rPr>
            </w:pPr>
          </w:p>
        </w:tc>
      </w:tr>
      <w:tr w:rsidR="00EE4CC7" w:rsidRPr="002832A9" w:rsidTr="001C4AC6">
        <w:tblPrEx>
          <w:tblCellMar>
            <w:bottom w:w="0" w:type="dxa"/>
          </w:tblCellMar>
        </w:tblPrEx>
        <w:tc>
          <w:tcPr>
            <w:tcW w:w="2245" w:type="pct"/>
          </w:tcPr>
          <w:p w:rsidR="00EE4CC7" w:rsidRPr="002832A9" w:rsidRDefault="00EE4CC7" w:rsidP="001C4AC6">
            <w:pPr>
              <w:jc w:val="both"/>
              <w:rPr>
                <w:rFonts w:eastAsia="Calibri"/>
                <w:sz w:val="20"/>
                <w:lang w:val="fr-CA"/>
              </w:rPr>
            </w:pPr>
            <w:r w:rsidRPr="002832A9">
              <w:rPr>
                <w:rFonts w:eastAsia="Calibri"/>
                <w:sz w:val="20"/>
                <w:lang w:val="fr-CA"/>
              </w:rPr>
              <w:lastRenderedPageBreak/>
              <w:t>26 juillet 2013</w:t>
            </w:r>
          </w:p>
          <w:p w:rsidR="00EE4CC7" w:rsidRPr="002832A9" w:rsidRDefault="00EE4CC7" w:rsidP="001C4AC6">
            <w:pPr>
              <w:jc w:val="both"/>
              <w:rPr>
                <w:rFonts w:eastAsia="Calibri"/>
                <w:sz w:val="20"/>
                <w:lang w:val="fr-CA"/>
              </w:rPr>
            </w:pPr>
            <w:r w:rsidRPr="002832A9">
              <w:rPr>
                <w:rFonts w:eastAsia="Calibri"/>
                <w:sz w:val="20"/>
                <w:lang w:val="fr-CA"/>
              </w:rPr>
              <w:t>Cour d’appel de la Colombie-Britannique (Vancouver)</w:t>
            </w:r>
          </w:p>
          <w:p w:rsidR="00EE4CC7" w:rsidRPr="002832A9" w:rsidRDefault="00EE4CC7" w:rsidP="001C4AC6">
            <w:pPr>
              <w:jc w:val="both"/>
              <w:rPr>
                <w:rFonts w:eastAsia="Calibri"/>
                <w:sz w:val="20"/>
              </w:rPr>
            </w:pPr>
            <w:r w:rsidRPr="002832A9">
              <w:rPr>
                <w:rFonts w:eastAsia="Calibri"/>
                <w:sz w:val="20"/>
              </w:rPr>
              <w:t>(Juges Newbury, Chiasson et Smith)</w:t>
            </w:r>
          </w:p>
          <w:p w:rsidR="00EE4CC7" w:rsidRPr="002832A9" w:rsidRDefault="00EB0F11" w:rsidP="001C4AC6">
            <w:pPr>
              <w:jc w:val="both"/>
              <w:rPr>
                <w:rFonts w:eastAsia="Calibri"/>
                <w:sz w:val="20"/>
              </w:rPr>
            </w:pPr>
            <w:hyperlink r:id="rId41" w:history="1">
              <w:r w:rsidR="00EE4CC7" w:rsidRPr="002832A9">
                <w:rPr>
                  <w:rFonts w:eastAsia="Calibri"/>
                  <w:color w:val="0000FF"/>
                  <w:sz w:val="20"/>
                  <w:u w:val="single"/>
                </w:rPr>
                <w:t>2013 BCCA 352</w:t>
              </w:r>
            </w:hyperlink>
          </w:p>
          <w:p w:rsidR="00EE4CC7" w:rsidRPr="002832A9" w:rsidRDefault="00EE4CC7" w:rsidP="001C4AC6">
            <w:pPr>
              <w:jc w:val="both"/>
              <w:rPr>
                <w:rFonts w:eastAsia="Calibri"/>
                <w:sz w:val="20"/>
                <w:highlight w:val="yellow"/>
              </w:rPr>
            </w:pPr>
          </w:p>
        </w:tc>
        <w:tc>
          <w:tcPr>
            <w:tcW w:w="270" w:type="pct"/>
          </w:tcPr>
          <w:p w:rsidR="00EE4CC7" w:rsidRPr="002832A9" w:rsidRDefault="00EE4CC7" w:rsidP="001C4AC6">
            <w:pPr>
              <w:jc w:val="both"/>
              <w:rPr>
                <w:rFonts w:eastAsia="Calibri"/>
                <w:sz w:val="20"/>
              </w:rPr>
            </w:pPr>
          </w:p>
        </w:tc>
        <w:tc>
          <w:tcPr>
            <w:tcW w:w="2485" w:type="pct"/>
          </w:tcPr>
          <w:p w:rsidR="00EE4CC7" w:rsidRPr="002832A9" w:rsidRDefault="00EE4CC7" w:rsidP="001C4AC6">
            <w:pPr>
              <w:jc w:val="both"/>
              <w:rPr>
                <w:rFonts w:eastAsia="Calibri"/>
                <w:sz w:val="20"/>
                <w:lang w:val="fr-CA"/>
              </w:rPr>
            </w:pPr>
            <w:r w:rsidRPr="002832A9">
              <w:rPr>
                <w:rFonts w:eastAsia="Calibri"/>
                <w:sz w:val="20"/>
                <w:lang w:val="fr-CA"/>
              </w:rPr>
              <w:t>Appels accueillis en partie et appel incident accueilli (pour faire modifier l’injonction permanente et faire ordonner une nouvelle instruction de la poursuite pour enrichissement sans cause). Tous les autres volets des appels rejetés.</w:t>
            </w:r>
          </w:p>
          <w:p w:rsidR="00EE4CC7" w:rsidRPr="002832A9" w:rsidRDefault="00EE4CC7" w:rsidP="001C4AC6">
            <w:pPr>
              <w:jc w:val="both"/>
              <w:rPr>
                <w:rFonts w:eastAsia="Calibri"/>
                <w:sz w:val="20"/>
                <w:lang w:val="fr-CA"/>
              </w:rPr>
            </w:pPr>
          </w:p>
        </w:tc>
      </w:tr>
      <w:tr w:rsidR="00EE4CC7" w:rsidRPr="002832A9" w:rsidTr="001C4AC6">
        <w:tblPrEx>
          <w:tblCellMar>
            <w:bottom w:w="0" w:type="dxa"/>
          </w:tblCellMar>
        </w:tblPrEx>
        <w:tc>
          <w:tcPr>
            <w:tcW w:w="2245" w:type="pct"/>
          </w:tcPr>
          <w:p w:rsidR="00EE4CC7" w:rsidRPr="002832A9" w:rsidRDefault="00EE4CC7" w:rsidP="001C4AC6">
            <w:pPr>
              <w:jc w:val="both"/>
              <w:rPr>
                <w:rFonts w:eastAsia="Calibri"/>
                <w:sz w:val="20"/>
                <w:lang w:val="fr-CA"/>
              </w:rPr>
            </w:pPr>
            <w:r w:rsidRPr="002832A9">
              <w:rPr>
                <w:rFonts w:eastAsia="Calibri"/>
                <w:sz w:val="20"/>
                <w:lang w:val="fr-CA"/>
              </w:rPr>
              <w:t>30 septembre 2013</w:t>
            </w:r>
          </w:p>
          <w:p w:rsidR="00EE4CC7" w:rsidRPr="002832A9" w:rsidRDefault="00EE4CC7" w:rsidP="00943DC0">
            <w:pPr>
              <w:jc w:val="both"/>
              <w:rPr>
                <w:rFonts w:eastAsia="Calibri"/>
                <w:sz w:val="20"/>
                <w:lang w:val="fr-CA"/>
              </w:rPr>
            </w:pPr>
            <w:r w:rsidRPr="002832A9">
              <w:rPr>
                <w:rFonts w:eastAsia="Calibri"/>
                <w:sz w:val="20"/>
                <w:lang w:val="fr-CA"/>
              </w:rPr>
              <w:t>Cour suprême du Canada</w:t>
            </w:r>
          </w:p>
        </w:tc>
        <w:tc>
          <w:tcPr>
            <w:tcW w:w="270" w:type="pct"/>
          </w:tcPr>
          <w:p w:rsidR="00EE4CC7" w:rsidRPr="002832A9" w:rsidRDefault="00EE4CC7" w:rsidP="001C4AC6">
            <w:pPr>
              <w:jc w:val="both"/>
              <w:rPr>
                <w:rFonts w:eastAsia="Calibri"/>
                <w:sz w:val="20"/>
                <w:lang w:val="fr-CA"/>
              </w:rPr>
            </w:pPr>
          </w:p>
        </w:tc>
        <w:tc>
          <w:tcPr>
            <w:tcW w:w="2485" w:type="pct"/>
          </w:tcPr>
          <w:p w:rsidR="00EE4CC7" w:rsidRPr="002832A9" w:rsidRDefault="00EE4CC7" w:rsidP="001C4AC6">
            <w:pPr>
              <w:jc w:val="both"/>
              <w:rPr>
                <w:rFonts w:eastAsia="Calibri"/>
                <w:sz w:val="20"/>
                <w:lang w:val="fr-CA"/>
              </w:rPr>
            </w:pPr>
            <w:r w:rsidRPr="002832A9">
              <w:rPr>
                <w:rFonts w:eastAsia="Calibri"/>
                <w:sz w:val="20"/>
                <w:lang w:val="fr-CA"/>
              </w:rPr>
              <w:t>Demandes d’autorisation d’appel déposées.</w:t>
            </w:r>
          </w:p>
          <w:p w:rsidR="00EE4CC7" w:rsidRPr="002832A9" w:rsidRDefault="00EE4CC7" w:rsidP="001C4AC6">
            <w:pPr>
              <w:jc w:val="both"/>
              <w:rPr>
                <w:rFonts w:eastAsia="Calibri"/>
                <w:sz w:val="20"/>
                <w:lang w:val="fr-CA"/>
              </w:rPr>
            </w:pPr>
          </w:p>
        </w:tc>
      </w:tr>
    </w:tbl>
    <w:p w:rsidR="00943DC0" w:rsidRDefault="00943DC0"/>
    <w:p w:rsidR="00943DC0" w:rsidRDefault="00943DC0">
      <w:r>
        <w:br w:type="page"/>
      </w:r>
    </w:p>
    <w:tbl>
      <w:tblPr>
        <w:tblW w:w="4952" w:type="pct"/>
        <w:tblLayout w:type="fixed"/>
        <w:tblCellMar>
          <w:left w:w="0" w:type="dxa"/>
          <w:right w:w="0" w:type="dxa"/>
        </w:tblCellMar>
        <w:tblLook w:val="04A0" w:firstRow="1" w:lastRow="0" w:firstColumn="1" w:lastColumn="0" w:noHBand="0" w:noVBand="1"/>
      </w:tblPr>
      <w:tblGrid>
        <w:gridCol w:w="4278"/>
        <w:gridCol w:w="514"/>
        <w:gridCol w:w="4735"/>
      </w:tblGrid>
      <w:tr w:rsidR="00EE4CC7" w:rsidRPr="00EB0F11" w:rsidTr="00943DC0">
        <w:trPr>
          <w:cantSplit/>
        </w:trPr>
        <w:tc>
          <w:tcPr>
            <w:tcW w:w="2245" w:type="pct"/>
          </w:tcPr>
          <w:p w:rsidR="00EE4CC7" w:rsidRPr="002832A9" w:rsidRDefault="00EE4CC7" w:rsidP="001C4AC6">
            <w:pPr>
              <w:jc w:val="both"/>
              <w:rPr>
                <w:rFonts w:eastAsia="Calibri"/>
                <w:sz w:val="20"/>
                <w:lang w:val="fr-CA"/>
              </w:rPr>
            </w:pPr>
            <w:r w:rsidRPr="002832A9">
              <w:rPr>
                <w:rFonts w:eastAsia="Calibri"/>
                <w:sz w:val="20"/>
                <w:lang w:val="fr-CA"/>
              </w:rPr>
              <w:lastRenderedPageBreak/>
              <w:t>30 octobre 2013</w:t>
            </w:r>
          </w:p>
          <w:p w:rsidR="00EE4CC7" w:rsidRPr="002832A9" w:rsidRDefault="00EE4CC7" w:rsidP="001C4AC6">
            <w:pPr>
              <w:jc w:val="both"/>
              <w:rPr>
                <w:rFonts w:eastAsia="Calibri"/>
                <w:sz w:val="20"/>
                <w:lang w:val="fr-CA"/>
              </w:rPr>
            </w:pPr>
            <w:r w:rsidRPr="002832A9">
              <w:rPr>
                <w:rFonts w:eastAsia="Calibri"/>
                <w:sz w:val="20"/>
                <w:lang w:val="fr-CA"/>
              </w:rPr>
              <w:t>Cour suprême du Canada</w:t>
            </w:r>
          </w:p>
        </w:tc>
        <w:tc>
          <w:tcPr>
            <w:tcW w:w="270" w:type="pct"/>
          </w:tcPr>
          <w:p w:rsidR="00EE4CC7" w:rsidRPr="002832A9" w:rsidRDefault="00EE4CC7" w:rsidP="001C4AC6">
            <w:pPr>
              <w:jc w:val="both"/>
              <w:rPr>
                <w:rFonts w:eastAsia="Calibri"/>
                <w:sz w:val="20"/>
                <w:lang w:val="fr-CA"/>
              </w:rPr>
            </w:pPr>
          </w:p>
        </w:tc>
        <w:tc>
          <w:tcPr>
            <w:tcW w:w="2485" w:type="pct"/>
          </w:tcPr>
          <w:p w:rsidR="00EE4CC7" w:rsidRPr="002832A9" w:rsidRDefault="00EE4CC7" w:rsidP="001C4AC6">
            <w:pPr>
              <w:jc w:val="both"/>
              <w:rPr>
                <w:rFonts w:eastAsia="Calibri"/>
                <w:sz w:val="20"/>
                <w:lang w:val="fr-CA"/>
              </w:rPr>
            </w:pPr>
            <w:r w:rsidRPr="002832A9">
              <w:rPr>
                <w:rFonts w:eastAsia="Calibri"/>
                <w:sz w:val="20"/>
                <w:lang w:val="fr-CA"/>
              </w:rPr>
              <w:t>Demande conditionnelle d’autorisation d’appel incident déposée.</w:t>
            </w:r>
          </w:p>
        </w:tc>
      </w:tr>
    </w:tbl>
    <w:p w:rsidR="002A46DC" w:rsidRPr="00EE4CC7" w:rsidRDefault="002A46DC" w:rsidP="002A46DC">
      <w:pPr>
        <w:rPr>
          <w:sz w:val="20"/>
          <w:szCs w:val="20"/>
          <w:lang w:val="fr-CA"/>
        </w:rPr>
      </w:pPr>
    </w:p>
    <w:p w:rsidR="002A46DC" w:rsidRDefault="00EB0F11" w:rsidP="002A46DC">
      <w:pPr>
        <w:rPr>
          <w:sz w:val="20"/>
          <w:szCs w:val="20"/>
        </w:rPr>
      </w:pPr>
      <w:r>
        <w:rPr>
          <w:sz w:val="20"/>
          <w:szCs w:val="20"/>
          <w:lang w:val="fr-CA"/>
        </w:rPr>
        <w:pict>
          <v:rect id="_x0000_i1052" style="width:2in;height:1pt" o:hrpct="0" o:hralign="center" o:hrstd="t" o:hrnoshade="t" o:hr="t" fillcolor="black [3213]" stroked="f"/>
        </w:pict>
      </w:r>
    </w:p>
    <w:p w:rsidR="002A46DC" w:rsidRDefault="002A46DC" w:rsidP="002A46DC">
      <w:pPr>
        <w:rPr>
          <w:sz w:val="20"/>
          <w:szCs w:val="20"/>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F0143" w:rsidRPr="000F0143" w:rsidTr="002B62A3">
        <w:trPr>
          <w:cantSplit/>
        </w:trPr>
        <w:tc>
          <w:tcPr>
            <w:tcW w:w="1458" w:type="dxa"/>
          </w:tcPr>
          <w:p w:rsidR="000F0143" w:rsidRPr="000F0143" w:rsidRDefault="000F0143" w:rsidP="000F0143">
            <w:pPr>
              <w:rPr>
                <w:sz w:val="20"/>
              </w:rPr>
            </w:pPr>
            <w:r w:rsidRPr="000F0143">
              <w:rPr>
                <w:b/>
                <w:sz w:val="20"/>
                <w:lang w:val="fr-CA"/>
              </w:rPr>
              <w:t>35561</w:t>
            </w:r>
          </w:p>
          <w:p w:rsidR="000F0143" w:rsidRPr="000F0143" w:rsidRDefault="000F0143" w:rsidP="000F0143">
            <w:pPr>
              <w:rPr>
                <w:b/>
                <w:sz w:val="20"/>
                <w:lang w:val="fr-CA"/>
              </w:rPr>
            </w:pPr>
          </w:p>
        </w:tc>
        <w:tc>
          <w:tcPr>
            <w:tcW w:w="8118" w:type="dxa"/>
          </w:tcPr>
          <w:p w:rsidR="000F0143" w:rsidRPr="000F0143" w:rsidRDefault="000F0143" w:rsidP="000F0143">
            <w:pPr>
              <w:rPr>
                <w:sz w:val="20"/>
              </w:rPr>
            </w:pPr>
            <w:r w:rsidRPr="000F0143">
              <w:rPr>
                <w:b/>
                <w:sz w:val="20"/>
                <w:u w:val="single"/>
              </w:rPr>
              <w:t>Jin Tang v. XY, LLC</w:t>
            </w:r>
            <w:r w:rsidRPr="000F0143">
              <w:rPr>
                <w:sz w:val="20"/>
              </w:rPr>
              <w:t xml:space="preserve"> (B.C.) (Civil) (By Leave)</w:t>
            </w:r>
          </w:p>
          <w:p w:rsidR="000F0143" w:rsidRPr="000F0143" w:rsidRDefault="000F0143" w:rsidP="000F0143">
            <w:pPr>
              <w:rPr>
                <w:sz w:val="20"/>
              </w:rPr>
            </w:pPr>
          </w:p>
        </w:tc>
      </w:tr>
      <w:tr w:rsidR="000F0143" w:rsidRPr="000F0143" w:rsidTr="002B62A3">
        <w:trPr>
          <w:cantSplit/>
        </w:trPr>
        <w:tc>
          <w:tcPr>
            <w:tcW w:w="1458" w:type="dxa"/>
          </w:tcPr>
          <w:p w:rsidR="000F0143" w:rsidRPr="000F0143" w:rsidRDefault="000F0143" w:rsidP="000F0143">
            <w:pPr>
              <w:rPr>
                <w:sz w:val="20"/>
              </w:rPr>
            </w:pPr>
            <w:r w:rsidRPr="000F0143">
              <w:rPr>
                <w:sz w:val="20"/>
              </w:rPr>
              <w:t>Coram :</w:t>
            </w:r>
          </w:p>
        </w:tc>
        <w:tc>
          <w:tcPr>
            <w:tcW w:w="8118" w:type="dxa"/>
          </w:tcPr>
          <w:p w:rsidR="000F0143" w:rsidRPr="000F0143" w:rsidRDefault="000F0143" w:rsidP="000F0143">
            <w:pPr>
              <w:rPr>
                <w:sz w:val="20"/>
              </w:rPr>
            </w:pPr>
            <w:r w:rsidRPr="000F0143">
              <w:rPr>
                <w:sz w:val="20"/>
                <w:u w:val="single"/>
              </w:rPr>
              <w:t>Abella, Rothstein and Moldaver JJ.</w:t>
            </w:r>
          </w:p>
          <w:p w:rsidR="000F0143" w:rsidRPr="000F0143" w:rsidRDefault="000F0143" w:rsidP="000F0143">
            <w:pPr>
              <w:rPr>
                <w:sz w:val="20"/>
                <w:u w:val="single"/>
              </w:rPr>
            </w:pPr>
          </w:p>
        </w:tc>
      </w:tr>
      <w:tr w:rsidR="000F0143" w:rsidRPr="000F0143" w:rsidTr="002B62A3">
        <w:trPr>
          <w:cantSplit/>
        </w:trPr>
        <w:tc>
          <w:tcPr>
            <w:tcW w:w="9576" w:type="dxa"/>
            <w:gridSpan w:val="2"/>
          </w:tcPr>
          <w:p w:rsidR="000F0143" w:rsidRPr="000F0143" w:rsidRDefault="000F0143" w:rsidP="000F0143">
            <w:pPr>
              <w:ind w:firstLine="720"/>
              <w:jc w:val="both"/>
              <w:rPr>
                <w:sz w:val="20"/>
              </w:rPr>
            </w:pPr>
            <w:r w:rsidRPr="000F0143">
              <w:rPr>
                <w:sz w:val="20"/>
              </w:rPr>
              <w:t>The application for leave to appeal from the judgment of the Court of Appeal for British Columbia (Vancouver), Numbers CA039818 and CA039822, 2013 BCCA 352, dated July 26, 2013, is dismissed with costs.  The application for leave to cross-appeal is dismissed without costs.</w:t>
            </w:r>
          </w:p>
          <w:p w:rsidR="000F0143" w:rsidRPr="000F0143" w:rsidRDefault="000F0143" w:rsidP="000F0143">
            <w:pPr>
              <w:jc w:val="both"/>
              <w:rPr>
                <w:sz w:val="20"/>
              </w:rPr>
            </w:pPr>
          </w:p>
          <w:p w:rsidR="000F0143" w:rsidRPr="000F0143" w:rsidRDefault="000F0143" w:rsidP="000F0143">
            <w:pPr>
              <w:ind w:firstLine="720"/>
              <w:jc w:val="both"/>
              <w:rPr>
                <w:sz w:val="20"/>
              </w:rPr>
            </w:pPr>
            <w:r w:rsidRPr="000F0143">
              <w:rPr>
                <w:sz w:val="20"/>
                <w:lang w:val="fr-CA"/>
              </w:rPr>
              <w:t>La demande d’autorisation d’appel de l’arrêt de la Cour d’appel de la Colombie-Britannique (Vancouver), numéros CA039818 et CA039822, 2013 BCCA 352, daté du 26 juillet 2013, est rejetée avec dépens.  La demande d’autorisation d’appel incident est rejetée sans dépens.</w:t>
            </w:r>
          </w:p>
        </w:tc>
      </w:tr>
    </w:tbl>
    <w:p w:rsidR="002A46DC" w:rsidRPr="00D572E8" w:rsidRDefault="002A46DC" w:rsidP="002A46DC">
      <w:pPr>
        <w:rPr>
          <w:sz w:val="20"/>
          <w:szCs w:val="20"/>
        </w:rPr>
      </w:pPr>
    </w:p>
    <w:p w:rsidR="002A46DC" w:rsidRPr="001B157C" w:rsidRDefault="002A46DC" w:rsidP="002A46DC">
      <w:pPr>
        <w:rPr>
          <w:sz w:val="20"/>
          <w:szCs w:val="20"/>
          <w:u w:val="single"/>
        </w:rPr>
      </w:pPr>
      <w:r w:rsidRPr="001B157C">
        <w:rPr>
          <w:sz w:val="20"/>
          <w:szCs w:val="20"/>
          <w:u w:val="single"/>
        </w:rPr>
        <w:t>CASE SUMMARY</w:t>
      </w:r>
    </w:p>
    <w:p w:rsidR="002A46DC" w:rsidRDefault="002A46DC" w:rsidP="002A46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72E8" w:rsidRPr="002832A9" w:rsidTr="001C4AC6">
        <w:tc>
          <w:tcPr>
            <w:tcW w:w="5000" w:type="pct"/>
            <w:gridSpan w:val="3"/>
          </w:tcPr>
          <w:p w:rsidR="00D572E8" w:rsidRPr="002832A9" w:rsidRDefault="00D572E8" w:rsidP="001C4AC6">
            <w:pPr>
              <w:jc w:val="both"/>
              <w:rPr>
                <w:rFonts w:eastAsia="Calibri"/>
                <w:sz w:val="20"/>
              </w:rPr>
            </w:pPr>
            <w:r w:rsidRPr="002832A9">
              <w:rPr>
                <w:rFonts w:eastAsia="Calibri"/>
                <w:sz w:val="20"/>
              </w:rPr>
              <w:t>Tort law — Deceit and civil conspiracy — Specific elements — Evidence established JingJing, licensee of XY’s technology, underreported use of technology and underpaid royalties — Is it necessary for XY to prove causation against employee where there is concurrent liability in tort and in contract against JingJing? — Should employee following JingJing’s directions be held responsible for business tort and breach of contract?</w:t>
            </w:r>
          </w:p>
        </w:tc>
      </w:tr>
      <w:tr w:rsidR="00D572E8" w:rsidRPr="002832A9" w:rsidTr="001C4AC6">
        <w:tc>
          <w:tcPr>
            <w:tcW w:w="5000" w:type="pct"/>
            <w:gridSpan w:val="3"/>
          </w:tcPr>
          <w:p w:rsidR="00D572E8" w:rsidRPr="002832A9" w:rsidRDefault="00D572E8" w:rsidP="001C4AC6">
            <w:pPr>
              <w:jc w:val="both"/>
              <w:rPr>
                <w:rFonts w:eastAsia="Calibri"/>
                <w:sz w:val="20"/>
              </w:rPr>
            </w:pPr>
          </w:p>
        </w:tc>
      </w:tr>
      <w:tr w:rsidR="00D572E8" w:rsidRPr="002832A9" w:rsidTr="001C4AC6">
        <w:tc>
          <w:tcPr>
            <w:tcW w:w="5000" w:type="pct"/>
            <w:gridSpan w:val="3"/>
          </w:tcPr>
          <w:p w:rsidR="00D572E8" w:rsidRPr="002832A9" w:rsidRDefault="00D572E8" w:rsidP="001C4AC6">
            <w:pPr>
              <w:jc w:val="both"/>
              <w:rPr>
                <w:rFonts w:eastAsia="Calibri"/>
                <w:sz w:val="20"/>
              </w:rPr>
            </w:pPr>
            <w:r w:rsidRPr="002832A9">
              <w:rPr>
                <w:rFonts w:eastAsia="Calibri"/>
                <w:sz w:val="20"/>
              </w:rPr>
              <w:t xml:space="preserve">This case arises in the context of a technology licensing agreement between the respondent XY, LLC as licensor and JingJing Genetic Inc. (of the “IND Group” of corporations), as licensee. The technology makes it possible to separate X and Y chromosomes in bovine spermatozoa, thus permitting the production of calves of a desired sex.  The trial judge found that JingJing had provided XY with false reports concerning revenues it received from its use of the technology, underpaid the royalties it owed to XY, concealed documents from XY, and violated in several ways the confidentiality provisions in the agreement.  The trial judge found JingJing liable for breach of contract and the tort of deceit and found three employees, including the applicant Ms. Tang, liable for the torts of deceit and civil conspiracy.  The trial judge awarded $8.6 million in damages jointly and severally against the employees as well as against JingJing and ordered a permanent injunction against them in respect of future use of XY’s technology. The Court of Appeal allowed their appeals in part and allowed XY’s cross-appeal to amend the terms of the permanent injunction and order a retrial of XY’s claim of unjust enrichment against the IND Group.  In all other respects, the appeals were dismissed. </w:t>
            </w:r>
          </w:p>
          <w:p w:rsidR="00D572E8" w:rsidRPr="002832A9" w:rsidRDefault="00D572E8" w:rsidP="001C4AC6">
            <w:pPr>
              <w:jc w:val="both"/>
              <w:rPr>
                <w:rFonts w:eastAsia="Calibri"/>
                <w:sz w:val="20"/>
              </w:rPr>
            </w:pPr>
          </w:p>
        </w:tc>
      </w:tr>
      <w:tr w:rsidR="00D572E8" w:rsidRPr="002832A9" w:rsidTr="001C4AC6">
        <w:tc>
          <w:tcPr>
            <w:tcW w:w="2427" w:type="pct"/>
          </w:tcPr>
          <w:p w:rsidR="00D572E8" w:rsidRPr="002832A9" w:rsidRDefault="00D572E8" w:rsidP="001C4AC6">
            <w:pPr>
              <w:jc w:val="both"/>
              <w:rPr>
                <w:rFonts w:eastAsia="Calibri"/>
                <w:sz w:val="20"/>
              </w:rPr>
            </w:pPr>
            <w:r w:rsidRPr="002832A9">
              <w:rPr>
                <w:rFonts w:eastAsia="Calibri"/>
                <w:sz w:val="20"/>
              </w:rPr>
              <w:t>March 2, 2012</w:t>
            </w:r>
          </w:p>
          <w:p w:rsidR="00D572E8" w:rsidRPr="002832A9" w:rsidRDefault="00D572E8" w:rsidP="001C4AC6">
            <w:pPr>
              <w:jc w:val="both"/>
              <w:rPr>
                <w:rFonts w:eastAsia="Calibri"/>
                <w:sz w:val="20"/>
              </w:rPr>
            </w:pPr>
            <w:r w:rsidRPr="002832A9">
              <w:rPr>
                <w:rFonts w:eastAsia="Calibri"/>
                <w:sz w:val="20"/>
              </w:rPr>
              <w:t>Supreme Court of British Columbia</w:t>
            </w:r>
          </w:p>
          <w:p w:rsidR="00D572E8" w:rsidRPr="002832A9" w:rsidRDefault="00D572E8" w:rsidP="001C4AC6">
            <w:pPr>
              <w:jc w:val="both"/>
              <w:rPr>
                <w:rFonts w:eastAsia="Calibri"/>
                <w:sz w:val="20"/>
              </w:rPr>
            </w:pPr>
            <w:r w:rsidRPr="002832A9">
              <w:rPr>
                <w:rFonts w:eastAsia="Calibri"/>
                <w:sz w:val="20"/>
              </w:rPr>
              <w:t>(Kelleher J.)</w:t>
            </w:r>
          </w:p>
          <w:p w:rsidR="00D572E8" w:rsidRPr="002832A9" w:rsidRDefault="00EB0F11" w:rsidP="001C4AC6">
            <w:pPr>
              <w:jc w:val="both"/>
              <w:rPr>
                <w:rFonts w:eastAsia="Calibri"/>
                <w:sz w:val="20"/>
                <w:highlight w:val="yellow"/>
                <w:u w:val="single"/>
              </w:rPr>
            </w:pPr>
            <w:hyperlink r:id="rId42" w:history="1">
              <w:r w:rsidR="00D572E8" w:rsidRPr="002832A9">
                <w:rPr>
                  <w:rFonts w:eastAsia="Calibri"/>
                  <w:color w:val="0000FF"/>
                  <w:sz w:val="20"/>
                  <w:u w:val="single"/>
                </w:rPr>
                <w:t>2012 BCSC 319</w:t>
              </w:r>
            </w:hyperlink>
            <w:r w:rsidR="00D572E8" w:rsidRPr="002832A9">
              <w:rPr>
                <w:rFonts w:eastAsia="Calibri"/>
                <w:sz w:val="20"/>
                <w:highlight w:val="yellow"/>
                <w:u w:val="single"/>
              </w:rPr>
              <w:t xml:space="preserve"> </w:t>
            </w:r>
          </w:p>
          <w:p w:rsidR="00D572E8" w:rsidRPr="002832A9" w:rsidRDefault="00D572E8" w:rsidP="001C4AC6">
            <w:pPr>
              <w:jc w:val="both"/>
              <w:rPr>
                <w:rFonts w:eastAsia="Calibri"/>
                <w:sz w:val="20"/>
                <w:highlight w:val="yellow"/>
              </w:rPr>
            </w:pPr>
          </w:p>
        </w:tc>
        <w:tc>
          <w:tcPr>
            <w:tcW w:w="243" w:type="pct"/>
          </w:tcPr>
          <w:p w:rsidR="00D572E8" w:rsidRPr="002832A9" w:rsidRDefault="00D572E8" w:rsidP="001C4AC6">
            <w:pPr>
              <w:jc w:val="both"/>
              <w:rPr>
                <w:rFonts w:eastAsia="Calibri"/>
                <w:sz w:val="20"/>
              </w:rPr>
            </w:pPr>
          </w:p>
        </w:tc>
        <w:tc>
          <w:tcPr>
            <w:tcW w:w="2330" w:type="pct"/>
          </w:tcPr>
          <w:p w:rsidR="00D572E8" w:rsidRPr="002832A9" w:rsidRDefault="00D572E8" w:rsidP="001C4AC6">
            <w:pPr>
              <w:jc w:val="both"/>
              <w:rPr>
                <w:rFonts w:eastAsia="Calibri"/>
                <w:sz w:val="20"/>
              </w:rPr>
            </w:pPr>
            <w:r w:rsidRPr="002832A9">
              <w:rPr>
                <w:rFonts w:eastAsia="Calibri"/>
                <w:sz w:val="20"/>
              </w:rPr>
              <w:t>JingJing found liable for breach of contract and tort of deceit whereas three employees found liable for torts of deceit and civil conspiracy. $8.6 million in damages awarded jointly and severally against them as well as permanent injunction against them, in respect of future use of XY’s technology.</w:t>
            </w:r>
          </w:p>
          <w:p w:rsidR="00D572E8" w:rsidRPr="002832A9" w:rsidRDefault="00D572E8" w:rsidP="001C4AC6">
            <w:pPr>
              <w:jc w:val="both"/>
              <w:rPr>
                <w:rFonts w:eastAsia="Calibri"/>
                <w:sz w:val="20"/>
              </w:rPr>
            </w:pPr>
          </w:p>
        </w:tc>
      </w:tr>
      <w:tr w:rsidR="00D572E8" w:rsidRPr="002832A9" w:rsidTr="001C4AC6">
        <w:tc>
          <w:tcPr>
            <w:tcW w:w="2427" w:type="pct"/>
          </w:tcPr>
          <w:p w:rsidR="00D572E8" w:rsidRPr="002832A9" w:rsidRDefault="00D572E8" w:rsidP="001C4AC6">
            <w:pPr>
              <w:jc w:val="both"/>
              <w:rPr>
                <w:rFonts w:eastAsia="Calibri"/>
                <w:sz w:val="20"/>
              </w:rPr>
            </w:pPr>
            <w:r w:rsidRPr="002832A9">
              <w:rPr>
                <w:rFonts w:eastAsia="Calibri"/>
                <w:sz w:val="20"/>
              </w:rPr>
              <w:t>July 26, 2013</w:t>
            </w:r>
          </w:p>
          <w:p w:rsidR="00D572E8" w:rsidRPr="002832A9" w:rsidRDefault="00D572E8" w:rsidP="001C4AC6">
            <w:pPr>
              <w:jc w:val="both"/>
              <w:rPr>
                <w:rFonts w:eastAsia="Calibri"/>
                <w:sz w:val="20"/>
              </w:rPr>
            </w:pPr>
            <w:r w:rsidRPr="002832A9">
              <w:rPr>
                <w:rFonts w:eastAsia="Calibri"/>
                <w:sz w:val="20"/>
              </w:rPr>
              <w:t>Court of Appeal for British Columbia (Vancouver)</w:t>
            </w:r>
          </w:p>
          <w:p w:rsidR="00D572E8" w:rsidRPr="002832A9" w:rsidRDefault="00D572E8" w:rsidP="001C4AC6">
            <w:pPr>
              <w:jc w:val="both"/>
              <w:rPr>
                <w:rFonts w:eastAsia="Calibri"/>
                <w:sz w:val="20"/>
              </w:rPr>
            </w:pPr>
            <w:r w:rsidRPr="002832A9">
              <w:rPr>
                <w:rFonts w:eastAsia="Calibri"/>
                <w:sz w:val="20"/>
              </w:rPr>
              <w:t>(Newbury, Chiasson and Smith JJ.A.)</w:t>
            </w:r>
          </w:p>
          <w:p w:rsidR="00D572E8" w:rsidRPr="002832A9" w:rsidRDefault="00EB0F11" w:rsidP="001C4AC6">
            <w:pPr>
              <w:jc w:val="both"/>
              <w:rPr>
                <w:rFonts w:eastAsia="Calibri"/>
                <w:sz w:val="20"/>
              </w:rPr>
            </w:pPr>
            <w:hyperlink r:id="rId43" w:history="1">
              <w:r w:rsidR="00D572E8" w:rsidRPr="002832A9">
                <w:rPr>
                  <w:rFonts w:eastAsia="Calibri"/>
                  <w:color w:val="0000FF"/>
                  <w:sz w:val="20"/>
                  <w:u w:val="single"/>
                </w:rPr>
                <w:t>2013 BCCA 352</w:t>
              </w:r>
            </w:hyperlink>
          </w:p>
          <w:p w:rsidR="00D572E8" w:rsidRPr="002832A9" w:rsidRDefault="00D572E8" w:rsidP="001C4AC6">
            <w:pPr>
              <w:jc w:val="both"/>
              <w:rPr>
                <w:rFonts w:eastAsia="Calibri"/>
                <w:sz w:val="20"/>
                <w:highlight w:val="yellow"/>
              </w:rPr>
            </w:pPr>
          </w:p>
        </w:tc>
        <w:tc>
          <w:tcPr>
            <w:tcW w:w="243" w:type="pct"/>
          </w:tcPr>
          <w:p w:rsidR="00D572E8" w:rsidRPr="002832A9" w:rsidRDefault="00D572E8" w:rsidP="001C4AC6">
            <w:pPr>
              <w:jc w:val="both"/>
              <w:rPr>
                <w:rFonts w:eastAsia="Calibri"/>
                <w:sz w:val="20"/>
              </w:rPr>
            </w:pPr>
          </w:p>
        </w:tc>
        <w:tc>
          <w:tcPr>
            <w:tcW w:w="2330" w:type="pct"/>
          </w:tcPr>
          <w:p w:rsidR="00D572E8" w:rsidRPr="002832A9" w:rsidRDefault="00D572E8" w:rsidP="001C4AC6">
            <w:pPr>
              <w:jc w:val="both"/>
              <w:rPr>
                <w:rFonts w:eastAsia="Calibri"/>
                <w:sz w:val="20"/>
              </w:rPr>
            </w:pPr>
            <w:r w:rsidRPr="002832A9">
              <w:rPr>
                <w:rFonts w:eastAsia="Calibri"/>
                <w:sz w:val="20"/>
              </w:rPr>
              <w:t>Appeals allowed in part and cross-appeal allowed (to amend permanent injunction terms and order retrial of unjust enrichment claim), In all other respects, appeals dismissed.</w:t>
            </w:r>
          </w:p>
          <w:p w:rsidR="00D572E8" w:rsidRPr="002832A9" w:rsidRDefault="00D572E8" w:rsidP="001C4AC6">
            <w:pPr>
              <w:jc w:val="both"/>
              <w:rPr>
                <w:rFonts w:eastAsia="Calibri"/>
                <w:sz w:val="20"/>
              </w:rPr>
            </w:pPr>
          </w:p>
        </w:tc>
      </w:tr>
      <w:tr w:rsidR="00D572E8" w:rsidRPr="002832A9" w:rsidTr="000F0143">
        <w:trPr>
          <w:cantSplit/>
        </w:trPr>
        <w:tc>
          <w:tcPr>
            <w:tcW w:w="2427" w:type="pct"/>
          </w:tcPr>
          <w:p w:rsidR="00D572E8" w:rsidRPr="002832A9" w:rsidRDefault="00D572E8" w:rsidP="001C4AC6">
            <w:pPr>
              <w:jc w:val="both"/>
              <w:rPr>
                <w:rFonts w:eastAsia="Calibri"/>
                <w:sz w:val="20"/>
              </w:rPr>
            </w:pPr>
            <w:r w:rsidRPr="002832A9">
              <w:rPr>
                <w:rFonts w:eastAsia="Calibri"/>
                <w:sz w:val="20"/>
              </w:rPr>
              <w:lastRenderedPageBreak/>
              <w:t>September 30, 2013</w:t>
            </w:r>
          </w:p>
          <w:p w:rsidR="00D572E8" w:rsidRPr="002832A9" w:rsidRDefault="00D572E8" w:rsidP="001C4AC6">
            <w:pPr>
              <w:jc w:val="both"/>
              <w:rPr>
                <w:rFonts w:eastAsia="Calibri"/>
                <w:sz w:val="20"/>
              </w:rPr>
            </w:pPr>
            <w:r w:rsidRPr="002832A9">
              <w:rPr>
                <w:rFonts w:eastAsia="Calibri"/>
                <w:sz w:val="20"/>
              </w:rPr>
              <w:t>Supreme Court of Canada</w:t>
            </w:r>
          </w:p>
          <w:p w:rsidR="00D572E8" w:rsidRPr="002832A9" w:rsidRDefault="00D572E8" w:rsidP="001C4AC6">
            <w:pPr>
              <w:jc w:val="both"/>
              <w:rPr>
                <w:rFonts w:eastAsia="Calibri"/>
                <w:sz w:val="20"/>
              </w:rPr>
            </w:pPr>
          </w:p>
        </w:tc>
        <w:tc>
          <w:tcPr>
            <w:tcW w:w="243" w:type="pct"/>
          </w:tcPr>
          <w:p w:rsidR="00D572E8" w:rsidRPr="002832A9" w:rsidRDefault="00D572E8" w:rsidP="001C4AC6">
            <w:pPr>
              <w:jc w:val="both"/>
              <w:rPr>
                <w:rFonts w:eastAsia="Calibri"/>
                <w:sz w:val="20"/>
              </w:rPr>
            </w:pPr>
          </w:p>
        </w:tc>
        <w:tc>
          <w:tcPr>
            <w:tcW w:w="2330" w:type="pct"/>
          </w:tcPr>
          <w:p w:rsidR="00D572E8" w:rsidRPr="002832A9" w:rsidRDefault="00D572E8" w:rsidP="001C4AC6">
            <w:pPr>
              <w:jc w:val="both"/>
              <w:rPr>
                <w:rFonts w:eastAsia="Calibri"/>
                <w:sz w:val="20"/>
              </w:rPr>
            </w:pPr>
            <w:r w:rsidRPr="002832A9">
              <w:rPr>
                <w:rFonts w:eastAsia="Calibri"/>
                <w:sz w:val="20"/>
              </w:rPr>
              <w:t>Applications for leave to appeal filed.</w:t>
            </w:r>
          </w:p>
          <w:p w:rsidR="00D572E8" w:rsidRPr="002832A9" w:rsidRDefault="00D572E8" w:rsidP="001C4AC6">
            <w:pPr>
              <w:jc w:val="both"/>
              <w:rPr>
                <w:rFonts w:eastAsia="Calibri"/>
                <w:sz w:val="20"/>
              </w:rPr>
            </w:pPr>
          </w:p>
        </w:tc>
      </w:tr>
      <w:tr w:rsidR="00D572E8" w:rsidRPr="002832A9" w:rsidTr="000F0143">
        <w:trPr>
          <w:cantSplit/>
        </w:trPr>
        <w:tc>
          <w:tcPr>
            <w:tcW w:w="2427" w:type="pct"/>
          </w:tcPr>
          <w:p w:rsidR="00D572E8" w:rsidRPr="002832A9" w:rsidRDefault="00D572E8" w:rsidP="001C4AC6">
            <w:pPr>
              <w:jc w:val="both"/>
              <w:rPr>
                <w:rFonts w:eastAsia="Calibri"/>
                <w:sz w:val="20"/>
              </w:rPr>
            </w:pPr>
            <w:r w:rsidRPr="002832A9">
              <w:rPr>
                <w:rFonts w:eastAsia="Calibri"/>
                <w:sz w:val="20"/>
              </w:rPr>
              <w:t>October 30, 2013</w:t>
            </w:r>
          </w:p>
          <w:p w:rsidR="00D572E8" w:rsidRPr="002832A9" w:rsidRDefault="00D572E8" w:rsidP="001C4AC6">
            <w:pPr>
              <w:jc w:val="both"/>
              <w:rPr>
                <w:rFonts w:eastAsia="Calibri"/>
                <w:sz w:val="20"/>
              </w:rPr>
            </w:pPr>
            <w:r w:rsidRPr="002832A9">
              <w:rPr>
                <w:rFonts w:eastAsia="Calibri"/>
                <w:sz w:val="20"/>
              </w:rPr>
              <w:t>Supreme Court of Canada</w:t>
            </w:r>
          </w:p>
        </w:tc>
        <w:tc>
          <w:tcPr>
            <w:tcW w:w="243" w:type="pct"/>
          </w:tcPr>
          <w:p w:rsidR="00D572E8" w:rsidRPr="002832A9" w:rsidRDefault="00D572E8" w:rsidP="001C4AC6">
            <w:pPr>
              <w:jc w:val="both"/>
              <w:rPr>
                <w:rFonts w:eastAsia="Calibri"/>
                <w:sz w:val="20"/>
              </w:rPr>
            </w:pPr>
          </w:p>
        </w:tc>
        <w:tc>
          <w:tcPr>
            <w:tcW w:w="2330" w:type="pct"/>
          </w:tcPr>
          <w:p w:rsidR="00D572E8" w:rsidRPr="002832A9" w:rsidRDefault="00D572E8" w:rsidP="001C4AC6">
            <w:pPr>
              <w:jc w:val="both"/>
              <w:rPr>
                <w:rFonts w:eastAsia="Calibri"/>
                <w:sz w:val="20"/>
              </w:rPr>
            </w:pPr>
            <w:r w:rsidRPr="002832A9">
              <w:rPr>
                <w:rFonts w:eastAsia="Calibri"/>
                <w:sz w:val="20"/>
              </w:rPr>
              <w:t>Conditional application for leave to cross</w:t>
            </w:r>
            <w:r w:rsidRPr="002832A9">
              <w:rPr>
                <w:rFonts w:eastAsia="Calibri"/>
                <w:sz w:val="20"/>
              </w:rPr>
              <w:noBreakHyphen/>
              <w:t>appeal filed.</w:t>
            </w:r>
          </w:p>
        </w:tc>
      </w:tr>
    </w:tbl>
    <w:p w:rsidR="002A46DC" w:rsidRDefault="002A46DC" w:rsidP="002A46DC">
      <w:pPr>
        <w:rPr>
          <w:sz w:val="20"/>
          <w:szCs w:val="20"/>
        </w:rPr>
      </w:pPr>
    </w:p>
    <w:p w:rsidR="002A46DC" w:rsidRPr="00C50A5C" w:rsidRDefault="00EB0F11" w:rsidP="002A46DC">
      <w:pPr>
        <w:rPr>
          <w:sz w:val="20"/>
          <w:szCs w:val="20"/>
        </w:rPr>
      </w:pPr>
      <w:r>
        <w:rPr>
          <w:sz w:val="20"/>
          <w:szCs w:val="20"/>
          <w:lang w:val="fr-CA"/>
        </w:rPr>
        <w:pict>
          <v:rect id="_x0000_i1053" style="width:2in;height:1pt" o:hrpct="0" o:hralign="center" o:hrstd="t" o:hrnoshade="t" o:hr="t" fillcolor="black [3213]" stroked="f"/>
        </w:pict>
      </w:r>
    </w:p>
    <w:p w:rsidR="002A46DC" w:rsidRDefault="002A46DC" w:rsidP="002A46DC">
      <w:pPr>
        <w:rPr>
          <w:sz w:val="20"/>
          <w:szCs w:val="20"/>
        </w:rPr>
      </w:pPr>
    </w:p>
    <w:p w:rsidR="002A46DC" w:rsidRPr="001B157C" w:rsidRDefault="002A46DC" w:rsidP="002A46DC">
      <w:pPr>
        <w:rPr>
          <w:sz w:val="20"/>
          <w:szCs w:val="20"/>
          <w:u w:val="single"/>
          <w:lang w:val="fr-CA"/>
        </w:rPr>
      </w:pPr>
      <w:r w:rsidRPr="001B157C">
        <w:rPr>
          <w:sz w:val="20"/>
          <w:szCs w:val="20"/>
          <w:u w:val="single"/>
          <w:lang w:val="fr-CA"/>
        </w:rPr>
        <w:t>RÉSUMÉ DE L’AFFAIRE</w:t>
      </w:r>
    </w:p>
    <w:p w:rsidR="002A46DC" w:rsidRDefault="002A46DC" w:rsidP="002A46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72E8" w:rsidRPr="00EB0F11" w:rsidTr="001C4AC6">
        <w:tc>
          <w:tcPr>
            <w:tcW w:w="5000" w:type="pct"/>
            <w:gridSpan w:val="3"/>
          </w:tcPr>
          <w:p w:rsidR="00D572E8" w:rsidRPr="002832A9" w:rsidRDefault="00D572E8" w:rsidP="001C4AC6">
            <w:pPr>
              <w:jc w:val="both"/>
              <w:rPr>
                <w:rFonts w:eastAsia="Calibri"/>
                <w:sz w:val="20"/>
                <w:lang w:val="fr-CA"/>
              </w:rPr>
            </w:pPr>
            <w:r w:rsidRPr="002832A9">
              <w:rPr>
                <w:rFonts w:eastAsia="Calibri"/>
                <w:sz w:val="20"/>
                <w:lang w:val="fr-CA"/>
              </w:rPr>
              <w:t>Droit de la responsabilité délictuelle — Dol et complot civil — Éléments précis — Preuve que JingJing, titulaire d’une licence d’utilisation de la technologie appartenant à XY, n’a déclaré qu’une partie de son utilisation et n’a pas payé toutes les redevances — Incombe-t-il à XY de démontrer l’existence d’un lien de causalité à l’égard de l’employé lorsque sont engagées à la fois la responsabilité délictuelle et la responsabilité contractuelle de JingJing? — L’employé qui se conforme aux instructions de JingJing doit-il être tenu responsable de délit commercial et de violation de contrat?</w:t>
            </w:r>
          </w:p>
        </w:tc>
      </w:tr>
      <w:tr w:rsidR="00D572E8" w:rsidRPr="00EB0F11" w:rsidTr="001C4AC6">
        <w:tc>
          <w:tcPr>
            <w:tcW w:w="5000" w:type="pct"/>
            <w:gridSpan w:val="3"/>
          </w:tcPr>
          <w:p w:rsidR="00D572E8" w:rsidRPr="002832A9" w:rsidRDefault="00D572E8" w:rsidP="001C4AC6">
            <w:pPr>
              <w:jc w:val="both"/>
              <w:rPr>
                <w:rFonts w:eastAsia="Calibri"/>
                <w:sz w:val="20"/>
                <w:lang w:val="fr-CA"/>
              </w:rPr>
            </w:pPr>
          </w:p>
        </w:tc>
      </w:tr>
      <w:tr w:rsidR="00D572E8" w:rsidRPr="002832A9" w:rsidTr="001C4AC6">
        <w:tc>
          <w:tcPr>
            <w:tcW w:w="5000" w:type="pct"/>
            <w:gridSpan w:val="3"/>
          </w:tcPr>
          <w:p w:rsidR="00D572E8" w:rsidRPr="002832A9" w:rsidRDefault="00D572E8" w:rsidP="001C4AC6">
            <w:pPr>
              <w:jc w:val="both"/>
              <w:rPr>
                <w:rFonts w:eastAsia="Calibri"/>
                <w:sz w:val="20"/>
                <w:lang w:val="fr-CA"/>
              </w:rPr>
            </w:pPr>
            <w:r w:rsidRPr="002832A9">
              <w:rPr>
                <w:rFonts w:eastAsia="Calibri"/>
                <w:sz w:val="20"/>
                <w:lang w:val="fr-CA"/>
              </w:rPr>
              <w:t>La présente affaire se situe dans le contexte d’un contrat de licence pour l’utilisation d’une technologie conclu entre l’intimée XY, LLC, le concédant de la licence, et JingJing Genetic Inc. (du « groupe de sociétés IND »), la titulaire de la licence.  Cette technologie permet de séparer les chromosomes X et Y d’un spermatozoïde bovin et de produire ainsi des veaux du sexe voulu.  Le juge de première instance a conclu que JingJing avait soumis à XY de faux rapports sur les recettes qu’elle avait tirées de l’utilisation de la technologie, n’avait pas payé toutes les redevances qu’elle devait à XY, avait caché à XY des documents et avait violé de plusieurs façons les clauses du contrat en matière de confidentialité.  En outre, il a conclu à la responsabilité de JingJing pour violation de contrat et délit de dol ainsi qu’à celle de trois employés, y compris le demandeur M. Tang, pour délits de dol et de complot civil.  Le juge de première instance a condamné solidairement les employés et JingJing à des dommages-intérêts de 8,6 millions de dollars et a prononcé contre eux une injonction permanente leur interdisant d’utiliser à l’avenir la technologie de XY.  La Cour d’appel a accueilli en partie leurs appels et fait droit à l’appel incident de XY visant à faire modifier l’injonction permanente et à faire ordonner une nouvelle instruction de l’action qu’elle avait intentée contre le groupe IND pour enrichissement sans cause.  Tous les autres volets des appels ont été rejetés.</w:t>
            </w:r>
          </w:p>
          <w:p w:rsidR="00D572E8" w:rsidRPr="002832A9" w:rsidRDefault="00D572E8" w:rsidP="001C4AC6">
            <w:pPr>
              <w:jc w:val="both"/>
              <w:rPr>
                <w:rFonts w:eastAsia="Calibri"/>
                <w:sz w:val="20"/>
                <w:lang w:val="fr-CA"/>
              </w:rPr>
            </w:pPr>
          </w:p>
        </w:tc>
      </w:tr>
      <w:tr w:rsidR="00D572E8" w:rsidRPr="00EB0F11" w:rsidTr="001C4AC6">
        <w:tc>
          <w:tcPr>
            <w:tcW w:w="2427" w:type="pct"/>
          </w:tcPr>
          <w:p w:rsidR="00D572E8" w:rsidRPr="002832A9" w:rsidRDefault="00D572E8" w:rsidP="001C4AC6">
            <w:pPr>
              <w:jc w:val="both"/>
              <w:rPr>
                <w:rFonts w:eastAsia="Calibri"/>
                <w:sz w:val="20"/>
                <w:lang w:val="fr-CA"/>
              </w:rPr>
            </w:pPr>
            <w:r w:rsidRPr="002832A9">
              <w:rPr>
                <w:rFonts w:eastAsia="Calibri"/>
                <w:sz w:val="20"/>
                <w:lang w:val="fr-CA"/>
              </w:rPr>
              <w:t>2 mars 2012</w:t>
            </w:r>
          </w:p>
          <w:p w:rsidR="00D572E8" w:rsidRPr="002832A9" w:rsidRDefault="00D572E8" w:rsidP="001C4AC6">
            <w:pPr>
              <w:jc w:val="both"/>
              <w:rPr>
                <w:rFonts w:eastAsia="Calibri"/>
                <w:sz w:val="20"/>
                <w:lang w:val="fr-CA"/>
              </w:rPr>
            </w:pPr>
            <w:r w:rsidRPr="002832A9">
              <w:rPr>
                <w:rFonts w:eastAsia="Calibri"/>
                <w:sz w:val="20"/>
                <w:lang w:val="fr-CA"/>
              </w:rPr>
              <w:t>Cour suprême de la Colombie-Britannique</w:t>
            </w:r>
          </w:p>
          <w:p w:rsidR="00D572E8" w:rsidRPr="002832A9" w:rsidRDefault="00D572E8" w:rsidP="001C4AC6">
            <w:pPr>
              <w:jc w:val="both"/>
              <w:rPr>
                <w:rFonts w:eastAsia="Calibri"/>
                <w:sz w:val="20"/>
              </w:rPr>
            </w:pPr>
            <w:r w:rsidRPr="002832A9">
              <w:rPr>
                <w:rFonts w:eastAsia="Calibri"/>
                <w:sz w:val="20"/>
              </w:rPr>
              <w:t>(Juge Kelleher)</w:t>
            </w:r>
          </w:p>
          <w:p w:rsidR="00D572E8" w:rsidRPr="002832A9" w:rsidRDefault="00EB0F11" w:rsidP="001C4AC6">
            <w:pPr>
              <w:jc w:val="both"/>
              <w:rPr>
                <w:rFonts w:eastAsia="Calibri"/>
                <w:sz w:val="20"/>
                <w:highlight w:val="yellow"/>
                <w:u w:val="single"/>
              </w:rPr>
            </w:pPr>
            <w:hyperlink r:id="rId44" w:history="1">
              <w:r w:rsidR="00D572E8" w:rsidRPr="002832A9">
                <w:rPr>
                  <w:rFonts w:eastAsia="Calibri"/>
                  <w:color w:val="0000FF"/>
                  <w:sz w:val="20"/>
                  <w:u w:val="single"/>
                </w:rPr>
                <w:t>2012 BCSC 319</w:t>
              </w:r>
            </w:hyperlink>
            <w:r w:rsidR="00D572E8" w:rsidRPr="002832A9">
              <w:rPr>
                <w:rFonts w:eastAsia="Calibri"/>
                <w:sz w:val="20"/>
                <w:highlight w:val="yellow"/>
                <w:u w:val="single"/>
              </w:rPr>
              <w:t xml:space="preserve"> </w:t>
            </w:r>
          </w:p>
          <w:p w:rsidR="00D572E8" w:rsidRPr="002832A9" w:rsidRDefault="00D572E8" w:rsidP="001C4AC6">
            <w:pPr>
              <w:jc w:val="both"/>
              <w:rPr>
                <w:rFonts w:eastAsia="Calibri"/>
                <w:sz w:val="20"/>
                <w:highlight w:val="yellow"/>
              </w:rPr>
            </w:pPr>
          </w:p>
        </w:tc>
        <w:tc>
          <w:tcPr>
            <w:tcW w:w="243" w:type="pct"/>
          </w:tcPr>
          <w:p w:rsidR="00D572E8" w:rsidRPr="002832A9" w:rsidRDefault="00D572E8" w:rsidP="001C4AC6">
            <w:pPr>
              <w:jc w:val="both"/>
              <w:rPr>
                <w:rFonts w:eastAsia="Calibri"/>
                <w:sz w:val="20"/>
              </w:rPr>
            </w:pPr>
          </w:p>
        </w:tc>
        <w:tc>
          <w:tcPr>
            <w:tcW w:w="2330" w:type="pct"/>
          </w:tcPr>
          <w:p w:rsidR="00D572E8" w:rsidRPr="002832A9" w:rsidRDefault="00D572E8" w:rsidP="001C4AC6">
            <w:pPr>
              <w:jc w:val="both"/>
              <w:rPr>
                <w:rFonts w:eastAsia="Calibri"/>
                <w:sz w:val="20"/>
                <w:lang w:val="fr-CA"/>
              </w:rPr>
            </w:pPr>
            <w:r w:rsidRPr="002832A9">
              <w:rPr>
                <w:rFonts w:eastAsia="Calibri"/>
                <w:sz w:val="20"/>
                <w:lang w:val="fr-CA"/>
              </w:rPr>
              <w:t>JingJing tenue responsable de violation de contrat et de dol et trois employés tenus responsables de dol et de complot civil. JingJing et ces employés condamnés solidairement à des dommages-intérêts de 8,6 millions de dollars et injonction permanente prononcée contre eux quant à l’utilisation future de la technologie de XY.</w:t>
            </w:r>
          </w:p>
          <w:p w:rsidR="00D572E8" w:rsidRPr="002832A9" w:rsidRDefault="00D572E8" w:rsidP="001C4AC6">
            <w:pPr>
              <w:jc w:val="both"/>
              <w:rPr>
                <w:rFonts w:eastAsia="Calibri"/>
                <w:sz w:val="20"/>
                <w:lang w:val="fr-CA"/>
              </w:rPr>
            </w:pPr>
          </w:p>
        </w:tc>
      </w:tr>
      <w:tr w:rsidR="00D572E8" w:rsidRPr="002832A9" w:rsidTr="001C4AC6">
        <w:tc>
          <w:tcPr>
            <w:tcW w:w="2427" w:type="pct"/>
          </w:tcPr>
          <w:p w:rsidR="00D572E8" w:rsidRPr="002832A9" w:rsidRDefault="00D572E8" w:rsidP="001C4AC6">
            <w:pPr>
              <w:jc w:val="both"/>
              <w:rPr>
                <w:rFonts w:eastAsia="Calibri"/>
                <w:sz w:val="20"/>
                <w:lang w:val="fr-CA"/>
              </w:rPr>
            </w:pPr>
            <w:r w:rsidRPr="002832A9">
              <w:rPr>
                <w:rFonts w:eastAsia="Calibri"/>
                <w:sz w:val="20"/>
                <w:lang w:val="fr-CA"/>
              </w:rPr>
              <w:t>26 juillet 2013</w:t>
            </w:r>
          </w:p>
          <w:p w:rsidR="00D572E8" w:rsidRPr="002832A9" w:rsidRDefault="00D572E8" w:rsidP="001C4AC6">
            <w:pPr>
              <w:jc w:val="both"/>
              <w:rPr>
                <w:rFonts w:eastAsia="Calibri"/>
                <w:sz w:val="20"/>
                <w:lang w:val="fr-CA"/>
              </w:rPr>
            </w:pPr>
            <w:r w:rsidRPr="002832A9">
              <w:rPr>
                <w:rFonts w:eastAsia="Calibri"/>
                <w:sz w:val="20"/>
                <w:lang w:val="fr-CA"/>
              </w:rPr>
              <w:t>Cour d’appel de la Colombie-Britannique (Vancouver)</w:t>
            </w:r>
          </w:p>
          <w:p w:rsidR="00D572E8" w:rsidRPr="002832A9" w:rsidRDefault="00D572E8" w:rsidP="001C4AC6">
            <w:pPr>
              <w:jc w:val="both"/>
              <w:rPr>
                <w:rFonts w:eastAsia="Calibri"/>
                <w:sz w:val="20"/>
              </w:rPr>
            </w:pPr>
            <w:r w:rsidRPr="002832A9">
              <w:rPr>
                <w:rFonts w:eastAsia="Calibri"/>
                <w:sz w:val="20"/>
              </w:rPr>
              <w:t>(Juges Newbury, Chiasson et Smith)</w:t>
            </w:r>
          </w:p>
          <w:p w:rsidR="00D572E8" w:rsidRPr="002832A9" w:rsidRDefault="00EB0F11" w:rsidP="001C4AC6">
            <w:pPr>
              <w:jc w:val="both"/>
              <w:rPr>
                <w:rFonts w:eastAsia="Calibri"/>
                <w:sz w:val="20"/>
              </w:rPr>
            </w:pPr>
            <w:hyperlink r:id="rId45" w:history="1">
              <w:r w:rsidR="00D572E8" w:rsidRPr="002832A9">
                <w:rPr>
                  <w:rFonts w:eastAsia="Calibri"/>
                  <w:color w:val="0000FF"/>
                  <w:sz w:val="20"/>
                  <w:u w:val="single"/>
                </w:rPr>
                <w:t>2013 BCCA 352</w:t>
              </w:r>
            </w:hyperlink>
          </w:p>
          <w:p w:rsidR="00D572E8" w:rsidRPr="002832A9" w:rsidRDefault="00D572E8" w:rsidP="001C4AC6">
            <w:pPr>
              <w:jc w:val="both"/>
              <w:rPr>
                <w:rFonts w:eastAsia="Calibri"/>
                <w:sz w:val="20"/>
                <w:highlight w:val="yellow"/>
              </w:rPr>
            </w:pPr>
          </w:p>
        </w:tc>
        <w:tc>
          <w:tcPr>
            <w:tcW w:w="243" w:type="pct"/>
          </w:tcPr>
          <w:p w:rsidR="00D572E8" w:rsidRPr="002832A9" w:rsidRDefault="00D572E8" w:rsidP="001C4AC6">
            <w:pPr>
              <w:jc w:val="both"/>
              <w:rPr>
                <w:rFonts w:eastAsia="Calibri"/>
                <w:sz w:val="20"/>
              </w:rPr>
            </w:pPr>
          </w:p>
        </w:tc>
        <w:tc>
          <w:tcPr>
            <w:tcW w:w="2330" w:type="pct"/>
          </w:tcPr>
          <w:p w:rsidR="00D572E8" w:rsidRPr="002832A9" w:rsidRDefault="00D572E8" w:rsidP="001C4AC6">
            <w:pPr>
              <w:jc w:val="both"/>
              <w:rPr>
                <w:rFonts w:eastAsia="Calibri"/>
                <w:sz w:val="20"/>
                <w:lang w:val="fr-CA"/>
              </w:rPr>
            </w:pPr>
            <w:r w:rsidRPr="002832A9">
              <w:rPr>
                <w:rFonts w:eastAsia="Calibri"/>
                <w:sz w:val="20"/>
                <w:lang w:val="fr-CA"/>
              </w:rPr>
              <w:t xml:space="preserve">Appels accueillis en partie et appel incident accueilli (pour faire modifier l’injonction permanente et faire ordonner une nouvelle instruction de la poursuite pour </w:t>
            </w:r>
            <w:r w:rsidRPr="002832A9">
              <w:rPr>
                <w:rFonts w:eastAsia="Calibri"/>
                <w:sz w:val="20"/>
                <w:lang w:val="fr-CA"/>
              </w:rPr>
              <w:lastRenderedPageBreak/>
              <w:t>enrichissement sans cause). Tous les autres volets des appels rejetés.</w:t>
            </w:r>
          </w:p>
          <w:p w:rsidR="00D572E8" w:rsidRPr="002832A9" w:rsidRDefault="00D572E8" w:rsidP="001C4AC6">
            <w:pPr>
              <w:jc w:val="both"/>
              <w:rPr>
                <w:rFonts w:eastAsia="Calibri"/>
                <w:sz w:val="20"/>
                <w:lang w:val="fr-CA"/>
              </w:rPr>
            </w:pPr>
          </w:p>
        </w:tc>
      </w:tr>
      <w:tr w:rsidR="00D572E8" w:rsidRPr="002832A9" w:rsidTr="001C4AC6">
        <w:tc>
          <w:tcPr>
            <w:tcW w:w="2427" w:type="pct"/>
          </w:tcPr>
          <w:p w:rsidR="00D572E8" w:rsidRPr="002832A9" w:rsidRDefault="00D572E8" w:rsidP="001C4AC6">
            <w:pPr>
              <w:jc w:val="both"/>
              <w:rPr>
                <w:rFonts w:eastAsia="Calibri"/>
                <w:sz w:val="20"/>
                <w:lang w:val="fr-CA"/>
              </w:rPr>
            </w:pPr>
            <w:r w:rsidRPr="002832A9">
              <w:rPr>
                <w:rFonts w:eastAsia="Calibri"/>
                <w:sz w:val="20"/>
                <w:lang w:val="fr-CA"/>
              </w:rPr>
              <w:lastRenderedPageBreak/>
              <w:t>30 septembre 2013</w:t>
            </w:r>
          </w:p>
          <w:p w:rsidR="00D572E8" w:rsidRPr="002832A9" w:rsidRDefault="00D572E8" w:rsidP="000F0143">
            <w:pPr>
              <w:jc w:val="both"/>
              <w:rPr>
                <w:rFonts w:eastAsia="Calibri"/>
                <w:sz w:val="20"/>
                <w:lang w:val="fr-CA"/>
              </w:rPr>
            </w:pPr>
            <w:r w:rsidRPr="002832A9">
              <w:rPr>
                <w:rFonts w:eastAsia="Calibri"/>
                <w:sz w:val="20"/>
                <w:lang w:val="fr-CA"/>
              </w:rPr>
              <w:t>Cour suprême du Canada</w:t>
            </w:r>
          </w:p>
        </w:tc>
        <w:tc>
          <w:tcPr>
            <w:tcW w:w="243" w:type="pct"/>
          </w:tcPr>
          <w:p w:rsidR="00D572E8" w:rsidRPr="002832A9" w:rsidRDefault="00D572E8" w:rsidP="001C4AC6">
            <w:pPr>
              <w:jc w:val="both"/>
              <w:rPr>
                <w:rFonts w:eastAsia="Calibri"/>
                <w:sz w:val="20"/>
                <w:lang w:val="fr-CA"/>
              </w:rPr>
            </w:pPr>
          </w:p>
        </w:tc>
        <w:tc>
          <w:tcPr>
            <w:tcW w:w="2330" w:type="pct"/>
          </w:tcPr>
          <w:p w:rsidR="00D572E8" w:rsidRPr="002832A9" w:rsidRDefault="00D572E8" w:rsidP="001C4AC6">
            <w:pPr>
              <w:jc w:val="both"/>
              <w:rPr>
                <w:rFonts w:eastAsia="Calibri"/>
                <w:sz w:val="20"/>
                <w:lang w:val="fr-CA"/>
              </w:rPr>
            </w:pPr>
            <w:r w:rsidRPr="002832A9">
              <w:rPr>
                <w:rFonts w:eastAsia="Calibri"/>
                <w:sz w:val="20"/>
                <w:lang w:val="fr-CA"/>
              </w:rPr>
              <w:t>Demandes d’autorisation d’appel déposées.</w:t>
            </w:r>
          </w:p>
          <w:p w:rsidR="00D572E8" w:rsidRPr="002832A9" w:rsidRDefault="00D572E8" w:rsidP="001C4AC6">
            <w:pPr>
              <w:jc w:val="both"/>
              <w:rPr>
                <w:rFonts w:eastAsia="Calibri"/>
                <w:sz w:val="20"/>
                <w:lang w:val="fr-CA"/>
              </w:rPr>
            </w:pPr>
          </w:p>
        </w:tc>
      </w:tr>
    </w:tbl>
    <w:p w:rsidR="000F0143" w:rsidRDefault="000F0143"/>
    <w:p w:rsidR="000F0143" w:rsidRDefault="000F0143">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72E8" w:rsidRPr="00EB0F11" w:rsidTr="000F0143">
        <w:trPr>
          <w:cantSplit/>
        </w:trPr>
        <w:tc>
          <w:tcPr>
            <w:tcW w:w="2427" w:type="pct"/>
          </w:tcPr>
          <w:p w:rsidR="00D572E8" w:rsidRPr="002832A9" w:rsidRDefault="00D572E8" w:rsidP="001C4AC6">
            <w:pPr>
              <w:jc w:val="both"/>
              <w:rPr>
                <w:rFonts w:eastAsia="Calibri"/>
                <w:sz w:val="20"/>
                <w:lang w:val="fr-CA"/>
              </w:rPr>
            </w:pPr>
            <w:r w:rsidRPr="002832A9">
              <w:rPr>
                <w:rFonts w:eastAsia="Calibri"/>
                <w:sz w:val="20"/>
                <w:lang w:val="fr-CA"/>
              </w:rPr>
              <w:lastRenderedPageBreak/>
              <w:t>30 octobre  2013</w:t>
            </w:r>
          </w:p>
          <w:p w:rsidR="00D572E8" w:rsidRPr="002832A9" w:rsidRDefault="00D572E8" w:rsidP="001C4AC6">
            <w:pPr>
              <w:jc w:val="both"/>
              <w:rPr>
                <w:rFonts w:eastAsia="Calibri"/>
                <w:sz w:val="20"/>
                <w:lang w:val="fr-CA"/>
              </w:rPr>
            </w:pPr>
            <w:r w:rsidRPr="002832A9">
              <w:rPr>
                <w:rFonts w:eastAsia="Calibri"/>
                <w:sz w:val="20"/>
                <w:lang w:val="fr-CA"/>
              </w:rPr>
              <w:t>Cour suprême du Can</w:t>
            </w:r>
            <w:r>
              <w:rPr>
                <w:rFonts w:eastAsia="Calibri"/>
                <w:sz w:val="20"/>
                <w:lang w:val="fr-CA"/>
              </w:rPr>
              <w:t>ada</w:t>
            </w:r>
          </w:p>
        </w:tc>
        <w:tc>
          <w:tcPr>
            <w:tcW w:w="243" w:type="pct"/>
          </w:tcPr>
          <w:p w:rsidR="00D572E8" w:rsidRPr="002832A9" w:rsidRDefault="00D572E8" w:rsidP="001C4AC6">
            <w:pPr>
              <w:jc w:val="both"/>
              <w:rPr>
                <w:rFonts w:eastAsia="Calibri"/>
                <w:sz w:val="20"/>
                <w:lang w:val="fr-CA"/>
              </w:rPr>
            </w:pPr>
          </w:p>
        </w:tc>
        <w:tc>
          <w:tcPr>
            <w:tcW w:w="2330" w:type="pct"/>
          </w:tcPr>
          <w:p w:rsidR="00D572E8" w:rsidRPr="002832A9" w:rsidRDefault="00D572E8" w:rsidP="001C4AC6">
            <w:pPr>
              <w:jc w:val="both"/>
              <w:rPr>
                <w:rFonts w:eastAsia="Calibri"/>
                <w:sz w:val="20"/>
                <w:lang w:val="fr-CA"/>
              </w:rPr>
            </w:pPr>
            <w:r w:rsidRPr="002832A9">
              <w:rPr>
                <w:rFonts w:eastAsia="Calibri"/>
                <w:sz w:val="20"/>
                <w:lang w:val="fr-CA"/>
              </w:rPr>
              <w:t>Demande conditionnelle d’autorisation d’appel incident déposée.</w:t>
            </w:r>
          </w:p>
        </w:tc>
      </w:tr>
    </w:tbl>
    <w:p w:rsidR="002A46DC" w:rsidRPr="00D572E8" w:rsidRDefault="002A46DC" w:rsidP="002A46DC">
      <w:pPr>
        <w:rPr>
          <w:sz w:val="20"/>
          <w:szCs w:val="20"/>
          <w:lang w:val="fr-CA"/>
        </w:rPr>
      </w:pPr>
    </w:p>
    <w:p w:rsidR="002A46DC" w:rsidRDefault="00EB0F11" w:rsidP="002A46DC">
      <w:pPr>
        <w:rPr>
          <w:sz w:val="20"/>
          <w:szCs w:val="20"/>
        </w:rPr>
      </w:pPr>
      <w:r>
        <w:rPr>
          <w:sz w:val="20"/>
          <w:szCs w:val="20"/>
          <w:lang w:val="fr-CA"/>
        </w:rPr>
        <w:pict>
          <v:rect id="_x0000_i1054" style="width:2in;height:1pt" o:hrpct="0" o:hralign="center" o:hrstd="t" o:hrnoshade="t" o:hr="t" fillcolor="black [3213]" stroked="f"/>
        </w:pict>
      </w:r>
    </w:p>
    <w:p w:rsidR="002A46DC" w:rsidRDefault="002A46DC" w:rsidP="002A46DC">
      <w:pPr>
        <w:rPr>
          <w:sz w:val="20"/>
          <w:szCs w:val="20"/>
        </w:rPr>
      </w:pPr>
    </w:p>
    <w:tbl>
      <w:tblPr>
        <w:tblStyle w:val="TableGrid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F0143" w:rsidRPr="00EB0F11" w:rsidTr="002B62A3">
        <w:trPr>
          <w:cantSplit/>
        </w:trPr>
        <w:tc>
          <w:tcPr>
            <w:tcW w:w="1458" w:type="dxa"/>
          </w:tcPr>
          <w:p w:rsidR="000F0143" w:rsidRPr="000F0143" w:rsidRDefault="000F0143" w:rsidP="000F0143">
            <w:pPr>
              <w:rPr>
                <w:sz w:val="20"/>
              </w:rPr>
            </w:pPr>
            <w:r w:rsidRPr="000F0143">
              <w:rPr>
                <w:b/>
                <w:sz w:val="20"/>
                <w:lang w:val="fr-CA"/>
              </w:rPr>
              <w:t>35578</w:t>
            </w:r>
          </w:p>
          <w:p w:rsidR="000F0143" w:rsidRPr="000F0143" w:rsidRDefault="000F0143" w:rsidP="000F0143">
            <w:pPr>
              <w:rPr>
                <w:b/>
                <w:sz w:val="20"/>
                <w:lang w:val="fr-CA"/>
              </w:rPr>
            </w:pPr>
          </w:p>
        </w:tc>
        <w:tc>
          <w:tcPr>
            <w:tcW w:w="8118" w:type="dxa"/>
          </w:tcPr>
          <w:p w:rsidR="000F0143" w:rsidRPr="000F0143" w:rsidRDefault="000F0143" w:rsidP="000F0143">
            <w:pPr>
              <w:jc w:val="both"/>
              <w:rPr>
                <w:sz w:val="20"/>
                <w:lang w:val="fr-CA"/>
              </w:rPr>
            </w:pPr>
            <w:r w:rsidRPr="000F0143">
              <w:rPr>
                <w:b/>
                <w:sz w:val="20"/>
                <w:u w:val="single"/>
                <w:lang w:val="fr-CA"/>
              </w:rPr>
              <w:t>Florian Costache c. Société de l'assurance automobile du Québec</w:t>
            </w:r>
            <w:r w:rsidR="004E4B4E">
              <w:rPr>
                <w:b/>
                <w:sz w:val="20"/>
                <w:u w:val="single"/>
                <w:lang w:val="fr-CA"/>
              </w:rPr>
              <w:t xml:space="preserve"> et</w:t>
            </w:r>
            <w:r w:rsidRPr="000F0143">
              <w:rPr>
                <w:b/>
                <w:sz w:val="20"/>
                <w:u w:val="single"/>
                <w:lang w:val="fr-CA"/>
              </w:rPr>
              <w:t xml:space="preserve"> Tribunal administratif du Québec</w:t>
            </w:r>
            <w:r w:rsidRPr="000F0143">
              <w:rPr>
                <w:sz w:val="20"/>
                <w:lang w:val="fr-CA"/>
              </w:rPr>
              <w:t xml:space="preserve"> (Qc) (Civile) (Autorisation)</w:t>
            </w:r>
          </w:p>
          <w:p w:rsidR="000F0143" w:rsidRPr="000F0143" w:rsidRDefault="000F0143" w:rsidP="000F0143">
            <w:pPr>
              <w:jc w:val="both"/>
              <w:rPr>
                <w:sz w:val="20"/>
                <w:lang w:val="fr-CA"/>
              </w:rPr>
            </w:pPr>
          </w:p>
        </w:tc>
      </w:tr>
      <w:tr w:rsidR="000F0143" w:rsidRPr="00EB0F11" w:rsidTr="002B62A3">
        <w:trPr>
          <w:cantSplit/>
        </w:trPr>
        <w:tc>
          <w:tcPr>
            <w:tcW w:w="1458" w:type="dxa"/>
          </w:tcPr>
          <w:p w:rsidR="000F0143" w:rsidRPr="000F0143" w:rsidRDefault="000F0143" w:rsidP="000F0143">
            <w:pPr>
              <w:rPr>
                <w:sz w:val="20"/>
              </w:rPr>
            </w:pPr>
            <w:r w:rsidRPr="000F0143">
              <w:rPr>
                <w:sz w:val="20"/>
              </w:rPr>
              <w:t>Coram :</w:t>
            </w:r>
          </w:p>
        </w:tc>
        <w:tc>
          <w:tcPr>
            <w:tcW w:w="8118" w:type="dxa"/>
          </w:tcPr>
          <w:p w:rsidR="000F0143" w:rsidRPr="000F0143" w:rsidRDefault="000F0143" w:rsidP="000F0143">
            <w:pPr>
              <w:rPr>
                <w:sz w:val="20"/>
                <w:lang w:val="fr-CA"/>
              </w:rPr>
            </w:pPr>
            <w:r w:rsidRPr="000F0143">
              <w:rPr>
                <w:sz w:val="20"/>
                <w:u w:val="single"/>
                <w:lang w:val="fr-CA"/>
              </w:rPr>
              <w:t>Les juges LeBel, Karakatsanis et Wagner</w:t>
            </w:r>
          </w:p>
          <w:p w:rsidR="000F0143" w:rsidRPr="000F0143" w:rsidRDefault="000F0143" w:rsidP="000F0143">
            <w:pPr>
              <w:rPr>
                <w:sz w:val="20"/>
                <w:u w:val="single"/>
                <w:lang w:val="fr-CA"/>
              </w:rPr>
            </w:pPr>
          </w:p>
        </w:tc>
      </w:tr>
      <w:tr w:rsidR="000F0143" w:rsidRPr="000F0143" w:rsidTr="002B62A3">
        <w:trPr>
          <w:cantSplit/>
        </w:trPr>
        <w:tc>
          <w:tcPr>
            <w:tcW w:w="9576" w:type="dxa"/>
            <w:gridSpan w:val="2"/>
          </w:tcPr>
          <w:p w:rsidR="000F0143" w:rsidRPr="000F0143" w:rsidRDefault="000F0143" w:rsidP="000F0143">
            <w:pPr>
              <w:ind w:firstLine="720"/>
              <w:jc w:val="both"/>
              <w:rPr>
                <w:sz w:val="20"/>
                <w:lang w:val="fr-CA"/>
              </w:rPr>
            </w:pPr>
            <w:r w:rsidRPr="000F0143">
              <w:rPr>
                <w:sz w:val="20"/>
                <w:lang w:val="fr-CA"/>
              </w:rPr>
              <w:t>La demande d’autorisation d’appel de l’arrêt de la Cour d’appel du Québec (Montréal), numéro 500-09-023479-132, 2013 QCCA 1410, daté du 14 août 2013, est rejetée avec dépens.</w:t>
            </w:r>
          </w:p>
          <w:p w:rsidR="000F0143" w:rsidRPr="000F0143" w:rsidRDefault="000F0143" w:rsidP="000F0143">
            <w:pPr>
              <w:jc w:val="both"/>
              <w:rPr>
                <w:sz w:val="20"/>
                <w:lang w:val="fr-CA"/>
              </w:rPr>
            </w:pPr>
          </w:p>
          <w:p w:rsidR="000F0143" w:rsidRPr="000F0143" w:rsidRDefault="000F0143" w:rsidP="000F0143">
            <w:pPr>
              <w:ind w:firstLine="720"/>
              <w:jc w:val="both"/>
              <w:rPr>
                <w:sz w:val="20"/>
              </w:rPr>
            </w:pPr>
            <w:r w:rsidRPr="000F0143">
              <w:rPr>
                <w:sz w:val="20"/>
              </w:rPr>
              <w:t>The application for leave to appeal from the judgment of the Court of Appeal of Quebec (Montréal), Number 500-09-023479-132, 2013 QCCA 1410, dated August 14, 2013, is dismissed with costs.</w:t>
            </w:r>
          </w:p>
        </w:tc>
      </w:tr>
    </w:tbl>
    <w:p w:rsidR="002A46DC" w:rsidRPr="000F0143" w:rsidRDefault="002A46DC" w:rsidP="002A46DC">
      <w:pPr>
        <w:rPr>
          <w:sz w:val="20"/>
          <w:szCs w:val="20"/>
        </w:rPr>
      </w:pPr>
    </w:p>
    <w:p w:rsidR="002A46DC" w:rsidRPr="001B157C" w:rsidRDefault="002A46DC" w:rsidP="002A46DC">
      <w:pPr>
        <w:rPr>
          <w:sz w:val="20"/>
          <w:szCs w:val="20"/>
          <w:u w:val="single"/>
        </w:rPr>
      </w:pPr>
      <w:r w:rsidRPr="001B157C">
        <w:rPr>
          <w:sz w:val="20"/>
          <w:szCs w:val="20"/>
          <w:u w:val="single"/>
        </w:rPr>
        <w:t>CASE SUMMARY</w:t>
      </w:r>
    </w:p>
    <w:p w:rsidR="002A46DC" w:rsidRDefault="002A46DC" w:rsidP="002A46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92F7D" w:rsidRPr="002832A9" w:rsidTr="001C4AC6">
        <w:tc>
          <w:tcPr>
            <w:tcW w:w="5000" w:type="pct"/>
            <w:gridSpan w:val="3"/>
          </w:tcPr>
          <w:p w:rsidR="00792F7D" w:rsidRPr="002832A9" w:rsidRDefault="00792F7D" w:rsidP="001C4AC6">
            <w:pPr>
              <w:jc w:val="both"/>
              <w:rPr>
                <w:rFonts w:eastAsia="Calibri"/>
                <w:sz w:val="20"/>
              </w:rPr>
            </w:pPr>
            <w:r w:rsidRPr="002832A9">
              <w:rPr>
                <w:rFonts w:eastAsia="Calibri"/>
                <w:sz w:val="20"/>
              </w:rPr>
              <w:t xml:space="preserve">Civil procedure — Appeals — Leave to appeal — Whether Court of Appeal erred in dismissing motion for leave to appeal decision of Superior Court on ground that motion did not raise question worth submitting to it under art. 26(2) of </w:t>
            </w:r>
            <w:r w:rsidRPr="002832A9">
              <w:rPr>
                <w:rFonts w:eastAsia="Calibri"/>
                <w:i/>
                <w:sz w:val="20"/>
              </w:rPr>
              <w:t>Code of Civil Procedure</w:t>
            </w:r>
            <w:r w:rsidRPr="002832A9">
              <w:rPr>
                <w:rFonts w:eastAsia="Calibri"/>
                <w:sz w:val="20"/>
              </w:rPr>
              <w:t>, R.S.Q., c. C</w:t>
            </w:r>
            <w:r w:rsidRPr="002832A9">
              <w:rPr>
                <w:rFonts w:eastAsia="Calibri"/>
                <w:sz w:val="20"/>
              </w:rPr>
              <w:noBreakHyphen/>
              <w:t>25 — Whether Court of Appeal erred in concluding that assessment of evidence was pre</w:t>
            </w:r>
            <w:r w:rsidRPr="002832A9">
              <w:rPr>
                <w:rFonts w:eastAsia="Calibri"/>
                <w:sz w:val="20"/>
              </w:rPr>
              <w:noBreakHyphen/>
              <w:t xml:space="preserve">eminently matter for Administrative Tribunal of Québec even though Tribunal had not considered obligation under </w:t>
            </w:r>
            <w:r w:rsidRPr="002832A9">
              <w:rPr>
                <w:rFonts w:eastAsia="Calibri"/>
                <w:i/>
                <w:sz w:val="20"/>
              </w:rPr>
              <w:t>Regulation respecting the determination of income and employment and the payment of the indemnity in section 83.30 of the Act</w:t>
            </w:r>
            <w:r w:rsidRPr="002832A9">
              <w:rPr>
                <w:rFonts w:eastAsia="Calibri"/>
                <w:sz w:val="20"/>
              </w:rPr>
              <w:t>, R.R.Q. c. A</w:t>
            </w:r>
            <w:r w:rsidRPr="002832A9">
              <w:rPr>
                <w:rFonts w:eastAsia="Calibri"/>
                <w:sz w:val="20"/>
              </w:rPr>
              <w:noBreakHyphen/>
              <w:t>25, r. 7, to consider applicant’s income for 12</w:t>
            </w:r>
            <w:r w:rsidRPr="002832A9">
              <w:rPr>
                <w:rFonts w:eastAsia="Calibri"/>
                <w:sz w:val="20"/>
              </w:rPr>
              <w:noBreakHyphen/>
              <w:t>month period preceding accident as established through cheques received from applicant’s employer — Whether Court of Appeal erred in concluding that Administrative Tribunal of Québec could choose method of calculating applicant’s income for purposes of income replacement indemnity notwithstanding obligation under s. 2 of Regulation to determine highest income in accordance with accounting methods described in Regulation and statutory income table.</w:t>
            </w:r>
          </w:p>
        </w:tc>
      </w:tr>
      <w:tr w:rsidR="00792F7D" w:rsidRPr="002832A9" w:rsidTr="001C4AC6">
        <w:tc>
          <w:tcPr>
            <w:tcW w:w="5000" w:type="pct"/>
            <w:gridSpan w:val="3"/>
          </w:tcPr>
          <w:p w:rsidR="00792F7D" w:rsidRPr="002832A9" w:rsidRDefault="00792F7D" w:rsidP="001C4AC6">
            <w:pPr>
              <w:jc w:val="both"/>
              <w:rPr>
                <w:rFonts w:eastAsia="Calibri"/>
                <w:sz w:val="20"/>
              </w:rPr>
            </w:pPr>
          </w:p>
        </w:tc>
      </w:tr>
      <w:tr w:rsidR="00792F7D" w:rsidRPr="002832A9" w:rsidTr="001C4AC6">
        <w:tc>
          <w:tcPr>
            <w:tcW w:w="5000" w:type="pct"/>
            <w:gridSpan w:val="3"/>
          </w:tcPr>
          <w:p w:rsidR="00792F7D" w:rsidRPr="002832A9" w:rsidRDefault="00792F7D" w:rsidP="001C4AC6">
            <w:pPr>
              <w:jc w:val="both"/>
              <w:rPr>
                <w:rFonts w:eastAsia="Calibri"/>
                <w:sz w:val="20"/>
              </w:rPr>
            </w:pPr>
            <w:r w:rsidRPr="002832A9">
              <w:rPr>
                <w:rFonts w:eastAsia="Calibri"/>
                <w:sz w:val="20"/>
              </w:rPr>
              <w:t xml:space="preserve">The dispute giving rise to this application arose out of a claim made by Mr. Costache to the Société de l’assurance automobile du Québec (SAAQ) following an automobile accident in September 2000.  Specifically, before the Administrative Tribunal of Québec (ATQ), Mr. Costache challenged the wage basis used for the payment of the income replacement indemnity to which he was entitled.  In this regard, the SAAQ considered Mr. Costache to have been holding employment at the time of the accident as a violinist and conductor with a gross annual income of $26,000 based on the tables in the </w:t>
            </w:r>
            <w:r w:rsidRPr="002832A9">
              <w:rPr>
                <w:rFonts w:eastAsia="Calibri"/>
                <w:i/>
                <w:sz w:val="20"/>
              </w:rPr>
              <w:t>Regulation respecting the determination of income and employment and the payment of the indemnity in section 83.30 of the Act</w:t>
            </w:r>
            <w:r w:rsidRPr="002832A9">
              <w:rPr>
                <w:rFonts w:eastAsia="Calibri"/>
                <w:sz w:val="20"/>
              </w:rPr>
              <w:t xml:space="preserve">.  Mr. Costache argued that his gross annual income should instead total $117,498.  In support of his arguments, he submitted a list of cheques, copies of those cheques and the contracts he had with a hotel that had hired him as a musician.  The SAAQ relied on Mr. Costache’s income tax returns for the period in question and, since those returns showed an income below $26,000, it accepted that amount in accordance with s. 15(2) of the </w:t>
            </w:r>
            <w:r w:rsidRPr="002832A9">
              <w:rPr>
                <w:rFonts w:eastAsia="Calibri"/>
                <w:i/>
                <w:sz w:val="20"/>
              </w:rPr>
              <w:t>Automobile Insurance Act</w:t>
            </w:r>
            <w:r w:rsidRPr="002832A9">
              <w:rPr>
                <w:rFonts w:eastAsia="Calibri"/>
                <w:sz w:val="20"/>
              </w:rPr>
              <w:t>, R.S.Q., c. A</w:t>
            </w:r>
            <w:r w:rsidRPr="002832A9">
              <w:rPr>
                <w:rFonts w:eastAsia="Calibri"/>
                <w:sz w:val="20"/>
              </w:rPr>
              <w:noBreakHyphen/>
              <w:t>25.  In light of the evidence in the record, the ATQ decided to accept the income reported by Mr. Costache to the tax authorities rather than the income indicated by the documents, letters and list of cheques he had filed.  It found that Mr. Costache had been unable to show on a balance of probabilities, through reliable and trustworthy evidence, that the additional income he claimed to have earned in 1999 and 2000 was valid.  The ATQ therefore confirmed the SAAQ’s decision.</w:t>
            </w:r>
          </w:p>
          <w:p w:rsidR="00792F7D" w:rsidRPr="002832A9" w:rsidRDefault="00792F7D" w:rsidP="001C4AC6">
            <w:pPr>
              <w:jc w:val="both"/>
              <w:rPr>
                <w:rFonts w:eastAsia="Calibri"/>
                <w:sz w:val="20"/>
              </w:rPr>
            </w:pPr>
          </w:p>
        </w:tc>
      </w:tr>
      <w:tr w:rsidR="00792F7D" w:rsidRPr="002832A9" w:rsidTr="001C4AC6">
        <w:tc>
          <w:tcPr>
            <w:tcW w:w="2427" w:type="pct"/>
          </w:tcPr>
          <w:p w:rsidR="00792F7D" w:rsidRPr="002832A9" w:rsidRDefault="00792F7D" w:rsidP="001C4AC6">
            <w:pPr>
              <w:jc w:val="both"/>
              <w:rPr>
                <w:rFonts w:eastAsia="Calibri"/>
                <w:sz w:val="20"/>
              </w:rPr>
            </w:pPr>
            <w:r w:rsidRPr="002832A9">
              <w:rPr>
                <w:rFonts w:eastAsia="Calibri"/>
                <w:sz w:val="20"/>
              </w:rPr>
              <w:t>March 13, 2013</w:t>
            </w:r>
          </w:p>
          <w:p w:rsidR="00792F7D" w:rsidRPr="002832A9" w:rsidRDefault="00792F7D" w:rsidP="001C4AC6">
            <w:pPr>
              <w:jc w:val="both"/>
              <w:rPr>
                <w:rFonts w:eastAsia="Calibri"/>
                <w:sz w:val="20"/>
              </w:rPr>
            </w:pPr>
            <w:r w:rsidRPr="002832A9">
              <w:rPr>
                <w:rFonts w:eastAsia="Calibri"/>
                <w:sz w:val="20"/>
              </w:rPr>
              <w:t>Quebec Superior Court</w:t>
            </w:r>
          </w:p>
          <w:p w:rsidR="00792F7D" w:rsidRPr="002832A9" w:rsidRDefault="00792F7D" w:rsidP="001C4AC6">
            <w:pPr>
              <w:jc w:val="both"/>
              <w:rPr>
                <w:rFonts w:eastAsia="Calibri"/>
                <w:sz w:val="20"/>
              </w:rPr>
            </w:pPr>
            <w:r w:rsidRPr="002832A9">
              <w:rPr>
                <w:rFonts w:eastAsia="Calibri"/>
                <w:sz w:val="20"/>
              </w:rPr>
              <w:t>(Paquette J.)</w:t>
            </w:r>
          </w:p>
          <w:p w:rsidR="00792F7D" w:rsidRPr="002832A9" w:rsidRDefault="00792F7D" w:rsidP="001C4AC6">
            <w:pPr>
              <w:jc w:val="both"/>
              <w:rPr>
                <w:rFonts w:eastAsia="Calibri"/>
                <w:sz w:val="20"/>
              </w:rPr>
            </w:pPr>
            <w:r w:rsidRPr="002832A9">
              <w:rPr>
                <w:rFonts w:eastAsia="Calibri"/>
                <w:sz w:val="20"/>
              </w:rPr>
              <w:t>2013 QCCS 1342</w:t>
            </w:r>
          </w:p>
          <w:p w:rsidR="00792F7D" w:rsidRPr="002832A9" w:rsidRDefault="00792F7D" w:rsidP="001C4AC6">
            <w:pPr>
              <w:jc w:val="both"/>
              <w:rPr>
                <w:rFonts w:eastAsia="Calibri"/>
                <w:sz w:val="20"/>
              </w:rPr>
            </w:pPr>
          </w:p>
        </w:tc>
        <w:tc>
          <w:tcPr>
            <w:tcW w:w="243" w:type="pct"/>
          </w:tcPr>
          <w:p w:rsidR="00792F7D" w:rsidRPr="002832A9" w:rsidRDefault="00792F7D" w:rsidP="001C4AC6">
            <w:pPr>
              <w:jc w:val="both"/>
              <w:rPr>
                <w:rFonts w:eastAsia="Calibri"/>
                <w:sz w:val="20"/>
              </w:rPr>
            </w:pPr>
          </w:p>
        </w:tc>
        <w:tc>
          <w:tcPr>
            <w:tcW w:w="2330" w:type="pct"/>
          </w:tcPr>
          <w:p w:rsidR="00792F7D" w:rsidRPr="002832A9" w:rsidRDefault="00792F7D" w:rsidP="001C4AC6">
            <w:pPr>
              <w:jc w:val="both"/>
              <w:rPr>
                <w:rFonts w:eastAsia="Calibri"/>
                <w:sz w:val="20"/>
              </w:rPr>
            </w:pPr>
            <w:r w:rsidRPr="002832A9">
              <w:rPr>
                <w:rFonts w:eastAsia="Calibri"/>
                <w:sz w:val="20"/>
              </w:rPr>
              <w:t>Motion for judicial review of decision of Administrative Tribunal of Québec dismissed</w:t>
            </w:r>
          </w:p>
        </w:tc>
      </w:tr>
      <w:tr w:rsidR="00792F7D" w:rsidRPr="002832A9" w:rsidTr="001C4AC6">
        <w:tc>
          <w:tcPr>
            <w:tcW w:w="2427" w:type="pct"/>
          </w:tcPr>
          <w:p w:rsidR="00792F7D" w:rsidRPr="002832A9" w:rsidRDefault="00792F7D" w:rsidP="001C4AC6">
            <w:pPr>
              <w:jc w:val="both"/>
              <w:rPr>
                <w:rFonts w:eastAsia="Calibri"/>
                <w:sz w:val="20"/>
              </w:rPr>
            </w:pPr>
            <w:r w:rsidRPr="002832A9">
              <w:rPr>
                <w:rFonts w:eastAsia="Calibri"/>
                <w:sz w:val="20"/>
              </w:rPr>
              <w:lastRenderedPageBreak/>
              <w:t>August 14, 2013</w:t>
            </w:r>
          </w:p>
          <w:p w:rsidR="00792F7D" w:rsidRPr="002832A9" w:rsidRDefault="00792F7D" w:rsidP="001C4AC6">
            <w:pPr>
              <w:jc w:val="both"/>
              <w:rPr>
                <w:rFonts w:eastAsia="Calibri"/>
                <w:sz w:val="20"/>
              </w:rPr>
            </w:pPr>
            <w:r w:rsidRPr="002832A9">
              <w:rPr>
                <w:rFonts w:eastAsia="Calibri"/>
                <w:sz w:val="20"/>
              </w:rPr>
              <w:t xml:space="preserve">Quebec Court of Appeal (Montréal) </w:t>
            </w:r>
          </w:p>
          <w:p w:rsidR="00792F7D" w:rsidRPr="002832A9" w:rsidRDefault="00792F7D" w:rsidP="001C4AC6">
            <w:pPr>
              <w:jc w:val="both"/>
              <w:rPr>
                <w:rFonts w:eastAsia="Calibri"/>
                <w:sz w:val="20"/>
              </w:rPr>
            </w:pPr>
            <w:r w:rsidRPr="002832A9">
              <w:rPr>
                <w:rFonts w:eastAsia="Calibri"/>
                <w:sz w:val="20"/>
              </w:rPr>
              <w:t>(Morissette J.A.)</w:t>
            </w:r>
          </w:p>
          <w:p w:rsidR="00792F7D" w:rsidRPr="002832A9" w:rsidRDefault="00EB0F11" w:rsidP="001C4AC6">
            <w:pPr>
              <w:jc w:val="both"/>
              <w:rPr>
                <w:rFonts w:eastAsia="Calibri"/>
                <w:sz w:val="20"/>
              </w:rPr>
            </w:pPr>
            <w:hyperlink r:id="rId46" w:history="1">
              <w:r w:rsidR="00792F7D" w:rsidRPr="002832A9">
                <w:rPr>
                  <w:rFonts w:eastAsia="Calibri"/>
                  <w:color w:val="0000FF"/>
                  <w:sz w:val="20"/>
                  <w:u w:val="single"/>
                </w:rPr>
                <w:t>2013 QCCA 1410</w:t>
              </w:r>
            </w:hyperlink>
          </w:p>
          <w:p w:rsidR="00792F7D" w:rsidRPr="002832A9" w:rsidRDefault="00792F7D" w:rsidP="001C4AC6">
            <w:pPr>
              <w:jc w:val="both"/>
              <w:rPr>
                <w:rFonts w:eastAsia="Calibri"/>
                <w:sz w:val="20"/>
              </w:rPr>
            </w:pPr>
          </w:p>
        </w:tc>
        <w:tc>
          <w:tcPr>
            <w:tcW w:w="243" w:type="pct"/>
          </w:tcPr>
          <w:p w:rsidR="00792F7D" w:rsidRPr="002832A9" w:rsidRDefault="00792F7D" w:rsidP="001C4AC6">
            <w:pPr>
              <w:jc w:val="both"/>
              <w:rPr>
                <w:rFonts w:eastAsia="Calibri"/>
                <w:sz w:val="20"/>
              </w:rPr>
            </w:pPr>
          </w:p>
        </w:tc>
        <w:tc>
          <w:tcPr>
            <w:tcW w:w="2330" w:type="pct"/>
          </w:tcPr>
          <w:p w:rsidR="00792F7D" w:rsidRPr="002832A9" w:rsidRDefault="00792F7D" w:rsidP="001C4AC6">
            <w:pPr>
              <w:jc w:val="both"/>
              <w:rPr>
                <w:rFonts w:eastAsia="Calibri"/>
                <w:sz w:val="20"/>
              </w:rPr>
            </w:pPr>
            <w:r w:rsidRPr="002832A9">
              <w:rPr>
                <w:rFonts w:eastAsia="Calibri"/>
                <w:sz w:val="20"/>
              </w:rPr>
              <w:t>Motion for leave to appeal dismissed</w:t>
            </w:r>
          </w:p>
        </w:tc>
      </w:tr>
      <w:tr w:rsidR="00792F7D" w:rsidRPr="002832A9" w:rsidTr="001C4AC6">
        <w:tc>
          <w:tcPr>
            <w:tcW w:w="2427" w:type="pct"/>
          </w:tcPr>
          <w:p w:rsidR="00792F7D" w:rsidRPr="002832A9" w:rsidRDefault="00792F7D" w:rsidP="001C4AC6">
            <w:pPr>
              <w:jc w:val="both"/>
              <w:rPr>
                <w:rFonts w:eastAsia="Calibri"/>
                <w:sz w:val="20"/>
              </w:rPr>
            </w:pPr>
            <w:r w:rsidRPr="002832A9">
              <w:rPr>
                <w:rFonts w:eastAsia="Calibri"/>
                <w:sz w:val="20"/>
              </w:rPr>
              <w:t>October 15, 2013</w:t>
            </w:r>
          </w:p>
          <w:p w:rsidR="00792F7D" w:rsidRPr="002832A9" w:rsidRDefault="00792F7D" w:rsidP="001C4AC6">
            <w:pPr>
              <w:jc w:val="both"/>
              <w:rPr>
                <w:rFonts w:eastAsia="Calibri"/>
                <w:sz w:val="20"/>
              </w:rPr>
            </w:pPr>
            <w:r w:rsidRPr="002832A9">
              <w:rPr>
                <w:rFonts w:eastAsia="Calibri"/>
                <w:sz w:val="20"/>
              </w:rPr>
              <w:t>Supreme Court of Canada</w:t>
            </w:r>
          </w:p>
        </w:tc>
        <w:tc>
          <w:tcPr>
            <w:tcW w:w="243" w:type="pct"/>
          </w:tcPr>
          <w:p w:rsidR="00792F7D" w:rsidRPr="002832A9" w:rsidRDefault="00792F7D" w:rsidP="001C4AC6">
            <w:pPr>
              <w:jc w:val="both"/>
              <w:rPr>
                <w:rFonts w:eastAsia="Calibri"/>
                <w:sz w:val="20"/>
              </w:rPr>
            </w:pPr>
          </w:p>
        </w:tc>
        <w:tc>
          <w:tcPr>
            <w:tcW w:w="2330" w:type="pct"/>
          </w:tcPr>
          <w:p w:rsidR="00792F7D" w:rsidRPr="002832A9" w:rsidRDefault="00792F7D" w:rsidP="001C4AC6">
            <w:pPr>
              <w:jc w:val="both"/>
              <w:rPr>
                <w:rFonts w:eastAsia="Calibri"/>
                <w:sz w:val="20"/>
              </w:rPr>
            </w:pPr>
            <w:r w:rsidRPr="002832A9">
              <w:rPr>
                <w:rFonts w:eastAsia="Calibri"/>
                <w:sz w:val="20"/>
              </w:rPr>
              <w:t>Application for leave to appeal filed</w:t>
            </w:r>
          </w:p>
        </w:tc>
      </w:tr>
    </w:tbl>
    <w:p w:rsidR="002A46DC" w:rsidRDefault="002A46DC" w:rsidP="002A46DC">
      <w:pPr>
        <w:rPr>
          <w:sz w:val="20"/>
          <w:szCs w:val="20"/>
        </w:rPr>
      </w:pPr>
    </w:p>
    <w:p w:rsidR="002A46DC" w:rsidRPr="00C50A5C" w:rsidRDefault="00EB0F11" w:rsidP="002A46DC">
      <w:pPr>
        <w:rPr>
          <w:sz w:val="20"/>
          <w:szCs w:val="20"/>
        </w:rPr>
      </w:pPr>
      <w:r>
        <w:rPr>
          <w:sz w:val="20"/>
          <w:szCs w:val="20"/>
          <w:lang w:val="fr-CA"/>
        </w:rPr>
        <w:pict>
          <v:rect id="_x0000_i1055" style="width:2in;height:1pt" o:hrpct="0" o:hralign="center" o:hrstd="t" o:hrnoshade="t" o:hr="t" fillcolor="black [3213]" stroked="f"/>
        </w:pict>
      </w:r>
    </w:p>
    <w:p w:rsidR="002A46DC" w:rsidRDefault="002A46DC" w:rsidP="002A46DC">
      <w:pPr>
        <w:rPr>
          <w:sz w:val="20"/>
          <w:szCs w:val="20"/>
        </w:rPr>
      </w:pPr>
    </w:p>
    <w:p w:rsidR="002A46DC" w:rsidRPr="001B157C" w:rsidRDefault="002A46DC" w:rsidP="002A46DC">
      <w:pPr>
        <w:rPr>
          <w:sz w:val="20"/>
          <w:szCs w:val="20"/>
          <w:u w:val="single"/>
          <w:lang w:val="fr-CA"/>
        </w:rPr>
      </w:pPr>
      <w:r w:rsidRPr="001B157C">
        <w:rPr>
          <w:sz w:val="20"/>
          <w:szCs w:val="20"/>
          <w:u w:val="single"/>
          <w:lang w:val="fr-CA"/>
        </w:rPr>
        <w:t>RÉSUMÉ DE L’AFFAIRE</w:t>
      </w:r>
    </w:p>
    <w:p w:rsidR="002A46DC" w:rsidRDefault="002A46DC" w:rsidP="002A46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92F7D" w:rsidRPr="00EB0F11" w:rsidTr="001C4AC6">
        <w:tc>
          <w:tcPr>
            <w:tcW w:w="5000" w:type="pct"/>
            <w:gridSpan w:val="3"/>
          </w:tcPr>
          <w:p w:rsidR="00792F7D" w:rsidRPr="002832A9" w:rsidRDefault="00792F7D" w:rsidP="001C4AC6">
            <w:pPr>
              <w:jc w:val="both"/>
              <w:rPr>
                <w:rFonts w:eastAsia="Calibri"/>
                <w:sz w:val="20"/>
                <w:lang w:val="fr-CA"/>
              </w:rPr>
            </w:pPr>
            <w:r w:rsidRPr="002832A9">
              <w:rPr>
                <w:rFonts w:eastAsia="Calibri"/>
                <w:sz w:val="20"/>
                <w:lang w:val="fr-CA"/>
              </w:rPr>
              <w:t xml:space="preserve">Procédure civile — Appels — Permission d’appel — La Cour d’appel a-t-elle erré en rejetant une requête pour permission d’appeler d’une décision de la Cour supérieure au motif que la requête ne soulève pas une question méritant de lui être soumise selon l’art. 26 al. 2 du </w:t>
            </w:r>
            <w:r w:rsidRPr="002832A9">
              <w:rPr>
                <w:rFonts w:eastAsia="Calibri"/>
                <w:i/>
                <w:sz w:val="20"/>
                <w:lang w:val="fr-CA"/>
              </w:rPr>
              <w:t>Code de procédure civile</w:t>
            </w:r>
            <w:r w:rsidRPr="002832A9">
              <w:rPr>
                <w:rFonts w:eastAsia="Calibri"/>
                <w:sz w:val="20"/>
                <w:lang w:val="fr-CA"/>
              </w:rPr>
              <w:t xml:space="preserve">, L.R.Q., ch. C-25? — La Cour d’appel a-t-elle erré en concluant que l’appréciation de la preuve relevait de manière prééminente du Tribunal administratif du Québec, alors que cette dernière n’a pas considéré l’obligation faite par le </w:t>
            </w:r>
            <w:r w:rsidRPr="002832A9">
              <w:rPr>
                <w:rFonts w:eastAsia="Calibri"/>
                <w:i/>
                <w:sz w:val="20"/>
                <w:lang w:val="fr-CA"/>
              </w:rPr>
              <w:t>Règlement sur la détermination des revenus et des emplois et sur le versement de l'indemnité visée à l'article 83.30 de la Loi</w:t>
            </w:r>
            <w:r w:rsidRPr="002832A9">
              <w:rPr>
                <w:rFonts w:eastAsia="Calibri"/>
                <w:sz w:val="20"/>
                <w:lang w:val="fr-CA"/>
              </w:rPr>
              <w:t>, R.R.Q. ch. A-25, r. 7, de considérer les revenus du demandeur pour la période des 12 mois précédant l’accident établis au moyen de chèques reçus de l’employeur du demandeur? — La Cour d’appel a-t-elle erré en concluant que le Tribunal administratif du Québec pouvait choisir une méthode de calcul du revenu du demandeur aux fins de l’indemnité de remplacement de revenu, nonobstant l’obligation faite à l’art. 2 du règlement de déterminer le plus élevé des revenus selon les méthodes comptables décrites audit règlement, ainsi qu’à la grille du revenu statutaire?</w:t>
            </w:r>
          </w:p>
        </w:tc>
      </w:tr>
      <w:tr w:rsidR="00792F7D" w:rsidRPr="00EB0F11" w:rsidTr="001C4AC6">
        <w:tc>
          <w:tcPr>
            <w:tcW w:w="5000" w:type="pct"/>
            <w:gridSpan w:val="3"/>
          </w:tcPr>
          <w:p w:rsidR="00792F7D" w:rsidRPr="002832A9" w:rsidRDefault="00792F7D" w:rsidP="001C4AC6">
            <w:pPr>
              <w:jc w:val="both"/>
              <w:rPr>
                <w:rFonts w:eastAsia="Calibri"/>
                <w:sz w:val="20"/>
                <w:lang w:val="fr-CA"/>
              </w:rPr>
            </w:pPr>
          </w:p>
        </w:tc>
      </w:tr>
      <w:tr w:rsidR="00792F7D" w:rsidRPr="00EB0F11" w:rsidTr="001C4AC6">
        <w:tc>
          <w:tcPr>
            <w:tcW w:w="5000" w:type="pct"/>
            <w:gridSpan w:val="3"/>
          </w:tcPr>
          <w:p w:rsidR="00792F7D" w:rsidRPr="002832A9" w:rsidRDefault="00792F7D" w:rsidP="001C4AC6">
            <w:pPr>
              <w:jc w:val="both"/>
              <w:rPr>
                <w:rFonts w:eastAsia="Calibri"/>
                <w:sz w:val="20"/>
                <w:lang w:val="fr-CA"/>
              </w:rPr>
            </w:pPr>
            <w:r w:rsidRPr="002832A9">
              <w:rPr>
                <w:rFonts w:eastAsia="Calibri"/>
                <w:sz w:val="20"/>
                <w:lang w:val="fr-CA"/>
              </w:rPr>
              <w:t xml:space="preserve">Le litige à l’origine de la présente demande découle d’une réclamation de M. Costache auprès de la Société de l’assurance automobile du Québec (SAAQ) suite à un accident d’automobile survenu en septembre 2000.  Plus précisément, M. Costache a contesté devant le Tribunal administratif du Québec (« TAQ ») la base salariale ayant servi au versement de l’indemnité de remplacement du revenu à laquelle il avait droit. À cet égard, la SAAQ a considéré M. Costache comme occupant, au moment de l’accident, un emploi de violoniste et chef d’orchestre lui procurant un revenu brut annuel de 26 000$ en fonction des grilles du </w:t>
            </w:r>
            <w:r w:rsidRPr="002832A9">
              <w:rPr>
                <w:rFonts w:eastAsia="Calibri"/>
                <w:i/>
                <w:sz w:val="20"/>
                <w:lang w:val="fr-CA"/>
              </w:rPr>
              <w:t>Règlement sur la détermination des revenus et des emplois et sur le versement de l'indemnité visée à l'article 83.30 de la Loi</w:t>
            </w:r>
            <w:r w:rsidRPr="002832A9">
              <w:rPr>
                <w:rFonts w:eastAsia="Calibri"/>
                <w:sz w:val="20"/>
                <w:lang w:val="fr-CA"/>
              </w:rPr>
              <w:t xml:space="preserve">.  Pour sa part, M. Costache prétendait que son revenu annuel brut devait plutôt se chiffrer à 117 498$.  Il a soumis à l’appui de ses prétentions une liste de chèques, des copies de ces chèques et les contrats le liant à un hôtel ayant retenu ses services de musicien.  La SAAQ se basait quant à elle sur les déclarations de revenus de M. Costache pour la période concernée et puisque ces déclarations indiquaient un revenu inférieur à 26 000$, elle a retenu ce dernier montant conformément au par. 2 de l’art. 15 de la </w:t>
            </w:r>
            <w:r w:rsidRPr="002832A9">
              <w:rPr>
                <w:rFonts w:eastAsia="Calibri"/>
                <w:i/>
                <w:sz w:val="20"/>
                <w:lang w:val="fr-CA"/>
              </w:rPr>
              <w:t>Loi sur l’assurance automobile</w:t>
            </w:r>
            <w:r w:rsidRPr="002832A9">
              <w:rPr>
                <w:rFonts w:eastAsia="Calibri"/>
                <w:sz w:val="20"/>
                <w:lang w:val="fr-CA"/>
              </w:rPr>
              <w:t>, L.R.Q., ch. A-25.  Compte tenu de la preuve au dossier, le TAQ</w:t>
            </w:r>
            <w:r w:rsidRPr="002832A9">
              <w:rPr>
                <w:rFonts w:eastAsia="Calibri"/>
                <w:b/>
                <w:i/>
                <w:sz w:val="20"/>
                <w:lang w:val="fr-CA"/>
              </w:rPr>
              <w:t xml:space="preserve"> </w:t>
            </w:r>
            <w:r w:rsidRPr="002832A9">
              <w:rPr>
                <w:rFonts w:eastAsia="Calibri"/>
                <w:sz w:val="20"/>
                <w:lang w:val="fr-CA"/>
              </w:rPr>
              <w:t>a décidé de retenir les revenus déclarés par M. Costache au fisc plutôt que ceux découlant des divers documents, lettres et liste de chèques produits par ce dernier.  Il estime en effet que M. Costache n’a pas réussi à lui démontrer par une preuve prépondérante fiable et sûre que les revenus supplémentaires qu’il prétend avoir gagnés en 1999 et 2000 sont fondés.  Le TAQ a donc confirmé la décision de la SAAQ.</w:t>
            </w:r>
          </w:p>
          <w:p w:rsidR="00792F7D" w:rsidRPr="002832A9" w:rsidRDefault="00792F7D" w:rsidP="001C4AC6">
            <w:pPr>
              <w:jc w:val="both"/>
              <w:rPr>
                <w:rFonts w:eastAsia="Calibri"/>
                <w:sz w:val="20"/>
                <w:lang w:val="fr-CA"/>
              </w:rPr>
            </w:pPr>
          </w:p>
        </w:tc>
      </w:tr>
      <w:tr w:rsidR="00792F7D" w:rsidRPr="00EB0F11" w:rsidTr="001C4AC6">
        <w:tc>
          <w:tcPr>
            <w:tcW w:w="2427" w:type="pct"/>
          </w:tcPr>
          <w:p w:rsidR="00792F7D" w:rsidRPr="002832A9" w:rsidRDefault="00792F7D" w:rsidP="001C4AC6">
            <w:pPr>
              <w:jc w:val="both"/>
              <w:rPr>
                <w:rFonts w:eastAsia="Calibri"/>
                <w:sz w:val="20"/>
                <w:lang w:val="fr-CA"/>
              </w:rPr>
            </w:pPr>
            <w:r w:rsidRPr="002832A9">
              <w:rPr>
                <w:rFonts w:eastAsia="Calibri"/>
                <w:sz w:val="20"/>
                <w:lang w:val="fr-CA"/>
              </w:rPr>
              <w:t>Le 13 mars 2013</w:t>
            </w:r>
          </w:p>
          <w:p w:rsidR="00792F7D" w:rsidRPr="002832A9" w:rsidRDefault="00792F7D" w:rsidP="001C4AC6">
            <w:pPr>
              <w:jc w:val="both"/>
              <w:rPr>
                <w:rFonts w:eastAsia="Calibri"/>
                <w:sz w:val="20"/>
                <w:lang w:val="fr-CA"/>
              </w:rPr>
            </w:pPr>
            <w:r w:rsidRPr="002832A9">
              <w:rPr>
                <w:rFonts w:eastAsia="Calibri"/>
                <w:sz w:val="20"/>
                <w:lang w:val="fr-CA"/>
              </w:rPr>
              <w:t>Cour supérieure du Québec</w:t>
            </w:r>
          </w:p>
          <w:p w:rsidR="00792F7D" w:rsidRPr="002832A9" w:rsidRDefault="00792F7D" w:rsidP="001C4AC6">
            <w:pPr>
              <w:jc w:val="both"/>
              <w:rPr>
                <w:rFonts w:eastAsia="Calibri"/>
                <w:sz w:val="20"/>
                <w:lang w:val="fr-CA"/>
              </w:rPr>
            </w:pPr>
            <w:r w:rsidRPr="002832A9">
              <w:rPr>
                <w:rFonts w:eastAsia="Calibri"/>
                <w:sz w:val="20"/>
                <w:lang w:val="fr-CA"/>
              </w:rPr>
              <w:t>(La juge Paquette)</w:t>
            </w:r>
          </w:p>
          <w:p w:rsidR="00792F7D" w:rsidRPr="002832A9" w:rsidRDefault="00792F7D" w:rsidP="001C4AC6">
            <w:pPr>
              <w:jc w:val="both"/>
              <w:rPr>
                <w:rFonts w:eastAsia="Calibri"/>
                <w:sz w:val="20"/>
                <w:lang w:val="fr-CA"/>
              </w:rPr>
            </w:pPr>
            <w:r w:rsidRPr="002832A9">
              <w:rPr>
                <w:rFonts w:eastAsia="Calibri"/>
                <w:sz w:val="20"/>
                <w:lang w:val="fr-CA"/>
              </w:rPr>
              <w:t>2013 QCCS 1342</w:t>
            </w:r>
          </w:p>
          <w:p w:rsidR="00792F7D" w:rsidRPr="002832A9" w:rsidRDefault="00792F7D" w:rsidP="001C4AC6">
            <w:pPr>
              <w:jc w:val="both"/>
              <w:rPr>
                <w:rFonts w:eastAsia="Calibri"/>
                <w:sz w:val="20"/>
              </w:rPr>
            </w:pPr>
          </w:p>
        </w:tc>
        <w:tc>
          <w:tcPr>
            <w:tcW w:w="243" w:type="pct"/>
          </w:tcPr>
          <w:p w:rsidR="00792F7D" w:rsidRPr="002832A9" w:rsidRDefault="00792F7D" w:rsidP="001C4AC6">
            <w:pPr>
              <w:jc w:val="both"/>
              <w:rPr>
                <w:rFonts w:eastAsia="Calibri"/>
                <w:sz w:val="20"/>
              </w:rPr>
            </w:pPr>
          </w:p>
        </w:tc>
        <w:tc>
          <w:tcPr>
            <w:tcW w:w="2330" w:type="pct"/>
          </w:tcPr>
          <w:p w:rsidR="00792F7D" w:rsidRPr="002832A9" w:rsidRDefault="00792F7D" w:rsidP="001C4AC6">
            <w:pPr>
              <w:jc w:val="both"/>
              <w:rPr>
                <w:rFonts w:eastAsia="Calibri"/>
                <w:sz w:val="20"/>
                <w:lang w:val="fr-CA"/>
              </w:rPr>
            </w:pPr>
            <w:r w:rsidRPr="002832A9">
              <w:rPr>
                <w:rFonts w:eastAsia="Calibri"/>
                <w:sz w:val="20"/>
                <w:lang w:val="fr-CA"/>
              </w:rPr>
              <w:t>Requête en révision judiciaire d’une décision du Tribunal administratif du Québec rejetée</w:t>
            </w:r>
          </w:p>
        </w:tc>
      </w:tr>
      <w:tr w:rsidR="00792F7D" w:rsidRPr="00EB0F11" w:rsidTr="001C4AC6">
        <w:tc>
          <w:tcPr>
            <w:tcW w:w="2427" w:type="pct"/>
          </w:tcPr>
          <w:p w:rsidR="00792F7D" w:rsidRPr="002832A9" w:rsidRDefault="00792F7D" w:rsidP="001C4AC6">
            <w:pPr>
              <w:jc w:val="both"/>
              <w:rPr>
                <w:rFonts w:eastAsia="Calibri"/>
                <w:sz w:val="20"/>
                <w:lang w:val="fr-CA"/>
              </w:rPr>
            </w:pPr>
            <w:r w:rsidRPr="002832A9">
              <w:rPr>
                <w:rFonts w:eastAsia="Calibri"/>
                <w:sz w:val="20"/>
                <w:lang w:val="fr-CA"/>
              </w:rPr>
              <w:t>Le 14 août 2013</w:t>
            </w:r>
          </w:p>
          <w:p w:rsidR="00792F7D" w:rsidRPr="002832A9" w:rsidRDefault="00792F7D" w:rsidP="001C4AC6">
            <w:pPr>
              <w:jc w:val="both"/>
              <w:rPr>
                <w:rFonts w:eastAsia="Calibri"/>
                <w:sz w:val="20"/>
                <w:lang w:val="fr-CA"/>
              </w:rPr>
            </w:pPr>
            <w:r w:rsidRPr="002832A9">
              <w:rPr>
                <w:rFonts w:eastAsia="Calibri"/>
                <w:sz w:val="20"/>
                <w:lang w:val="fr-CA"/>
              </w:rPr>
              <w:t xml:space="preserve">Cour d’appel du Québec (Montréal) </w:t>
            </w:r>
          </w:p>
          <w:p w:rsidR="00792F7D" w:rsidRPr="002832A9" w:rsidRDefault="00792F7D" w:rsidP="001C4AC6">
            <w:pPr>
              <w:jc w:val="both"/>
              <w:rPr>
                <w:rFonts w:eastAsia="Calibri"/>
                <w:sz w:val="20"/>
                <w:lang w:val="fr-CA"/>
              </w:rPr>
            </w:pPr>
            <w:r w:rsidRPr="002832A9">
              <w:rPr>
                <w:rFonts w:eastAsia="Calibri"/>
                <w:sz w:val="20"/>
                <w:lang w:val="fr-CA"/>
              </w:rPr>
              <w:t>(Le juge Morissette)</w:t>
            </w:r>
          </w:p>
          <w:p w:rsidR="00792F7D" w:rsidRPr="002832A9" w:rsidRDefault="00EB0F11" w:rsidP="001C4AC6">
            <w:pPr>
              <w:jc w:val="both"/>
              <w:rPr>
                <w:rFonts w:eastAsia="Calibri"/>
                <w:sz w:val="20"/>
                <w:lang w:val="fr-CA"/>
              </w:rPr>
            </w:pPr>
            <w:hyperlink r:id="rId47" w:history="1">
              <w:r w:rsidR="00792F7D" w:rsidRPr="002832A9">
                <w:rPr>
                  <w:rFonts w:eastAsia="Calibri"/>
                  <w:color w:val="0000FF"/>
                  <w:sz w:val="20"/>
                  <w:u w:val="single"/>
                  <w:lang w:val="fr-CA"/>
                </w:rPr>
                <w:t>2013 QCCA 1410</w:t>
              </w:r>
            </w:hyperlink>
          </w:p>
          <w:p w:rsidR="00792F7D" w:rsidRPr="002832A9" w:rsidRDefault="00792F7D" w:rsidP="001C4AC6">
            <w:pPr>
              <w:jc w:val="both"/>
              <w:rPr>
                <w:rFonts w:eastAsia="Calibri"/>
                <w:sz w:val="20"/>
              </w:rPr>
            </w:pPr>
          </w:p>
        </w:tc>
        <w:tc>
          <w:tcPr>
            <w:tcW w:w="243" w:type="pct"/>
          </w:tcPr>
          <w:p w:rsidR="00792F7D" w:rsidRPr="002832A9" w:rsidRDefault="00792F7D" w:rsidP="001C4AC6">
            <w:pPr>
              <w:jc w:val="both"/>
              <w:rPr>
                <w:rFonts w:eastAsia="Calibri"/>
                <w:sz w:val="20"/>
              </w:rPr>
            </w:pPr>
          </w:p>
        </w:tc>
        <w:tc>
          <w:tcPr>
            <w:tcW w:w="2330" w:type="pct"/>
          </w:tcPr>
          <w:p w:rsidR="00792F7D" w:rsidRPr="002832A9" w:rsidRDefault="00792F7D" w:rsidP="001C4AC6">
            <w:pPr>
              <w:jc w:val="both"/>
              <w:rPr>
                <w:rFonts w:eastAsia="Calibri"/>
                <w:sz w:val="20"/>
                <w:lang w:val="fr-CA"/>
              </w:rPr>
            </w:pPr>
            <w:r w:rsidRPr="002832A9">
              <w:rPr>
                <w:rFonts w:eastAsia="Calibri"/>
                <w:sz w:val="20"/>
                <w:lang w:val="fr-CA"/>
              </w:rPr>
              <w:t>Requête pour permission d’appel rejetée</w:t>
            </w:r>
          </w:p>
        </w:tc>
      </w:tr>
      <w:tr w:rsidR="00792F7D" w:rsidRPr="002832A9" w:rsidTr="001C4AC6">
        <w:tc>
          <w:tcPr>
            <w:tcW w:w="2427" w:type="pct"/>
          </w:tcPr>
          <w:p w:rsidR="00792F7D" w:rsidRPr="002832A9" w:rsidRDefault="00792F7D" w:rsidP="001C4AC6">
            <w:pPr>
              <w:jc w:val="both"/>
              <w:rPr>
                <w:rFonts w:eastAsia="Calibri"/>
                <w:sz w:val="20"/>
                <w:lang w:val="fr-CA"/>
              </w:rPr>
            </w:pPr>
            <w:r w:rsidRPr="002832A9">
              <w:rPr>
                <w:rFonts w:eastAsia="Calibri"/>
                <w:sz w:val="20"/>
                <w:lang w:val="fr-CA"/>
              </w:rPr>
              <w:lastRenderedPageBreak/>
              <w:t>Le 15 octobre 2013</w:t>
            </w:r>
          </w:p>
          <w:p w:rsidR="00792F7D" w:rsidRPr="002832A9" w:rsidRDefault="00792F7D" w:rsidP="001C4AC6">
            <w:pPr>
              <w:jc w:val="both"/>
              <w:rPr>
                <w:rFonts w:eastAsia="Calibri"/>
                <w:sz w:val="20"/>
                <w:lang w:val="fr-FR"/>
              </w:rPr>
            </w:pPr>
            <w:r w:rsidRPr="002832A9">
              <w:rPr>
                <w:rFonts w:eastAsia="Calibri"/>
                <w:sz w:val="20"/>
                <w:lang w:val="fr-CA"/>
              </w:rPr>
              <w:t>Cour suprême du Canada</w:t>
            </w:r>
          </w:p>
        </w:tc>
        <w:tc>
          <w:tcPr>
            <w:tcW w:w="243" w:type="pct"/>
          </w:tcPr>
          <w:p w:rsidR="00792F7D" w:rsidRPr="002832A9" w:rsidRDefault="00792F7D" w:rsidP="001C4AC6">
            <w:pPr>
              <w:jc w:val="both"/>
              <w:rPr>
                <w:rFonts w:eastAsia="Calibri"/>
                <w:sz w:val="20"/>
                <w:lang w:val="fr-FR"/>
              </w:rPr>
            </w:pPr>
          </w:p>
        </w:tc>
        <w:tc>
          <w:tcPr>
            <w:tcW w:w="2330" w:type="pct"/>
          </w:tcPr>
          <w:p w:rsidR="00792F7D" w:rsidRPr="002832A9" w:rsidRDefault="00792F7D" w:rsidP="001C4AC6">
            <w:pPr>
              <w:jc w:val="both"/>
              <w:rPr>
                <w:rFonts w:eastAsia="Calibri"/>
                <w:sz w:val="20"/>
                <w:lang w:val="fr-CA"/>
              </w:rPr>
            </w:pPr>
            <w:r w:rsidRPr="002832A9">
              <w:rPr>
                <w:rFonts w:eastAsia="Calibri"/>
                <w:sz w:val="20"/>
                <w:lang w:val="fr-CA"/>
              </w:rPr>
              <w:t>Demande d’autorisation d’appel déposée</w:t>
            </w:r>
          </w:p>
        </w:tc>
      </w:tr>
    </w:tbl>
    <w:p w:rsidR="002A46DC" w:rsidRDefault="002A46DC" w:rsidP="002A46DC">
      <w:pPr>
        <w:rPr>
          <w:sz w:val="20"/>
          <w:szCs w:val="20"/>
        </w:rPr>
      </w:pPr>
    </w:p>
    <w:p w:rsidR="002A46DC" w:rsidRDefault="00EB0F11" w:rsidP="002A46DC">
      <w:pPr>
        <w:rPr>
          <w:sz w:val="20"/>
          <w:szCs w:val="20"/>
        </w:rPr>
      </w:pPr>
      <w:r>
        <w:rPr>
          <w:sz w:val="20"/>
          <w:szCs w:val="20"/>
          <w:lang w:val="fr-CA"/>
        </w:rPr>
        <w:pict>
          <v:rect id="_x0000_i1056" style="width:2in;height:1pt" o:hrpct="0" o:hralign="center" o:hrstd="t" o:hrnoshade="t" o:hr="t" fillcolor="black [3213]" stroked="f"/>
        </w:pict>
      </w:r>
    </w:p>
    <w:p w:rsidR="002A46DC" w:rsidRDefault="002A46DC" w:rsidP="002A46DC">
      <w:pPr>
        <w:rPr>
          <w:sz w:val="20"/>
          <w:szCs w:val="20"/>
        </w:rPr>
      </w:pPr>
    </w:p>
    <w:tbl>
      <w:tblPr>
        <w:tblStyle w:val="TableGrid1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F0143" w:rsidRPr="000F0143" w:rsidTr="002B62A3">
        <w:trPr>
          <w:cantSplit/>
        </w:trPr>
        <w:tc>
          <w:tcPr>
            <w:tcW w:w="1458" w:type="dxa"/>
          </w:tcPr>
          <w:p w:rsidR="000F0143" w:rsidRPr="000F0143" w:rsidRDefault="000F0143" w:rsidP="000F0143">
            <w:pPr>
              <w:rPr>
                <w:sz w:val="20"/>
              </w:rPr>
            </w:pPr>
            <w:r w:rsidRPr="000F0143">
              <w:rPr>
                <w:b/>
                <w:sz w:val="20"/>
                <w:lang w:val="fr-CA"/>
              </w:rPr>
              <w:t>35583</w:t>
            </w:r>
          </w:p>
          <w:p w:rsidR="000F0143" w:rsidRPr="000F0143" w:rsidRDefault="000F0143" w:rsidP="000F0143">
            <w:pPr>
              <w:rPr>
                <w:b/>
                <w:sz w:val="20"/>
                <w:lang w:val="fr-CA"/>
              </w:rPr>
            </w:pPr>
          </w:p>
        </w:tc>
        <w:tc>
          <w:tcPr>
            <w:tcW w:w="8118" w:type="dxa"/>
          </w:tcPr>
          <w:p w:rsidR="000F0143" w:rsidRPr="000F0143" w:rsidRDefault="000F0143" w:rsidP="000F0143">
            <w:pPr>
              <w:rPr>
                <w:sz w:val="20"/>
              </w:rPr>
            </w:pPr>
            <w:r w:rsidRPr="000F0143">
              <w:rPr>
                <w:b/>
                <w:sz w:val="20"/>
                <w:u w:val="single"/>
              </w:rPr>
              <w:t>Michael Israel v. Michelle Wright</w:t>
            </w:r>
            <w:r w:rsidRPr="000F0143">
              <w:rPr>
                <w:sz w:val="20"/>
              </w:rPr>
              <w:t xml:space="preserve"> (Ont.) (Civil) (By Leave)</w:t>
            </w:r>
          </w:p>
          <w:p w:rsidR="000F0143" w:rsidRPr="000F0143" w:rsidRDefault="000F0143" w:rsidP="000F0143">
            <w:pPr>
              <w:rPr>
                <w:sz w:val="20"/>
              </w:rPr>
            </w:pPr>
          </w:p>
        </w:tc>
      </w:tr>
      <w:tr w:rsidR="000F0143" w:rsidRPr="000F0143" w:rsidTr="002B62A3">
        <w:trPr>
          <w:cantSplit/>
        </w:trPr>
        <w:tc>
          <w:tcPr>
            <w:tcW w:w="1458" w:type="dxa"/>
          </w:tcPr>
          <w:p w:rsidR="000F0143" w:rsidRPr="000F0143" w:rsidRDefault="000F0143" w:rsidP="000F0143">
            <w:pPr>
              <w:rPr>
                <w:sz w:val="20"/>
              </w:rPr>
            </w:pPr>
            <w:r w:rsidRPr="000F0143">
              <w:rPr>
                <w:sz w:val="20"/>
              </w:rPr>
              <w:t>Coram :</w:t>
            </w:r>
          </w:p>
        </w:tc>
        <w:tc>
          <w:tcPr>
            <w:tcW w:w="8118" w:type="dxa"/>
          </w:tcPr>
          <w:p w:rsidR="000F0143" w:rsidRPr="000F0143" w:rsidRDefault="000F0143" w:rsidP="000F0143">
            <w:pPr>
              <w:rPr>
                <w:sz w:val="20"/>
              </w:rPr>
            </w:pPr>
            <w:r w:rsidRPr="000F0143">
              <w:rPr>
                <w:sz w:val="20"/>
                <w:u w:val="single"/>
              </w:rPr>
              <w:t>LeBel, Karakatsanis and Wagner JJ.</w:t>
            </w:r>
          </w:p>
          <w:p w:rsidR="000F0143" w:rsidRPr="000F0143" w:rsidRDefault="000F0143" w:rsidP="000F0143">
            <w:pPr>
              <w:rPr>
                <w:sz w:val="20"/>
                <w:u w:val="single"/>
              </w:rPr>
            </w:pPr>
          </w:p>
        </w:tc>
      </w:tr>
      <w:tr w:rsidR="000F0143" w:rsidRPr="00EB0F11" w:rsidTr="002B62A3">
        <w:trPr>
          <w:cantSplit/>
        </w:trPr>
        <w:tc>
          <w:tcPr>
            <w:tcW w:w="9576" w:type="dxa"/>
            <w:gridSpan w:val="2"/>
          </w:tcPr>
          <w:p w:rsidR="000F0143" w:rsidRPr="000F0143" w:rsidRDefault="000F0143" w:rsidP="000F0143">
            <w:pPr>
              <w:ind w:firstLine="720"/>
              <w:jc w:val="both"/>
              <w:rPr>
                <w:sz w:val="20"/>
              </w:rPr>
            </w:pPr>
            <w:r w:rsidRPr="000F0143">
              <w:rPr>
                <w:sz w:val="20"/>
              </w:rPr>
              <w:t>The application for leave to appeal from the judgment of the Court of Appeal for Ontario, Number C56814, 2013 ONCA 522, dated August 21, 2013, is dismissed without costs.</w:t>
            </w:r>
          </w:p>
          <w:p w:rsidR="000F0143" w:rsidRPr="000F0143" w:rsidRDefault="000F0143" w:rsidP="000F0143">
            <w:pPr>
              <w:jc w:val="both"/>
              <w:rPr>
                <w:sz w:val="20"/>
              </w:rPr>
            </w:pPr>
          </w:p>
          <w:p w:rsidR="000F0143" w:rsidRPr="000F0143" w:rsidRDefault="000F0143" w:rsidP="000F0143">
            <w:pPr>
              <w:ind w:firstLine="720"/>
              <w:jc w:val="both"/>
              <w:rPr>
                <w:sz w:val="20"/>
                <w:lang w:val="fr-CA"/>
              </w:rPr>
            </w:pPr>
            <w:r w:rsidRPr="000F0143">
              <w:rPr>
                <w:sz w:val="20"/>
                <w:lang w:val="fr-CA"/>
              </w:rPr>
              <w:t>La demande d’autorisation d’appel de l’arrêt de la Cour d’appel de l’Ontario, numéro C56814, 2013 ONCA 522, daté du 21 août 2013, est rejetée sans dépens.</w:t>
            </w:r>
          </w:p>
        </w:tc>
      </w:tr>
    </w:tbl>
    <w:p w:rsidR="002A46DC" w:rsidRPr="000F0143" w:rsidRDefault="002A46DC" w:rsidP="002A46DC">
      <w:pPr>
        <w:rPr>
          <w:sz w:val="20"/>
          <w:szCs w:val="20"/>
          <w:lang w:val="fr-CA"/>
        </w:rPr>
      </w:pPr>
    </w:p>
    <w:p w:rsidR="002A46DC" w:rsidRPr="001B157C" w:rsidRDefault="002A46DC" w:rsidP="002A46DC">
      <w:pPr>
        <w:rPr>
          <w:sz w:val="20"/>
          <w:szCs w:val="20"/>
          <w:u w:val="single"/>
        </w:rPr>
      </w:pPr>
      <w:r w:rsidRPr="001B157C">
        <w:rPr>
          <w:sz w:val="20"/>
          <w:szCs w:val="20"/>
          <w:u w:val="single"/>
        </w:rPr>
        <w:t>CASE SUMMARY</w:t>
      </w:r>
    </w:p>
    <w:p w:rsidR="002A46DC" w:rsidRDefault="002A46DC" w:rsidP="002A46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2"/>
        <w:gridCol w:w="465"/>
        <w:gridCol w:w="4440"/>
      </w:tblGrid>
      <w:tr w:rsidR="00792F7D" w:rsidRPr="002832A9" w:rsidTr="001C4AC6">
        <w:tc>
          <w:tcPr>
            <w:tcW w:w="5000" w:type="pct"/>
            <w:gridSpan w:val="3"/>
          </w:tcPr>
          <w:p w:rsidR="00792F7D" w:rsidRPr="002832A9" w:rsidRDefault="00792F7D" w:rsidP="001C4AC6">
            <w:pPr>
              <w:jc w:val="both"/>
              <w:rPr>
                <w:rFonts w:eastAsia="Calibri"/>
                <w:sz w:val="20"/>
              </w:rPr>
            </w:pPr>
            <w:r w:rsidRPr="002832A9">
              <w:rPr>
                <w:rFonts w:eastAsia="Calibri"/>
                <w:sz w:val="20"/>
              </w:rPr>
              <w:t>Civil Law – Appeal – Leave to Appeal – Whether applicant raises a legal issue – Whether issue is of public importance.</w:t>
            </w:r>
          </w:p>
        </w:tc>
      </w:tr>
      <w:tr w:rsidR="00792F7D" w:rsidRPr="002832A9" w:rsidTr="001C4AC6">
        <w:tc>
          <w:tcPr>
            <w:tcW w:w="5000" w:type="pct"/>
            <w:gridSpan w:val="3"/>
          </w:tcPr>
          <w:p w:rsidR="00792F7D" w:rsidRPr="002832A9" w:rsidRDefault="00792F7D" w:rsidP="001C4AC6">
            <w:pPr>
              <w:jc w:val="both"/>
              <w:rPr>
                <w:rFonts w:eastAsia="Calibri"/>
                <w:sz w:val="20"/>
              </w:rPr>
            </w:pPr>
          </w:p>
        </w:tc>
      </w:tr>
      <w:tr w:rsidR="00792F7D" w:rsidRPr="002832A9" w:rsidTr="001C4AC6">
        <w:tc>
          <w:tcPr>
            <w:tcW w:w="5000" w:type="pct"/>
            <w:gridSpan w:val="3"/>
          </w:tcPr>
          <w:p w:rsidR="00792F7D" w:rsidRPr="002832A9" w:rsidRDefault="00792F7D" w:rsidP="001C4AC6">
            <w:pPr>
              <w:jc w:val="both"/>
              <w:rPr>
                <w:rFonts w:eastAsia="Calibri"/>
                <w:sz w:val="20"/>
              </w:rPr>
            </w:pPr>
            <w:r w:rsidRPr="002832A9">
              <w:rPr>
                <w:rFonts w:eastAsia="Calibri"/>
                <w:sz w:val="20"/>
              </w:rPr>
              <w:t>The applicant brought a motion to set a date for an appeal.  The applicant had not paid past costs awards.  The respondent brought a cross-motion to stay the appeal and for security for costs.  The motions judge stayed the appeal until the applicant pays the outstanding costs awards.  The Court of Appeal dismissed an appeal.</w:t>
            </w:r>
          </w:p>
          <w:p w:rsidR="00792F7D" w:rsidRPr="002832A9" w:rsidRDefault="00792F7D" w:rsidP="001C4AC6">
            <w:pPr>
              <w:jc w:val="both"/>
              <w:rPr>
                <w:rFonts w:eastAsia="Calibri"/>
                <w:sz w:val="20"/>
              </w:rPr>
            </w:pPr>
          </w:p>
        </w:tc>
      </w:tr>
      <w:tr w:rsidR="00792F7D" w:rsidRPr="002832A9" w:rsidTr="001C4AC6">
        <w:tc>
          <w:tcPr>
            <w:tcW w:w="2426" w:type="pct"/>
          </w:tcPr>
          <w:p w:rsidR="00792F7D" w:rsidRPr="002832A9" w:rsidRDefault="00792F7D" w:rsidP="001C4AC6">
            <w:pPr>
              <w:jc w:val="both"/>
              <w:rPr>
                <w:sz w:val="20"/>
                <w:lang w:eastAsia="en-CA"/>
              </w:rPr>
            </w:pPr>
            <w:r w:rsidRPr="002832A9">
              <w:rPr>
                <w:rFonts w:eastAsia="Calibri"/>
                <w:sz w:val="20"/>
              </w:rPr>
              <w:t>March 21, 2013</w:t>
            </w:r>
          </w:p>
          <w:p w:rsidR="00792F7D" w:rsidRPr="002832A9" w:rsidRDefault="00792F7D" w:rsidP="001C4AC6">
            <w:pPr>
              <w:jc w:val="both"/>
              <w:rPr>
                <w:rFonts w:eastAsia="Calibri"/>
                <w:sz w:val="20"/>
              </w:rPr>
            </w:pPr>
            <w:r w:rsidRPr="002832A9">
              <w:rPr>
                <w:rFonts w:eastAsia="Calibri"/>
                <w:sz w:val="20"/>
              </w:rPr>
              <w:t>Ontario Court of Justice</w:t>
            </w:r>
          </w:p>
          <w:p w:rsidR="00792F7D" w:rsidRPr="002832A9" w:rsidRDefault="00792F7D" w:rsidP="001C4AC6">
            <w:pPr>
              <w:jc w:val="both"/>
              <w:rPr>
                <w:rFonts w:eastAsia="Calibri"/>
                <w:sz w:val="20"/>
              </w:rPr>
            </w:pPr>
            <w:r w:rsidRPr="002832A9">
              <w:rPr>
                <w:rFonts w:eastAsia="Calibri"/>
                <w:sz w:val="20"/>
              </w:rPr>
              <w:t>(Perkins J.)</w:t>
            </w:r>
          </w:p>
          <w:p w:rsidR="00792F7D" w:rsidRPr="002832A9" w:rsidRDefault="00792F7D" w:rsidP="001C4AC6">
            <w:pPr>
              <w:jc w:val="both"/>
              <w:rPr>
                <w:rFonts w:eastAsia="Calibri"/>
                <w:sz w:val="20"/>
              </w:rPr>
            </w:pPr>
            <w:r w:rsidRPr="002832A9">
              <w:rPr>
                <w:rFonts w:eastAsia="Calibri"/>
                <w:sz w:val="20"/>
              </w:rPr>
              <w:t>FS-12-00018248</w:t>
            </w:r>
          </w:p>
          <w:p w:rsidR="00792F7D" w:rsidRPr="002832A9" w:rsidRDefault="00792F7D" w:rsidP="001C4AC6">
            <w:pPr>
              <w:jc w:val="both"/>
              <w:rPr>
                <w:rFonts w:eastAsia="Calibri"/>
                <w:sz w:val="20"/>
                <w:lang w:eastAsia="en-CA"/>
              </w:rPr>
            </w:pPr>
          </w:p>
        </w:tc>
        <w:tc>
          <w:tcPr>
            <w:tcW w:w="244" w:type="pct"/>
          </w:tcPr>
          <w:p w:rsidR="00792F7D" w:rsidRPr="002832A9" w:rsidRDefault="00792F7D" w:rsidP="001C4AC6">
            <w:pPr>
              <w:jc w:val="both"/>
              <w:rPr>
                <w:rFonts w:eastAsia="Calibri"/>
                <w:sz w:val="20"/>
                <w:lang w:eastAsia="en-CA"/>
              </w:rPr>
            </w:pPr>
          </w:p>
        </w:tc>
        <w:tc>
          <w:tcPr>
            <w:tcW w:w="2330" w:type="pct"/>
          </w:tcPr>
          <w:p w:rsidR="00792F7D" w:rsidRPr="002832A9" w:rsidRDefault="00792F7D" w:rsidP="001C4AC6">
            <w:pPr>
              <w:jc w:val="both"/>
              <w:rPr>
                <w:rFonts w:eastAsia="Calibri"/>
                <w:sz w:val="20"/>
                <w:lang w:eastAsia="en-CA"/>
              </w:rPr>
            </w:pPr>
            <w:r w:rsidRPr="002832A9">
              <w:rPr>
                <w:rFonts w:eastAsia="Calibri"/>
                <w:sz w:val="20"/>
              </w:rPr>
              <w:t>Motion to set date for appeal dismissed; Cross-motion to stay appeal granted</w:t>
            </w:r>
          </w:p>
        </w:tc>
      </w:tr>
      <w:tr w:rsidR="00792F7D" w:rsidRPr="002832A9" w:rsidTr="001C4AC6">
        <w:tc>
          <w:tcPr>
            <w:tcW w:w="2426" w:type="pct"/>
          </w:tcPr>
          <w:p w:rsidR="00792F7D" w:rsidRPr="002832A9" w:rsidRDefault="00792F7D" w:rsidP="001C4AC6">
            <w:pPr>
              <w:jc w:val="both"/>
              <w:rPr>
                <w:sz w:val="20"/>
                <w:lang w:eastAsia="en-CA"/>
              </w:rPr>
            </w:pPr>
            <w:r w:rsidRPr="002832A9">
              <w:rPr>
                <w:rFonts w:eastAsia="Calibri"/>
                <w:sz w:val="20"/>
              </w:rPr>
              <w:t>August 21, 2013</w:t>
            </w:r>
          </w:p>
          <w:p w:rsidR="00792F7D" w:rsidRPr="002832A9" w:rsidRDefault="00792F7D" w:rsidP="001C4AC6">
            <w:pPr>
              <w:jc w:val="both"/>
              <w:rPr>
                <w:rFonts w:eastAsia="Calibri"/>
                <w:sz w:val="20"/>
              </w:rPr>
            </w:pPr>
            <w:r w:rsidRPr="002832A9">
              <w:rPr>
                <w:rFonts w:eastAsia="Calibri"/>
                <w:sz w:val="20"/>
              </w:rPr>
              <w:t>Ontario Court of Appeal</w:t>
            </w:r>
          </w:p>
          <w:p w:rsidR="00792F7D" w:rsidRPr="002832A9" w:rsidRDefault="00792F7D" w:rsidP="001C4AC6">
            <w:pPr>
              <w:jc w:val="both"/>
              <w:rPr>
                <w:rFonts w:eastAsia="Calibri"/>
                <w:sz w:val="20"/>
              </w:rPr>
            </w:pPr>
            <w:r w:rsidRPr="002832A9">
              <w:rPr>
                <w:rFonts w:eastAsia="Calibri"/>
                <w:sz w:val="20"/>
              </w:rPr>
              <w:t>(Goudge, Watt and Pepall JJ.A.)</w:t>
            </w:r>
          </w:p>
          <w:p w:rsidR="00792F7D" w:rsidRPr="002832A9" w:rsidRDefault="00792F7D" w:rsidP="001C4AC6">
            <w:pPr>
              <w:jc w:val="both"/>
              <w:rPr>
                <w:rFonts w:eastAsia="Calibri"/>
                <w:sz w:val="20"/>
              </w:rPr>
            </w:pPr>
            <w:r w:rsidRPr="002832A9">
              <w:rPr>
                <w:rFonts w:eastAsia="Calibri"/>
                <w:sz w:val="20"/>
              </w:rPr>
              <w:t xml:space="preserve">C56814; </w:t>
            </w:r>
            <w:hyperlink r:id="rId48" w:history="1">
              <w:r w:rsidRPr="002832A9">
                <w:rPr>
                  <w:rFonts w:eastAsia="Calibri"/>
                  <w:color w:val="0000FF"/>
                  <w:sz w:val="20"/>
                  <w:u w:val="single"/>
                </w:rPr>
                <w:t>2013 ONCA 522</w:t>
              </w:r>
            </w:hyperlink>
          </w:p>
          <w:p w:rsidR="00792F7D" w:rsidRPr="002832A9" w:rsidRDefault="00792F7D" w:rsidP="001C4AC6">
            <w:pPr>
              <w:jc w:val="both"/>
              <w:rPr>
                <w:rFonts w:eastAsia="Calibri"/>
                <w:sz w:val="20"/>
                <w:lang w:eastAsia="en-CA"/>
              </w:rPr>
            </w:pPr>
          </w:p>
        </w:tc>
        <w:tc>
          <w:tcPr>
            <w:tcW w:w="244" w:type="pct"/>
          </w:tcPr>
          <w:p w:rsidR="00792F7D" w:rsidRPr="002832A9" w:rsidRDefault="00792F7D" w:rsidP="001C4AC6">
            <w:pPr>
              <w:jc w:val="both"/>
              <w:rPr>
                <w:rFonts w:eastAsia="Calibri"/>
                <w:sz w:val="20"/>
                <w:lang w:eastAsia="en-CA"/>
              </w:rPr>
            </w:pPr>
          </w:p>
        </w:tc>
        <w:tc>
          <w:tcPr>
            <w:tcW w:w="2330" w:type="pct"/>
          </w:tcPr>
          <w:p w:rsidR="00792F7D" w:rsidRPr="002832A9" w:rsidRDefault="00792F7D" w:rsidP="001C4AC6">
            <w:pPr>
              <w:jc w:val="both"/>
              <w:rPr>
                <w:rFonts w:eastAsia="Calibri"/>
                <w:sz w:val="20"/>
                <w:lang w:eastAsia="en-CA"/>
              </w:rPr>
            </w:pPr>
            <w:r w:rsidRPr="002832A9">
              <w:rPr>
                <w:rFonts w:eastAsia="Calibri"/>
                <w:sz w:val="20"/>
              </w:rPr>
              <w:t>Appeal dismissed</w:t>
            </w:r>
          </w:p>
        </w:tc>
      </w:tr>
      <w:tr w:rsidR="00792F7D" w:rsidRPr="002832A9" w:rsidTr="001C4AC6">
        <w:tc>
          <w:tcPr>
            <w:tcW w:w="2426" w:type="pct"/>
          </w:tcPr>
          <w:p w:rsidR="00792F7D" w:rsidRPr="002832A9" w:rsidRDefault="00792F7D" w:rsidP="001C4AC6">
            <w:pPr>
              <w:jc w:val="both"/>
              <w:rPr>
                <w:sz w:val="20"/>
                <w:lang w:eastAsia="en-CA"/>
              </w:rPr>
            </w:pPr>
            <w:r w:rsidRPr="002832A9">
              <w:rPr>
                <w:rFonts w:eastAsia="Calibri"/>
                <w:sz w:val="20"/>
              </w:rPr>
              <w:t>October 18, 2013</w:t>
            </w:r>
          </w:p>
          <w:p w:rsidR="00792F7D" w:rsidRPr="002832A9" w:rsidRDefault="00792F7D" w:rsidP="001C4AC6">
            <w:pPr>
              <w:jc w:val="both"/>
              <w:rPr>
                <w:rFonts w:eastAsia="Calibri"/>
                <w:sz w:val="20"/>
                <w:lang w:eastAsia="en-CA"/>
              </w:rPr>
            </w:pPr>
            <w:r w:rsidRPr="002832A9">
              <w:rPr>
                <w:rFonts w:eastAsia="Calibri"/>
                <w:sz w:val="20"/>
              </w:rPr>
              <w:t>Supreme Court of Canada</w:t>
            </w:r>
          </w:p>
        </w:tc>
        <w:tc>
          <w:tcPr>
            <w:tcW w:w="244" w:type="pct"/>
          </w:tcPr>
          <w:p w:rsidR="00792F7D" w:rsidRPr="002832A9" w:rsidRDefault="00792F7D" w:rsidP="001C4AC6">
            <w:pPr>
              <w:jc w:val="both"/>
              <w:rPr>
                <w:rFonts w:eastAsia="Calibri"/>
                <w:sz w:val="20"/>
                <w:lang w:eastAsia="en-CA"/>
              </w:rPr>
            </w:pPr>
          </w:p>
        </w:tc>
        <w:tc>
          <w:tcPr>
            <w:tcW w:w="2330" w:type="pct"/>
          </w:tcPr>
          <w:p w:rsidR="00792F7D" w:rsidRPr="002832A9" w:rsidRDefault="00792F7D" w:rsidP="001C4AC6">
            <w:pPr>
              <w:jc w:val="both"/>
              <w:rPr>
                <w:rFonts w:eastAsia="Calibri"/>
                <w:sz w:val="20"/>
                <w:lang w:eastAsia="en-CA"/>
              </w:rPr>
            </w:pPr>
            <w:r w:rsidRPr="002832A9">
              <w:rPr>
                <w:rFonts w:eastAsia="Calibri"/>
                <w:sz w:val="20"/>
              </w:rPr>
              <w:t xml:space="preserve">Application for leave to appeal filed </w:t>
            </w:r>
          </w:p>
        </w:tc>
      </w:tr>
    </w:tbl>
    <w:p w:rsidR="002A46DC" w:rsidRDefault="002A46DC" w:rsidP="002A46DC">
      <w:pPr>
        <w:rPr>
          <w:sz w:val="20"/>
          <w:szCs w:val="20"/>
        </w:rPr>
      </w:pPr>
    </w:p>
    <w:p w:rsidR="002A46DC" w:rsidRPr="00C50A5C" w:rsidRDefault="00EB0F11" w:rsidP="002A46DC">
      <w:pPr>
        <w:rPr>
          <w:sz w:val="20"/>
          <w:szCs w:val="20"/>
        </w:rPr>
      </w:pPr>
      <w:r>
        <w:rPr>
          <w:sz w:val="20"/>
          <w:szCs w:val="20"/>
          <w:lang w:val="fr-CA"/>
        </w:rPr>
        <w:pict>
          <v:rect id="_x0000_i1057" style="width:2in;height:1pt" o:hrpct="0" o:hralign="center" o:hrstd="t" o:hrnoshade="t" o:hr="t" fillcolor="black [3213]" stroked="f"/>
        </w:pict>
      </w:r>
    </w:p>
    <w:p w:rsidR="002A46DC" w:rsidRDefault="002A46DC" w:rsidP="002A46DC">
      <w:pPr>
        <w:rPr>
          <w:sz w:val="20"/>
          <w:szCs w:val="20"/>
        </w:rPr>
      </w:pPr>
    </w:p>
    <w:p w:rsidR="002A46DC" w:rsidRPr="001B157C" w:rsidRDefault="002A46DC" w:rsidP="002A46DC">
      <w:pPr>
        <w:rPr>
          <w:sz w:val="20"/>
          <w:szCs w:val="20"/>
          <w:u w:val="single"/>
          <w:lang w:val="fr-CA"/>
        </w:rPr>
      </w:pPr>
      <w:r w:rsidRPr="001B157C">
        <w:rPr>
          <w:sz w:val="20"/>
          <w:szCs w:val="20"/>
          <w:u w:val="single"/>
          <w:lang w:val="fr-CA"/>
        </w:rPr>
        <w:t>RÉSUMÉ DE L’AFFAIRE</w:t>
      </w:r>
    </w:p>
    <w:p w:rsidR="002A46DC" w:rsidRDefault="002A46DC" w:rsidP="002A46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2"/>
        <w:gridCol w:w="465"/>
        <w:gridCol w:w="4440"/>
      </w:tblGrid>
      <w:tr w:rsidR="00792F7D" w:rsidRPr="00EB0F11" w:rsidTr="001C4AC6">
        <w:tc>
          <w:tcPr>
            <w:tcW w:w="5000" w:type="pct"/>
            <w:gridSpan w:val="3"/>
          </w:tcPr>
          <w:p w:rsidR="00792F7D" w:rsidRPr="002832A9" w:rsidRDefault="00792F7D" w:rsidP="001C4AC6">
            <w:pPr>
              <w:jc w:val="both"/>
              <w:rPr>
                <w:rFonts w:eastAsia="Calibri"/>
                <w:sz w:val="20"/>
                <w:lang w:val="fr-CA"/>
              </w:rPr>
            </w:pPr>
            <w:r w:rsidRPr="002832A9">
              <w:rPr>
                <w:rFonts w:eastAsia="Calibri"/>
                <w:sz w:val="20"/>
                <w:lang w:val="fr-CA"/>
              </w:rPr>
              <w:t xml:space="preserve">Droit civil – Appel – Autorisation d’appel – Le demandeur soulève-t-il une question de droit? – S’agit-il d’une question importante pour le public? </w:t>
            </w:r>
          </w:p>
        </w:tc>
      </w:tr>
      <w:tr w:rsidR="00792F7D" w:rsidRPr="00EB0F11" w:rsidTr="001C4AC6">
        <w:tc>
          <w:tcPr>
            <w:tcW w:w="5000" w:type="pct"/>
            <w:gridSpan w:val="3"/>
          </w:tcPr>
          <w:p w:rsidR="00792F7D" w:rsidRPr="002832A9" w:rsidRDefault="00792F7D" w:rsidP="001C4AC6">
            <w:pPr>
              <w:jc w:val="both"/>
              <w:rPr>
                <w:rFonts w:eastAsia="Calibri"/>
                <w:sz w:val="20"/>
                <w:lang w:val="fr-CA"/>
              </w:rPr>
            </w:pPr>
          </w:p>
        </w:tc>
      </w:tr>
      <w:tr w:rsidR="00792F7D" w:rsidRPr="002832A9" w:rsidTr="001C4AC6">
        <w:tc>
          <w:tcPr>
            <w:tcW w:w="5000" w:type="pct"/>
            <w:gridSpan w:val="3"/>
          </w:tcPr>
          <w:p w:rsidR="00792F7D" w:rsidRPr="002832A9" w:rsidRDefault="00792F7D" w:rsidP="001C4AC6">
            <w:pPr>
              <w:jc w:val="both"/>
              <w:rPr>
                <w:rFonts w:eastAsia="Calibri"/>
                <w:sz w:val="20"/>
                <w:lang w:val="fr-CA"/>
              </w:rPr>
            </w:pPr>
            <w:r w:rsidRPr="002832A9">
              <w:rPr>
                <w:rFonts w:eastAsia="Calibri"/>
                <w:sz w:val="20"/>
                <w:lang w:val="fr-CA"/>
              </w:rPr>
              <w:t xml:space="preserve">Le demandeur a présenté une requête pour faire fixer la date d’audition d’un appel. Il n’avait pas payé les dépens auxquels il avait été condamné auparavant. L’intimée a présenté une requête incidente en vue d’obtenir la suspension de l’appel et un cautionnement pour dépens. Le juge des requêtes a suspendu l’appel jusqu’à ce que le demandeur acquitte les dépens impayés. La Cour d’appel a rejeté un appel. </w:t>
            </w:r>
          </w:p>
          <w:p w:rsidR="00792F7D" w:rsidRPr="002832A9" w:rsidRDefault="00792F7D" w:rsidP="001C4AC6">
            <w:pPr>
              <w:jc w:val="both"/>
              <w:rPr>
                <w:rFonts w:eastAsia="Calibri"/>
                <w:sz w:val="20"/>
                <w:lang w:val="fr-CA"/>
              </w:rPr>
            </w:pPr>
          </w:p>
        </w:tc>
      </w:tr>
      <w:tr w:rsidR="00792F7D" w:rsidRPr="00EB0F11" w:rsidTr="001C4AC6">
        <w:tc>
          <w:tcPr>
            <w:tcW w:w="2426" w:type="pct"/>
          </w:tcPr>
          <w:p w:rsidR="00792F7D" w:rsidRPr="002832A9" w:rsidRDefault="00792F7D" w:rsidP="001C4AC6">
            <w:pPr>
              <w:jc w:val="both"/>
              <w:rPr>
                <w:sz w:val="20"/>
                <w:lang w:val="fr-CA" w:eastAsia="en-CA"/>
              </w:rPr>
            </w:pPr>
            <w:r w:rsidRPr="002832A9">
              <w:rPr>
                <w:rFonts w:eastAsia="Calibri"/>
                <w:sz w:val="20"/>
                <w:lang w:val="fr-CA"/>
              </w:rPr>
              <w:t>21 mars 2013</w:t>
            </w:r>
          </w:p>
          <w:p w:rsidR="00792F7D" w:rsidRPr="002832A9" w:rsidRDefault="00792F7D" w:rsidP="001C4AC6">
            <w:pPr>
              <w:jc w:val="both"/>
              <w:rPr>
                <w:rFonts w:eastAsia="Calibri"/>
                <w:sz w:val="20"/>
                <w:lang w:val="fr-CA"/>
              </w:rPr>
            </w:pPr>
            <w:r w:rsidRPr="002832A9">
              <w:rPr>
                <w:rFonts w:eastAsia="Calibri"/>
                <w:sz w:val="20"/>
                <w:lang w:val="fr-CA"/>
              </w:rPr>
              <w:t>Cour de justice de l’Ontario</w:t>
            </w:r>
          </w:p>
          <w:p w:rsidR="00792F7D" w:rsidRPr="002832A9" w:rsidRDefault="00792F7D" w:rsidP="001C4AC6">
            <w:pPr>
              <w:jc w:val="both"/>
              <w:rPr>
                <w:rFonts w:eastAsia="Calibri"/>
                <w:sz w:val="20"/>
                <w:lang w:val="fr-CA"/>
              </w:rPr>
            </w:pPr>
            <w:r w:rsidRPr="002832A9">
              <w:rPr>
                <w:rFonts w:eastAsia="Calibri"/>
                <w:sz w:val="20"/>
                <w:lang w:val="fr-CA"/>
              </w:rPr>
              <w:t>(Juge Perkins)</w:t>
            </w:r>
          </w:p>
          <w:p w:rsidR="00792F7D" w:rsidRPr="002832A9" w:rsidRDefault="00792F7D" w:rsidP="001C4AC6">
            <w:pPr>
              <w:jc w:val="both"/>
              <w:rPr>
                <w:rFonts w:eastAsia="Calibri"/>
                <w:sz w:val="20"/>
                <w:lang w:val="fr-CA"/>
              </w:rPr>
            </w:pPr>
            <w:r w:rsidRPr="002832A9">
              <w:rPr>
                <w:rFonts w:eastAsia="Calibri"/>
                <w:sz w:val="20"/>
                <w:lang w:val="fr-CA"/>
              </w:rPr>
              <w:t>FS-12-00018248</w:t>
            </w:r>
          </w:p>
          <w:p w:rsidR="00792F7D" w:rsidRPr="002832A9" w:rsidRDefault="00792F7D" w:rsidP="001C4AC6">
            <w:pPr>
              <w:jc w:val="both"/>
              <w:rPr>
                <w:rFonts w:eastAsia="Calibri"/>
                <w:sz w:val="20"/>
                <w:lang w:val="fr-CA" w:eastAsia="en-CA"/>
              </w:rPr>
            </w:pPr>
          </w:p>
        </w:tc>
        <w:tc>
          <w:tcPr>
            <w:tcW w:w="244" w:type="pct"/>
          </w:tcPr>
          <w:p w:rsidR="00792F7D" w:rsidRPr="002832A9" w:rsidRDefault="00792F7D" w:rsidP="001C4AC6">
            <w:pPr>
              <w:jc w:val="both"/>
              <w:rPr>
                <w:rFonts w:eastAsia="Calibri"/>
                <w:sz w:val="20"/>
                <w:lang w:val="fr-CA" w:eastAsia="en-CA"/>
              </w:rPr>
            </w:pPr>
          </w:p>
        </w:tc>
        <w:tc>
          <w:tcPr>
            <w:tcW w:w="2330" w:type="pct"/>
          </w:tcPr>
          <w:p w:rsidR="00792F7D" w:rsidRPr="002832A9" w:rsidRDefault="00792F7D" w:rsidP="001C4AC6">
            <w:pPr>
              <w:jc w:val="both"/>
              <w:rPr>
                <w:rFonts w:eastAsia="Calibri"/>
                <w:sz w:val="20"/>
                <w:lang w:val="fr-CA" w:eastAsia="en-CA"/>
              </w:rPr>
            </w:pPr>
            <w:r w:rsidRPr="002832A9">
              <w:rPr>
                <w:rFonts w:eastAsia="Calibri"/>
                <w:sz w:val="20"/>
                <w:lang w:val="fr-CA"/>
              </w:rPr>
              <w:t>Requête pour faire fixer la date d’audition d’un appel rejetée; requête incidente en suspension de l’appel accueillie</w:t>
            </w:r>
          </w:p>
        </w:tc>
      </w:tr>
      <w:tr w:rsidR="00792F7D" w:rsidRPr="002832A9" w:rsidTr="001C4AC6">
        <w:tc>
          <w:tcPr>
            <w:tcW w:w="2426" w:type="pct"/>
          </w:tcPr>
          <w:p w:rsidR="00792F7D" w:rsidRPr="002832A9" w:rsidRDefault="00792F7D" w:rsidP="001C4AC6">
            <w:pPr>
              <w:jc w:val="both"/>
              <w:rPr>
                <w:sz w:val="20"/>
                <w:lang w:val="fr-CA" w:eastAsia="en-CA"/>
              </w:rPr>
            </w:pPr>
            <w:r w:rsidRPr="002832A9">
              <w:rPr>
                <w:rFonts w:eastAsia="Calibri"/>
                <w:sz w:val="20"/>
                <w:lang w:val="fr-CA"/>
              </w:rPr>
              <w:t>21 août 2013</w:t>
            </w:r>
          </w:p>
          <w:p w:rsidR="00792F7D" w:rsidRPr="002832A9" w:rsidRDefault="00792F7D" w:rsidP="001C4AC6">
            <w:pPr>
              <w:jc w:val="both"/>
              <w:rPr>
                <w:rFonts w:eastAsia="Calibri"/>
                <w:sz w:val="20"/>
                <w:lang w:val="fr-CA"/>
              </w:rPr>
            </w:pPr>
            <w:r w:rsidRPr="002832A9">
              <w:rPr>
                <w:rFonts w:eastAsia="Calibri"/>
                <w:sz w:val="20"/>
                <w:lang w:val="fr-CA"/>
              </w:rPr>
              <w:t>Cour d’appel de l’Ontario</w:t>
            </w:r>
          </w:p>
          <w:p w:rsidR="00792F7D" w:rsidRPr="002832A9" w:rsidRDefault="00792F7D" w:rsidP="001C4AC6">
            <w:pPr>
              <w:jc w:val="both"/>
              <w:rPr>
                <w:rFonts w:eastAsia="Calibri"/>
                <w:sz w:val="20"/>
                <w:lang w:val="fr-CA"/>
              </w:rPr>
            </w:pPr>
            <w:r w:rsidRPr="002832A9">
              <w:rPr>
                <w:rFonts w:eastAsia="Calibri"/>
                <w:sz w:val="20"/>
                <w:lang w:val="fr-CA"/>
              </w:rPr>
              <w:t>(Juges Goudge, Watt et Pepall)</w:t>
            </w:r>
          </w:p>
          <w:p w:rsidR="00792F7D" w:rsidRPr="002832A9" w:rsidRDefault="00792F7D" w:rsidP="001C4AC6">
            <w:pPr>
              <w:jc w:val="both"/>
              <w:rPr>
                <w:rFonts w:eastAsia="Calibri"/>
                <w:sz w:val="20"/>
              </w:rPr>
            </w:pPr>
            <w:r w:rsidRPr="002832A9">
              <w:rPr>
                <w:rFonts w:eastAsia="Calibri"/>
                <w:sz w:val="20"/>
              </w:rPr>
              <w:t xml:space="preserve">C56814; </w:t>
            </w:r>
            <w:hyperlink r:id="rId49" w:history="1">
              <w:r w:rsidRPr="002832A9">
                <w:rPr>
                  <w:rFonts w:eastAsia="Calibri"/>
                  <w:color w:val="0000FF"/>
                  <w:sz w:val="20"/>
                  <w:u w:val="single"/>
                </w:rPr>
                <w:t>2013 ONCA 522</w:t>
              </w:r>
            </w:hyperlink>
          </w:p>
          <w:p w:rsidR="00792F7D" w:rsidRPr="002832A9" w:rsidRDefault="00792F7D" w:rsidP="001C4AC6">
            <w:pPr>
              <w:jc w:val="both"/>
              <w:rPr>
                <w:rFonts w:eastAsia="Calibri"/>
                <w:sz w:val="20"/>
                <w:lang w:eastAsia="en-CA"/>
              </w:rPr>
            </w:pPr>
          </w:p>
        </w:tc>
        <w:tc>
          <w:tcPr>
            <w:tcW w:w="244" w:type="pct"/>
          </w:tcPr>
          <w:p w:rsidR="00792F7D" w:rsidRPr="002832A9" w:rsidRDefault="00792F7D" w:rsidP="001C4AC6">
            <w:pPr>
              <w:jc w:val="both"/>
              <w:rPr>
                <w:rFonts w:eastAsia="Calibri"/>
                <w:sz w:val="20"/>
                <w:lang w:eastAsia="en-CA"/>
              </w:rPr>
            </w:pPr>
          </w:p>
        </w:tc>
        <w:tc>
          <w:tcPr>
            <w:tcW w:w="2330" w:type="pct"/>
          </w:tcPr>
          <w:p w:rsidR="00792F7D" w:rsidRPr="002832A9" w:rsidRDefault="00792F7D" w:rsidP="001C4AC6">
            <w:pPr>
              <w:jc w:val="both"/>
              <w:rPr>
                <w:rFonts w:eastAsia="Calibri"/>
                <w:sz w:val="20"/>
                <w:lang w:val="fr-CA" w:eastAsia="en-CA"/>
              </w:rPr>
            </w:pPr>
            <w:r w:rsidRPr="002832A9">
              <w:rPr>
                <w:rFonts w:eastAsia="Calibri"/>
                <w:sz w:val="20"/>
                <w:lang w:val="fr-CA"/>
              </w:rPr>
              <w:t>Appel rejeté</w:t>
            </w:r>
          </w:p>
        </w:tc>
      </w:tr>
      <w:tr w:rsidR="00792F7D" w:rsidRPr="002832A9" w:rsidTr="001C4AC6">
        <w:tc>
          <w:tcPr>
            <w:tcW w:w="2426" w:type="pct"/>
          </w:tcPr>
          <w:p w:rsidR="00792F7D" w:rsidRPr="002832A9" w:rsidRDefault="00792F7D" w:rsidP="001C4AC6">
            <w:pPr>
              <w:jc w:val="both"/>
              <w:rPr>
                <w:sz w:val="20"/>
                <w:lang w:val="fr-CA" w:eastAsia="en-CA"/>
              </w:rPr>
            </w:pPr>
            <w:r w:rsidRPr="002832A9">
              <w:rPr>
                <w:rFonts w:eastAsia="Calibri"/>
                <w:sz w:val="20"/>
                <w:lang w:val="fr-CA"/>
              </w:rPr>
              <w:t>18 octobre 2013</w:t>
            </w:r>
          </w:p>
          <w:p w:rsidR="00792F7D" w:rsidRPr="002832A9" w:rsidRDefault="00792F7D" w:rsidP="001C4AC6">
            <w:pPr>
              <w:jc w:val="both"/>
              <w:rPr>
                <w:rFonts w:eastAsia="Calibri"/>
                <w:sz w:val="20"/>
                <w:lang w:val="fr-CA" w:eastAsia="en-CA"/>
              </w:rPr>
            </w:pPr>
            <w:r w:rsidRPr="002832A9">
              <w:rPr>
                <w:rFonts w:eastAsia="Calibri"/>
                <w:sz w:val="20"/>
                <w:lang w:val="fr-CA"/>
              </w:rPr>
              <w:t>Cour suprême du Canada</w:t>
            </w:r>
          </w:p>
        </w:tc>
        <w:tc>
          <w:tcPr>
            <w:tcW w:w="244" w:type="pct"/>
          </w:tcPr>
          <w:p w:rsidR="00792F7D" w:rsidRPr="002832A9" w:rsidRDefault="00792F7D" w:rsidP="001C4AC6">
            <w:pPr>
              <w:jc w:val="both"/>
              <w:rPr>
                <w:rFonts w:eastAsia="Calibri"/>
                <w:sz w:val="20"/>
                <w:lang w:val="fr-CA" w:eastAsia="en-CA"/>
              </w:rPr>
            </w:pPr>
          </w:p>
        </w:tc>
        <w:tc>
          <w:tcPr>
            <w:tcW w:w="2330" w:type="pct"/>
          </w:tcPr>
          <w:p w:rsidR="00792F7D" w:rsidRPr="002832A9" w:rsidRDefault="00792F7D" w:rsidP="001C4AC6">
            <w:pPr>
              <w:jc w:val="both"/>
              <w:rPr>
                <w:rFonts w:eastAsia="Calibri"/>
                <w:sz w:val="20"/>
                <w:lang w:eastAsia="en-CA"/>
              </w:rPr>
            </w:pPr>
            <w:r w:rsidRPr="002832A9">
              <w:rPr>
                <w:rFonts w:eastAsia="Calibri"/>
                <w:sz w:val="20"/>
                <w:lang w:val="fr-CA"/>
              </w:rPr>
              <w:t>Demande d’autorisation d’appel déposée</w:t>
            </w:r>
          </w:p>
        </w:tc>
      </w:tr>
    </w:tbl>
    <w:p w:rsidR="002A46DC" w:rsidRDefault="002A46DC" w:rsidP="002A46DC">
      <w:pPr>
        <w:rPr>
          <w:sz w:val="20"/>
          <w:szCs w:val="20"/>
        </w:rPr>
      </w:pPr>
    </w:p>
    <w:p w:rsidR="002A46DC" w:rsidRDefault="00EB0F11" w:rsidP="002A46DC">
      <w:pPr>
        <w:rPr>
          <w:sz w:val="20"/>
          <w:szCs w:val="20"/>
        </w:rPr>
      </w:pPr>
      <w:r>
        <w:rPr>
          <w:sz w:val="20"/>
          <w:szCs w:val="20"/>
          <w:lang w:val="fr-CA"/>
        </w:rPr>
        <w:pict>
          <v:rect id="_x0000_i1058" style="width:2in;height:1pt" o:hrpct="0" o:hralign="center" o:hrstd="t" o:hrnoshade="t" o:hr="t" fillcolor="black [3213]" stroked="f"/>
        </w:pict>
      </w:r>
    </w:p>
    <w:p w:rsidR="002A46DC" w:rsidRDefault="002A46DC" w:rsidP="002A46DC">
      <w:pPr>
        <w:rPr>
          <w:sz w:val="20"/>
          <w:szCs w:val="20"/>
        </w:rPr>
      </w:pPr>
    </w:p>
    <w:tbl>
      <w:tblPr>
        <w:tblStyle w:val="TableGrid1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F0143" w:rsidRPr="000F0143" w:rsidTr="002B62A3">
        <w:trPr>
          <w:cantSplit/>
        </w:trPr>
        <w:tc>
          <w:tcPr>
            <w:tcW w:w="1458" w:type="dxa"/>
          </w:tcPr>
          <w:p w:rsidR="000F0143" w:rsidRPr="000F0143" w:rsidRDefault="000F0143" w:rsidP="000F0143">
            <w:pPr>
              <w:rPr>
                <w:sz w:val="20"/>
              </w:rPr>
            </w:pPr>
            <w:r w:rsidRPr="000F0143">
              <w:rPr>
                <w:b/>
                <w:sz w:val="20"/>
                <w:lang w:val="fr-CA"/>
              </w:rPr>
              <w:t>35595</w:t>
            </w:r>
          </w:p>
          <w:p w:rsidR="000F0143" w:rsidRPr="000F0143" w:rsidRDefault="000F0143" w:rsidP="000F0143">
            <w:pPr>
              <w:rPr>
                <w:b/>
                <w:sz w:val="20"/>
                <w:lang w:val="fr-CA"/>
              </w:rPr>
            </w:pPr>
          </w:p>
        </w:tc>
        <w:tc>
          <w:tcPr>
            <w:tcW w:w="8118" w:type="dxa"/>
          </w:tcPr>
          <w:p w:rsidR="000F0143" w:rsidRPr="000F0143" w:rsidRDefault="000F0143" w:rsidP="000F0143">
            <w:pPr>
              <w:rPr>
                <w:sz w:val="20"/>
              </w:rPr>
            </w:pPr>
            <w:r w:rsidRPr="000F0143">
              <w:rPr>
                <w:b/>
                <w:sz w:val="20"/>
                <w:u w:val="single"/>
                <w:lang w:val="fr-CA"/>
              </w:rPr>
              <w:t>Ville de Longueuil c. 4053532 Canada Inc.</w:t>
            </w:r>
            <w:r w:rsidRPr="000F0143">
              <w:rPr>
                <w:sz w:val="20"/>
                <w:lang w:val="fr-CA"/>
              </w:rPr>
              <w:t xml:space="preserve"> </w:t>
            </w:r>
            <w:r w:rsidRPr="000F0143">
              <w:rPr>
                <w:sz w:val="20"/>
              </w:rPr>
              <w:t>(Qc) (Civile) (Autorisation)</w:t>
            </w:r>
          </w:p>
          <w:p w:rsidR="000F0143" w:rsidRPr="000F0143" w:rsidRDefault="000F0143" w:rsidP="000F0143">
            <w:pPr>
              <w:rPr>
                <w:sz w:val="20"/>
              </w:rPr>
            </w:pPr>
          </w:p>
        </w:tc>
      </w:tr>
      <w:tr w:rsidR="000F0143" w:rsidRPr="00EB0F11" w:rsidTr="002B62A3">
        <w:trPr>
          <w:cantSplit/>
        </w:trPr>
        <w:tc>
          <w:tcPr>
            <w:tcW w:w="1458" w:type="dxa"/>
          </w:tcPr>
          <w:p w:rsidR="000F0143" w:rsidRPr="000F0143" w:rsidRDefault="000F0143" w:rsidP="000F0143">
            <w:pPr>
              <w:rPr>
                <w:sz w:val="20"/>
              </w:rPr>
            </w:pPr>
            <w:r w:rsidRPr="000F0143">
              <w:rPr>
                <w:sz w:val="20"/>
              </w:rPr>
              <w:t>Coram :</w:t>
            </w:r>
          </w:p>
        </w:tc>
        <w:tc>
          <w:tcPr>
            <w:tcW w:w="8118" w:type="dxa"/>
          </w:tcPr>
          <w:p w:rsidR="000F0143" w:rsidRPr="000F0143" w:rsidRDefault="000F0143" w:rsidP="000F0143">
            <w:pPr>
              <w:rPr>
                <w:sz w:val="20"/>
                <w:lang w:val="fr-CA"/>
              </w:rPr>
            </w:pPr>
            <w:r w:rsidRPr="000F0143">
              <w:rPr>
                <w:sz w:val="20"/>
                <w:u w:val="single"/>
                <w:lang w:val="fr-CA"/>
              </w:rPr>
              <w:t>Les juges LeBel, Karakatsanis et Wagner</w:t>
            </w:r>
          </w:p>
          <w:p w:rsidR="000F0143" w:rsidRPr="000F0143" w:rsidRDefault="000F0143" w:rsidP="000F0143">
            <w:pPr>
              <w:rPr>
                <w:sz w:val="20"/>
                <w:u w:val="single"/>
                <w:lang w:val="fr-CA"/>
              </w:rPr>
            </w:pPr>
          </w:p>
        </w:tc>
      </w:tr>
      <w:tr w:rsidR="000F0143" w:rsidRPr="000F0143" w:rsidTr="002B62A3">
        <w:trPr>
          <w:cantSplit/>
        </w:trPr>
        <w:tc>
          <w:tcPr>
            <w:tcW w:w="9576" w:type="dxa"/>
            <w:gridSpan w:val="2"/>
          </w:tcPr>
          <w:p w:rsidR="000F0143" w:rsidRPr="000F0143" w:rsidRDefault="000F0143" w:rsidP="000F0143">
            <w:pPr>
              <w:ind w:firstLine="720"/>
              <w:jc w:val="both"/>
              <w:rPr>
                <w:sz w:val="20"/>
                <w:lang w:val="fr-CA"/>
              </w:rPr>
            </w:pPr>
            <w:r w:rsidRPr="000F0143">
              <w:rPr>
                <w:sz w:val="20"/>
                <w:lang w:val="fr-CA"/>
              </w:rPr>
              <w:t>La demande d’autorisation d’appel de l’arrêt de la Cour d’appel du Québec (Montréal), numéro 500-09-021845-110, 2013 QCCA 1428, daté du 27 août 2013, est rejetée avec dépens.</w:t>
            </w:r>
          </w:p>
          <w:p w:rsidR="000F0143" w:rsidRPr="000F0143" w:rsidRDefault="000F0143" w:rsidP="000F0143">
            <w:pPr>
              <w:jc w:val="both"/>
              <w:rPr>
                <w:sz w:val="20"/>
                <w:lang w:val="fr-CA"/>
              </w:rPr>
            </w:pPr>
          </w:p>
          <w:p w:rsidR="000F0143" w:rsidRPr="000F0143" w:rsidRDefault="000F0143" w:rsidP="000F0143">
            <w:pPr>
              <w:ind w:firstLine="720"/>
              <w:jc w:val="both"/>
              <w:rPr>
                <w:sz w:val="20"/>
              </w:rPr>
            </w:pPr>
            <w:r w:rsidRPr="000F0143">
              <w:rPr>
                <w:sz w:val="20"/>
              </w:rPr>
              <w:t>The application for leave to appeal from the judgment of the Court of Appeal of Quebec (Montréal), Number 500-09-021845-110, 2013 QCCA 1428, dated August 27, 2013, is dismissed with costs.</w:t>
            </w:r>
          </w:p>
        </w:tc>
      </w:tr>
    </w:tbl>
    <w:p w:rsidR="002A46DC" w:rsidRPr="000F0143" w:rsidRDefault="002A46DC" w:rsidP="002A46DC">
      <w:pPr>
        <w:rPr>
          <w:sz w:val="20"/>
          <w:szCs w:val="20"/>
        </w:rPr>
      </w:pPr>
    </w:p>
    <w:p w:rsidR="002A46DC" w:rsidRPr="001B157C" w:rsidRDefault="002A46DC" w:rsidP="002A46DC">
      <w:pPr>
        <w:rPr>
          <w:sz w:val="20"/>
          <w:szCs w:val="20"/>
          <w:u w:val="single"/>
        </w:rPr>
      </w:pPr>
      <w:r w:rsidRPr="001B157C">
        <w:rPr>
          <w:sz w:val="20"/>
          <w:szCs w:val="20"/>
          <w:u w:val="single"/>
        </w:rPr>
        <w:t>CASE SUMMARY</w:t>
      </w:r>
    </w:p>
    <w:p w:rsidR="002A46DC" w:rsidRDefault="002A46DC" w:rsidP="002A46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92F7D" w:rsidRPr="002832A9" w:rsidTr="001C4AC6">
        <w:tc>
          <w:tcPr>
            <w:tcW w:w="5000" w:type="pct"/>
            <w:gridSpan w:val="3"/>
          </w:tcPr>
          <w:p w:rsidR="00792F7D" w:rsidRPr="002832A9" w:rsidRDefault="00792F7D" w:rsidP="001C4AC6">
            <w:pPr>
              <w:jc w:val="both"/>
              <w:rPr>
                <w:rFonts w:eastAsia="Calibri"/>
                <w:sz w:val="20"/>
              </w:rPr>
            </w:pPr>
            <w:r w:rsidRPr="002832A9">
              <w:rPr>
                <w:rFonts w:eastAsia="Calibri"/>
                <w:sz w:val="20"/>
              </w:rPr>
              <w:t xml:space="preserve">Municipal law – Taxation – Interpretation and application of s. 2 of </w:t>
            </w:r>
            <w:r w:rsidRPr="002832A9">
              <w:rPr>
                <w:rFonts w:eastAsia="Calibri"/>
                <w:i/>
                <w:sz w:val="20"/>
              </w:rPr>
              <w:t>Act respecting duties on transfers of immovables</w:t>
            </w:r>
            <w:r w:rsidRPr="002832A9">
              <w:rPr>
                <w:rFonts w:eastAsia="Calibri"/>
                <w:sz w:val="20"/>
              </w:rPr>
              <w:t>, R.S.Q., c. D</w:t>
            </w:r>
            <w:r w:rsidRPr="002832A9">
              <w:rPr>
                <w:rFonts w:eastAsia="Calibri"/>
                <w:sz w:val="20"/>
              </w:rPr>
              <w:noBreakHyphen/>
              <w:t>15.1 – Emphyteusis – Whether Court of Appeal breached its obligation to interpret and apply statute according to its wording where clear.</w:t>
            </w:r>
          </w:p>
        </w:tc>
      </w:tr>
      <w:tr w:rsidR="00792F7D" w:rsidRPr="002832A9" w:rsidTr="001C4AC6">
        <w:tc>
          <w:tcPr>
            <w:tcW w:w="5000" w:type="pct"/>
            <w:gridSpan w:val="3"/>
          </w:tcPr>
          <w:p w:rsidR="00792F7D" w:rsidRPr="002832A9" w:rsidRDefault="00792F7D" w:rsidP="001C4AC6">
            <w:pPr>
              <w:jc w:val="both"/>
              <w:rPr>
                <w:rFonts w:eastAsia="Calibri"/>
                <w:sz w:val="20"/>
              </w:rPr>
            </w:pPr>
          </w:p>
        </w:tc>
      </w:tr>
      <w:tr w:rsidR="00792F7D" w:rsidRPr="002832A9" w:rsidTr="001C4AC6">
        <w:tc>
          <w:tcPr>
            <w:tcW w:w="5000" w:type="pct"/>
            <w:gridSpan w:val="3"/>
          </w:tcPr>
          <w:p w:rsidR="00792F7D" w:rsidRPr="002832A9" w:rsidRDefault="00792F7D" w:rsidP="001C4AC6">
            <w:pPr>
              <w:jc w:val="both"/>
              <w:rPr>
                <w:rFonts w:eastAsia="Calibri"/>
                <w:sz w:val="20"/>
              </w:rPr>
            </w:pPr>
            <w:r w:rsidRPr="002832A9">
              <w:rPr>
                <w:rFonts w:eastAsia="Calibri"/>
                <w:sz w:val="20"/>
              </w:rPr>
              <w:t xml:space="preserve">Section 2 of the </w:t>
            </w:r>
            <w:r w:rsidRPr="002832A9">
              <w:rPr>
                <w:rFonts w:eastAsia="Calibri"/>
                <w:i/>
                <w:sz w:val="20"/>
              </w:rPr>
              <w:t>Act respecting duties on transfers of immovables</w:t>
            </w:r>
            <w:r w:rsidRPr="002832A9">
              <w:rPr>
                <w:rFonts w:eastAsia="Calibri"/>
                <w:sz w:val="20"/>
              </w:rPr>
              <w:t>, R.S.Q., c. D</w:t>
            </w:r>
            <w:r w:rsidRPr="002832A9">
              <w:rPr>
                <w:rFonts w:eastAsia="Calibri"/>
                <w:sz w:val="20"/>
              </w:rPr>
              <w:noBreakHyphen/>
              <w:t>15.1 (“</w:t>
            </w:r>
            <w:r w:rsidRPr="002832A9">
              <w:rPr>
                <w:rFonts w:eastAsia="Calibri"/>
                <w:i/>
                <w:sz w:val="20"/>
              </w:rPr>
              <w:t>A.D.T.I.</w:t>
            </w:r>
            <w:r w:rsidRPr="002832A9">
              <w:rPr>
                <w:rFonts w:eastAsia="Calibri"/>
                <w:sz w:val="20"/>
              </w:rPr>
              <w:t xml:space="preserve">”), requires every Quebec municipality to collect duties on the transfer of any immovable situated within its territory.  Section 2 of the </w:t>
            </w:r>
            <w:r w:rsidRPr="002832A9">
              <w:rPr>
                <w:rFonts w:eastAsia="Calibri"/>
                <w:i/>
                <w:sz w:val="20"/>
              </w:rPr>
              <w:t>A.D.T.I.</w:t>
            </w:r>
            <w:r w:rsidRPr="002832A9">
              <w:rPr>
                <w:rFonts w:eastAsia="Calibri"/>
                <w:sz w:val="20"/>
              </w:rPr>
              <w:t xml:space="preserve"> provides that, for the purpose of computing transfer duties, municipalities must use the greatest of the following amounts: the amount of the consideration furnished for the transfer of the immovable, the amount of the </w:t>
            </w:r>
            <w:r w:rsidRPr="002832A9">
              <w:rPr>
                <w:rFonts w:eastAsia="Calibri"/>
                <w:sz w:val="20"/>
              </w:rPr>
              <w:lastRenderedPageBreak/>
              <w:t>consideration stipulated for the transfer of the immovable, or the amount of the market value of the immovable at the time of its transfer.</w:t>
            </w:r>
          </w:p>
          <w:p w:rsidR="00792F7D" w:rsidRPr="002832A9" w:rsidRDefault="00792F7D" w:rsidP="001C4AC6">
            <w:pPr>
              <w:jc w:val="both"/>
              <w:rPr>
                <w:rFonts w:eastAsia="Calibri"/>
                <w:sz w:val="20"/>
              </w:rPr>
            </w:pPr>
          </w:p>
          <w:p w:rsidR="00792F7D" w:rsidRPr="002832A9" w:rsidRDefault="00792F7D" w:rsidP="001C4AC6">
            <w:pPr>
              <w:jc w:val="both"/>
              <w:rPr>
                <w:rFonts w:eastAsia="Calibri"/>
                <w:sz w:val="20"/>
              </w:rPr>
            </w:pPr>
            <w:r w:rsidRPr="002832A9">
              <w:rPr>
                <w:rFonts w:eastAsia="Calibri"/>
                <w:sz w:val="20"/>
              </w:rPr>
              <w:t xml:space="preserve">In 2008, the respondent 4053532 Canada Inc. purchased the emphyteutic lessor rights held by the applicant City of Longueuil in three immovables.  Under the </w:t>
            </w:r>
            <w:r w:rsidRPr="002832A9">
              <w:rPr>
                <w:rFonts w:eastAsia="Calibri"/>
                <w:i/>
                <w:sz w:val="20"/>
              </w:rPr>
              <w:t>A.D.T.I.</w:t>
            </w:r>
            <w:r w:rsidRPr="002832A9">
              <w:rPr>
                <w:rFonts w:eastAsia="Calibri"/>
                <w:sz w:val="20"/>
              </w:rPr>
              <w:t xml:space="preserve">, the City sent the respondent three accounts imposing transfer duties computed on the basis of the market value of the immovables.  In response, the respondent applied to the Superior Court for the annulment of the tax accounts and the reimbursement of the amount it had paid on the accounts.  In the respondent’s view, the sale in question was not a transfer within the meaning of the </w:t>
            </w:r>
            <w:r w:rsidRPr="002832A9">
              <w:rPr>
                <w:rFonts w:eastAsia="Calibri"/>
                <w:i/>
                <w:sz w:val="20"/>
              </w:rPr>
              <w:t>A.D.T.I.</w:t>
            </w:r>
            <w:r w:rsidRPr="002832A9">
              <w:rPr>
                <w:rFonts w:eastAsia="Calibri"/>
                <w:sz w:val="20"/>
              </w:rPr>
              <w:t xml:space="preserve">  In the alternative, the respondent argued that, even if the City had correctly imposed transfer duties, those duties had to be computed on the basis of the amount it had paid as consideration for the immovables, not the market value of the immovables.  The Superior Court dismissed the motion to institute proceedings.  The Court of Appeal allowed the appeal on the ground that the transfer duties had to be computed on the basis of the amount paid as consideration for the immovables.</w:t>
            </w:r>
          </w:p>
          <w:p w:rsidR="00792F7D" w:rsidRPr="002832A9" w:rsidRDefault="00792F7D" w:rsidP="001C4AC6">
            <w:pPr>
              <w:jc w:val="both"/>
              <w:rPr>
                <w:rFonts w:eastAsia="Calibri"/>
                <w:sz w:val="20"/>
              </w:rPr>
            </w:pPr>
          </w:p>
        </w:tc>
      </w:tr>
      <w:tr w:rsidR="00792F7D" w:rsidRPr="002832A9" w:rsidTr="000F0143">
        <w:trPr>
          <w:cantSplit/>
        </w:trPr>
        <w:tc>
          <w:tcPr>
            <w:tcW w:w="2427" w:type="pct"/>
          </w:tcPr>
          <w:p w:rsidR="00792F7D" w:rsidRPr="002832A9" w:rsidRDefault="00792F7D" w:rsidP="001C4AC6">
            <w:pPr>
              <w:jc w:val="both"/>
              <w:rPr>
                <w:rFonts w:eastAsia="Calibri"/>
                <w:sz w:val="20"/>
              </w:rPr>
            </w:pPr>
            <w:r w:rsidRPr="002832A9">
              <w:rPr>
                <w:rFonts w:eastAsia="Calibri"/>
                <w:sz w:val="20"/>
              </w:rPr>
              <w:lastRenderedPageBreak/>
              <w:t>June 10, 2011</w:t>
            </w:r>
          </w:p>
          <w:p w:rsidR="00792F7D" w:rsidRPr="002832A9" w:rsidRDefault="00792F7D" w:rsidP="001C4AC6">
            <w:pPr>
              <w:jc w:val="both"/>
              <w:rPr>
                <w:rFonts w:eastAsia="Calibri"/>
                <w:sz w:val="20"/>
              </w:rPr>
            </w:pPr>
            <w:r w:rsidRPr="002832A9">
              <w:rPr>
                <w:rFonts w:eastAsia="Calibri"/>
                <w:sz w:val="20"/>
              </w:rPr>
              <w:t>Quebec Superior Court</w:t>
            </w:r>
          </w:p>
          <w:p w:rsidR="00792F7D" w:rsidRPr="002832A9" w:rsidRDefault="00792F7D" w:rsidP="001C4AC6">
            <w:pPr>
              <w:jc w:val="both"/>
              <w:rPr>
                <w:rFonts w:eastAsia="Calibri"/>
                <w:sz w:val="20"/>
              </w:rPr>
            </w:pPr>
            <w:r w:rsidRPr="002832A9">
              <w:rPr>
                <w:rFonts w:eastAsia="Calibri"/>
                <w:sz w:val="20"/>
              </w:rPr>
              <w:t>(Massé J.)</w:t>
            </w:r>
          </w:p>
          <w:p w:rsidR="00792F7D" w:rsidRPr="002832A9" w:rsidRDefault="00EB0F11" w:rsidP="001C4AC6">
            <w:pPr>
              <w:jc w:val="both"/>
              <w:rPr>
                <w:rFonts w:eastAsia="Calibri"/>
                <w:sz w:val="20"/>
              </w:rPr>
            </w:pPr>
            <w:hyperlink r:id="rId50" w:history="1">
              <w:r w:rsidR="00792F7D" w:rsidRPr="002832A9">
                <w:rPr>
                  <w:rFonts w:eastAsia="Calibri"/>
                  <w:color w:val="0000FF"/>
                  <w:sz w:val="20"/>
                  <w:u w:val="single"/>
                </w:rPr>
                <w:t>2011 QCCS 7575</w:t>
              </w:r>
            </w:hyperlink>
          </w:p>
          <w:p w:rsidR="00792F7D" w:rsidRPr="002832A9" w:rsidRDefault="00792F7D" w:rsidP="001C4AC6">
            <w:pPr>
              <w:jc w:val="both"/>
              <w:rPr>
                <w:rFonts w:eastAsia="Calibri"/>
                <w:sz w:val="20"/>
              </w:rPr>
            </w:pPr>
          </w:p>
        </w:tc>
        <w:tc>
          <w:tcPr>
            <w:tcW w:w="243" w:type="pct"/>
          </w:tcPr>
          <w:p w:rsidR="00792F7D" w:rsidRPr="002832A9" w:rsidRDefault="00792F7D" w:rsidP="001C4AC6">
            <w:pPr>
              <w:jc w:val="both"/>
              <w:rPr>
                <w:rFonts w:eastAsia="Calibri"/>
                <w:sz w:val="20"/>
              </w:rPr>
            </w:pPr>
          </w:p>
        </w:tc>
        <w:tc>
          <w:tcPr>
            <w:tcW w:w="2330" w:type="pct"/>
          </w:tcPr>
          <w:p w:rsidR="00792F7D" w:rsidRPr="002832A9" w:rsidRDefault="00792F7D" w:rsidP="001C4AC6">
            <w:pPr>
              <w:jc w:val="both"/>
              <w:rPr>
                <w:rFonts w:eastAsia="Calibri"/>
                <w:sz w:val="20"/>
              </w:rPr>
            </w:pPr>
            <w:r w:rsidRPr="002832A9">
              <w:rPr>
                <w:rFonts w:eastAsia="Calibri"/>
                <w:sz w:val="20"/>
              </w:rPr>
              <w:t>Respondent’s motion to institute proceedings for annulment of accounts for duties on transfers of immovables and for reimbursement of amounts paid dismissed</w:t>
            </w:r>
          </w:p>
          <w:p w:rsidR="00792F7D" w:rsidRPr="002832A9" w:rsidRDefault="00792F7D" w:rsidP="001C4AC6">
            <w:pPr>
              <w:jc w:val="both"/>
              <w:rPr>
                <w:rFonts w:eastAsia="Calibri"/>
                <w:sz w:val="20"/>
              </w:rPr>
            </w:pPr>
          </w:p>
        </w:tc>
      </w:tr>
      <w:tr w:rsidR="00792F7D" w:rsidRPr="002832A9" w:rsidTr="000F0143">
        <w:trPr>
          <w:cantSplit/>
        </w:trPr>
        <w:tc>
          <w:tcPr>
            <w:tcW w:w="2427" w:type="pct"/>
          </w:tcPr>
          <w:p w:rsidR="00792F7D" w:rsidRPr="002832A9" w:rsidRDefault="00792F7D" w:rsidP="001C4AC6">
            <w:pPr>
              <w:jc w:val="both"/>
              <w:rPr>
                <w:rFonts w:eastAsia="Calibri"/>
                <w:sz w:val="20"/>
              </w:rPr>
            </w:pPr>
            <w:r w:rsidRPr="002832A9">
              <w:rPr>
                <w:rFonts w:eastAsia="Calibri"/>
                <w:sz w:val="20"/>
              </w:rPr>
              <w:t>August 27, 2013</w:t>
            </w:r>
          </w:p>
          <w:p w:rsidR="00792F7D" w:rsidRPr="002832A9" w:rsidRDefault="00792F7D" w:rsidP="001C4AC6">
            <w:pPr>
              <w:jc w:val="both"/>
              <w:rPr>
                <w:rFonts w:eastAsia="Calibri"/>
                <w:sz w:val="20"/>
              </w:rPr>
            </w:pPr>
            <w:r w:rsidRPr="002832A9">
              <w:rPr>
                <w:rFonts w:eastAsia="Calibri"/>
                <w:sz w:val="20"/>
              </w:rPr>
              <w:t>Quebec Court of Appeal (Montréal)</w:t>
            </w:r>
          </w:p>
          <w:p w:rsidR="00792F7D" w:rsidRPr="002832A9" w:rsidRDefault="00792F7D" w:rsidP="001C4AC6">
            <w:pPr>
              <w:jc w:val="both"/>
              <w:rPr>
                <w:rFonts w:eastAsia="Calibri"/>
                <w:sz w:val="20"/>
              </w:rPr>
            </w:pPr>
            <w:r w:rsidRPr="002832A9">
              <w:rPr>
                <w:rFonts w:eastAsia="Calibri"/>
                <w:sz w:val="20"/>
              </w:rPr>
              <w:t>(Bich, St-Pierre and Bélanger JJ.A.)</w:t>
            </w:r>
          </w:p>
          <w:p w:rsidR="00792F7D" w:rsidRPr="002832A9" w:rsidRDefault="00EB0F11" w:rsidP="001C4AC6">
            <w:pPr>
              <w:jc w:val="both"/>
              <w:rPr>
                <w:rFonts w:eastAsia="Calibri"/>
                <w:sz w:val="20"/>
              </w:rPr>
            </w:pPr>
            <w:hyperlink r:id="rId51" w:history="1">
              <w:r w:rsidR="00792F7D" w:rsidRPr="002832A9">
                <w:rPr>
                  <w:rFonts w:eastAsia="Calibri"/>
                  <w:color w:val="0000FF"/>
                  <w:sz w:val="20"/>
                  <w:u w:val="single"/>
                </w:rPr>
                <w:t>2013 QCCA 1428</w:t>
              </w:r>
            </w:hyperlink>
          </w:p>
          <w:p w:rsidR="00792F7D" w:rsidRPr="002832A9" w:rsidRDefault="00792F7D" w:rsidP="001C4AC6">
            <w:pPr>
              <w:jc w:val="both"/>
              <w:rPr>
                <w:rFonts w:eastAsia="Calibri"/>
                <w:sz w:val="20"/>
              </w:rPr>
            </w:pPr>
          </w:p>
        </w:tc>
        <w:tc>
          <w:tcPr>
            <w:tcW w:w="243" w:type="pct"/>
          </w:tcPr>
          <w:p w:rsidR="00792F7D" w:rsidRPr="002832A9" w:rsidRDefault="00792F7D" w:rsidP="001C4AC6">
            <w:pPr>
              <w:jc w:val="both"/>
              <w:rPr>
                <w:rFonts w:eastAsia="Calibri"/>
                <w:sz w:val="20"/>
              </w:rPr>
            </w:pPr>
          </w:p>
        </w:tc>
        <w:tc>
          <w:tcPr>
            <w:tcW w:w="2330" w:type="pct"/>
          </w:tcPr>
          <w:p w:rsidR="00792F7D" w:rsidRPr="002832A9" w:rsidRDefault="00792F7D" w:rsidP="001C4AC6">
            <w:pPr>
              <w:jc w:val="both"/>
              <w:rPr>
                <w:rFonts w:eastAsia="Calibri"/>
                <w:sz w:val="20"/>
              </w:rPr>
            </w:pPr>
            <w:r w:rsidRPr="002832A9">
              <w:rPr>
                <w:rFonts w:eastAsia="Calibri"/>
                <w:sz w:val="20"/>
              </w:rPr>
              <w:t>Appeal allowed</w:t>
            </w:r>
          </w:p>
          <w:p w:rsidR="00792F7D" w:rsidRPr="002832A9" w:rsidRDefault="00792F7D" w:rsidP="001C4AC6">
            <w:pPr>
              <w:jc w:val="both"/>
              <w:rPr>
                <w:rFonts w:eastAsia="Calibri"/>
                <w:sz w:val="20"/>
              </w:rPr>
            </w:pPr>
          </w:p>
        </w:tc>
      </w:tr>
      <w:tr w:rsidR="00792F7D" w:rsidRPr="002832A9" w:rsidTr="000F0143">
        <w:trPr>
          <w:cantSplit/>
        </w:trPr>
        <w:tc>
          <w:tcPr>
            <w:tcW w:w="2427" w:type="pct"/>
          </w:tcPr>
          <w:p w:rsidR="00792F7D" w:rsidRPr="002832A9" w:rsidRDefault="00792F7D" w:rsidP="001C4AC6">
            <w:pPr>
              <w:jc w:val="both"/>
              <w:rPr>
                <w:rFonts w:eastAsia="Calibri"/>
                <w:sz w:val="20"/>
              </w:rPr>
            </w:pPr>
            <w:r w:rsidRPr="002832A9">
              <w:rPr>
                <w:rFonts w:eastAsia="Calibri"/>
                <w:sz w:val="20"/>
              </w:rPr>
              <w:t>October 28, 2013</w:t>
            </w:r>
          </w:p>
          <w:p w:rsidR="00792F7D" w:rsidRPr="002832A9" w:rsidRDefault="00792F7D" w:rsidP="001C4AC6">
            <w:pPr>
              <w:jc w:val="both"/>
              <w:rPr>
                <w:rFonts w:eastAsia="Calibri"/>
                <w:sz w:val="20"/>
              </w:rPr>
            </w:pPr>
            <w:r w:rsidRPr="002832A9">
              <w:rPr>
                <w:rFonts w:eastAsia="Calibri"/>
                <w:sz w:val="20"/>
              </w:rPr>
              <w:t>Supreme Court of Canada</w:t>
            </w:r>
          </w:p>
        </w:tc>
        <w:tc>
          <w:tcPr>
            <w:tcW w:w="243" w:type="pct"/>
          </w:tcPr>
          <w:p w:rsidR="00792F7D" w:rsidRPr="002832A9" w:rsidRDefault="00792F7D" w:rsidP="001C4AC6">
            <w:pPr>
              <w:jc w:val="both"/>
              <w:rPr>
                <w:rFonts w:eastAsia="Calibri"/>
                <w:sz w:val="20"/>
              </w:rPr>
            </w:pPr>
          </w:p>
        </w:tc>
        <w:tc>
          <w:tcPr>
            <w:tcW w:w="2330" w:type="pct"/>
          </w:tcPr>
          <w:p w:rsidR="00792F7D" w:rsidRPr="002832A9" w:rsidRDefault="00792F7D" w:rsidP="001C4AC6">
            <w:pPr>
              <w:jc w:val="both"/>
              <w:rPr>
                <w:rFonts w:eastAsia="Calibri"/>
                <w:sz w:val="20"/>
              </w:rPr>
            </w:pPr>
            <w:r w:rsidRPr="002832A9">
              <w:rPr>
                <w:rFonts w:eastAsia="Calibri"/>
                <w:sz w:val="20"/>
              </w:rPr>
              <w:t>Application for leave to appeal filed</w:t>
            </w:r>
          </w:p>
          <w:p w:rsidR="00792F7D" w:rsidRPr="002832A9" w:rsidRDefault="00792F7D" w:rsidP="001C4AC6">
            <w:pPr>
              <w:jc w:val="both"/>
              <w:rPr>
                <w:rFonts w:eastAsia="Calibri"/>
                <w:sz w:val="20"/>
              </w:rPr>
            </w:pPr>
          </w:p>
        </w:tc>
      </w:tr>
    </w:tbl>
    <w:p w:rsidR="002A46DC" w:rsidRDefault="002A46DC" w:rsidP="002A46DC">
      <w:pPr>
        <w:rPr>
          <w:sz w:val="20"/>
          <w:szCs w:val="20"/>
        </w:rPr>
      </w:pPr>
    </w:p>
    <w:p w:rsidR="002A46DC" w:rsidRPr="00C50A5C" w:rsidRDefault="00EB0F11" w:rsidP="002A46DC">
      <w:pPr>
        <w:rPr>
          <w:sz w:val="20"/>
          <w:szCs w:val="20"/>
        </w:rPr>
      </w:pPr>
      <w:r>
        <w:rPr>
          <w:sz w:val="20"/>
          <w:szCs w:val="20"/>
          <w:lang w:val="fr-CA"/>
        </w:rPr>
        <w:pict>
          <v:rect id="_x0000_i1059" style="width:2in;height:1pt" o:hrpct="0" o:hralign="center" o:hrstd="t" o:hrnoshade="t" o:hr="t" fillcolor="black [3213]" stroked="f"/>
        </w:pict>
      </w:r>
    </w:p>
    <w:p w:rsidR="002A46DC" w:rsidRDefault="002A46DC" w:rsidP="002A46DC">
      <w:pPr>
        <w:rPr>
          <w:sz w:val="20"/>
          <w:szCs w:val="20"/>
        </w:rPr>
      </w:pPr>
    </w:p>
    <w:p w:rsidR="002A46DC" w:rsidRPr="001B157C" w:rsidRDefault="002A46DC" w:rsidP="002A46DC">
      <w:pPr>
        <w:rPr>
          <w:sz w:val="20"/>
          <w:szCs w:val="20"/>
          <w:u w:val="single"/>
          <w:lang w:val="fr-CA"/>
        </w:rPr>
      </w:pPr>
      <w:r w:rsidRPr="001B157C">
        <w:rPr>
          <w:sz w:val="20"/>
          <w:szCs w:val="20"/>
          <w:u w:val="single"/>
          <w:lang w:val="fr-CA"/>
        </w:rPr>
        <w:t>RÉSUMÉ DE L’AFFAIRE</w:t>
      </w:r>
    </w:p>
    <w:p w:rsidR="002A46DC" w:rsidRDefault="002A46DC" w:rsidP="002A46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92F7D" w:rsidRPr="00EB0F11" w:rsidTr="001C4AC6">
        <w:tc>
          <w:tcPr>
            <w:tcW w:w="5000" w:type="pct"/>
            <w:gridSpan w:val="3"/>
          </w:tcPr>
          <w:p w:rsidR="00792F7D" w:rsidRPr="002832A9" w:rsidRDefault="00792F7D" w:rsidP="001C4AC6">
            <w:pPr>
              <w:jc w:val="both"/>
              <w:rPr>
                <w:rFonts w:eastAsia="Calibri"/>
                <w:sz w:val="20"/>
                <w:lang w:val="fr-CA"/>
              </w:rPr>
            </w:pPr>
            <w:r w:rsidRPr="002832A9">
              <w:rPr>
                <w:rFonts w:eastAsia="Calibri"/>
                <w:sz w:val="20"/>
                <w:lang w:val="fr-CA"/>
              </w:rPr>
              <w:t xml:space="preserve">Droit municipal – Fiscalité – Interprétation et application de l’art. 2 de la </w:t>
            </w:r>
            <w:r w:rsidRPr="002832A9">
              <w:rPr>
                <w:rFonts w:eastAsia="Calibri"/>
                <w:i/>
                <w:sz w:val="20"/>
                <w:lang w:val="fr-CA"/>
              </w:rPr>
              <w:t>Loi concernant les droits sur les mutations immobilières</w:t>
            </w:r>
            <w:r w:rsidRPr="002832A9">
              <w:rPr>
                <w:rFonts w:eastAsia="Calibri"/>
                <w:sz w:val="20"/>
                <w:lang w:val="fr-CA"/>
              </w:rPr>
              <w:t>, L.R.Q., c. D-15.1 – Emphytéose – La Cour d’appel a</w:t>
            </w:r>
            <w:r w:rsidRPr="002832A9">
              <w:rPr>
                <w:rFonts w:eastAsia="Calibri"/>
                <w:sz w:val="20"/>
                <w:lang w:val="fr-CA"/>
              </w:rPr>
              <w:noBreakHyphen/>
              <w:t>t</w:t>
            </w:r>
            <w:r w:rsidRPr="002832A9">
              <w:rPr>
                <w:rFonts w:eastAsia="Calibri"/>
                <w:sz w:val="20"/>
                <w:lang w:val="fr-CA"/>
              </w:rPr>
              <w:noBreakHyphen/>
              <w:t>elle dérogé à son obligation d’interpréter et d’appliquer la loi selon son texte lorsqu’il est clair?</w:t>
            </w:r>
          </w:p>
        </w:tc>
      </w:tr>
      <w:tr w:rsidR="00792F7D" w:rsidRPr="00EB0F11" w:rsidTr="001C4AC6">
        <w:tc>
          <w:tcPr>
            <w:tcW w:w="5000" w:type="pct"/>
            <w:gridSpan w:val="3"/>
          </w:tcPr>
          <w:p w:rsidR="00792F7D" w:rsidRPr="002832A9" w:rsidRDefault="00792F7D" w:rsidP="001C4AC6">
            <w:pPr>
              <w:jc w:val="both"/>
              <w:rPr>
                <w:rFonts w:eastAsia="Calibri"/>
                <w:sz w:val="20"/>
                <w:lang w:val="fr-CA"/>
              </w:rPr>
            </w:pPr>
          </w:p>
        </w:tc>
      </w:tr>
      <w:tr w:rsidR="00792F7D" w:rsidRPr="00EB0F11" w:rsidTr="001C4AC6">
        <w:tc>
          <w:tcPr>
            <w:tcW w:w="5000" w:type="pct"/>
            <w:gridSpan w:val="3"/>
          </w:tcPr>
          <w:p w:rsidR="00792F7D" w:rsidRPr="002832A9" w:rsidRDefault="00792F7D" w:rsidP="001C4AC6">
            <w:pPr>
              <w:jc w:val="both"/>
              <w:rPr>
                <w:rFonts w:eastAsia="Calibri"/>
                <w:sz w:val="20"/>
                <w:lang w:val="fr-CA"/>
              </w:rPr>
            </w:pPr>
            <w:r w:rsidRPr="002832A9">
              <w:rPr>
                <w:rFonts w:eastAsia="Calibri"/>
                <w:sz w:val="20"/>
                <w:lang w:val="fr-CA"/>
              </w:rPr>
              <w:t xml:space="preserve">L’article 2 de la </w:t>
            </w:r>
            <w:r w:rsidRPr="002832A9">
              <w:rPr>
                <w:rFonts w:eastAsia="Calibri"/>
                <w:i/>
                <w:sz w:val="20"/>
                <w:lang w:val="fr-CA"/>
              </w:rPr>
              <w:t>Loi concernant les droits sur les mutations immobilières</w:t>
            </w:r>
            <w:r w:rsidRPr="002832A9">
              <w:rPr>
                <w:rFonts w:eastAsia="Calibri"/>
                <w:sz w:val="20"/>
                <w:lang w:val="fr-CA"/>
              </w:rPr>
              <w:t>, L.R.Q., c. D-15.1 (« </w:t>
            </w:r>
            <w:r w:rsidRPr="002832A9">
              <w:rPr>
                <w:rFonts w:eastAsia="Calibri"/>
                <w:i/>
                <w:sz w:val="20"/>
                <w:lang w:val="fr-CA"/>
              </w:rPr>
              <w:t>L.d.m.i.</w:t>
            </w:r>
            <w:r w:rsidRPr="002832A9">
              <w:rPr>
                <w:rFonts w:eastAsia="Calibri"/>
                <w:sz w:val="20"/>
                <w:lang w:val="fr-CA"/>
              </w:rPr>
              <w:t xml:space="preserve"> »), oblige chaque municipalité québécoise à percevoir un droit sur le transfert de tout immeuble situé sur son territoire.  L’article 2 de la </w:t>
            </w:r>
            <w:r w:rsidRPr="002832A9">
              <w:rPr>
                <w:rFonts w:eastAsia="Calibri"/>
                <w:i/>
                <w:sz w:val="20"/>
                <w:lang w:val="fr-CA"/>
              </w:rPr>
              <w:t>L.d.m.i.</w:t>
            </w:r>
            <w:r w:rsidRPr="002832A9">
              <w:rPr>
                <w:rFonts w:eastAsia="Calibri"/>
                <w:sz w:val="20"/>
                <w:lang w:val="fr-CA"/>
              </w:rPr>
              <w:t xml:space="preserve"> prévoit que les municipalités doivent retenir, aux fins du calcul du droit de mutation, le montant le plus élevé parmi les suivants : le montant de la contrepartie fournie pour le transfert de l’immeuble, le montant de la contrepartie stipulée pour le transfert de l’immeuble ou le montant de la valeur marchande de l’immeuble au moment de son transfert.</w:t>
            </w:r>
          </w:p>
          <w:p w:rsidR="00792F7D" w:rsidRPr="002832A9" w:rsidRDefault="00792F7D" w:rsidP="001C4AC6">
            <w:pPr>
              <w:jc w:val="both"/>
              <w:rPr>
                <w:rFonts w:eastAsia="Calibri"/>
                <w:sz w:val="20"/>
                <w:lang w:val="fr-CA"/>
              </w:rPr>
            </w:pPr>
          </w:p>
          <w:p w:rsidR="00792F7D" w:rsidRPr="002832A9" w:rsidRDefault="00792F7D" w:rsidP="001C4AC6">
            <w:pPr>
              <w:jc w:val="both"/>
              <w:rPr>
                <w:rFonts w:eastAsia="Calibri"/>
                <w:sz w:val="20"/>
                <w:lang w:val="fr-CA"/>
              </w:rPr>
            </w:pPr>
            <w:r w:rsidRPr="002832A9">
              <w:rPr>
                <w:rFonts w:eastAsia="Calibri"/>
                <w:sz w:val="20"/>
                <w:lang w:val="fr-CA"/>
              </w:rPr>
              <w:t xml:space="preserve">En 2008, 4053532 Canada Inc., intimée, a acquis les droits de bailleur emphytéotique détenus par la Ville de Longueuil, demanderesse, sur trois immeubles.  En application de la </w:t>
            </w:r>
            <w:r w:rsidRPr="002832A9">
              <w:rPr>
                <w:rFonts w:eastAsia="Calibri"/>
                <w:i/>
                <w:sz w:val="20"/>
                <w:lang w:val="fr-CA"/>
              </w:rPr>
              <w:t>L.d.m.i.</w:t>
            </w:r>
            <w:r w:rsidRPr="002832A9">
              <w:rPr>
                <w:rFonts w:eastAsia="Calibri"/>
                <w:sz w:val="20"/>
                <w:lang w:val="fr-CA"/>
              </w:rPr>
              <w:t xml:space="preserve">, la Ville a adressé à l’intimée trois comptes imposant des droits de mutation calculés sur la base de la valeur marchande des immeubles.  En réponse, l’intimée s’est adressée à la Cour supérieure demandant l’annulation des comptes de taxes et le remboursement de la somme qu’elle avait acquittée en paiement de ces comptes.  De l’avis de l’intimée, la vente en question ne constituait </w:t>
            </w:r>
            <w:r w:rsidRPr="002832A9">
              <w:rPr>
                <w:rFonts w:eastAsia="Calibri"/>
                <w:sz w:val="20"/>
                <w:lang w:val="fr-CA"/>
              </w:rPr>
              <w:lastRenderedPageBreak/>
              <w:t xml:space="preserve">pas un transfert au sens de la </w:t>
            </w:r>
            <w:r w:rsidRPr="002832A9">
              <w:rPr>
                <w:rFonts w:eastAsia="Calibri"/>
                <w:i/>
                <w:sz w:val="20"/>
                <w:lang w:val="fr-CA"/>
              </w:rPr>
              <w:t>L.d.m.i.</w:t>
            </w:r>
            <w:r w:rsidRPr="002832A9">
              <w:rPr>
                <w:rFonts w:eastAsia="Calibri"/>
                <w:sz w:val="20"/>
                <w:lang w:val="fr-CA"/>
              </w:rPr>
              <w:t xml:space="preserve"> Subsidiairement, l’intimée a plaidé que même si la Ville avait eu raison d’imposer les droits de mutation, le calcul des droits devait se faire à partir du montant qu’elle avait payé en contrepartie des immeubles et non sur la base de la valeur marchande des immeubles.  La Cour supérieure a rejeté la requête introductive d’instance.  La Cour d’appel a accueilli l’appel au motif que le calcul des droits de mutation devait se faire à partir du montant payé en contrepartie des immeubles.</w:t>
            </w:r>
          </w:p>
          <w:p w:rsidR="00792F7D" w:rsidRPr="002832A9" w:rsidRDefault="00792F7D" w:rsidP="001C4AC6">
            <w:pPr>
              <w:jc w:val="both"/>
              <w:rPr>
                <w:rFonts w:eastAsia="Calibri"/>
                <w:sz w:val="20"/>
                <w:lang w:val="fr-CA"/>
              </w:rPr>
            </w:pPr>
          </w:p>
        </w:tc>
      </w:tr>
      <w:tr w:rsidR="00792F7D" w:rsidRPr="00EB0F11" w:rsidTr="001C4AC6">
        <w:tc>
          <w:tcPr>
            <w:tcW w:w="2427" w:type="pct"/>
          </w:tcPr>
          <w:p w:rsidR="00792F7D" w:rsidRPr="002832A9" w:rsidRDefault="00792F7D" w:rsidP="001C4AC6">
            <w:pPr>
              <w:jc w:val="both"/>
              <w:rPr>
                <w:rFonts w:eastAsia="Calibri"/>
                <w:sz w:val="20"/>
                <w:lang w:val="fr-CA"/>
              </w:rPr>
            </w:pPr>
            <w:r w:rsidRPr="002832A9">
              <w:rPr>
                <w:rFonts w:eastAsia="Calibri"/>
                <w:sz w:val="20"/>
                <w:lang w:val="fr-CA"/>
              </w:rPr>
              <w:lastRenderedPageBreak/>
              <w:t>Le 10 juin 2011</w:t>
            </w:r>
          </w:p>
          <w:p w:rsidR="00792F7D" w:rsidRPr="002832A9" w:rsidRDefault="00792F7D" w:rsidP="001C4AC6">
            <w:pPr>
              <w:jc w:val="both"/>
              <w:rPr>
                <w:rFonts w:eastAsia="Calibri"/>
                <w:sz w:val="20"/>
                <w:lang w:val="fr-CA"/>
              </w:rPr>
            </w:pPr>
            <w:r w:rsidRPr="002832A9">
              <w:rPr>
                <w:rFonts w:eastAsia="Calibri"/>
                <w:sz w:val="20"/>
                <w:lang w:val="fr-CA"/>
              </w:rPr>
              <w:t>Cour supérieure du Québec</w:t>
            </w:r>
          </w:p>
          <w:p w:rsidR="00792F7D" w:rsidRPr="002832A9" w:rsidRDefault="00792F7D" w:rsidP="001C4AC6">
            <w:pPr>
              <w:jc w:val="both"/>
              <w:rPr>
                <w:rFonts w:eastAsia="Calibri"/>
                <w:sz w:val="20"/>
                <w:lang w:val="fr-CA"/>
              </w:rPr>
            </w:pPr>
            <w:r w:rsidRPr="002832A9">
              <w:rPr>
                <w:rFonts w:eastAsia="Calibri"/>
                <w:sz w:val="20"/>
                <w:lang w:val="fr-CA"/>
              </w:rPr>
              <w:t>(La juge Massé)</w:t>
            </w:r>
          </w:p>
          <w:p w:rsidR="00792F7D" w:rsidRPr="002832A9" w:rsidRDefault="00EB0F11" w:rsidP="001C4AC6">
            <w:pPr>
              <w:jc w:val="both"/>
              <w:rPr>
                <w:rFonts w:eastAsia="Calibri"/>
                <w:sz w:val="20"/>
                <w:lang w:val="fr-CA"/>
              </w:rPr>
            </w:pPr>
            <w:hyperlink r:id="rId52" w:history="1">
              <w:r w:rsidR="00792F7D" w:rsidRPr="002832A9">
                <w:rPr>
                  <w:rFonts w:eastAsia="Calibri"/>
                  <w:color w:val="0000FF"/>
                  <w:sz w:val="20"/>
                  <w:u w:val="single"/>
                  <w:lang w:val="fr-CA"/>
                </w:rPr>
                <w:t>2011 QCCS 7575</w:t>
              </w:r>
            </w:hyperlink>
          </w:p>
          <w:p w:rsidR="00792F7D" w:rsidRPr="002832A9" w:rsidRDefault="00792F7D" w:rsidP="001C4AC6">
            <w:pPr>
              <w:jc w:val="both"/>
              <w:rPr>
                <w:rFonts w:eastAsia="Calibri"/>
                <w:sz w:val="20"/>
                <w:lang w:val="fr-CA"/>
              </w:rPr>
            </w:pPr>
          </w:p>
        </w:tc>
        <w:tc>
          <w:tcPr>
            <w:tcW w:w="243" w:type="pct"/>
          </w:tcPr>
          <w:p w:rsidR="00792F7D" w:rsidRPr="002832A9" w:rsidRDefault="00792F7D" w:rsidP="001C4AC6">
            <w:pPr>
              <w:jc w:val="both"/>
              <w:rPr>
                <w:rFonts w:eastAsia="Calibri"/>
                <w:sz w:val="20"/>
                <w:lang w:val="fr-CA"/>
              </w:rPr>
            </w:pPr>
          </w:p>
        </w:tc>
        <w:tc>
          <w:tcPr>
            <w:tcW w:w="2330" w:type="pct"/>
          </w:tcPr>
          <w:p w:rsidR="00792F7D" w:rsidRPr="002832A9" w:rsidRDefault="00792F7D" w:rsidP="001C4AC6">
            <w:pPr>
              <w:jc w:val="both"/>
              <w:rPr>
                <w:rFonts w:eastAsia="Calibri"/>
                <w:sz w:val="20"/>
                <w:lang w:val="fr-CA"/>
              </w:rPr>
            </w:pPr>
            <w:r w:rsidRPr="002832A9">
              <w:rPr>
                <w:rFonts w:eastAsia="Calibri"/>
                <w:sz w:val="20"/>
                <w:lang w:val="fr-CA"/>
              </w:rPr>
              <w:t>Requête introductive d’instance de l’intimée en annulation des comptes de droits de mutation immobilière et en remboursement de sommes payées rejetée</w:t>
            </w:r>
          </w:p>
          <w:p w:rsidR="00792F7D" w:rsidRPr="002832A9" w:rsidRDefault="00792F7D" w:rsidP="001C4AC6">
            <w:pPr>
              <w:jc w:val="both"/>
              <w:rPr>
                <w:rFonts w:eastAsia="Calibri"/>
                <w:sz w:val="20"/>
                <w:lang w:val="fr-CA"/>
              </w:rPr>
            </w:pPr>
          </w:p>
        </w:tc>
      </w:tr>
      <w:tr w:rsidR="00792F7D" w:rsidRPr="002832A9" w:rsidTr="001C4AC6">
        <w:tc>
          <w:tcPr>
            <w:tcW w:w="2427" w:type="pct"/>
          </w:tcPr>
          <w:p w:rsidR="00792F7D" w:rsidRPr="002832A9" w:rsidRDefault="00792F7D" w:rsidP="001C4AC6">
            <w:pPr>
              <w:jc w:val="both"/>
              <w:rPr>
                <w:rFonts w:eastAsia="Calibri"/>
                <w:sz w:val="20"/>
                <w:lang w:val="fr-CA"/>
              </w:rPr>
            </w:pPr>
            <w:r w:rsidRPr="002832A9">
              <w:rPr>
                <w:rFonts w:eastAsia="Calibri"/>
                <w:sz w:val="20"/>
                <w:lang w:val="fr-CA"/>
              </w:rPr>
              <w:t>Le 27 août 2013</w:t>
            </w:r>
          </w:p>
          <w:p w:rsidR="00792F7D" w:rsidRPr="002832A9" w:rsidRDefault="00792F7D" w:rsidP="001C4AC6">
            <w:pPr>
              <w:jc w:val="both"/>
              <w:rPr>
                <w:rFonts w:eastAsia="Calibri"/>
                <w:sz w:val="20"/>
                <w:lang w:val="fr-CA"/>
              </w:rPr>
            </w:pPr>
            <w:r w:rsidRPr="002832A9">
              <w:rPr>
                <w:rFonts w:eastAsia="Calibri"/>
                <w:sz w:val="20"/>
                <w:lang w:val="fr-CA"/>
              </w:rPr>
              <w:t>Cour d’appel du Québec (Montréal)</w:t>
            </w:r>
          </w:p>
          <w:p w:rsidR="00792F7D" w:rsidRPr="002832A9" w:rsidRDefault="00792F7D" w:rsidP="001C4AC6">
            <w:pPr>
              <w:jc w:val="both"/>
              <w:rPr>
                <w:rFonts w:eastAsia="Calibri"/>
                <w:sz w:val="20"/>
                <w:lang w:val="fr-CA"/>
              </w:rPr>
            </w:pPr>
            <w:r w:rsidRPr="002832A9">
              <w:rPr>
                <w:rFonts w:eastAsia="Calibri"/>
                <w:sz w:val="20"/>
                <w:lang w:val="fr-CA"/>
              </w:rPr>
              <w:t>(Les juges Bich, St-Pierre et Bélanger)</w:t>
            </w:r>
          </w:p>
          <w:p w:rsidR="00792F7D" w:rsidRPr="002832A9" w:rsidRDefault="00EB0F11" w:rsidP="001C4AC6">
            <w:pPr>
              <w:jc w:val="both"/>
              <w:rPr>
                <w:rFonts w:eastAsia="Calibri"/>
                <w:sz w:val="20"/>
                <w:lang w:val="fr-CA"/>
              </w:rPr>
            </w:pPr>
            <w:hyperlink r:id="rId53" w:history="1">
              <w:r w:rsidR="00792F7D" w:rsidRPr="002832A9">
                <w:rPr>
                  <w:rFonts w:eastAsia="Calibri"/>
                  <w:color w:val="0000FF"/>
                  <w:sz w:val="20"/>
                  <w:u w:val="single"/>
                  <w:lang w:val="fr-CA"/>
                </w:rPr>
                <w:t>2013 QCCA 1428</w:t>
              </w:r>
            </w:hyperlink>
          </w:p>
          <w:p w:rsidR="00792F7D" w:rsidRPr="002832A9" w:rsidRDefault="00792F7D" w:rsidP="001C4AC6">
            <w:pPr>
              <w:jc w:val="both"/>
              <w:rPr>
                <w:rFonts w:eastAsia="Calibri"/>
                <w:sz w:val="20"/>
                <w:lang w:val="fr-CA"/>
              </w:rPr>
            </w:pPr>
          </w:p>
        </w:tc>
        <w:tc>
          <w:tcPr>
            <w:tcW w:w="243" w:type="pct"/>
          </w:tcPr>
          <w:p w:rsidR="00792F7D" w:rsidRPr="002832A9" w:rsidRDefault="00792F7D" w:rsidP="001C4AC6">
            <w:pPr>
              <w:jc w:val="both"/>
              <w:rPr>
                <w:rFonts w:eastAsia="Calibri"/>
                <w:sz w:val="20"/>
                <w:lang w:val="fr-CA"/>
              </w:rPr>
            </w:pPr>
          </w:p>
        </w:tc>
        <w:tc>
          <w:tcPr>
            <w:tcW w:w="2330" w:type="pct"/>
          </w:tcPr>
          <w:p w:rsidR="00792F7D" w:rsidRPr="002832A9" w:rsidRDefault="00792F7D" w:rsidP="001C4AC6">
            <w:pPr>
              <w:jc w:val="both"/>
              <w:rPr>
                <w:rFonts w:eastAsia="Calibri"/>
                <w:sz w:val="20"/>
                <w:lang w:val="fr-CA"/>
              </w:rPr>
            </w:pPr>
            <w:r w:rsidRPr="002832A9">
              <w:rPr>
                <w:rFonts w:eastAsia="Calibri"/>
                <w:sz w:val="20"/>
                <w:lang w:val="fr-CA"/>
              </w:rPr>
              <w:t>Appel accueilli</w:t>
            </w:r>
          </w:p>
          <w:p w:rsidR="00792F7D" w:rsidRPr="002832A9" w:rsidRDefault="00792F7D" w:rsidP="001C4AC6">
            <w:pPr>
              <w:jc w:val="both"/>
              <w:rPr>
                <w:rFonts w:eastAsia="Calibri"/>
                <w:sz w:val="20"/>
                <w:lang w:val="fr-CA"/>
              </w:rPr>
            </w:pPr>
          </w:p>
        </w:tc>
      </w:tr>
      <w:tr w:rsidR="00792F7D" w:rsidRPr="002832A9" w:rsidTr="000F0143">
        <w:trPr>
          <w:cantSplit/>
        </w:trPr>
        <w:tc>
          <w:tcPr>
            <w:tcW w:w="2427" w:type="pct"/>
          </w:tcPr>
          <w:p w:rsidR="00792F7D" w:rsidRPr="002832A9" w:rsidRDefault="00792F7D" w:rsidP="001C4AC6">
            <w:pPr>
              <w:jc w:val="both"/>
              <w:rPr>
                <w:rFonts w:eastAsia="Calibri"/>
                <w:sz w:val="20"/>
                <w:lang w:val="fr-CA"/>
              </w:rPr>
            </w:pPr>
            <w:r w:rsidRPr="002832A9">
              <w:rPr>
                <w:rFonts w:eastAsia="Calibri"/>
                <w:sz w:val="20"/>
                <w:lang w:val="fr-CA"/>
              </w:rPr>
              <w:t>Le 28 octobre 2013</w:t>
            </w:r>
          </w:p>
          <w:p w:rsidR="00792F7D" w:rsidRPr="002832A9" w:rsidRDefault="00792F7D" w:rsidP="001C4AC6">
            <w:pPr>
              <w:jc w:val="both"/>
              <w:rPr>
                <w:rFonts w:eastAsia="Calibri"/>
                <w:sz w:val="20"/>
                <w:lang w:val="fr-CA"/>
              </w:rPr>
            </w:pPr>
            <w:r w:rsidRPr="002832A9">
              <w:rPr>
                <w:rFonts w:eastAsia="Calibri"/>
                <w:sz w:val="20"/>
                <w:lang w:val="fr-CA"/>
              </w:rPr>
              <w:t>Cour suprême du Canada</w:t>
            </w:r>
          </w:p>
        </w:tc>
        <w:tc>
          <w:tcPr>
            <w:tcW w:w="243" w:type="pct"/>
          </w:tcPr>
          <w:p w:rsidR="00792F7D" w:rsidRPr="002832A9" w:rsidRDefault="00792F7D" w:rsidP="001C4AC6">
            <w:pPr>
              <w:jc w:val="both"/>
              <w:rPr>
                <w:rFonts w:eastAsia="Calibri"/>
                <w:sz w:val="20"/>
                <w:lang w:val="fr-CA"/>
              </w:rPr>
            </w:pPr>
          </w:p>
        </w:tc>
        <w:tc>
          <w:tcPr>
            <w:tcW w:w="2330" w:type="pct"/>
          </w:tcPr>
          <w:p w:rsidR="00792F7D" w:rsidRPr="002832A9" w:rsidRDefault="00792F7D" w:rsidP="001C4AC6">
            <w:pPr>
              <w:jc w:val="both"/>
              <w:rPr>
                <w:rFonts w:eastAsia="Calibri"/>
                <w:sz w:val="20"/>
                <w:lang w:val="fr-CA"/>
              </w:rPr>
            </w:pPr>
            <w:r w:rsidRPr="002832A9">
              <w:rPr>
                <w:rFonts w:eastAsia="Calibri"/>
                <w:sz w:val="20"/>
                <w:lang w:val="fr-CA"/>
              </w:rPr>
              <w:t>Demande d'autorisation d'appel déposée</w:t>
            </w:r>
          </w:p>
          <w:p w:rsidR="00792F7D" w:rsidRPr="002832A9" w:rsidRDefault="00792F7D" w:rsidP="001C4AC6">
            <w:pPr>
              <w:jc w:val="both"/>
              <w:rPr>
                <w:rFonts w:eastAsia="Calibri"/>
                <w:sz w:val="20"/>
                <w:lang w:val="fr-CA"/>
              </w:rPr>
            </w:pPr>
          </w:p>
        </w:tc>
      </w:tr>
    </w:tbl>
    <w:p w:rsidR="002A46DC" w:rsidRDefault="002A46DC" w:rsidP="002A46DC">
      <w:pPr>
        <w:rPr>
          <w:sz w:val="20"/>
          <w:szCs w:val="20"/>
        </w:rPr>
      </w:pPr>
    </w:p>
    <w:p w:rsidR="002A46DC" w:rsidRDefault="00EB0F11" w:rsidP="002A46DC">
      <w:pPr>
        <w:rPr>
          <w:sz w:val="20"/>
          <w:szCs w:val="20"/>
        </w:rPr>
      </w:pPr>
      <w:r>
        <w:rPr>
          <w:sz w:val="20"/>
          <w:szCs w:val="20"/>
          <w:lang w:val="fr-CA"/>
        </w:rPr>
        <w:pict>
          <v:rect id="_x0000_i1060" style="width:2in;height:1pt" o:hrpct="0" o:hralign="center" o:hrstd="t" o:hrnoshade="t" o:hr="t" fillcolor="black [3213]" stroked="f"/>
        </w:pict>
      </w:r>
    </w:p>
    <w:p w:rsidR="002A46DC" w:rsidRDefault="002A46DC" w:rsidP="002A46DC">
      <w:pPr>
        <w:rPr>
          <w:sz w:val="20"/>
          <w:szCs w:val="20"/>
        </w:rPr>
      </w:pPr>
    </w:p>
    <w:tbl>
      <w:tblPr>
        <w:tblStyle w:val="TableGrid1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F0143" w:rsidRPr="000F0143" w:rsidTr="002B62A3">
        <w:trPr>
          <w:cantSplit/>
        </w:trPr>
        <w:tc>
          <w:tcPr>
            <w:tcW w:w="1458" w:type="dxa"/>
          </w:tcPr>
          <w:p w:rsidR="000F0143" w:rsidRPr="000F0143" w:rsidRDefault="000F0143" w:rsidP="000F0143">
            <w:pPr>
              <w:rPr>
                <w:sz w:val="20"/>
              </w:rPr>
            </w:pPr>
            <w:r w:rsidRPr="000F0143">
              <w:rPr>
                <w:b/>
                <w:sz w:val="20"/>
                <w:lang w:val="fr-CA"/>
              </w:rPr>
              <w:t>35599</w:t>
            </w:r>
          </w:p>
          <w:p w:rsidR="000F0143" w:rsidRPr="000F0143" w:rsidRDefault="000F0143" w:rsidP="000F0143">
            <w:pPr>
              <w:rPr>
                <w:b/>
                <w:sz w:val="20"/>
                <w:lang w:val="fr-CA"/>
              </w:rPr>
            </w:pPr>
          </w:p>
        </w:tc>
        <w:tc>
          <w:tcPr>
            <w:tcW w:w="8118" w:type="dxa"/>
          </w:tcPr>
          <w:p w:rsidR="000F0143" w:rsidRPr="000F0143" w:rsidRDefault="000F0143" w:rsidP="000F0143">
            <w:pPr>
              <w:rPr>
                <w:sz w:val="20"/>
              </w:rPr>
            </w:pPr>
            <w:r w:rsidRPr="000F0143">
              <w:rPr>
                <w:b/>
                <w:sz w:val="20"/>
                <w:u w:val="single"/>
              </w:rPr>
              <w:t>Christopher Dunn v. Her Majesty the Queen</w:t>
            </w:r>
            <w:r w:rsidRPr="000F0143">
              <w:rPr>
                <w:sz w:val="20"/>
              </w:rPr>
              <w:t xml:space="preserve"> (Ont.) (Criminal) (By Leave)</w:t>
            </w:r>
          </w:p>
          <w:p w:rsidR="000F0143" w:rsidRPr="000F0143" w:rsidRDefault="000F0143" w:rsidP="000F0143">
            <w:pPr>
              <w:rPr>
                <w:sz w:val="20"/>
              </w:rPr>
            </w:pPr>
          </w:p>
        </w:tc>
      </w:tr>
      <w:tr w:rsidR="000F0143" w:rsidRPr="000F0143" w:rsidTr="002B62A3">
        <w:trPr>
          <w:cantSplit/>
        </w:trPr>
        <w:tc>
          <w:tcPr>
            <w:tcW w:w="1458" w:type="dxa"/>
          </w:tcPr>
          <w:p w:rsidR="000F0143" w:rsidRPr="000F0143" w:rsidRDefault="000F0143" w:rsidP="000F0143">
            <w:pPr>
              <w:rPr>
                <w:sz w:val="20"/>
              </w:rPr>
            </w:pPr>
            <w:r w:rsidRPr="000F0143">
              <w:rPr>
                <w:sz w:val="20"/>
              </w:rPr>
              <w:t>Coram :</w:t>
            </w:r>
          </w:p>
        </w:tc>
        <w:tc>
          <w:tcPr>
            <w:tcW w:w="8118" w:type="dxa"/>
          </w:tcPr>
          <w:p w:rsidR="000F0143" w:rsidRPr="000F0143" w:rsidRDefault="000F0143" w:rsidP="000F0143">
            <w:pPr>
              <w:rPr>
                <w:sz w:val="20"/>
              </w:rPr>
            </w:pPr>
            <w:r w:rsidRPr="000F0143">
              <w:rPr>
                <w:sz w:val="20"/>
                <w:u w:val="single"/>
              </w:rPr>
              <w:t>LeBel, Karakatsanis and Wagner JJ.</w:t>
            </w:r>
          </w:p>
          <w:p w:rsidR="000F0143" w:rsidRPr="000F0143" w:rsidRDefault="000F0143" w:rsidP="000F0143">
            <w:pPr>
              <w:rPr>
                <w:sz w:val="20"/>
                <w:u w:val="single"/>
              </w:rPr>
            </w:pPr>
          </w:p>
        </w:tc>
      </w:tr>
      <w:tr w:rsidR="000F0143" w:rsidRPr="00EB0F11" w:rsidTr="002B62A3">
        <w:trPr>
          <w:cantSplit/>
        </w:trPr>
        <w:tc>
          <w:tcPr>
            <w:tcW w:w="9576" w:type="dxa"/>
            <w:gridSpan w:val="2"/>
          </w:tcPr>
          <w:p w:rsidR="000F0143" w:rsidRPr="000F0143" w:rsidRDefault="000F0143" w:rsidP="000F0143">
            <w:pPr>
              <w:ind w:firstLine="720"/>
              <w:jc w:val="both"/>
              <w:rPr>
                <w:sz w:val="20"/>
              </w:rPr>
            </w:pPr>
            <w:r w:rsidRPr="000F0143">
              <w:rPr>
                <w:sz w:val="20"/>
              </w:rPr>
              <w:t>The motion for an extension of time to serve and file the respondent’s response is granted. The application for leave to appeal from the judgment of the Court of Appeal for Ontario, Number C54975, 2013 ONCA 539, dated September 4, 2013, is granted without costs.</w:t>
            </w:r>
          </w:p>
          <w:p w:rsidR="000F0143" w:rsidRPr="000F0143" w:rsidRDefault="000F0143" w:rsidP="000F0143">
            <w:pPr>
              <w:jc w:val="both"/>
              <w:rPr>
                <w:sz w:val="20"/>
              </w:rPr>
            </w:pPr>
          </w:p>
          <w:p w:rsidR="000F0143" w:rsidRPr="000F0143" w:rsidRDefault="000F0143" w:rsidP="000F0143">
            <w:pPr>
              <w:ind w:firstLine="720"/>
              <w:jc w:val="both"/>
              <w:rPr>
                <w:sz w:val="20"/>
                <w:lang w:val="fr-CA"/>
              </w:rPr>
            </w:pPr>
            <w:r w:rsidRPr="000F0143">
              <w:rPr>
                <w:sz w:val="20"/>
                <w:lang w:val="fr-CA"/>
              </w:rPr>
              <w:t>La requête en prorogation du délai de signification et de dépôt de la réponse de l’intimée est accueillie. La demande d’autorisation d’appel de l’arrêt de la Cour d’appel de l’Ontario, numéro C54975, 2013 ONCA 539, daté du 4 septembre 2013, est accueillie sans dépens.</w:t>
            </w:r>
          </w:p>
        </w:tc>
      </w:tr>
    </w:tbl>
    <w:p w:rsidR="002A46DC" w:rsidRPr="0016547E" w:rsidRDefault="002A46DC" w:rsidP="002A46DC">
      <w:pPr>
        <w:rPr>
          <w:sz w:val="20"/>
          <w:szCs w:val="20"/>
          <w:lang w:val="fr-CA"/>
        </w:rPr>
      </w:pPr>
    </w:p>
    <w:p w:rsidR="002A46DC" w:rsidRPr="001B157C" w:rsidRDefault="002A46DC" w:rsidP="002A46DC">
      <w:pPr>
        <w:rPr>
          <w:sz w:val="20"/>
          <w:szCs w:val="20"/>
          <w:u w:val="single"/>
        </w:rPr>
      </w:pPr>
      <w:r w:rsidRPr="001B157C">
        <w:rPr>
          <w:sz w:val="20"/>
          <w:szCs w:val="20"/>
          <w:u w:val="single"/>
        </w:rPr>
        <w:t>CASE SUMMARY</w:t>
      </w:r>
    </w:p>
    <w:p w:rsidR="002A46DC" w:rsidRDefault="002A46DC" w:rsidP="002A46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92F7D" w:rsidRPr="002832A9" w:rsidTr="001C4AC6">
        <w:tc>
          <w:tcPr>
            <w:tcW w:w="5000" w:type="pct"/>
            <w:gridSpan w:val="3"/>
          </w:tcPr>
          <w:p w:rsidR="00792F7D" w:rsidRPr="002832A9" w:rsidRDefault="00792F7D" w:rsidP="001C4AC6">
            <w:pPr>
              <w:jc w:val="both"/>
              <w:rPr>
                <w:rFonts w:eastAsia="Calibri"/>
                <w:sz w:val="20"/>
              </w:rPr>
            </w:pPr>
            <w:r w:rsidRPr="002832A9">
              <w:rPr>
                <w:rFonts w:eastAsia="Calibri"/>
                <w:sz w:val="20"/>
              </w:rPr>
              <w:t xml:space="preserve">Criminal Law – Offences – Elements of offence – Firearms offences – Whether an airgun is a “firearm” or a “weapon” within the meaning of s. 2 of the </w:t>
            </w:r>
            <w:r w:rsidRPr="002832A9">
              <w:rPr>
                <w:rFonts w:eastAsia="Calibri"/>
                <w:i/>
                <w:sz w:val="20"/>
              </w:rPr>
              <w:t>Criminal Code</w:t>
            </w:r>
            <w:r w:rsidRPr="002832A9">
              <w:rPr>
                <w:rFonts w:eastAsia="Calibri"/>
                <w:sz w:val="20"/>
              </w:rPr>
              <w:t>, R.S.C. 1985, c. C-46.</w:t>
            </w:r>
          </w:p>
        </w:tc>
      </w:tr>
      <w:tr w:rsidR="00792F7D" w:rsidRPr="002832A9" w:rsidTr="001C4AC6">
        <w:tc>
          <w:tcPr>
            <w:tcW w:w="5000" w:type="pct"/>
            <w:gridSpan w:val="3"/>
          </w:tcPr>
          <w:p w:rsidR="00792F7D" w:rsidRPr="002832A9" w:rsidRDefault="00792F7D" w:rsidP="001C4AC6">
            <w:pPr>
              <w:jc w:val="both"/>
              <w:rPr>
                <w:rFonts w:eastAsia="Calibri"/>
                <w:sz w:val="20"/>
              </w:rPr>
            </w:pPr>
          </w:p>
        </w:tc>
      </w:tr>
      <w:tr w:rsidR="00792F7D" w:rsidRPr="002832A9" w:rsidTr="001C4AC6">
        <w:tc>
          <w:tcPr>
            <w:tcW w:w="5000" w:type="pct"/>
            <w:gridSpan w:val="3"/>
          </w:tcPr>
          <w:p w:rsidR="00792F7D" w:rsidRPr="002832A9" w:rsidRDefault="00792F7D" w:rsidP="001C4AC6">
            <w:pPr>
              <w:jc w:val="both"/>
              <w:rPr>
                <w:rFonts w:eastAsia="Calibri"/>
                <w:sz w:val="20"/>
              </w:rPr>
            </w:pPr>
            <w:r w:rsidRPr="002832A9">
              <w:rPr>
                <w:rFonts w:eastAsia="Calibri"/>
                <w:sz w:val="20"/>
              </w:rPr>
              <w:t xml:space="preserve">Christopher Dunn was seen pulling an object resembling a pistol from a jacket pocket and appearing to point it at another man.  The police went to his trailer and found an airgun that fires BB pellets and that resembles a 9mm pistol.  He was charged with handling a firearm or imitation thereof in a careless manner; carrying a weapon or imitation thereof for a purpose dangerous to the public peace; carrying a concealed weapon or an imitation thereof; and, pointing a firearm.  The trial judge applied </w:t>
            </w:r>
            <w:r w:rsidRPr="002832A9">
              <w:rPr>
                <w:rFonts w:eastAsia="Calibri"/>
                <w:i/>
                <w:sz w:val="20"/>
              </w:rPr>
              <w:t>R. v. McManus</w:t>
            </w:r>
            <w:r w:rsidRPr="002832A9">
              <w:rPr>
                <w:rFonts w:eastAsia="Calibri"/>
                <w:sz w:val="20"/>
              </w:rPr>
              <w:t xml:space="preserve">, (2006), 214 O.A.C. 77, and required proof that the airgun was a “weapon”, as defined in </w:t>
            </w:r>
            <w:hyperlink r:id="rId54" w:anchor="sec2_smooth" w:history="1">
              <w:r w:rsidRPr="002832A9">
                <w:rPr>
                  <w:rFonts w:eastAsia="Calibri"/>
                  <w:sz w:val="20"/>
                </w:rPr>
                <w:t>s. 2</w:t>
              </w:r>
            </w:hyperlink>
            <w:r w:rsidRPr="002832A9">
              <w:rPr>
                <w:rFonts w:eastAsia="Calibri"/>
                <w:sz w:val="20"/>
              </w:rPr>
              <w:t xml:space="preserve"> of the </w:t>
            </w:r>
            <w:hyperlink r:id="rId55" w:history="1">
              <w:r w:rsidRPr="002832A9">
                <w:rPr>
                  <w:rFonts w:eastAsia="Calibri"/>
                  <w:i/>
                  <w:sz w:val="20"/>
                </w:rPr>
                <w:t>Criminal Code</w:t>
              </w:r>
            </w:hyperlink>
            <w:r w:rsidRPr="002832A9">
              <w:rPr>
                <w:rFonts w:eastAsia="Calibri"/>
                <w:sz w:val="20"/>
              </w:rPr>
              <w:t xml:space="preserve">.  She dismissed all charges because of a lack of evidence that the airgun was used or intended to be used to kill, injure, threaten or intimidate any person.  The Court of Appeal overturned </w:t>
            </w:r>
            <w:r w:rsidRPr="002832A9">
              <w:rPr>
                <w:rFonts w:eastAsia="Calibri"/>
                <w:i/>
                <w:sz w:val="20"/>
              </w:rPr>
              <w:t>McManus</w:t>
            </w:r>
            <w:r w:rsidRPr="002832A9">
              <w:rPr>
                <w:rFonts w:eastAsia="Calibri"/>
                <w:sz w:val="20"/>
              </w:rPr>
              <w:t xml:space="preserve"> and ordered a new trial on the charges of handling a firearm or imitation thereof in a careless manner; carrying a weapon or imitation thereof for a purpose dangerous to the public peace; carrying a concealed weapon or an imitation thereof.  It upheld the acquittal on the charge of pointing a firearm based on a lack of evidence.</w:t>
            </w:r>
          </w:p>
          <w:p w:rsidR="00792F7D" w:rsidRPr="002832A9" w:rsidRDefault="00792F7D" w:rsidP="001C4AC6">
            <w:pPr>
              <w:jc w:val="both"/>
              <w:rPr>
                <w:rFonts w:eastAsia="Calibri"/>
                <w:sz w:val="20"/>
              </w:rPr>
            </w:pPr>
          </w:p>
        </w:tc>
      </w:tr>
      <w:tr w:rsidR="00792F7D" w:rsidRPr="002832A9" w:rsidTr="001C4AC6">
        <w:tc>
          <w:tcPr>
            <w:tcW w:w="2427" w:type="pct"/>
          </w:tcPr>
          <w:p w:rsidR="00792F7D" w:rsidRPr="002832A9" w:rsidRDefault="00792F7D" w:rsidP="001C4AC6">
            <w:pPr>
              <w:jc w:val="both"/>
              <w:rPr>
                <w:rFonts w:eastAsia="Calibri"/>
                <w:sz w:val="20"/>
              </w:rPr>
            </w:pPr>
            <w:r w:rsidRPr="002832A9">
              <w:rPr>
                <w:rFonts w:eastAsia="Calibri"/>
                <w:sz w:val="20"/>
              </w:rPr>
              <w:lastRenderedPageBreak/>
              <w:t>January 10, 2012</w:t>
            </w:r>
          </w:p>
          <w:p w:rsidR="00792F7D" w:rsidRPr="002832A9" w:rsidRDefault="00792F7D" w:rsidP="001C4AC6">
            <w:pPr>
              <w:jc w:val="both"/>
              <w:rPr>
                <w:rFonts w:eastAsia="Calibri"/>
                <w:sz w:val="20"/>
              </w:rPr>
            </w:pPr>
            <w:r w:rsidRPr="002832A9">
              <w:rPr>
                <w:rFonts w:eastAsia="Calibri"/>
                <w:sz w:val="20"/>
              </w:rPr>
              <w:t>Ontario Superior Court of Justice</w:t>
            </w:r>
          </w:p>
          <w:p w:rsidR="00792F7D" w:rsidRPr="002832A9" w:rsidRDefault="00792F7D" w:rsidP="001C4AC6">
            <w:pPr>
              <w:jc w:val="both"/>
              <w:rPr>
                <w:rFonts w:eastAsia="Calibri"/>
                <w:sz w:val="20"/>
              </w:rPr>
            </w:pPr>
            <w:r w:rsidRPr="002832A9">
              <w:rPr>
                <w:rFonts w:eastAsia="Calibri"/>
                <w:sz w:val="20"/>
              </w:rPr>
              <w:t xml:space="preserve">(Alder J., orally) </w:t>
            </w:r>
          </w:p>
          <w:p w:rsidR="00792F7D" w:rsidRPr="002832A9" w:rsidRDefault="00792F7D" w:rsidP="001C4AC6">
            <w:pPr>
              <w:jc w:val="both"/>
              <w:rPr>
                <w:rFonts w:eastAsia="Calibri"/>
                <w:sz w:val="20"/>
              </w:rPr>
            </w:pPr>
          </w:p>
        </w:tc>
        <w:tc>
          <w:tcPr>
            <w:tcW w:w="243" w:type="pct"/>
          </w:tcPr>
          <w:p w:rsidR="00792F7D" w:rsidRPr="002832A9" w:rsidRDefault="00792F7D" w:rsidP="001C4AC6">
            <w:pPr>
              <w:jc w:val="both"/>
              <w:rPr>
                <w:rFonts w:eastAsia="Calibri"/>
                <w:sz w:val="20"/>
              </w:rPr>
            </w:pPr>
          </w:p>
        </w:tc>
        <w:tc>
          <w:tcPr>
            <w:tcW w:w="2330" w:type="pct"/>
          </w:tcPr>
          <w:p w:rsidR="00792F7D" w:rsidRPr="002832A9" w:rsidRDefault="00792F7D" w:rsidP="001C4AC6">
            <w:pPr>
              <w:jc w:val="both"/>
              <w:rPr>
                <w:rFonts w:eastAsia="Calibri"/>
                <w:sz w:val="20"/>
              </w:rPr>
            </w:pPr>
            <w:r w:rsidRPr="002832A9">
              <w:rPr>
                <w:rFonts w:eastAsia="Calibri"/>
                <w:sz w:val="20"/>
              </w:rPr>
              <w:t>Acquittals on charges of: careless handling of a firearm; carrying a weapon for a purpose dangerous to the public peace; carrying a concealed weapon; pointing a firearm</w:t>
            </w:r>
          </w:p>
          <w:p w:rsidR="00792F7D" w:rsidRPr="002832A9" w:rsidRDefault="00792F7D" w:rsidP="001C4AC6">
            <w:pPr>
              <w:jc w:val="both"/>
              <w:rPr>
                <w:rFonts w:eastAsia="Calibri"/>
                <w:sz w:val="20"/>
              </w:rPr>
            </w:pPr>
          </w:p>
        </w:tc>
      </w:tr>
      <w:tr w:rsidR="00792F7D" w:rsidRPr="002832A9" w:rsidTr="001C4AC6">
        <w:tc>
          <w:tcPr>
            <w:tcW w:w="2427" w:type="pct"/>
          </w:tcPr>
          <w:p w:rsidR="00792F7D" w:rsidRPr="002832A9" w:rsidRDefault="00792F7D" w:rsidP="001C4AC6">
            <w:pPr>
              <w:jc w:val="both"/>
              <w:rPr>
                <w:rFonts w:eastAsia="Calibri"/>
                <w:sz w:val="20"/>
              </w:rPr>
            </w:pPr>
            <w:r w:rsidRPr="002832A9">
              <w:rPr>
                <w:rFonts w:eastAsia="Calibri"/>
                <w:sz w:val="20"/>
              </w:rPr>
              <w:t>September 4, 2013</w:t>
            </w:r>
          </w:p>
          <w:p w:rsidR="00792F7D" w:rsidRPr="002832A9" w:rsidRDefault="00792F7D" w:rsidP="001C4AC6">
            <w:pPr>
              <w:jc w:val="both"/>
              <w:rPr>
                <w:rFonts w:eastAsia="Calibri"/>
                <w:sz w:val="20"/>
              </w:rPr>
            </w:pPr>
            <w:r w:rsidRPr="002832A9">
              <w:rPr>
                <w:rFonts w:eastAsia="Calibri"/>
                <w:sz w:val="20"/>
              </w:rPr>
              <w:t>Court of Appeal for Ontario</w:t>
            </w:r>
          </w:p>
          <w:p w:rsidR="00792F7D" w:rsidRPr="002832A9" w:rsidRDefault="00792F7D" w:rsidP="001C4AC6">
            <w:pPr>
              <w:jc w:val="both"/>
              <w:rPr>
                <w:rFonts w:eastAsia="Calibri"/>
                <w:sz w:val="20"/>
              </w:rPr>
            </w:pPr>
            <w:r w:rsidRPr="002832A9">
              <w:rPr>
                <w:rFonts w:eastAsia="Calibri"/>
                <w:sz w:val="20"/>
              </w:rPr>
              <w:t xml:space="preserve">(Rosenberg, Sharpe, Gillese, Epstein, Strathy </w:t>
            </w:r>
          </w:p>
          <w:p w:rsidR="00792F7D" w:rsidRPr="002832A9" w:rsidRDefault="00792F7D" w:rsidP="001C4AC6">
            <w:pPr>
              <w:jc w:val="both"/>
              <w:rPr>
                <w:rFonts w:eastAsia="Calibri"/>
                <w:sz w:val="20"/>
              </w:rPr>
            </w:pPr>
            <w:r w:rsidRPr="002832A9">
              <w:rPr>
                <w:rFonts w:eastAsia="Calibri"/>
                <w:sz w:val="20"/>
              </w:rPr>
              <w:t>(ad hoc) JJ.A.)</w:t>
            </w:r>
          </w:p>
          <w:p w:rsidR="00792F7D" w:rsidRPr="002832A9" w:rsidRDefault="00792F7D" w:rsidP="001C4AC6">
            <w:pPr>
              <w:jc w:val="both"/>
              <w:rPr>
                <w:rFonts w:eastAsia="Calibri"/>
                <w:sz w:val="20"/>
              </w:rPr>
            </w:pPr>
            <w:r w:rsidRPr="002832A9">
              <w:rPr>
                <w:rFonts w:eastAsia="Calibri"/>
                <w:sz w:val="20"/>
              </w:rPr>
              <w:t xml:space="preserve">C54975; </w:t>
            </w:r>
            <w:hyperlink r:id="rId56" w:history="1">
              <w:r w:rsidRPr="002832A9">
                <w:rPr>
                  <w:rFonts w:eastAsia="Calibri"/>
                  <w:color w:val="0000FF"/>
                  <w:sz w:val="20"/>
                  <w:u w:val="single"/>
                </w:rPr>
                <w:t>2013 ONCA 539</w:t>
              </w:r>
            </w:hyperlink>
          </w:p>
        </w:tc>
        <w:tc>
          <w:tcPr>
            <w:tcW w:w="243" w:type="pct"/>
          </w:tcPr>
          <w:p w:rsidR="00792F7D" w:rsidRPr="002832A9" w:rsidRDefault="00792F7D" w:rsidP="001C4AC6">
            <w:pPr>
              <w:jc w:val="both"/>
              <w:rPr>
                <w:rFonts w:eastAsia="Calibri"/>
                <w:sz w:val="20"/>
              </w:rPr>
            </w:pPr>
          </w:p>
        </w:tc>
        <w:tc>
          <w:tcPr>
            <w:tcW w:w="2330" w:type="pct"/>
          </w:tcPr>
          <w:p w:rsidR="00792F7D" w:rsidRPr="002832A9" w:rsidRDefault="00792F7D" w:rsidP="001C4AC6">
            <w:pPr>
              <w:jc w:val="both"/>
              <w:rPr>
                <w:rFonts w:eastAsia="Calibri"/>
                <w:sz w:val="20"/>
              </w:rPr>
            </w:pPr>
            <w:r w:rsidRPr="002832A9">
              <w:rPr>
                <w:rFonts w:eastAsia="Calibri"/>
                <w:sz w:val="20"/>
              </w:rPr>
              <w:t>Appeal allowed in part.  Acquittal on charge of pointing a firearm upheld.  Acquittals set aside and new trial ordered on charges of: careless handling of a firearm; carrying a weapon for a purpose dangerous to the public peace; carrying a concealed weapon</w:t>
            </w:r>
          </w:p>
          <w:p w:rsidR="00792F7D" w:rsidRPr="002832A9" w:rsidRDefault="00792F7D" w:rsidP="001C4AC6">
            <w:pPr>
              <w:jc w:val="both"/>
              <w:rPr>
                <w:rFonts w:eastAsia="Calibri"/>
                <w:sz w:val="20"/>
              </w:rPr>
            </w:pPr>
          </w:p>
        </w:tc>
      </w:tr>
      <w:tr w:rsidR="00792F7D" w:rsidRPr="002832A9" w:rsidTr="001C4AC6">
        <w:tc>
          <w:tcPr>
            <w:tcW w:w="2427" w:type="pct"/>
          </w:tcPr>
          <w:p w:rsidR="00792F7D" w:rsidRPr="002832A9" w:rsidRDefault="00792F7D" w:rsidP="001C4AC6">
            <w:pPr>
              <w:jc w:val="both"/>
              <w:rPr>
                <w:rFonts w:eastAsia="Calibri"/>
                <w:sz w:val="20"/>
              </w:rPr>
            </w:pPr>
            <w:r w:rsidRPr="002832A9">
              <w:rPr>
                <w:rFonts w:eastAsia="Calibri"/>
                <w:sz w:val="20"/>
              </w:rPr>
              <w:t>November 4, 2013</w:t>
            </w:r>
          </w:p>
          <w:p w:rsidR="00792F7D" w:rsidRPr="002832A9" w:rsidRDefault="00792F7D" w:rsidP="001C4AC6">
            <w:pPr>
              <w:jc w:val="both"/>
              <w:rPr>
                <w:rFonts w:eastAsia="Calibri"/>
                <w:sz w:val="20"/>
              </w:rPr>
            </w:pPr>
            <w:r w:rsidRPr="002832A9">
              <w:rPr>
                <w:rFonts w:eastAsia="Calibri"/>
                <w:sz w:val="20"/>
              </w:rPr>
              <w:t>Supreme Court of Canada</w:t>
            </w:r>
          </w:p>
        </w:tc>
        <w:tc>
          <w:tcPr>
            <w:tcW w:w="243" w:type="pct"/>
          </w:tcPr>
          <w:p w:rsidR="00792F7D" w:rsidRPr="002832A9" w:rsidRDefault="00792F7D" w:rsidP="001C4AC6">
            <w:pPr>
              <w:jc w:val="both"/>
              <w:rPr>
                <w:rFonts w:eastAsia="Calibri"/>
                <w:sz w:val="20"/>
              </w:rPr>
            </w:pPr>
          </w:p>
        </w:tc>
        <w:tc>
          <w:tcPr>
            <w:tcW w:w="2330" w:type="pct"/>
          </w:tcPr>
          <w:p w:rsidR="00792F7D" w:rsidRPr="002832A9" w:rsidRDefault="00792F7D" w:rsidP="001C4AC6">
            <w:pPr>
              <w:jc w:val="both"/>
              <w:rPr>
                <w:rFonts w:eastAsia="Calibri"/>
                <w:sz w:val="20"/>
              </w:rPr>
            </w:pPr>
            <w:r w:rsidRPr="002832A9">
              <w:rPr>
                <w:rFonts w:eastAsia="Calibri"/>
                <w:sz w:val="20"/>
              </w:rPr>
              <w:t>Application for leave to appeal filed</w:t>
            </w:r>
          </w:p>
          <w:p w:rsidR="00792F7D" w:rsidRPr="002832A9" w:rsidRDefault="00792F7D" w:rsidP="001C4AC6">
            <w:pPr>
              <w:jc w:val="both"/>
              <w:rPr>
                <w:rFonts w:eastAsia="Calibri"/>
                <w:sz w:val="20"/>
              </w:rPr>
            </w:pPr>
          </w:p>
        </w:tc>
      </w:tr>
    </w:tbl>
    <w:p w:rsidR="002A46DC" w:rsidRDefault="002A46DC" w:rsidP="002A46DC">
      <w:pPr>
        <w:rPr>
          <w:sz w:val="20"/>
          <w:szCs w:val="20"/>
        </w:rPr>
      </w:pPr>
    </w:p>
    <w:p w:rsidR="002A46DC" w:rsidRPr="00C50A5C" w:rsidRDefault="00EB0F11" w:rsidP="002A46DC">
      <w:pPr>
        <w:rPr>
          <w:sz w:val="20"/>
          <w:szCs w:val="20"/>
        </w:rPr>
      </w:pPr>
      <w:r>
        <w:rPr>
          <w:sz w:val="20"/>
          <w:szCs w:val="20"/>
          <w:lang w:val="fr-CA"/>
        </w:rPr>
        <w:pict>
          <v:rect id="_x0000_i1061" style="width:2in;height:1pt" o:hrpct="0" o:hralign="center" o:hrstd="t" o:hrnoshade="t" o:hr="t" fillcolor="black [3213]" stroked="f"/>
        </w:pict>
      </w:r>
    </w:p>
    <w:p w:rsidR="002A46DC" w:rsidRDefault="002A46DC" w:rsidP="002A46DC">
      <w:pPr>
        <w:rPr>
          <w:sz w:val="20"/>
          <w:szCs w:val="20"/>
        </w:rPr>
      </w:pPr>
    </w:p>
    <w:p w:rsidR="000F0143" w:rsidRDefault="000F0143">
      <w:pPr>
        <w:rPr>
          <w:sz w:val="20"/>
          <w:szCs w:val="20"/>
          <w:u w:val="single"/>
          <w:lang w:val="fr-CA"/>
        </w:rPr>
      </w:pPr>
      <w:r>
        <w:rPr>
          <w:sz w:val="20"/>
          <w:szCs w:val="20"/>
          <w:u w:val="single"/>
          <w:lang w:val="fr-CA"/>
        </w:rPr>
        <w:br w:type="page"/>
      </w:r>
    </w:p>
    <w:p w:rsidR="002A46DC" w:rsidRPr="001B157C" w:rsidRDefault="002A46DC" w:rsidP="002A46DC">
      <w:pPr>
        <w:rPr>
          <w:sz w:val="20"/>
          <w:szCs w:val="20"/>
          <w:u w:val="single"/>
          <w:lang w:val="fr-CA"/>
        </w:rPr>
      </w:pPr>
      <w:r w:rsidRPr="001B157C">
        <w:rPr>
          <w:sz w:val="20"/>
          <w:szCs w:val="20"/>
          <w:u w:val="single"/>
          <w:lang w:val="fr-CA"/>
        </w:rPr>
        <w:lastRenderedPageBreak/>
        <w:t>RÉSUMÉ DE L’AFFAIRE</w:t>
      </w:r>
    </w:p>
    <w:p w:rsidR="002A46DC" w:rsidRDefault="002A46DC" w:rsidP="002A46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92F7D" w:rsidRPr="00EB0F11" w:rsidTr="001C4AC6">
        <w:tc>
          <w:tcPr>
            <w:tcW w:w="5000" w:type="pct"/>
            <w:gridSpan w:val="3"/>
          </w:tcPr>
          <w:p w:rsidR="00792F7D" w:rsidRPr="002832A9" w:rsidRDefault="00792F7D" w:rsidP="001C4AC6">
            <w:pPr>
              <w:jc w:val="both"/>
              <w:rPr>
                <w:rFonts w:eastAsia="Calibri"/>
                <w:sz w:val="20"/>
                <w:lang w:val="fr-CA"/>
              </w:rPr>
            </w:pPr>
            <w:r w:rsidRPr="002832A9">
              <w:rPr>
                <w:rFonts w:eastAsia="Calibri"/>
                <w:sz w:val="20"/>
                <w:lang w:val="fr-CA"/>
              </w:rPr>
              <w:t xml:space="preserve">Droit criminel – Infractions – Éléments de l’infraction – Infractions relatives aux armes à feu – Un pistolet à air comprimé est-il une « arme à feu » ou une « arme » au sens de l’art. 2 du </w:t>
            </w:r>
            <w:r w:rsidRPr="002832A9">
              <w:rPr>
                <w:rFonts w:eastAsia="Calibri"/>
                <w:i/>
                <w:sz w:val="20"/>
                <w:lang w:val="fr-CA"/>
              </w:rPr>
              <w:t>Code criminel</w:t>
            </w:r>
            <w:r w:rsidRPr="002832A9">
              <w:rPr>
                <w:rFonts w:eastAsia="Calibri"/>
                <w:sz w:val="20"/>
                <w:lang w:val="fr-CA"/>
              </w:rPr>
              <w:t>, L.R.C. 1985, c. C-46 ?</w:t>
            </w:r>
          </w:p>
        </w:tc>
      </w:tr>
      <w:tr w:rsidR="00792F7D" w:rsidRPr="00EB0F11" w:rsidTr="001C4AC6">
        <w:tc>
          <w:tcPr>
            <w:tcW w:w="5000" w:type="pct"/>
            <w:gridSpan w:val="3"/>
          </w:tcPr>
          <w:p w:rsidR="00792F7D" w:rsidRPr="002832A9" w:rsidRDefault="00792F7D" w:rsidP="001C4AC6">
            <w:pPr>
              <w:jc w:val="both"/>
              <w:rPr>
                <w:rFonts w:eastAsia="Calibri"/>
                <w:sz w:val="20"/>
                <w:lang w:val="fr-CA"/>
              </w:rPr>
            </w:pPr>
          </w:p>
        </w:tc>
      </w:tr>
      <w:tr w:rsidR="00792F7D" w:rsidRPr="00EB0F11" w:rsidTr="001C4AC6">
        <w:tc>
          <w:tcPr>
            <w:tcW w:w="5000" w:type="pct"/>
            <w:gridSpan w:val="3"/>
          </w:tcPr>
          <w:p w:rsidR="00792F7D" w:rsidRPr="002832A9" w:rsidRDefault="00792F7D" w:rsidP="001C4AC6">
            <w:pPr>
              <w:jc w:val="both"/>
              <w:rPr>
                <w:rFonts w:eastAsia="Calibri"/>
                <w:sz w:val="20"/>
                <w:lang w:val="fr-CA"/>
              </w:rPr>
            </w:pPr>
            <w:r w:rsidRPr="002832A9">
              <w:rPr>
                <w:rFonts w:eastAsia="Calibri"/>
                <w:sz w:val="20"/>
                <w:lang w:val="fr-CA"/>
              </w:rPr>
              <w:t xml:space="preserve">Christopher Dunn a été vu retirant de la poche de sa veste un objet qui ressemblait à un pistolet et le braquant apparemment ensuite en direction d’un autre homme.  Les policiers se sont rendus dans sa remorque et y ont trouvé un pistolet à air comprimé qui tire des plombs BB et qui ressemble à un pistolet 9 mm.  M. Dunn a été accusé d’avoir manié une arme à feu ou une imitation d’une telle arme d’une manière négligente, d’avoir porté une arme à feu ou une imitation d’une telle arme dans un dessein dangereux pour la paix publique, d’avoir porté une arme dissimulée ou une imitation d’une telle arme et d’avoir braqué une arme à feu.  La juge du procès a appliqué </w:t>
            </w:r>
            <w:r w:rsidRPr="002832A9">
              <w:rPr>
                <w:rFonts w:eastAsia="Calibri"/>
                <w:i/>
                <w:sz w:val="20"/>
                <w:lang w:val="fr-CA"/>
              </w:rPr>
              <w:t>R. c. McManus</w:t>
            </w:r>
            <w:r w:rsidRPr="002832A9">
              <w:rPr>
                <w:rFonts w:eastAsia="Calibri"/>
                <w:sz w:val="20"/>
                <w:lang w:val="fr-CA"/>
              </w:rPr>
              <w:t xml:space="preserve">, (2006), 214 O.A.C. 77, et exigé la preuve que le pistolet à air comprimé était une « arme » au sens de l’art. 2 du </w:t>
            </w:r>
            <w:r w:rsidRPr="002832A9">
              <w:rPr>
                <w:rFonts w:eastAsia="Calibri"/>
                <w:i/>
                <w:sz w:val="20"/>
                <w:lang w:val="fr-CA"/>
              </w:rPr>
              <w:t xml:space="preserve">Code criminel. </w:t>
            </w:r>
            <w:r w:rsidRPr="002832A9">
              <w:rPr>
                <w:rFonts w:eastAsia="Calibri"/>
                <w:sz w:val="20"/>
                <w:lang w:val="fr-CA"/>
              </w:rPr>
              <w:t xml:space="preserve">Ayant conclu à l’insuffisance de la preuve quant au fait que M. Dunn avait utilisé le pistolet à air comprimé pour tuer, blesser, menacer ou intimider une personne ou avait eu l’intention de le faire, elle a rejeté toutes les accusations.  La Cour d’appel a infirmé </w:t>
            </w:r>
            <w:r w:rsidRPr="002832A9">
              <w:rPr>
                <w:rFonts w:eastAsia="Calibri"/>
                <w:i/>
                <w:sz w:val="20"/>
                <w:lang w:val="fr-CA"/>
              </w:rPr>
              <w:t>McManus</w:t>
            </w:r>
            <w:r w:rsidRPr="002832A9">
              <w:rPr>
                <w:rFonts w:eastAsia="Calibri"/>
                <w:sz w:val="20"/>
                <w:lang w:val="fr-CA"/>
              </w:rPr>
              <w:t xml:space="preserve"> et ordonné la tenue d’un nouveau procès quant aux accusations d’avoir manié une arme à feu ou une imitation d’une telle arme de manière négligente, d’avoir porté une arme à feu ou une imitation d’une telle arme dans un dessein dangereux pour la paix publique et d’avoir porté une arme dissimulée ou une imitation d’une telle arme.  Ayant conclu à l’insuffisance de la preuve à cet égard, la Cour d’appel a maintenu l’acquittement quant à l’accusation d’avoir braqué une arme à feu.</w:t>
            </w:r>
          </w:p>
          <w:p w:rsidR="00792F7D" w:rsidRPr="002832A9" w:rsidRDefault="00792F7D" w:rsidP="001C4AC6">
            <w:pPr>
              <w:jc w:val="both"/>
              <w:rPr>
                <w:rFonts w:eastAsia="Calibri"/>
                <w:sz w:val="20"/>
                <w:lang w:val="fr-CA"/>
              </w:rPr>
            </w:pPr>
          </w:p>
        </w:tc>
      </w:tr>
      <w:tr w:rsidR="00792F7D" w:rsidRPr="00EB0F11" w:rsidTr="001C4AC6">
        <w:tc>
          <w:tcPr>
            <w:tcW w:w="2427" w:type="pct"/>
          </w:tcPr>
          <w:p w:rsidR="00792F7D" w:rsidRPr="002832A9" w:rsidRDefault="00792F7D" w:rsidP="001C4AC6">
            <w:pPr>
              <w:jc w:val="both"/>
              <w:rPr>
                <w:rFonts w:eastAsia="Calibri"/>
                <w:sz w:val="20"/>
                <w:lang w:val="fr-CA"/>
              </w:rPr>
            </w:pPr>
            <w:r w:rsidRPr="002832A9">
              <w:rPr>
                <w:rFonts w:eastAsia="Calibri"/>
                <w:sz w:val="20"/>
                <w:lang w:val="fr-CA"/>
              </w:rPr>
              <w:t>10 janvier 2012</w:t>
            </w:r>
          </w:p>
          <w:p w:rsidR="00792F7D" w:rsidRPr="002832A9" w:rsidRDefault="00792F7D" w:rsidP="001C4AC6">
            <w:pPr>
              <w:jc w:val="both"/>
              <w:rPr>
                <w:rFonts w:eastAsia="Calibri"/>
                <w:sz w:val="20"/>
                <w:lang w:val="fr-CA"/>
              </w:rPr>
            </w:pPr>
            <w:r w:rsidRPr="002832A9">
              <w:rPr>
                <w:rFonts w:eastAsia="Calibri"/>
                <w:sz w:val="20"/>
                <w:lang w:val="fr-CA"/>
              </w:rPr>
              <w:t xml:space="preserve">Cour supérieure de justice de l’Ontario </w:t>
            </w:r>
          </w:p>
          <w:p w:rsidR="00792F7D" w:rsidRPr="002832A9" w:rsidRDefault="00792F7D" w:rsidP="001C4AC6">
            <w:pPr>
              <w:jc w:val="both"/>
              <w:rPr>
                <w:rFonts w:eastAsia="Calibri"/>
                <w:sz w:val="20"/>
              </w:rPr>
            </w:pPr>
            <w:r w:rsidRPr="002832A9">
              <w:rPr>
                <w:rFonts w:eastAsia="Calibri"/>
                <w:sz w:val="20"/>
              </w:rPr>
              <w:t xml:space="preserve">(Juge Alder, à l’audience) </w:t>
            </w:r>
          </w:p>
          <w:p w:rsidR="00792F7D" w:rsidRPr="002832A9" w:rsidRDefault="00792F7D" w:rsidP="001C4AC6">
            <w:pPr>
              <w:jc w:val="both"/>
              <w:rPr>
                <w:rFonts w:eastAsia="Calibri"/>
                <w:sz w:val="20"/>
              </w:rPr>
            </w:pPr>
          </w:p>
        </w:tc>
        <w:tc>
          <w:tcPr>
            <w:tcW w:w="243" w:type="pct"/>
          </w:tcPr>
          <w:p w:rsidR="00792F7D" w:rsidRPr="002832A9" w:rsidRDefault="00792F7D" w:rsidP="001C4AC6">
            <w:pPr>
              <w:jc w:val="both"/>
              <w:rPr>
                <w:rFonts w:eastAsia="Calibri"/>
                <w:sz w:val="20"/>
              </w:rPr>
            </w:pPr>
          </w:p>
        </w:tc>
        <w:tc>
          <w:tcPr>
            <w:tcW w:w="2330" w:type="pct"/>
          </w:tcPr>
          <w:p w:rsidR="00792F7D" w:rsidRPr="002832A9" w:rsidRDefault="00792F7D" w:rsidP="001C4AC6">
            <w:pPr>
              <w:jc w:val="both"/>
              <w:rPr>
                <w:rFonts w:eastAsia="Calibri"/>
                <w:sz w:val="20"/>
                <w:lang w:val="fr-CA"/>
              </w:rPr>
            </w:pPr>
            <w:r w:rsidRPr="002832A9">
              <w:rPr>
                <w:rFonts w:eastAsia="Calibri"/>
                <w:sz w:val="20"/>
                <w:lang w:val="fr-CA"/>
              </w:rPr>
              <w:t xml:space="preserve">Acquittements quant aux accusations d’avoir manié une arme à feu d’une manière négligente, d’avoir porté une arme à feu dans un dessein dangereux pour la paix publique, d’avoir porté une arme dissimulée et d’avoir braqué une arme à feu </w:t>
            </w:r>
          </w:p>
          <w:p w:rsidR="00792F7D" w:rsidRPr="002832A9" w:rsidRDefault="00792F7D" w:rsidP="001C4AC6">
            <w:pPr>
              <w:jc w:val="both"/>
              <w:rPr>
                <w:rFonts w:eastAsia="Calibri"/>
                <w:sz w:val="20"/>
                <w:lang w:val="fr-CA"/>
              </w:rPr>
            </w:pPr>
          </w:p>
        </w:tc>
      </w:tr>
      <w:tr w:rsidR="00792F7D" w:rsidRPr="00EB0F11" w:rsidTr="001C4AC6">
        <w:tc>
          <w:tcPr>
            <w:tcW w:w="2427" w:type="pct"/>
          </w:tcPr>
          <w:p w:rsidR="00792F7D" w:rsidRPr="002832A9" w:rsidRDefault="00792F7D" w:rsidP="001C4AC6">
            <w:pPr>
              <w:jc w:val="both"/>
              <w:rPr>
                <w:rFonts w:eastAsia="Calibri"/>
                <w:sz w:val="20"/>
                <w:lang w:val="fr-CA"/>
              </w:rPr>
            </w:pPr>
            <w:r w:rsidRPr="002832A9">
              <w:rPr>
                <w:rFonts w:eastAsia="Calibri"/>
                <w:sz w:val="20"/>
                <w:lang w:val="fr-CA"/>
              </w:rPr>
              <w:t>4 septembre 2013</w:t>
            </w:r>
          </w:p>
          <w:p w:rsidR="00792F7D" w:rsidRPr="002832A9" w:rsidRDefault="00792F7D" w:rsidP="001C4AC6">
            <w:pPr>
              <w:jc w:val="both"/>
              <w:rPr>
                <w:rFonts w:eastAsia="Calibri"/>
                <w:sz w:val="20"/>
                <w:lang w:val="fr-CA"/>
              </w:rPr>
            </w:pPr>
            <w:r w:rsidRPr="002832A9">
              <w:rPr>
                <w:rFonts w:eastAsia="Calibri"/>
                <w:sz w:val="20"/>
                <w:lang w:val="fr-CA"/>
              </w:rPr>
              <w:t>Cour d’appel de l’Ontario</w:t>
            </w:r>
          </w:p>
          <w:p w:rsidR="00792F7D" w:rsidRPr="002832A9" w:rsidRDefault="00792F7D" w:rsidP="001C4AC6">
            <w:pPr>
              <w:jc w:val="both"/>
              <w:rPr>
                <w:rFonts w:eastAsia="Calibri"/>
                <w:sz w:val="20"/>
              </w:rPr>
            </w:pPr>
            <w:r w:rsidRPr="002832A9">
              <w:rPr>
                <w:rFonts w:eastAsia="Calibri"/>
                <w:sz w:val="20"/>
              </w:rPr>
              <w:t>(Juges Rosenberg, Sharpe, Gillese, Epstein, Strathy (ad hoc))</w:t>
            </w:r>
          </w:p>
          <w:p w:rsidR="00792F7D" w:rsidRPr="002832A9" w:rsidRDefault="00792F7D" w:rsidP="001C4AC6">
            <w:pPr>
              <w:jc w:val="both"/>
              <w:rPr>
                <w:rFonts w:eastAsia="Calibri"/>
                <w:sz w:val="20"/>
              </w:rPr>
            </w:pPr>
            <w:r w:rsidRPr="002832A9">
              <w:rPr>
                <w:rFonts w:eastAsia="Calibri"/>
                <w:sz w:val="20"/>
              </w:rPr>
              <w:t xml:space="preserve">C54975; </w:t>
            </w:r>
            <w:hyperlink r:id="rId57" w:history="1">
              <w:r w:rsidRPr="002832A9">
                <w:rPr>
                  <w:rFonts w:eastAsia="Calibri"/>
                  <w:color w:val="0000FF"/>
                  <w:sz w:val="20"/>
                  <w:u w:val="single"/>
                </w:rPr>
                <w:t>2013 ONCA 539</w:t>
              </w:r>
            </w:hyperlink>
          </w:p>
        </w:tc>
        <w:tc>
          <w:tcPr>
            <w:tcW w:w="243" w:type="pct"/>
          </w:tcPr>
          <w:p w:rsidR="00792F7D" w:rsidRPr="002832A9" w:rsidRDefault="00792F7D" w:rsidP="001C4AC6">
            <w:pPr>
              <w:jc w:val="both"/>
              <w:rPr>
                <w:rFonts w:eastAsia="Calibri"/>
                <w:sz w:val="20"/>
              </w:rPr>
            </w:pPr>
          </w:p>
        </w:tc>
        <w:tc>
          <w:tcPr>
            <w:tcW w:w="2330" w:type="pct"/>
          </w:tcPr>
          <w:p w:rsidR="00792F7D" w:rsidRPr="002832A9" w:rsidRDefault="00792F7D" w:rsidP="001C4AC6">
            <w:pPr>
              <w:jc w:val="both"/>
              <w:rPr>
                <w:rFonts w:eastAsia="Calibri"/>
                <w:sz w:val="20"/>
                <w:lang w:val="fr-CA"/>
              </w:rPr>
            </w:pPr>
            <w:r w:rsidRPr="002832A9">
              <w:rPr>
                <w:rFonts w:eastAsia="Calibri"/>
                <w:sz w:val="20"/>
                <w:lang w:val="fr-CA"/>
              </w:rPr>
              <w:t xml:space="preserve">Appel accueilli en partie.  Acquittement quant à l’accusation d’avoir braqué une arme à feu maintenu.  Acquittement quant aux accusations d’avoir manié une arme à feu d’une manière négligente, d’avoir porté une arme à feu dans un dessein dangereux pour la paix publique et d’avoir porté une arme dissimulée annulés et tenue d’un nouveau procès ordonnée </w:t>
            </w:r>
          </w:p>
          <w:p w:rsidR="00792F7D" w:rsidRPr="002832A9" w:rsidRDefault="00792F7D" w:rsidP="001C4AC6">
            <w:pPr>
              <w:jc w:val="both"/>
              <w:rPr>
                <w:rFonts w:eastAsia="Calibri"/>
                <w:sz w:val="20"/>
                <w:lang w:val="fr-CA"/>
              </w:rPr>
            </w:pPr>
          </w:p>
        </w:tc>
      </w:tr>
      <w:tr w:rsidR="00792F7D" w:rsidRPr="002832A9" w:rsidTr="001C4AC6">
        <w:tc>
          <w:tcPr>
            <w:tcW w:w="2427" w:type="pct"/>
          </w:tcPr>
          <w:p w:rsidR="00792F7D" w:rsidRPr="002832A9" w:rsidRDefault="00792F7D" w:rsidP="001C4AC6">
            <w:pPr>
              <w:jc w:val="both"/>
              <w:rPr>
                <w:rFonts w:eastAsia="Calibri"/>
                <w:sz w:val="20"/>
                <w:lang w:val="fr-CA"/>
              </w:rPr>
            </w:pPr>
            <w:r w:rsidRPr="002832A9">
              <w:rPr>
                <w:rFonts w:eastAsia="Calibri"/>
                <w:sz w:val="20"/>
                <w:lang w:val="fr-CA"/>
              </w:rPr>
              <w:t>4 novembre 2013</w:t>
            </w:r>
          </w:p>
          <w:p w:rsidR="00792F7D" w:rsidRPr="002832A9" w:rsidRDefault="00792F7D" w:rsidP="001C4AC6">
            <w:pPr>
              <w:jc w:val="both"/>
              <w:rPr>
                <w:rFonts w:eastAsia="Calibri"/>
                <w:sz w:val="20"/>
                <w:lang w:val="fr-CA"/>
              </w:rPr>
            </w:pPr>
            <w:r w:rsidRPr="002832A9">
              <w:rPr>
                <w:rFonts w:eastAsia="Calibri"/>
                <w:sz w:val="20"/>
                <w:lang w:val="fr-CA"/>
              </w:rPr>
              <w:t>Cour suprême du Canada</w:t>
            </w:r>
          </w:p>
        </w:tc>
        <w:tc>
          <w:tcPr>
            <w:tcW w:w="243" w:type="pct"/>
          </w:tcPr>
          <w:p w:rsidR="00792F7D" w:rsidRPr="002832A9" w:rsidRDefault="00792F7D" w:rsidP="001C4AC6">
            <w:pPr>
              <w:jc w:val="both"/>
              <w:rPr>
                <w:rFonts w:eastAsia="Calibri"/>
                <w:sz w:val="20"/>
                <w:lang w:val="fr-CA"/>
              </w:rPr>
            </w:pPr>
          </w:p>
        </w:tc>
        <w:tc>
          <w:tcPr>
            <w:tcW w:w="2330" w:type="pct"/>
          </w:tcPr>
          <w:p w:rsidR="00792F7D" w:rsidRPr="002832A9" w:rsidRDefault="00792F7D" w:rsidP="001C4AC6">
            <w:pPr>
              <w:jc w:val="both"/>
              <w:rPr>
                <w:rFonts w:eastAsia="Calibri"/>
                <w:sz w:val="20"/>
                <w:lang w:val="fr-CA"/>
              </w:rPr>
            </w:pPr>
            <w:r w:rsidRPr="002832A9">
              <w:rPr>
                <w:rFonts w:eastAsia="Calibri"/>
                <w:sz w:val="20"/>
                <w:lang w:val="fr-CA"/>
              </w:rPr>
              <w:t>Demande d’autorisation d’appel déposée</w:t>
            </w:r>
          </w:p>
          <w:p w:rsidR="00792F7D" w:rsidRPr="002832A9" w:rsidRDefault="00792F7D" w:rsidP="001C4AC6">
            <w:pPr>
              <w:jc w:val="both"/>
              <w:rPr>
                <w:rFonts w:eastAsia="Calibri"/>
                <w:sz w:val="20"/>
              </w:rPr>
            </w:pPr>
          </w:p>
        </w:tc>
      </w:tr>
    </w:tbl>
    <w:p w:rsidR="002A46DC" w:rsidRDefault="002A46DC" w:rsidP="002A46DC">
      <w:pPr>
        <w:rPr>
          <w:sz w:val="20"/>
          <w:szCs w:val="20"/>
        </w:rPr>
      </w:pPr>
    </w:p>
    <w:p w:rsidR="002A46DC" w:rsidRDefault="00EB0F11" w:rsidP="002A46DC">
      <w:pPr>
        <w:rPr>
          <w:sz w:val="20"/>
          <w:szCs w:val="20"/>
        </w:rPr>
      </w:pPr>
      <w:r>
        <w:rPr>
          <w:sz w:val="20"/>
          <w:szCs w:val="20"/>
          <w:lang w:val="fr-CA"/>
        </w:rPr>
        <w:pict>
          <v:rect id="_x0000_i1062" style="width:2in;height:1pt" o:hrpct="0" o:hralign="center" o:hrstd="t" o:hrnoshade="t" o:hr="t" fillcolor="black [3213]" stroked="f"/>
        </w:pict>
      </w:r>
    </w:p>
    <w:p w:rsidR="002A46DC" w:rsidRDefault="002A46DC" w:rsidP="002A46DC">
      <w:pPr>
        <w:rPr>
          <w:sz w:val="20"/>
          <w:szCs w:val="20"/>
        </w:rPr>
      </w:pPr>
    </w:p>
    <w:tbl>
      <w:tblPr>
        <w:tblStyle w:val="TableGrid1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F0143" w:rsidRPr="00EB0F11" w:rsidTr="002B62A3">
        <w:trPr>
          <w:cantSplit/>
        </w:trPr>
        <w:tc>
          <w:tcPr>
            <w:tcW w:w="1458" w:type="dxa"/>
          </w:tcPr>
          <w:p w:rsidR="000F0143" w:rsidRPr="000F0143" w:rsidRDefault="000F0143" w:rsidP="000F0143">
            <w:pPr>
              <w:rPr>
                <w:sz w:val="20"/>
              </w:rPr>
            </w:pPr>
            <w:r w:rsidRPr="000F0143">
              <w:rPr>
                <w:b/>
                <w:sz w:val="20"/>
                <w:lang w:val="fr-CA"/>
              </w:rPr>
              <w:t>35617</w:t>
            </w:r>
          </w:p>
          <w:p w:rsidR="000F0143" w:rsidRPr="000F0143" w:rsidRDefault="000F0143" w:rsidP="000F0143">
            <w:pPr>
              <w:rPr>
                <w:b/>
                <w:sz w:val="20"/>
                <w:lang w:val="fr-CA"/>
              </w:rPr>
            </w:pPr>
          </w:p>
        </w:tc>
        <w:tc>
          <w:tcPr>
            <w:tcW w:w="8118" w:type="dxa"/>
          </w:tcPr>
          <w:p w:rsidR="000F0143" w:rsidRPr="000F0143" w:rsidRDefault="000F0143" w:rsidP="000F0143">
            <w:pPr>
              <w:rPr>
                <w:sz w:val="20"/>
                <w:lang w:val="fr-CA"/>
              </w:rPr>
            </w:pPr>
            <w:r w:rsidRPr="000F0143">
              <w:rPr>
                <w:b/>
                <w:sz w:val="20"/>
                <w:u w:val="single"/>
                <w:lang w:val="fr-CA"/>
              </w:rPr>
              <w:t>C.J.R. c. I.A.C</w:t>
            </w:r>
            <w:r w:rsidRPr="000F0143">
              <w:rPr>
                <w:sz w:val="20"/>
                <w:lang w:val="fr-CA"/>
              </w:rPr>
              <w:t xml:space="preserve"> (Qc) (Civile) (Autorisation)</w:t>
            </w:r>
          </w:p>
          <w:p w:rsidR="000F0143" w:rsidRPr="000F0143" w:rsidRDefault="000F0143" w:rsidP="000F0143">
            <w:pPr>
              <w:rPr>
                <w:sz w:val="20"/>
                <w:lang w:val="fr-CA"/>
              </w:rPr>
            </w:pPr>
          </w:p>
        </w:tc>
      </w:tr>
      <w:tr w:rsidR="000F0143" w:rsidRPr="00EB0F11" w:rsidTr="002B62A3">
        <w:trPr>
          <w:cantSplit/>
        </w:trPr>
        <w:tc>
          <w:tcPr>
            <w:tcW w:w="1458" w:type="dxa"/>
          </w:tcPr>
          <w:p w:rsidR="000F0143" w:rsidRPr="000F0143" w:rsidRDefault="000F0143" w:rsidP="000F0143">
            <w:pPr>
              <w:rPr>
                <w:sz w:val="20"/>
              </w:rPr>
            </w:pPr>
            <w:r w:rsidRPr="000F0143">
              <w:rPr>
                <w:sz w:val="20"/>
              </w:rPr>
              <w:t>Coram :</w:t>
            </w:r>
          </w:p>
        </w:tc>
        <w:tc>
          <w:tcPr>
            <w:tcW w:w="8118" w:type="dxa"/>
          </w:tcPr>
          <w:p w:rsidR="000F0143" w:rsidRPr="000F0143" w:rsidRDefault="000F0143" w:rsidP="000F0143">
            <w:pPr>
              <w:rPr>
                <w:sz w:val="20"/>
                <w:lang w:val="fr-CA"/>
              </w:rPr>
            </w:pPr>
            <w:r w:rsidRPr="000F0143">
              <w:rPr>
                <w:sz w:val="20"/>
                <w:u w:val="single"/>
                <w:lang w:val="fr-CA"/>
              </w:rPr>
              <w:t>Les juges LeBel, Karakatsanis et Wagner</w:t>
            </w:r>
          </w:p>
          <w:p w:rsidR="000F0143" w:rsidRPr="000F0143" w:rsidRDefault="000F0143" w:rsidP="000F0143">
            <w:pPr>
              <w:rPr>
                <w:sz w:val="20"/>
                <w:u w:val="single"/>
                <w:lang w:val="fr-CA"/>
              </w:rPr>
            </w:pPr>
          </w:p>
        </w:tc>
      </w:tr>
      <w:tr w:rsidR="000F0143" w:rsidRPr="000F0143" w:rsidTr="002B62A3">
        <w:trPr>
          <w:cantSplit/>
        </w:trPr>
        <w:tc>
          <w:tcPr>
            <w:tcW w:w="9576" w:type="dxa"/>
            <w:gridSpan w:val="2"/>
          </w:tcPr>
          <w:p w:rsidR="000F0143" w:rsidRPr="000F0143" w:rsidRDefault="000F0143" w:rsidP="000F0143">
            <w:pPr>
              <w:ind w:firstLine="720"/>
              <w:jc w:val="both"/>
              <w:rPr>
                <w:sz w:val="20"/>
                <w:lang w:val="fr-CA"/>
              </w:rPr>
            </w:pPr>
            <w:r w:rsidRPr="000F0143">
              <w:rPr>
                <w:sz w:val="20"/>
                <w:lang w:val="fr-CA"/>
              </w:rPr>
              <w:t>La demande d’autorisation d’appel de l’arrêt de la Cour d’appel du Québec (Montréal), numéro 500-09-023613-136, 2013 QCCA 1544, daté du 9 septembre 2013, est rejetée sans dépens.</w:t>
            </w:r>
          </w:p>
          <w:p w:rsidR="000F0143" w:rsidRPr="000F0143" w:rsidRDefault="000F0143" w:rsidP="000F0143">
            <w:pPr>
              <w:jc w:val="both"/>
              <w:rPr>
                <w:sz w:val="20"/>
                <w:lang w:val="fr-CA"/>
              </w:rPr>
            </w:pPr>
          </w:p>
          <w:p w:rsidR="000F0143" w:rsidRPr="000F0143" w:rsidRDefault="000F0143" w:rsidP="000F0143">
            <w:pPr>
              <w:ind w:firstLine="720"/>
              <w:jc w:val="both"/>
              <w:rPr>
                <w:sz w:val="20"/>
              </w:rPr>
            </w:pPr>
            <w:r w:rsidRPr="000F0143">
              <w:rPr>
                <w:sz w:val="20"/>
              </w:rPr>
              <w:t>The application for leave to appeal from the judgment of the Court of Appeal of Quebec (Montréal), Number 500-09-023613-136, 2013 QCCA 1544, dated September 9, 2013, is dismissed without costs.</w:t>
            </w:r>
          </w:p>
        </w:tc>
      </w:tr>
    </w:tbl>
    <w:p w:rsidR="002A46DC" w:rsidRPr="006112BA" w:rsidRDefault="002A46DC" w:rsidP="002A46DC">
      <w:pPr>
        <w:rPr>
          <w:sz w:val="20"/>
          <w:szCs w:val="20"/>
        </w:rPr>
      </w:pPr>
    </w:p>
    <w:p w:rsidR="000F0143" w:rsidRDefault="000F0143">
      <w:pPr>
        <w:rPr>
          <w:sz w:val="20"/>
          <w:szCs w:val="20"/>
          <w:u w:val="single"/>
        </w:rPr>
      </w:pPr>
      <w:r>
        <w:rPr>
          <w:sz w:val="20"/>
          <w:szCs w:val="20"/>
          <w:u w:val="single"/>
        </w:rPr>
        <w:br w:type="page"/>
      </w:r>
    </w:p>
    <w:p w:rsidR="002A46DC" w:rsidRPr="001B157C" w:rsidRDefault="002A46DC" w:rsidP="002A46DC">
      <w:pPr>
        <w:rPr>
          <w:sz w:val="20"/>
          <w:szCs w:val="20"/>
          <w:u w:val="single"/>
        </w:rPr>
      </w:pPr>
      <w:r w:rsidRPr="001B157C">
        <w:rPr>
          <w:sz w:val="20"/>
          <w:szCs w:val="20"/>
          <w:u w:val="single"/>
        </w:rPr>
        <w:lastRenderedPageBreak/>
        <w:t>CASE SUMMARY</w:t>
      </w:r>
    </w:p>
    <w:p w:rsidR="002A46DC" w:rsidRDefault="002A46DC" w:rsidP="002A46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112BA" w:rsidRPr="002832A9" w:rsidTr="001C4AC6">
        <w:tc>
          <w:tcPr>
            <w:tcW w:w="5000" w:type="pct"/>
            <w:gridSpan w:val="3"/>
          </w:tcPr>
          <w:p w:rsidR="006112BA" w:rsidRPr="002832A9" w:rsidRDefault="006112BA" w:rsidP="001C4AC6">
            <w:pPr>
              <w:jc w:val="both"/>
              <w:rPr>
                <w:rFonts w:eastAsia="Calibri"/>
                <w:smallCaps/>
                <w:sz w:val="20"/>
              </w:rPr>
            </w:pPr>
            <w:r w:rsidRPr="002832A9">
              <w:rPr>
                <w:rFonts w:eastAsia="Calibri"/>
                <w:smallCaps/>
                <w:sz w:val="20"/>
              </w:rPr>
              <w:t>(Publication Ban in Case) (Publication Ban on Party)</w:t>
            </w:r>
          </w:p>
          <w:p w:rsidR="006112BA" w:rsidRPr="002832A9" w:rsidRDefault="006112BA" w:rsidP="001C4AC6">
            <w:pPr>
              <w:jc w:val="both"/>
              <w:rPr>
                <w:rFonts w:eastAsia="Calibri"/>
                <w:sz w:val="20"/>
              </w:rPr>
            </w:pPr>
          </w:p>
          <w:p w:rsidR="006112BA" w:rsidRPr="002832A9" w:rsidRDefault="006112BA" w:rsidP="001C4AC6">
            <w:pPr>
              <w:jc w:val="both"/>
              <w:rPr>
                <w:rFonts w:eastAsia="Calibri"/>
                <w:sz w:val="20"/>
              </w:rPr>
            </w:pPr>
            <w:r w:rsidRPr="002832A9">
              <w:rPr>
                <w:rFonts w:eastAsia="Calibri"/>
                <w:sz w:val="20"/>
              </w:rPr>
              <w:t>Family law – Filiation – Contestation of paternity refused – Civil procedure – Appeal – Request for postponement denied and motion to dismiss appeal allowed – Whether Court of Appeal’s decision infringed applicant’s right to be heard, to be represented by counsel and to make full answer and defence.</w:t>
            </w:r>
          </w:p>
        </w:tc>
      </w:tr>
      <w:tr w:rsidR="006112BA" w:rsidRPr="002832A9" w:rsidTr="001C4AC6">
        <w:tc>
          <w:tcPr>
            <w:tcW w:w="5000" w:type="pct"/>
            <w:gridSpan w:val="3"/>
          </w:tcPr>
          <w:p w:rsidR="006112BA" w:rsidRPr="002832A9" w:rsidRDefault="006112BA" w:rsidP="001C4AC6">
            <w:pPr>
              <w:jc w:val="both"/>
              <w:rPr>
                <w:rFonts w:eastAsia="Calibri"/>
                <w:sz w:val="20"/>
              </w:rPr>
            </w:pPr>
          </w:p>
        </w:tc>
      </w:tr>
      <w:tr w:rsidR="006112BA" w:rsidRPr="002832A9" w:rsidTr="001C4AC6">
        <w:tc>
          <w:tcPr>
            <w:tcW w:w="5000" w:type="pct"/>
            <w:gridSpan w:val="3"/>
          </w:tcPr>
          <w:p w:rsidR="006112BA" w:rsidRPr="002832A9" w:rsidRDefault="006112BA" w:rsidP="001C4AC6">
            <w:pPr>
              <w:jc w:val="both"/>
              <w:rPr>
                <w:rFonts w:eastAsia="Calibri"/>
                <w:sz w:val="20"/>
              </w:rPr>
            </w:pPr>
            <w:r w:rsidRPr="002832A9">
              <w:rPr>
                <w:rFonts w:eastAsia="Calibri"/>
                <w:sz w:val="20"/>
              </w:rPr>
              <w:t xml:space="preserve">The applicant was the mother of the late J.R., who died in tragic circumstances in April 2012.  She contested J.R.’s paternity of the respondent’s child born in June 2010.  By consent confirmed by a court, the applicant and the respondent agreed to conduct a paternity test on the child using, </w:t>
            </w:r>
            <w:r w:rsidRPr="002832A9">
              <w:rPr>
                <w:rFonts w:eastAsia="Calibri"/>
                <w:i/>
                <w:sz w:val="20"/>
              </w:rPr>
              <w:t>inter alia</w:t>
            </w:r>
            <w:r w:rsidRPr="002832A9">
              <w:rPr>
                <w:rFonts w:eastAsia="Calibri"/>
                <w:sz w:val="20"/>
              </w:rPr>
              <w:t>, the father’s blood in the possession of the coroner.  A first test confirmed paternity at 99.99988521245%.  A second test yielded a probability of 99.998352716371%.  Since the applicant refused to discontinue her contestation, the respondent asked that the proceeding be dismissed.  The Superior Court dismissed the applicant’s contestation and the Court of Appeal then dismissed the appeal at the preliminary stage on the ground that it had no reasonable chance of success.</w:t>
            </w:r>
          </w:p>
          <w:p w:rsidR="006112BA" w:rsidRPr="002832A9" w:rsidRDefault="006112BA" w:rsidP="001C4AC6">
            <w:pPr>
              <w:jc w:val="both"/>
              <w:rPr>
                <w:rFonts w:eastAsia="Calibri"/>
                <w:sz w:val="20"/>
              </w:rPr>
            </w:pPr>
          </w:p>
        </w:tc>
      </w:tr>
      <w:tr w:rsidR="006112BA" w:rsidRPr="002832A9" w:rsidTr="001C4AC6">
        <w:tc>
          <w:tcPr>
            <w:tcW w:w="2427" w:type="pct"/>
          </w:tcPr>
          <w:p w:rsidR="006112BA" w:rsidRPr="002832A9" w:rsidRDefault="006112BA" w:rsidP="001C4AC6">
            <w:pPr>
              <w:jc w:val="both"/>
              <w:rPr>
                <w:rFonts w:eastAsia="Calibri"/>
                <w:sz w:val="20"/>
              </w:rPr>
            </w:pPr>
            <w:r w:rsidRPr="002832A9">
              <w:rPr>
                <w:rFonts w:eastAsia="Calibri"/>
                <w:sz w:val="20"/>
              </w:rPr>
              <w:t>May 3, 2013</w:t>
            </w:r>
          </w:p>
          <w:p w:rsidR="006112BA" w:rsidRPr="002832A9" w:rsidRDefault="006112BA" w:rsidP="001C4AC6">
            <w:pPr>
              <w:jc w:val="both"/>
              <w:rPr>
                <w:rFonts w:eastAsia="Calibri"/>
                <w:sz w:val="20"/>
              </w:rPr>
            </w:pPr>
            <w:r w:rsidRPr="002832A9">
              <w:rPr>
                <w:rFonts w:eastAsia="Calibri"/>
                <w:sz w:val="20"/>
              </w:rPr>
              <w:t>Quebec Superior Court</w:t>
            </w:r>
          </w:p>
          <w:p w:rsidR="006112BA" w:rsidRPr="002832A9" w:rsidRDefault="006112BA" w:rsidP="001C4AC6">
            <w:pPr>
              <w:jc w:val="both"/>
              <w:rPr>
                <w:rFonts w:eastAsia="Calibri"/>
                <w:sz w:val="20"/>
              </w:rPr>
            </w:pPr>
            <w:r w:rsidRPr="002832A9">
              <w:rPr>
                <w:rFonts w:eastAsia="Calibri"/>
                <w:sz w:val="20"/>
              </w:rPr>
              <w:t>(Gibeau J.)</w:t>
            </w:r>
          </w:p>
          <w:p w:rsidR="006112BA" w:rsidRPr="002832A9" w:rsidRDefault="00EB0F11" w:rsidP="001C4AC6">
            <w:pPr>
              <w:jc w:val="both"/>
              <w:rPr>
                <w:rFonts w:eastAsia="Calibri"/>
                <w:sz w:val="20"/>
              </w:rPr>
            </w:pPr>
            <w:hyperlink r:id="rId58" w:history="1">
              <w:r w:rsidR="006112BA" w:rsidRPr="002832A9">
                <w:rPr>
                  <w:rFonts w:eastAsia="Calibri"/>
                  <w:color w:val="0000FF"/>
                  <w:sz w:val="20"/>
                  <w:u w:val="single"/>
                </w:rPr>
                <w:t>2013 QCCS 2321</w:t>
              </w:r>
            </w:hyperlink>
          </w:p>
          <w:p w:rsidR="006112BA" w:rsidRPr="002832A9" w:rsidRDefault="006112BA" w:rsidP="001C4AC6">
            <w:pPr>
              <w:jc w:val="both"/>
              <w:rPr>
                <w:rFonts w:eastAsia="Calibri"/>
                <w:sz w:val="20"/>
              </w:rPr>
            </w:pPr>
          </w:p>
        </w:tc>
        <w:tc>
          <w:tcPr>
            <w:tcW w:w="243" w:type="pct"/>
          </w:tcPr>
          <w:p w:rsidR="006112BA" w:rsidRPr="002832A9" w:rsidRDefault="006112BA" w:rsidP="001C4AC6">
            <w:pPr>
              <w:jc w:val="both"/>
              <w:rPr>
                <w:rFonts w:eastAsia="Calibri"/>
                <w:sz w:val="20"/>
              </w:rPr>
            </w:pPr>
          </w:p>
        </w:tc>
        <w:tc>
          <w:tcPr>
            <w:tcW w:w="2330" w:type="pct"/>
          </w:tcPr>
          <w:p w:rsidR="006112BA" w:rsidRPr="002832A9" w:rsidRDefault="006112BA" w:rsidP="001C4AC6">
            <w:pPr>
              <w:jc w:val="both"/>
              <w:rPr>
                <w:rFonts w:eastAsia="Calibri"/>
                <w:sz w:val="20"/>
              </w:rPr>
            </w:pPr>
            <w:r w:rsidRPr="002832A9">
              <w:rPr>
                <w:rFonts w:eastAsia="Calibri"/>
                <w:sz w:val="20"/>
              </w:rPr>
              <w:t>Motion to institute proceedings to contest filiation dismissed</w:t>
            </w:r>
          </w:p>
          <w:p w:rsidR="006112BA" w:rsidRPr="002832A9" w:rsidRDefault="006112BA" w:rsidP="001C4AC6">
            <w:pPr>
              <w:jc w:val="both"/>
              <w:rPr>
                <w:rFonts w:eastAsia="Calibri"/>
                <w:sz w:val="20"/>
              </w:rPr>
            </w:pPr>
          </w:p>
        </w:tc>
      </w:tr>
      <w:tr w:rsidR="006112BA" w:rsidRPr="002832A9" w:rsidTr="001C4AC6">
        <w:tc>
          <w:tcPr>
            <w:tcW w:w="2427" w:type="pct"/>
          </w:tcPr>
          <w:p w:rsidR="006112BA" w:rsidRPr="002832A9" w:rsidRDefault="006112BA" w:rsidP="001C4AC6">
            <w:pPr>
              <w:jc w:val="both"/>
              <w:rPr>
                <w:rFonts w:eastAsia="Calibri"/>
                <w:sz w:val="20"/>
              </w:rPr>
            </w:pPr>
            <w:r w:rsidRPr="002832A9">
              <w:rPr>
                <w:rFonts w:eastAsia="Calibri"/>
                <w:sz w:val="20"/>
              </w:rPr>
              <w:t>September 9, 2013</w:t>
            </w:r>
          </w:p>
          <w:p w:rsidR="006112BA" w:rsidRPr="002832A9" w:rsidRDefault="006112BA" w:rsidP="001C4AC6">
            <w:pPr>
              <w:jc w:val="both"/>
              <w:rPr>
                <w:rFonts w:eastAsia="Calibri"/>
                <w:sz w:val="20"/>
              </w:rPr>
            </w:pPr>
            <w:r w:rsidRPr="002832A9">
              <w:rPr>
                <w:rFonts w:eastAsia="Calibri"/>
                <w:sz w:val="20"/>
              </w:rPr>
              <w:t>Quebec Court of Appeal (Montréal)</w:t>
            </w:r>
          </w:p>
          <w:p w:rsidR="006112BA" w:rsidRPr="002832A9" w:rsidRDefault="006112BA" w:rsidP="001C4AC6">
            <w:pPr>
              <w:jc w:val="both"/>
              <w:rPr>
                <w:rFonts w:eastAsia="Calibri"/>
                <w:sz w:val="20"/>
              </w:rPr>
            </w:pPr>
            <w:r w:rsidRPr="002832A9">
              <w:rPr>
                <w:rFonts w:eastAsia="Calibri"/>
                <w:sz w:val="20"/>
              </w:rPr>
              <w:t>(Morissette, Hilton and Léger JJ.A.)</w:t>
            </w:r>
          </w:p>
          <w:p w:rsidR="006112BA" w:rsidRPr="002832A9" w:rsidRDefault="006112BA" w:rsidP="001C4AC6">
            <w:pPr>
              <w:jc w:val="both"/>
              <w:rPr>
                <w:rFonts w:eastAsia="Calibri"/>
                <w:sz w:val="20"/>
              </w:rPr>
            </w:pPr>
            <w:r w:rsidRPr="002832A9">
              <w:rPr>
                <w:rFonts w:eastAsia="Calibri"/>
                <w:sz w:val="20"/>
              </w:rPr>
              <w:t xml:space="preserve">500-09-023613-136; </w:t>
            </w:r>
            <w:hyperlink r:id="rId59" w:history="1">
              <w:r w:rsidRPr="002832A9">
                <w:rPr>
                  <w:rFonts w:eastAsia="Calibri"/>
                  <w:color w:val="0000FF"/>
                  <w:sz w:val="20"/>
                  <w:u w:val="single"/>
                </w:rPr>
                <w:t>2013 QCCA 1544</w:t>
              </w:r>
            </w:hyperlink>
          </w:p>
          <w:p w:rsidR="006112BA" w:rsidRPr="002832A9" w:rsidRDefault="006112BA" w:rsidP="001C4AC6">
            <w:pPr>
              <w:jc w:val="both"/>
              <w:rPr>
                <w:rFonts w:eastAsia="Calibri"/>
                <w:sz w:val="20"/>
              </w:rPr>
            </w:pPr>
          </w:p>
        </w:tc>
        <w:tc>
          <w:tcPr>
            <w:tcW w:w="243" w:type="pct"/>
          </w:tcPr>
          <w:p w:rsidR="006112BA" w:rsidRPr="002832A9" w:rsidRDefault="006112BA" w:rsidP="001C4AC6">
            <w:pPr>
              <w:jc w:val="both"/>
              <w:rPr>
                <w:rFonts w:eastAsia="Calibri"/>
                <w:sz w:val="20"/>
              </w:rPr>
            </w:pPr>
          </w:p>
        </w:tc>
        <w:tc>
          <w:tcPr>
            <w:tcW w:w="2330" w:type="pct"/>
          </w:tcPr>
          <w:p w:rsidR="006112BA" w:rsidRPr="002832A9" w:rsidRDefault="006112BA" w:rsidP="001C4AC6">
            <w:pPr>
              <w:jc w:val="both"/>
              <w:rPr>
                <w:rFonts w:eastAsia="Calibri"/>
                <w:sz w:val="20"/>
              </w:rPr>
            </w:pPr>
            <w:r w:rsidRPr="002832A9">
              <w:rPr>
                <w:rFonts w:eastAsia="Calibri"/>
                <w:sz w:val="20"/>
              </w:rPr>
              <w:t>Request for postponement denied; motion to dismiss appeal allowed; appeal dismissed</w:t>
            </w:r>
          </w:p>
          <w:p w:rsidR="006112BA" w:rsidRPr="002832A9" w:rsidRDefault="006112BA" w:rsidP="001C4AC6">
            <w:pPr>
              <w:jc w:val="both"/>
              <w:rPr>
                <w:rFonts w:eastAsia="Calibri"/>
                <w:sz w:val="20"/>
              </w:rPr>
            </w:pPr>
          </w:p>
        </w:tc>
      </w:tr>
      <w:tr w:rsidR="006112BA" w:rsidRPr="002832A9" w:rsidTr="001C4AC6">
        <w:tc>
          <w:tcPr>
            <w:tcW w:w="2427" w:type="pct"/>
          </w:tcPr>
          <w:p w:rsidR="006112BA" w:rsidRPr="002832A9" w:rsidRDefault="006112BA" w:rsidP="001C4AC6">
            <w:pPr>
              <w:jc w:val="both"/>
              <w:rPr>
                <w:rFonts w:eastAsia="Calibri"/>
                <w:sz w:val="20"/>
              </w:rPr>
            </w:pPr>
            <w:r w:rsidRPr="002832A9">
              <w:rPr>
                <w:rFonts w:eastAsia="Calibri"/>
                <w:sz w:val="20"/>
              </w:rPr>
              <w:t>November 8, 2013</w:t>
            </w:r>
          </w:p>
          <w:p w:rsidR="006112BA" w:rsidRPr="002832A9" w:rsidRDefault="006112BA" w:rsidP="001C4AC6">
            <w:pPr>
              <w:jc w:val="both"/>
              <w:rPr>
                <w:rFonts w:eastAsia="Calibri"/>
                <w:sz w:val="20"/>
              </w:rPr>
            </w:pPr>
            <w:r w:rsidRPr="002832A9">
              <w:rPr>
                <w:rFonts w:eastAsia="Calibri"/>
                <w:sz w:val="20"/>
              </w:rPr>
              <w:t>Supreme Court of Canada</w:t>
            </w:r>
          </w:p>
        </w:tc>
        <w:tc>
          <w:tcPr>
            <w:tcW w:w="243" w:type="pct"/>
          </w:tcPr>
          <w:p w:rsidR="006112BA" w:rsidRPr="002832A9" w:rsidRDefault="006112BA" w:rsidP="001C4AC6">
            <w:pPr>
              <w:jc w:val="both"/>
              <w:rPr>
                <w:rFonts w:eastAsia="Calibri"/>
                <w:sz w:val="20"/>
              </w:rPr>
            </w:pPr>
          </w:p>
        </w:tc>
        <w:tc>
          <w:tcPr>
            <w:tcW w:w="2330" w:type="pct"/>
          </w:tcPr>
          <w:p w:rsidR="006112BA" w:rsidRPr="002832A9" w:rsidRDefault="006112BA" w:rsidP="001C4AC6">
            <w:pPr>
              <w:jc w:val="both"/>
              <w:rPr>
                <w:rFonts w:eastAsia="Calibri"/>
                <w:sz w:val="20"/>
              </w:rPr>
            </w:pPr>
            <w:r w:rsidRPr="002832A9">
              <w:rPr>
                <w:rFonts w:eastAsia="Calibri"/>
                <w:sz w:val="20"/>
              </w:rPr>
              <w:t>Application for leave to appeal filed</w:t>
            </w:r>
          </w:p>
          <w:p w:rsidR="006112BA" w:rsidRPr="002832A9" w:rsidRDefault="006112BA" w:rsidP="001C4AC6">
            <w:pPr>
              <w:jc w:val="both"/>
              <w:rPr>
                <w:rFonts w:eastAsia="Calibri"/>
                <w:sz w:val="20"/>
              </w:rPr>
            </w:pPr>
          </w:p>
        </w:tc>
      </w:tr>
    </w:tbl>
    <w:p w:rsidR="002A46DC" w:rsidRDefault="002A46DC" w:rsidP="002A46DC">
      <w:pPr>
        <w:rPr>
          <w:sz w:val="20"/>
          <w:szCs w:val="20"/>
        </w:rPr>
      </w:pPr>
    </w:p>
    <w:p w:rsidR="002A46DC" w:rsidRPr="00C50A5C" w:rsidRDefault="00EB0F11" w:rsidP="002A46DC">
      <w:pPr>
        <w:rPr>
          <w:sz w:val="20"/>
          <w:szCs w:val="20"/>
        </w:rPr>
      </w:pPr>
      <w:r>
        <w:rPr>
          <w:sz w:val="20"/>
          <w:szCs w:val="20"/>
          <w:lang w:val="fr-CA"/>
        </w:rPr>
        <w:pict>
          <v:rect id="_x0000_i1063" style="width:2in;height:1pt" o:hrpct="0" o:hralign="center" o:hrstd="t" o:hrnoshade="t" o:hr="t" fillcolor="black [3213]" stroked="f"/>
        </w:pict>
      </w:r>
    </w:p>
    <w:p w:rsidR="002A46DC" w:rsidRDefault="002A46DC" w:rsidP="002A46DC">
      <w:pPr>
        <w:rPr>
          <w:sz w:val="20"/>
          <w:szCs w:val="20"/>
        </w:rPr>
      </w:pPr>
    </w:p>
    <w:p w:rsidR="002A46DC" w:rsidRPr="001B157C" w:rsidRDefault="002A46DC" w:rsidP="002A46DC">
      <w:pPr>
        <w:rPr>
          <w:sz w:val="20"/>
          <w:szCs w:val="20"/>
          <w:u w:val="single"/>
          <w:lang w:val="fr-CA"/>
        </w:rPr>
      </w:pPr>
      <w:r w:rsidRPr="001B157C">
        <w:rPr>
          <w:sz w:val="20"/>
          <w:szCs w:val="20"/>
          <w:u w:val="single"/>
          <w:lang w:val="fr-CA"/>
        </w:rPr>
        <w:t>RÉSUMÉ DE L’AFFAIRE</w:t>
      </w:r>
    </w:p>
    <w:p w:rsidR="002A46DC" w:rsidRDefault="002A46DC" w:rsidP="002A46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112BA" w:rsidRPr="00EB0F11" w:rsidTr="001C4AC6">
        <w:tc>
          <w:tcPr>
            <w:tcW w:w="5000" w:type="pct"/>
            <w:gridSpan w:val="3"/>
          </w:tcPr>
          <w:p w:rsidR="006112BA" w:rsidRPr="002832A9" w:rsidRDefault="006112BA" w:rsidP="001C4AC6">
            <w:pPr>
              <w:jc w:val="both"/>
              <w:rPr>
                <w:rFonts w:eastAsia="Calibri"/>
                <w:smallCaps/>
                <w:sz w:val="20"/>
                <w:lang w:val="fr-CA"/>
              </w:rPr>
            </w:pPr>
            <w:r w:rsidRPr="002832A9">
              <w:rPr>
                <w:rFonts w:eastAsia="Calibri"/>
                <w:smallCaps/>
                <w:sz w:val="20"/>
                <w:lang w:val="fr-CA"/>
              </w:rPr>
              <w:t>(Ordonnance de non-publication dans le dossier) (Ordonnance de non-publication visant une partie)</w:t>
            </w:r>
          </w:p>
          <w:p w:rsidR="006112BA" w:rsidRPr="002832A9" w:rsidRDefault="006112BA" w:rsidP="001C4AC6">
            <w:pPr>
              <w:jc w:val="both"/>
              <w:rPr>
                <w:rFonts w:eastAsia="Calibri"/>
                <w:sz w:val="20"/>
                <w:lang w:val="fr-CA"/>
              </w:rPr>
            </w:pPr>
          </w:p>
          <w:p w:rsidR="006112BA" w:rsidRPr="002832A9" w:rsidRDefault="006112BA" w:rsidP="001C4AC6">
            <w:pPr>
              <w:jc w:val="both"/>
              <w:rPr>
                <w:rFonts w:eastAsia="Calibri"/>
                <w:sz w:val="20"/>
                <w:lang w:val="fr-CA"/>
              </w:rPr>
            </w:pPr>
            <w:r w:rsidRPr="002832A9">
              <w:rPr>
                <w:rFonts w:eastAsia="Calibri"/>
                <w:sz w:val="20"/>
                <w:lang w:val="fr-CA"/>
              </w:rPr>
              <w:t>Droit de la famille – Filiation – Contestation de paternité refusée – Procédure civile – Appel – Demande de remise refusée et requête en rejet d’appel accueillie – La décision de la Cour d’appel viole-t-elle les droits de la demanderesse d’être entendue, d’être représentée par avocat et de faire valoir une défense pleine et entière?</w:t>
            </w:r>
          </w:p>
        </w:tc>
      </w:tr>
      <w:tr w:rsidR="006112BA" w:rsidRPr="00EB0F11" w:rsidTr="001C4AC6">
        <w:tc>
          <w:tcPr>
            <w:tcW w:w="5000" w:type="pct"/>
            <w:gridSpan w:val="3"/>
          </w:tcPr>
          <w:p w:rsidR="006112BA" w:rsidRPr="002832A9" w:rsidRDefault="006112BA" w:rsidP="001C4AC6">
            <w:pPr>
              <w:jc w:val="both"/>
              <w:rPr>
                <w:rFonts w:eastAsia="Calibri"/>
                <w:sz w:val="20"/>
                <w:lang w:val="fr-CA"/>
              </w:rPr>
            </w:pPr>
          </w:p>
        </w:tc>
      </w:tr>
      <w:tr w:rsidR="006112BA" w:rsidRPr="00EB0F11" w:rsidTr="001C4AC6">
        <w:tc>
          <w:tcPr>
            <w:tcW w:w="5000" w:type="pct"/>
            <w:gridSpan w:val="3"/>
          </w:tcPr>
          <w:p w:rsidR="006112BA" w:rsidRPr="002832A9" w:rsidRDefault="006112BA" w:rsidP="001C4AC6">
            <w:pPr>
              <w:jc w:val="both"/>
              <w:rPr>
                <w:rFonts w:eastAsia="Calibri"/>
                <w:sz w:val="20"/>
                <w:lang w:val="fr-CA"/>
              </w:rPr>
            </w:pPr>
            <w:r w:rsidRPr="002832A9">
              <w:rPr>
                <w:rFonts w:eastAsia="Calibri"/>
                <w:sz w:val="20"/>
                <w:lang w:val="fr-CA"/>
              </w:rPr>
              <w:t>La demanderesse est la mère de feu J.R., décédé dans des circonstances tragiques en avril 2012. Elle conteste la paternité de J.R. à l’égard de l’enfant de l’intimée, né en juin 2010.  Par consentement entériné par un tribunal, la demanderesse et l’intimée acceptent de soumettre l’enfant à un test de paternité, en utilisant notamment le sang du père en possession du coroner. Un premier test confirme la paternité à 99,99988521245%.  Un deuxième test donne une probabilité de 99,998352716371%.  Face au refus de la demanderesse de se désister de sa contestation, l’intimée demande le rejet de la procédure.  La Cour supérieure rejette la contestation de la demanderesse, puis, la Cour d’appel rejette l’appel au stade préliminaire, au motif que celui-ci ne présente aucune chance raisonnable de succès.</w:t>
            </w:r>
          </w:p>
          <w:p w:rsidR="006112BA" w:rsidRPr="002832A9" w:rsidRDefault="006112BA" w:rsidP="001C4AC6">
            <w:pPr>
              <w:jc w:val="both"/>
              <w:rPr>
                <w:rFonts w:eastAsia="Calibri"/>
                <w:sz w:val="20"/>
                <w:lang w:val="fr-CA"/>
              </w:rPr>
            </w:pPr>
          </w:p>
        </w:tc>
      </w:tr>
      <w:tr w:rsidR="006112BA" w:rsidRPr="00EB0F11" w:rsidTr="000F0143">
        <w:trPr>
          <w:cantSplit/>
        </w:trPr>
        <w:tc>
          <w:tcPr>
            <w:tcW w:w="2427" w:type="pct"/>
          </w:tcPr>
          <w:p w:rsidR="006112BA" w:rsidRPr="002832A9" w:rsidRDefault="006112BA" w:rsidP="001C4AC6">
            <w:pPr>
              <w:jc w:val="both"/>
              <w:rPr>
                <w:rFonts w:eastAsia="Calibri"/>
                <w:sz w:val="20"/>
                <w:lang w:val="fr-CA"/>
              </w:rPr>
            </w:pPr>
            <w:r w:rsidRPr="002832A9">
              <w:rPr>
                <w:rFonts w:eastAsia="Calibri"/>
                <w:sz w:val="20"/>
                <w:lang w:val="fr-CA"/>
              </w:rPr>
              <w:lastRenderedPageBreak/>
              <w:t>Le 3 mai 2013</w:t>
            </w:r>
          </w:p>
          <w:p w:rsidR="006112BA" w:rsidRPr="002832A9" w:rsidRDefault="006112BA" w:rsidP="001C4AC6">
            <w:pPr>
              <w:jc w:val="both"/>
              <w:rPr>
                <w:rFonts w:eastAsia="Calibri"/>
                <w:sz w:val="20"/>
                <w:lang w:val="fr-CA"/>
              </w:rPr>
            </w:pPr>
            <w:r w:rsidRPr="002832A9">
              <w:rPr>
                <w:rFonts w:eastAsia="Calibri"/>
                <w:sz w:val="20"/>
                <w:lang w:val="fr-CA"/>
              </w:rPr>
              <w:t>Cour supérieure du Québec</w:t>
            </w:r>
          </w:p>
          <w:p w:rsidR="006112BA" w:rsidRPr="002832A9" w:rsidRDefault="006112BA" w:rsidP="001C4AC6">
            <w:pPr>
              <w:jc w:val="both"/>
              <w:rPr>
                <w:rFonts w:eastAsia="Calibri"/>
                <w:sz w:val="20"/>
                <w:lang w:val="fr-CA"/>
              </w:rPr>
            </w:pPr>
            <w:r w:rsidRPr="002832A9">
              <w:rPr>
                <w:rFonts w:eastAsia="Calibri"/>
                <w:sz w:val="20"/>
                <w:lang w:val="fr-CA"/>
              </w:rPr>
              <w:t>(La juge Gibeau)</w:t>
            </w:r>
          </w:p>
          <w:p w:rsidR="006112BA" w:rsidRPr="002832A9" w:rsidRDefault="00EB0F11" w:rsidP="001C4AC6">
            <w:pPr>
              <w:jc w:val="both"/>
              <w:rPr>
                <w:rFonts w:eastAsia="Calibri"/>
                <w:sz w:val="20"/>
                <w:lang w:val="fr-CA"/>
              </w:rPr>
            </w:pPr>
            <w:hyperlink r:id="rId60" w:history="1">
              <w:r w:rsidR="006112BA" w:rsidRPr="002832A9">
                <w:rPr>
                  <w:rFonts w:eastAsia="Calibri"/>
                  <w:color w:val="0000FF"/>
                  <w:sz w:val="20"/>
                  <w:u w:val="single"/>
                  <w:lang w:val="fr-CA"/>
                </w:rPr>
                <w:t>2013 QCCS 2321</w:t>
              </w:r>
            </w:hyperlink>
          </w:p>
          <w:p w:rsidR="006112BA" w:rsidRPr="002832A9" w:rsidRDefault="006112BA" w:rsidP="001C4AC6">
            <w:pPr>
              <w:jc w:val="both"/>
              <w:rPr>
                <w:rFonts w:eastAsia="Calibri"/>
                <w:sz w:val="20"/>
              </w:rPr>
            </w:pPr>
          </w:p>
        </w:tc>
        <w:tc>
          <w:tcPr>
            <w:tcW w:w="243" w:type="pct"/>
          </w:tcPr>
          <w:p w:rsidR="006112BA" w:rsidRPr="002832A9" w:rsidRDefault="006112BA" w:rsidP="001C4AC6">
            <w:pPr>
              <w:jc w:val="both"/>
              <w:rPr>
                <w:rFonts w:eastAsia="Calibri"/>
                <w:sz w:val="20"/>
              </w:rPr>
            </w:pPr>
          </w:p>
        </w:tc>
        <w:tc>
          <w:tcPr>
            <w:tcW w:w="2330" w:type="pct"/>
          </w:tcPr>
          <w:p w:rsidR="006112BA" w:rsidRPr="002832A9" w:rsidRDefault="006112BA" w:rsidP="001C4AC6">
            <w:pPr>
              <w:jc w:val="both"/>
              <w:rPr>
                <w:rFonts w:eastAsia="Calibri"/>
                <w:sz w:val="20"/>
                <w:lang w:val="fr-CA"/>
              </w:rPr>
            </w:pPr>
            <w:r w:rsidRPr="002832A9">
              <w:rPr>
                <w:rFonts w:eastAsia="Calibri"/>
                <w:sz w:val="20"/>
                <w:lang w:val="fr-CA"/>
              </w:rPr>
              <w:t>Requête introductive d’instance en contestation de filiation rejetée</w:t>
            </w:r>
          </w:p>
          <w:p w:rsidR="006112BA" w:rsidRPr="002832A9" w:rsidRDefault="006112BA" w:rsidP="001C4AC6">
            <w:pPr>
              <w:jc w:val="both"/>
              <w:rPr>
                <w:rFonts w:eastAsia="Calibri"/>
                <w:sz w:val="20"/>
                <w:lang w:val="fr-CA"/>
              </w:rPr>
            </w:pPr>
          </w:p>
        </w:tc>
      </w:tr>
      <w:tr w:rsidR="006112BA" w:rsidRPr="00EB0F11" w:rsidTr="000F0143">
        <w:trPr>
          <w:cantSplit/>
        </w:trPr>
        <w:tc>
          <w:tcPr>
            <w:tcW w:w="2427" w:type="pct"/>
          </w:tcPr>
          <w:p w:rsidR="006112BA" w:rsidRPr="002832A9" w:rsidRDefault="006112BA" w:rsidP="001C4AC6">
            <w:pPr>
              <w:jc w:val="both"/>
              <w:rPr>
                <w:rFonts w:eastAsia="Calibri"/>
                <w:sz w:val="20"/>
                <w:lang w:val="fr-CA"/>
              </w:rPr>
            </w:pPr>
            <w:r w:rsidRPr="002832A9">
              <w:rPr>
                <w:rFonts w:eastAsia="Calibri"/>
                <w:sz w:val="20"/>
                <w:lang w:val="fr-CA"/>
              </w:rPr>
              <w:t>Le 9 septembre 2013</w:t>
            </w:r>
          </w:p>
          <w:p w:rsidR="006112BA" w:rsidRPr="002832A9" w:rsidRDefault="006112BA" w:rsidP="001C4AC6">
            <w:pPr>
              <w:jc w:val="both"/>
              <w:rPr>
                <w:rFonts w:eastAsia="Calibri"/>
                <w:sz w:val="20"/>
                <w:lang w:val="fr-CA"/>
              </w:rPr>
            </w:pPr>
            <w:r w:rsidRPr="002832A9">
              <w:rPr>
                <w:rFonts w:eastAsia="Calibri"/>
                <w:sz w:val="20"/>
                <w:lang w:val="fr-CA"/>
              </w:rPr>
              <w:t>Cour d’appel du Québec (Montréal)</w:t>
            </w:r>
          </w:p>
          <w:p w:rsidR="006112BA" w:rsidRPr="002832A9" w:rsidRDefault="006112BA" w:rsidP="001C4AC6">
            <w:pPr>
              <w:jc w:val="both"/>
              <w:rPr>
                <w:rFonts w:eastAsia="Calibri"/>
                <w:sz w:val="20"/>
                <w:lang w:val="fr-CA"/>
              </w:rPr>
            </w:pPr>
            <w:r w:rsidRPr="002832A9">
              <w:rPr>
                <w:rFonts w:eastAsia="Calibri"/>
                <w:sz w:val="20"/>
                <w:lang w:val="fr-CA"/>
              </w:rPr>
              <w:t>(Les juges Morissette, Hilton et Léger)</w:t>
            </w:r>
          </w:p>
          <w:p w:rsidR="006112BA" w:rsidRPr="002832A9" w:rsidRDefault="006112BA" w:rsidP="001C4AC6">
            <w:pPr>
              <w:jc w:val="both"/>
              <w:rPr>
                <w:rFonts w:eastAsia="Calibri"/>
                <w:sz w:val="20"/>
                <w:lang w:val="fr-CA"/>
              </w:rPr>
            </w:pPr>
            <w:r w:rsidRPr="002832A9">
              <w:rPr>
                <w:rFonts w:eastAsia="Calibri"/>
                <w:sz w:val="20"/>
                <w:lang w:val="fr-CA"/>
              </w:rPr>
              <w:t xml:space="preserve">500-09-023613-136; </w:t>
            </w:r>
            <w:hyperlink r:id="rId61" w:history="1">
              <w:r w:rsidRPr="002832A9">
                <w:rPr>
                  <w:rFonts w:eastAsia="Calibri"/>
                  <w:color w:val="0000FF"/>
                  <w:sz w:val="20"/>
                  <w:u w:val="single"/>
                  <w:lang w:val="fr-CA"/>
                </w:rPr>
                <w:t>2013 QCCA 1544</w:t>
              </w:r>
            </w:hyperlink>
          </w:p>
          <w:p w:rsidR="006112BA" w:rsidRPr="002832A9" w:rsidRDefault="006112BA" w:rsidP="001C4AC6">
            <w:pPr>
              <w:jc w:val="both"/>
              <w:rPr>
                <w:rFonts w:eastAsia="Calibri"/>
                <w:sz w:val="20"/>
              </w:rPr>
            </w:pPr>
          </w:p>
        </w:tc>
        <w:tc>
          <w:tcPr>
            <w:tcW w:w="243" w:type="pct"/>
          </w:tcPr>
          <w:p w:rsidR="006112BA" w:rsidRPr="002832A9" w:rsidRDefault="006112BA" w:rsidP="001C4AC6">
            <w:pPr>
              <w:jc w:val="both"/>
              <w:rPr>
                <w:rFonts w:eastAsia="Calibri"/>
                <w:sz w:val="20"/>
              </w:rPr>
            </w:pPr>
          </w:p>
        </w:tc>
        <w:tc>
          <w:tcPr>
            <w:tcW w:w="2330" w:type="pct"/>
          </w:tcPr>
          <w:p w:rsidR="006112BA" w:rsidRPr="002832A9" w:rsidRDefault="006112BA" w:rsidP="001C4AC6">
            <w:pPr>
              <w:jc w:val="both"/>
              <w:rPr>
                <w:rFonts w:eastAsia="Calibri"/>
                <w:sz w:val="20"/>
                <w:lang w:val="fr-CA"/>
              </w:rPr>
            </w:pPr>
            <w:r w:rsidRPr="002832A9">
              <w:rPr>
                <w:rFonts w:eastAsia="Calibri"/>
                <w:sz w:val="20"/>
                <w:lang w:val="fr-CA"/>
              </w:rPr>
              <w:t>Demande de remise refusée; requête en rejet d’appel accueillie; appel rejeté</w:t>
            </w:r>
          </w:p>
          <w:p w:rsidR="006112BA" w:rsidRPr="002832A9" w:rsidRDefault="006112BA" w:rsidP="001C4AC6">
            <w:pPr>
              <w:jc w:val="both"/>
              <w:rPr>
                <w:rFonts w:eastAsia="Calibri"/>
                <w:sz w:val="20"/>
                <w:lang w:val="fr-CA"/>
              </w:rPr>
            </w:pPr>
          </w:p>
        </w:tc>
      </w:tr>
      <w:tr w:rsidR="006112BA" w:rsidRPr="002832A9" w:rsidTr="000F0143">
        <w:trPr>
          <w:cantSplit/>
        </w:trPr>
        <w:tc>
          <w:tcPr>
            <w:tcW w:w="2427" w:type="pct"/>
          </w:tcPr>
          <w:p w:rsidR="006112BA" w:rsidRPr="002832A9" w:rsidRDefault="006112BA" w:rsidP="001C4AC6">
            <w:pPr>
              <w:jc w:val="both"/>
              <w:rPr>
                <w:rFonts w:eastAsia="Calibri"/>
                <w:sz w:val="20"/>
                <w:lang w:val="fr-CA"/>
              </w:rPr>
            </w:pPr>
            <w:r w:rsidRPr="002832A9">
              <w:rPr>
                <w:rFonts w:eastAsia="Calibri"/>
                <w:sz w:val="20"/>
                <w:lang w:val="fr-CA"/>
              </w:rPr>
              <w:t>Le 8 novembre 2013</w:t>
            </w:r>
          </w:p>
          <w:p w:rsidR="006112BA" w:rsidRPr="002832A9" w:rsidRDefault="006112BA" w:rsidP="001C4AC6">
            <w:pPr>
              <w:jc w:val="both"/>
              <w:rPr>
                <w:rFonts w:eastAsia="Calibri"/>
                <w:sz w:val="20"/>
                <w:lang w:val="fr-CA"/>
              </w:rPr>
            </w:pPr>
            <w:r w:rsidRPr="002832A9">
              <w:rPr>
                <w:rFonts w:eastAsia="Calibri"/>
                <w:sz w:val="20"/>
                <w:lang w:val="fr-CA"/>
              </w:rPr>
              <w:t>Cour suprême du Canada</w:t>
            </w:r>
          </w:p>
        </w:tc>
        <w:tc>
          <w:tcPr>
            <w:tcW w:w="243" w:type="pct"/>
          </w:tcPr>
          <w:p w:rsidR="006112BA" w:rsidRPr="002832A9" w:rsidRDefault="006112BA" w:rsidP="001C4AC6">
            <w:pPr>
              <w:jc w:val="both"/>
              <w:rPr>
                <w:rFonts w:eastAsia="Calibri"/>
                <w:sz w:val="20"/>
                <w:lang w:val="fr-CA"/>
              </w:rPr>
            </w:pPr>
          </w:p>
        </w:tc>
        <w:tc>
          <w:tcPr>
            <w:tcW w:w="2330" w:type="pct"/>
          </w:tcPr>
          <w:p w:rsidR="006112BA" w:rsidRPr="002832A9" w:rsidRDefault="006112BA" w:rsidP="001C4AC6">
            <w:pPr>
              <w:jc w:val="both"/>
              <w:rPr>
                <w:rFonts w:eastAsia="Calibri"/>
                <w:sz w:val="20"/>
                <w:lang w:val="fr-CA"/>
              </w:rPr>
            </w:pPr>
            <w:r w:rsidRPr="002832A9">
              <w:rPr>
                <w:rFonts w:eastAsia="Calibri"/>
                <w:sz w:val="20"/>
                <w:lang w:val="fr-CA"/>
              </w:rPr>
              <w:t>Demande d'autorisation d'appel déposée</w:t>
            </w:r>
          </w:p>
          <w:p w:rsidR="006112BA" w:rsidRPr="002832A9" w:rsidRDefault="006112BA" w:rsidP="001C4AC6">
            <w:pPr>
              <w:jc w:val="both"/>
              <w:rPr>
                <w:rFonts w:eastAsia="Calibri"/>
                <w:sz w:val="20"/>
                <w:lang w:val="fr-CA"/>
              </w:rPr>
            </w:pPr>
          </w:p>
        </w:tc>
      </w:tr>
    </w:tbl>
    <w:p w:rsidR="002A46DC" w:rsidRDefault="002A46DC" w:rsidP="002A46DC">
      <w:pPr>
        <w:rPr>
          <w:sz w:val="20"/>
          <w:szCs w:val="20"/>
        </w:rPr>
      </w:pPr>
    </w:p>
    <w:p w:rsidR="002A46DC" w:rsidRDefault="00EB0F11" w:rsidP="002A46DC">
      <w:pPr>
        <w:rPr>
          <w:sz w:val="20"/>
          <w:szCs w:val="20"/>
        </w:rPr>
      </w:pPr>
      <w:r>
        <w:rPr>
          <w:sz w:val="20"/>
          <w:szCs w:val="20"/>
          <w:lang w:val="fr-CA"/>
        </w:rPr>
        <w:pict>
          <v:rect id="_x0000_i1064" style="width:2in;height:1pt" o:hrpct="0" o:hralign="center" o:hrstd="t" o:hrnoshade="t" o:hr="t" fillcolor="black [3213]" stroked="f"/>
        </w:pict>
      </w:r>
    </w:p>
    <w:p w:rsidR="002A46DC" w:rsidRDefault="002A46DC" w:rsidP="002A46DC">
      <w:pPr>
        <w:rPr>
          <w:sz w:val="20"/>
          <w:szCs w:val="20"/>
        </w:rPr>
      </w:pPr>
    </w:p>
    <w:tbl>
      <w:tblPr>
        <w:tblStyle w:val="TableGrid1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F0143" w:rsidRPr="000F0143" w:rsidTr="002B62A3">
        <w:trPr>
          <w:cantSplit/>
        </w:trPr>
        <w:tc>
          <w:tcPr>
            <w:tcW w:w="1458" w:type="dxa"/>
          </w:tcPr>
          <w:p w:rsidR="000F0143" w:rsidRPr="000F0143" w:rsidRDefault="000F0143" w:rsidP="000F0143">
            <w:pPr>
              <w:rPr>
                <w:sz w:val="20"/>
              </w:rPr>
            </w:pPr>
            <w:r w:rsidRPr="000F0143">
              <w:rPr>
                <w:b/>
                <w:sz w:val="20"/>
                <w:lang w:val="fr-CA"/>
              </w:rPr>
              <w:t>35621</w:t>
            </w:r>
          </w:p>
          <w:p w:rsidR="000F0143" w:rsidRPr="000F0143" w:rsidRDefault="000F0143" w:rsidP="000F0143">
            <w:pPr>
              <w:rPr>
                <w:b/>
                <w:sz w:val="20"/>
                <w:lang w:val="fr-CA"/>
              </w:rPr>
            </w:pPr>
          </w:p>
        </w:tc>
        <w:tc>
          <w:tcPr>
            <w:tcW w:w="8118" w:type="dxa"/>
          </w:tcPr>
          <w:p w:rsidR="000F0143" w:rsidRPr="000F0143" w:rsidRDefault="000F0143" w:rsidP="000F0143">
            <w:pPr>
              <w:rPr>
                <w:sz w:val="20"/>
              </w:rPr>
            </w:pPr>
            <w:r w:rsidRPr="000F0143">
              <w:rPr>
                <w:b/>
                <w:sz w:val="20"/>
                <w:u w:val="single"/>
              </w:rPr>
              <w:t>Bernard Musoni v. Logitek Technology Ltd.</w:t>
            </w:r>
            <w:r w:rsidRPr="000F0143">
              <w:rPr>
                <w:sz w:val="20"/>
              </w:rPr>
              <w:t xml:space="preserve"> (Ont.) (Civil) (By Leave)</w:t>
            </w:r>
          </w:p>
          <w:p w:rsidR="000F0143" w:rsidRPr="000F0143" w:rsidRDefault="000F0143" w:rsidP="000F0143">
            <w:pPr>
              <w:rPr>
                <w:sz w:val="20"/>
              </w:rPr>
            </w:pPr>
          </w:p>
        </w:tc>
      </w:tr>
      <w:tr w:rsidR="000F0143" w:rsidRPr="000F0143" w:rsidTr="002B62A3">
        <w:trPr>
          <w:cantSplit/>
        </w:trPr>
        <w:tc>
          <w:tcPr>
            <w:tcW w:w="1458" w:type="dxa"/>
          </w:tcPr>
          <w:p w:rsidR="000F0143" w:rsidRPr="000F0143" w:rsidRDefault="000F0143" w:rsidP="000F0143">
            <w:pPr>
              <w:rPr>
                <w:sz w:val="20"/>
              </w:rPr>
            </w:pPr>
            <w:r w:rsidRPr="000F0143">
              <w:rPr>
                <w:sz w:val="20"/>
              </w:rPr>
              <w:t>Coram :</w:t>
            </w:r>
          </w:p>
        </w:tc>
        <w:tc>
          <w:tcPr>
            <w:tcW w:w="8118" w:type="dxa"/>
          </w:tcPr>
          <w:p w:rsidR="000F0143" w:rsidRPr="000F0143" w:rsidRDefault="000F0143" w:rsidP="000F0143">
            <w:pPr>
              <w:rPr>
                <w:sz w:val="20"/>
              </w:rPr>
            </w:pPr>
            <w:r w:rsidRPr="000F0143">
              <w:rPr>
                <w:sz w:val="20"/>
                <w:u w:val="single"/>
              </w:rPr>
              <w:t>LeBel, Karakatsanis and Wagner JJ.</w:t>
            </w:r>
          </w:p>
          <w:p w:rsidR="000F0143" w:rsidRPr="000F0143" w:rsidRDefault="000F0143" w:rsidP="000F0143">
            <w:pPr>
              <w:rPr>
                <w:sz w:val="20"/>
                <w:u w:val="single"/>
              </w:rPr>
            </w:pPr>
          </w:p>
        </w:tc>
      </w:tr>
      <w:tr w:rsidR="000F0143" w:rsidRPr="00EB0F11" w:rsidTr="002B62A3">
        <w:trPr>
          <w:cantSplit/>
        </w:trPr>
        <w:tc>
          <w:tcPr>
            <w:tcW w:w="9576" w:type="dxa"/>
            <w:gridSpan w:val="2"/>
          </w:tcPr>
          <w:p w:rsidR="000F0143" w:rsidRPr="000F0143" w:rsidRDefault="000F0143" w:rsidP="000F0143">
            <w:pPr>
              <w:ind w:firstLine="720"/>
              <w:jc w:val="both"/>
              <w:rPr>
                <w:sz w:val="20"/>
              </w:rPr>
            </w:pPr>
            <w:r w:rsidRPr="000F0143">
              <w:rPr>
                <w:sz w:val="20"/>
              </w:rPr>
              <w:t>The application for leave to appeal from the judgment of the Court of Appeal for Ontario, Number C56385, 2013 ONCA 622, dated October 4, 2013, is dismissed with costs.</w:t>
            </w:r>
          </w:p>
          <w:p w:rsidR="000F0143" w:rsidRPr="000F0143" w:rsidRDefault="000F0143" w:rsidP="000F0143">
            <w:pPr>
              <w:jc w:val="both"/>
              <w:rPr>
                <w:sz w:val="20"/>
              </w:rPr>
            </w:pPr>
          </w:p>
          <w:p w:rsidR="000F0143" w:rsidRPr="000F0143" w:rsidRDefault="000F0143" w:rsidP="000F0143">
            <w:pPr>
              <w:ind w:firstLine="720"/>
              <w:jc w:val="both"/>
              <w:rPr>
                <w:sz w:val="20"/>
                <w:lang w:val="fr-CA"/>
              </w:rPr>
            </w:pPr>
            <w:r w:rsidRPr="000F0143">
              <w:rPr>
                <w:sz w:val="20"/>
                <w:lang w:val="fr-CA"/>
              </w:rPr>
              <w:t>La demande d’autorisation d’appel de l’arrêt de la Cour d’appel de l’Ontario, numéro C56385, 2013 ONCA 622, daté du 4 octobre 2013, est rejetée avec dépens.</w:t>
            </w:r>
          </w:p>
        </w:tc>
      </w:tr>
    </w:tbl>
    <w:p w:rsidR="002A46DC" w:rsidRPr="000F0143" w:rsidRDefault="002A46DC" w:rsidP="002A46DC">
      <w:pPr>
        <w:rPr>
          <w:sz w:val="20"/>
          <w:szCs w:val="20"/>
          <w:lang w:val="fr-CA"/>
        </w:rPr>
      </w:pPr>
    </w:p>
    <w:p w:rsidR="002A46DC" w:rsidRPr="001B157C" w:rsidRDefault="002A46DC" w:rsidP="002A46DC">
      <w:pPr>
        <w:rPr>
          <w:sz w:val="20"/>
          <w:szCs w:val="20"/>
          <w:u w:val="single"/>
        </w:rPr>
      </w:pPr>
      <w:r w:rsidRPr="001B157C">
        <w:rPr>
          <w:sz w:val="20"/>
          <w:szCs w:val="20"/>
          <w:u w:val="single"/>
        </w:rPr>
        <w:t>CASE SUMMARY</w:t>
      </w:r>
    </w:p>
    <w:p w:rsidR="002A46DC" w:rsidRDefault="002A46DC" w:rsidP="002A46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36D8C" w:rsidRPr="002832A9" w:rsidTr="001C4AC6">
        <w:tc>
          <w:tcPr>
            <w:tcW w:w="5000" w:type="pct"/>
            <w:gridSpan w:val="3"/>
          </w:tcPr>
          <w:p w:rsidR="00536D8C" w:rsidRPr="002832A9" w:rsidRDefault="00536D8C" w:rsidP="001C4AC6">
            <w:pPr>
              <w:jc w:val="both"/>
              <w:rPr>
                <w:rFonts w:eastAsia="Calibri"/>
                <w:sz w:val="20"/>
              </w:rPr>
            </w:pPr>
            <w:r w:rsidRPr="002832A9">
              <w:rPr>
                <w:rFonts w:eastAsia="Calibri"/>
                <w:sz w:val="20"/>
              </w:rPr>
              <w:t>Employment law – Unjust dismissal – Applicant terminated without cause and received pay in lieu of notice in accordance with employment agreement – To what extent can a termination notice supposedly consistent with the law absolve a heavy handed termination process, questionable motivations and lack of good faith? – Whether employment agreement was in effect at time of termination.</w:t>
            </w:r>
          </w:p>
        </w:tc>
      </w:tr>
      <w:tr w:rsidR="00536D8C" w:rsidRPr="002832A9" w:rsidTr="001C4AC6">
        <w:tc>
          <w:tcPr>
            <w:tcW w:w="5000" w:type="pct"/>
            <w:gridSpan w:val="3"/>
          </w:tcPr>
          <w:p w:rsidR="00536D8C" w:rsidRPr="002832A9" w:rsidRDefault="00536D8C" w:rsidP="001C4AC6">
            <w:pPr>
              <w:jc w:val="both"/>
              <w:rPr>
                <w:rFonts w:eastAsia="Calibri"/>
                <w:sz w:val="20"/>
              </w:rPr>
            </w:pPr>
          </w:p>
        </w:tc>
      </w:tr>
      <w:tr w:rsidR="00536D8C" w:rsidRPr="002832A9" w:rsidTr="001C4AC6">
        <w:tc>
          <w:tcPr>
            <w:tcW w:w="5000" w:type="pct"/>
            <w:gridSpan w:val="3"/>
          </w:tcPr>
          <w:p w:rsidR="00536D8C" w:rsidRPr="002832A9" w:rsidRDefault="00536D8C" w:rsidP="001C4AC6">
            <w:pPr>
              <w:jc w:val="both"/>
              <w:rPr>
                <w:rFonts w:eastAsia="Calibri"/>
                <w:sz w:val="20"/>
              </w:rPr>
            </w:pPr>
            <w:r w:rsidRPr="002832A9">
              <w:rPr>
                <w:rFonts w:eastAsia="Calibri"/>
                <w:sz w:val="20"/>
              </w:rPr>
              <w:t xml:space="preserve">Mr. Musoni brought an action for damages for wrongful dismissal in the amount of $70,000 against his former employer, Logitek Technology Ltd.  He was hired as a bilingual customer support agent in October, 2005 and subsequently signed an employment agreement with Logitek in April, 2006.  Pursuant to the agreement, either party had the right to terminate the agreement by notice in writing on 15 days notice.  Mr. Musoni’s employment was terminated without cause by written notice on March 6, 2008.  The written notice was accompanied by a cheque in the amount of $1,804.38 that was described as “a final settlement and which includes 2 weeks notice pay”.  Mr. Musoni alleged that there was other wrongdoing by Logitek which occurred during the course of his employment there and that he was terminated for cause.  </w:t>
            </w:r>
          </w:p>
          <w:p w:rsidR="00536D8C" w:rsidRPr="002832A9" w:rsidRDefault="00536D8C" w:rsidP="001C4AC6">
            <w:pPr>
              <w:jc w:val="both"/>
              <w:rPr>
                <w:rFonts w:eastAsia="Calibri"/>
                <w:sz w:val="20"/>
              </w:rPr>
            </w:pPr>
          </w:p>
        </w:tc>
      </w:tr>
      <w:tr w:rsidR="00536D8C" w:rsidRPr="002832A9" w:rsidTr="001C4AC6">
        <w:tc>
          <w:tcPr>
            <w:tcW w:w="2427" w:type="pct"/>
          </w:tcPr>
          <w:p w:rsidR="00536D8C" w:rsidRPr="002832A9" w:rsidRDefault="00536D8C" w:rsidP="001C4AC6">
            <w:pPr>
              <w:jc w:val="both"/>
              <w:rPr>
                <w:rFonts w:eastAsia="Calibri"/>
                <w:sz w:val="20"/>
              </w:rPr>
            </w:pPr>
            <w:r w:rsidRPr="002832A9">
              <w:rPr>
                <w:rFonts w:eastAsia="Calibri"/>
                <w:sz w:val="20"/>
              </w:rPr>
              <w:t>November 28, 2012</w:t>
            </w:r>
          </w:p>
          <w:p w:rsidR="00536D8C" w:rsidRPr="002832A9" w:rsidRDefault="00536D8C" w:rsidP="001C4AC6">
            <w:pPr>
              <w:jc w:val="both"/>
              <w:rPr>
                <w:rFonts w:eastAsia="Calibri"/>
                <w:sz w:val="20"/>
              </w:rPr>
            </w:pPr>
            <w:r w:rsidRPr="002832A9">
              <w:rPr>
                <w:rFonts w:eastAsia="Calibri"/>
                <w:sz w:val="20"/>
              </w:rPr>
              <w:t>Ontario Superior Court of Justice</w:t>
            </w:r>
          </w:p>
          <w:p w:rsidR="00536D8C" w:rsidRPr="002832A9" w:rsidRDefault="00536D8C" w:rsidP="001C4AC6">
            <w:pPr>
              <w:jc w:val="both"/>
              <w:rPr>
                <w:rFonts w:eastAsia="Calibri"/>
                <w:sz w:val="20"/>
              </w:rPr>
            </w:pPr>
            <w:r w:rsidRPr="002832A9">
              <w:rPr>
                <w:rFonts w:eastAsia="Calibri"/>
                <w:sz w:val="20"/>
              </w:rPr>
              <w:t>(Morgan J.)</w:t>
            </w:r>
          </w:p>
          <w:p w:rsidR="00536D8C" w:rsidRPr="002832A9" w:rsidRDefault="00EB0F11" w:rsidP="001C4AC6">
            <w:pPr>
              <w:jc w:val="both"/>
              <w:rPr>
                <w:rFonts w:eastAsia="Calibri"/>
                <w:sz w:val="20"/>
              </w:rPr>
            </w:pPr>
            <w:hyperlink r:id="rId62" w:history="1">
              <w:r w:rsidR="00536D8C" w:rsidRPr="002832A9">
                <w:rPr>
                  <w:rFonts w:eastAsia="Calibri"/>
                  <w:color w:val="0000FF"/>
                  <w:sz w:val="20"/>
                  <w:u w:val="single"/>
                </w:rPr>
                <w:t>2012 ONSC 6782</w:t>
              </w:r>
            </w:hyperlink>
            <w:r w:rsidR="00536D8C" w:rsidRPr="002832A9">
              <w:rPr>
                <w:rFonts w:eastAsia="Calibri"/>
                <w:sz w:val="20"/>
              </w:rPr>
              <w:t xml:space="preserve"> </w:t>
            </w:r>
          </w:p>
          <w:p w:rsidR="00536D8C" w:rsidRPr="002832A9" w:rsidRDefault="00536D8C" w:rsidP="001C4AC6">
            <w:pPr>
              <w:jc w:val="both"/>
              <w:rPr>
                <w:rFonts w:eastAsia="Calibri"/>
                <w:sz w:val="20"/>
              </w:rPr>
            </w:pPr>
          </w:p>
        </w:tc>
        <w:tc>
          <w:tcPr>
            <w:tcW w:w="243" w:type="pct"/>
          </w:tcPr>
          <w:p w:rsidR="00536D8C" w:rsidRPr="002832A9" w:rsidRDefault="00536D8C" w:rsidP="001C4AC6">
            <w:pPr>
              <w:jc w:val="both"/>
              <w:rPr>
                <w:rFonts w:eastAsia="Calibri"/>
                <w:sz w:val="20"/>
              </w:rPr>
            </w:pPr>
          </w:p>
        </w:tc>
        <w:tc>
          <w:tcPr>
            <w:tcW w:w="2330" w:type="pct"/>
          </w:tcPr>
          <w:p w:rsidR="00536D8C" w:rsidRPr="002832A9" w:rsidRDefault="00536D8C" w:rsidP="001C4AC6">
            <w:pPr>
              <w:jc w:val="both"/>
              <w:rPr>
                <w:rFonts w:eastAsia="Calibri"/>
                <w:sz w:val="20"/>
              </w:rPr>
            </w:pPr>
            <w:r w:rsidRPr="002832A9">
              <w:rPr>
                <w:rFonts w:eastAsia="Calibri"/>
                <w:sz w:val="20"/>
              </w:rPr>
              <w:t>Applicant’s action for damages for wrongful dismissal against former employer dismissed</w:t>
            </w:r>
          </w:p>
          <w:p w:rsidR="00536D8C" w:rsidRPr="002832A9" w:rsidRDefault="00536D8C" w:rsidP="001C4AC6">
            <w:pPr>
              <w:jc w:val="both"/>
              <w:rPr>
                <w:rFonts w:eastAsia="Calibri"/>
                <w:sz w:val="20"/>
              </w:rPr>
            </w:pPr>
          </w:p>
          <w:p w:rsidR="00536D8C" w:rsidRPr="002832A9" w:rsidRDefault="00536D8C" w:rsidP="001C4AC6">
            <w:pPr>
              <w:jc w:val="both"/>
              <w:rPr>
                <w:rFonts w:eastAsia="Calibri"/>
                <w:sz w:val="20"/>
              </w:rPr>
            </w:pPr>
          </w:p>
        </w:tc>
      </w:tr>
      <w:tr w:rsidR="00536D8C" w:rsidRPr="002832A9" w:rsidTr="000F0143">
        <w:trPr>
          <w:cantSplit/>
        </w:trPr>
        <w:tc>
          <w:tcPr>
            <w:tcW w:w="2427" w:type="pct"/>
          </w:tcPr>
          <w:p w:rsidR="00536D8C" w:rsidRPr="002832A9" w:rsidRDefault="00536D8C" w:rsidP="001C4AC6">
            <w:pPr>
              <w:jc w:val="both"/>
              <w:rPr>
                <w:rFonts w:eastAsia="Calibri"/>
                <w:sz w:val="20"/>
              </w:rPr>
            </w:pPr>
            <w:r w:rsidRPr="002832A9">
              <w:rPr>
                <w:rFonts w:eastAsia="Calibri"/>
                <w:sz w:val="20"/>
              </w:rPr>
              <w:lastRenderedPageBreak/>
              <w:t>October 4, 2013</w:t>
            </w:r>
          </w:p>
          <w:p w:rsidR="00536D8C" w:rsidRPr="002832A9" w:rsidRDefault="00536D8C" w:rsidP="001C4AC6">
            <w:pPr>
              <w:jc w:val="both"/>
              <w:rPr>
                <w:rFonts w:eastAsia="Calibri"/>
                <w:sz w:val="20"/>
              </w:rPr>
            </w:pPr>
            <w:r w:rsidRPr="002832A9">
              <w:rPr>
                <w:rFonts w:eastAsia="Calibri"/>
                <w:sz w:val="20"/>
              </w:rPr>
              <w:t>Court of Appeal for Ontario</w:t>
            </w:r>
          </w:p>
          <w:p w:rsidR="00536D8C" w:rsidRPr="002832A9" w:rsidRDefault="00536D8C" w:rsidP="001C4AC6">
            <w:pPr>
              <w:jc w:val="both"/>
              <w:rPr>
                <w:rFonts w:eastAsia="Calibri"/>
                <w:sz w:val="20"/>
              </w:rPr>
            </w:pPr>
            <w:r w:rsidRPr="002832A9">
              <w:rPr>
                <w:rFonts w:eastAsia="Calibri"/>
                <w:sz w:val="20"/>
              </w:rPr>
              <w:t xml:space="preserve">(Feldman, MacPherson and Pepall (ad hoc) </w:t>
            </w:r>
          </w:p>
          <w:p w:rsidR="00536D8C" w:rsidRPr="002832A9" w:rsidRDefault="00536D8C" w:rsidP="001C4AC6">
            <w:pPr>
              <w:jc w:val="both"/>
              <w:rPr>
                <w:rFonts w:eastAsia="Calibri"/>
                <w:sz w:val="20"/>
              </w:rPr>
            </w:pPr>
            <w:r w:rsidRPr="002832A9">
              <w:rPr>
                <w:rFonts w:eastAsia="Calibri"/>
                <w:sz w:val="20"/>
              </w:rPr>
              <w:t>JJ.A.)</w:t>
            </w:r>
          </w:p>
          <w:p w:rsidR="00536D8C" w:rsidRPr="002832A9" w:rsidRDefault="00EB0F11" w:rsidP="001C4AC6">
            <w:pPr>
              <w:jc w:val="both"/>
              <w:rPr>
                <w:rFonts w:eastAsia="Calibri"/>
                <w:sz w:val="20"/>
              </w:rPr>
            </w:pPr>
            <w:hyperlink r:id="rId63" w:history="1">
              <w:r w:rsidR="00536D8C" w:rsidRPr="002832A9">
                <w:rPr>
                  <w:rFonts w:eastAsia="Calibri"/>
                  <w:color w:val="0000FF"/>
                  <w:sz w:val="20"/>
                  <w:u w:val="single"/>
                </w:rPr>
                <w:t>2013 ONCA 622</w:t>
              </w:r>
            </w:hyperlink>
          </w:p>
          <w:p w:rsidR="00536D8C" w:rsidRPr="002832A9" w:rsidRDefault="00536D8C" w:rsidP="001C4AC6">
            <w:pPr>
              <w:jc w:val="both"/>
              <w:rPr>
                <w:rFonts w:eastAsia="Calibri"/>
                <w:sz w:val="20"/>
              </w:rPr>
            </w:pPr>
          </w:p>
        </w:tc>
        <w:tc>
          <w:tcPr>
            <w:tcW w:w="243" w:type="pct"/>
          </w:tcPr>
          <w:p w:rsidR="00536D8C" w:rsidRPr="002832A9" w:rsidRDefault="00536D8C" w:rsidP="001C4AC6">
            <w:pPr>
              <w:jc w:val="both"/>
              <w:rPr>
                <w:rFonts w:eastAsia="Calibri"/>
                <w:sz w:val="20"/>
              </w:rPr>
            </w:pPr>
          </w:p>
        </w:tc>
        <w:tc>
          <w:tcPr>
            <w:tcW w:w="2330" w:type="pct"/>
          </w:tcPr>
          <w:p w:rsidR="00536D8C" w:rsidRPr="002832A9" w:rsidRDefault="00536D8C" w:rsidP="001C4AC6">
            <w:pPr>
              <w:jc w:val="both"/>
              <w:rPr>
                <w:rFonts w:eastAsia="Calibri"/>
                <w:sz w:val="20"/>
              </w:rPr>
            </w:pPr>
            <w:r w:rsidRPr="002832A9">
              <w:rPr>
                <w:rFonts w:eastAsia="Calibri"/>
                <w:sz w:val="20"/>
              </w:rPr>
              <w:t>Appeal dismissed</w:t>
            </w:r>
          </w:p>
          <w:p w:rsidR="00536D8C" w:rsidRPr="002832A9" w:rsidRDefault="00536D8C" w:rsidP="001C4AC6">
            <w:pPr>
              <w:jc w:val="both"/>
              <w:rPr>
                <w:rFonts w:eastAsia="Calibri"/>
                <w:sz w:val="20"/>
              </w:rPr>
            </w:pPr>
          </w:p>
        </w:tc>
      </w:tr>
      <w:tr w:rsidR="00536D8C" w:rsidRPr="002832A9" w:rsidTr="000F0143">
        <w:trPr>
          <w:cantSplit/>
        </w:trPr>
        <w:tc>
          <w:tcPr>
            <w:tcW w:w="2427" w:type="pct"/>
          </w:tcPr>
          <w:p w:rsidR="00536D8C" w:rsidRPr="002832A9" w:rsidRDefault="00536D8C" w:rsidP="001C4AC6">
            <w:pPr>
              <w:jc w:val="both"/>
              <w:rPr>
                <w:rFonts w:eastAsia="Calibri"/>
                <w:sz w:val="20"/>
              </w:rPr>
            </w:pPr>
            <w:r w:rsidRPr="002832A9">
              <w:rPr>
                <w:rFonts w:eastAsia="Calibri"/>
                <w:sz w:val="20"/>
              </w:rPr>
              <w:t>November 15, 2013</w:t>
            </w:r>
          </w:p>
          <w:p w:rsidR="00536D8C" w:rsidRPr="002832A9" w:rsidRDefault="00536D8C" w:rsidP="001C4AC6">
            <w:pPr>
              <w:jc w:val="both"/>
              <w:rPr>
                <w:rFonts w:eastAsia="Calibri"/>
                <w:sz w:val="20"/>
              </w:rPr>
            </w:pPr>
            <w:r w:rsidRPr="002832A9">
              <w:rPr>
                <w:rFonts w:eastAsia="Calibri"/>
                <w:sz w:val="20"/>
              </w:rPr>
              <w:t>Supreme Court of Canada</w:t>
            </w:r>
          </w:p>
        </w:tc>
        <w:tc>
          <w:tcPr>
            <w:tcW w:w="243" w:type="pct"/>
          </w:tcPr>
          <w:p w:rsidR="00536D8C" w:rsidRPr="002832A9" w:rsidRDefault="00536D8C" w:rsidP="001C4AC6">
            <w:pPr>
              <w:jc w:val="both"/>
              <w:rPr>
                <w:rFonts w:eastAsia="Calibri"/>
                <w:sz w:val="20"/>
              </w:rPr>
            </w:pPr>
          </w:p>
        </w:tc>
        <w:tc>
          <w:tcPr>
            <w:tcW w:w="2330" w:type="pct"/>
          </w:tcPr>
          <w:p w:rsidR="00536D8C" w:rsidRPr="002832A9" w:rsidRDefault="00536D8C" w:rsidP="001C4AC6">
            <w:pPr>
              <w:jc w:val="both"/>
              <w:rPr>
                <w:rFonts w:eastAsia="Calibri"/>
                <w:sz w:val="20"/>
              </w:rPr>
            </w:pPr>
            <w:r w:rsidRPr="002832A9">
              <w:rPr>
                <w:rFonts w:eastAsia="Calibri"/>
                <w:sz w:val="20"/>
              </w:rPr>
              <w:t>Application for leave to appeal filed</w:t>
            </w:r>
          </w:p>
          <w:p w:rsidR="00536D8C" w:rsidRPr="002832A9" w:rsidRDefault="00536D8C" w:rsidP="001C4AC6">
            <w:pPr>
              <w:jc w:val="both"/>
              <w:rPr>
                <w:rFonts w:eastAsia="Calibri"/>
                <w:sz w:val="20"/>
              </w:rPr>
            </w:pPr>
          </w:p>
        </w:tc>
      </w:tr>
    </w:tbl>
    <w:p w:rsidR="002A46DC" w:rsidRDefault="002A46DC" w:rsidP="002A46DC">
      <w:pPr>
        <w:rPr>
          <w:sz w:val="20"/>
          <w:szCs w:val="20"/>
        </w:rPr>
      </w:pPr>
    </w:p>
    <w:p w:rsidR="002A46DC" w:rsidRPr="00C50A5C" w:rsidRDefault="00EB0F11" w:rsidP="002A46DC">
      <w:pPr>
        <w:rPr>
          <w:sz w:val="20"/>
          <w:szCs w:val="20"/>
        </w:rPr>
      </w:pPr>
      <w:r>
        <w:rPr>
          <w:sz w:val="20"/>
          <w:szCs w:val="20"/>
          <w:lang w:val="fr-CA"/>
        </w:rPr>
        <w:pict>
          <v:rect id="_x0000_i1065" style="width:2in;height:1pt" o:hrpct="0" o:hralign="center" o:hrstd="t" o:hrnoshade="t" o:hr="t" fillcolor="black [3213]" stroked="f"/>
        </w:pict>
      </w:r>
    </w:p>
    <w:p w:rsidR="002A46DC" w:rsidRDefault="002A46DC" w:rsidP="002A46DC">
      <w:pPr>
        <w:rPr>
          <w:sz w:val="20"/>
          <w:szCs w:val="20"/>
        </w:rPr>
      </w:pPr>
    </w:p>
    <w:p w:rsidR="002A46DC" w:rsidRPr="001B157C" w:rsidRDefault="002A46DC" w:rsidP="002A46DC">
      <w:pPr>
        <w:rPr>
          <w:sz w:val="20"/>
          <w:szCs w:val="20"/>
          <w:u w:val="single"/>
          <w:lang w:val="fr-CA"/>
        </w:rPr>
      </w:pPr>
      <w:r w:rsidRPr="001B157C">
        <w:rPr>
          <w:sz w:val="20"/>
          <w:szCs w:val="20"/>
          <w:u w:val="single"/>
          <w:lang w:val="fr-CA"/>
        </w:rPr>
        <w:t>RÉSUMÉ DE L’AFFAIRE</w:t>
      </w:r>
    </w:p>
    <w:p w:rsidR="002A46DC" w:rsidRDefault="002A46DC" w:rsidP="002A46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36D8C" w:rsidRPr="00EB0F11" w:rsidTr="001C4AC6">
        <w:tc>
          <w:tcPr>
            <w:tcW w:w="5000" w:type="pct"/>
            <w:gridSpan w:val="3"/>
          </w:tcPr>
          <w:p w:rsidR="00536D8C" w:rsidRPr="002832A9" w:rsidRDefault="00536D8C" w:rsidP="001C4AC6">
            <w:pPr>
              <w:jc w:val="both"/>
              <w:rPr>
                <w:rFonts w:eastAsia="Calibri"/>
                <w:sz w:val="20"/>
                <w:lang w:val="fr-CA"/>
              </w:rPr>
            </w:pPr>
            <w:r w:rsidRPr="002832A9">
              <w:rPr>
                <w:rFonts w:eastAsia="Calibri"/>
                <w:sz w:val="20"/>
                <w:lang w:val="fr-CA"/>
              </w:rPr>
              <w:t>Droit de l'emploi – Congédiement injustifié – Le demandeur a été congédié sans motif valable et il a reçu une indemnité de préavis conformément au contrat de travail – Dans quelle mesure un préavis de congédiement censément conforme à la loi a-t-il pour effet d'exonérer l'employeur à l'égard d'un processus de congédiement indûment rigoureux, de motifs douteux et de l'absence de bonne foi? – Le contrat de travail était-il en vigueur au moment du congédiement?</w:t>
            </w:r>
          </w:p>
        </w:tc>
      </w:tr>
      <w:tr w:rsidR="00536D8C" w:rsidRPr="00EB0F11" w:rsidTr="001C4AC6">
        <w:tc>
          <w:tcPr>
            <w:tcW w:w="5000" w:type="pct"/>
            <w:gridSpan w:val="3"/>
          </w:tcPr>
          <w:p w:rsidR="00536D8C" w:rsidRPr="002832A9" w:rsidRDefault="00536D8C" w:rsidP="001C4AC6">
            <w:pPr>
              <w:jc w:val="both"/>
              <w:rPr>
                <w:rFonts w:eastAsia="Calibri"/>
                <w:sz w:val="20"/>
                <w:lang w:val="fr-CA"/>
              </w:rPr>
            </w:pPr>
          </w:p>
        </w:tc>
      </w:tr>
      <w:tr w:rsidR="00536D8C" w:rsidRPr="00EB0F11" w:rsidTr="001C4AC6">
        <w:tc>
          <w:tcPr>
            <w:tcW w:w="5000" w:type="pct"/>
            <w:gridSpan w:val="3"/>
          </w:tcPr>
          <w:p w:rsidR="00536D8C" w:rsidRPr="002832A9" w:rsidRDefault="00536D8C" w:rsidP="001C4AC6">
            <w:pPr>
              <w:jc w:val="both"/>
              <w:rPr>
                <w:rFonts w:eastAsia="Calibri"/>
                <w:sz w:val="20"/>
                <w:lang w:val="fr-CA"/>
              </w:rPr>
            </w:pPr>
            <w:r w:rsidRPr="002832A9">
              <w:rPr>
                <w:rFonts w:eastAsia="Calibri"/>
                <w:sz w:val="20"/>
                <w:lang w:val="fr-CA"/>
              </w:rPr>
              <w:t>Monsieur Musoni a intenté une action en dommages-intérêts de 70 000 $ pour congédiement injustifié contre son ancien employeur, Logitek Technology Ltd.  Il avait été embauché comme agent bilingue de soutien à la clientèle en octobre 2005 et il a signé par la suite un contrat de travail avec Logitek en avril 2006.  Aux termes du contrat, une partie avait le droit de résilier le contrat au moyen d'un préavis écrit de 15 jours.  Monsieur Musoni a été congédié sans motif valable au moyen d'un préavis écrit le 6 mars 2008.  Le préavis écrit était accompagné d'un chèque de 1 804,38 $ décrit comme [</w:t>
            </w:r>
            <w:r w:rsidRPr="002832A9">
              <w:rPr>
                <w:rFonts w:eastAsia="Calibri"/>
                <w:smallCaps/>
                <w:sz w:val="20"/>
                <w:lang w:val="fr-CA"/>
              </w:rPr>
              <w:t>traduction</w:t>
            </w:r>
            <w:r w:rsidRPr="002832A9">
              <w:rPr>
                <w:rFonts w:eastAsia="Calibri"/>
                <w:sz w:val="20"/>
                <w:lang w:val="fr-CA"/>
              </w:rPr>
              <w:t xml:space="preserve">] « règlement final qui comprend une indemnité de préavis de deux semaines ».  Monsieur Musoni a allégué que Logitek avait commis d'autres fautes pendant qu'il était à son service et qu’il avait été l’objet d’un congédiement motivé.  </w:t>
            </w:r>
          </w:p>
          <w:p w:rsidR="00536D8C" w:rsidRPr="002832A9" w:rsidRDefault="00536D8C" w:rsidP="001C4AC6">
            <w:pPr>
              <w:jc w:val="both"/>
              <w:rPr>
                <w:rFonts w:eastAsia="Calibri"/>
                <w:sz w:val="20"/>
                <w:lang w:val="fr-CA"/>
              </w:rPr>
            </w:pPr>
          </w:p>
        </w:tc>
      </w:tr>
      <w:tr w:rsidR="00536D8C" w:rsidRPr="00EB0F11" w:rsidTr="001C4AC6">
        <w:tc>
          <w:tcPr>
            <w:tcW w:w="2427" w:type="pct"/>
          </w:tcPr>
          <w:p w:rsidR="00536D8C" w:rsidRPr="002832A9" w:rsidRDefault="00536D8C" w:rsidP="001C4AC6">
            <w:pPr>
              <w:jc w:val="both"/>
              <w:rPr>
                <w:rFonts w:eastAsia="Calibri"/>
                <w:sz w:val="20"/>
                <w:lang w:val="fr-CA"/>
              </w:rPr>
            </w:pPr>
            <w:r w:rsidRPr="002832A9">
              <w:rPr>
                <w:rFonts w:eastAsia="Calibri"/>
                <w:sz w:val="20"/>
                <w:lang w:val="fr-CA"/>
              </w:rPr>
              <w:t>28 novembre 2012</w:t>
            </w:r>
          </w:p>
          <w:p w:rsidR="00536D8C" w:rsidRPr="002832A9" w:rsidRDefault="00536D8C" w:rsidP="001C4AC6">
            <w:pPr>
              <w:jc w:val="both"/>
              <w:rPr>
                <w:rFonts w:eastAsia="Calibri"/>
                <w:sz w:val="20"/>
                <w:lang w:val="fr-CA"/>
              </w:rPr>
            </w:pPr>
            <w:r w:rsidRPr="002832A9">
              <w:rPr>
                <w:rFonts w:eastAsia="Calibri"/>
                <w:sz w:val="20"/>
                <w:lang w:val="fr-CA"/>
              </w:rPr>
              <w:t>Cour supérieure de justice de l'Ontario</w:t>
            </w:r>
          </w:p>
          <w:p w:rsidR="00536D8C" w:rsidRPr="002832A9" w:rsidRDefault="00536D8C" w:rsidP="001C4AC6">
            <w:pPr>
              <w:jc w:val="both"/>
              <w:rPr>
                <w:rFonts w:eastAsia="Calibri"/>
                <w:sz w:val="20"/>
                <w:lang w:val="fr-CA"/>
              </w:rPr>
            </w:pPr>
            <w:r w:rsidRPr="002832A9">
              <w:rPr>
                <w:rFonts w:eastAsia="Calibri"/>
                <w:sz w:val="20"/>
                <w:lang w:val="fr-CA"/>
              </w:rPr>
              <w:t>(Juge Morgan)</w:t>
            </w:r>
          </w:p>
          <w:p w:rsidR="00536D8C" w:rsidRPr="002832A9" w:rsidRDefault="00EB0F11" w:rsidP="001C4AC6">
            <w:pPr>
              <w:jc w:val="both"/>
              <w:rPr>
                <w:rFonts w:eastAsia="Calibri"/>
                <w:sz w:val="20"/>
                <w:lang w:val="fr-CA"/>
              </w:rPr>
            </w:pPr>
            <w:hyperlink r:id="rId64" w:history="1">
              <w:r w:rsidR="00536D8C" w:rsidRPr="002832A9">
                <w:rPr>
                  <w:rFonts w:eastAsia="Calibri"/>
                  <w:color w:val="0000FF"/>
                  <w:sz w:val="20"/>
                  <w:u w:val="single"/>
                  <w:lang w:val="fr-CA"/>
                </w:rPr>
                <w:t>2012 ONSC 6782</w:t>
              </w:r>
            </w:hyperlink>
            <w:r w:rsidR="00536D8C" w:rsidRPr="002832A9">
              <w:rPr>
                <w:rFonts w:eastAsia="Calibri"/>
                <w:sz w:val="20"/>
                <w:lang w:val="fr-CA"/>
              </w:rPr>
              <w:t xml:space="preserve"> </w:t>
            </w:r>
          </w:p>
          <w:p w:rsidR="00536D8C" w:rsidRPr="002832A9" w:rsidRDefault="00536D8C" w:rsidP="001C4AC6">
            <w:pPr>
              <w:jc w:val="both"/>
              <w:rPr>
                <w:rFonts w:eastAsia="Calibri"/>
                <w:sz w:val="20"/>
                <w:lang w:val="fr-CA"/>
              </w:rPr>
            </w:pPr>
          </w:p>
        </w:tc>
        <w:tc>
          <w:tcPr>
            <w:tcW w:w="243" w:type="pct"/>
          </w:tcPr>
          <w:p w:rsidR="00536D8C" w:rsidRPr="002832A9" w:rsidRDefault="00536D8C" w:rsidP="001C4AC6">
            <w:pPr>
              <w:jc w:val="both"/>
              <w:rPr>
                <w:rFonts w:eastAsia="Calibri"/>
                <w:sz w:val="20"/>
                <w:lang w:val="fr-CA"/>
              </w:rPr>
            </w:pPr>
          </w:p>
        </w:tc>
        <w:tc>
          <w:tcPr>
            <w:tcW w:w="2330" w:type="pct"/>
          </w:tcPr>
          <w:p w:rsidR="00536D8C" w:rsidRPr="002832A9" w:rsidRDefault="00536D8C" w:rsidP="001C4AC6">
            <w:pPr>
              <w:jc w:val="both"/>
              <w:rPr>
                <w:rFonts w:eastAsia="Calibri"/>
                <w:sz w:val="20"/>
                <w:lang w:val="fr-CA"/>
              </w:rPr>
            </w:pPr>
            <w:r w:rsidRPr="002832A9">
              <w:rPr>
                <w:rFonts w:eastAsia="Calibri"/>
                <w:sz w:val="20"/>
                <w:lang w:val="fr-CA"/>
              </w:rPr>
              <w:t>Action du demandeur en dommages-intérêts contre son ancien employeur pour congédiement injustifié, rejetée</w:t>
            </w:r>
          </w:p>
          <w:p w:rsidR="00536D8C" w:rsidRPr="002832A9" w:rsidRDefault="00536D8C" w:rsidP="001C4AC6">
            <w:pPr>
              <w:jc w:val="both"/>
              <w:rPr>
                <w:rFonts w:eastAsia="Calibri"/>
                <w:sz w:val="20"/>
                <w:lang w:val="fr-CA"/>
              </w:rPr>
            </w:pPr>
          </w:p>
          <w:p w:rsidR="00536D8C" w:rsidRPr="002832A9" w:rsidRDefault="00536D8C" w:rsidP="001C4AC6">
            <w:pPr>
              <w:jc w:val="both"/>
              <w:rPr>
                <w:rFonts w:eastAsia="Calibri"/>
                <w:sz w:val="20"/>
                <w:lang w:val="fr-CA"/>
              </w:rPr>
            </w:pPr>
          </w:p>
        </w:tc>
      </w:tr>
      <w:tr w:rsidR="00536D8C" w:rsidRPr="002832A9" w:rsidTr="001C4AC6">
        <w:tc>
          <w:tcPr>
            <w:tcW w:w="2427" w:type="pct"/>
          </w:tcPr>
          <w:p w:rsidR="00536D8C" w:rsidRPr="002832A9" w:rsidRDefault="00536D8C" w:rsidP="001C4AC6">
            <w:pPr>
              <w:jc w:val="both"/>
              <w:rPr>
                <w:rFonts w:eastAsia="Calibri"/>
                <w:sz w:val="20"/>
                <w:lang w:val="fr-CA"/>
              </w:rPr>
            </w:pPr>
            <w:r w:rsidRPr="002832A9">
              <w:rPr>
                <w:rFonts w:eastAsia="Calibri"/>
                <w:sz w:val="20"/>
                <w:lang w:val="fr-CA"/>
              </w:rPr>
              <w:t>4 octobre 2013</w:t>
            </w:r>
          </w:p>
          <w:p w:rsidR="00536D8C" w:rsidRPr="002832A9" w:rsidRDefault="00536D8C" w:rsidP="001C4AC6">
            <w:pPr>
              <w:jc w:val="both"/>
              <w:rPr>
                <w:rFonts w:eastAsia="Calibri"/>
                <w:sz w:val="20"/>
                <w:lang w:val="fr-CA"/>
              </w:rPr>
            </w:pPr>
            <w:r w:rsidRPr="002832A9">
              <w:rPr>
                <w:rFonts w:eastAsia="Calibri"/>
                <w:sz w:val="20"/>
                <w:lang w:val="fr-CA"/>
              </w:rPr>
              <w:t>Cour d'appel de l'Ontario</w:t>
            </w:r>
          </w:p>
          <w:p w:rsidR="00536D8C" w:rsidRPr="00DE184D" w:rsidRDefault="00536D8C" w:rsidP="001C4AC6">
            <w:pPr>
              <w:jc w:val="both"/>
              <w:rPr>
                <w:rFonts w:eastAsia="Calibri"/>
                <w:sz w:val="20"/>
                <w:lang w:val="fr-CA"/>
              </w:rPr>
            </w:pPr>
            <w:r w:rsidRPr="00DE184D">
              <w:rPr>
                <w:rFonts w:eastAsia="Calibri"/>
                <w:sz w:val="20"/>
                <w:lang w:val="fr-CA"/>
              </w:rPr>
              <w:t>(Juges Feldman, MacPherson et Pepall (</w:t>
            </w:r>
            <w:r w:rsidRPr="00DE184D">
              <w:rPr>
                <w:rFonts w:eastAsia="Calibri"/>
                <w:i/>
                <w:sz w:val="20"/>
                <w:lang w:val="fr-CA"/>
              </w:rPr>
              <w:t>ad hoc</w:t>
            </w:r>
            <w:r w:rsidRPr="00DE184D">
              <w:rPr>
                <w:rFonts w:eastAsia="Calibri"/>
                <w:sz w:val="20"/>
                <w:lang w:val="fr-CA"/>
              </w:rPr>
              <w:t>))</w:t>
            </w:r>
          </w:p>
          <w:p w:rsidR="00536D8C" w:rsidRPr="002832A9" w:rsidRDefault="00EB0F11" w:rsidP="001C4AC6">
            <w:pPr>
              <w:jc w:val="both"/>
              <w:rPr>
                <w:rFonts w:eastAsia="Calibri"/>
                <w:sz w:val="20"/>
                <w:lang w:val="fr-CA"/>
              </w:rPr>
            </w:pPr>
            <w:hyperlink r:id="rId65" w:history="1">
              <w:r w:rsidR="00536D8C" w:rsidRPr="002832A9">
                <w:rPr>
                  <w:rFonts w:eastAsia="Calibri"/>
                  <w:color w:val="0000FF"/>
                  <w:sz w:val="20"/>
                  <w:u w:val="single"/>
                  <w:lang w:val="fr-CA"/>
                </w:rPr>
                <w:t>2013 ONCA 622</w:t>
              </w:r>
            </w:hyperlink>
          </w:p>
          <w:p w:rsidR="00536D8C" w:rsidRPr="002832A9" w:rsidRDefault="00536D8C" w:rsidP="001C4AC6">
            <w:pPr>
              <w:jc w:val="both"/>
              <w:rPr>
                <w:rFonts w:eastAsia="Calibri"/>
                <w:sz w:val="20"/>
                <w:lang w:val="fr-CA"/>
              </w:rPr>
            </w:pPr>
          </w:p>
        </w:tc>
        <w:tc>
          <w:tcPr>
            <w:tcW w:w="243" w:type="pct"/>
          </w:tcPr>
          <w:p w:rsidR="00536D8C" w:rsidRPr="002832A9" w:rsidRDefault="00536D8C" w:rsidP="001C4AC6">
            <w:pPr>
              <w:jc w:val="both"/>
              <w:rPr>
                <w:rFonts w:eastAsia="Calibri"/>
                <w:sz w:val="20"/>
                <w:lang w:val="fr-CA"/>
              </w:rPr>
            </w:pPr>
          </w:p>
        </w:tc>
        <w:tc>
          <w:tcPr>
            <w:tcW w:w="2330" w:type="pct"/>
          </w:tcPr>
          <w:p w:rsidR="00536D8C" w:rsidRPr="002832A9" w:rsidRDefault="00536D8C" w:rsidP="001C4AC6">
            <w:pPr>
              <w:jc w:val="both"/>
              <w:rPr>
                <w:rFonts w:eastAsia="Calibri"/>
                <w:sz w:val="20"/>
                <w:lang w:val="fr-CA"/>
              </w:rPr>
            </w:pPr>
            <w:r w:rsidRPr="002832A9">
              <w:rPr>
                <w:rFonts w:eastAsia="Calibri"/>
                <w:sz w:val="20"/>
                <w:lang w:val="fr-CA"/>
              </w:rPr>
              <w:t>Appel rejeté</w:t>
            </w:r>
          </w:p>
          <w:p w:rsidR="00536D8C" w:rsidRPr="002832A9" w:rsidRDefault="00536D8C" w:rsidP="001C4AC6">
            <w:pPr>
              <w:jc w:val="both"/>
              <w:rPr>
                <w:rFonts w:eastAsia="Calibri"/>
                <w:sz w:val="20"/>
                <w:lang w:val="fr-CA"/>
              </w:rPr>
            </w:pPr>
          </w:p>
        </w:tc>
      </w:tr>
      <w:tr w:rsidR="00536D8C" w:rsidRPr="002832A9" w:rsidTr="001C4AC6">
        <w:tc>
          <w:tcPr>
            <w:tcW w:w="2427" w:type="pct"/>
          </w:tcPr>
          <w:p w:rsidR="00536D8C" w:rsidRPr="002832A9" w:rsidRDefault="00536D8C" w:rsidP="001C4AC6">
            <w:pPr>
              <w:jc w:val="both"/>
              <w:rPr>
                <w:rFonts w:eastAsia="Calibri"/>
                <w:sz w:val="20"/>
                <w:lang w:val="fr-CA"/>
              </w:rPr>
            </w:pPr>
            <w:r w:rsidRPr="002832A9">
              <w:rPr>
                <w:rFonts w:eastAsia="Calibri"/>
                <w:sz w:val="20"/>
                <w:lang w:val="fr-CA"/>
              </w:rPr>
              <w:t>15 novembre 2013</w:t>
            </w:r>
          </w:p>
          <w:p w:rsidR="00536D8C" w:rsidRPr="002832A9" w:rsidRDefault="00536D8C" w:rsidP="001C4AC6">
            <w:pPr>
              <w:jc w:val="both"/>
              <w:rPr>
                <w:rFonts w:eastAsia="Calibri"/>
                <w:sz w:val="20"/>
                <w:lang w:val="fr-CA"/>
              </w:rPr>
            </w:pPr>
            <w:r w:rsidRPr="002832A9">
              <w:rPr>
                <w:rFonts w:eastAsia="Calibri"/>
                <w:sz w:val="20"/>
                <w:lang w:val="fr-CA"/>
              </w:rPr>
              <w:t>Cour suprême du Canada</w:t>
            </w:r>
          </w:p>
        </w:tc>
        <w:tc>
          <w:tcPr>
            <w:tcW w:w="243" w:type="pct"/>
          </w:tcPr>
          <w:p w:rsidR="00536D8C" w:rsidRPr="002832A9" w:rsidRDefault="00536D8C" w:rsidP="001C4AC6">
            <w:pPr>
              <w:jc w:val="both"/>
              <w:rPr>
                <w:rFonts w:eastAsia="Calibri"/>
                <w:sz w:val="20"/>
                <w:lang w:val="fr-CA"/>
              </w:rPr>
            </w:pPr>
          </w:p>
        </w:tc>
        <w:tc>
          <w:tcPr>
            <w:tcW w:w="2330" w:type="pct"/>
          </w:tcPr>
          <w:p w:rsidR="00536D8C" w:rsidRPr="002832A9" w:rsidRDefault="00536D8C" w:rsidP="001C4AC6">
            <w:pPr>
              <w:jc w:val="both"/>
              <w:rPr>
                <w:rFonts w:eastAsia="Calibri"/>
                <w:sz w:val="20"/>
                <w:lang w:val="fr-CA"/>
              </w:rPr>
            </w:pPr>
            <w:r w:rsidRPr="002832A9">
              <w:rPr>
                <w:rFonts w:eastAsia="Calibri"/>
                <w:sz w:val="20"/>
                <w:lang w:val="fr-CA"/>
              </w:rPr>
              <w:t>Demande d'autorisation d'appel, déposée</w:t>
            </w:r>
          </w:p>
          <w:p w:rsidR="00536D8C" w:rsidRPr="002832A9" w:rsidRDefault="00536D8C" w:rsidP="001C4AC6">
            <w:pPr>
              <w:jc w:val="both"/>
              <w:rPr>
                <w:rFonts w:eastAsia="Calibri"/>
                <w:sz w:val="20"/>
                <w:lang w:val="fr-CA"/>
              </w:rPr>
            </w:pPr>
          </w:p>
        </w:tc>
      </w:tr>
    </w:tbl>
    <w:p w:rsidR="002A46DC" w:rsidRDefault="002A46DC" w:rsidP="002A46DC">
      <w:pPr>
        <w:rPr>
          <w:sz w:val="20"/>
          <w:szCs w:val="20"/>
        </w:rPr>
      </w:pPr>
    </w:p>
    <w:p w:rsidR="002A46DC" w:rsidRDefault="00EB0F11" w:rsidP="002A46DC">
      <w:pPr>
        <w:rPr>
          <w:sz w:val="20"/>
          <w:szCs w:val="20"/>
        </w:rPr>
      </w:pPr>
      <w:r>
        <w:rPr>
          <w:sz w:val="20"/>
          <w:szCs w:val="20"/>
          <w:lang w:val="fr-CA"/>
        </w:rPr>
        <w:pict>
          <v:rect id="_x0000_i1066" style="width:2in;height:1pt" o:hrpct="0" o:hralign="center" o:hrstd="t" o:hrnoshade="t" o:hr="t" fillcolor="black [3213]" stroked="f"/>
        </w:pict>
      </w:r>
    </w:p>
    <w:p w:rsidR="002A46DC" w:rsidRDefault="002A46DC" w:rsidP="002A46DC">
      <w:pPr>
        <w:rPr>
          <w:sz w:val="20"/>
          <w:szCs w:val="20"/>
        </w:rPr>
      </w:pPr>
    </w:p>
    <w:tbl>
      <w:tblPr>
        <w:tblStyle w:val="TableGrid1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F0143" w:rsidRPr="000F0143" w:rsidTr="002B62A3">
        <w:trPr>
          <w:cantSplit/>
        </w:trPr>
        <w:tc>
          <w:tcPr>
            <w:tcW w:w="1458" w:type="dxa"/>
          </w:tcPr>
          <w:p w:rsidR="000F0143" w:rsidRPr="000F0143" w:rsidRDefault="000F0143" w:rsidP="000F0143">
            <w:pPr>
              <w:rPr>
                <w:sz w:val="20"/>
              </w:rPr>
            </w:pPr>
            <w:r w:rsidRPr="000F0143">
              <w:rPr>
                <w:b/>
                <w:sz w:val="20"/>
                <w:lang w:val="fr-CA"/>
              </w:rPr>
              <w:t>35639</w:t>
            </w:r>
          </w:p>
          <w:p w:rsidR="000F0143" w:rsidRPr="000F0143" w:rsidRDefault="000F0143" w:rsidP="000F0143">
            <w:pPr>
              <w:rPr>
                <w:b/>
                <w:sz w:val="20"/>
                <w:lang w:val="fr-CA"/>
              </w:rPr>
            </w:pPr>
          </w:p>
        </w:tc>
        <w:tc>
          <w:tcPr>
            <w:tcW w:w="8118" w:type="dxa"/>
          </w:tcPr>
          <w:p w:rsidR="000F0143" w:rsidRPr="000F0143" w:rsidRDefault="000F0143" w:rsidP="000F0143">
            <w:pPr>
              <w:jc w:val="both"/>
              <w:rPr>
                <w:sz w:val="20"/>
              </w:rPr>
            </w:pPr>
            <w:r w:rsidRPr="000F0143">
              <w:rPr>
                <w:b/>
                <w:sz w:val="20"/>
                <w:u w:val="single"/>
              </w:rPr>
              <w:t>Robert James Bradshaw v. Patricia Anne Langley, by her Estate Trustees, Kathryn Edith Hope, Lancelyn Rayman-Watters, Judith Clarkson</w:t>
            </w:r>
            <w:r w:rsidR="00182471">
              <w:rPr>
                <w:b/>
                <w:sz w:val="20"/>
                <w:u w:val="single"/>
              </w:rPr>
              <w:t xml:space="preserve"> and</w:t>
            </w:r>
            <w:r w:rsidRPr="000F0143">
              <w:rPr>
                <w:b/>
                <w:sz w:val="20"/>
                <w:u w:val="single"/>
              </w:rPr>
              <w:t xml:space="preserve"> Edward P. Kerwin</w:t>
            </w:r>
            <w:r w:rsidRPr="000F0143">
              <w:rPr>
                <w:sz w:val="20"/>
              </w:rPr>
              <w:t xml:space="preserve"> (Ont.) (Civil) (By Leave)</w:t>
            </w:r>
          </w:p>
          <w:p w:rsidR="000F0143" w:rsidRPr="000F0143" w:rsidRDefault="000F0143" w:rsidP="000F0143">
            <w:pPr>
              <w:jc w:val="both"/>
              <w:rPr>
                <w:sz w:val="20"/>
              </w:rPr>
            </w:pPr>
          </w:p>
        </w:tc>
      </w:tr>
      <w:tr w:rsidR="000F0143" w:rsidRPr="000F0143" w:rsidTr="002B62A3">
        <w:trPr>
          <w:cantSplit/>
        </w:trPr>
        <w:tc>
          <w:tcPr>
            <w:tcW w:w="1458" w:type="dxa"/>
          </w:tcPr>
          <w:p w:rsidR="000F0143" w:rsidRPr="000F0143" w:rsidRDefault="000F0143" w:rsidP="000F0143">
            <w:pPr>
              <w:rPr>
                <w:sz w:val="20"/>
              </w:rPr>
            </w:pPr>
            <w:r w:rsidRPr="000F0143">
              <w:rPr>
                <w:sz w:val="20"/>
              </w:rPr>
              <w:t>Coram :</w:t>
            </w:r>
          </w:p>
        </w:tc>
        <w:tc>
          <w:tcPr>
            <w:tcW w:w="8118" w:type="dxa"/>
          </w:tcPr>
          <w:p w:rsidR="000F0143" w:rsidRPr="000F0143" w:rsidRDefault="000F0143" w:rsidP="000F0143">
            <w:pPr>
              <w:rPr>
                <w:sz w:val="20"/>
              </w:rPr>
            </w:pPr>
            <w:r w:rsidRPr="000F0143">
              <w:rPr>
                <w:sz w:val="20"/>
                <w:u w:val="single"/>
              </w:rPr>
              <w:t>Abella, Rothstein and Moldaver JJ.</w:t>
            </w:r>
          </w:p>
          <w:p w:rsidR="000F0143" w:rsidRPr="000F0143" w:rsidRDefault="000F0143" w:rsidP="000F0143">
            <w:pPr>
              <w:rPr>
                <w:sz w:val="20"/>
                <w:u w:val="single"/>
              </w:rPr>
            </w:pPr>
          </w:p>
        </w:tc>
      </w:tr>
      <w:tr w:rsidR="000F0143" w:rsidRPr="00EB0F11" w:rsidTr="002B62A3">
        <w:trPr>
          <w:cantSplit/>
        </w:trPr>
        <w:tc>
          <w:tcPr>
            <w:tcW w:w="9576" w:type="dxa"/>
            <w:gridSpan w:val="2"/>
          </w:tcPr>
          <w:p w:rsidR="000F0143" w:rsidRPr="000F0143" w:rsidRDefault="000F0143" w:rsidP="000F0143">
            <w:pPr>
              <w:ind w:firstLine="720"/>
              <w:jc w:val="both"/>
              <w:rPr>
                <w:sz w:val="20"/>
              </w:rPr>
            </w:pPr>
            <w:r w:rsidRPr="000F0143">
              <w:rPr>
                <w:sz w:val="20"/>
              </w:rPr>
              <w:lastRenderedPageBreak/>
              <w:t>The application for leave to appeal from the judgment of the Court of Appeal for Ontario, Number C57063, 2013 ONCA 606, dated October 4, 2013, is dismissed with costs.</w:t>
            </w:r>
          </w:p>
          <w:p w:rsidR="000F0143" w:rsidRPr="000F0143" w:rsidRDefault="000F0143" w:rsidP="000F0143">
            <w:pPr>
              <w:jc w:val="both"/>
              <w:rPr>
                <w:sz w:val="20"/>
              </w:rPr>
            </w:pPr>
          </w:p>
          <w:p w:rsidR="000F0143" w:rsidRPr="000F0143" w:rsidRDefault="000F0143" w:rsidP="000F0143">
            <w:pPr>
              <w:ind w:firstLine="720"/>
              <w:jc w:val="both"/>
              <w:rPr>
                <w:sz w:val="20"/>
                <w:lang w:val="fr-CA"/>
              </w:rPr>
            </w:pPr>
            <w:r w:rsidRPr="000F0143">
              <w:rPr>
                <w:sz w:val="20"/>
                <w:lang w:val="fr-CA"/>
              </w:rPr>
              <w:t>La demande d’autorisation d’appel de l’arrêt de la Cour d’appel de l’Ontario, numéro C57063, 2013 ONCA 606, daté du 4 octobre 2013, est rejetée avec dépens.</w:t>
            </w:r>
          </w:p>
        </w:tc>
      </w:tr>
    </w:tbl>
    <w:p w:rsidR="002A46DC" w:rsidRPr="0016547E" w:rsidRDefault="002A46DC" w:rsidP="002A46DC">
      <w:pPr>
        <w:rPr>
          <w:sz w:val="20"/>
          <w:szCs w:val="20"/>
          <w:lang w:val="fr-CA"/>
        </w:rPr>
      </w:pPr>
    </w:p>
    <w:p w:rsidR="002A46DC" w:rsidRPr="001B157C" w:rsidRDefault="002A46DC" w:rsidP="002A46DC">
      <w:pPr>
        <w:rPr>
          <w:sz w:val="20"/>
          <w:szCs w:val="20"/>
          <w:u w:val="single"/>
        </w:rPr>
      </w:pPr>
      <w:r w:rsidRPr="001B157C">
        <w:rPr>
          <w:sz w:val="20"/>
          <w:szCs w:val="20"/>
          <w:u w:val="single"/>
        </w:rPr>
        <w:t>CASE SUMMARY</w:t>
      </w:r>
    </w:p>
    <w:p w:rsidR="002A46DC" w:rsidRDefault="002A46DC" w:rsidP="002A46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36D8C" w:rsidRPr="002832A9" w:rsidTr="001C4AC6">
        <w:tc>
          <w:tcPr>
            <w:tcW w:w="5000" w:type="pct"/>
            <w:gridSpan w:val="3"/>
          </w:tcPr>
          <w:p w:rsidR="00536D8C" w:rsidRPr="002832A9" w:rsidRDefault="00536D8C" w:rsidP="001C4AC6">
            <w:pPr>
              <w:jc w:val="both"/>
              <w:rPr>
                <w:rFonts w:eastAsia="Calibri"/>
                <w:sz w:val="20"/>
              </w:rPr>
            </w:pPr>
            <w:r w:rsidRPr="002832A9">
              <w:rPr>
                <w:rFonts w:eastAsia="Calibri"/>
                <w:sz w:val="20"/>
              </w:rPr>
              <w:t xml:space="preserve">Family law – Family assets – Former husband and wife with substantial assets failing to reach agreement prior to wife’s death – Husband pleading that the parties intended to divide all assets equally – Estate granted order for summary judgment that all assets deemed to be owned by both equally – Are there new un-statutory ways to opt out of a legislative scheme? – Can parties waive their legislated property rights solely by way of a statement made in a pleading? – By what method and at what time does one value property – the date of separation or after and, if so, at what point after? – When can trusts be judicially imposed in family law matters on a summary judgment motion? – Has the doctrine of resulting trusts abolished by </w:t>
            </w:r>
            <w:r w:rsidRPr="002832A9">
              <w:rPr>
                <w:rFonts w:eastAsia="Calibri"/>
                <w:i/>
                <w:sz w:val="20"/>
              </w:rPr>
              <w:t>Kerr</w:t>
            </w:r>
            <w:r w:rsidRPr="002832A9">
              <w:rPr>
                <w:rFonts w:eastAsia="Calibri"/>
                <w:sz w:val="20"/>
              </w:rPr>
              <w:t xml:space="preserve"> been revived from the ashes?</w:t>
            </w:r>
          </w:p>
        </w:tc>
      </w:tr>
      <w:tr w:rsidR="00536D8C" w:rsidRPr="002832A9" w:rsidTr="001C4AC6">
        <w:tc>
          <w:tcPr>
            <w:tcW w:w="5000" w:type="pct"/>
            <w:gridSpan w:val="3"/>
          </w:tcPr>
          <w:p w:rsidR="00536D8C" w:rsidRPr="002832A9" w:rsidRDefault="00536D8C" w:rsidP="001C4AC6">
            <w:pPr>
              <w:jc w:val="both"/>
              <w:rPr>
                <w:rFonts w:eastAsia="Calibri"/>
                <w:sz w:val="20"/>
              </w:rPr>
            </w:pPr>
          </w:p>
        </w:tc>
      </w:tr>
      <w:tr w:rsidR="00536D8C" w:rsidRPr="002832A9" w:rsidTr="001C4AC6">
        <w:tc>
          <w:tcPr>
            <w:tcW w:w="5000" w:type="pct"/>
            <w:gridSpan w:val="3"/>
          </w:tcPr>
          <w:p w:rsidR="00536D8C" w:rsidRPr="002832A9" w:rsidRDefault="00536D8C" w:rsidP="001C4AC6">
            <w:pPr>
              <w:jc w:val="both"/>
              <w:rPr>
                <w:rFonts w:eastAsia="Calibri"/>
                <w:sz w:val="20"/>
              </w:rPr>
            </w:pPr>
            <w:r w:rsidRPr="002832A9">
              <w:rPr>
                <w:rFonts w:eastAsia="Calibri"/>
                <w:sz w:val="20"/>
              </w:rPr>
              <w:t>Mr. Bradshaw and the late Ms. Langley married in 1982 and separated in 1999.  There were no children of the marriage.  During the marriage they accumulated significant wealth.  The house and cottage were in Ms. Langley’s name while business assets were in the Mr. Bradshaw’s name.  Mr. Bradshaw filed for divorce in 2000 and Ms. Langley filed an answer and counter</w:t>
            </w:r>
            <w:r w:rsidRPr="002832A9">
              <w:rPr>
                <w:rFonts w:eastAsia="Calibri"/>
                <w:sz w:val="20"/>
              </w:rPr>
              <w:noBreakHyphen/>
              <w:t>petition in which she sought an order that Mr. Bradshaw was holding 50 per cent of the business assets in trust for her.  In his reply and answer to counter-petition, Mr. Bradshaw pleaded that it was “always the intention of both parties that they would have an equal interest in every asset that they owned”.  Terms for a separation agreement were being negotiated for several years without resolution.  Ms. Langley died in January of 2011.  Her estate brought a motion for summary judgment that all assets owned by the parties at the date of separation were deemed to be owned by them equally.</w:t>
            </w:r>
          </w:p>
          <w:p w:rsidR="00536D8C" w:rsidRPr="002832A9" w:rsidRDefault="00536D8C" w:rsidP="001C4AC6">
            <w:pPr>
              <w:jc w:val="both"/>
              <w:rPr>
                <w:rFonts w:eastAsia="Calibri"/>
                <w:sz w:val="20"/>
              </w:rPr>
            </w:pPr>
          </w:p>
        </w:tc>
      </w:tr>
      <w:tr w:rsidR="00536D8C" w:rsidRPr="002832A9" w:rsidTr="001C4AC6">
        <w:tc>
          <w:tcPr>
            <w:tcW w:w="2427" w:type="pct"/>
          </w:tcPr>
          <w:p w:rsidR="00536D8C" w:rsidRPr="002832A9" w:rsidRDefault="00536D8C" w:rsidP="001C4AC6">
            <w:pPr>
              <w:jc w:val="both"/>
              <w:rPr>
                <w:rFonts w:eastAsia="Calibri"/>
                <w:sz w:val="20"/>
              </w:rPr>
            </w:pPr>
            <w:r w:rsidRPr="002832A9">
              <w:rPr>
                <w:rFonts w:eastAsia="Calibri"/>
                <w:sz w:val="20"/>
              </w:rPr>
              <w:t>April 18, 2013</w:t>
            </w:r>
          </w:p>
          <w:p w:rsidR="00536D8C" w:rsidRPr="002832A9" w:rsidRDefault="00536D8C" w:rsidP="001C4AC6">
            <w:pPr>
              <w:jc w:val="both"/>
              <w:rPr>
                <w:rFonts w:eastAsia="Calibri"/>
                <w:sz w:val="20"/>
              </w:rPr>
            </w:pPr>
            <w:r w:rsidRPr="002832A9">
              <w:rPr>
                <w:rFonts w:eastAsia="Calibri"/>
                <w:sz w:val="20"/>
              </w:rPr>
              <w:t>Ontario Superior Court of Justice</w:t>
            </w:r>
          </w:p>
          <w:p w:rsidR="00536D8C" w:rsidRPr="002832A9" w:rsidRDefault="00536D8C" w:rsidP="001C4AC6">
            <w:pPr>
              <w:jc w:val="both"/>
              <w:rPr>
                <w:rFonts w:eastAsia="Calibri"/>
                <w:sz w:val="20"/>
              </w:rPr>
            </w:pPr>
            <w:r w:rsidRPr="002832A9">
              <w:rPr>
                <w:rFonts w:eastAsia="Calibri"/>
                <w:sz w:val="20"/>
              </w:rPr>
              <w:t>(Horkins J.)</w:t>
            </w:r>
          </w:p>
          <w:p w:rsidR="00536D8C" w:rsidRPr="002832A9" w:rsidRDefault="00EB0F11" w:rsidP="001C4AC6">
            <w:pPr>
              <w:jc w:val="both"/>
              <w:rPr>
                <w:rFonts w:eastAsia="Calibri"/>
                <w:sz w:val="20"/>
              </w:rPr>
            </w:pPr>
            <w:hyperlink r:id="rId66" w:history="1">
              <w:r w:rsidR="00536D8C" w:rsidRPr="002832A9">
                <w:rPr>
                  <w:rFonts w:eastAsia="Calibri"/>
                  <w:color w:val="0000FF"/>
                  <w:sz w:val="20"/>
                  <w:u w:val="single"/>
                </w:rPr>
                <w:t>2013 ONSC 2320</w:t>
              </w:r>
            </w:hyperlink>
          </w:p>
          <w:p w:rsidR="00536D8C" w:rsidRPr="002832A9" w:rsidRDefault="00536D8C" w:rsidP="001C4AC6">
            <w:pPr>
              <w:jc w:val="both"/>
              <w:rPr>
                <w:rFonts w:eastAsia="Calibri"/>
                <w:sz w:val="20"/>
              </w:rPr>
            </w:pPr>
          </w:p>
        </w:tc>
        <w:tc>
          <w:tcPr>
            <w:tcW w:w="243" w:type="pct"/>
          </w:tcPr>
          <w:p w:rsidR="00536D8C" w:rsidRPr="002832A9" w:rsidRDefault="00536D8C" w:rsidP="001C4AC6">
            <w:pPr>
              <w:jc w:val="both"/>
              <w:rPr>
                <w:rFonts w:eastAsia="Calibri"/>
                <w:sz w:val="20"/>
              </w:rPr>
            </w:pPr>
          </w:p>
        </w:tc>
        <w:tc>
          <w:tcPr>
            <w:tcW w:w="2330" w:type="pct"/>
          </w:tcPr>
          <w:p w:rsidR="00536D8C" w:rsidRPr="002832A9" w:rsidRDefault="00536D8C" w:rsidP="001C4AC6">
            <w:pPr>
              <w:jc w:val="both"/>
              <w:rPr>
                <w:rFonts w:eastAsia="Calibri"/>
                <w:sz w:val="20"/>
              </w:rPr>
            </w:pPr>
            <w:r w:rsidRPr="002832A9">
              <w:rPr>
                <w:rFonts w:eastAsia="Calibri"/>
                <w:sz w:val="20"/>
              </w:rPr>
              <w:t>Respondents’ motion for summary judgment granted.  Declaration the each party owned all assets equally and trust imposed</w:t>
            </w:r>
          </w:p>
          <w:p w:rsidR="00536D8C" w:rsidRPr="002832A9" w:rsidRDefault="00536D8C" w:rsidP="001C4AC6">
            <w:pPr>
              <w:jc w:val="both"/>
              <w:rPr>
                <w:rFonts w:eastAsia="Calibri"/>
                <w:sz w:val="20"/>
              </w:rPr>
            </w:pPr>
          </w:p>
          <w:p w:rsidR="00536D8C" w:rsidRPr="002832A9" w:rsidRDefault="00536D8C" w:rsidP="001C4AC6">
            <w:pPr>
              <w:jc w:val="both"/>
              <w:rPr>
                <w:rFonts w:eastAsia="Calibri"/>
                <w:sz w:val="20"/>
              </w:rPr>
            </w:pPr>
          </w:p>
        </w:tc>
      </w:tr>
      <w:tr w:rsidR="00536D8C" w:rsidRPr="002832A9" w:rsidTr="001C4AC6">
        <w:tc>
          <w:tcPr>
            <w:tcW w:w="2427" w:type="pct"/>
          </w:tcPr>
          <w:p w:rsidR="00536D8C" w:rsidRPr="002832A9" w:rsidRDefault="00536D8C" w:rsidP="001C4AC6">
            <w:pPr>
              <w:jc w:val="both"/>
              <w:rPr>
                <w:rFonts w:eastAsia="Calibri"/>
                <w:sz w:val="20"/>
              </w:rPr>
            </w:pPr>
            <w:r w:rsidRPr="002832A9">
              <w:rPr>
                <w:rFonts w:eastAsia="Calibri"/>
                <w:sz w:val="20"/>
              </w:rPr>
              <w:t>October 4, 2013</w:t>
            </w:r>
          </w:p>
          <w:p w:rsidR="00536D8C" w:rsidRPr="002832A9" w:rsidRDefault="00536D8C" w:rsidP="001C4AC6">
            <w:pPr>
              <w:jc w:val="both"/>
              <w:rPr>
                <w:rFonts w:eastAsia="Calibri"/>
                <w:sz w:val="20"/>
              </w:rPr>
            </w:pPr>
            <w:r w:rsidRPr="002832A9">
              <w:rPr>
                <w:rFonts w:eastAsia="Calibri"/>
                <w:sz w:val="20"/>
              </w:rPr>
              <w:t>Court of Appeal for Ontario</w:t>
            </w:r>
          </w:p>
          <w:p w:rsidR="00536D8C" w:rsidRPr="002832A9" w:rsidRDefault="00536D8C" w:rsidP="001C4AC6">
            <w:pPr>
              <w:jc w:val="both"/>
              <w:rPr>
                <w:rFonts w:eastAsia="Calibri"/>
                <w:sz w:val="20"/>
              </w:rPr>
            </w:pPr>
            <w:r w:rsidRPr="002832A9">
              <w:rPr>
                <w:rFonts w:eastAsia="Calibri"/>
                <w:sz w:val="20"/>
              </w:rPr>
              <w:t>(Weiler, Feldman and Blair JJ.A.)</w:t>
            </w:r>
          </w:p>
          <w:p w:rsidR="00536D8C" w:rsidRPr="002832A9" w:rsidRDefault="00EB0F11" w:rsidP="001C4AC6">
            <w:pPr>
              <w:jc w:val="both"/>
              <w:rPr>
                <w:rFonts w:eastAsia="Calibri"/>
                <w:sz w:val="20"/>
              </w:rPr>
            </w:pPr>
            <w:hyperlink r:id="rId67" w:history="1">
              <w:r w:rsidR="00536D8C" w:rsidRPr="002832A9">
                <w:rPr>
                  <w:rFonts w:eastAsia="Calibri"/>
                  <w:color w:val="0000FF"/>
                  <w:sz w:val="20"/>
                  <w:u w:val="single"/>
                </w:rPr>
                <w:t>2013 ONCA 606</w:t>
              </w:r>
            </w:hyperlink>
          </w:p>
          <w:p w:rsidR="00536D8C" w:rsidRPr="002832A9" w:rsidRDefault="00536D8C" w:rsidP="001C4AC6">
            <w:pPr>
              <w:jc w:val="both"/>
              <w:rPr>
                <w:rFonts w:eastAsia="Calibri"/>
                <w:sz w:val="20"/>
              </w:rPr>
            </w:pPr>
          </w:p>
        </w:tc>
        <w:tc>
          <w:tcPr>
            <w:tcW w:w="243" w:type="pct"/>
          </w:tcPr>
          <w:p w:rsidR="00536D8C" w:rsidRPr="002832A9" w:rsidRDefault="00536D8C" w:rsidP="001C4AC6">
            <w:pPr>
              <w:jc w:val="both"/>
              <w:rPr>
                <w:rFonts w:eastAsia="Calibri"/>
                <w:sz w:val="20"/>
              </w:rPr>
            </w:pPr>
          </w:p>
        </w:tc>
        <w:tc>
          <w:tcPr>
            <w:tcW w:w="2330" w:type="pct"/>
          </w:tcPr>
          <w:p w:rsidR="00536D8C" w:rsidRPr="002832A9" w:rsidRDefault="00536D8C" w:rsidP="001C4AC6">
            <w:pPr>
              <w:jc w:val="both"/>
              <w:rPr>
                <w:rFonts w:eastAsia="Calibri"/>
                <w:sz w:val="20"/>
              </w:rPr>
            </w:pPr>
            <w:r w:rsidRPr="002832A9">
              <w:rPr>
                <w:rFonts w:eastAsia="Calibri"/>
                <w:sz w:val="20"/>
              </w:rPr>
              <w:t>Appeal dismissed</w:t>
            </w:r>
          </w:p>
          <w:p w:rsidR="00536D8C" w:rsidRPr="002832A9" w:rsidRDefault="00536D8C" w:rsidP="001C4AC6">
            <w:pPr>
              <w:jc w:val="both"/>
              <w:rPr>
                <w:rFonts w:eastAsia="Calibri"/>
                <w:sz w:val="20"/>
              </w:rPr>
            </w:pPr>
          </w:p>
        </w:tc>
      </w:tr>
      <w:tr w:rsidR="00536D8C" w:rsidRPr="002832A9" w:rsidTr="001C4AC6">
        <w:tc>
          <w:tcPr>
            <w:tcW w:w="2427" w:type="pct"/>
          </w:tcPr>
          <w:p w:rsidR="00536D8C" w:rsidRPr="002832A9" w:rsidRDefault="00536D8C" w:rsidP="001C4AC6">
            <w:pPr>
              <w:jc w:val="both"/>
              <w:rPr>
                <w:rFonts w:eastAsia="Calibri"/>
                <w:sz w:val="20"/>
              </w:rPr>
            </w:pPr>
            <w:r w:rsidRPr="002832A9">
              <w:rPr>
                <w:rFonts w:eastAsia="Calibri"/>
                <w:sz w:val="20"/>
              </w:rPr>
              <w:t>December 2, 2013</w:t>
            </w:r>
          </w:p>
          <w:p w:rsidR="00536D8C" w:rsidRPr="002832A9" w:rsidRDefault="00536D8C" w:rsidP="001C4AC6">
            <w:pPr>
              <w:jc w:val="both"/>
              <w:rPr>
                <w:rFonts w:eastAsia="Calibri"/>
                <w:sz w:val="20"/>
              </w:rPr>
            </w:pPr>
            <w:r w:rsidRPr="002832A9">
              <w:rPr>
                <w:rFonts w:eastAsia="Calibri"/>
                <w:sz w:val="20"/>
              </w:rPr>
              <w:t>Supreme Court of Canada</w:t>
            </w:r>
          </w:p>
        </w:tc>
        <w:tc>
          <w:tcPr>
            <w:tcW w:w="243" w:type="pct"/>
          </w:tcPr>
          <w:p w:rsidR="00536D8C" w:rsidRPr="002832A9" w:rsidRDefault="00536D8C" w:rsidP="001C4AC6">
            <w:pPr>
              <w:jc w:val="both"/>
              <w:rPr>
                <w:rFonts w:eastAsia="Calibri"/>
                <w:sz w:val="20"/>
              </w:rPr>
            </w:pPr>
          </w:p>
        </w:tc>
        <w:tc>
          <w:tcPr>
            <w:tcW w:w="2330" w:type="pct"/>
          </w:tcPr>
          <w:p w:rsidR="00536D8C" w:rsidRPr="002832A9" w:rsidRDefault="00536D8C" w:rsidP="001C4AC6">
            <w:pPr>
              <w:jc w:val="both"/>
              <w:rPr>
                <w:rFonts w:eastAsia="Calibri"/>
                <w:sz w:val="20"/>
              </w:rPr>
            </w:pPr>
            <w:r w:rsidRPr="002832A9">
              <w:rPr>
                <w:rFonts w:eastAsia="Calibri"/>
                <w:sz w:val="20"/>
              </w:rPr>
              <w:t>Application for leave to appeal filed</w:t>
            </w:r>
          </w:p>
          <w:p w:rsidR="00536D8C" w:rsidRPr="002832A9" w:rsidRDefault="00536D8C" w:rsidP="001C4AC6">
            <w:pPr>
              <w:jc w:val="both"/>
              <w:rPr>
                <w:rFonts w:eastAsia="Calibri"/>
                <w:sz w:val="20"/>
              </w:rPr>
            </w:pPr>
          </w:p>
        </w:tc>
      </w:tr>
    </w:tbl>
    <w:p w:rsidR="002A46DC" w:rsidRDefault="002A46DC" w:rsidP="002A46DC">
      <w:pPr>
        <w:rPr>
          <w:sz w:val="20"/>
          <w:szCs w:val="20"/>
        </w:rPr>
      </w:pPr>
    </w:p>
    <w:p w:rsidR="002A46DC" w:rsidRPr="00C50A5C" w:rsidRDefault="00EB0F11" w:rsidP="002A46DC">
      <w:pPr>
        <w:rPr>
          <w:sz w:val="20"/>
          <w:szCs w:val="20"/>
        </w:rPr>
      </w:pPr>
      <w:r>
        <w:rPr>
          <w:sz w:val="20"/>
          <w:szCs w:val="20"/>
          <w:lang w:val="fr-CA"/>
        </w:rPr>
        <w:pict>
          <v:rect id="_x0000_i1067" style="width:2in;height:1pt" o:hrpct="0" o:hralign="center" o:hrstd="t" o:hrnoshade="t" o:hr="t" fillcolor="black [3213]" stroked="f"/>
        </w:pict>
      </w:r>
    </w:p>
    <w:p w:rsidR="002A46DC" w:rsidRDefault="002A46DC" w:rsidP="002A46DC">
      <w:pPr>
        <w:rPr>
          <w:sz w:val="20"/>
          <w:szCs w:val="20"/>
        </w:rPr>
      </w:pPr>
    </w:p>
    <w:p w:rsidR="002A46DC" w:rsidRPr="001B157C" w:rsidRDefault="002A46DC" w:rsidP="002A46DC">
      <w:pPr>
        <w:rPr>
          <w:sz w:val="20"/>
          <w:szCs w:val="20"/>
          <w:u w:val="single"/>
          <w:lang w:val="fr-CA"/>
        </w:rPr>
      </w:pPr>
      <w:r w:rsidRPr="001B157C">
        <w:rPr>
          <w:sz w:val="20"/>
          <w:szCs w:val="20"/>
          <w:u w:val="single"/>
          <w:lang w:val="fr-CA"/>
        </w:rPr>
        <w:t>RÉSUMÉ DE L’AFFAIRE</w:t>
      </w:r>
    </w:p>
    <w:p w:rsidR="002A46DC" w:rsidRDefault="002A46DC" w:rsidP="002A46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36D8C" w:rsidRPr="00EB0F11" w:rsidTr="001C4AC6">
        <w:tc>
          <w:tcPr>
            <w:tcW w:w="5000" w:type="pct"/>
            <w:gridSpan w:val="3"/>
          </w:tcPr>
          <w:p w:rsidR="00536D8C" w:rsidRPr="002832A9" w:rsidRDefault="00536D8C" w:rsidP="001C4AC6">
            <w:pPr>
              <w:jc w:val="both"/>
              <w:rPr>
                <w:rFonts w:eastAsia="Calibri"/>
                <w:sz w:val="20"/>
                <w:lang w:val="fr-CA"/>
              </w:rPr>
            </w:pPr>
            <w:r w:rsidRPr="002832A9">
              <w:rPr>
                <w:rFonts w:eastAsia="Calibri"/>
                <w:sz w:val="20"/>
                <w:lang w:val="fr-CA"/>
              </w:rPr>
              <w:t xml:space="preserve">Droit de la famille – Biens familiaux – Ancien couple marié disposant de biens importants incapable d’en venir à une entente avant la mort de l’épouse – Position du mari que les parties voulaient se partager tous les biens à parts égales – Succession obtenant une ordonnance de jugement sommaire déclarant que les parties sont réputées propriétaires à parts égales de tous les biens – Existe-t-il de nouveaux moyens non prévus par la loi de se soustraire à un régime </w:t>
            </w:r>
            <w:r w:rsidRPr="002832A9">
              <w:rPr>
                <w:rFonts w:eastAsia="Calibri"/>
                <w:sz w:val="20"/>
                <w:lang w:val="fr-CA"/>
              </w:rPr>
              <w:lastRenderedPageBreak/>
              <w:t xml:space="preserve">législatif? – Les parties peuvent-elles renoncer, au seul moyen d’une affirmation faite dans un acte de procédure, aux droits de propriété que leur confère la loi? – De quelle façon et à quel moment convient-il d’évaluer les biens, à la date de la séparation ou plus tard et, le cas échéant, à quel moment après la séparation? – Dans quelles circonstances les tribunaux peuvent-ils imposer des fiducies en matière familiale sur présentation d’une motion en jugement sommaire? – Le principe de la fiducie par déduction aboli par l’arrêt </w:t>
            </w:r>
            <w:r w:rsidRPr="002832A9">
              <w:rPr>
                <w:rFonts w:eastAsia="Calibri"/>
                <w:i/>
                <w:sz w:val="20"/>
                <w:lang w:val="fr-CA"/>
              </w:rPr>
              <w:t>Kerr</w:t>
            </w:r>
            <w:r w:rsidRPr="002832A9">
              <w:rPr>
                <w:rFonts w:eastAsia="Calibri"/>
                <w:sz w:val="20"/>
                <w:lang w:val="fr-CA"/>
              </w:rPr>
              <w:t xml:space="preserve"> a-t-il rené de ses cendres?</w:t>
            </w:r>
          </w:p>
        </w:tc>
      </w:tr>
      <w:tr w:rsidR="00536D8C" w:rsidRPr="00EB0F11" w:rsidTr="001C4AC6">
        <w:tc>
          <w:tcPr>
            <w:tcW w:w="5000" w:type="pct"/>
            <w:gridSpan w:val="3"/>
          </w:tcPr>
          <w:p w:rsidR="00536D8C" w:rsidRPr="002832A9" w:rsidRDefault="00536D8C" w:rsidP="001C4AC6">
            <w:pPr>
              <w:jc w:val="both"/>
              <w:rPr>
                <w:rFonts w:eastAsia="Calibri"/>
                <w:sz w:val="20"/>
                <w:lang w:val="fr-CA"/>
              </w:rPr>
            </w:pPr>
          </w:p>
        </w:tc>
      </w:tr>
      <w:tr w:rsidR="00536D8C" w:rsidRPr="00EB0F11" w:rsidTr="001C4AC6">
        <w:tc>
          <w:tcPr>
            <w:tcW w:w="5000" w:type="pct"/>
            <w:gridSpan w:val="3"/>
          </w:tcPr>
          <w:p w:rsidR="00536D8C" w:rsidRPr="002832A9" w:rsidRDefault="00536D8C" w:rsidP="001C4AC6">
            <w:pPr>
              <w:jc w:val="both"/>
              <w:rPr>
                <w:rFonts w:eastAsia="Calibri"/>
                <w:sz w:val="20"/>
                <w:lang w:val="fr-CA"/>
              </w:rPr>
            </w:pPr>
            <w:r w:rsidRPr="002832A9">
              <w:rPr>
                <w:rFonts w:eastAsia="Calibri"/>
                <w:sz w:val="20"/>
                <w:lang w:val="fr-CA"/>
              </w:rPr>
              <w:t>M. Bradshaw et feue M</w:t>
            </w:r>
            <w:r w:rsidRPr="002832A9">
              <w:rPr>
                <w:rFonts w:eastAsia="Calibri"/>
                <w:sz w:val="20"/>
                <w:vertAlign w:val="superscript"/>
                <w:lang w:val="fr-CA"/>
              </w:rPr>
              <w:t>me</w:t>
            </w:r>
            <w:r w:rsidRPr="002832A9">
              <w:rPr>
                <w:rFonts w:eastAsia="Calibri"/>
                <w:sz w:val="20"/>
                <w:lang w:val="fr-CA"/>
              </w:rPr>
              <w:t> Langley se sont mariés en 1982 et se sont séparés en 1999.  Ils n’ont pas eu d’enfant.  Ils ont amassé une grande fortune au cours du mariage.  La résidence et le chalet étaient au nom de M</w:t>
            </w:r>
            <w:r w:rsidRPr="002832A9">
              <w:rPr>
                <w:rFonts w:eastAsia="Calibri"/>
                <w:sz w:val="20"/>
                <w:vertAlign w:val="superscript"/>
                <w:lang w:val="fr-CA"/>
              </w:rPr>
              <w:t>me </w:t>
            </w:r>
            <w:r w:rsidRPr="002832A9">
              <w:rPr>
                <w:rFonts w:eastAsia="Calibri"/>
                <w:sz w:val="20"/>
                <w:lang w:val="fr-CA"/>
              </w:rPr>
              <w:t>Langley tandis que les éléments d’actif d’entreprises étaient au nom de M. Bradshaw.  Ce dernier a demandé le divorce en 2000, et M</w:t>
            </w:r>
            <w:r w:rsidRPr="002832A9">
              <w:rPr>
                <w:rFonts w:eastAsia="Calibri"/>
                <w:sz w:val="20"/>
                <w:vertAlign w:val="superscript"/>
                <w:lang w:val="fr-CA"/>
              </w:rPr>
              <w:t>me </w:t>
            </w:r>
            <w:r w:rsidRPr="002832A9">
              <w:rPr>
                <w:rFonts w:eastAsia="Calibri"/>
                <w:sz w:val="20"/>
                <w:lang w:val="fr-CA"/>
              </w:rPr>
              <w:t>Langley a déposé une réponse et une requête reconventionnelle dans laquelle elle demande une ordonnance déclarant que M. Bradshaw détenait 50 pour cent des éléments d’actif d’entreprises en fiducie pour elle.  M. Bradshaw a plaidé dans sa réplique et sa réponse à la requête reconventionnelle que « les parties avaient toujours eu l’intention de posséder un intérêt égal dans tous les biens qui leur appartenaient ».  Les parties ont négocié sans succès durant plusieurs années dans le but d’en arriver à un accord de séparation.  M</w:t>
            </w:r>
            <w:r w:rsidRPr="002832A9">
              <w:rPr>
                <w:rFonts w:eastAsia="Calibri"/>
                <w:sz w:val="20"/>
                <w:vertAlign w:val="superscript"/>
                <w:lang w:val="fr-CA"/>
              </w:rPr>
              <w:t>me</w:t>
            </w:r>
            <w:r w:rsidRPr="002832A9">
              <w:rPr>
                <w:rFonts w:eastAsia="Calibri"/>
                <w:sz w:val="20"/>
                <w:lang w:val="fr-CA"/>
              </w:rPr>
              <w:t> Langley est morte en janvier 2011.  Sa succession a présenté une motion en vue d’obtenir un jugement sommaire déclarant que les parties sont réputées propriétaires à parts égales de tous les biens qui leur appartenaient à la date de la séparation.</w:t>
            </w:r>
          </w:p>
          <w:p w:rsidR="00536D8C" w:rsidRPr="002832A9" w:rsidRDefault="00536D8C" w:rsidP="001C4AC6">
            <w:pPr>
              <w:jc w:val="both"/>
              <w:rPr>
                <w:rFonts w:eastAsia="Calibri"/>
                <w:sz w:val="20"/>
                <w:lang w:val="fr-CA"/>
              </w:rPr>
            </w:pPr>
          </w:p>
        </w:tc>
      </w:tr>
      <w:tr w:rsidR="00536D8C" w:rsidRPr="00EB0F11" w:rsidTr="001C4AC6">
        <w:tc>
          <w:tcPr>
            <w:tcW w:w="2427" w:type="pct"/>
          </w:tcPr>
          <w:p w:rsidR="00536D8C" w:rsidRPr="002832A9" w:rsidRDefault="00536D8C" w:rsidP="001C4AC6">
            <w:pPr>
              <w:jc w:val="both"/>
              <w:rPr>
                <w:rFonts w:eastAsia="Calibri"/>
                <w:sz w:val="20"/>
                <w:lang w:val="fr-CA"/>
              </w:rPr>
            </w:pPr>
            <w:r w:rsidRPr="002832A9">
              <w:rPr>
                <w:rFonts w:eastAsia="Calibri"/>
                <w:sz w:val="20"/>
                <w:lang w:val="fr-CA"/>
              </w:rPr>
              <w:t>18 avril 2013</w:t>
            </w:r>
          </w:p>
          <w:p w:rsidR="00536D8C" w:rsidRPr="002832A9" w:rsidRDefault="00536D8C" w:rsidP="001C4AC6">
            <w:pPr>
              <w:jc w:val="both"/>
              <w:rPr>
                <w:rFonts w:eastAsia="Calibri"/>
                <w:sz w:val="20"/>
                <w:lang w:val="fr-CA"/>
              </w:rPr>
            </w:pPr>
            <w:r w:rsidRPr="002832A9">
              <w:rPr>
                <w:rFonts w:eastAsia="Calibri"/>
                <w:sz w:val="20"/>
                <w:lang w:val="fr-CA"/>
              </w:rPr>
              <w:t xml:space="preserve">Cour supérieure de justice de l’Ontario </w:t>
            </w:r>
          </w:p>
          <w:p w:rsidR="00536D8C" w:rsidRPr="002832A9" w:rsidRDefault="00536D8C" w:rsidP="001C4AC6">
            <w:pPr>
              <w:jc w:val="both"/>
              <w:rPr>
                <w:rFonts w:eastAsia="Calibri"/>
                <w:sz w:val="20"/>
              </w:rPr>
            </w:pPr>
            <w:r w:rsidRPr="002832A9">
              <w:rPr>
                <w:rFonts w:eastAsia="Calibri"/>
                <w:sz w:val="20"/>
              </w:rPr>
              <w:t>(Juge Horkins)</w:t>
            </w:r>
          </w:p>
          <w:p w:rsidR="00536D8C" w:rsidRPr="002832A9" w:rsidRDefault="00EB0F11" w:rsidP="001C4AC6">
            <w:pPr>
              <w:jc w:val="both"/>
              <w:rPr>
                <w:rFonts w:eastAsia="Calibri"/>
                <w:sz w:val="20"/>
              </w:rPr>
            </w:pPr>
            <w:hyperlink r:id="rId68" w:history="1">
              <w:r w:rsidR="00536D8C" w:rsidRPr="002832A9">
                <w:rPr>
                  <w:rFonts w:eastAsia="Calibri"/>
                  <w:color w:val="0000FF"/>
                  <w:sz w:val="20"/>
                  <w:u w:val="single"/>
                </w:rPr>
                <w:t>2013 ONSC 2320</w:t>
              </w:r>
            </w:hyperlink>
          </w:p>
          <w:p w:rsidR="00536D8C" w:rsidRPr="002832A9" w:rsidRDefault="00536D8C" w:rsidP="001C4AC6">
            <w:pPr>
              <w:jc w:val="both"/>
              <w:rPr>
                <w:rFonts w:eastAsia="Calibri"/>
                <w:sz w:val="20"/>
              </w:rPr>
            </w:pPr>
          </w:p>
        </w:tc>
        <w:tc>
          <w:tcPr>
            <w:tcW w:w="243" w:type="pct"/>
          </w:tcPr>
          <w:p w:rsidR="00536D8C" w:rsidRPr="002832A9" w:rsidRDefault="00536D8C" w:rsidP="001C4AC6">
            <w:pPr>
              <w:jc w:val="both"/>
              <w:rPr>
                <w:rFonts w:eastAsia="Calibri"/>
                <w:sz w:val="20"/>
              </w:rPr>
            </w:pPr>
          </w:p>
        </w:tc>
        <w:tc>
          <w:tcPr>
            <w:tcW w:w="2330" w:type="pct"/>
          </w:tcPr>
          <w:p w:rsidR="00536D8C" w:rsidRPr="002832A9" w:rsidRDefault="00536D8C" w:rsidP="001C4AC6">
            <w:pPr>
              <w:jc w:val="both"/>
              <w:rPr>
                <w:rFonts w:eastAsia="Calibri"/>
                <w:sz w:val="20"/>
                <w:lang w:val="fr-CA"/>
              </w:rPr>
            </w:pPr>
            <w:r w:rsidRPr="002832A9">
              <w:rPr>
                <w:rFonts w:eastAsia="Calibri"/>
                <w:sz w:val="20"/>
                <w:lang w:val="fr-CA"/>
              </w:rPr>
              <w:t>Motion des intimés en jugement sommaire accueillie.  Jugement déclarant que chaque partie est propriétaire à parts égales de tous les biens et fiducie imposée</w:t>
            </w:r>
          </w:p>
          <w:p w:rsidR="00536D8C" w:rsidRPr="002832A9" w:rsidRDefault="00536D8C" w:rsidP="001C4AC6">
            <w:pPr>
              <w:jc w:val="both"/>
              <w:rPr>
                <w:rFonts w:eastAsia="Calibri"/>
                <w:sz w:val="20"/>
                <w:lang w:val="fr-CA"/>
              </w:rPr>
            </w:pPr>
          </w:p>
        </w:tc>
      </w:tr>
      <w:tr w:rsidR="00536D8C" w:rsidRPr="002832A9" w:rsidTr="001C4AC6">
        <w:tc>
          <w:tcPr>
            <w:tcW w:w="2427" w:type="pct"/>
          </w:tcPr>
          <w:p w:rsidR="00536D8C" w:rsidRPr="002832A9" w:rsidRDefault="00536D8C" w:rsidP="001C4AC6">
            <w:pPr>
              <w:jc w:val="both"/>
              <w:rPr>
                <w:rFonts w:eastAsia="Calibri"/>
                <w:sz w:val="20"/>
                <w:lang w:val="fr-CA"/>
              </w:rPr>
            </w:pPr>
            <w:r w:rsidRPr="002832A9">
              <w:rPr>
                <w:rFonts w:eastAsia="Calibri"/>
                <w:sz w:val="20"/>
                <w:lang w:val="fr-CA"/>
              </w:rPr>
              <w:t>4 octobre 2013</w:t>
            </w:r>
          </w:p>
          <w:p w:rsidR="00536D8C" w:rsidRPr="002832A9" w:rsidRDefault="00536D8C" w:rsidP="001C4AC6">
            <w:pPr>
              <w:jc w:val="both"/>
              <w:rPr>
                <w:rFonts w:eastAsia="Calibri"/>
                <w:sz w:val="20"/>
                <w:lang w:val="fr-CA"/>
              </w:rPr>
            </w:pPr>
            <w:r w:rsidRPr="002832A9">
              <w:rPr>
                <w:rFonts w:eastAsia="Calibri"/>
                <w:sz w:val="20"/>
                <w:lang w:val="fr-CA"/>
              </w:rPr>
              <w:t>Cour d’appel de l’Ontario</w:t>
            </w:r>
          </w:p>
          <w:p w:rsidR="00536D8C" w:rsidRPr="002832A9" w:rsidRDefault="00536D8C" w:rsidP="001C4AC6">
            <w:pPr>
              <w:jc w:val="both"/>
              <w:rPr>
                <w:rFonts w:eastAsia="Calibri"/>
                <w:sz w:val="20"/>
                <w:lang w:val="fr-CA"/>
              </w:rPr>
            </w:pPr>
            <w:r w:rsidRPr="002832A9">
              <w:rPr>
                <w:rFonts w:eastAsia="Calibri"/>
                <w:sz w:val="20"/>
                <w:lang w:val="fr-CA"/>
              </w:rPr>
              <w:t>(Juges Weiler, Feldman et Blair)</w:t>
            </w:r>
          </w:p>
          <w:p w:rsidR="00536D8C" w:rsidRPr="002832A9" w:rsidRDefault="00EB0F11" w:rsidP="001C4AC6">
            <w:pPr>
              <w:jc w:val="both"/>
              <w:rPr>
                <w:rFonts w:eastAsia="Calibri"/>
                <w:sz w:val="20"/>
              </w:rPr>
            </w:pPr>
            <w:hyperlink r:id="rId69" w:history="1">
              <w:r w:rsidR="00536D8C" w:rsidRPr="002832A9">
                <w:rPr>
                  <w:rFonts w:eastAsia="Calibri"/>
                  <w:color w:val="0000FF"/>
                  <w:sz w:val="20"/>
                  <w:u w:val="single"/>
                </w:rPr>
                <w:t>2013 ONCA 606</w:t>
              </w:r>
            </w:hyperlink>
          </w:p>
          <w:p w:rsidR="00536D8C" w:rsidRPr="002832A9" w:rsidRDefault="00536D8C" w:rsidP="001C4AC6">
            <w:pPr>
              <w:jc w:val="both"/>
              <w:rPr>
                <w:rFonts w:eastAsia="Calibri"/>
                <w:sz w:val="20"/>
              </w:rPr>
            </w:pPr>
          </w:p>
        </w:tc>
        <w:tc>
          <w:tcPr>
            <w:tcW w:w="243" w:type="pct"/>
          </w:tcPr>
          <w:p w:rsidR="00536D8C" w:rsidRPr="002832A9" w:rsidRDefault="00536D8C" w:rsidP="001C4AC6">
            <w:pPr>
              <w:jc w:val="both"/>
              <w:rPr>
                <w:rFonts w:eastAsia="Calibri"/>
                <w:sz w:val="20"/>
              </w:rPr>
            </w:pPr>
          </w:p>
        </w:tc>
        <w:tc>
          <w:tcPr>
            <w:tcW w:w="2330" w:type="pct"/>
          </w:tcPr>
          <w:p w:rsidR="00536D8C" w:rsidRPr="002832A9" w:rsidRDefault="00536D8C" w:rsidP="001C4AC6">
            <w:pPr>
              <w:jc w:val="both"/>
              <w:rPr>
                <w:rFonts w:eastAsia="Calibri"/>
                <w:sz w:val="20"/>
                <w:lang w:val="fr-CA"/>
              </w:rPr>
            </w:pPr>
            <w:r w:rsidRPr="002832A9">
              <w:rPr>
                <w:rFonts w:eastAsia="Calibri"/>
                <w:sz w:val="20"/>
                <w:lang w:val="fr-CA"/>
              </w:rPr>
              <w:t>Appel rejeté</w:t>
            </w:r>
          </w:p>
          <w:p w:rsidR="00536D8C" w:rsidRPr="002832A9" w:rsidRDefault="00536D8C" w:rsidP="001C4AC6">
            <w:pPr>
              <w:jc w:val="both"/>
              <w:rPr>
                <w:rFonts w:eastAsia="Calibri"/>
                <w:sz w:val="20"/>
              </w:rPr>
            </w:pPr>
          </w:p>
        </w:tc>
      </w:tr>
      <w:tr w:rsidR="00536D8C" w:rsidRPr="002832A9" w:rsidTr="001C4AC6">
        <w:tc>
          <w:tcPr>
            <w:tcW w:w="2427" w:type="pct"/>
          </w:tcPr>
          <w:p w:rsidR="00536D8C" w:rsidRPr="002832A9" w:rsidRDefault="00536D8C" w:rsidP="001C4AC6">
            <w:pPr>
              <w:jc w:val="both"/>
              <w:rPr>
                <w:rFonts w:eastAsia="Calibri"/>
                <w:sz w:val="20"/>
                <w:lang w:val="fr-CA"/>
              </w:rPr>
            </w:pPr>
            <w:r w:rsidRPr="002832A9">
              <w:rPr>
                <w:rFonts w:eastAsia="Calibri"/>
                <w:sz w:val="20"/>
                <w:lang w:val="fr-CA"/>
              </w:rPr>
              <w:t>2 décembre 2013</w:t>
            </w:r>
          </w:p>
          <w:p w:rsidR="00536D8C" w:rsidRPr="002832A9" w:rsidRDefault="00536D8C" w:rsidP="001C4AC6">
            <w:pPr>
              <w:jc w:val="both"/>
              <w:rPr>
                <w:rFonts w:eastAsia="Calibri"/>
                <w:sz w:val="20"/>
                <w:lang w:val="fr-CA"/>
              </w:rPr>
            </w:pPr>
            <w:r w:rsidRPr="002832A9">
              <w:rPr>
                <w:rFonts w:eastAsia="Calibri"/>
                <w:sz w:val="20"/>
                <w:lang w:val="fr-CA"/>
              </w:rPr>
              <w:t>Cour suprême du Canada</w:t>
            </w:r>
          </w:p>
        </w:tc>
        <w:tc>
          <w:tcPr>
            <w:tcW w:w="243" w:type="pct"/>
          </w:tcPr>
          <w:p w:rsidR="00536D8C" w:rsidRPr="002832A9" w:rsidRDefault="00536D8C" w:rsidP="001C4AC6">
            <w:pPr>
              <w:jc w:val="both"/>
              <w:rPr>
                <w:rFonts w:eastAsia="Calibri"/>
                <w:sz w:val="20"/>
                <w:lang w:val="fr-CA"/>
              </w:rPr>
            </w:pPr>
          </w:p>
        </w:tc>
        <w:tc>
          <w:tcPr>
            <w:tcW w:w="2330" w:type="pct"/>
          </w:tcPr>
          <w:p w:rsidR="00536D8C" w:rsidRPr="002832A9" w:rsidRDefault="00536D8C" w:rsidP="001C4AC6">
            <w:pPr>
              <w:jc w:val="both"/>
              <w:rPr>
                <w:rFonts w:eastAsia="Calibri"/>
                <w:sz w:val="20"/>
                <w:lang w:val="fr-CA"/>
              </w:rPr>
            </w:pPr>
            <w:r w:rsidRPr="002832A9">
              <w:rPr>
                <w:rFonts w:eastAsia="Calibri"/>
                <w:sz w:val="20"/>
                <w:lang w:val="fr-CA"/>
              </w:rPr>
              <w:t xml:space="preserve">Demande d’autorisation d’appel déposée </w:t>
            </w:r>
          </w:p>
        </w:tc>
      </w:tr>
    </w:tbl>
    <w:p w:rsidR="002A46DC" w:rsidRDefault="002A46DC" w:rsidP="002A46DC">
      <w:pPr>
        <w:rPr>
          <w:sz w:val="20"/>
          <w:szCs w:val="20"/>
        </w:rPr>
      </w:pPr>
    </w:p>
    <w:p w:rsidR="002A46DC" w:rsidRDefault="00EB0F11" w:rsidP="002A46DC">
      <w:pPr>
        <w:rPr>
          <w:sz w:val="20"/>
          <w:szCs w:val="20"/>
        </w:rPr>
      </w:pPr>
      <w:r>
        <w:rPr>
          <w:sz w:val="20"/>
          <w:szCs w:val="20"/>
          <w:lang w:val="fr-CA"/>
        </w:rPr>
        <w:pict>
          <v:rect id="_x0000_i1068" style="width:2in;height:1pt" o:hrpct="0" o:hralign="center" o:hrstd="t" o:hrnoshade="t" o:hr="t" fillcolor="black [3213]" stroked="f"/>
        </w:pict>
      </w:r>
    </w:p>
    <w:p w:rsidR="002A46DC" w:rsidRDefault="002A46DC" w:rsidP="002A46DC">
      <w:pPr>
        <w:rPr>
          <w:sz w:val="20"/>
          <w:szCs w:val="20"/>
        </w:rPr>
      </w:pPr>
    </w:p>
    <w:tbl>
      <w:tblPr>
        <w:tblStyle w:val="TableGrid1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F0143" w:rsidRPr="000F0143" w:rsidTr="002B62A3">
        <w:trPr>
          <w:cantSplit/>
        </w:trPr>
        <w:tc>
          <w:tcPr>
            <w:tcW w:w="1458" w:type="dxa"/>
          </w:tcPr>
          <w:p w:rsidR="000F0143" w:rsidRPr="000F0143" w:rsidRDefault="000F0143" w:rsidP="000F0143">
            <w:pPr>
              <w:rPr>
                <w:sz w:val="20"/>
              </w:rPr>
            </w:pPr>
            <w:r w:rsidRPr="000F0143">
              <w:rPr>
                <w:b/>
                <w:sz w:val="20"/>
                <w:lang w:val="fr-CA"/>
              </w:rPr>
              <w:t>35650</w:t>
            </w:r>
          </w:p>
          <w:p w:rsidR="000F0143" w:rsidRPr="000F0143" w:rsidRDefault="000F0143" w:rsidP="000F0143">
            <w:pPr>
              <w:rPr>
                <w:b/>
                <w:sz w:val="20"/>
                <w:lang w:val="fr-CA"/>
              </w:rPr>
            </w:pPr>
          </w:p>
        </w:tc>
        <w:tc>
          <w:tcPr>
            <w:tcW w:w="8118" w:type="dxa"/>
          </w:tcPr>
          <w:p w:rsidR="000F0143" w:rsidRPr="000F0143" w:rsidRDefault="000F0143" w:rsidP="000F0143">
            <w:pPr>
              <w:jc w:val="both"/>
              <w:rPr>
                <w:sz w:val="20"/>
              </w:rPr>
            </w:pPr>
            <w:r w:rsidRPr="000F0143">
              <w:rPr>
                <w:b/>
                <w:sz w:val="20"/>
                <w:u w:val="single"/>
              </w:rPr>
              <w:t>Vlasta Stubicar v. Deputy Prime Minister</w:t>
            </w:r>
            <w:r w:rsidR="000039CF">
              <w:rPr>
                <w:b/>
                <w:sz w:val="20"/>
                <w:u w:val="single"/>
              </w:rPr>
              <w:t xml:space="preserve"> and</w:t>
            </w:r>
            <w:r w:rsidRPr="000F0143">
              <w:rPr>
                <w:b/>
                <w:sz w:val="20"/>
                <w:u w:val="single"/>
              </w:rPr>
              <w:t xml:space="preserve"> Minister of Public Safety and Emergency Preparedness</w:t>
            </w:r>
            <w:r w:rsidRPr="000F0143">
              <w:rPr>
                <w:sz w:val="20"/>
              </w:rPr>
              <w:t xml:space="preserve"> (F.C.) (Civil) (By Leave)</w:t>
            </w:r>
          </w:p>
          <w:p w:rsidR="000F0143" w:rsidRPr="000F0143" w:rsidRDefault="000F0143" w:rsidP="000F0143">
            <w:pPr>
              <w:jc w:val="both"/>
              <w:rPr>
                <w:sz w:val="20"/>
              </w:rPr>
            </w:pPr>
          </w:p>
        </w:tc>
      </w:tr>
      <w:tr w:rsidR="000F0143" w:rsidRPr="000F0143" w:rsidTr="002B62A3">
        <w:trPr>
          <w:cantSplit/>
        </w:trPr>
        <w:tc>
          <w:tcPr>
            <w:tcW w:w="1458" w:type="dxa"/>
          </w:tcPr>
          <w:p w:rsidR="000F0143" w:rsidRPr="000F0143" w:rsidRDefault="000F0143" w:rsidP="000F0143">
            <w:pPr>
              <w:rPr>
                <w:sz w:val="20"/>
              </w:rPr>
            </w:pPr>
            <w:r w:rsidRPr="000F0143">
              <w:rPr>
                <w:sz w:val="20"/>
              </w:rPr>
              <w:t>Coram :</w:t>
            </w:r>
          </w:p>
        </w:tc>
        <w:tc>
          <w:tcPr>
            <w:tcW w:w="8118" w:type="dxa"/>
          </w:tcPr>
          <w:p w:rsidR="000F0143" w:rsidRPr="000F0143" w:rsidRDefault="000F0143" w:rsidP="000F0143">
            <w:pPr>
              <w:rPr>
                <w:sz w:val="20"/>
              </w:rPr>
            </w:pPr>
            <w:r w:rsidRPr="000F0143">
              <w:rPr>
                <w:sz w:val="20"/>
                <w:u w:val="single"/>
              </w:rPr>
              <w:t>Abella, Rothstein and Moldaver JJ.</w:t>
            </w:r>
          </w:p>
          <w:p w:rsidR="000F0143" w:rsidRPr="000F0143" w:rsidRDefault="000F0143" w:rsidP="000F0143">
            <w:pPr>
              <w:rPr>
                <w:sz w:val="20"/>
                <w:u w:val="single"/>
              </w:rPr>
            </w:pPr>
          </w:p>
        </w:tc>
      </w:tr>
      <w:tr w:rsidR="000F0143" w:rsidRPr="00EB0F11" w:rsidTr="002B62A3">
        <w:trPr>
          <w:cantSplit/>
        </w:trPr>
        <w:tc>
          <w:tcPr>
            <w:tcW w:w="9576" w:type="dxa"/>
            <w:gridSpan w:val="2"/>
          </w:tcPr>
          <w:p w:rsidR="000F0143" w:rsidRPr="000F0143" w:rsidRDefault="000F0143" w:rsidP="000F0143">
            <w:pPr>
              <w:ind w:firstLine="720"/>
              <w:jc w:val="both"/>
              <w:rPr>
                <w:sz w:val="20"/>
              </w:rPr>
            </w:pPr>
            <w:r w:rsidRPr="000F0143">
              <w:rPr>
                <w:sz w:val="20"/>
              </w:rPr>
              <w:t>The motion to file supplementary materials is granted.  The application for leave to appeal from the judgments of the Federal Court of Appeal, Numbers A-454-12, A-482-12 and A-363-12, 2013 FCA 203, 2013 FCA 204 and 2013 FCA 205, dated October 10, 2013, and the motion for a stay are both dismissed with costs. The request for an order remanding the case to the Federal Court of Appeal is denied.</w:t>
            </w:r>
          </w:p>
          <w:p w:rsidR="000F0143" w:rsidRPr="000F0143" w:rsidRDefault="000F0143" w:rsidP="000F0143">
            <w:pPr>
              <w:jc w:val="both"/>
              <w:rPr>
                <w:sz w:val="20"/>
              </w:rPr>
            </w:pPr>
          </w:p>
          <w:p w:rsidR="000F0143" w:rsidRPr="000F0143" w:rsidRDefault="000F0143" w:rsidP="000F0143">
            <w:pPr>
              <w:ind w:firstLine="720"/>
              <w:jc w:val="both"/>
              <w:rPr>
                <w:sz w:val="20"/>
                <w:lang w:val="fr-CA"/>
              </w:rPr>
            </w:pPr>
            <w:r w:rsidRPr="000F0143">
              <w:rPr>
                <w:sz w:val="20"/>
                <w:lang w:val="fr-CA"/>
              </w:rPr>
              <w:t>La requête visant le dépôt de documents supplémentaires est accueillie.  La demande d’autorisation d’appel des arrêts de la Cour d’appel fédérale, numéros A-454-12, A-482-12 et A-363-12, 2013 CAF 203, 2013 CAF 204 et 2013 CAF 205, datés du 10 octobre 2013, et la requête pour un sursis sont toutes deux rejetées avec dépens.  La demande d’ordonnance renvoyant l’affaire à la Cour d’appel fédérale est refusée.</w:t>
            </w:r>
          </w:p>
        </w:tc>
      </w:tr>
    </w:tbl>
    <w:p w:rsidR="002A46DC" w:rsidRPr="0016547E" w:rsidRDefault="002A46DC" w:rsidP="002A46DC">
      <w:pPr>
        <w:rPr>
          <w:sz w:val="20"/>
          <w:szCs w:val="20"/>
          <w:lang w:val="fr-CA"/>
        </w:rPr>
      </w:pPr>
    </w:p>
    <w:p w:rsidR="002A46DC" w:rsidRPr="001B157C" w:rsidRDefault="002A46DC" w:rsidP="002A46DC">
      <w:pPr>
        <w:rPr>
          <w:sz w:val="20"/>
          <w:szCs w:val="20"/>
          <w:u w:val="single"/>
        </w:rPr>
      </w:pPr>
      <w:r w:rsidRPr="001B157C">
        <w:rPr>
          <w:sz w:val="20"/>
          <w:szCs w:val="20"/>
          <w:u w:val="single"/>
        </w:rPr>
        <w:t>CASE SUMMARY</w:t>
      </w:r>
    </w:p>
    <w:p w:rsidR="002A46DC" w:rsidRDefault="002A46DC" w:rsidP="002A46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36D8C" w:rsidRPr="002832A9" w:rsidTr="001C4AC6">
        <w:tc>
          <w:tcPr>
            <w:tcW w:w="5000" w:type="pct"/>
            <w:gridSpan w:val="3"/>
          </w:tcPr>
          <w:p w:rsidR="00536D8C" w:rsidRPr="002832A9" w:rsidRDefault="00536D8C" w:rsidP="001C4AC6">
            <w:pPr>
              <w:jc w:val="both"/>
              <w:rPr>
                <w:rFonts w:eastAsia="Calibri"/>
                <w:sz w:val="20"/>
              </w:rPr>
            </w:pPr>
            <w:r w:rsidRPr="002832A9">
              <w:rPr>
                <w:rFonts w:eastAsia="Calibri"/>
                <w:sz w:val="20"/>
              </w:rPr>
              <w:t>Civil procedure – Appeals – Review of decisions by Federal Court prothonotary – Appeals dismissed by Federal Court of Appeal, with costs – Whether the appeals should have been dismissed – Whether prothonotaries of the Federal Court properly considered to enjoy the same degree of independence as judges – Whether applicant properly ordered to pay costs.</w:t>
            </w:r>
          </w:p>
          <w:p w:rsidR="00536D8C" w:rsidRPr="002832A9" w:rsidRDefault="00536D8C" w:rsidP="001C4AC6">
            <w:pPr>
              <w:jc w:val="both"/>
              <w:rPr>
                <w:rFonts w:eastAsia="Calibri"/>
                <w:sz w:val="20"/>
              </w:rPr>
            </w:pPr>
          </w:p>
        </w:tc>
      </w:tr>
      <w:tr w:rsidR="00536D8C" w:rsidRPr="002832A9" w:rsidTr="001C4AC6">
        <w:tc>
          <w:tcPr>
            <w:tcW w:w="2427" w:type="pct"/>
          </w:tcPr>
          <w:p w:rsidR="00536D8C" w:rsidRPr="002832A9" w:rsidRDefault="00536D8C" w:rsidP="001C4AC6">
            <w:pPr>
              <w:jc w:val="both"/>
              <w:rPr>
                <w:rFonts w:eastAsia="Calibri"/>
                <w:b/>
                <w:sz w:val="20"/>
              </w:rPr>
            </w:pPr>
            <w:r w:rsidRPr="002832A9">
              <w:rPr>
                <w:rFonts w:eastAsia="Calibri"/>
                <w:b/>
                <w:sz w:val="20"/>
              </w:rPr>
              <w:t>First case</w:t>
            </w:r>
          </w:p>
        </w:tc>
        <w:tc>
          <w:tcPr>
            <w:tcW w:w="243" w:type="pct"/>
          </w:tcPr>
          <w:p w:rsidR="00536D8C" w:rsidRPr="002832A9" w:rsidRDefault="00536D8C" w:rsidP="001C4AC6">
            <w:pPr>
              <w:jc w:val="both"/>
              <w:rPr>
                <w:rFonts w:eastAsia="Calibri"/>
                <w:sz w:val="20"/>
              </w:rPr>
            </w:pPr>
          </w:p>
        </w:tc>
        <w:tc>
          <w:tcPr>
            <w:tcW w:w="2330" w:type="pct"/>
          </w:tcPr>
          <w:p w:rsidR="00536D8C" w:rsidRPr="002832A9" w:rsidRDefault="00536D8C" w:rsidP="001C4AC6">
            <w:pPr>
              <w:jc w:val="both"/>
              <w:rPr>
                <w:rFonts w:eastAsia="Calibri"/>
                <w:sz w:val="20"/>
              </w:rPr>
            </w:pPr>
          </w:p>
        </w:tc>
      </w:tr>
      <w:tr w:rsidR="00536D8C" w:rsidRPr="002832A9" w:rsidTr="001C4AC6">
        <w:tc>
          <w:tcPr>
            <w:tcW w:w="2427" w:type="pct"/>
          </w:tcPr>
          <w:p w:rsidR="00536D8C" w:rsidRPr="002832A9" w:rsidRDefault="00536D8C" w:rsidP="001C4AC6">
            <w:pPr>
              <w:jc w:val="both"/>
              <w:rPr>
                <w:rFonts w:eastAsia="Calibri"/>
                <w:sz w:val="20"/>
              </w:rPr>
            </w:pPr>
            <w:r w:rsidRPr="002832A9">
              <w:rPr>
                <w:rFonts w:eastAsia="Calibri"/>
                <w:sz w:val="20"/>
              </w:rPr>
              <w:t>October 18, 2012</w:t>
            </w:r>
          </w:p>
          <w:p w:rsidR="00536D8C" w:rsidRPr="002832A9" w:rsidRDefault="00536D8C" w:rsidP="001C4AC6">
            <w:pPr>
              <w:jc w:val="both"/>
              <w:rPr>
                <w:rFonts w:eastAsia="Calibri"/>
                <w:sz w:val="20"/>
              </w:rPr>
            </w:pPr>
            <w:r w:rsidRPr="002832A9">
              <w:rPr>
                <w:rFonts w:eastAsia="Calibri"/>
                <w:sz w:val="20"/>
              </w:rPr>
              <w:t xml:space="preserve">Federal Court </w:t>
            </w:r>
          </w:p>
          <w:p w:rsidR="00536D8C" w:rsidRPr="002832A9" w:rsidRDefault="00536D8C" w:rsidP="001C4AC6">
            <w:pPr>
              <w:jc w:val="both"/>
              <w:rPr>
                <w:rFonts w:eastAsia="Calibri"/>
                <w:sz w:val="20"/>
              </w:rPr>
            </w:pPr>
            <w:r w:rsidRPr="002832A9">
              <w:rPr>
                <w:rFonts w:eastAsia="Calibri"/>
                <w:sz w:val="20"/>
              </w:rPr>
              <w:t>(Tremblay-Lamer J.)</w:t>
            </w:r>
          </w:p>
          <w:p w:rsidR="00536D8C" w:rsidRPr="002832A9" w:rsidRDefault="00536D8C" w:rsidP="001C4AC6">
            <w:pPr>
              <w:jc w:val="both"/>
              <w:rPr>
                <w:rFonts w:eastAsia="Calibri"/>
                <w:sz w:val="20"/>
              </w:rPr>
            </w:pPr>
            <w:r w:rsidRPr="002832A9">
              <w:rPr>
                <w:rFonts w:eastAsia="Calibri"/>
                <w:sz w:val="20"/>
              </w:rPr>
              <w:t>T-618-12</w:t>
            </w:r>
          </w:p>
          <w:p w:rsidR="00536D8C" w:rsidRPr="002832A9" w:rsidRDefault="00536D8C" w:rsidP="001C4AC6">
            <w:pPr>
              <w:jc w:val="both"/>
              <w:rPr>
                <w:rFonts w:eastAsia="Calibri"/>
                <w:sz w:val="20"/>
              </w:rPr>
            </w:pPr>
          </w:p>
        </w:tc>
        <w:tc>
          <w:tcPr>
            <w:tcW w:w="243" w:type="pct"/>
          </w:tcPr>
          <w:p w:rsidR="00536D8C" w:rsidRPr="002832A9" w:rsidRDefault="00536D8C" w:rsidP="001C4AC6">
            <w:pPr>
              <w:jc w:val="both"/>
              <w:rPr>
                <w:rFonts w:eastAsia="Calibri"/>
                <w:sz w:val="20"/>
              </w:rPr>
            </w:pPr>
          </w:p>
        </w:tc>
        <w:tc>
          <w:tcPr>
            <w:tcW w:w="2330" w:type="pct"/>
          </w:tcPr>
          <w:p w:rsidR="00536D8C" w:rsidRPr="002832A9" w:rsidRDefault="00536D8C" w:rsidP="001C4AC6">
            <w:pPr>
              <w:jc w:val="both"/>
              <w:rPr>
                <w:rFonts w:eastAsia="Calibri"/>
                <w:sz w:val="20"/>
              </w:rPr>
            </w:pPr>
            <w:r w:rsidRPr="002832A9">
              <w:rPr>
                <w:rFonts w:eastAsia="Calibri"/>
                <w:sz w:val="20"/>
              </w:rPr>
              <w:t>Appeal from a decision of the prothonotary not to recuse herself dismissed with costs on a solicitor and client scale payable forthwith</w:t>
            </w:r>
          </w:p>
        </w:tc>
      </w:tr>
      <w:tr w:rsidR="00536D8C" w:rsidRPr="002832A9" w:rsidTr="001C4AC6">
        <w:tc>
          <w:tcPr>
            <w:tcW w:w="2427" w:type="pct"/>
          </w:tcPr>
          <w:p w:rsidR="00536D8C" w:rsidRPr="002832A9" w:rsidRDefault="00536D8C" w:rsidP="001C4AC6">
            <w:pPr>
              <w:jc w:val="both"/>
              <w:rPr>
                <w:rFonts w:eastAsia="Calibri"/>
                <w:sz w:val="20"/>
              </w:rPr>
            </w:pPr>
            <w:r w:rsidRPr="002832A9">
              <w:rPr>
                <w:rFonts w:eastAsia="Calibri"/>
                <w:sz w:val="20"/>
              </w:rPr>
              <w:t>October 10, 2013</w:t>
            </w:r>
          </w:p>
          <w:p w:rsidR="00536D8C" w:rsidRPr="002832A9" w:rsidRDefault="00536D8C" w:rsidP="001C4AC6">
            <w:pPr>
              <w:jc w:val="both"/>
              <w:rPr>
                <w:rFonts w:eastAsia="Calibri"/>
                <w:sz w:val="20"/>
              </w:rPr>
            </w:pPr>
            <w:r w:rsidRPr="002832A9">
              <w:rPr>
                <w:rFonts w:eastAsia="Calibri"/>
                <w:sz w:val="20"/>
              </w:rPr>
              <w:t>Federal Court of Appeal</w:t>
            </w:r>
          </w:p>
          <w:p w:rsidR="00536D8C" w:rsidRPr="002832A9" w:rsidRDefault="00536D8C" w:rsidP="001C4AC6">
            <w:pPr>
              <w:jc w:val="both"/>
              <w:rPr>
                <w:rFonts w:eastAsia="Calibri"/>
                <w:sz w:val="20"/>
              </w:rPr>
            </w:pPr>
            <w:r w:rsidRPr="002832A9">
              <w:rPr>
                <w:rFonts w:eastAsia="Calibri"/>
                <w:sz w:val="20"/>
              </w:rPr>
              <w:t>(Nadon, Gauthier and Webb JJ.A.)</w:t>
            </w:r>
          </w:p>
          <w:p w:rsidR="00536D8C" w:rsidRPr="002832A9" w:rsidRDefault="00EB0F11" w:rsidP="001C4AC6">
            <w:pPr>
              <w:jc w:val="both"/>
              <w:rPr>
                <w:rFonts w:eastAsia="Calibri"/>
                <w:sz w:val="20"/>
              </w:rPr>
            </w:pPr>
            <w:hyperlink r:id="rId70" w:history="1">
              <w:r w:rsidR="00536D8C" w:rsidRPr="002832A9">
                <w:rPr>
                  <w:rFonts w:eastAsia="Calibri"/>
                  <w:color w:val="0000FF"/>
                  <w:sz w:val="20"/>
                  <w:u w:val="single"/>
                </w:rPr>
                <w:t>2013 FCA 203</w:t>
              </w:r>
            </w:hyperlink>
            <w:r w:rsidR="00536D8C" w:rsidRPr="002832A9">
              <w:rPr>
                <w:rFonts w:eastAsia="Calibri"/>
                <w:sz w:val="20"/>
              </w:rPr>
              <w:t>; A-454-12</w:t>
            </w:r>
          </w:p>
          <w:p w:rsidR="00536D8C" w:rsidRPr="002832A9" w:rsidRDefault="00536D8C" w:rsidP="001C4AC6">
            <w:pPr>
              <w:jc w:val="both"/>
              <w:rPr>
                <w:rFonts w:eastAsia="Calibri"/>
                <w:sz w:val="20"/>
              </w:rPr>
            </w:pPr>
          </w:p>
        </w:tc>
        <w:tc>
          <w:tcPr>
            <w:tcW w:w="243" w:type="pct"/>
          </w:tcPr>
          <w:p w:rsidR="00536D8C" w:rsidRPr="002832A9" w:rsidRDefault="00536D8C" w:rsidP="001C4AC6">
            <w:pPr>
              <w:jc w:val="both"/>
              <w:rPr>
                <w:rFonts w:eastAsia="Calibri"/>
                <w:sz w:val="20"/>
              </w:rPr>
            </w:pPr>
          </w:p>
        </w:tc>
        <w:tc>
          <w:tcPr>
            <w:tcW w:w="2330" w:type="pct"/>
          </w:tcPr>
          <w:p w:rsidR="00536D8C" w:rsidRPr="002832A9" w:rsidRDefault="00536D8C" w:rsidP="001C4AC6">
            <w:pPr>
              <w:jc w:val="both"/>
              <w:rPr>
                <w:rFonts w:eastAsia="Calibri"/>
                <w:sz w:val="20"/>
              </w:rPr>
            </w:pPr>
            <w:r w:rsidRPr="002832A9">
              <w:rPr>
                <w:rFonts w:eastAsia="Calibri"/>
                <w:sz w:val="20"/>
              </w:rPr>
              <w:t>Appeal dismissed with costs in the sum of $2,000.00</w:t>
            </w:r>
          </w:p>
        </w:tc>
      </w:tr>
      <w:tr w:rsidR="00536D8C" w:rsidRPr="002832A9" w:rsidTr="001C4AC6">
        <w:tc>
          <w:tcPr>
            <w:tcW w:w="2427" w:type="pct"/>
          </w:tcPr>
          <w:p w:rsidR="00536D8C" w:rsidRPr="002832A9" w:rsidRDefault="00536D8C" w:rsidP="001C4AC6">
            <w:pPr>
              <w:jc w:val="both"/>
              <w:rPr>
                <w:rFonts w:eastAsia="Calibri"/>
                <w:b/>
                <w:sz w:val="20"/>
              </w:rPr>
            </w:pPr>
            <w:r w:rsidRPr="002832A9">
              <w:rPr>
                <w:rFonts w:eastAsia="Calibri"/>
                <w:b/>
                <w:sz w:val="20"/>
              </w:rPr>
              <w:t>Second case</w:t>
            </w:r>
          </w:p>
        </w:tc>
        <w:tc>
          <w:tcPr>
            <w:tcW w:w="243" w:type="pct"/>
          </w:tcPr>
          <w:p w:rsidR="00536D8C" w:rsidRPr="002832A9" w:rsidRDefault="00536D8C" w:rsidP="001C4AC6">
            <w:pPr>
              <w:jc w:val="both"/>
              <w:rPr>
                <w:rFonts w:eastAsia="Calibri"/>
                <w:sz w:val="20"/>
              </w:rPr>
            </w:pPr>
          </w:p>
        </w:tc>
        <w:tc>
          <w:tcPr>
            <w:tcW w:w="2330" w:type="pct"/>
          </w:tcPr>
          <w:p w:rsidR="00536D8C" w:rsidRPr="002832A9" w:rsidRDefault="00536D8C" w:rsidP="001C4AC6">
            <w:pPr>
              <w:jc w:val="both"/>
              <w:rPr>
                <w:rFonts w:eastAsia="Calibri"/>
                <w:sz w:val="20"/>
              </w:rPr>
            </w:pPr>
          </w:p>
        </w:tc>
      </w:tr>
      <w:tr w:rsidR="00536D8C" w:rsidRPr="002832A9" w:rsidTr="001C4AC6">
        <w:tc>
          <w:tcPr>
            <w:tcW w:w="2427" w:type="pct"/>
          </w:tcPr>
          <w:p w:rsidR="00536D8C" w:rsidRPr="002832A9" w:rsidRDefault="00536D8C" w:rsidP="001C4AC6">
            <w:pPr>
              <w:jc w:val="both"/>
              <w:rPr>
                <w:rFonts w:eastAsia="Calibri"/>
                <w:sz w:val="20"/>
              </w:rPr>
            </w:pPr>
            <w:r w:rsidRPr="002832A9">
              <w:rPr>
                <w:rFonts w:eastAsia="Calibri"/>
                <w:sz w:val="20"/>
              </w:rPr>
              <w:t>November 6, 2012</w:t>
            </w:r>
          </w:p>
          <w:p w:rsidR="00536D8C" w:rsidRPr="002832A9" w:rsidRDefault="00536D8C" w:rsidP="001C4AC6">
            <w:pPr>
              <w:jc w:val="both"/>
              <w:rPr>
                <w:rFonts w:eastAsia="Calibri"/>
                <w:sz w:val="20"/>
              </w:rPr>
            </w:pPr>
            <w:r w:rsidRPr="002832A9">
              <w:rPr>
                <w:rFonts w:eastAsia="Calibri"/>
                <w:sz w:val="20"/>
              </w:rPr>
              <w:t>Federal Court</w:t>
            </w:r>
          </w:p>
          <w:p w:rsidR="00536D8C" w:rsidRPr="002832A9" w:rsidRDefault="00536D8C" w:rsidP="001C4AC6">
            <w:pPr>
              <w:jc w:val="both"/>
              <w:rPr>
                <w:rFonts w:eastAsia="Calibri"/>
                <w:sz w:val="20"/>
              </w:rPr>
            </w:pPr>
            <w:r w:rsidRPr="002832A9">
              <w:rPr>
                <w:rFonts w:eastAsia="Calibri"/>
                <w:sz w:val="20"/>
              </w:rPr>
              <w:t>(Tremblay-Lamer J.)</w:t>
            </w:r>
          </w:p>
          <w:p w:rsidR="00536D8C" w:rsidRPr="002832A9" w:rsidRDefault="00536D8C" w:rsidP="001C4AC6">
            <w:pPr>
              <w:jc w:val="both"/>
              <w:rPr>
                <w:rFonts w:eastAsia="Calibri"/>
                <w:sz w:val="20"/>
              </w:rPr>
            </w:pPr>
            <w:r w:rsidRPr="002832A9">
              <w:rPr>
                <w:rFonts w:eastAsia="Calibri"/>
                <w:sz w:val="20"/>
              </w:rPr>
              <w:t>T-618-12</w:t>
            </w:r>
          </w:p>
          <w:p w:rsidR="00536D8C" w:rsidRPr="002832A9" w:rsidRDefault="00536D8C" w:rsidP="001C4AC6">
            <w:pPr>
              <w:jc w:val="both"/>
              <w:rPr>
                <w:rFonts w:eastAsia="Calibri"/>
                <w:sz w:val="20"/>
              </w:rPr>
            </w:pPr>
          </w:p>
        </w:tc>
        <w:tc>
          <w:tcPr>
            <w:tcW w:w="243" w:type="pct"/>
          </w:tcPr>
          <w:p w:rsidR="00536D8C" w:rsidRPr="002832A9" w:rsidRDefault="00536D8C" w:rsidP="001C4AC6">
            <w:pPr>
              <w:jc w:val="both"/>
              <w:rPr>
                <w:rFonts w:eastAsia="Calibri"/>
                <w:sz w:val="20"/>
              </w:rPr>
            </w:pPr>
          </w:p>
        </w:tc>
        <w:tc>
          <w:tcPr>
            <w:tcW w:w="2330" w:type="pct"/>
          </w:tcPr>
          <w:p w:rsidR="00536D8C" w:rsidRPr="002832A9" w:rsidRDefault="00536D8C" w:rsidP="001C4AC6">
            <w:pPr>
              <w:jc w:val="both"/>
              <w:rPr>
                <w:rFonts w:eastAsia="Calibri"/>
                <w:sz w:val="20"/>
              </w:rPr>
            </w:pPr>
            <w:r w:rsidRPr="002832A9">
              <w:rPr>
                <w:rFonts w:eastAsia="Calibri"/>
                <w:sz w:val="20"/>
              </w:rPr>
              <w:t>Motion to have the substance of a Direction set out as a formal Order dismissed without costs</w:t>
            </w:r>
          </w:p>
        </w:tc>
      </w:tr>
      <w:tr w:rsidR="00536D8C" w:rsidRPr="002832A9" w:rsidTr="001C4AC6">
        <w:tc>
          <w:tcPr>
            <w:tcW w:w="2427" w:type="pct"/>
          </w:tcPr>
          <w:p w:rsidR="00536D8C" w:rsidRPr="002832A9" w:rsidRDefault="00536D8C" w:rsidP="001C4AC6">
            <w:pPr>
              <w:jc w:val="both"/>
              <w:rPr>
                <w:rFonts w:eastAsia="Calibri"/>
                <w:sz w:val="20"/>
              </w:rPr>
            </w:pPr>
            <w:r w:rsidRPr="002832A9">
              <w:rPr>
                <w:rFonts w:eastAsia="Calibri"/>
                <w:sz w:val="20"/>
              </w:rPr>
              <w:t>October 10, 2013</w:t>
            </w:r>
          </w:p>
          <w:p w:rsidR="00536D8C" w:rsidRPr="002832A9" w:rsidRDefault="00536D8C" w:rsidP="001C4AC6">
            <w:pPr>
              <w:jc w:val="both"/>
              <w:rPr>
                <w:rFonts w:eastAsia="Calibri"/>
                <w:sz w:val="20"/>
              </w:rPr>
            </w:pPr>
            <w:r w:rsidRPr="002832A9">
              <w:rPr>
                <w:rFonts w:eastAsia="Calibri"/>
                <w:sz w:val="20"/>
              </w:rPr>
              <w:t>Federal Court of Appeal</w:t>
            </w:r>
          </w:p>
          <w:p w:rsidR="00536D8C" w:rsidRPr="002832A9" w:rsidRDefault="00536D8C" w:rsidP="001C4AC6">
            <w:pPr>
              <w:jc w:val="both"/>
              <w:rPr>
                <w:rFonts w:eastAsia="Calibri"/>
                <w:sz w:val="20"/>
              </w:rPr>
            </w:pPr>
            <w:r w:rsidRPr="002832A9">
              <w:rPr>
                <w:rFonts w:eastAsia="Calibri"/>
                <w:sz w:val="20"/>
              </w:rPr>
              <w:t>(Nadon, Gauthier and Webb JJ.A.)</w:t>
            </w:r>
          </w:p>
          <w:p w:rsidR="00536D8C" w:rsidRPr="002832A9" w:rsidRDefault="00EB0F11" w:rsidP="001C4AC6">
            <w:pPr>
              <w:jc w:val="both"/>
              <w:rPr>
                <w:rFonts w:eastAsia="Calibri"/>
                <w:sz w:val="20"/>
              </w:rPr>
            </w:pPr>
            <w:hyperlink r:id="rId71" w:history="1">
              <w:r w:rsidR="00536D8C" w:rsidRPr="002832A9">
                <w:rPr>
                  <w:rFonts w:eastAsia="Calibri"/>
                  <w:color w:val="0000FF"/>
                  <w:sz w:val="20"/>
                  <w:u w:val="single"/>
                </w:rPr>
                <w:t>2013 FCA 204</w:t>
              </w:r>
            </w:hyperlink>
            <w:r w:rsidR="00536D8C" w:rsidRPr="002832A9">
              <w:rPr>
                <w:rFonts w:eastAsia="Calibri"/>
                <w:sz w:val="20"/>
              </w:rPr>
              <w:t>; A-482-12</w:t>
            </w:r>
          </w:p>
          <w:p w:rsidR="00536D8C" w:rsidRPr="002832A9" w:rsidRDefault="00536D8C" w:rsidP="001C4AC6">
            <w:pPr>
              <w:jc w:val="both"/>
              <w:rPr>
                <w:rFonts w:eastAsia="Calibri"/>
                <w:sz w:val="20"/>
              </w:rPr>
            </w:pPr>
          </w:p>
        </w:tc>
        <w:tc>
          <w:tcPr>
            <w:tcW w:w="243" w:type="pct"/>
          </w:tcPr>
          <w:p w:rsidR="00536D8C" w:rsidRPr="002832A9" w:rsidRDefault="00536D8C" w:rsidP="001C4AC6">
            <w:pPr>
              <w:jc w:val="both"/>
              <w:rPr>
                <w:rFonts w:eastAsia="Calibri"/>
                <w:sz w:val="20"/>
              </w:rPr>
            </w:pPr>
          </w:p>
        </w:tc>
        <w:tc>
          <w:tcPr>
            <w:tcW w:w="2330" w:type="pct"/>
          </w:tcPr>
          <w:p w:rsidR="00536D8C" w:rsidRPr="002832A9" w:rsidRDefault="00536D8C" w:rsidP="001C4AC6">
            <w:pPr>
              <w:jc w:val="both"/>
              <w:rPr>
                <w:rFonts w:eastAsia="Calibri"/>
                <w:sz w:val="20"/>
              </w:rPr>
            </w:pPr>
            <w:r w:rsidRPr="002832A9">
              <w:rPr>
                <w:rFonts w:eastAsia="Calibri"/>
                <w:sz w:val="20"/>
              </w:rPr>
              <w:t>Appeal dismissed with costs</w:t>
            </w:r>
          </w:p>
        </w:tc>
      </w:tr>
      <w:tr w:rsidR="00536D8C" w:rsidRPr="002832A9" w:rsidTr="001C4AC6">
        <w:tc>
          <w:tcPr>
            <w:tcW w:w="2427" w:type="pct"/>
          </w:tcPr>
          <w:p w:rsidR="00536D8C" w:rsidRPr="002832A9" w:rsidRDefault="00536D8C" w:rsidP="001C4AC6">
            <w:pPr>
              <w:jc w:val="both"/>
              <w:rPr>
                <w:rFonts w:eastAsia="Calibri"/>
                <w:b/>
                <w:sz w:val="20"/>
              </w:rPr>
            </w:pPr>
            <w:r w:rsidRPr="002832A9">
              <w:rPr>
                <w:rFonts w:eastAsia="Calibri"/>
                <w:b/>
                <w:sz w:val="20"/>
              </w:rPr>
              <w:t>Third case</w:t>
            </w:r>
          </w:p>
        </w:tc>
        <w:tc>
          <w:tcPr>
            <w:tcW w:w="243" w:type="pct"/>
          </w:tcPr>
          <w:p w:rsidR="00536D8C" w:rsidRPr="002832A9" w:rsidRDefault="00536D8C" w:rsidP="001C4AC6">
            <w:pPr>
              <w:jc w:val="both"/>
              <w:rPr>
                <w:rFonts w:eastAsia="Calibri"/>
                <w:sz w:val="20"/>
              </w:rPr>
            </w:pPr>
          </w:p>
        </w:tc>
        <w:tc>
          <w:tcPr>
            <w:tcW w:w="2330" w:type="pct"/>
          </w:tcPr>
          <w:p w:rsidR="00536D8C" w:rsidRPr="002832A9" w:rsidRDefault="00536D8C" w:rsidP="001C4AC6">
            <w:pPr>
              <w:jc w:val="both"/>
              <w:rPr>
                <w:rFonts w:eastAsia="Calibri"/>
                <w:sz w:val="20"/>
              </w:rPr>
            </w:pPr>
          </w:p>
        </w:tc>
      </w:tr>
      <w:tr w:rsidR="00536D8C" w:rsidRPr="002832A9" w:rsidTr="001C4AC6">
        <w:tc>
          <w:tcPr>
            <w:tcW w:w="2427" w:type="pct"/>
          </w:tcPr>
          <w:p w:rsidR="00536D8C" w:rsidRPr="002832A9" w:rsidRDefault="00536D8C" w:rsidP="001C4AC6">
            <w:pPr>
              <w:jc w:val="both"/>
              <w:rPr>
                <w:rFonts w:eastAsia="Calibri"/>
                <w:sz w:val="20"/>
              </w:rPr>
            </w:pPr>
            <w:r w:rsidRPr="002832A9">
              <w:rPr>
                <w:rFonts w:eastAsia="Calibri"/>
                <w:sz w:val="20"/>
              </w:rPr>
              <w:t>August 2, 2013</w:t>
            </w:r>
          </w:p>
          <w:p w:rsidR="00536D8C" w:rsidRPr="002832A9" w:rsidRDefault="00536D8C" w:rsidP="001C4AC6">
            <w:pPr>
              <w:jc w:val="both"/>
              <w:rPr>
                <w:rFonts w:eastAsia="Calibri"/>
                <w:sz w:val="20"/>
              </w:rPr>
            </w:pPr>
            <w:r w:rsidRPr="002832A9">
              <w:rPr>
                <w:rFonts w:eastAsia="Calibri"/>
                <w:sz w:val="20"/>
              </w:rPr>
              <w:t xml:space="preserve">Federal Court </w:t>
            </w:r>
          </w:p>
          <w:p w:rsidR="00536D8C" w:rsidRPr="002832A9" w:rsidRDefault="00536D8C" w:rsidP="001C4AC6">
            <w:pPr>
              <w:jc w:val="both"/>
              <w:rPr>
                <w:rFonts w:eastAsia="Calibri"/>
                <w:sz w:val="20"/>
              </w:rPr>
            </w:pPr>
            <w:r w:rsidRPr="002832A9">
              <w:rPr>
                <w:rFonts w:eastAsia="Calibri"/>
                <w:sz w:val="20"/>
              </w:rPr>
              <w:t>(Tremblay-Lamer J.)</w:t>
            </w:r>
          </w:p>
          <w:p w:rsidR="00536D8C" w:rsidRPr="002832A9" w:rsidRDefault="00536D8C" w:rsidP="001C4AC6">
            <w:pPr>
              <w:jc w:val="both"/>
              <w:rPr>
                <w:rFonts w:eastAsia="Calibri"/>
                <w:sz w:val="20"/>
              </w:rPr>
            </w:pPr>
            <w:r w:rsidRPr="002832A9">
              <w:rPr>
                <w:rFonts w:eastAsia="Calibri"/>
                <w:sz w:val="20"/>
              </w:rPr>
              <w:t>T-19-12</w:t>
            </w:r>
          </w:p>
          <w:p w:rsidR="00536D8C" w:rsidRPr="002832A9" w:rsidRDefault="00536D8C" w:rsidP="001C4AC6">
            <w:pPr>
              <w:jc w:val="both"/>
              <w:rPr>
                <w:rFonts w:eastAsia="Calibri"/>
                <w:sz w:val="20"/>
              </w:rPr>
            </w:pPr>
          </w:p>
        </w:tc>
        <w:tc>
          <w:tcPr>
            <w:tcW w:w="243" w:type="pct"/>
          </w:tcPr>
          <w:p w:rsidR="00536D8C" w:rsidRPr="002832A9" w:rsidRDefault="00536D8C" w:rsidP="001C4AC6">
            <w:pPr>
              <w:jc w:val="both"/>
              <w:rPr>
                <w:rFonts w:eastAsia="Calibri"/>
                <w:sz w:val="20"/>
              </w:rPr>
            </w:pPr>
          </w:p>
        </w:tc>
        <w:tc>
          <w:tcPr>
            <w:tcW w:w="2330" w:type="pct"/>
          </w:tcPr>
          <w:p w:rsidR="00536D8C" w:rsidRPr="002832A9" w:rsidRDefault="00536D8C" w:rsidP="001C4AC6">
            <w:pPr>
              <w:jc w:val="both"/>
              <w:rPr>
                <w:rFonts w:eastAsia="Calibri"/>
                <w:sz w:val="20"/>
              </w:rPr>
            </w:pPr>
            <w:r w:rsidRPr="002832A9">
              <w:rPr>
                <w:rFonts w:eastAsia="Calibri"/>
                <w:sz w:val="20"/>
              </w:rPr>
              <w:t>Motion for an extension of time to file an appeal of a case management order of a prothonotary dismissed with costs payable forthwith</w:t>
            </w:r>
          </w:p>
        </w:tc>
      </w:tr>
      <w:tr w:rsidR="00536D8C" w:rsidRPr="002832A9" w:rsidTr="001C4AC6">
        <w:tc>
          <w:tcPr>
            <w:tcW w:w="2427" w:type="pct"/>
          </w:tcPr>
          <w:p w:rsidR="00536D8C" w:rsidRPr="002832A9" w:rsidRDefault="00536D8C" w:rsidP="001C4AC6">
            <w:pPr>
              <w:jc w:val="both"/>
              <w:rPr>
                <w:rFonts w:eastAsia="Calibri"/>
                <w:sz w:val="20"/>
              </w:rPr>
            </w:pPr>
            <w:r w:rsidRPr="002832A9">
              <w:rPr>
                <w:rFonts w:eastAsia="Calibri"/>
                <w:sz w:val="20"/>
              </w:rPr>
              <w:t>October 10, 2013</w:t>
            </w:r>
          </w:p>
          <w:p w:rsidR="00536D8C" w:rsidRPr="002832A9" w:rsidRDefault="00536D8C" w:rsidP="001C4AC6">
            <w:pPr>
              <w:jc w:val="both"/>
              <w:rPr>
                <w:rFonts w:eastAsia="Calibri"/>
                <w:sz w:val="20"/>
              </w:rPr>
            </w:pPr>
            <w:r w:rsidRPr="002832A9">
              <w:rPr>
                <w:rFonts w:eastAsia="Calibri"/>
                <w:sz w:val="20"/>
              </w:rPr>
              <w:t>Federal Court of Appeal</w:t>
            </w:r>
          </w:p>
          <w:p w:rsidR="00536D8C" w:rsidRPr="002832A9" w:rsidRDefault="00536D8C" w:rsidP="001C4AC6">
            <w:pPr>
              <w:jc w:val="both"/>
              <w:rPr>
                <w:rFonts w:eastAsia="Calibri"/>
                <w:sz w:val="20"/>
              </w:rPr>
            </w:pPr>
            <w:r w:rsidRPr="002832A9">
              <w:rPr>
                <w:rFonts w:eastAsia="Calibri"/>
                <w:sz w:val="20"/>
              </w:rPr>
              <w:t>(Nadon, Gauthier and Webb JJ.A.)</w:t>
            </w:r>
          </w:p>
          <w:p w:rsidR="00536D8C" w:rsidRPr="002832A9" w:rsidRDefault="00EB0F11" w:rsidP="001C4AC6">
            <w:pPr>
              <w:jc w:val="both"/>
              <w:rPr>
                <w:rFonts w:eastAsia="Calibri"/>
                <w:sz w:val="20"/>
              </w:rPr>
            </w:pPr>
            <w:hyperlink r:id="rId72" w:history="1">
              <w:r w:rsidR="00536D8C" w:rsidRPr="002832A9">
                <w:rPr>
                  <w:rFonts w:eastAsia="Calibri"/>
                  <w:color w:val="0000FF"/>
                  <w:sz w:val="20"/>
                  <w:u w:val="single"/>
                </w:rPr>
                <w:t>2013 FCA 205</w:t>
              </w:r>
            </w:hyperlink>
            <w:r w:rsidR="00536D8C" w:rsidRPr="002832A9">
              <w:rPr>
                <w:rFonts w:eastAsia="Calibri"/>
                <w:sz w:val="20"/>
              </w:rPr>
              <w:t>; A-363-12</w:t>
            </w:r>
          </w:p>
          <w:p w:rsidR="00536D8C" w:rsidRPr="002832A9" w:rsidRDefault="00536D8C" w:rsidP="001C4AC6">
            <w:pPr>
              <w:jc w:val="both"/>
              <w:rPr>
                <w:rFonts w:eastAsia="Calibri"/>
                <w:sz w:val="20"/>
              </w:rPr>
            </w:pPr>
          </w:p>
        </w:tc>
        <w:tc>
          <w:tcPr>
            <w:tcW w:w="243" w:type="pct"/>
          </w:tcPr>
          <w:p w:rsidR="00536D8C" w:rsidRPr="002832A9" w:rsidRDefault="00536D8C" w:rsidP="001C4AC6">
            <w:pPr>
              <w:jc w:val="both"/>
              <w:rPr>
                <w:rFonts w:eastAsia="Calibri"/>
                <w:sz w:val="20"/>
              </w:rPr>
            </w:pPr>
          </w:p>
        </w:tc>
        <w:tc>
          <w:tcPr>
            <w:tcW w:w="2330" w:type="pct"/>
          </w:tcPr>
          <w:p w:rsidR="00536D8C" w:rsidRPr="002832A9" w:rsidRDefault="00536D8C" w:rsidP="001C4AC6">
            <w:pPr>
              <w:jc w:val="both"/>
              <w:rPr>
                <w:rFonts w:eastAsia="Calibri"/>
                <w:sz w:val="20"/>
              </w:rPr>
            </w:pPr>
            <w:r w:rsidRPr="002832A9">
              <w:rPr>
                <w:rFonts w:eastAsia="Calibri"/>
                <w:sz w:val="20"/>
              </w:rPr>
              <w:t>Appeal dismissed with costs of $1,500.00</w:t>
            </w:r>
          </w:p>
        </w:tc>
      </w:tr>
      <w:tr w:rsidR="00536D8C" w:rsidRPr="002832A9" w:rsidTr="001C4AC6">
        <w:tc>
          <w:tcPr>
            <w:tcW w:w="2427" w:type="pct"/>
          </w:tcPr>
          <w:p w:rsidR="00536D8C" w:rsidRPr="002832A9" w:rsidRDefault="00536D8C" w:rsidP="001C4AC6">
            <w:pPr>
              <w:jc w:val="both"/>
              <w:rPr>
                <w:rFonts w:eastAsia="Calibri"/>
                <w:sz w:val="20"/>
              </w:rPr>
            </w:pPr>
            <w:r w:rsidRPr="002832A9">
              <w:rPr>
                <w:rFonts w:eastAsia="Calibri"/>
                <w:sz w:val="20"/>
              </w:rPr>
              <w:t>November 12, 2013</w:t>
            </w:r>
          </w:p>
          <w:p w:rsidR="00536D8C" w:rsidRPr="002832A9" w:rsidRDefault="00536D8C" w:rsidP="001C4AC6">
            <w:pPr>
              <w:jc w:val="both"/>
              <w:rPr>
                <w:rFonts w:eastAsia="Calibri"/>
                <w:sz w:val="20"/>
              </w:rPr>
            </w:pPr>
            <w:r w:rsidRPr="002832A9">
              <w:rPr>
                <w:rFonts w:eastAsia="Calibri"/>
                <w:sz w:val="20"/>
              </w:rPr>
              <w:t>Supreme Court of Canada</w:t>
            </w:r>
          </w:p>
        </w:tc>
        <w:tc>
          <w:tcPr>
            <w:tcW w:w="243" w:type="pct"/>
          </w:tcPr>
          <w:p w:rsidR="00536D8C" w:rsidRPr="002832A9" w:rsidRDefault="00536D8C" w:rsidP="001C4AC6">
            <w:pPr>
              <w:jc w:val="both"/>
              <w:rPr>
                <w:rFonts w:eastAsia="Calibri"/>
                <w:sz w:val="20"/>
              </w:rPr>
            </w:pPr>
          </w:p>
        </w:tc>
        <w:tc>
          <w:tcPr>
            <w:tcW w:w="2330" w:type="pct"/>
          </w:tcPr>
          <w:p w:rsidR="00536D8C" w:rsidRPr="002832A9" w:rsidRDefault="00536D8C" w:rsidP="001C4AC6">
            <w:pPr>
              <w:jc w:val="both"/>
              <w:rPr>
                <w:rFonts w:eastAsia="Calibri"/>
                <w:sz w:val="20"/>
              </w:rPr>
            </w:pPr>
            <w:r w:rsidRPr="002832A9">
              <w:rPr>
                <w:rFonts w:eastAsia="Calibri"/>
                <w:sz w:val="20"/>
              </w:rPr>
              <w:t>Joint application for leave to appeal filed</w:t>
            </w:r>
          </w:p>
        </w:tc>
      </w:tr>
    </w:tbl>
    <w:p w:rsidR="002A46DC" w:rsidRDefault="002A46DC" w:rsidP="002A46DC">
      <w:pPr>
        <w:rPr>
          <w:sz w:val="20"/>
          <w:szCs w:val="20"/>
        </w:rPr>
      </w:pPr>
    </w:p>
    <w:p w:rsidR="002A46DC" w:rsidRPr="00C50A5C" w:rsidRDefault="00EB0F11" w:rsidP="002A46DC">
      <w:pPr>
        <w:rPr>
          <w:sz w:val="20"/>
          <w:szCs w:val="20"/>
        </w:rPr>
      </w:pPr>
      <w:r>
        <w:rPr>
          <w:sz w:val="20"/>
          <w:szCs w:val="20"/>
          <w:lang w:val="fr-CA"/>
        </w:rPr>
        <w:pict>
          <v:rect id="_x0000_i1069" style="width:2in;height:1pt" o:hrpct="0" o:hralign="center" o:hrstd="t" o:hrnoshade="t" o:hr="t" fillcolor="black [3213]" stroked="f"/>
        </w:pict>
      </w:r>
    </w:p>
    <w:p w:rsidR="002A46DC" w:rsidRDefault="002A46DC" w:rsidP="002A46DC">
      <w:pPr>
        <w:rPr>
          <w:sz w:val="20"/>
          <w:szCs w:val="20"/>
        </w:rPr>
      </w:pPr>
    </w:p>
    <w:p w:rsidR="002A46DC" w:rsidRPr="001B157C" w:rsidRDefault="002A46DC" w:rsidP="002A46DC">
      <w:pPr>
        <w:rPr>
          <w:sz w:val="20"/>
          <w:szCs w:val="20"/>
          <w:u w:val="single"/>
          <w:lang w:val="fr-CA"/>
        </w:rPr>
      </w:pPr>
      <w:r w:rsidRPr="001B157C">
        <w:rPr>
          <w:sz w:val="20"/>
          <w:szCs w:val="20"/>
          <w:u w:val="single"/>
          <w:lang w:val="fr-CA"/>
        </w:rPr>
        <w:lastRenderedPageBreak/>
        <w:t>RÉSUMÉ DE L’AFFAIRE</w:t>
      </w:r>
    </w:p>
    <w:p w:rsidR="002A46DC" w:rsidRDefault="002A46DC" w:rsidP="002A46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536D8C" w:rsidRPr="00EB0F11" w:rsidTr="001C4AC6">
        <w:tc>
          <w:tcPr>
            <w:tcW w:w="5000" w:type="pct"/>
          </w:tcPr>
          <w:p w:rsidR="00536D8C" w:rsidRPr="002832A9" w:rsidRDefault="00536D8C" w:rsidP="001C4AC6">
            <w:pPr>
              <w:jc w:val="both"/>
              <w:rPr>
                <w:rFonts w:eastAsia="Calibri"/>
                <w:sz w:val="20"/>
                <w:lang w:val="fr-CA"/>
              </w:rPr>
            </w:pPr>
            <w:r w:rsidRPr="002832A9">
              <w:rPr>
                <w:rFonts w:eastAsia="Calibri"/>
                <w:sz w:val="20"/>
                <w:lang w:val="fr-CA"/>
              </w:rPr>
              <w:t xml:space="preserve">Procédure civile – Appels – Contrôle de la décision d’un protonotaire de la Cour fédérale – Appels rejetés avec dépens par la Cour d’appel fédérale – Y avait-il lieu de rejeter les appels? – Les protonotaires de la Cour fédérale ont-ils été considérés à bon droit comme ayant le même degré d’indépendance que les juges? – A-t-on condamné à juste titre la demanderesse aux dépens? </w:t>
            </w:r>
          </w:p>
          <w:p w:rsidR="00536D8C" w:rsidRPr="002832A9" w:rsidRDefault="00536D8C" w:rsidP="001C4AC6">
            <w:pPr>
              <w:jc w:val="both"/>
              <w:rPr>
                <w:rFonts w:eastAsia="Calibri"/>
                <w:sz w:val="20"/>
                <w:lang w:val="fr-CA"/>
              </w:rPr>
            </w:pPr>
          </w:p>
        </w:tc>
      </w:tr>
    </w:tbl>
    <w:p w:rsidR="000F0143" w:rsidRPr="002B62A3" w:rsidRDefault="000F0143">
      <w:pPr>
        <w:rPr>
          <w:lang w:val="fr-CA"/>
        </w:rPr>
      </w:pPr>
    </w:p>
    <w:p w:rsidR="000F0143" w:rsidRPr="002B62A3" w:rsidRDefault="000F0143">
      <w:pPr>
        <w:rPr>
          <w:lang w:val="fr-CA"/>
        </w:rPr>
      </w:pPr>
      <w:r w:rsidRPr="002B62A3">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36D8C" w:rsidRPr="002832A9" w:rsidTr="000F0143">
        <w:trPr>
          <w:cantSplit/>
        </w:trPr>
        <w:tc>
          <w:tcPr>
            <w:tcW w:w="2427" w:type="pct"/>
          </w:tcPr>
          <w:p w:rsidR="00536D8C" w:rsidRPr="002832A9" w:rsidRDefault="00536D8C" w:rsidP="001C4AC6">
            <w:pPr>
              <w:jc w:val="both"/>
              <w:rPr>
                <w:rFonts w:eastAsia="Calibri"/>
                <w:b/>
                <w:sz w:val="20"/>
              </w:rPr>
            </w:pPr>
            <w:r w:rsidRPr="002832A9">
              <w:rPr>
                <w:rFonts w:eastAsia="Calibri"/>
                <w:b/>
                <w:sz w:val="20"/>
              </w:rPr>
              <w:lastRenderedPageBreak/>
              <w:t>Premier dossier</w:t>
            </w:r>
          </w:p>
        </w:tc>
        <w:tc>
          <w:tcPr>
            <w:tcW w:w="243" w:type="pct"/>
          </w:tcPr>
          <w:p w:rsidR="00536D8C" w:rsidRPr="002832A9" w:rsidRDefault="00536D8C" w:rsidP="001C4AC6">
            <w:pPr>
              <w:jc w:val="both"/>
              <w:rPr>
                <w:rFonts w:eastAsia="Calibri"/>
                <w:sz w:val="20"/>
              </w:rPr>
            </w:pPr>
          </w:p>
        </w:tc>
        <w:tc>
          <w:tcPr>
            <w:tcW w:w="2330" w:type="pct"/>
          </w:tcPr>
          <w:p w:rsidR="00536D8C" w:rsidRPr="002832A9" w:rsidRDefault="00536D8C" w:rsidP="001C4AC6">
            <w:pPr>
              <w:jc w:val="both"/>
              <w:rPr>
                <w:rFonts w:eastAsia="Calibri"/>
                <w:sz w:val="20"/>
              </w:rPr>
            </w:pPr>
          </w:p>
        </w:tc>
      </w:tr>
      <w:tr w:rsidR="00536D8C" w:rsidRPr="00EB0F11" w:rsidTr="000F0143">
        <w:trPr>
          <w:cantSplit/>
        </w:trPr>
        <w:tc>
          <w:tcPr>
            <w:tcW w:w="2427" w:type="pct"/>
          </w:tcPr>
          <w:p w:rsidR="00536D8C" w:rsidRPr="002832A9" w:rsidRDefault="00536D8C" w:rsidP="001C4AC6">
            <w:pPr>
              <w:jc w:val="both"/>
              <w:rPr>
                <w:rFonts w:eastAsia="Calibri"/>
                <w:sz w:val="20"/>
                <w:lang w:val="fr-CA"/>
              </w:rPr>
            </w:pPr>
            <w:r w:rsidRPr="002832A9">
              <w:rPr>
                <w:rFonts w:eastAsia="Calibri"/>
                <w:sz w:val="20"/>
                <w:lang w:val="fr-CA"/>
              </w:rPr>
              <w:t>18 octobre 2012</w:t>
            </w:r>
          </w:p>
          <w:p w:rsidR="00536D8C" w:rsidRPr="002832A9" w:rsidRDefault="00536D8C" w:rsidP="001C4AC6">
            <w:pPr>
              <w:jc w:val="both"/>
              <w:rPr>
                <w:rFonts w:eastAsia="Calibri"/>
                <w:sz w:val="20"/>
                <w:lang w:val="fr-CA"/>
              </w:rPr>
            </w:pPr>
            <w:r w:rsidRPr="002832A9">
              <w:rPr>
                <w:rFonts w:eastAsia="Calibri"/>
                <w:sz w:val="20"/>
                <w:lang w:val="fr-CA"/>
              </w:rPr>
              <w:t>Cour fédérale</w:t>
            </w:r>
          </w:p>
          <w:p w:rsidR="00536D8C" w:rsidRPr="002832A9" w:rsidRDefault="00536D8C" w:rsidP="001C4AC6">
            <w:pPr>
              <w:jc w:val="both"/>
              <w:rPr>
                <w:rFonts w:eastAsia="Calibri"/>
                <w:sz w:val="20"/>
                <w:lang w:val="fr-CA"/>
              </w:rPr>
            </w:pPr>
            <w:r w:rsidRPr="002832A9">
              <w:rPr>
                <w:rFonts w:eastAsia="Calibri"/>
                <w:sz w:val="20"/>
                <w:lang w:val="fr-CA"/>
              </w:rPr>
              <w:t>(Juge Tremblay-Lamer)</w:t>
            </w:r>
          </w:p>
          <w:p w:rsidR="00536D8C" w:rsidRPr="002832A9" w:rsidRDefault="00536D8C" w:rsidP="001C4AC6">
            <w:pPr>
              <w:jc w:val="both"/>
              <w:rPr>
                <w:rFonts w:eastAsia="Calibri"/>
                <w:sz w:val="20"/>
              </w:rPr>
            </w:pPr>
            <w:r w:rsidRPr="002832A9">
              <w:rPr>
                <w:rFonts w:eastAsia="Calibri"/>
                <w:sz w:val="20"/>
              </w:rPr>
              <w:t>T-618-12</w:t>
            </w:r>
          </w:p>
          <w:p w:rsidR="00536D8C" w:rsidRPr="002832A9" w:rsidRDefault="00536D8C" w:rsidP="001C4AC6">
            <w:pPr>
              <w:jc w:val="both"/>
              <w:rPr>
                <w:rFonts w:eastAsia="Calibri"/>
                <w:sz w:val="20"/>
              </w:rPr>
            </w:pPr>
          </w:p>
        </w:tc>
        <w:tc>
          <w:tcPr>
            <w:tcW w:w="243" w:type="pct"/>
          </w:tcPr>
          <w:p w:rsidR="00536D8C" w:rsidRPr="002832A9" w:rsidRDefault="00536D8C" w:rsidP="001C4AC6">
            <w:pPr>
              <w:jc w:val="both"/>
              <w:rPr>
                <w:rFonts w:eastAsia="Calibri"/>
                <w:sz w:val="20"/>
              </w:rPr>
            </w:pPr>
          </w:p>
        </w:tc>
        <w:tc>
          <w:tcPr>
            <w:tcW w:w="2330" w:type="pct"/>
          </w:tcPr>
          <w:p w:rsidR="00536D8C" w:rsidRPr="002832A9" w:rsidRDefault="00536D8C" w:rsidP="001C4AC6">
            <w:pPr>
              <w:jc w:val="both"/>
              <w:rPr>
                <w:rFonts w:eastAsia="Calibri"/>
                <w:sz w:val="20"/>
                <w:lang w:val="fr-CA"/>
              </w:rPr>
            </w:pPr>
            <w:r w:rsidRPr="002832A9">
              <w:rPr>
                <w:rFonts w:eastAsia="Calibri"/>
                <w:sz w:val="20"/>
                <w:lang w:val="fr-CA"/>
              </w:rPr>
              <w:t>Appel du refus de la protonotaire de se récuser, rejeté avec dépens payables sans délai sur la base procureur-client</w:t>
            </w:r>
          </w:p>
        </w:tc>
      </w:tr>
      <w:tr w:rsidR="00536D8C" w:rsidRPr="00EB0F11" w:rsidTr="000F0143">
        <w:trPr>
          <w:cantSplit/>
        </w:trPr>
        <w:tc>
          <w:tcPr>
            <w:tcW w:w="2427" w:type="pct"/>
          </w:tcPr>
          <w:p w:rsidR="00536D8C" w:rsidRPr="002832A9" w:rsidRDefault="00536D8C" w:rsidP="001C4AC6">
            <w:pPr>
              <w:jc w:val="both"/>
              <w:rPr>
                <w:rFonts w:eastAsia="Calibri"/>
                <w:sz w:val="20"/>
                <w:lang w:val="fr-CA"/>
              </w:rPr>
            </w:pPr>
            <w:r w:rsidRPr="002832A9">
              <w:rPr>
                <w:rFonts w:eastAsia="Calibri"/>
                <w:sz w:val="20"/>
                <w:lang w:val="fr-CA"/>
              </w:rPr>
              <w:t>10 octobre 2013</w:t>
            </w:r>
          </w:p>
          <w:p w:rsidR="00536D8C" w:rsidRPr="002832A9" w:rsidRDefault="00536D8C" w:rsidP="001C4AC6">
            <w:pPr>
              <w:jc w:val="both"/>
              <w:rPr>
                <w:rFonts w:eastAsia="Calibri"/>
                <w:sz w:val="20"/>
                <w:lang w:val="fr-CA"/>
              </w:rPr>
            </w:pPr>
            <w:r w:rsidRPr="002832A9">
              <w:rPr>
                <w:rFonts w:eastAsia="Calibri"/>
                <w:sz w:val="20"/>
                <w:lang w:val="fr-CA"/>
              </w:rPr>
              <w:t>Cour d’appel fédérale</w:t>
            </w:r>
          </w:p>
          <w:p w:rsidR="00536D8C" w:rsidRPr="002832A9" w:rsidRDefault="00536D8C" w:rsidP="001C4AC6">
            <w:pPr>
              <w:jc w:val="both"/>
              <w:rPr>
                <w:rFonts w:eastAsia="Calibri"/>
                <w:sz w:val="20"/>
                <w:lang w:val="fr-CA"/>
              </w:rPr>
            </w:pPr>
            <w:r w:rsidRPr="002832A9">
              <w:rPr>
                <w:rFonts w:eastAsia="Calibri"/>
                <w:sz w:val="20"/>
                <w:lang w:val="fr-CA"/>
              </w:rPr>
              <w:t>(Juges Nadon, Gauthier et Webb)</w:t>
            </w:r>
          </w:p>
          <w:p w:rsidR="00536D8C" w:rsidRPr="002832A9" w:rsidRDefault="00EB0F11" w:rsidP="001C4AC6">
            <w:pPr>
              <w:jc w:val="both"/>
              <w:rPr>
                <w:rFonts w:eastAsia="Calibri"/>
                <w:sz w:val="20"/>
              </w:rPr>
            </w:pPr>
            <w:hyperlink r:id="rId73" w:history="1">
              <w:r w:rsidR="00536D8C" w:rsidRPr="002832A9">
                <w:rPr>
                  <w:rFonts w:eastAsia="Calibri"/>
                  <w:color w:val="0000FF"/>
                  <w:sz w:val="20"/>
                  <w:u w:val="single"/>
                </w:rPr>
                <w:t>2013 CAF 204</w:t>
              </w:r>
            </w:hyperlink>
            <w:r w:rsidR="00536D8C" w:rsidRPr="002832A9">
              <w:rPr>
                <w:rFonts w:eastAsia="Calibri"/>
                <w:sz w:val="20"/>
              </w:rPr>
              <w:t>; A-454-12</w:t>
            </w:r>
          </w:p>
          <w:p w:rsidR="00536D8C" w:rsidRPr="002832A9" w:rsidRDefault="00536D8C" w:rsidP="001C4AC6">
            <w:pPr>
              <w:jc w:val="both"/>
              <w:rPr>
                <w:rFonts w:eastAsia="Calibri"/>
                <w:sz w:val="20"/>
              </w:rPr>
            </w:pPr>
          </w:p>
        </w:tc>
        <w:tc>
          <w:tcPr>
            <w:tcW w:w="243" w:type="pct"/>
          </w:tcPr>
          <w:p w:rsidR="00536D8C" w:rsidRPr="002832A9" w:rsidRDefault="00536D8C" w:rsidP="001C4AC6">
            <w:pPr>
              <w:jc w:val="both"/>
              <w:rPr>
                <w:rFonts w:eastAsia="Calibri"/>
                <w:sz w:val="20"/>
              </w:rPr>
            </w:pPr>
          </w:p>
        </w:tc>
        <w:tc>
          <w:tcPr>
            <w:tcW w:w="2330" w:type="pct"/>
          </w:tcPr>
          <w:p w:rsidR="00536D8C" w:rsidRPr="002832A9" w:rsidRDefault="00536D8C" w:rsidP="001C4AC6">
            <w:pPr>
              <w:jc w:val="both"/>
              <w:rPr>
                <w:rFonts w:eastAsia="Calibri"/>
                <w:sz w:val="20"/>
                <w:lang w:val="fr-CA"/>
              </w:rPr>
            </w:pPr>
            <w:r w:rsidRPr="002832A9">
              <w:rPr>
                <w:rFonts w:eastAsia="Calibri"/>
                <w:sz w:val="20"/>
                <w:lang w:val="fr-CA"/>
              </w:rPr>
              <w:t>Appel rejeté avec dépens de 2 000 $</w:t>
            </w:r>
          </w:p>
        </w:tc>
      </w:tr>
      <w:tr w:rsidR="00536D8C" w:rsidRPr="002832A9" w:rsidTr="000F0143">
        <w:trPr>
          <w:cantSplit/>
        </w:trPr>
        <w:tc>
          <w:tcPr>
            <w:tcW w:w="2427" w:type="pct"/>
          </w:tcPr>
          <w:p w:rsidR="00536D8C" w:rsidRPr="002832A9" w:rsidRDefault="00536D8C" w:rsidP="001C4AC6">
            <w:pPr>
              <w:jc w:val="both"/>
              <w:rPr>
                <w:rFonts w:eastAsia="Calibri"/>
                <w:b/>
                <w:sz w:val="20"/>
              </w:rPr>
            </w:pPr>
            <w:r w:rsidRPr="002832A9">
              <w:rPr>
                <w:rFonts w:eastAsia="Calibri"/>
                <w:b/>
                <w:sz w:val="20"/>
              </w:rPr>
              <w:t xml:space="preserve">Deuxième dossier </w:t>
            </w:r>
          </w:p>
        </w:tc>
        <w:tc>
          <w:tcPr>
            <w:tcW w:w="243" w:type="pct"/>
          </w:tcPr>
          <w:p w:rsidR="00536D8C" w:rsidRPr="002832A9" w:rsidRDefault="00536D8C" w:rsidP="001C4AC6">
            <w:pPr>
              <w:jc w:val="both"/>
              <w:rPr>
                <w:rFonts w:eastAsia="Calibri"/>
                <w:sz w:val="20"/>
              </w:rPr>
            </w:pPr>
          </w:p>
        </w:tc>
        <w:tc>
          <w:tcPr>
            <w:tcW w:w="2330" w:type="pct"/>
          </w:tcPr>
          <w:p w:rsidR="00536D8C" w:rsidRPr="002832A9" w:rsidRDefault="00536D8C" w:rsidP="001C4AC6">
            <w:pPr>
              <w:jc w:val="both"/>
              <w:rPr>
                <w:rFonts w:eastAsia="Calibri"/>
                <w:sz w:val="20"/>
              </w:rPr>
            </w:pPr>
          </w:p>
        </w:tc>
      </w:tr>
      <w:tr w:rsidR="00536D8C" w:rsidRPr="00EB0F11" w:rsidTr="000F0143">
        <w:trPr>
          <w:cantSplit/>
        </w:trPr>
        <w:tc>
          <w:tcPr>
            <w:tcW w:w="2427" w:type="pct"/>
          </w:tcPr>
          <w:p w:rsidR="00536D8C" w:rsidRPr="002832A9" w:rsidRDefault="00536D8C" w:rsidP="001C4AC6">
            <w:pPr>
              <w:jc w:val="both"/>
              <w:rPr>
                <w:rFonts w:eastAsia="Calibri"/>
                <w:sz w:val="20"/>
                <w:lang w:val="fr-CA"/>
              </w:rPr>
            </w:pPr>
            <w:r w:rsidRPr="002832A9">
              <w:rPr>
                <w:rFonts w:eastAsia="Calibri"/>
                <w:sz w:val="20"/>
                <w:lang w:val="fr-CA"/>
              </w:rPr>
              <w:t>6 novembre 2012</w:t>
            </w:r>
          </w:p>
          <w:p w:rsidR="00536D8C" w:rsidRPr="002832A9" w:rsidRDefault="00536D8C" w:rsidP="001C4AC6">
            <w:pPr>
              <w:jc w:val="both"/>
              <w:rPr>
                <w:rFonts w:eastAsia="Calibri"/>
                <w:sz w:val="20"/>
                <w:lang w:val="fr-CA"/>
              </w:rPr>
            </w:pPr>
            <w:r w:rsidRPr="002832A9">
              <w:rPr>
                <w:rFonts w:eastAsia="Calibri"/>
                <w:sz w:val="20"/>
                <w:lang w:val="fr-CA"/>
              </w:rPr>
              <w:t>Cour fédérale</w:t>
            </w:r>
          </w:p>
          <w:p w:rsidR="00536D8C" w:rsidRPr="002832A9" w:rsidRDefault="00536D8C" w:rsidP="001C4AC6">
            <w:pPr>
              <w:jc w:val="both"/>
              <w:rPr>
                <w:rFonts w:eastAsia="Calibri"/>
                <w:sz w:val="20"/>
                <w:lang w:val="fr-CA"/>
              </w:rPr>
            </w:pPr>
            <w:r w:rsidRPr="002832A9">
              <w:rPr>
                <w:rFonts w:eastAsia="Calibri"/>
                <w:sz w:val="20"/>
                <w:lang w:val="fr-CA"/>
              </w:rPr>
              <w:t>(Tremblay-Lamer J.)</w:t>
            </w:r>
          </w:p>
          <w:p w:rsidR="00536D8C" w:rsidRPr="002832A9" w:rsidRDefault="00536D8C" w:rsidP="001C4AC6">
            <w:pPr>
              <w:jc w:val="both"/>
              <w:rPr>
                <w:rFonts w:eastAsia="Calibri"/>
                <w:sz w:val="20"/>
              </w:rPr>
            </w:pPr>
            <w:r w:rsidRPr="002832A9">
              <w:rPr>
                <w:rFonts w:eastAsia="Calibri"/>
                <w:sz w:val="20"/>
              </w:rPr>
              <w:t>T-618-12</w:t>
            </w:r>
          </w:p>
          <w:p w:rsidR="00536D8C" w:rsidRPr="002832A9" w:rsidRDefault="00536D8C" w:rsidP="001C4AC6">
            <w:pPr>
              <w:jc w:val="both"/>
              <w:rPr>
                <w:rFonts w:eastAsia="Calibri"/>
                <w:sz w:val="20"/>
              </w:rPr>
            </w:pPr>
          </w:p>
        </w:tc>
        <w:tc>
          <w:tcPr>
            <w:tcW w:w="243" w:type="pct"/>
          </w:tcPr>
          <w:p w:rsidR="00536D8C" w:rsidRPr="002832A9" w:rsidRDefault="00536D8C" w:rsidP="001C4AC6">
            <w:pPr>
              <w:jc w:val="both"/>
              <w:rPr>
                <w:rFonts w:eastAsia="Calibri"/>
                <w:sz w:val="20"/>
              </w:rPr>
            </w:pPr>
          </w:p>
        </w:tc>
        <w:tc>
          <w:tcPr>
            <w:tcW w:w="2330" w:type="pct"/>
          </w:tcPr>
          <w:p w:rsidR="00536D8C" w:rsidRPr="002832A9" w:rsidRDefault="00536D8C" w:rsidP="001C4AC6">
            <w:pPr>
              <w:jc w:val="both"/>
              <w:rPr>
                <w:rFonts w:eastAsia="Calibri"/>
                <w:sz w:val="20"/>
                <w:lang w:val="fr-CA"/>
              </w:rPr>
            </w:pPr>
            <w:r w:rsidRPr="002832A9">
              <w:rPr>
                <w:rFonts w:eastAsia="Calibri"/>
                <w:sz w:val="20"/>
                <w:lang w:val="fr-CA"/>
              </w:rPr>
              <w:t>Requête pour que le fond d’une directive fasse l’objet d’une ordonnance officielle, rejetée sans frais</w:t>
            </w:r>
          </w:p>
        </w:tc>
      </w:tr>
      <w:tr w:rsidR="00536D8C" w:rsidRPr="002832A9" w:rsidTr="000F0143">
        <w:trPr>
          <w:cantSplit/>
        </w:trPr>
        <w:tc>
          <w:tcPr>
            <w:tcW w:w="2427" w:type="pct"/>
          </w:tcPr>
          <w:p w:rsidR="00536D8C" w:rsidRPr="002832A9" w:rsidRDefault="00536D8C" w:rsidP="001C4AC6">
            <w:pPr>
              <w:jc w:val="both"/>
              <w:rPr>
                <w:rFonts w:eastAsia="Calibri"/>
                <w:sz w:val="20"/>
                <w:lang w:val="fr-CA"/>
              </w:rPr>
            </w:pPr>
            <w:r w:rsidRPr="002832A9">
              <w:rPr>
                <w:rFonts w:eastAsia="Calibri"/>
                <w:sz w:val="20"/>
                <w:lang w:val="fr-CA"/>
              </w:rPr>
              <w:t>10 octobre 2013</w:t>
            </w:r>
          </w:p>
          <w:p w:rsidR="00536D8C" w:rsidRPr="002832A9" w:rsidRDefault="00536D8C" w:rsidP="001C4AC6">
            <w:pPr>
              <w:jc w:val="both"/>
              <w:rPr>
                <w:rFonts w:eastAsia="Calibri"/>
                <w:sz w:val="20"/>
                <w:lang w:val="fr-CA"/>
              </w:rPr>
            </w:pPr>
            <w:r w:rsidRPr="002832A9">
              <w:rPr>
                <w:rFonts w:eastAsia="Calibri"/>
                <w:sz w:val="20"/>
                <w:lang w:val="fr-CA"/>
              </w:rPr>
              <w:t>Cour d’appel fédérale</w:t>
            </w:r>
          </w:p>
          <w:p w:rsidR="00536D8C" w:rsidRPr="002832A9" w:rsidRDefault="00536D8C" w:rsidP="001C4AC6">
            <w:pPr>
              <w:jc w:val="both"/>
              <w:rPr>
                <w:rFonts w:eastAsia="Calibri"/>
                <w:sz w:val="20"/>
                <w:lang w:val="fr-CA"/>
              </w:rPr>
            </w:pPr>
            <w:r w:rsidRPr="002832A9">
              <w:rPr>
                <w:rFonts w:eastAsia="Calibri"/>
                <w:sz w:val="20"/>
                <w:lang w:val="fr-CA"/>
              </w:rPr>
              <w:t>(Juges Nadon, Gauthier et Webb)</w:t>
            </w:r>
          </w:p>
          <w:p w:rsidR="00536D8C" w:rsidRPr="002832A9" w:rsidRDefault="00EB0F11" w:rsidP="001C4AC6">
            <w:pPr>
              <w:jc w:val="both"/>
              <w:rPr>
                <w:rFonts w:eastAsia="Calibri"/>
                <w:sz w:val="20"/>
              </w:rPr>
            </w:pPr>
            <w:hyperlink r:id="rId74" w:history="1">
              <w:r w:rsidR="00536D8C" w:rsidRPr="002832A9">
                <w:rPr>
                  <w:rFonts w:eastAsia="Calibri"/>
                  <w:color w:val="0000FF"/>
                  <w:sz w:val="20"/>
                  <w:u w:val="single"/>
                </w:rPr>
                <w:t>2013 CAF 204</w:t>
              </w:r>
            </w:hyperlink>
            <w:hyperlink r:id="rId75" w:history="1">
              <w:r w:rsidRPr="00EB0F11">
                <w:rPr>
                  <w:rStyle w:val="Hyperlink"/>
                </w:rPr>
                <w:t>http://canlii.ca/t/g0mqc</w:t>
              </w:r>
            </w:hyperlink>
            <w:r w:rsidR="00536D8C" w:rsidRPr="002832A9">
              <w:rPr>
                <w:rFonts w:eastAsia="Calibri"/>
                <w:sz w:val="20"/>
              </w:rPr>
              <w:t>; A-482-12</w:t>
            </w:r>
          </w:p>
          <w:p w:rsidR="00536D8C" w:rsidRPr="002832A9" w:rsidRDefault="00536D8C" w:rsidP="001C4AC6">
            <w:pPr>
              <w:jc w:val="both"/>
              <w:rPr>
                <w:rFonts w:eastAsia="Calibri"/>
                <w:sz w:val="20"/>
              </w:rPr>
            </w:pPr>
          </w:p>
        </w:tc>
        <w:tc>
          <w:tcPr>
            <w:tcW w:w="243" w:type="pct"/>
          </w:tcPr>
          <w:p w:rsidR="00536D8C" w:rsidRPr="002832A9" w:rsidRDefault="00536D8C" w:rsidP="001C4AC6">
            <w:pPr>
              <w:jc w:val="both"/>
              <w:rPr>
                <w:rFonts w:eastAsia="Calibri"/>
                <w:sz w:val="20"/>
              </w:rPr>
            </w:pPr>
          </w:p>
        </w:tc>
        <w:tc>
          <w:tcPr>
            <w:tcW w:w="2330" w:type="pct"/>
          </w:tcPr>
          <w:p w:rsidR="00536D8C" w:rsidRPr="002832A9" w:rsidRDefault="00536D8C" w:rsidP="001C4AC6">
            <w:pPr>
              <w:jc w:val="both"/>
              <w:rPr>
                <w:rFonts w:eastAsia="Calibri"/>
                <w:sz w:val="20"/>
                <w:lang w:val="fr-CA"/>
              </w:rPr>
            </w:pPr>
            <w:r w:rsidRPr="002832A9">
              <w:rPr>
                <w:rFonts w:eastAsia="Calibri"/>
                <w:sz w:val="20"/>
                <w:lang w:val="fr-CA"/>
              </w:rPr>
              <w:t>Appel rejeté avec dépens</w:t>
            </w:r>
          </w:p>
        </w:tc>
      </w:tr>
      <w:tr w:rsidR="00536D8C" w:rsidRPr="002832A9" w:rsidTr="000F0143">
        <w:trPr>
          <w:cantSplit/>
        </w:trPr>
        <w:tc>
          <w:tcPr>
            <w:tcW w:w="2427" w:type="pct"/>
          </w:tcPr>
          <w:p w:rsidR="00536D8C" w:rsidRPr="002832A9" w:rsidRDefault="00536D8C" w:rsidP="001C4AC6">
            <w:pPr>
              <w:jc w:val="both"/>
              <w:rPr>
                <w:rFonts w:eastAsia="Calibri"/>
                <w:b/>
                <w:sz w:val="20"/>
              </w:rPr>
            </w:pPr>
            <w:r w:rsidRPr="002832A9">
              <w:rPr>
                <w:rFonts w:eastAsia="Calibri"/>
                <w:b/>
                <w:sz w:val="20"/>
              </w:rPr>
              <w:t>Troisième dossier</w:t>
            </w:r>
          </w:p>
        </w:tc>
        <w:tc>
          <w:tcPr>
            <w:tcW w:w="243" w:type="pct"/>
          </w:tcPr>
          <w:p w:rsidR="00536D8C" w:rsidRPr="002832A9" w:rsidRDefault="00536D8C" w:rsidP="001C4AC6">
            <w:pPr>
              <w:jc w:val="both"/>
              <w:rPr>
                <w:rFonts w:eastAsia="Calibri"/>
                <w:sz w:val="20"/>
              </w:rPr>
            </w:pPr>
          </w:p>
        </w:tc>
        <w:tc>
          <w:tcPr>
            <w:tcW w:w="2330" w:type="pct"/>
          </w:tcPr>
          <w:p w:rsidR="00536D8C" w:rsidRPr="002832A9" w:rsidRDefault="00536D8C" w:rsidP="001C4AC6">
            <w:pPr>
              <w:jc w:val="both"/>
              <w:rPr>
                <w:rFonts w:eastAsia="Calibri"/>
                <w:sz w:val="20"/>
              </w:rPr>
            </w:pPr>
          </w:p>
        </w:tc>
      </w:tr>
      <w:tr w:rsidR="00536D8C" w:rsidRPr="00EB0F11" w:rsidTr="000F0143">
        <w:trPr>
          <w:cantSplit/>
        </w:trPr>
        <w:tc>
          <w:tcPr>
            <w:tcW w:w="2427" w:type="pct"/>
          </w:tcPr>
          <w:p w:rsidR="00536D8C" w:rsidRPr="002832A9" w:rsidRDefault="00536D8C" w:rsidP="001C4AC6">
            <w:pPr>
              <w:jc w:val="both"/>
              <w:rPr>
                <w:rFonts w:eastAsia="Calibri"/>
                <w:sz w:val="20"/>
                <w:lang w:val="fr-CA"/>
              </w:rPr>
            </w:pPr>
            <w:r w:rsidRPr="002832A9">
              <w:rPr>
                <w:rFonts w:eastAsia="Calibri"/>
                <w:sz w:val="20"/>
                <w:lang w:val="fr-CA"/>
              </w:rPr>
              <w:t>2 août 2013</w:t>
            </w:r>
          </w:p>
          <w:p w:rsidR="00536D8C" w:rsidRPr="002832A9" w:rsidRDefault="00536D8C" w:rsidP="001C4AC6">
            <w:pPr>
              <w:jc w:val="both"/>
              <w:rPr>
                <w:rFonts w:eastAsia="Calibri"/>
                <w:sz w:val="20"/>
                <w:lang w:val="fr-CA"/>
              </w:rPr>
            </w:pPr>
            <w:r w:rsidRPr="002832A9">
              <w:rPr>
                <w:rFonts w:eastAsia="Calibri"/>
                <w:sz w:val="20"/>
                <w:lang w:val="fr-CA"/>
              </w:rPr>
              <w:t xml:space="preserve">Cour fédérale </w:t>
            </w:r>
          </w:p>
          <w:p w:rsidR="00536D8C" w:rsidRPr="002832A9" w:rsidRDefault="00536D8C" w:rsidP="001C4AC6">
            <w:pPr>
              <w:jc w:val="both"/>
              <w:rPr>
                <w:rFonts w:eastAsia="Calibri"/>
                <w:sz w:val="20"/>
                <w:lang w:val="fr-CA"/>
              </w:rPr>
            </w:pPr>
            <w:r w:rsidRPr="002832A9">
              <w:rPr>
                <w:rFonts w:eastAsia="Calibri"/>
                <w:sz w:val="20"/>
                <w:lang w:val="fr-CA"/>
              </w:rPr>
              <w:t>(Juge Tremblay-Lamer)</w:t>
            </w:r>
          </w:p>
          <w:p w:rsidR="00536D8C" w:rsidRPr="002832A9" w:rsidRDefault="00536D8C" w:rsidP="001C4AC6">
            <w:pPr>
              <w:jc w:val="both"/>
              <w:rPr>
                <w:rFonts w:eastAsia="Calibri"/>
                <w:sz w:val="20"/>
              </w:rPr>
            </w:pPr>
            <w:r w:rsidRPr="002832A9">
              <w:rPr>
                <w:rFonts w:eastAsia="Calibri"/>
                <w:sz w:val="20"/>
              </w:rPr>
              <w:t>T-19-12</w:t>
            </w:r>
          </w:p>
          <w:p w:rsidR="00536D8C" w:rsidRPr="002832A9" w:rsidRDefault="00536D8C" w:rsidP="001C4AC6">
            <w:pPr>
              <w:jc w:val="both"/>
              <w:rPr>
                <w:rFonts w:eastAsia="Calibri"/>
                <w:sz w:val="20"/>
              </w:rPr>
            </w:pPr>
          </w:p>
        </w:tc>
        <w:tc>
          <w:tcPr>
            <w:tcW w:w="243" w:type="pct"/>
          </w:tcPr>
          <w:p w:rsidR="00536D8C" w:rsidRPr="002832A9" w:rsidRDefault="00536D8C" w:rsidP="001C4AC6">
            <w:pPr>
              <w:jc w:val="both"/>
              <w:rPr>
                <w:rFonts w:eastAsia="Calibri"/>
                <w:sz w:val="20"/>
              </w:rPr>
            </w:pPr>
          </w:p>
        </w:tc>
        <w:tc>
          <w:tcPr>
            <w:tcW w:w="2330" w:type="pct"/>
          </w:tcPr>
          <w:p w:rsidR="00536D8C" w:rsidRPr="002832A9" w:rsidRDefault="00536D8C" w:rsidP="001C4AC6">
            <w:pPr>
              <w:jc w:val="both"/>
              <w:rPr>
                <w:rFonts w:eastAsia="Calibri"/>
                <w:sz w:val="20"/>
                <w:lang w:val="fr-CA"/>
              </w:rPr>
            </w:pPr>
            <w:r w:rsidRPr="002832A9">
              <w:rPr>
                <w:rFonts w:eastAsia="Calibri"/>
                <w:sz w:val="20"/>
                <w:lang w:val="fr-CA"/>
              </w:rPr>
              <w:t>Requête en prorogation du délai pour interjeter appel de l’ordonnance de gestion de l’instance prononcée par une protonotaire, rejetée avec dépens payables sans délai</w:t>
            </w:r>
          </w:p>
        </w:tc>
      </w:tr>
      <w:tr w:rsidR="00536D8C" w:rsidRPr="00EB0F11" w:rsidTr="000F0143">
        <w:trPr>
          <w:cantSplit/>
        </w:trPr>
        <w:tc>
          <w:tcPr>
            <w:tcW w:w="2427" w:type="pct"/>
          </w:tcPr>
          <w:p w:rsidR="00536D8C" w:rsidRPr="002832A9" w:rsidRDefault="00536D8C" w:rsidP="001C4AC6">
            <w:pPr>
              <w:jc w:val="both"/>
              <w:rPr>
                <w:rFonts w:eastAsia="Calibri"/>
                <w:sz w:val="20"/>
                <w:lang w:val="fr-CA"/>
              </w:rPr>
            </w:pPr>
            <w:r w:rsidRPr="002832A9">
              <w:rPr>
                <w:rFonts w:eastAsia="Calibri"/>
                <w:sz w:val="20"/>
                <w:lang w:val="fr-CA"/>
              </w:rPr>
              <w:t>10 octobre 2013</w:t>
            </w:r>
          </w:p>
          <w:p w:rsidR="00536D8C" w:rsidRPr="002832A9" w:rsidRDefault="00536D8C" w:rsidP="001C4AC6">
            <w:pPr>
              <w:jc w:val="both"/>
              <w:rPr>
                <w:rFonts w:eastAsia="Calibri"/>
                <w:sz w:val="20"/>
                <w:lang w:val="fr-CA"/>
              </w:rPr>
            </w:pPr>
            <w:r w:rsidRPr="002832A9">
              <w:rPr>
                <w:rFonts w:eastAsia="Calibri"/>
                <w:sz w:val="20"/>
                <w:lang w:val="fr-CA"/>
              </w:rPr>
              <w:t xml:space="preserve">Cour d’appel fédérale </w:t>
            </w:r>
          </w:p>
          <w:p w:rsidR="00536D8C" w:rsidRPr="002832A9" w:rsidRDefault="00536D8C" w:rsidP="001C4AC6">
            <w:pPr>
              <w:jc w:val="both"/>
              <w:rPr>
                <w:rFonts w:eastAsia="Calibri"/>
                <w:sz w:val="20"/>
                <w:lang w:val="fr-CA"/>
              </w:rPr>
            </w:pPr>
            <w:r w:rsidRPr="002832A9">
              <w:rPr>
                <w:rFonts w:eastAsia="Calibri"/>
                <w:sz w:val="20"/>
                <w:lang w:val="fr-CA"/>
              </w:rPr>
              <w:t>(Juges Nadon, Gauthier et Webb)</w:t>
            </w:r>
          </w:p>
          <w:p w:rsidR="00536D8C" w:rsidRPr="002832A9" w:rsidRDefault="00EB0F11" w:rsidP="001C4AC6">
            <w:pPr>
              <w:jc w:val="both"/>
              <w:rPr>
                <w:rFonts w:eastAsia="Calibri"/>
                <w:sz w:val="20"/>
              </w:rPr>
            </w:pPr>
            <w:hyperlink r:id="rId76" w:history="1">
              <w:r w:rsidR="00536D8C" w:rsidRPr="002832A9">
                <w:rPr>
                  <w:rFonts w:eastAsia="Calibri"/>
                  <w:color w:val="0000FF"/>
                  <w:sz w:val="20"/>
                  <w:u w:val="single"/>
                </w:rPr>
                <w:t>2013 CAF 205</w:t>
              </w:r>
            </w:hyperlink>
            <w:r w:rsidR="00536D8C" w:rsidRPr="002832A9">
              <w:rPr>
                <w:rFonts w:eastAsia="Calibri"/>
                <w:sz w:val="20"/>
              </w:rPr>
              <w:t>; A-363-12</w:t>
            </w:r>
          </w:p>
          <w:p w:rsidR="00536D8C" w:rsidRPr="002832A9" w:rsidRDefault="00536D8C" w:rsidP="001C4AC6">
            <w:pPr>
              <w:jc w:val="both"/>
              <w:rPr>
                <w:rFonts w:eastAsia="Calibri"/>
                <w:sz w:val="20"/>
              </w:rPr>
            </w:pPr>
          </w:p>
        </w:tc>
        <w:tc>
          <w:tcPr>
            <w:tcW w:w="243" w:type="pct"/>
          </w:tcPr>
          <w:p w:rsidR="00536D8C" w:rsidRPr="002832A9" w:rsidRDefault="00536D8C" w:rsidP="001C4AC6">
            <w:pPr>
              <w:jc w:val="both"/>
              <w:rPr>
                <w:rFonts w:eastAsia="Calibri"/>
                <w:sz w:val="20"/>
              </w:rPr>
            </w:pPr>
          </w:p>
        </w:tc>
        <w:tc>
          <w:tcPr>
            <w:tcW w:w="2330" w:type="pct"/>
          </w:tcPr>
          <w:p w:rsidR="00536D8C" w:rsidRPr="002832A9" w:rsidRDefault="00536D8C" w:rsidP="001C4AC6">
            <w:pPr>
              <w:jc w:val="both"/>
              <w:rPr>
                <w:rFonts w:eastAsia="Calibri"/>
                <w:sz w:val="20"/>
                <w:lang w:val="fr-CA"/>
              </w:rPr>
            </w:pPr>
            <w:r w:rsidRPr="002832A9">
              <w:rPr>
                <w:rFonts w:eastAsia="Calibri"/>
                <w:sz w:val="20"/>
                <w:lang w:val="fr-CA"/>
              </w:rPr>
              <w:t>Appel rejeté avec dépens de 1 500 $</w:t>
            </w:r>
          </w:p>
        </w:tc>
      </w:tr>
      <w:tr w:rsidR="00536D8C" w:rsidRPr="00EB0F11" w:rsidTr="000F0143">
        <w:trPr>
          <w:cantSplit/>
        </w:trPr>
        <w:tc>
          <w:tcPr>
            <w:tcW w:w="2427" w:type="pct"/>
          </w:tcPr>
          <w:p w:rsidR="00536D8C" w:rsidRPr="002832A9" w:rsidRDefault="00536D8C" w:rsidP="001C4AC6">
            <w:pPr>
              <w:jc w:val="both"/>
              <w:rPr>
                <w:rFonts w:eastAsia="Calibri"/>
                <w:sz w:val="20"/>
                <w:lang w:val="fr-CA"/>
              </w:rPr>
            </w:pPr>
            <w:r w:rsidRPr="002832A9">
              <w:rPr>
                <w:rFonts w:eastAsia="Calibri"/>
                <w:sz w:val="20"/>
                <w:lang w:val="fr-CA"/>
              </w:rPr>
              <w:t>12 novembre 2013</w:t>
            </w:r>
          </w:p>
          <w:p w:rsidR="00536D8C" w:rsidRPr="002832A9" w:rsidRDefault="00536D8C" w:rsidP="001C4AC6">
            <w:pPr>
              <w:jc w:val="both"/>
              <w:rPr>
                <w:rFonts w:eastAsia="Calibri"/>
                <w:sz w:val="20"/>
                <w:lang w:val="fr-CA"/>
              </w:rPr>
            </w:pPr>
            <w:r w:rsidRPr="002832A9">
              <w:rPr>
                <w:rFonts w:eastAsia="Calibri"/>
                <w:sz w:val="20"/>
                <w:lang w:val="fr-CA"/>
              </w:rPr>
              <w:t>Cour suprême du Canada</w:t>
            </w:r>
          </w:p>
        </w:tc>
        <w:tc>
          <w:tcPr>
            <w:tcW w:w="243" w:type="pct"/>
          </w:tcPr>
          <w:p w:rsidR="00536D8C" w:rsidRPr="002832A9" w:rsidRDefault="00536D8C" w:rsidP="001C4AC6">
            <w:pPr>
              <w:jc w:val="both"/>
              <w:rPr>
                <w:rFonts w:eastAsia="Calibri"/>
                <w:sz w:val="20"/>
                <w:lang w:val="fr-CA"/>
              </w:rPr>
            </w:pPr>
          </w:p>
        </w:tc>
        <w:tc>
          <w:tcPr>
            <w:tcW w:w="2330" w:type="pct"/>
          </w:tcPr>
          <w:p w:rsidR="00536D8C" w:rsidRPr="002832A9" w:rsidRDefault="00536D8C" w:rsidP="001C4AC6">
            <w:pPr>
              <w:jc w:val="both"/>
              <w:rPr>
                <w:rFonts w:eastAsia="Calibri"/>
                <w:sz w:val="20"/>
                <w:lang w:val="fr-CA"/>
              </w:rPr>
            </w:pPr>
            <w:r w:rsidRPr="002832A9">
              <w:rPr>
                <w:rFonts w:eastAsia="Calibri"/>
                <w:sz w:val="20"/>
                <w:lang w:val="fr-CA"/>
              </w:rPr>
              <w:t xml:space="preserve">Demande conjointe d’autorisation d’appel déposée </w:t>
            </w:r>
          </w:p>
        </w:tc>
      </w:tr>
    </w:tbl>
    <w:p w:rsidR="002A46DC" w:rsidRPr="00536D8C" w:rsidRDefault="002A46DC" w:rsidP="002A46DC">
      <w:pPr>
        <w:rPr>
          <w:sz w:val="20"/>
          <w:szCs w:val="20"/>
          <w:lang w:val="fr-CA"/>
        </w:rPr>
      </w:pPr>
    </w:p>
    <w:p w:rsidR="002A46DC" w:rsidRDefault="00EB0F11" w:rsidP="002A46DC">
      <w:pPr>
        <w:rPr>
          <w:sz w:val="20"/>
          <w:szCs w:val="20"/>
        </w:rPr>
      </w:pPr>
      <w:r>
        <w:rPr>
          <w:sz w:val="20"/>
          <w:szCs w:val="20"/>
          <w:lang w:val="fr-CA"/>
        </w:rPr>
        <w:pict>
          <v:rect id="_x0000_i1070" style="width:2in;height:1pt" o:hrpct="0" o:hralign="center" o:hrstd="t" o:hrnoshade="t" o:hr="t" fillcolor="black [3213]" stroked="f"/>
        </w:pict>
      </w:r>
    </w:p>
    <w:p w:rsidR="002A46DC" w:rsidRDefault="002A46DC" w:rsidP="002A46DC">
      <w:pPr>
        <w:rPr>
          <w:sz w:val="20"/>
          <w:szCs w:val="20"/>
        </w:rPr>
      </w:pPr>
    </w:p>
    <w:p w:rsidR="002A46DC" w:rsidRDefault="002A46DC" w:rsidP="000E2959">
      <w:pPr>
        <w:rPr>
          <w:sz w:val="20"/>
          <w:szCs w:val="20"/>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77"/>
          <w:headerReference w:type="default" r:id="rId78"/>
          <w:footerReference w:type="even" r:id="rId79"/>
          <w:footerReference w:type="default" r:id="rId80"/>
          <w:headerReference w:type="first" r:id="rId81"/>
          <w:footerReference w:type="first" r:id="rId8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AD651A" w:rsidRPr="00AD651A" w:rsidRDefault="00AD651A" w:rsidP="00AD651A">
      <w:pPr>
        <w:tabs>
          <w:tab w:val="left" w:pos="-1440"/>
          <w:tab w:val="left" w:pos="-720"/>
        </w:tabs>
        <w:jc w:val="both"/>
        <w:rPr>
          <w:rFonts w:eastAsia="Times New Roman" w:cs="Times New Roman"/>
          <w:sz w:val="20"/>
          <w:szCs w:val="20"/>
          <w:lang w:val="fr-CA" w:eastAsia="en-CA"/>
        </w:rPr>
      </w:pPr>
      <w:r w:rsidRPr="00AD651A">
        <w:rPr>
          <w:rFonts w:eastAsia="Times New Roman" w:cs="Times New Roman"/>
          <w:sz w:val="20"/>
          <w:szCs w:val="20"/>
          <w:lang w:val="fr-CA" w:eastAsia="en-CA"/>
        </w:rPr>
        <w:t>10.02.2014</w:t>
      </w:r>
    </w:p>
    <w:p w:rsidR="00AD651A" w:rsidRPr="00AD651A" w:rsidRDefault="00AD651A" w:rsidP="00AD651A">
      <w:pPr>
        <w:tabs>
          <w:tab w:val="left" w:pos="-1440"/>
          <w:tab w:val="left" w:pos="-720"/>
        </w:tabs>
        <w:jc w:val="both"/>
        <w:rPr>
          <w:rFonts w:eastAsia="Times New Roman" w:cs="Times New Roman"/>
          <w:sz w:val="20"/>
          <w:szCs w:val="20"/>
          <w:lang w:val="fr-CA" w:eastAsia="en-CA"/>
        </w:rPr>
      </w:pPr>
    </w:p>
    <w:p w:rsidR="00AD651A" w:rsidRPr="00AD651A" w:rsidRDefault="00AD651A" w:rsidP="00AD651A">
      <w:pPr>
        <w:tabs>
          <w:tab w:val="left" w:pos="-1440"/>
          <w:tab w:val="left" w:pos="-720"/>
        </w:tabs>
        <w:jc w:val="both"/>
        <w:rPr>
          <w:rFonts w:eastAsia="Times New Roman" w:cs="Times New Roman"/>
          <w:sz w:val="20"/>
          <w:szCs w:val="20"/>
          <w:lang w:val="fr-CA" w:eastAsia="en-CA"/>
        </w:rPr>
      </w:pPr>
      <w:r w:rsidRPr="00AD651A">
        <w:rPr>
          <w:rFonts w:eastAsia="Times New Roman" w:cs="Times New Roman"/>
          <w:sz w:val="20"/>
          <w:szCs w:val="20"/>
          <w:lang w:val="fr-CA" w:eastAsia="en-CA"/>
        </w:rPr>
        <w:t>Before / Devant :   ROTHSTEIN J. / LE JUGE ROTHSTEIN</w:t>
      </w:r>
    </w:p>
    <w:p w:rsidR="00AD651A" w:rsidRPr="00AD651A" w:rsidRDefault="00AD651A" w:rsidP="00AD651A">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AD651A" w:rsidRPr="00AD651A" w:rsidTr="001C4AC6">
        <w:tc>
          <w:tcPr>
            <w:tcW w:w="4338" w:type="dxa"/>
            <w:gridSpan w:val="2"/>
          </w:tcPr>
          <w:p w:rsidR="00AD651A" w:rsidRPr="00AD651A" w:rsidRDefault="00AD651A" w:rsidP="00AD651A">
            <w:pPr>
              <w:rPr>
                <w:b/>
              </w:rPr>
            </w:pPr>
            <w:r w:rsidRPr="00AD651A">
              <w:rPr>
                <w:b/>
              </w:rPr>
              <w:t>Motions for leave to intervene</w:t>
            </w:r>
            <w:r w:rsidRPr="00AD651A">
              <w:rPr>
                <w:lang w:val="en-US"/>
              </w:rPr>
              <w:t xml:space="preserve"> </w:t>
            </w:r>
            <w:r w:rsidR="0006361A" w:rsidRPr="00AD651A">
              <w:rPr>
                <w:lang w:val="en-US"/>
              </w:rPr>
              <w:fldChar w:fldCharType="begin"/>
            </w:r>
            <w:r w:rsidRPr="00AD651A">
              <w:instrText xml:space="preserve"> SEQ CHAPTER \h \r 1</w:instrText>
            </w:r>
            <w:r w:rsidR="0006361A" w:rsidRPr="00AD651A">
              <w:rPr>
                <w:lang w:val="en-US"/>
              </w:rPr>
              <w:fldChar w:fldCharType="end"/>
            </w:r>
          </w:p>
        </w:tc>
        <w:tc>
          <w:tcPr>
            <w:tcW w:w="1170" w:type="dxa"/>
          </w:tcPr>
          <w:p w:rsidR="00AD651A" w:rsidRPr="00AD651A" w:rsidRDefault="00AD651A" w:rsidP="00AD651A"/>
          <w:p w:rsidR="00AD651A" w:rsidRPr="00AD651A" w:rsidRDefault="00AD651A" w:rsidP="00AD651A"/>
        </w:tc>
        <w:tc>
          <w:tcPr>
            <w:tcW w:w="4327" w:type="dxa"/>
          </w:tcPr>
          <w:p w:rsidR="00AD651A" w:rsidRPr="00AD651A" w:rsidRDefault="00AD651A" w:rsidP="00AD651A">
            <w:pPr>
              <w:rPr>
                <w:b/>
              </w:rPr>
            </w:pPr>
            <w:r w:rsidRPr="00AD651A">
              <w:rPr>
                <w:b/>
                <w:bCs/>
                <w:lang w:val="fr-CA"/>
              </w:rPr>
              <w:t>Requêtes en autorisation d’intervenir</w:t>
            </w:r>
            <w:r w:rsidRPr="00AD651A">
              <w:rPr>
                <w:lang w:val="en-US"/>
              </w:rPr>
              <w:t xml:space="preserve"> </w:t>
            </w:r>
            <w:r w:rsidR="0006361A" w:rsidRPr="00AD651A">
              <w:rPr>
                <w:lang w:val="en-US"/>
              </w:rPr>
              <w:fldChar w:fldCharType="begin"/>
            </w:r>
            <w:r w:rsidRPr="00AD651A">
              <w:instrText xml:space="preserve"> SEQ CHAPTER \h \r 1</w:instrText>
            </w:r>
            <w:r w:rsidR="0006361A" w:rsidRPr="00AD651A">
              <w:rPr>
                <w:lang w:val="en-US"/>
              </w:rPr>
              <w:fldChar w:fldCharType="end"/>
            </w:r>
          </w:p>
        </w:tc>
      </w:tr>
      <w:tr w:rsidR="00AD651A" w:rsidRPr="00AD651A" w:rsidTr="001C4AC6">
        <w:trPr>
          <w:trHeight w:val="360"/>
        </w:trPr>
        <w:tc>
          <w:tcPr>
            <w:tcW w:w="1368" w:type="dxa"/>
          </w:tcPr>
          <w:p w:rsidR="00AD651A" w:rsidRPr="00AD651A" w:rsidRDefault="00AD651A" w:rsidP="00AD651A">
            <w:r w:rsidRPr="00AD651A">
              <w:t>BY / PAR</w:t>
            </w:r>
          </w:p>
        </w:tc>
        <w:tc>
          <w:tcPr>
            <w:tcW w:w="2970" w:type="dxa"/>
          </w:tcPr>
          <w:p w:rsidR="00AD651A" w:rsidRPr="00AD651A" w:rsidRDefault="00AD651A" w:rsidP="00AD651A">
            <w:r w:rsidRPr="00AD651A">
              <w:t>Attorney General of Canada</w:t>
            </w:r>
            <w:r w:rsidRPr="00AD651A">
              <w:rPr>
                <w:lang w:val="en-US"/>
              </w:rPr>
              <w:t>;</w:t>
            </w:r>
          </w:p>
        </w:tc>
        <w:tc>
          <w:tcPr>
            <w:tcW w:w="1170" w:type="dxa"/>
          </w:tcPr>
          <w:p w:rsidR="00AD651A" w:rsidRPr="00AD651A" w:rsidRDefault="00AD651A" w:rsidP="00AD651A"/>
        </w:tc>
        <w:tc>
          <w:tcPr>
            <w:tcW w:w="4327" w:type="dxa"/>
          </w:tcPr>
          <w:p w:rsidR="00AD651A" w:rsidRPr="00AD651A" w:rsidRDefault="00AD651A" w:rsidP="00AD651A"/>
        </w:tc>
      </w:tr>
      <w:tr w:rsidR="00AD651A" w:rsidRPr="00AD651A" w:rsidTr="001C4AC6">
        <w:trPr>
          <w:trHeight w:val="360"/>
        </w:trPr>
        <w:tc>
          <w:tcPr>
            <w:tcW w:w="1368" w:type="dxa"/>
          </w:tcPr>
          <w:p w:rsidR="00AD651A" w:rsidRPr="00AD651A" w:rsidRDefault="00AD651A" w:rsidP="00AD651A"/>
        </w:tc>
        <w:tc>
          <w:tcPr>
            <w:tcW w:w="2970" w:type="dxa"/>
          </w:tcPr>
          <w:p w:rsidR="00AD651A" w:rsidRPr="00AD651A" w:rsidRDefault="00AD651A" w:rsidP="00AD651A">
            <w:pPr>
              <w:rPr>
                <w:lang w:val="en-US"/>
              </w:rPr>
            </w:pPr>
            <w:r w:rsidRPr="00AD651A">
              <w:t>Attorney General of Ontario</w:t>
            </w:r>
          </w:p>
        </w:tc>
        <w:tc>
          <w:tcPr>
            <w:tcW w:w="1170" w:type="dxa"/>
          </w:tcPr>
          <w:p w:rsidR="00AD651A" w:rsidRPr="00AD651A" w:rsidRDefault="00AD651A" w:rsidP="00AD651A"/>
        </w:tc>
        <w:tc>
          <w:tcPr>
            <w:tcW w:w="4327" w:type="dxa"/>
          </w:tcPr>
          <w:p w:rsidR="00AD651A" w:rsidRPr="00AD651A" w:rsidRDefault="00AD651A" w:rsidP="00AD651A"/>
        </w:tc>
      </w:tr>
      <w:tr w:rsidR="00AD651A" w:rsidRPr="00AD651A" w:rsidTr="001C4AC6">
        <w:tc>
          <w:tcPr>
            <w:tcW w:w="1368" w:type="dxa"/>
          </w:tcPr>
          <w:p w:rsidR="00AD651A" w:rsidRPr="00AD651A" w:rsidRDefault="00AD651A" w:rsidP="00AD651A"/>
        </w:tc>
        <w:tc>
          <w:tcPr>
            <w:tcW w:w="2970" w:type="dxa"/>
          </w:tcPr>
          <w:p w:rsidR="00AD651A" w:rsidRPr="00AD651A" w:rsidRDefault="00AD651A" w:rsidP="00AD651A">
            <w:pPr>
              <w:rPr>
                <w:lang w:val="en-US"/>
              </w:rPr>
            </w:pPr>
          </w:p>
        </w:tc>
        <w:tc>
          <w:tcPr>
            <w:tcW w:w="1170" w:type="dxa"/>
          </w:tcPr>
          <w:p w:rsidR="00AD651A" w:rsidRPr="00AD651A" w:rsidRDefault="00AD651A" w:rsidP="00AD651A"/>
        </w:tc>
        <w:tc>
          <w:tcPr>
            <w:tcW w:w="4327" w:type="dxa"/>
          </w:tcPr>
          <w:p w:rsidR="00AD651A" w:rsidRPr="00AD651A" w:rsidRDefault="00AD651A" w:rsidP="00AD651A"/>
        </w:tc>
      </w:tr>
      <w:tr w:rsidR="00AD651A" w:rsidRPr="00AD651A" w:rsidTr="001C4AC6">
        <w:tc>
          <w:tcPr>
            <w:tcW w:w="1368" w:type="dxa"/>
          </w:tcPr>
          <w:p w:rsidR="00AD651A" w:rsidRPr="00AD651A" w:rsidRDefault="00AD651A" w:rsidP="00AD651A">
            <w:r w:rsidRPr="00AD651A">
              <w:t>IN / DANS :</w:t>
            </w:r>
          </w:p>
        </w:tc>
        <w:tc>
          <w:tcPr>
            <w:tcW w:w="2970" w:type="dxa"/>
          </w:tcPr>
          <w:p w:rsidR="00AD651A" w:rsidRPr="00AD651A" w:rsidRDefault="00AD651A" w:rsidP="00AD651A">
            <w:r w:rsidRPr="00AD651A">
              <w:t>Her Majesty the Queen</w:t>
            </w:r>
          </w:p>
          <w:p w:rsidR="00AD651A" w:rsidRPr="00AD651A" w:rsidRDefault="00AD651A" w:rsidP="00AD651A"/>
          <w:p w:rsidR="00AD651A" w:rsidRPr="00AD651A" w:rsidRDefault="00AD651A" w:rsidP="00AD651A">
            <w:r w:rsidRPr="00AD651A">
              <w:tab/>
              <w:t>v. (35364)</w:t>
            </w:r>
          </w:p>
          <w:p w:rsidR="00AD651A" w:rsidRPr="00AD651A" w:rsidRDefault="00AD651A" w:rsidP="00AD651A"/>
          <w:p w:rsidR="00AD651A" w:rsidRPr="00AD651A" w:rsidRDefault="00AD651A" w:rsidP="00AD651A">
            <w:r w:rsidRPr="00AD651A">
              <w:t>John Melville Steele (Crim.) (Man.)</w:t>
            </w:r>
          </w:p>
        </w:tc>
        <w:tc>
          <w:tcPr>
            <w:tcW w:w="1170" w:type="dxa"/>
          </w:tcPr>
          <w:p w:rsidR="00AD651A" w:rsidRPr="00AD651A" w:rsidRDefault="00AD651A" w:rsidP="00AD651A"/>
        </w:tc>
        <w:tc>
          <w:tcPr>
            <w:tcW w:w="4327" w:type="dxa"/>
          </w:tcPr>
          <w:p w:rsidR="00AD651A" w:rsidRPr="00AD651A" w:rsidRDefault="00AD651A" w:rsidP="00AD651A"/>
        </w:tc>
      </w:tr>
    </w:tbl>
    <w:p w:rsidR="00AD651A" w:rsidRPr="00AD651A" w:rsidRDefault="00AD651A" w:rsidP="00AD651A">
      <w:pPr>
        <w:tabs>
          <w:tab w:val="left" w:pos="-1440"/>
          <w:tab w:val="left" w:pos="-720"/>
        </w:tabs>
        <w:jc w:val="both"/>
        <w:rPr>
          <w:rFonts w:eastAsia="Times New Roman" w:cs="Times New Roman"/>
          <w:sz w:val="20"/>
          <w:szCs w:val="20"/>
          <w:lang w:eastAsia="en-CA"/>
        </w:rPr>
      </w:pPr>
    </w:p>
    <w:p w:rsidR="00AD651A" w:rsidRPr="00AD651A" w:rsidRDefault="00AD651A" w:rsidP="00AD651A">
      <w:pPr>
        <w:tabs>
          <w:tab w:val="left" w:pos="-1440"/>
          <w:tab w:val="left" w:pos="-720"/>
        </w:tabs>
        <w:jc w:val="both"/>
        <w:rPr>
          <w:rFonts w:eastAsia="Times New Roman" w:cs="Times New Roman"/>
          <w:sz w:val="20"/>
          <w:szCs w:val="20"/>
          <w:lang w:eastAsia="en-CA"/>
        </w:rPr>
      </w:pPr>
      <w:r w:rsidRPr="00AD651A">
        <w:rPr>
          <w:rFonts w:eastAsia="Times New Roman" w:cs="Times New Roman"/>
          <w:b/>
          <w:sz w:val="20"/>
          <w:szCs w:val="20"/>
          <w:lang w:eastAsia="en-CA"/>
        </w:rPr>
        <w:t>GRANTED / ACCORDÉES</w:t>
      </w:r>
    </w:p>
    <w:p w:rsidR="00AD651A" w:rsidRPr="00AD651A" w:rsidRDefault="00AD651A" w:rsidP="00AD651A">
      <w:pPr>
        <w:tabs>
          <w:tab w:val="left" w:pos="-1440"/>
          <w:tab w:val="left" w:pos="-720"/>
        </w:tabs>
        <w:jc w:val="both"/>
        <w:rPr>
          <w:rFonts w:eastAsia="Times New Roman" w:cs="Times New Roman"/>
          <w:sz w:val="20"/>
          <w:szCs w:val="20"/>
          <w:lang w:eastAsia="en-CA"/>
        </w:rPr>
      </w:pPr>
    </w:p>
    <w:p w:rsidR="00AD651A" w:rsidRPr="00AD651A" w:rsidRDefault="00AD651A" w:rsidP="00AD651A">
      <w:pPr>
        <w:jc w:val="both"/>
        <w:rPr>
          <w:rFonts w:eastAsia="Times New Roman" w:cs="Times New Roman"/>
          <w:sz w:val="20"/>
          <w:szCs w:val="20"/>
          <w:lang w:eastAsia="en-CA"/>
        </w:rPr>
      </w:pPr>
      <w:r w:rsidRPr="00AD651A">
        <w:rPr>
          <w:rFonts w:eastAsia="Times New Roman" w:cs="Times New Roman"/>
          <w:b/>
          <w:bCs/>
          <w:sz w:val="20"/>
          <w:szCs w:val="20"/>
          <w:lang w:eastAsia="en-CA"/>
        </w:rPr>
        <w:t xml:space="preserve">UPON APPLICATIONS </w:t>
      </w:r>
      <w:r w:rsidRPr="00AD651A">
        <w:rPr>
          <w:rFonts w:eastAsia="Times New Roman" w:cs="Times New Roman"/>
          <w:sz w:val="20"/>
          <w:szCs w:val="20"/>
          <w:lang w:eastAsia="en-CA"/>
        </w:rPr>
        <w:t>by the Attorney General of Canada and the Attorney General of Ontario for leave to intervene in the above appeal;</w:t>
      </w:r>
    </w:p>
    <w:p w:rsidR="00AD651A" w:rsidRPr="00AD651A" w:rsidRDefault="00AD651A" w:rsidP="00AD651A">
      <w:pPr>
        <w:jc w:val="both"/>
        <w:rPr>
          <w:rFonts w:eastAsia="Times New Roman" w:cs="Times New Roman"/>
          <w:sz w:val="20"/>
          <w:szCs w:val="20"/>
          <w:lang w:eastAsia="en-CA"/>
        </w:rPr>
      </w:pPr>
    </w:p>
    <w:p w:rsidR="00AD651A" w:rsidRPr="00AD651A" w:rsidRDefault="00AD651A" w:rsidP="00AD651A">
      <w:pPr>
        <w:jc w:val="both"/>
        <w:rPr>
          <w:rFonts w:eastAsia="Times New Roman" w:cs="Times New Roman"/>
          <w:sz w:val="20"/>
          <w:szCs w:val="20"/>
          <w:lang w:eastAsia="en-CA"/>
        </w:rPr>
      </w:pPr>
      <w:r w:rsidRPr="00AD651A">
        <w:rPr>
          <w:rFonts w:eastAsia="Times New Roman" w:cs="Times New Roman"/>
          <w:b/>
          <w:bCs/>
          <w:sz w:val="20"/>
          <w:szCs w:val="20"/>
          <w:lang w:eastAsia="en-CA"/>
        </w:rPr>
        <w:t>AND THE MATERIAL FILED</w:t>
      </w:r>
      <w:r w:rsidRPr="00AD651A">
        <w:rPr>
          <w:rFonts w:eastAsia="Times New Roman" w:cs="Times New Roman"/>
          <w:sz w:val="20"/>
          <w:szCs w:val="20"/>
          <w:lang w:eastAsia="en-CA"/>
        </w:rPr>
        <w:t xml:space="preserve"> having been read;</w:t>
      </w:r>
    </w:p>
    <w:p w:rsidR="00AD651A" w:rsidRPr="00AD651A" w:rsidRDefault="00AD651A" w:rsidP="00AD651A">
      <w:pPr>
        <w:jc w:val="both"/>
        <w:rPr>
          <w:rFonts w:eastAsia="Times New Roman" w:cs="Times New Roman"/>
          <w:sz w:val="20"/>
          <w:szCs w:val="20"/>
          <w:lang w:eastAsia="en-CA"/>
        </w:rPr>
      </w:pPr>
    </w:p>
    <w:p w:rsidR="00AD651A" w:rsidRPr="00AD651A" w:rsidRDefault="00AD651A" w:rsidP="00AD651A">
      <w:pPr>
        <w:jc w:val="both"/>
        <w:rPr>
          <w:rFonts w:eastAsia="Times New Roman" w:cs="Times New Roman"/>
          <w:sz w:val="20"/>
          <w:szCs w:val="20"/>
          <w:lang w:eastAsia="en-CA"/>
        </w:rPr>
      </w:pPr>
      <w:r w:rsidRPr="00AD651A">
        <w:rPr>
          <w:rFonts w:eastAsia="Times New Roman" w:cs="Times New Roman"/>
          <w:b/>
          <w:bCs/>
          <w:sz w:val="20"/>
          <w:szCs w:val="20"/>
          <w:lang w:eastAsia="en-CA"/>
        </w:rPr>
        <w:t>IT IS HEREBY ORDERED THAT:</w:t>
      </w:r>
    </w:p>
    <w:p w:rsidR="00AD651A" w:rsidRPr="00AD651A" w:rsidRDefault="00AD651A" w:rsidP="00AD651A">
      <w:pPr>
        <w:jc w:val="both"/>
        <w:rPr>
          <w:rFonts w:eastAsia="Times New Roman" w:cs="Times New Roman"/>
          <w:sz w:val="20"/>
          <w:szCs w:val="20"/>
          <w:lang w:eastAsia="en-CA"/>
        </w:rPr>
      </w:pPr>
    </w:p>
    <w:p w:rsidR="00AD651A" w:rsidRPr="00AD651A" w:rsidRDefault="00AD651A" w:rsidP="00AD651A">
      <w:pPr>
        <w:jc w:val="both"/>
        <w:rPr>
          <w:rFonts w:eastAsia="Times New Roman" w:cs="Times New Roman"/>
          <w:sz w:val="20"/>
          <w:szCs w:val="20"/>
          <w:lang w:eastAsia="en-CA"/>
        </w:rPr>
      </w:pPr>
      <w:r w:rsidRPr="00AD651A">
        <w:rPr>
          <w:rFonts w:eastAsia="Times New Roman" w:cs="Times New Roman"/>
          <w:sz w:val="20"/>
          <w:szCs w:val="20"/>
          <w:lang w:eastAsia="en-CA"/>
        </w:rPr>
        <w:t>The motions for leave to intervene of the Attorney General of Canada and the Attorney General of Ontario are granted and the said two interveners shall each be entitled to serve and file a factum not to exceed 10 pages in length on or before April 3, 2014.</w:t>
      </w:r>
    </w:p>
    <w:p w:rsidR="00AD651A" w:rsidRPr="00AD651A" w:rsidRDefault="00AD651A" w:rsidP="00AD651A">
      <w:pPr>
        <w:jc w:val="both"/>
        <w:rPr>
          <w:rFonts w:eastAsia="Times New Roman" w:cs="Times New Roman"/>
          <w:sz w:val="20"/>
          <w:szCs w:val="20"/>
          <w:lang w:eastAsia="en-CA"/>
        </w:rPr>
      </w:pPr>
    </w:p>
    <w:p w:rsidR="00AD651A" w:rsidRPr="00AD651A" w:rsidRDefault="00AD651A" w:rsidP="00AD651A">
      <w:pPr>
        <w:jc w:val="both"/>
        <w:rPr>
          <w:rFonts w:eastAsia="Times New Roman" w:cs="Times New Roman"/>
          <w:sz w:val="20"/>
          <w:szCs w:val="20"/>
          <w:lang w:eastAsia="en-CA"/>
        </w:rPr>
      </w:pPr>
      <w:r w:rsidRPr="00AD651A">
        <w:rPr>
          <w:rFonts w:eastAsia="Times New Roman" w:cs="Times New Roman"/>
          <w:sz w:val="20"/>
          <w:szCs w:val="20"/>
          <w:lang w:eastAsia="en-CA"/>
        </w:rPr>
        <w:t>The request to present oral argument is deferred to a date following receipt and consideration of the written arguments of the parties and the interveners.</w:t>
      </w:r>
    </w:p>
    <w:p w:rsidR="00AD651A" w:rsidRPr="00AD651A" w:rsidRDefault="00AD651A" w:rsidP="00AD651A">
      <w:pPr>
        <w:jc w:val="both"/>
        <w:rPr>
          <w:rFonts w:eastAsia="Times New Roman" w:cs="Times New Roman"/>
          <w:sz w:val="20"/>
          <w:szCs w:val="20"/>
          <w:lang w:eastAsia="en-CA"/>
        </w:rPr>
      </w:pPr>
    </w:p>
    <w:p w:rsidR="00AD651A" w:rsidRPr="00AD651A" w:rsidRDefault="00AD651A" w:rsidP="00AD651A">
      <w:pPr>
        <w:jc w:val="both"/>
        <w:rPr>
          <w:rFonts w:eastAsia="Times New Roman" w:cs="Times New Roman"/>
          <w:sz w:val="20"/>
          <w:szCs w:val="20"/>
          <w:lang w:eastAsia="en-CA"/>
        </w:rPr>
      </w:pPr>
      <w:r w:rsidRPr="00AD651A">
        <w:rPr>
          <w:rFonts w:eastAsia="Times New Roman" w:cs="Times New Roman"/>
          <w:sz w:val="20"/>
          <w:szCs w:val="20"/>
          <w:lang w:eastAsia="en-CA"/>
        </w:rPr>
        <w:t>The interveners are not entitled to raise new issues or to adduce further evidence or otherwise to supplement the record of the parties.</w:t>
      </w:r>
    </w:p>
    <w:p w:rsidR="00AD651A" w:rsidRPr="00AD651A" w:rsidRDefault="00AD651A" w:rsidP="00AD651A">
      <w:pPr>
        <w:jc w:val="both"/>
        <w:rPr>
          <w:rFonts w:eastAsia="Times New Roman" w:cs="Times New Roman"/>
          <w:sz w:val="20"/>
          <w:szCs w:val="20"/>
          <w:lang w:eastAsia="en-CA"/>
        </w:rPr>
      </w:pPr>
    </w:p>
    <w:p w:rsidR="00AD651A" w:rsidRPr="00AD651A" w:rsidRDefault="00AD651A" w:rsidP="00AD651A">
      <w:pPr>
        <w:jc w:val="both"/>
        <w:rPr>
          <w:rFonts w:eastAsia="Times New Roman" w:cs="Times New Roman"/>
          <w:sz w:val="20"/>
          <w:szCs w:val="20"/>
          <w:lang w:eastAsia="en-CA"/>
        </w:rPr>
      </w:pPr>
      <w:r w:rsidRPr="00AD651A">
        <w:rPr>
          <w:rFonts w:eastAsia="Times New Roman" w:cs="Times New Roman"/>
          <w:sz w:val="20"/>
          <w:szCs w:val="20"/>
          <w:lang w:eastAsia="en-CA"/>
        </w:rPr>
        <w:t>Pursuant to Rule 59(1)(</w:t>
      </w:r>
      <w:r w:rsidRPr="00AD651A">
        <w:rPr>
          <w:rFonts w:eastAsia="Times New Roman" w:cs="Times New Roman"/>
          <w:i/>
          <w:iCs/>
          <w:sz w:val="20"/>
          <w:szCs w:val="20"/>
          <w:lang w:eastAsia="en-CA"/>
        </w:rPr>
        <w:t>a</w:t>
      </w:r>
      <w:r w:rsidRPr="00AD651A">
        <w:rPr>
          <w:rFonts w:eastAsia="Times New Roman" w:cs="Times New Roman"/>
          <w:sz w:val="20"/>
          <w:szCs w:val="20"/>
          <w:lang w:eastAsia="en-CA"/>
        </w:rPr>
        <w:t xml:space="preserve">) of the </w:t>
      </w:r>
      <w:r w:rsidRPr="00AD651A">
        <w:rPr>
          <w:rFonts w:eastAsia="Times New Roman" w:cs="Times New Roman"/>
          <w:i/>
          <w:iCs/>
          <w:sz w:val="20"/>
          <w:szCs w:val="20"/>
          <w:lang w:eastAsia="en-CA"/>
        </w:rPr>
        <w:t>Rules of the Supreme Court of Canada</w:t>
      </w:r>
      <w:r w:rsidRPr="00AD651A">
        <w:rPr>
          <w:rFonts w:eastAsia="Times New Roman" w:cs="Times New Roman"/>
          <w:sz w:val="20"/>
          <w:szCs w:val="20"/>
          <w:lang w:eastAsia="en-CA"/>
        </w:rPr>
        <w:t xml:space="preserve">, the interveners shall pay to the appellant and respondent any additional disbursements occasioned to the appellant and respondent by their interventions. </w:t>
      </w:r>
    </w:p>
    <w:p w:rsidR="00AD651A" w:rsidRPr="00AD651A" w:rsidRDefault="00AD651A" w:rsidP="00AD651A">
      <w:pPr>
        <w:jc w:val="both"/>
        <w:rPr>
          <w:rFonts w:eastAsia="Times New Roman" w:cs="Times New Roman"/>
          <w:sz w:val="20"/>
          <w:szCs w:val="20"/>
          <w:lang w:eastAsia="en-CA"/>
        </w:rPr>
      </w:pPr>
    </w:p>
    <w:p w:rsidR="00AD651A" w:rsidRPr="00AD651A" w:rsidRDefault="00AD651A" w:rsidP="00AD651A">
      <w:pPr>
        <w:jc w:val="both"/>
        <w:rPr>
          <w:rFonts w:eastAsia="Times New Roman" w:cs="Times New Roman"/>
          <w:sz w:val="20"/>
          <w:szCs w:val="20"/>
          <w:lang w:eastAsia="en-CA"/>
        </w:rPr>
      </w:pPr>
    </w:p>
    <w:p w:rsidR="00AD651A" w:rsidRPr="00AD651A" w:rsidRDefault="00AD651A" w:rsidP="00AD651A">
      <w:pPr>
        <w:jc w:val="both"/>
        <w:rPr>
          <w:rFonts w:eastAsia="Times New Roman" w:cs="Times New Roman"/>
          <w:sz w:val="20"/>
          <w:szCs w:val="20"/>
          <w:lang w:eastAsia="en-CA"/>
        </w:rPr>
      </w:pPr>
    </w:p>
    <w:p w:rsidR="00AD651A" w:rsidRPr="00AD651A" w:rsidRDefault="00AD651A" w:rsidP="00AD651A">
      <w:pPr>
        <w:jc w:val="both"/>
        <w:rPr>
          <w:rFonts w:eastAsia="Times New Roman" w:cs="Times New Roman"/>
          <w:sz w:val="20"/>
          <w:szCs w:val="20"/>
          <w:lang w:val="fr-CA" w:eastAsia="en-CA"/>
        </w:rPr>
      </w:pPr>
      <w:r w:rsidRPr="00AD651A">
        <w:rPr>
          <w:rFonts w:eastAsia="Times New Roman" w:cs="Times New Roman"/>
          <w:b/>
          <w:bCs/>
          <w:sz w:val="20"/>
          <w:szCs w:val="20"/>
          <w:lang w:val="fr-CA" w:eastAsia="en-CA"/>
        </w:rPr>
        <w:t xml:space="preserve">À LA SUITE DES DEMANDES </w:t>
      </w:r>
      <w:r w:rsidRPr="00AD651A">
        <w:rPr>
          <w:rFonts w:eastAsia="Times New Roman" w:cs="Times New Roman"/>
          <w:bCs/>
          <w:sz w:val="20"/>
          <w:szCs w:val="20"/>
          <w:lang w:val="fr-CA" w:eastAsia="en-CA"/>
        </w:rPr>
        <w:t xml:space="preserve">d’autorisation d’intervenir dans l’appel présentées par les procureurs généraux du </w:t>
      </w:r>
      <w:r w:rsidRPr="00AD651A">
        <w:rPr>
          <w:rFonts w:eastAsia="Times New Roman" w:cs="Times New Roman"/>
          <w:sz w:val="20"/>
          <w:szCs w:val="20"/>
          <w:lang w:val="fr-CA" w:eastAsia="en-CA"/>
        </w:rPr>
        <w:t>Canada et de l’Ontario;</w:t>
      </w:r>
    </w:p>
    <w:p w:rsidR="00AD651A" w:rsidRPr="00AD651A" w:rsidRDefault="00AD651A" w:rsidP="00AD651A">
      <w:pPr>
        <w:jc w:val="both"/>
        <w:rPr>
          <w:rFonts w:eastAsia="Times New Roman" w:cs="Times New Roman"/>
          <w:sz w:val="20"/>
          <w:szCs w:val="20"/>
          <w:lang w:val="fr-CA" w:eastAsia="en-CA"/>
        </w:rPr>
      </w:pPr>
    </w:p>
    <w:p w:rsidR="00AD651A" w:rsidRPr="00AD651A" w:rsidRDefault="00AD651A" w:rsidP="00AD651A">
      <w:pPr>
        <w:jc w:val="both"/>
        <w:rPr>
          <w:rFonts w:eastAsia="Times New Roman" w:cs="Times New Roman"/>
          <w:sz w:val="20"/>
          <w:szCs w:val="20"/>
          <w:lang w:val="fr-CA" w:eastAsia="en-CA"/>
        </w:rPr>
      </w:pPr>
      <w:r w:rsidRPr="00AD651A">
        <w:rPr>
          <w:rFonts w:eastAsia="Times New Roman" w:cs="Times New Roman"/>
          <w:b/>
          <w:bCs/>
          <w:sz w:val="20"/>
          <w:szCs w:val="20"/>
          <w:lang w:val="fr-CA" w:eastAsia="en-CA"/>
        </w:rPr>
        <w:t xml:space="preserve">ET APRÈS EXAMEN </w:t>
      </w:r>
      <w:r w:rsidRPr="00AD651A">
        <w:rPr>
          <w:rFonts w:eastAsia="Times New Roman" w:cs="Times New Roman"/>
          <w:bCs/>
          <w:sz w:val="20"/>
          <w:szCs w:val="20"/>
          <w:lang w:val="fr-CA" w:eastAsia="en-CA"/>
        </w:rPr>
        <w:t>des documents déposés</w:t>
      </w:r>
      <w:r w:rsidRPr="00AD651A">
        <w:rPr>
          <w:rFonts w:eastAsia="Times New Roman" w:cs="Times New Roman"/>
          <w:sz w:val="20"/>
          <w:szCs w:val="20"/>
          <w:lang w:val="fr-CA" w:eastAsia="en-CA"/>
        </w:rPr>
        <w:t>;</w:t>
      </w:r>
    </w:p>
    <w:p w:rsidR="00AD651A" w:rsidRPr="00AD651A" w:rsidRDefault="00AD651A" w:rsidP="00AD651A">
      <w:pPr>
        <w:jc w:val="both"/>
        <w:rPr>
          <w:rFonts w:eastAsia="Times New Roman" w:cs="Times New Roman"/>
          <w:sz w:val="20"/>
          <w:szCs w:val="20"/>
          <w:lang w:val="fr-CA" w:eastAsia="en-CA"/>
        </w:rPr>
      </w:pPr>
    </w:p>
    <w:p w:rsidR="00AD651A" w:rsidRPr="00AD651A" w:rsidRDefault="00AD651A" w:rsidP="00AD651A">
      <w:pPr>
        <w:jc w:val="both"/>
        <w:rPr>
          <w:rFonts w:eastAsia="Times New Roman" w:cs="Times New Roman"/>
          <w:sz w:val="20"/>
          <w:szCs w:val="20"/>
          <w:lang w:val="fr-CA" w:eastAsia="en-CA"/>
        </w:rPr>
      </w:pPr>
      <w:r w:rsidRPr="00AD651A">
        <w:rPr>
          <w:rFonts w:eastAsia="Times New Roman" w:cs="Times New Roman"/>
          <w:b/>
          <w:bCs/>
          <w:sz w:val="20"/>
          <w:szCs w:val="20"/>
          <w:lang w:val="fr-CA" w:eastAsia="en-CA"/>
        </w:rPr>
        <w:t>IL EST ORDONNÉ CE QUI SUIT :</w:t>
      </w:r>
    </w:p>
    <w:p w:rsidR="00AD651A" w:rsidRPr="00AD651A" w:rsidRDefault="00AD651A" w:rsidP="00AD651A">
      <w:pPr>
        <w:jc w:val="both"/>
        <w:rPr>
          <w:rFonts w:eastAsia="Times New Roman" w:cs="Times New Roman"/>
          <w:sz w:val="20"/>
          <w:szCs w:val="20"/>
          <w:lang w:val="fr-CA" w:eastAsia="en-CA"/>
        </w:rPr>
      </w:pPr>
    </w:p>
    <w:p w:rsidR="00AD651A" w:rsidRPr="00AD651A" w:rsidRDefault="00AD651A" w:rsidP="00AD651A">
      <w:pPr>
        <w:jc w:val="both"/>
        <w:rPr>
          <w:rFonts w:eastAsia="Times New Roman" w:cs="Times New Roman"/>
          <w:sz w:val="20"/>
          <w:szCs w:val="20"/>
          <w:lang w:val="fr-CA" w:eastAsia="en-CA"/>
        </w:rPr>
      </w:pPr>
      <w:r w:rsidRPr="00AD651A">
        <w:rPr>
          <w:rFonts w:eastAsia="Times New Roman" w:cs="Times New Roman"/>
          <w:sz w:val="20"/>
          <w:szCs w:val="20"/>
          <w:lang w:val="fr-CA" w:eastAsia="en-CA"/>
        </w:rPr>
        <w:t>Les requêtes en autorisation d’intervenir des procureurs généraux du Canada et de l’Ontario sont accueillies et chacun de ces deux intervenants pourra signifier et déposer un mémoire d’au plus 10 pages au plus tard le 3 avril 2014.</w:t>
      </w:r>
    </w:p>
    <w:p w:rsidR="00AD651A" w:rsidRPr="00AD651A" w:rsidRDefault="00AD651A" w:rsidP="00AD651A">
      <w:pPr>
        <w:jc w:val="both"/>
        <w:rPr>
          <w:rFonts w:eastAsia="Times New Roman" w:cs="Times New Roman"/>
          <w:sz w:val="20"/>
          <w:szCs w:val="20"/>
          <w:lang w:val="fr-CA" w:eastAsia="en-CA"/>
        </w:rPr>
      </w:pPr>
    </w:p>
    <w:p w:rsidR="00AD651A" w:rsidRPr="00AD651A" w:rsidRDefault="00AD651A" w:rsidP="00AD651A">
      <w:pPr>
        <w:jc w:val="both"/>
        <w:rPr>
          <w:rFonts w:eastAsia="Times New Roman" w:cs="Times New Roman"/>
          <w:sz w:val="20"/>
          <w:szCs w:val="20"/>
          <w:lang w:val="fr-CA" w:eastAsia="en-CA"/>
        </w:rPr>
      </w:pPr>
      <w:r w:rsidRPr="00AD651A">
        <w:rPr>
          <w:rFonts w:eastAsia="Times New Roman" w:cs="Times New Roman"/>
          <w:sz w:val="20"/>
          <w:szCs w:val="20"/>
          <w:lang w:val="fr-CA" w:eastAsia="en-CA"/>
        </w:rPr>
        <w:t>La décision sur la demande en vue de présenter une plaidoirie orale sera rendue après réception et examen des arguments écrits des parties et des intervenants.</w:t>
      </w:r>
    </w:p>
    <w:p w:rsidR="00AD651A" w:rsidRPr="00AD651A" w:rsidRDefault="00AD651A" w:rsidP="00AD651A">
      <w:pPr>
        <w:jc w:val="both"/>
        <w:rPr>
          <w:rFonts w:eastAsia="Times New Roman" w:cs="Times New Roman"/>
          <w:sz w:val="20"/>
          <w:szCs w:val="20"/>
          <w:lang w:val="fr-CA" w:eastAsia="en-CA"/>
        </w:rPr>
      </w:pPr>
    </w:p>
    <w:p w:rsidR="00AD651A" w:rsidRPr="00AD651A" w:rsidRDefault="00AD651A" w:rsidP="00AD651A">
      <w:pPr>
        <w:jc w:val="both"/>
        <w:rPr>
          <w:rFonts w:eastAsia="Times New Roman" w:cs="Times New Roman"/>
          <w:sz w:val="20"/>
          <w:szCs w:val="20"/>
          <w:lang w:val="fr-CA" w:eastAsia="en-CA"/>
        </w:rPr>
      </w:pPr>
      <w:r w:rsidRPr="00AD651A">
        <w:rPr>
          <w:rFonts w:eastAsia="Times New Roman" w:cs="Times New Roman"/>
          <w:sz w:val="20"/>
          <w:szCs w:val="20"/>
          <w:lang w:val="fr-CA" w:eastAsia="en-CA"/>
        </w:rPr>
        <w:lastRenderedPageBreak/>
        <w:t>Les intervenants n’ont pas le droit de soulever de nouvelles questions, de produire d’autres éléments de preuve ni de compléter de quelque autre façon le dossier des parties.</w:t>
      </w:r>
    </w:p>
    <w:p w:rsidR="00AD651A" w:rsidRPr="00AD651A" w:rsidRDefault="00AD651A" w:rsidP="00AD651A">
      <w:pPr>
        <w:jc w:val="both"/>
        <w:rPr>
          <w:rFonts w:eastAsia="Times New Roman" w:cs="Times New Roman"/>
          <w:sz w:val="20"/>
          <w:szCs w:val="20"/>
          <w:lang w:val="fr-CA" w:eastAsia="en-CA"/>
        </w:rPr>
      </w:pPr>
    </w:p>
    <w:p w:rsidR="00AD651A" w:rsidRPr="00AD651A" w:rsidRDefault="00AD651A" w:rsidP="00AD651A">
      <w:pPr>
        <w:jc w:val="both"/>
        <w:rPr>
          <w:rFonts w:eastAsia="Times New Roman" w:cs="Times New Roman"/>
          <w:sz w:val="20"/>
          <w:szCs w:val="20"/>
          <w:lang w:val="fr-CA" w:eastAsia="en-CA"/>
        </w:rPr>
      </w:pPr>
      <w:r w:rsidRPr="00AD651A">
        <w:rPr>
          <w:rFonts w:eastAsia="Times New Roman" w:cs="Times New Roman"/>
          <w:sz w:val="20"/>
          <w:szCs w:val="20"/>
          <w:lang w:val="fr-CA" w:eastAsia="en-CA"/>
        </w:rPr>
        <w:t>Conformément à l’alinéa 59(1)</w:t>
      </w:r>
      <w:r w:rsidRPr="00AD651A">
        <w:rPr>
          <w:rFonts w:eastAsia="Times New Roman" w:cs="Times New Roman"/>
          <w:i/>
          <w:iCs/>
          <w:sz w:val="20"/>
          <w:szCs w:val="20"/>
          <w:lang w:val="fr-CA" w:eastAsia="en-CA"/>
        </w:rPr>
        <w:t>a</w:t>
      </w:r>
      <w:r w:rsidRPr="00AD651A">
        <w:rPr>
          <w:rFonts w:eastAsia="Times New Roman" w:cs="Times New Roman"/>
          <w:sz w:val="20"/>
          <w:szCs w:val="20"/>
          <w:lang w:val="fr-CA" w:eastAsia="en-CA"/>
        </w:rPr>
        <w:t xml:space="preserve">) des </w:t>
      </w:r>
      <w:r w:rsidRPr="00AD651A">
        <w:rPr>
          <w:rFonts w:eastAsia="Times New Roman" w:cs="Times New Roman"/>
          <w:i/>
          <w:sz w:val="20"/>
          <w:szCs w:val="20"/>
          <w:lang w:val="fr-CA" w:eastAsia="en-CA"/>
        </w:rPr>
        <w:t xml:space="preserve">Règles de la </w:t>
      </w:r>
      <w:r w:rsidRPr="00AD651A">
        <w:rPr>
          <w:rFonts w:eastAsia="Times New Roman" w:cs="Times New Roman"/>
          <w:i/>
          <w:iCs/>
          <w:sz w:val="20"/>
          <w:szCs w:val="20"/>
          <w:lang w:val="fr-CA" w:eastAsia="en-CA"/>
        </w:rPr>
        <w:t>Cour suprême du Canada</w:t>
      </w:r>
      <w:r w:rsidRPr="00AD651A">
        <w:rPr>
          <w:rFonts w:eastAsia="Times New Roman" w:cs="Times New Roman"/>
          <w:sz w:val="20"/>
          <w:szCs w:val="20"/>
          <w:lang w:val="fr-CA" w:eastAsia="en-CA"/>
        </w:rPr>
        <w:t>, les intervenants paieront à l’appelante et à l’intimé tous débours supplémentaires résultant de leurs interventions.</w:t>
      </w:r>
    </w:p>
    <w:p w:rsidR="00AD651A" w:rsidRPr="00AD651A" w:rsidRDefault="00AD651A" w:rsidP="00AD651A">
      <w:pPr>
        <w:tabs>
          <w:tab w:val="left" w:pos="-1440"/>
          <w:tab w:val="left" w:pos="-720"/>
        </w:tabs>
        <w:jc w:val="both"/>
        <w:rPr>
          <w:rFonts w:eastAsia="Times New Roman" w:cs="Times New Roman"/>
          <w:sz w:val="20"/>
          <w:szCs w:val="20"/>
          <w:lang w:val="fr-CA" w:eastAsia="en-CA"/>
        </w:rPr>
      </w:pPr>
    </w:p>
    <w:p w:rsidR="00AD651A" w:rsidRPr="00AD651A" w:rsidRDefault="00EB0F11" w:rsidP="00AD651A">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73" style="width:2in;height:1pt" o:hrpct="0" o:hralign="center" o:hrstd="t" o:hrnoshade="t" o:hr="t" fillcolor="black [3213]" stroked="f"/>
        </w:pict>
      </w:r>
    </w:p>
    <w:p w:rsidR="00AD651A" w:rsidRPr="00AD651A" w:rsidRDefault="00AD651A" w:rsidP="00AD651A">
      <w:pPr>
        <w:tabs>
          <w:tab w:val="left" w:pos="-1440"/>
          <w:tab w:val="left" w:pos="-720"/>
        </w:tabs>
        <w:jc w:val="both"/>
        <w:rPr>
          <w:rFonts w:eastAsia="Times New Roman" w:cs="Times New Roman"/>
          <w:sz w:val="20"/>
          <w:szCs w:val="20"/>
          <w:lang w:val="fr-CA" w:eastAsia="en-CA"/>
        </w:rPr>
      </w:pPr>
    </w:p>
    <w:p w:rsidR="00AD651A" w:rsidRPr="00AD651A" w:rsidRDefault="00AD651A" w:rsidP="00AD651A">
      <w:pPr>
        <w:tabs>
          <w:tab w:val="left" w:pos="-1440"/>
          <w:tab w:val="left" w:pos="-720"/>
        </w:tabs>
        <w:jc w:val="both"/>
        <w:rPr>
          <w:rFonts w:eastAsia="Times New Roman" w:cs="Times New Roman"/>
          <w:sz w:val="20"/>
          <w:szCs w:val="20"/>
          <w:lang w:val="fr-CA" w:eastAsia="en-CA"/>
        </w:rPr>
      </w:pPr>
      <w:r w:rsidRPr="00AD651A">
        <w:rPr>
          <w:rFonts w:eastAsia="Times New Roman" w:cs="Times New Roman"/>
          <w:sz w:val="20"/>
          <w:szCs w:val="20"/>
          <w:lang w:val="fr-CA" w:eastAsia="en-CA"/>
        </w:rPr>
        <w:t>10.02.2014</w:t>
      </w:r>
    </w:p>
    <w:p w:rsidR="00AD651A" w:rsidRPr="00AD651A" w:rsidRDefault="00AD651A" w:rsidP="00AD651A">
      <w:pPr>
        <w:tabs>
          <w:tab w:val="left" w:pos="-1440"/>
          <w:tab w:val="left" w:pos="-720"/>
        </w:tabs>
        <w:jc w:val="both"/>
        <w:rPr>
          <w:rFonts w:eastAsia="Times New Roman" w:cs="Times New Roman"/>
          <w:sz w:val="20"/>
          <w:szCs w:val="20"/>
          <w:lang w:val="fr-CA" w:eastAsia="en-CA"/>
        </w:rPr>
      </w:pPr>
    </w:p>
    <w:p w:rsidR="00AD651A" w:rsidRPr="00AD651A" w:rsidRDefault="00AD651A" w:rsidP="00AD651A">
      <w:pPr>
        <w:tabs>
          <w:tab w:val="left" w:pos="-1440"/>
          <w:tab w:val="left" w:pos="-720"/>
        </w:tabs>
        <w:jc w:val="both"/>
        <w:rPr>
          <w:rFonts w:eastAsia="Times New Roman" w:cs="Times New Roman"/>
          <w:sz w:val="20"/>
          <w:szCs w:val="20"/>
          <w:lang w:val="fr-CA" w:eastAsia="en-CA"/>
        </w:rPr>
      </w:pPr>
      <w:r w:rsidRPr="00AD651A">
        <w:rPr>
          <w:rFonts w:eastAsia="Times New Roman" w:cs="Times New Roman"/>
          <w:sz w:val="20"/>
          <w:szCs w:val="20"/>
          <w:lang w:val="fr-CA" w:eastAsia="en-CA"/>
        </w:rPr>
        <w:t>Before / Devant :   ROTHSTEIN J. / LE JUGE ROTHSTEIN</w:t>
      </w:r>
    </w:p>
    <w:p w:rsidR="00AD651A" w:rsidRPr="00AD651A" w:rsidRDefault="00AD651A" w:rsidP="00AD651A">
      <w:pPr>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AD651A" w:rsidRPr="00AD651A" w:rsidTr="001C4AC6">
        <w:trPr>
          <w:trHeight w:val="151"/>
        </w:trPr>
        <w:tc>
          <w:tcPr>
            <w:tcW w:w="4338" w:type="dxa"/>
          </w:tcPr>
          <w:p w:rsidR="00AD651A" w:rsidRPr="00AD651A" w:rsidRDefault="0006361A" w:rsidP="00AD651A">
            <w:pPr>
              <w:tabs>
                <w:tab w:val="left" w:pos="-1440"/>
                <w:tab w:val="left" w:pos="-720"/>
              </w:tabs>
              <w:jc w:val="both"/>
              <w:rPr>
                <w:lang w:val="fr-CA"/>
              </w:rPr>
            </w:pPr>
            <w:r w:rsidRPr="00AD651A">
              <w:rPr>
                <w:lang w:val="en-US"/>
              </w:rPr>
              <w:fldChar w:fldCharType="begin"/>
            </w:r>
            <w:r w:rsidR="00AD651A" w:rsidRPr="00AD651A">
              <w:rPr>
                <w:lang w:val="fr-CA"/>
              </w:rPr>
              <w:instrText xml:space="preserve"> SEQ CHAPTER \h \r 1</w:instrText>
            </w:r>
            <w:r w:rsidRPr="00AD651A">
              <w:rPr>
                <w:lang w:val="en-US"/>
              </w:rPr>
              <w:fldChar w:fldCharType="end"/>
            </w:r>
            <w:r w:rsidR="00AD651A" w:rsidRPr="00AD651A">
              <w:rPr>
                <w:b/>
                <w:bCs/>
                <w:lang w:val="fr-CA"/>
              </w:rPr>
              <w:t>Miscellaneous motion</w:t>
            </w:r>
          </w:p>
          <w:p w:rsidR="00AD651A" w:rsidRPr="00AD651A" w:rsidRDefault="0006361A" w:rsidP="00AD651A">
            <w:pPr>
              <w:tabs>
                <w:tab w:val="left" w:pos="-1440"/>
                <w:tab w:val="left" w:pos="-720"/>
              </w:tabs>
              <w:jc w:val="both"/>
              <w:rPr>
                <w:lang w:val="fr-CA"/>
              </w:rPr>
            </w:pPr>
            <w:r w:rsidRPr="00AD651A">
              <w:rPr>
                <w:lang w:val="en-US"/>
              </w:rPr>
              <w:fldChar w:fldCharType="begin"/>
            </w:r>
            <w:r w:rsidR="00AD651A" w:rsidRPr="00AD651A">
              <w:rPr>
                <w:lang w:val="fr-CA"/>
              </w:rPr>
              <w:instrText xml:space="preserve"> SEQ CHAPTER \h \r 1</w:instrText>
            </w:r>
            <w:r w:rsidRPr="00AD651A">
              <w:rPr>
                <w:lang w:val="en-US"/>
              </w:rPr>
              <w:fldChar w:fldCharType="end"/>
            </w:r>
          </w:p>
        </w:tc>
        <w:tc>
          <w:tcPr>
            <w:tcW w:w="1170" w:type="dxa"/>
          </w:tcPr>
          <w:p w:rsidR="00AD651A" w:rsidRPr="00AD651A" w:rsidRDefault="00AD651A" w:rsidP="00AD651A">
            <w:pPr>
              <w:jc w:val="both"/>
              <w:rPr>
                <w:lang w:val="fr-CA"/>
              </w:rPr>
            </w:pPr>
          </w:p>
          <w:p w:rsidR="00AD651A" w:rsidRPr="00AD651A" w:rsidRDefault="00AD651A" w:rsidP="00AD651A">
            <w:pPr>
              <w:jc w:val="both"/>
              <w:rPr>
                <w:lang w:val="fr-CA"/>
              </w:rPr>
            </w:pPr>
          </w:p>
        </w:tc>
        <w:tc>
          <w:tcPr>
            <w:tcW w:w="4327" w:type="dxa"/>
          </w:tcPr>
          <w:p w:rsidR="00AD651A" w:rsidRPr="00AD651A" w:rsidRDefault="0006361A" w:rsidP="00AD651A">
            <w:pPr>
              <w:jc w:val="both"/>
              <w:rPr>
                <w:b/>
                <w:lang w:val="fr-CA"/>
              </w:rPr>
            </w:pPr>
            <w:r w:rsidRPr="00AD651A">
              <w:rPr>
                <w:lang w:val="en-US"/>
              </w:rPr>
              <w:fldChar w:fldCharType="begin"/>
            </w:r>
            <w:r w:rsidR="00AD651A" w:rsidRPr="00AD651A">
              <w:rPr>
                <w:lang w:val="fr-CA"/>
              </w:rPr>
              <w:instrText xml:space="preserve"> SEQ CHAPTER \h \r 1</w:instrText>
            </w:r>
            <w:r w:rsidRPr="00AD651A">
              <w:rPr>
                <w:lang w:val="en-US"/>
              </w:rPr>
              <w:fldChar w:fldCharType="end"/>
            </w:r>
            <w:r w:rsidR="00AD651A" w:rsidRPr="00AD651A">
              <w:rPr>
                <w:b/>
                <w:bCs/>
                <w:lang w:val="fr-CA"/>
              </w:rPr>
              <w:t>Requête diverse</w:t>
            </w:r>
          </w:p>
          <w:p w:rsidR="00AD651A" w:rsidRPr="00AD651A" w:rsidRDefault="0006361A" w:rsidP="00AD651A">
            <w:pPr>
              <w:jc w:val="both"/>
              <w:rPr>
                <w:b/>
                <w:lang w:val="fr-CA"/>
              </w:rPr>
            </w:pPr>
            <w:r w:rsidRPr="00AD651A">
              <w:rPr>
                <w:b/>
                <w:lang w:val="en-US"/>
              </w:rPr>
              <w:fldChar w:fldCharType="begin"/>
            </w:r>
            <w:r w:rsidR="00AD651A" w:rsidRPr="00AD651A">
              <w:rPr>
                <w:b/>
                <w:lang w:val="fr-CA"/>
              </w:rPr>
              <w:instrText xml:space="preserve"> SEQ CHAPTER \h \r 1</w:instrText>
            </w:r>
            <w:r w:rsidRPr="00AD651A">
              <w:rPr>
                <w:b/>
                <w:lang w:val="en-US"/>
              </w:rPr>
              <w:fldChar w:fldCharType="end"/>
            </w:r>
            <w:r w:rsidRPr="00AD651A">
              <w:rPr>
                <w:b/>
                <w:lang w:val="en-US"/>
              </w:rPr>
              <w:fldChar w:fldCharType="begin"/>
            </w:r>
            <w:r w:rsidR="00AD651A" w:rsidRPr="00AD651A">
              <w:rPr>
                <w:b/>
                <w:lang w:val="fr-CA"/>
              </w:rPr>
              <w:instrText xml:space="preserve"> SEQ CHAPTER \h \r 1</w:instrText>
            </w:r>
            <w:r w:rsidRPr="00AD651A">
              <w:rPr>
                <w:b/>
                <w:lang w:val="en-US"/>
              </w:rPr>
              <w:fldChar w:fldCharType="end"/>
            </w:r>
          </w:p>
        </w:tc>
      </w:tr>
      <w:tr w:rsidR="00AD651A" w:rsidRPr="00AD651A" w:rsidTr="001C4AC6">
        <w:trPr>
          <w:trHeight w:val="150"/>
        </w:trPr>
        <w:tc>
          <w:tcPr>
            <w:tcW w:w="4338" w:type="dxa"/>
          </w:tcPr>
          <w:p w:rsidR="00AD651A" w:rsidRPr="00AD651A" w:rsidRDefault="00AD651A" w:rsidP="00AD651A">
            <w:pPr>
              <w:tabs>
                <w:tab w:val="left" w:pos="-1440"/>
                <w:tab w:val="left" w:pos="-720"/>
              </w:tabs>
              <w:jc w:val="both"/>
              <w:rPr>
                <w:lang w:val="fr-CA"/>
              </w:rPr>
            </w:pPr>
            <w:r w:rsidRPr="00AD651A">
              <w:rPr>
                <w:lang w:val="fr-CA"/>
              </w:rPr>
              <w:t>Andrew Keewatin Jr. et al.</w:t>
            </w:r>
          </w:p>
          <w:p w:rsidR="00AD651A" w:rsidRPr="00AD651A" w:rsidRDefault="00AD651A" w:rsidP="00AD651A">
            <w:pPr>
              <w:tabs>
                <w:tab w:val="left" w:pos="-1440"/>
                <w:tab w:val="left" w:pos="-720"/>
              </w:tabs>
              <w:jc w:val="both"/>
              <w:rPr>
                <w:lang w:val="fr-CA"/>
              </w:rPr>
            </w:pPr>
          </w:p>
          <w:p w:rsidR="00AD651A" w:rsidRPr="00AD651A" w:rsidRDefault="00AD651A" w:rsidP="00AD651A">
            <w:pPr>
              <w:tabs>
                <w:tab w:val="left" w:pos="-1440"/>
                <w:tab w:val="left" w:pos="-720"/>
              </w:tabs>
              <w:jc w:val="both"/>
              <w:rPr>
                <w:lang w:val="fr-CA"/>
              </w:rPr>
            </w:pPr>
            <w:r w:rsidRPr="00AD651A">
              <w:rPr>
                <w:lang w:val="fr-CA"/>
              </w:rPr>
              <w:tab/>
              <w:t>v. (35379)</w:t>
            </w:r>
          </w:p>
          <w:p w:rsidR="00AD651A" w:rsidRPr="00AD651A" w:rsidRDefault="00AD651A" w:rsidP="00AD651A">
            <w:pPr>
              <w:tabs>
                <w:tab w:val="left" w:pos="-1440"/>
                <w:tab w:val="left" w:pos="-720"/>
              </w:tabs>
              <w:jc w:val="both"/>
              <w:rPr>
                <w:lang w:val="fr-CA"/>
              </w:rPr>
            </w:pPr>
          </w:p>
          <w:p w:rsidR="00AD651A" w:rsidRPr="00AD651A" w:rsidRDefault="00AD651A" w:rsidP="00AD651A">
            <w:pPr>
              <w:tabs>
                <w:tab w:val="left" w:pos="-1440"/>
                <w:tab w:val="left" w:pos="-720"/>
              </w:tabs>
              <w:jc w:val="both"/>
              <w:rPr>
                <w:lang w:val="fr-CA"/>
              </w:rPr>
            </w:pPr>
            <w:r w:rsidRPr="00AD651A">
              <w:rPr>
                <w:lang w:val="fr-CA"/>
              </w:rPr>
              <w:t>Minister of Natural Resources et al. (Ont.)</w:t>
            </w:r>
          </w:p>
        </w:tc>
        <w:tc>
          <w:tcPr>
            <w:tcW w:w="1170" w:type="dxa"/>
          </w:tcPr>
          <w:p w:rsidR="00AD651A" w:rsidRPr="00AD651A" w:rsidRDefault="00AD651A" w:rsidP="00AD651A">
            <w:pPr>
              <w:jc w:val="both"/>
              <w:rPr>
                <w:lang w:val="fr-CA"/>
              </w:rPr>
            </w:pPr>
          </w:p>
        </w:tc>
        <w:tc>
          <w:tcPr>
            <w:tcW w:w="4327" w:type="dxa"/>
          </w:tcPr>
          <w:p w:rsidR="00AD651A" w:rsidRPr="00AD651A" w:rsidRDefault="00AD651A" w:rsidP="00AD651A">
            <w:pPr>
              <w:jc w:val="both"/>
              <w:rPr>
                <w:lang w:val="fr-CA"/>
              </w:rPr>
            </w:pPr>
          </w:p>
        </w:tc>
      </w:tr>
    </w:tbl>
    <w:p w:rsidR="00AD651A" w:rsidRPr="00AD651A" w:rsidRDefault="00AD651A" w:rsidP="00AD651A">
      <w:pPr>
        <w:tabs>
          <w:tab w:val="left" w:pos="-1440"/>
          <w:tab w:val="left" w:pos="-720"/>
        </w:tabs>
        <w:jc w:val="both"/>
        <w:rPr>
          <w:rFonts w:eastAsia="Times New Roman" w:cs="Times New Roman"/>
          <w:sz w:val="20"/>
          <w:szCs w:val="20"/>
          <w:lang w:val="fr-CA" w:eastAsia="en-CA"/>
        </w:rPr>
      </w:pPr>
    </w:p>
    <w:p w:rsidR="00AD651A" w:rsidRPr="00AD651A" w:rsidRDefault="00AD651A" w:rsidP="00AD651A">
      <w:pPr>
        <w:tabs>
          <w:tab w:val="left" w:pos="-1440"/>
          <w:tab w:val="left" w:pos="-720"/>
        </w:tabs>
        <w:jc w:val="both"/>
        <w:rPr>
          <w:rFonts w:eastAsia="Times New Roman" w:cs="Times New Roman"/>
          <w:sz w:val="20"/>
          <w:szCs w:val="20"/>
          <w:lang w:val="fr-CA" w:eastAsia="en-CA"/>
        </w:rPr>
      </w:pPr>
      <w:r w:rsidRPr="00AD651A">
        <w:rPr>
          <w:rFonts w:eastAsia="Times New Roman" w:cs="Times New Roman"/>
          <w:b/>
          <w:sz w:val="20"/>
          <w:szCs w:val="20"/>
          <w:lang w:val="fr-CA" w:eastAsia="en-CA"/>
        </w:rPr>
        <w:t>GRANTED IN PART / ACCORDÉE EN PARTIE</w:t>
      </w:r>
    </w:p>
    <w:p w:rsidR="00AD651A" w:rsidRPr="00AD651A" w:rsidRDefault="00AD651A" w:rsidP="00AD651A">
      <w:pPr>
        <w:tabs>
          <w:tab w:val="left" w:pos="-1440"/>
          <w:tab w:val="left" w:pos="-720"/>
        </w:tabs>
        <w:jc w:val="both"/>
        <w:rPr>
          <w:rFonts w:eastAsia="Times New Roman" w:cs="Times New Roman"/>
          <w:sz w:val="20"/>
          <w:szCs w:val="20"/>
          <w:lang w:val="fr-CA" w:eastAsia="en-CA"/>
        </w:rPr>
      </w:pPr>
    </w:p>
    <w:p w:rsidR="00AD651A" w:rsidRPr="00AD651A" w:rsidRDefault="00AD651A" w:rsidP="00AD651A">
      <w:pPr>
        <w:jc w:val="both"/>
        <w:rPr>
          <w:rFonts w:eastAsia="Times New Roman" w:cs="Times New Roman"/>
          <w:sz w:val="20"/>
          <w:szCs w:val="20"/>
          <w:lang w:val="en-US" w:eastAsia="en-CA"/>
        </w:rPr>
      </w:pPr>
      <w:r w:rsidRPr="00AD651A">
        <w:rPr>
          <w:rFonts w:eastAsia="Times New Roman" w:cs="Times New Roman"/>
          <w:b/>
          <w:sz w:val="20"/>
          <w:szCs w:val="20"/>
          <w:lang w:val="en-US" w:eastAsia="en-CA"/>
        </w:rPr>
        <w:t>UPON APPLICATION</w:t>
      </w:r>
      <w:r w:rsidRPr="00AD651A">
        <w:rPr>
          <w:rFonts w:eastAsia="Times New Roman" w:cs="Times New Roman"/>
          <w:sz w:val="20"/>
          <w:szCs w:val="20"/>
          <w:lang w:val="en-US" w:eastAsia="en-CA"/>
        </w:rPr>
        <w:t xml:space="preserve"> by Andrew Keewatin Jr. and Joseph William Fobister, on their own behalf and on behalf of all other members of Grassy Narrows First Nation, the moving parties, for an order dispensing with various requirements of the </w:t>
      </w:r>
      <w:r w:rsidRPr="00AD651A">
        <w:rPr>
          <w:rFonts w:eastAsia="Times New Roman" w:cs="Times New Roman"/>
          <w:i/>
          <w:sz w:val="20"/>
          <w:szCs w:val="20"/>
          <w:lang w:val="en-US" w:eastAsia="en-CA"/>
        </w:rPr>
        <w:t>Rules of the Supreme Court of Canada</w:t>
      </w:r>
      <w:r w:rsidRPr="00AD651A">
        <w:rPr>
          <w:rFonts w:eastAsia="Times New Roman" w:cs="Times New Roman"/>
          <w:sz w:val="20"/>
          <w:szCs w:val="20"/>
          <w:lang w:val="en-US" w:eastAsia="en-CA"/>
        </w:rPr>
        <w:t xml:space="preserve">; </w:t>
      </w:r>
    </w:p>
    <w:p w:rsidR="00AD651A" w:rsidRPr="00AD651A" w:rsidRDefault="00AD651A" w:rsidP="00AD651A">
      <w:pPr>
        <w:jc w:val="both"/>
        <w:rPr>
          <w:rFonts w:eastAsia="Times New Roman" w:cs="Times New Roman"/>
          <w:sz w:val="20"/>
          <w:szCs w:val="20"/>
          <w:lang w:val="en-US" w:eastAsia="en-CA"/>
        </w:rPr>
      </w:pPr>
    </w:p>
    <w:p w:rsidR="00AD651A" w:rsidRPr="00AD651A" w:rsidRDefault="00AD651A" w:rsidP="00AD651A">
      <w:pPr>
        <w:jc w:val="both"/>
        <w:rPr>
          <w:rFonts w:eastAsia="Times New Roman" w:cs="Times New Roman"/>
          <w:sz w:val="20"/>
          <w:szCs w:val="20"/>
          <w:lang w:val="en-US" w:eastAsia="en-CA"/>
        </w:rPr>
      </w:pPr>
      <w:r w:rsidRPr="00AD651A">
        <w:rPr>
          <w:rFonts w:eastAsia="Times New Roman" w:cs="Times New Roman"/>
          <w:b/>
          <w:sz w:val="20"/>
          <w:szCs w:val="20"/>
          <w:lang w:val="en-US" w:eastAsia="en-CA"/>
        </w:rPr>
        <w:t>AND UPON APPLICATION</w:t>
      </w:r>
      <w:r w:rsidRPr="00AD651A">
        <w:rPr>
          <w:rFonts w:eastAsia="Times New Roman" w:cs="Times New Roman"/>
          <w:sz w:val="20"/>
          <w:szCs w:val="20"/>
          <w:lang w:val="en-US" w:eastAsia="en-CA"/>
        </w:rPr>
        <w:t xml:space="preserve"> by Andrew Keewatin Jr. and Joseph William Fobister, on their own behalf and on behalf of all other members of Grassy Narrows First Nation, the Attorney General of Canada and the Minister of Natural Resources for leave to file lengthy factums;</w:t>
      </w:r>
    </w:p>
    <w:p w:rsidR="00AD651A" w:rsidRPr="00AD651A" w:rsidRDefault="00AD651A" w:rsidP="00AD651A">
      <w:pPr>
        <w:jc w:val="both"/>
        <w:rPr>
          <w:rFonts w:eastAsia="Times New Roman" w:cs="Times New Roman"/>
          <w:sz w:val="20"/>
          <w:szCs w:val="20"/>
          <w:lang w:val="en-US" w:eastAsia="en-CA"/>
        </w:rPr>
      </w:pPr>
    </w:p>
    <w:p w:rsidR="00AD651A" w:rsidRPr="00AD651A" w:rsidRDefault="00AD651A" w:rsidP="00AD651A">
      <w:pPr>
        <w:jc w:val="both"/>
        <w:rPr>
          <w:rFonts w:eastAsia="Times New Roman" w:cs="Times New Roman"/>
          <w:sz w:val="20"/>
          <w:szCs w:val="20"/>
          <w:lang w:val="en-US" w:eastAsia="en-CA"/>
        </w:rPr>
      </w:pPr>
      <w:r w:rsidRPr="00AD651A">
        <w:rPr>
          <w:rFonts w:eastAsia="Times New Roman" w:cs="Times New Roman"/>
          <w:b/>
          <w:sz w:val="20"/>
          <w:szCs w:val="20"/>
          <w:lang w:val="en-US" w:eastAsia="en-CA"/>
        </w:rPr>
        <w:t>AND THE MATERIAL FILED</w:t>
      </w:r>
      <w:r w:rsidRPr="00AD651A">
        <w:rPr>
          <w:rFonts w:eastAsia="Times New Roman" w:cs="Times New Roman"/>
          <w:sz w:val="20"/>
          <w:szCs w:val="20"/>
          <w:lang w:val="en-US" w:eastAsia="en-CA"/>
        </w:rPr>
        <w:t xml:space="preserve"> having been read;</w:t>
      </w:r>
    </w:p>
    <w:p w:rsidR="00AD651A" w:rsidRPr="00AD651A" w:rsidRDefault="00AD651A" w:rsidP="00AD651A">
      <w:pPr>
        <w:jc w:val="both"/>
        <w:rPr>
          <w:rFonts w:eastAsia="Times New Roman" w:cs="Times New Roman"/>
          <w:sz w:val="20"/>
          <w:szCs w:val="20"/>
          <w:lang w:val="en-US" w:eastAsia="en-CA"/>
        </w:rPr>
      </w:pPr>
    </w:p>
    <w:p w:rsidR="00AD651A" w:rsidRPr="00AD651A" w:rsidRDefault="00AD651A" w:rsidP="00AD651A">
      <w:pPr>
        <w:jc w:val="both"/>
        <w:rPr>
          <w:rFonts w:eastAsia="Times New Roman" w:cs="Times New Roman"/>
          <w:sz w:val="20"/>
          <w:szCs w:val="20"/>
          <w:lang w:val="en-US" w:eastAsia="en-CA"/>
        </w:rPr>
      </w:pPr>
      <w:r w:rsidRPr="00AD651A">
        <w:rPr>
          <w:rFonts w:eastAsia="Times New Roman" w:cs="Times New Roman"/>
          <w:b/>
          <w:sz w:val="20"/>
          <w:szCs w:val="20"/>
          <w:lang w:val="en-US" w:eastAsia="en-CA"/>
        </w:rPr>
        <w:t>AND UPON THE CONSENT</w:t>
      </w:r>
      <w:r w:rsidRPr="00AD651A">
        <w:rPr>
          <w:rFonts w:eastAsia="Times New Roman" w:cs="Times New Roman"/>
          <w:sz w:val="20"/>
          <w:szCs w:val="20"/>
          <w:lang w:val="en-US" w:eastAsia="en-CA"/>
        </w:rPr>
        <w:t xml:space="preserve"> of all parties;</w:t>
      </w:r>
    </w:p>
    <w:p w:rsidR="00AD651A" w:rsidRPr="00AD651A" w:rsidRDefault="00AD651A" w:rsidP="00AD651A">
      <w:pPr>
        <w:jc w:val="both"/>
        <w:rPr>
          <w:rFonts w:eastAsia="Times New Roman" w:cs="Times New Roman"/>
          <w:b/>
          <w:sz w:val="20"/>
          <w:szCs w:val="20"/>
          <w:lang w:val="en-US" w:eastAsia="en-CA"/>
        </w:rPr>
      </w:pPr>
    </w:p>
    <w:p w:rsidR="00AD651A" w:rsidRPr="00AD651A" w:rsidRDefault="00AD651A" w:rsidP="00AD651A">
      <w:pPr>
        <w:jc w:val="both"/>
        <w:rPr>
          <w:rFonts w:eastAsia="Times New Roman" w:cs="Times New Roman"/>
          <w:sz w:val="20"/>
          <w:szCs w:val="20"/>
          <w:lang w:val="en-US" w:eastAsia="en-CA"/>
        </w:rPr>
      </w:pPr>
      <w:r w:rsidRPr="00AD651A">
        <w:rPr>
          <w:rFonts w:eastAsia="Times New Roman" w:cs="Times New Roman"/>
          <w:b/>
          <w:sz w:val="20"/>
          <w:szCs w:val="20"/>
          <w:lang w:val="en-US" w:eastAsia="en-CA"/>
        </w:rPr>
        <w:t>AND THERE BEING</w:t>
      </w:r>
      <w:r w:rsidRPr="00AD651A">
        <w:rPr>
          <w:rFonts w:eastAsia="Times New Roman" w:cs="Times New Roman"/>
          <w:sz w:val="20"/>
          <w:szCs w:val="20"/>
          <w:lang w:val="en-US" w:eastAsia="en-CA"/>
        </w:rPr>
        <w:t xml:space="preserve"> no evidence filed to explain why the legal issues in this appeal cannot be succinctly and adequately addressed in a factum of 40 pages or less; </w:t>
      </w:r>
    </w:p>
    <w:p w:rsidR="00AD651A" w:rsidRPr="00AD651A" w:rsidRDefault="00AD651A" w:rsidP="00AD651A">
      <w:pPr>
        <w:jc w:val="both"/>
        <w:rPr>
          <w:rFonts w:eastAsia="Times New Roman" w:cs="Times New Roman"/>
          <w:sz w:val="20"/>
          <w:szCs w:val="20"/>
          <w:lang w:val="en-US" w:eastAsia="en-CA"/>
        </w:rPr>
      </w:pPr>
    </w:p>
    <w:p w:rsidR="00AD651A" w:rsidRPr="00AD651A" w:rsidRDefault="00AD651A" w:rsidP="00AD651A">
      <w:pPr>
        <w:jc w:val="both"/>
        <w:rPr>
          <w:rFonts w:eastAsia="Times New Roman" w:cs="Times New Roman"/>
          <w:sz w:val="20"/>
          <w:szCs w:val="20"/>
          <w:lang w:val="en-US" w:eastAsia="en-CA"/>
        </w:rPr>
      </w:pPr>
      <w:r w:rsidRPr="00AD651A">
        <w:rPr>
          <w:rFonts w:eastAsia="Times New Roman" w:cs="Times New Roman"/>
          <w:b/>
          <w:sz w:val="20"/>
          <w:szCs w:val="20"/>
          <w:lang w:val="en-US" w:eastAsia="en-CA"/>
        </w:rPr>
        <w:t>IT IS HEREBY ORDERED THAT</w:t>
      </w:r>
      <w:r w:rsidRPr="00AD651A">
        <w:rPr>
          <w:rFonts w:eastAsia="Times New Roman" w:cs="Times New Roman"/>
          <w:sz w:val="20"/>
          <w:szCs w:val="20"/>
          <w:lang w:val="en-US" w:eastAsia="en-CA"/>
        </w:rPr>
        <w:t>:</w:t>
      </w:r>
    </w:p>
    <w:p w:rsidR="00AD651A" w:rsidRPr="00AD651A" w:rsidRDefault="00AD651A" w:rsidP="00AD651A">
      <w:pPr>
        <w:jc w:val="both"/>
        <w:rPr>
          <w:rFonts w:eastAsia="Times New Roman" w:cs="Times New Roman"/>
          <w:sz w:val="20"/>
          <w:szCs w:val="20"/>
          <w:lang w:val="en-US" w:eastAsia="en-CA"/>
        </w:rPr>
      </w:pPr>
    </w:p>
    <w:p w:rsidR="00AD651A" w:rsidRPr="00AD651A" w:rsidRDefault="00AD651A" w:rsidP="00AD651A">
      <w:pPr>
        <w:numPr>
          <w:ilvl w:val="0"/>
          <w:numId w:val="7"/>
        </w:numPr>
        <w:contextualSpacing/>
        <w:jc w:val="both"/>
        <w:rPr>
          <w:sz w:val="20"/>
          <w:szCs w:val="20"/>
        </w:rPr>
      </w:pPr>
      <w:r w:rsidRPr="00AD651A">
        <w:rPr>
          <w:sz w:val="20"/>
          <w:szCs w:val="20"/>
        </w:rPr>
        <w:t>The appellants and respondents are excused from serving a printed version of the record and book of authorities on all other parties and interveners.</w:t>
      </w:r>
    </w:p>
    <w:p w:rsidR="00AD651A" w:rsidRPr="00AD651A" w:rsidRDefault="00AD651A" w:rsidP="00AD651A">
      <w:pPr>
        <w:jc w:val="both"/>
        <w:rPr>
          <w:rFonts w:eastAsia="Times New Roman" w:cs="Times New Roman"/>
          <w:sz w:val="20"/>
          <w:szCs w:val="20"/>
          <w:lang w:val="en-US" w:eastAsia="en-CA"/>
        </w:rPr>
      </w:pPr>
    </w:p>
    <w:p w:rsidR="00AD651A" w:rsidRPr="00AD651A" w:rsidRDefault="00AD651A" w:rsidP="00AD651A">
      <w:pPr>
        <w:numPr>
          <w:ilvl w:val="0"/>
          <w:numId w:val="7"/>
        </w:numPr>
        <w:contextualSpacing/>
        <w:jc w:val="both"/>
        <w:rPr>
          <w:sz w:val="20"/>
          <w:szCs w:val="20"/>
        </w:rPr>
      </w:pPr>
      <w:r w:rsidRPr="00AD651A">
        <w:rPr>
          <w:sz w:val="20"/>
          <w:szCs w:val="20"/>
        </w:rPr>
        <w:t xml:space="preserve">Interveners are excused from serving a printed version of their book of authorities on all other parties and interveners. </w:t>
      </w:r>
    </w:p>
    <w:p w:rsidR="00AD651A" w:rsidRPr="00AD651A" w:rsidRDefault="00AD651A" w:rsidP="00AD651A">
      <w:pPr>
        <w:ind w:left="720"/>
        <w:contextualSpacing/>
        <w:jc w:val="both"/>
        <w:rPr>
          <w:sz w:val="20"/>
          <w:szCs w:val="20"/>
        </w:rPr>
      </w:pPr>
    </w:p>
    <w:p w:rsidR="00AD651A" w:rsidRPr="00AD651A" w:rsidRDefault="00AD651A" w:rsidP="00AD651A">
      <w:pPr>
        <w:numPr>
          <w:ilvl w:val="0"/>
          <w:numId w:val="7"/>
        </w:numPr>
        <w:contextualSpacing/>
        <w:jc w:val="both"/>
        <w:rPr>
          <w:sz w:val="20"/>
          <w:szCs w:val="20"/>
        </w:rPr>
      </w:pPr>
      <w:r w:rsidRPr="00AD651A">
        <w:rPr>
          <w:sz w:val="20"/>
          <w:szCs w:val="20"/>
        </w:rPr>
        <w:t>The appellant, Leslie Cameron, on his own behalf and on behalf of all other members of Wabauskang First Nation, is excused from serving and filing an appellant’s record and may rely upon the appellants’ record filed by the moving parties.</w:t>
      </w:r>
    </w:p>
    <w:p w:rsidR="00AD651A" w:rsidRPr="00AD651A" w:rsidRDefault="00AD651A" w:rsidP="00AD651A">
      <w:pPr>
        <w:ind w:left="720"/>
        <w:contextualSpacing/>
        <w:jc w:val="both"/>
        <w:rPr>
          <w:sz w:val="20"/>
          <w:szCs w:val="20"/>
        </w:rPr>
      </w:pPr>
    </w:p>
    <w:p w:rsidR="00AD651A" w:rsidRPr="00AD651A" w:rsidRDefault="00AD651A" w:rsidP="00AD651A">
      <w:pPr>
        <w:numPr>
          <w:ilvl w:val="0"/>
          <w:numId w:val="7"/>
        </w:numPr>
        <w:contextualSpacing/>
        <w:jc w:val="both"/>
        <w:rPr>
          <w:sz w:val="20"/>
          <w:szCs w:val="20"/>
        </w:rPr>
      </w:pPr>
      <w:r w:rsidRPr="00AD651A">
        <w:rPr>
          <w:sz w:val="20"/>
          <w:szCs w:val="20"/>
        </w:rPr>
        <w:t xml:space="preserve">The moving parties shall file one copy of the electronic version and two copies of the full printed version of the full record (Parts I to IV). The moving parties are excused from filing with the Registrar 11 copies of Parts III and IV of the record. They shall file 1 copy of the electronic version, 1 original and 11 copies of the printed version of an “Extract Book” containing extracts of exhibits and transcripts relied upon. </w:t>
      </w:r>
    </w:p>
    <w:p w:rsidR="00AD651A" w:rsidRPr="00AD651A" w:rsidRDefault="00AD651A" w:rsidP="00AD651A">
      <w:pPr>
        <w:ind w:left="720"/>
        <w:contextualSpacing/>
        <w:jc w:val="both"/>
        <w:rPr>
          <w:sz w:val="20"/>
          <w:szCs w:val="20"/>
        </w:rPr>
      </w:pPr>
    </w:p>
    <w:p w:rsidR="00AD651A" w:rsidRPr="00AD651A" w:rsidRDefault="00AD651A" w:rsidP="00AD651A">
      <w:pPr>
        <w:numPr>
          <w:ilvl w:val="0"/>
          <w:numId w:val="7"/>
        </w:numPr>
        <w:contextualSpacing/>
        <w:jc w:val="both"/>
        <w:rPr>
          <w:sz w:val="20"/>
          <w:szCs w:val="20"/>
        </w:rPr>
      </w:pPr>
      <w:r w:rsidRPr="00AD651A">
        <w:rPr>
          <w:sz w:val="20"/>
          <w:szCs w:val="20"/>
        </w:rPr>
        <w:lastRenderedPageBreak/>
        <w:t>The respondents shall file one copy of the electronic version and two copies of the printed version of the full record (Parts I to III). The respondents shall also file 1 copy of the electronic version, 1 original and 11 copies of the printed version of an “Extract Book” containing extracts of exhibits and transcripts relied upon but not already included in the appellants’ “Extract Book”.</w:t>
      </w:r>
    </w:p>
    <w:p w:rsidR="00AD651A" w:rsidRPr="00AD651A" w:rsidRDefault="00AD651A" w:rsidP="00AD651A">
      <w:pPr>
        <w:ind w:left="720"/>
        <w:contextualSpacing/>
        <w:jc w:val="both"/>
        <w:rPr>
          <w:sz w:val="20"/>
          <w:szCs w:val="20"/>
        </w:rPr>
      </w:pPr>
    </w:p>
    <w:p w:rsidR="00AD651A" w:rsidRPr="00AD651A" w:rsidRDefault="00AD651A" w:rsidP="00AD651A">
      <w:pPr>
        <w:numPr>
          <w:ilvl w:val="0"/>
          <w:numId w:val="7"/>
        </w:numPr>
        <w:contextualSpacing/>
        <w:jc w:val="both"/>
        <w:rPr>
          <w:sz w:val="20"/>
          <w:szCs w:val="20"/>
        </w:rPr>
      </w:pPr>
      <w:r w:rsidRPr="00AD651A">
        <w:rPr>
          <w:sz w:val="20"/>
          <w:szCs w:val="20"/>
        </w:rPr>
        <w:t xml:space="preserve">The appellants and respondents shall serve one electronic version and one printed version of their “Extract Book” on all other parties. They shall also serve one electronic version of that “Extract Book” on all interveners. </w:t>
      </w:r>
    </w:p>
    <w:p w:rsidR="00AD651A" w:rsidRPr="00AD651A" w:rsidRDefault="00AD651A" w:rsidP="00AD651A">
      <w:pPr>
        <w:jc w:val="both"/>
        <w:rPr>
          <w:rFonts w:eastAsia="Times New Roman" w:cs="Times New Roman"/>
          <w:sz w:val="20"/>
          <w:szCs w:val="20"/>
          <w:lang w:val="en-US" w:eastAsia="en-CA"/>
        </w:rPr>
      </w:pPr>
    </w:p>
    <w:p w:rsidR="00AD651A" w:rsidRPr="00AD651A" w:rsidRDefault="00AD651A" w:rsidP="00AD651A">
      <w:pPr>
        <w:numPr>
          <w:ilvl w:val="0"/>
          <w:numId w:val="7"/>
        </w:numPr>
        <w:contextualSpacing/>
        <w:jc w:val="both"/>
        <w:rPr>
          <w:sz w:val="20"/>
          <w:szCs w:val="20"/>
        </w:rPr>
      </w:pPr>
      <w:r w:rsidRPr="00AD651A">
        <w:rPr>
          <w:sz w:val="20"/>
          <w:szCs w:val="20"/>
        </w:rPr>
        <w:t xml:space="preserve">Unless otherwise ordered herein, all other service and filing requirements set out in the </w:t>
      </w:r>
      <w:r w:rsidRPr="00AD651A">
        <w:rPr>
          <w:i/>
          <w:sz w:val="20"/>
          <w:szCs w:val="20"/>
        </w:rPr>
        <w:t>Rules of the Supreme Court of Canada</w:t>
      </w:r>
      <w:r w:rsidRPr="00AD651A">
        <w:rPr>
          <w:sz w:val="20"/>
          <w:szCs w:val="20"/>
        </w:rPr>
        <w:t xml:space="preserve"> continue to apply to these proceedings.</w:t>
      </w:r>
    </w:p>
    <w:p w:rsidR="00AD651A" w:rsidRPr="00AD651A" w:rsidRDefault="00AD651A" w:rsidP="00AD651A">
      <w:pPr>
        <w:ind w:left="720"/>
        <w:contextualSpacing/>
        <w:jc w:val="both"/>
        <w:rPr>
          <w:sz w:val="20"/>
          <w:szCs w:val="20"/>
        </w:rPr>
      </w:pPr>
    </w:p>
    <w:p w:rsidR="00AD651A" w:rsidRPr="00AD651A" w:rsidRDefault="00AD651A" w:rsidP="00AD651A">
      <w:pPr>
        <w:numPr>
          <w:ilvl w:val="0"/>
          <w:numId w:val="7"/>
        </w:numPr>
        <w:contextualSpacing/>
        <w:jc w:val="both"/>
        <w:rPr>
          <w:sz w:val="20"/>
          <w:szCs w:val="20"/>
        </w:rPr>
      </w:pPr>
      <w:r w:rsidRPr="00AD651A">
        <w:rPr>
          <w:sz w:val="20"/>
          <w:szCs w:val="20"/>
        </w:rPr>
        <w:t>The motion to file factums in excess of 40 pages is dismissed.</w:t>
      </w:r>
    </w:p>
    <w:p w:rsidR="00AD651A" w:rsidRPr="00AD651A" w:rsidRDefault="00AD651A" w:rsidP="00AD651A">
      <w:pPr>
        <w:ind w:left="720"/>
        <w:contextualSpacing/>
        <w:jc w:val="both"/>
        <w:rPr>
          <w:sz w:val="20"/>
          <w:szCs w:val="20"/>
        </w:rPr>
      </w:pPr>
    </w:p>
    <w:p w:rsidR="00AD651A" w:rsidRPr="00AD651A" w:rsidRDefault="00AD651A" w:rsidP="00AD651A">
      <w:pPr>
        <w:numPr>
          <w:ilvl w:val="0"/>
          <w:numId w:val="7"/>
        </w:numPr>
        <w:spacing w:line="233" w:lineRule="auto"/>
        <w:contextualSpacing/>
        <w:jc w:val="both"/>
        <w:rPr>
          <w:rFonts w:cs="Times New Roman"/>
          <w:sz w:val="20"/>
          <w:szCs w:val="20"/>
        </w:rPr>
      </w:pPr>
      <w:r w:rsidRPr="00AD651A">
        <w:rPr>
          <w:rFonts w:cs="Times New Roman"/>
          <w:sz w:val="20"/>
          <w:szCs w:val="20"/>
        </w:rPr>
        <w:t>Parties with identical or similar interests are instructed to consult, in order to ensure, as far as possible, that their factums are not redundant or repetitive.</w:t>
      </w:r>
    </w:p>
    <w:p w:rsidR="00AD651A" w:rsidRPr="00AD651A" w:rsidRDefault="00AD651A" w:rsidP="00AD651A">
      <w:pPr>
        <w:ind w:left="720"/>
        <w:contextualSpacing/>
        <w:jc w:val="both"/>
        <w:rPr>
          <w:rFonts w:cs="Times New Roman"/>
          <w:b/>
          <w:sz w:val="20"/>
          <w:szCs w:val="20"/>
        </w:rPr>
      </w:pPr>
    </w:p>
    <w:p w:rsidR="00AD651A" w:rsidRPr="00AD651A" w:rsidRDefault="00AD651A" w:rsidP="00AD651A">
      <w:pPr>
        <w:spacing w:line="233" w:lineRule="auto"/>
        <w:jc w:val="both"/>
        <w:rPr>
          <w:rFonts w:eastAsia="Times New Roman" w:cs="Times New Roman"/>
          <w:b/>
          <w:sz w:val="20"/>
          <w:szCs w:val="20"/>
          <w:lang w:val="en-US" w:eastAsia="en-CA"/>
        </w:rPr>
      </w:pPr>
    </w:p>
    <w:p w:rsidR="00AD651A" w:rsidRPr="00AD651A" w:rsidRDefault="00AD651A" w:rsidP="00AD651A">
      <w:pPr>
        <w:spacing w:line="233" w:lineRule="auto"/>
        <w:jc w:val="both"/>
        <w:rPr>
          <w:rFonts w:eastAsia="Times New Roman" w:cs="Times New Roman"/>
          <w:b/>
          <w:sz w:val="20"/>
          <w:szCs w:val="20"/>
          <w:lang w:val="en-US" w:eastAsia="en-CA"/>
        </w:rPr>
      </w:pPr>
    </w:p>
    <w:p w:rsidR="00AD651A" w:rsidRPr="00AD651A" w:rsidRDefault="00AD651A" w:rsidP="00AD651A">
      <w:pPr>
        <w:jc w:val="both"/>
        <w:rPr>
          <w:rFonts w:eastAsia="Times New Roman" w:cs="Times New Roman"/>
          <w:sz w:val="20"/>
          <w:szCs w:val="20"/>
          <w:lang w:val="fr-CA" w:eastAsia="en-CA"/>
        </w:rPr>
      </w:pPr>
      <w:r w:rsidRPr="00AD651A">
        <w:rPr>
          <w:rFonts w:eastAsia="Times New Roman" w:cs="Times New Roman"/>
          <w:b/>
          <w:sz w:val="20"/>
          <w:szCs w:val="20"/>
          <w:lang w:val="fr-CA" w:eastAsia="en-CA"/>
        </w:rPr>
        <w:t xml:space="preserve">À LA SUITE DE LA DEMANDE </w:t>
      </w:r>
      <w:r w:rsidRPr="00AD651A">
        <w:rPr>
          <w:rFonts w:eastAsia="Times New Roman" w:cs="Times New Roman"/>
          <w:sz w:val="20"/>
          <w:szCs w:val="20"/>
          <w:lang w:val="fr-CA" w:eastAsia="en-CA"/>
        </w:rPr>
        <w:t xml:space="preserve">présentée par Andrew Keewatin fils et Joseph William Fobister, en leur propre nom et au nom de tous les autres membres de la Première nation Grassy Narrows, les parties requérantes, en vue d’être dispensés de satisfaire à plusieurs exigences des </w:t>
      </w:r>
      <w:r w:rsidRPr="00AD651A">
        <w:rPr>
          <w:rFonts w:eastAsia="Times New Roman" w:cs="Times New Roman"/>
          <w:i/>
          <w:sz w:val="20"/>
          <w:szCs w:val="20"/>
          <w:lang w:val="fr-CA" w:eastAsia="en-CA"/>
        </w:rPr>
        <w:t>Règles de la Cour suprême du Canada</w:t>
      </w:r>
      <w:r w:rsidRPr="00AD651A">
        <w:rPr>
          <w:rFonts w:eastAsia="Times New Roman" w:cs="Times New Roman"/>
          <w:sz w:val="20"/>
          <w:szCs w:val="20"/>
          <w:lang w:val="fr-CA" w:eastAsia="en-CA"/>
        </w:rPr>
        <w:t xml:space="preserve">; </w:t>
      </w:r>
    </w:p>
    <w:p w:rsidR="00AD651A" w:rsidRPr="00AD651A" w:rsidRDefault="00AD651A" w:rsidP="00AD651A">
      <w:pPr>
        <w:jc w:val="both"/>
        <w:rPr>
          <w:rFonts w:eastAsia="Times New Roman" w:cs="Times New Roman"/>
          <w:sz w:val="20"/>
          <w:szCs w:val="20"/>
          <w:lang w:val="fr-CA" w:eastAsia="en-CA"/>
        </w:rPr>
      </w:pPr>
    </w:p>
    <w:p w:rsidR="00AD651A" w:rsidRPr="00AD651A" w:rsidRDefault="00AD651A" w:rsidP="00AD651A">
      <w:pPr>
        <w:jc w:val="both"/>
        <w:rPr>
          <w:rFonts w:eastAsia="Times New Roman" w:cs="Times New Roman"/>
          <w:sz w:val="20"/>
          <w:szCs w:val="20"/>
          <w:lang w:val="fr-CA" w:eastAsia="en-CA"/>
        </w:rPr>
      </w:pPr>
      <w:r w:rsidRPr="00AD651A">
        <w:rPr>
          <w:rFonts w:eastAsia="Times New Roman" w:cs="Times New Roman"/>
          <w:b/>
          <w:sz w:val="20"/>
          <w:szCs w:val="20"/>
          <w:lang w:val="fr-CA" w:eastAsia="en-CA"/>
        </w:rPr>
        <w:t xml:space="preserve">ET À LA SUITE DE LA DEMANDE </w:t>
      </w:r>
      <w:r w:rsidRPr="00AD651A">
        <w:rPr>
          <w:rFonts w:eastAsia="Times New Roman" w:cs="Times New Roman"/>
          <w:sz w:val="20"/>
          <w:szCs w:val="20"/>
          <w:lang w:val="fr-CA" w:eastAsia="en-CA"/>
        </w:rPr>
        <w:t>d’autorisation de déposer des mémoires volumineux présentée par Andrew Keewatin fils et Joseph William Fobister, en leur propre nom et au nom de tous les autres membres de la Première nation Grassy Narrows, par le procureur général du Canada et par le ministre des Ressources naturelles;</w:t>
      </w:r>
    </w:p>
    <w:p w:rsidR="00AD651A" w:rsidRPr="00AD651A" w:rsidRDefault="00AD651A" w:rsidP="00AD651A">
      <w:pPr>
        <w:jc w:val="both"/>
        <w:rPr>
          <w:rFonts w:eastAsia="Times New Roman" w:cs="Times New Roman"/>
          <w:sz w:val="20"/>
          <w:szCs w:val="20"/>
          <w:lang w:val="fr-CA" w:eastAsia="en-CA"/>
        </w:rPr>
      </w:pPr>
    </w:p>
    <w:p w:rsidR="00AD651A" w:rsidRPr="00AD651A" w:rsidRDefault="00AD651A" w:rsidP="00AD651A">
      <w:pPr>
        <w:jc w:val="both"/>
        <w:rPr>
          <w:rFonts w:eastAsia="Times New Roman" w:cs="Times New Roman"/>
          <w:sz w:val="20"/>
          <w:szCs w:val="20"/>
          <w:lang w:val="fr-CA" w:eastAsia="en-CA"/>
        </w:rPr>
      </w:pPr>
      <w:r w:rsidRPr="00AD651A">
        <w:rPr>
          <w:rFonts w:eastAsia="Times New Roman" w:cs="Times New Roman"/>
          <w:b/>
          <w:sz w:val="20"/>
          <w:szCs w:val="20"/>
          <w:lang w:val="fr-CA" w:eastAsia="en-CA"/>
        </w:rPr>
        <w:t xml:space="preserve">ET APRÈS EXAMEN </w:t>
      </w:r>
      <w:r w:rsidRPr="00AD651A">
        <w:rPr>
          <w:rFonts w:eastAsia="Times New Roman" w:cs="Times New Roman"/>
          <w:sz w:val="20"/>
          <w:szCs w:val="20"/>
          <w:lang w:val="fr-CA" w:eastAsia="en-CA"/>
        </w:rPr>
        <w:t>des documents déposés;</w:t>
      </w:r>
    </w:p>
    <w:p w:rsidR="00AD651A" w:rsidRPr="00AD651A" w:rsidRDefault="00AD651A" w:rsidP="00AD651A">
      <w:pPr>
        <w:jc w:val="both"/>
        <w:rPr>
          <w:rFonts w:eastAsia="Times New Roman" w:cs="Times New Roman"/>
          <w:sz w:val="20"/>
          <w:szCs w:val="20"/>
          <w:lang w:val="fr-CA" w:eastAsia="en-CA"/>
        </w:rPr>
      </w:pPr>
    </w:p>
    <w:p w:rsidR="00AD651A" w:rsidRPr="00AD651A" w:rsidRDefault="00AD651A" w:rsidP="00AD651A">
      <w:pPr>
        <w:jc w:val="both"/>
        <w:rPr>
          <w:rFonts w:eastAsia="Times New Roman" w:cs="Times New Roman"/>
          <w:sz w:val="20"/>
          <w:szCs w:val="20"/>
          <w:lang w:val="fr-CA" w:eastAsia="en-CA"/>
        </w:rPr>
      </w:pPr>
      <w:r w:rsidRPr="00AD651A">
        <w:rPr>
          <w:rFonts w:eastAsia="Times New Roman" w:cs="Times New Roman"/>
          <w:b/>
          <w:sz w:val="20"/>
          <w:szCs w:val="20"/>
          <w:lang w:val="fr-CA" w:eastAsia="en-CA"/>
        </w:rPr>
        <w:t xml:space="preserve">ET AVEC LE CONSENTEMENT </w:t>
      </w:r>
      <w:r w:rsidRPr="00AD651A">
        <w:rPr>
          <w:rFonts w:eastAsia="Times New Roman" w:cs="Times New Roman"/>
          <w:sz w:val="20"/>
          <w:szCs w:val="20"/>
          <w:lang w:val="fr-CA" w:eastAsia="en-CA"/>
        </w:rPr>
        <w:t>de toutes les parties;</w:t>
      </w:r>
    </w:p>
    <w:p w:rsidR="00AD651A" w:rsidRPr="00AD651A" w:rsidRDefault="00AD651A" w:rsidP="00AD651A">
      <w:pPr>
        <w:jc w:val="both"/>
        <w:rPr>
          <w:rFonts w:eastAsia="Times New Roman" w:cs="Times New Roman"/>
          <w:sz w:val="20"/>
          <w:szCs w:val="20"/>
          <w:lang w:val="fr-CA" w:eastAsia="en-CA"/>
        </w:rPr>
      </w:pPr>
    </w:p>
    <w:p w:rsidR="00AD651A" w:rsidRPr="00AD651A" w:rsidRDefault="00AD651A" w:rsidP="00AD651A">
      <w:pPr>
        <w:jc w:val="both"/>
        <w:rPr>
          <w:rFonts w:eastAsia="Times New Roman" w:cs="Times New Roman"/>
          <w:sz w:val="20"/>
          <w:szCs w:val="20"/>
          <w:lang w:val="fr-CA" w:eastAsia="en-CA"/>
        </w:rPr>
      </w:pPr>
      <w:r w:rsidRPr="00AD651A">
        <w:rPr>
          <w:rFonts w:eastAsia="Times New Roman" w:cs="Times New Roman"/>
          <w:b/>
          <w:sz w:val="20"/>
          <w:szCs w:val="20"/>
          <w:lang w:val="fr-CA" w:eastAsia="en-CA"/>
        </w:rPr>
        <w:t xml:space="preserve">ET VU </w:t>
      </w:r>
      <w:r w:rsidRPr="00AD651A">
        <w:rPr>
          <w:rFonts w:eastAsia="Times New Roman" w:cs="Times New Roman"/>
          <w:sz w:val="20"/>
          <w:szCs w:val="20"/>
          <w:lang w:val="fr-CA" w:eastAsia="en-CA"/>
        </w:rPr>
        <w:t xml:space="preserve">l’absence de preuve déposée afin d’expliquer pourquoi il est impossible de traiter succinctement et adéquatement des questions juridiques en l’espèce dans un mémoire d’au plus 40 pages; </w:t>
      </w:r>
    </w:p>
    <w:p w:rsidR="00AD651A" w:rsidRPr="00AD651A" w:rsidRDefault="00AD651A" w:rsidP="00AD651A">
      <w:pPr>
        <w:jc w:val="both"/>
        <w:rPr>
          <w:rFonts w:eastAsia="Times New Roman" w:cs="Times New Roman"/>
          <w:sz w:val="20"/>
          <w:szCs w:val="20"/>
          <w:lang w:val="fr-CA" w:eastAsia="en-CA"/>
        </w:rPr>
      </w:pPr>
    </w:p>
    <w:p w:rsidR="00AD651A" w:rsidRPr="00AD651A" w:rsidRDefault="00AD651A" w:rsidP="00AD651A">
      <w:pPr>
        <w:jc w:val="both"/>
        <w:rPr>
          <w:rFonts w:eastAsia="Times New Roman" w:cs="Times New Roman"/>
          <w:sz w:val="20"/>
          <w:szCs w:val="20"/>
          <w:lang w:val="fr-CA" w:eastAsia="en-CA"/>
        </w:rPr>
      </w:pPr>
      <w:r w:rsidRPr="00AD651A">
        <w:rPr>
          <w:rFonts w:eastAsia="Times New Roman" w:cs="Times New Roman"/>
          <w:b/>
          <w:sz w:val="20"/>
          <w:szCs w:val="20"/>
          <w:lang w:val="fr-CA" w:eastAsia="en-CA"/>
        </w:rPr>
        <w:t xml:space="preserve">IL EST ORDONNÉ CE QUI SUIT </w:t>
      </w:r>
      <w:r w:rsidRPr="00AD651A">
        <w:rPr>
          <w:rFonts w:eastAsia="Times New Roman" w:cs="Times New Roman"/>
          <w:sz w:val="20"/>
          <w:szCs w:val="20"/>
          <w:lang w:val="fr-CA" w:eastAsia="en-CA"/>
        </w:rPr>
        <w:t>:</w:t>
      </w:r>
    </w:p>
    <w:p w:rsidR="00AD651A" w:rsidRPr="00AD651A" w:rsidRDefault="00AD651A" w:rsidP="00AD651A">
      <w:pPr>
        <w:jc w:val="both"/>
        <w:rPr>
          <w:rFonts w:eastAsia="Times New Roman" w:cs="Times New Roman"/>
          <w:sz w:val="20"/>
          <w:szCs w:val="20"/>
          <w:lang w:val="fr-CA" w:eastAsia="en-CA"/>
        </w:rPr>
      </w:pPr>
    </w:p>
    <w:p w:rsidR="00AD651A" w:rsidRPr="00AD651A" w:rsidRDefault="00AD651A" w:rsidP="00AD651A">
      <w:pPr>
        <w:numPr>
          <w:ilvl w:val="0"/>
          <w:numId w:val="9"/>
        </w:numPr>
        <w:contextualSpacing/>
        <w:jc w:val="both"/>
        <w:rPr>
          <w:sz w:val="20"/>
          <w:szCs w:val="20"/>
          <w:lang w:val="fr-CA"/>
        </w:rPr>
      </w:pPr>
      <w:r w:rsidRPr="00AD651A">
        <w:rPr>
          <w:sz w:val="20"/>
          <w:szCs w:val="20"/>
          <w:lang w:val="fr-CA"/>
        </w:rPr>
        <w:t>Les appelants et les intimés sont dispensés de signifier une version imprimée du dossier et du recueil de sources à toutes les autres parties et aux intervenants.</w:t>
      </w:r>
    </w:p>
    <w:p w:rsidR="00AD651A" w:rsidRPr="00AD651A" w:rsidRDefault="00AD651A" w:rsidP="00AD651A">
      <w:pPr>
        <w:ind w:left="720"/>
        <w:contextualSpacing/>
        <w:jc w:val="both"/>
        <w:rPr>
          <w:sz w:val="20"/>
          <w:szCs w:val="20"/>
          <w:lang w:val="fr-CA"/>
        </w:rPr>
      </w:pPr>
    </w:p>
    <w:p w:rsidR="00AD651A" w:rsidRPr="00AD651A" w:rsidRDefault="00AD651A" w:rsidP="00AD651A">
      <w:pPr>
        <w:numPr>
          <w:ilvl w:val="0"/>
          <w:numId w:val="9"/>
        </w:numPr>
        <w:contextualSpacing/>
        <w:jc w:val="both"/>
        <w:rPr>
          <w:sz w:val="20"/>
          <w:szCs w:val="20"/>
          <w:lang w:val="fr-CA"/>
        </w:rPr>
      </w:pPr>
      <w:r w:rsidRPr="00AD651A">
        <w:rPr>
          <w:sz w:val="20"/>
          <w:szCs w:val="20"/>
          <w:lang w:val="fr-CA"/>
        </w:rPr>
        <w:t>Les intervenants sont dispensés de signifier une version imprimée de leur recueil de sources aux parties et à tous les autres intervenants.</w:t>
      </w:r>
    </w:p>
    <w:p w:rsidR="00AD651A" w:rsidRPr="00AD651A" w:rsidRDefault="00AD651A" w:rsidP="00AD651A">
      <w:pPr>
        <w:jc w:val="both"/>
        <w:rPr>
          <w:rFonts w:eastAsia="Times New Roman" w:cs="Times New Roman"/>
          <w:sz w:val="20"/>
          <w:szCs w:val="20"/>
          <w:lang w:val="fr-CA" w:eastAsia="en-CA"/>
        </w:rPr>
      </w:pPr>
    </w:p>
    <w:p w:rsidR="00AD651A" w:rsidRPr="00AD651A" w:rsidRDefault="00AD651A" w:rsidP="00AD651A">
      <w:pPr>
        <w:numPr>
          <w:ilvl w:val="0"/>
          <w:numId w:val="9"/>
        </w:numPr>
        <w:contextualSpacing/>
        <w:jc w:val="both"/>
        <w:rPr>
          <w:sz w:val="20"/>
          <w:szCs w:val="20"/>
          <w:lang w:val="fr-CA"/>
        </w:rPr>
      </w:pPr>
      <w:r w:rsidRPr="00AD651A">
        <w:rPr>
          <w:sz w:val="20"/>
          <w:szCs w:val="20"/>
          <w:lang w:val="fr-CA"/>
        </w:rPr>
        <w:t xml:space="preserve">L’appelant Leslie Cameron, en son propre nom et au nom de tous les autres membres de la Première nation de Wabauskang, est dispensé de signifier et de déposer un dossier d’appelant et il peut s’appuyer sur le dossier des appelants déposé par les parties requérantes. </w:t>
      </w:r>
    </w:p>
    <w:p w:rsidR="00AD651A" w:rsidRPr="00AD651A" w:rsidRDefault="00AD651A" w:rsidP="00AD651A">
      <w:pPr>
        <w:ind w:left="720"/>
        <w:contextualSpacing/>
        <w:jc w:val="both"/>
        <w:rPr>
          <w:sz w:val="20"/>
          <w:szCs w:val="20"/>
          <w:lang w:val="fr-CA"/>
        </w:rPr>
      </w:pPr>
    </w:p>
    <w:p w:rsidR="00AD651A" w:rsidRPr="00AD651A" w:rsidRDefault="00AD651A" w:rsidP="00AD651A">
      <w:pPr>
        <w:numPr>
          <w:ilvl w:val="0"/>
          <w:numId w:val="9"/>
        </w:numPr>
        <w:contextualSpacing/>
        <w:jc w:val="both"/>
        <w:rPr>
          <w:sz w:val="20"/>
          <w:szCs w:val="20"/>
          <w:lang w:val="fr-CA"/>
        </w:rPr>
      </w:pPr>
      <w:r w:rsidRPr="00AD651A">
        <w:rPr>
          <w:sz w:val="20"/>
          <w:szCs w:val="20"/>
          <w:lang w:val="fr-CA"/>
        </w:rPr>
        <w:t xml:space="preserve">Les parties requérantes déposeront une copie de la version électronique et deux copies de la version imprimée intégrale de tout le dossier (parties I à IV). Elles sont dispensées de déposer au Greffe 11 copies des parties III et IV du dossier. Elles déposeront une copie de la version électronique, l’original et 11 copies de la version imprimée d’un « recueil d’extraits » des pièces et transcriptions invoquées. </w:t>
      </w:r>
    </w:p>
    <w:p w:rsidR="00AD651A" w:rsidRPr="00AD651A" w:rsidRDefault="00AD651A" w:rsidP="00AD651A">
      <w:pPr>
        <w:ind w:left="720"/>
        <w:contextualSpacing/>
        <w:jc w:val="both"/>
        <w:rPr>
          <w:sz w:val="20"/>
          <w:szCs w:val="20"/>
          <w:lang w:val="fr-CA"/>
        </w:rPr>
      </w:pPr>
    </w:p>
    <w:p w:rsidR="00AD651A" w:rsidRPr="00AD651A" w:rsidRDefault="00AD651A" w:rsidP="00AD651A">
      <w:pPr>
        <w:numPr>
          <w:ilvl w:val="0"/>
          <w:numId w:val="9"/>
        </w:numPr>
        <w:contextualSpacing/>
        <w:jc w:val="both"/>
        <w:rPr>
          <w:sz w:val="20"/>
          <w:szCs w:val="20"/>
          <w:lang w:val="fr-CA"/>
        </w:rPr>
      </w:pPr>
      <w:r w:rsidRPr="00AD651A">
        <w:rPr>
          <w:sz w:val="20"/>
          <w:szCs w:val="20"/>
          <w:lang w:val="fr-CA"/>
        </w:rPr>
        <w:t>Les intimés déposeront une copie de la version électronique et deux copies de la version imprimée de tout le dossier (parties I à III). Ils déposeront aussi une copie de la version électronique, l’original et 11 copies de la version imprimée d’un « recueil d’extraits » des pièces et transcriptions invoquées mais ne figurant pas déjà dans le « recueil d’extraits » des appelants.</w:t>
      </w:r>
    </w:p>
    <w:p w:rsidR="00AD651A" w:rsidRPr="00AD651A" w:rsidRDefault="00AD651A" w:rsidP="00AD651A">
      <w:pPr>
        <w:ind w:left="720"/>
        <w:contextualSpacing/>
        <w:jc w:val="both"/>
        <w:rPr>
          <w:sz w:val="20"/>
          <w:szCs w:val="20"/>
          <w:lang w:val="fr-CA"/>
        </w:rPr>
      </w:pPr>
    </w:p>
    <w:p w:rsidR="00AD651A" w:rsidRPr="00AD651A" w:rsidRDefault="00AD651A" w:rsidP="00AD651A">
      <w:pPr>
        <w:numPr>
          <w:ilvl w:val="0"/>
          <w:numId w:val="9"/>
        </w:numPr>
        <w:contextualSpacing/>
        <w:jc w:val="both"/>
        <w:rPr>
          <w:sz w:val="20"/>
          <w:szCs w:val="20"/>
          <w:lang w:val="fr-CA"/>
        </w:rPr>
      </w:pPr>
      <w:r w:rsidRPr="00AD651A">
        <w:rPr>
          <w:sz w:val="20"/>
          <w:szCs w:val="20"/>
          <w:lang w:val="fr-CA"/>
        </w:rPr>
        <w:t xml:space="preserve">Les appelants et les intimés signifieront une version électronique et une version imprimée de leur « recueil d’extraits » à toutes les autres parties. Ils signifieront également une version électronique de ce « recueil d’extraits » à tous les intervenants. </w:t>
      </w:r>
    </w:p>
    <w:p w:rsidR="00AD651A" w:rsidRPr="00AD651A" w:rsidRDefault="00AD651A" w:rsidP="00AD651A">
      <w:pPr>
        <w:jc w:val="both"/>
        <w:rPr>
          <w:rFonts w:eastAsia="Times New Roman" w:cs="Times New Roman"/>
          <w:sz w:val="20"/>
          <w:szCs w:val="20"/>
          <w:lang w:val="fr-CA" w:eastAsia="en-CA"/>
        </w:rPr>
      </w:pPr>
    </w:p>
    <w:p w:rsidR="00AD651A" w:rsidRPr="00AD651A" w:rsidRDefault="00AD651A" w:rsidP="00AD651A">
      <w:pPr>
        <w:numPr>
          <w:ilvl w:val="0"/>
          <w:numId w:val="9"/>
        </w:numPr>
        <w:contextualSpacing/>
        <w:jc w:val="both"/>
        <w:rPr>
          <w:sz w:val="20"/>
          <w:szCs w:val="20"/>
          <w:lang w:val="fr-CA"/>
        </w:rPr>
      </w:pPr>
      <w:r w:rsidRPr="00AD651A">
        <w:rPr>
          <w:sz w:val="20"/>
          <w:szCs w:val="20"/>
          <w:lang w:val="fr-CA"/>
        </w:rPr>
        <w:t xml:space="preserve">Sauf disposition contraire de la présente ordonnance, toutes les autres exigences de signification et de dépôt prévues aux </w:t>
      </w:r>
      <w:r w:rsidRPr="00AD651A">
        <w:rPr>
          <w:i/>
          <w:sz w:val="20"/>
          <w:szCs w:val="20"/>
          <w:lang w:val="fr-CA"/>
        </w:rPr>
        <w:t>Règles de la Cour suprême du Canada</w:t>
      </w:r>
      <w:r w:rsidRPr="00AD651A">
        <w:rPr>
          <w:sz w:val="20"/>
          <w:szCs w:val="20"/>
          <w:lang w:val="fr-CA"/>
        </w:rPr>
        <w:t xml:space="preserve"> continuent de s’appliquer en l’espèce.</w:t>
      </w:r>
    </w:p>
    <w:p w:rsidR="00AD651A" w:rsidRPr="00AD651A" w:rsidRDefault="00AD651A" w:rsidP="00AD651A">
      <w:pPr>
        <w:ind w:left="720"/>
        <w:contextualSpacing/>
        <w:jc w:val="both"/>
        <w:rPr>
          <w:sz w:val="20"/>
          <w:szCs w:val="20"/>
          <w:lang w:val="fr-CA"/>
        </w:rPr>
      </w:pPr>
    </w:p>
    <w:p w:rsidR="00AD651A" w:rsidRPr="00AD651A" w:rsidRDefault="00AD651A" w:rsidP="00AD651A">
      <w:pPr>
        <w:numPr>
          <w:ilvl w:val="0"/>
          <w:numId w:val="9"/>
        </w:numPr>
        <w:contextualSpacing/>
        <w:jc w:val="both"/>
        <w:rPr>
          <w:sz w:val="20"/>
          <w:szCs w:val="20"/>
          <w:lang w:val="fr-CA"/>
        </w:rPr>
      </w:pPr>
      <w:r w:rsidRPr="00AD651A">
        <w:rPr>
          <w:sz w:val="20"/>
          <w:szCs w:val="20"/>
          <w:lang w:val="fr-CA"/>
        </w:rPr>
        <w:t>La requête en dépôt de mémoires de plus de 40 pages est rejetée.</w:t>
      </w:r>
    </w:p>
    <w:p w:rsidR="00AD651A" w:rsidRPr="00AD651A" w:rsidRDefault="00AD651A" w:rsidP="00AD651A">
      <w:pPr>
        <w:ind w:left="720"/>
        <w:contextualSpacing/>
        <w:jc w:val="both"/>
        <w:rPr>
          <w:sz w:val="20"/>
          <w:szCs w:val="20"/>
          <w:lang w:val="fr-CA"/>
        </w:rPr>
      </w:pPr>
    </w:p>
    <w:p w:rsidR="00AD651A" w:rsidRPr="00AD651A" w:rsidRDefault="00AD651A" w:rsidP="00AD651A">
      <w:pPr>
        <w:numPr>
          <w:ilvl w:val="0"/>
          <w:numId w:val="9"/>
        </w:numPr>
        <w:spacing w:line="233" w:lineRule="auto"/>
        <w:contextualSpacing/>
        <w:jc w:val="both"/>
        <w:rPr>
          <w:rFonts w:cs="Times New Roman"/>
          <w:sz w:val="20"/>
          <w:szCs w:val="20"/>
          <w:lang w:val="fr-CA"/>
        </w:rPr>
      </w:pPr>
      <w:r w:rsidRPr="00AD651A">
        <w:rPr>
          <w:rFonts w:cs="Times New Roman"/>
          <w:sz w:val="20"/>
          <w:szCs w:val="20"/>
          <w:lang w:val="fr-CA"/>
        </w:rPr>
        <w:t>Les parties ayant des intérêts identiques ou similaires sont priées de se consulter afin que, dans la mesure du possible, leurs mémoires ne soient pas redondants ou répétitifs.</w:t>
      </w:r>
    </w:p>
    <w:p w:rsidR="00AD651A" w:rsidRPr="00AD651A" w:rsidRDefault="00AD651A" w:rsidP="00AD651A">
      <w:pPr>
        <w:tabs>
          <w:tab w:val="left" w:pos="-1440"/>
          <w:tab w:val="left" w:pos="-720"/>
        </w:tabs>
        <w:jc w:val="both"/>
        <w:rPr>
          <w:rFonts w:eastAsia="Times New Roman" w:cs="Times New Roman"/>
          <w:sz w:val="20"/>
          <w:szCs w:val="20"/>
          <w:lang w:val="fr-CA" w:eastAsia="en-CA"/>
        </w:rPr>
      </w:pPr>
    </w:p>
    <w:p w:rsidR="00AD651A" w:rsidRPr="00AD651A" w:rsidRDefault="00EB0F11" w:rsidP="00AD651A">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74" style="width:2in;height:1pt" o:hrpct="0" o:hralign="center" o:hrstd="t" o:hrnoshade="t" o:hr="t" fillcolor="black [3213]" stroked="f"/>
        </w:pict>
      </w:r>
    </w:p>
    <w:p w:rsidR="00AD651A" w:rsidRPr="00AD651A" w:rsidRDefault="00AD651A" w:rsidP="00AD651A">
      <w:pPr>
        <w:tabs>
          <w:tab w:val="left" w:pos="-1440"/>
          <w:tab w:val="left" w:pos="-720"/>
        </w:tabs>
        <w:jc w:val="both"/>
        <w:rPr>
          <w:rFonts w:eastAsia="Times New Roman" w:cs="Times New Roman"/>
          <w:sz w:val="20"/>
          <w:szCs w:val="20"/>
          <w:lang w:eastAsia="en-CA"/>
        </w:rPr>
      </w:pPr>
    </w:p>
    <w:p w:rsidR="00AD651A" w:rsidRPr="00AD651A" w:rsidRDefault="00AD651A" w:rsidP="00AD651A">
      <w:pPr>
        <w:tabs>
          <w:tab w:val="left" w:pos="-1440"/>
          <w:tab w:val="left" w:pos="-720"/>
        </w:tabs>
        <w:jc w:val="both"/>
        <w:rPr>
          <w:rFonts w:eastAsia="Times New Roman" w:cs="Times New Roman"/>
          <w:sz w:val="20"/>
          <w:szCs w:val="20"/>
          <w:lang w:eastAsia="en-CA"/>
        </w:rPr>
      </w:pPr>
      <w:r w:rsidRPr="00AD651A">
        <w:rPr>
          <w:rFonts w:eastAsia="Times New Roman" w:cs="Times New Roman"/>
          <w:sz w:val="20"/>
          <w:szCs w:val="20"/>
          <w:lang w:eastAsia="en-CA"/>
        </w:rPr>
        <w:t>11.02.2014</w:t>
      </w:r>
    </w:p>
    <w:p w:rsidR="00AD651A" w:rsidRPr="00AD651A" w:rsidRDefault="00AD651A" w:rsidP="00AD651A">
      <w:pPr>
        <w:tabs>
          <w:tab w:val="left" w:pos="-1440"/>
          <w:tab w:val="left" w:pos="-720"/>
        </w:tabs>
        <w:jc w:val="both"/>
        <w:rPr>
          <w:rFonts w:eastAsia="Times New Roman" w:cs="Times New Roman"/>
          <w:sz w:val="20"/>
          <w:szCs w:val="20"/>
          <w:lang w:eastAsia="en-CA"/>
        </w:rPr>
      </w:pPr>
    </w:p>
    <w:p w:rsidR="00AD651A" w:rsidRPr="00AD651A" w:rsidRDefault="00AD651A" w:rsidP="00AD651A">
      <w:pPr>
        <w:tabs>
          <w:tab w:val="left" w:pos="-1440"/>
          <w:tab w:val="left" w:pos="-720"/>
        </w:tabs>
        <w:jc w:val="both"/>
        <w:rPr>
          <w:rFonts w:eastAsia="Times New Roman" w:cs="Times New Roman"/>
          <w:sz w:val="20"/>
          <w:szCs w:val="20"/>
          <w:lang w:eastAsia="en-CA"/>
        </w:rPr>
      </w:pPr>
      <w:r w:rsidRPr="00AD651A">
        <w:rPr>
          <w:rFonts w:eastAsia="Times New Roman" w:cs="Times New Roman"/>
          <w:sz w:val="20"/>
          <w:szCs w:val="20"/>
          <w:lang w:eastAsia="en-CA"/>
        </w:rPr>
        <w:t xml:space="preserve">Before / Devant :   </w:t>
      </w:r>
      <w:r w:rsidRPr="00AD651A">
        <w:rPr>
          <w:rFonts w:eastAsia="Times New Roman" w:cs="Times New Roman"/>
          <w:sz w:val="20"/>
          <w:szCs w:val="20"/>
          <w:lang w:val="fr-CA" w:eastAsia="en-CA"/>
        </w:rPr>
        <w:t>THE DEPUTY REGISTRAR / LA REGISTRAIRE ADJOINTE</w:t>
      </w:r>
    </w:p>
    <w:p w:rsidR="00AD651A" w:rsidRPr="00AD651A" w:rsidRDefault="00AD651A" w:rsidP="00AD651A">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AD651A" w:rsidRPr="00EB0F11" w:rsidTr="001C4AC6">
        <w:tc>
          <w:tcPr>
            <w:tcW w:w="4338" w:type="dxa"/>
          </w:tcPr>
          <w:p w:rsidR="00AD651A" w:rsidRPr="00AD651A" w:rsidRDefault="0006361A" w:rsidP="00AD651A">
            <w:pPr>
              <w:tabs>
                <w:tab w:val="left" w:pos="-1440"/>
                <w:tab w:val="left" w:pos="-720"/>
              </w:tabs>
              <w:jc w:val="both"/>
            </w:pPr>
            <w:r w:rsidRPr="00AD651A">
              <w:rPr>
                <w:lang w:val="en-US"/>
              </w:rPr>
              <w:fldChar w:fldCharType="begin"/>
            </w:r>
            <w:r w:rsidR="00AD651A" w:rsidRPr="00AD651A">
              <w:rPr>
                <w:lang w:val="en-US"/>
              </w:rPr>
              <w:instrText xml:space="preserve"> SEQ CHAPTER \h \r 1</w:instrText>
            </w:r>
            <w:r w:rsidRPr="00AD651A">
              <w:rPr>
                <w:lang w:val="en-US"/>
              </w:rPr>
              <w:fldChar w:fldCharType="end"/>
            </w:r>
            <w:r w:rsidRPr="00AD651A">
              <w:rPr>
                <w:lang w:val="en-US"/>
              </w:rPr>
              <w:fldChar w:fldCharType="begin"/>
            </w:r>
            <w:r w:rsidR="00AD651A" w:rsidRPr="00AD651A">
              <w:rPr>
                <w:lang w:val="en-US"/>
              </w:rPr>
              <w:instrText xml:space="preserve"> SEQ CHAPTER \h \r 1</w:instrText>
            </w:r>
            <w:r w:rsidRPr="00AD651A">
              <w:rPr>
                <w:lang w:val="en-US"/>
              </w:rPr>
              <w:fldChar w:fldCharType="end"/>
            </w:r>
            <w:r w:rsidR="00AD651A" w:rsidRPr="00AD651A">
              <w:rPr>
                <w:b/>
                <w:bCs/>
                <w:lang w:val="en-US"/>
              </w:rPr>
              <w:t xml:space="preserve">Motion to extend the time to serve and file the appellant’s </w:t>
            </w:r>
            <w:r w:rsidRPr="00AD651A">
              <w:rPr>
                <w:lang w:val="en-US"/>
              </w:rPr>
              <w:fldChar w:fldCharType="begin"/>
            </w:r>
            <w:r w:rsidR="00AD651A" w:rsidRPr="00AD651A">
              <w:rPr>
                <w:lang w:val="en-US"/>
              </w:rPr>
              <w:instrText xml:space="preserve"> SEQ CHAPTER \h \r 1</w:instrText>
            </w:r>
            <w:r w:rsidRPr="00AD651A">
              <w:rPr>
                <w:lang w:val="en-US"/>
              </w:rPr>
              <w:fldChar w:fldCharType="end"/>
            </w:r>
            <w:r w:rsidR="00AD651A" w:rsidRPr="00AD651A">
              <w:rPr>
                <w:b/>
                <w:bCs/>
                <w:lang w:val="en-US"/>
              </w:rPr>
              <w:t xml:space="preserve">book of authorities to January 24, 2014 </w:t>
            </w:r>
          </w:p>
        </w:tc>
        <w:tc>
          <w:tcPr>
            <w:tcW w:w="1170" w:type="dxa"/>
          </w:tcPr>
          <w:p w:rsidR="00AD651A" w:rsidRPr="00AD651A" w:rsidRDefault="00AD651A" w:rsidP="00AD651A">
            <w:pPr>
              <w:tabs>
                <w:tab w:val="left" w:pos="-1440"/>
                <w:tab w:val="left" w:pos="-720"/>
              </w:tabs>
              <w:jc w:val="both"/>
            </w:pPr>
          </w:p>
          <w:p w:rsidR="00AD651A" w:rsidRPr="00AD651A" w:rsidRDefault="00AD651A" w:rsidP="00AD651A">
            <w:pPr>
              <w:tabs>
                <w:tab w:val="left" w:pos="-1440"/>
                <w:tab w:val="left" w:pos="-720"/>
              </w:tabs>
              <w:jc w:val="both"/>
            </w:pPr>
          </w:p>
          <w:p w:rsidR="00AD651A" w:rsidRPr="00AD651A" w:rsidRDefault="00AD651A" w:rsidP="00AD651A">
            <w:pPr>
              <w:tabs>
                <w:tab w:val="left" w:pos="-1440"/>
                <w:tab w:val="left" w:pos="-720"/>
              </w:tabs>
              <w:jc w:val="both"/>
            </w:pPr>
          </w:p>
          <w:p w:rsidR="00AD651A" w:rsidRPr="00AD651A" w:rsidRDefault="00AD651A" w:rsidP="00AD651A">
            <w:pPr>
              <w:tabs>
                <w:tab w:val="left" w:pos="-1440"/>
                <w:tab w:val="left" w:pos="-720"/>
              </w:tabs>
              <w:jc w:val="both"/>
            </w:pPr>
          </w:p>
        </w:tc>
        <w:tc>
          <w:tcPr>
            <w:tcW w:w="4327" w:type="dxa"/>
          </w:tcPr>
          <w:p w:rsidR="00AD651A" w:rsidRPr="00AD651A" w:rsidRDefault="0006361A" w:rsidP="00AD651A">
            <w:pPr>
              <w:tabs>
                <w:tab w:val="left" w:pos="-1440"/>
                <w:tab w:val="left" w:pos="-720"/>
              </w:tabs>
              <w:jc w:val="both"/>
              <w:rPr>
                <w:lang w:val="fr-CA"/>
              </w:rPr>
            </w:pPr>
            <w:r w:rsidRPr="00AD651A">
              <w:rPr>
                <w:lang w:val="en-US"/>
              </w:rPr>
              <w:fldChar w:fldCharType="begin"/>
            </w:r>
            <w:r w:rsidR="00AD651A" w:rsidRPr="00AD651A">
              <w:rPr>
                <w:lang w:val="fr-CA"/>
              </w:rPr>
              <w:instrText xml:space="preserve"> SEQ CHAPTER \h \r 1</w:instrText>
            </w:r>
            <w:r w:rsidRPr="00AD651A">
              <w:rPr>
                <w:lang w:val="en-US"/>
              </w:rPr>
              <w:fldChar w:fldCharType="end"/>
            </w:r>
            <w:r w:rsidR="00AD651A" w:rsidRPr="00AD651A">
              <w:rPr>
                <w:b/>
                <w:bCs/>
                <w:lang w:val="fr-CA"/>
              </w:rPr>
              <w:t>Requête en prorogation du délai de signification et de dépôt du recueil de sources de l’appelant jusqu’au 24 janvier 2014</w:t>
            </w:r>
          </w:p>
        </w:tc>
      </w:tr>
      <w:tr w:rsidR="00AD651A" w:rsidRPr="00AD651A" w:rsidTr="001C4AC6">
        <w:tc>
          <w:tcPr>
            <w:tcW w:w="4338" w:type="dxa"/>
          </w:tcPr>
          <w:p w:rsidR="00AD651A" w:rsidRPr="00AD651A" w:rsidRDefault="00AD651A" w:rsidP="00AD651A">
            <w:pPr>
              <w:tabs>
                <w:tab w:val="left" w:pos="-1440"/>
                <w:tab w:val="left" w:pos="-720"/>
              </w:tabs>
              <w:jc w:val="both"/>
            </w:pPr>
            <w:r w:rsidRPr="00AD651A">
              <w:t>James Peter Sipos</w:t>
            </w:r>
          </w:p>
          <w:p w:rsidR="00AD651A" w:rsidRPr="00AD651A" w:rsidRDefault="00AD651A" w:rsidP="00AD651A">
            <w:pPr>
              <w:tabs>
                <w:tab w:val="left" w:pos="-1440"/>
                <w:tab w:val="left" w:pos="-720"/>
              </w:tabs>
              <w:jc w:val="both"/>
            </w:pPr>
          </w:p>
          <w:p w:rsidR="00AD651A" w:rsidRPr="00AD651A" w:rsidRDefault="00AD651A" w:rsidP="00AD651A">
            <w:pPr>
              <w:tabs>
                <w:tab w:val="left" w:pos="-1440"/>
                <w:tab w:val="left" w:pos="-720"/>
              </w:tabs>
              <w:jc w:val="both"/>
            </w:pPr>
            <w:r w:rsidRPr="00AD651A">
              <w:tab/>
              <w:t>v. (35310)</w:t>
            </w:r>
          </w:p>
          <w:p w:rsidR="00AD651A" w:rsidRPr="00AD651A" w:rsidRDefault="00AD651A" w:rsidP="00AD651A">
            <w:pPr>
              <w:tabs>
                <w:tab w:val="left" w:pos="-1440"/>
                <w:tab w:val="left" w:pos="-720"/>
              </w:tabs>
              <w:jc w:val="both"/>
            </w:pPr>
          </w:p>
          <w:p w:rsidR="00AD651A" w:rsidRPr="00AD651A" w:rsidRDefault="00AD651A" w:rsidP="00AD651A">
            <w:pPr>
              <w:tabs>
                <w:tab w:val="left" w:pos="-1440"/>
                <w:tab w:val="left" w:pos="-720"/>
              </w:tabs>
              <w:jc w:val="both"/>
              <w:rPr>
                <w:lang w:val="fr-CA"/>
              </w:rPr>
            </w:pPr>
            <w:r w:rsidRPr="00AD651A">
              <w:t xml:space="preserve">Her Majesty the Queen (Crim.) </w:t>
            </w:r>
            <w:r w:rsidRPr="00AD651A">
              <w:rPr>
                <w:lang w:val="fr-CA"/>
              </w:rPr>
              <w:t>(Ont.)</w:t>
            </w:r>
          </w:p>
        </w:tc>
        <w:tc>
          <w:tcPr>
            <w:tcW w:w="1170" w:type="dxa"/>
          </w:tcPr>
          <w:p w:rsidR="00AD651A" w:rsidRPr="00AD651A" w:rsidRDefault="00AD651A" w:rsidP="00AD651A">
            <w:pPr>
              <w:tabs>
                <w:tab w:val="left" w:pos="-1440"/>
                <w:tab w:val="left" w:pos="-720"/>
              </w:tabs>
              <w:jc w:val="both"/>
              <w:rPr>
                <w:lang w:val="fr-CA"/>
              </w:rPr>
            </w:pPr>
          </w:p>
        </w:tc>
        <w:tc>
          <w:tcPr>
            <w:tcW w:w="4327" w:type="dxa"/>
          </w:tcPr>
          <w:p w:rsidR="00AD651A" w:rsidRPr="00AD651A" w:rsidRDefault="00AD651A" w:rsidP="00AD651A">
            <w:pPr>
              <w:tabs>
                <w:tab w:val="left" w:pos="-1440"/>
                <w:tab w:val="left" w:pos="-720"/>
              </w:tabs>
              <w:jc w:val="both"/>
              <w:rPr>
                <w:lang w:val="fr-CA"/>
              </w:rPr>
            </w:pPr>
          </w:p>
        </w:tc>
      </w:tr>
    </w:tbl>
    <w:p w:rsidR="00AD651A" w:rsidRPr="00AD651A" w:rsidRDefault="00AD651A" w:rsidP="00AD651A">
      <w:pPr>
        <w:tabs>
          <w:tab w:val="left" w:pos="-1440"/>
          <w:tab w:val="left" w:pos="-720"/>
        </w:tabs>
        <w:jc w:val="both"/>
        <w:rPr>
          <w:rFonts w:eastAsia="Times New Roman" w:cs="Times New Roman"/>
          <w:b/>
          <w:sz w:val="20"/>
          <w:szCs w:val="20"/>
          <w:lang w:val="fr-CA" w:eastAsia="en-CA"/>
        </w:rPr>
      </w:pPr>
    </w:p>
    <w:p w:rsidR="00AD651A" w:rsidRPr="00AD651A" w:rsidRDefault="00AD651A" w:rsidP="00AD651A">
      <w:pPr>
        <w:tabs>
          <w:tab w:val="left" w:pos="-1440"/>
          <w:tab w:val="left" w:pos="-720"/>
        </w:tabs>
        <w:jc w:val="both"/>
        <w:rPr>
          <w:rFonts w:eastAsia="Times New Roman" w:cs="Times New Roman"/>
          <w:sz w:val="20"/>
          <w:szCs w:val="20"/>
          <w:lang w:eastAsia="en-CA"/>
        </w:rPr>
      </w:pPr>
      <w:r w:rsidRPr="00AD651A">
        <w:rPr>
          <w:rFonts w:eastAsia="Times New Roman" w:cs="Times New Roman"/>
          <w:b/>
          <w:sz w:val="20"/>
          <w:szCs w:val="20"/>
          <w:lang w:eastAsia="en-CA"/>
        </w:rPr>
        <w:t>GRANTED / ACCORDÉE</w:t>
      </w:r>
    </w:p>
    <w:p w:rsidR="00AD651A" w:rsidRPr="00AD651A" w:rsidRDefault="00AD651A" w:rsidP="00AD651A">
      <w:pPr>
        <w:tabs>
          <w:tab w:val="left" w:pos="-1440"/>
          <w:tab w:val="left" w:pos="-720"/>
        </w:tabs>
        <w:jc w:val="both"/>
        <w:rPr>
          <w:rFonts w:eastAsia="Times New Roman" w:cs="Times New Roman"/>
          <w:sz w:val="20"/>
          <w:szCs w:val="20"/>
          <w:lang w:eastAsia="en-CA"/>
        </w:rPr>
      </w:pPr>
    </w:p>
    <w:p w:rsidR="00AD651A" w:rsidRPr="00AD651A" w:rsidRDefault="00EB0F11" w:rsidP="00AD651A">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75" style="width:2in;height:1pt" o:hrpct="0" o:hralign="center" o:hrstd="t" o:hrnoshade="t" o:hr="t" fillcolor="black [3213]" stroked="f"/>
        </w:pict>
      </w:r>
    </w:p>
    <w:p w:rsidR="00AD651A" w:rsidRPr="00AD651A" w:rsidRDefault="00AD651A" w:rsidP="00AD651A">
      <w:pPr>
        <w:tabs>
          <w:tab w:val="left" w:pos="-1440"/>
          <w:tab w:val="left" w:pos="-720"/>
        </w:tabs>
        <w:jc w:val="both"/>
        <w:rPr>
          <w:rFonts w:eastAsia="Times New Roman" w:cs="Times New Roman"/>
          <w:sz w:val="20"/>
          <w:szCs w:val="20"/>
          <w:lang w:val="fr-CA" w:eastAsia="en-CA"/>
        </w:rPr>
      </w:pPr>
    </w:p>
    <w:p w:rsidR="00AD651A" w:rsidRPr="00AD651A" w:rsidRDefault="00AD651A" w:rsidP="00AD651A">
      <w:pPr>
        <w:tabs>
          <w:tab w:val="left" w:pos="-1440"/>
          <w:tab w:val="left" w:pos="-720"/>
        </w:tabs>
        <w:jc w:val="both"/>
        <w:rPr>
          <w:rFonts w:eastAsia="Times New Roman" w:cs="Times New Roman"/>
          <w:sz w:val="20"/>
          <w:szCs w:val="20"/>
          <w:lang w:val="fr-CA" w:eastAsia="en-CA"/>
        </w:rPr>
      </w:pPr>
      <w:r w:rsidRPr="00AD651A">
        <w:rPr>
          <w:rFonts w:eastAsia="Times New Roman" w:cs="Times New Roman"/>
          <w:sz w:val="20"/>
          <w:szCs w:val="20"/>
          <w:lang w:val="fr-CA" w:eastAsia="en-CA"/>
        </w:rPr>
        <w:t>11.02.2014</w:t>
      </w:r>
    </w:p>
    <w:p w:rsidR="00AD651A" w:rsidRPr="00AD651A" w:rsidRDefault="00AD651A" w:rsidP="00AD651A">
      <w:pPr>
        <w:tabs>
          <w:tab w:val="left" w:pos="-1440"/>
          <w:tab w:val="left" w:pos="-720"/>
        </w:tabs>
        <w:jc w:val="both"/>
        <w:rPr>
          <w:rFonts w:eastAsia="Times New Roman" w:cs="Times New Roman"/>
          <w:sz w:val="20"/>
          <w:szCs w:val="20"/>
          <w:lang w:val="fr-CA" w:eastAsia="en-CA"/>
        </w:rPr>
      </w:pPr>
    </w:p>
    <w:p w:rsidR="00AD651A" w:rsidRPr="00AD651A" w:rsidRDefault="00AD651A" w:rsidP="00AD651A">
      <w:pPr>
        <w:tabs>
          <w:tab w:val="left" w:pos="-1440"/>
          <w:tab w:val="left" w:pos="-720"/>
        </w:tabs>
        <w:jc w:val="both"/>
        <w:rPr>
          <w:rFonts w:eastAsia="Times New Roman" w:cs="Times New Roman"/>
          <w:sz w:val="20"/>
          <w:szCs w:val="20"/>
          <w:lang w:val="fr-CA" w:eastAsia="en-CA"/>
        </w:rPr>
      </w:pPr>
      <w:r w:rsidRPr="00AD651A">
        <w:rPr>
          <w:rFonts w:eastAsia="Times New Roman" w:cs="Times New Roman"/>
          <w:sz w:val="20"/>
          <w:szCs w:val="20"/>
          <w:lang w:val="fr-CA" w:eastAsia="en-CA"/>
        </w:rPr>
        <w:t>Before / Devant :   ROTHSTEIN J. / LE JUGE ROTHSTEIN</w:t>
      </w:r>
    </w:p>
    <w:p w:rsidR="00AD651A" w:rsidRPr="00AD651A" w:rsidRDefault="00AD651A" w:rsidP="00AD651A">
      <w:pPr>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AD651A" w:rsidRPr="00EB0F11" w:rsidTr="001C4AC6">
        <w:tc>
          <w:tcPr>
            <w:tcW w:w="4338" w:type="dxa"/>
          </w:tcPr>
          <w:p w:rsidR="00AD651A" w:rsidRPr="00AD651A" w:rsidRDefault="00AD651A" w:rsidP="00AD651A">
            <w:pPr>
              <w:tabs>
                <w:tab w:val="left" w:pos="-1440"/>
                <w:tab w:val="left" w:pos="-720"/>
              </w:tabs>
              <w:jc w:val="both"/>
              <w:rPr>
                <w:b/>
              </w:rPr>
            </w:pPr>
            <w:r w:rsidRPr="00AD651A">
              <w:rPr>
                <w:b/>
                <w:bCs/>
                <w:lang w:val="en-GB"/>
              </w:rPr>
              <w:t>Motion to file a lengthy factum</w:t>
            </w:r>
            <w:r w:rsidRPr="00AD651A">
              <w:rPr>
                <w:b/>
                <w:szCs w:val="24"/>
                <w:lang w:val="en-US"/>
              </w:rPr>
              <w:t xml:space="preserve"> </w:t>
            </w:r>
            <w:r w:rsidR="0006361A" w:rsidRPr="00AD651A">
              <w:rPr>
                <w:b/>
                <w:szCs w:val="24"/>
                <w:lang w:val="en-US"/>
              </w:rPr>
              <w:fldChar w:fldCharType="begin"/>
            </w:r>
            <w:r w:rsidRPr="00AD651A">
              <w:rPr>
                <w:b/>
                <w:szCs w:val="24"/>
                <w:lang w:val="en-US"/>
              </w:rPr>
              <w:instrText xml:space="preserve"> SEQ CHAPTER \h \r 1</w:instrText>
            </w:r>
            <w:r w:rsidR="0006361A" w:rsidRPr="00AD651A">
              <w:rPr>
                <w:b/>
                <w:szCs w:val="24"/>
                <w:lang w:val="en-US"/>
              </w:rPr>
              <w:fldChar w:fldCharType="end"/>
            </w:r>
          </w:p>
        </w:tc>
        <w:tc>
          <w:tcPr>
            <w:tcW w:w="1170" w:type="dxa"/>
          </w:tcPr>
          <w:p w:rsidR="00AD651A" w:rsidRPr="00AD651A" w:rsidRDefault="00AD651A" w:rsidP="00AD651A">
            <w:pPr>
              <w:tabs>
                <w:tab w:val="left" w:pos="-1440"/>
                <w:tab w:val="left" w:pos="-720"/>
              </w:tabs>
              <w:jc w:val="both"/>
            </w:pPr>
          </w:p>
          <w:p w:rsidR="00AD651A" w:rsidRPr="00AD651A" w:rsidRDefault="00AD651A" w:rsidP="00AD651A">
            <w:pPr>
              <w:tabs>
                <w:tab w:val="left" w:pos="-1440"/>
                <w:tab w:val="left" w:pos="-720"/>
              </w:tabs>
              <w:jc w:val="both"/>
            </w:pPr>
          </w:p>
          <w:p w:rsidR="00AD651A" w:rsidRPr="00AD651A" w:rsidRDefault="00AD651A" w:rsidP="00AD651A">
            <w:pPr>
              <w:tabs>
                <w:tab w:val="left" w:pos="-1440"/>
                <w:tab w:val="left" w:pos="-720"/>
              </w:tabs>
              <w:jc w:val="both"/>
            </w:pPr>
          </w:p>
        </w:tc>
        <w:tc>
          <w:tcPr>
            <w:tcW w:w="4327" w:type="dxa"/>
          </w:tcPr>
          <w:p w:rsidR="00AD651A" w:rsidRPr="00AD651A" w:rsidRDefault="00AD651A" w:rsidP="00AD651A">
            <w:pPr>
              <w:keepNext/>
              <w:keepLines/>
              <w:jc w:val="both"/>
              <w:rPr>
                <w:lang w:val="fr-CA"/>
              </w:rPr>
            </w:pPr>
            <w:r w:rsidRPr="00AD651A">
              <w:rPr>
                <w:b/>
                <w:bCs/>
                <w:lang w:val="fr-CA"/>
              </w:rPr>
              <w:t>Requête en vue de déposer un mémoire volumineux</w:t>
            </w:r>
          </w:p>
        </w:tc>
      </w:tr>
      <w:tr w:rsidR="00AD651A" w:rsidRPr="00AD651A" w:rsidTr="001C4AC6">
        <w:tc>
          <w:tcPr>
            <w:tcW w:w="4338" w:type="dxa"/>
          </w:tcPr>
          <w:p w:rsidR="00AD651A" w:rsidRPr="00AD651A" w:rsidRDefault="00AD651A" w:rsidP="00AD651A">
            <w:pPr>
              <w:tabs>
                <w:tab w:val="left" w:pos="-1440"/>
                <w:tab w:val="left" w:pos="-720"/>
              </w:tabs>
              <w:jc w:val="both"/>
            </w:pPr>
            <w:r w:rsidRPr="00AD651A">
              <w:rPr>
                <w:bCs/>
                <w:lang w:val="en-US"/>
              </w:rPr>
              <w:t>Saskatchewan Federation of Labour (in its own right and on behalf of the unions and workers in the Province of Saskatchewan) et al.</w:t>
            </w:r>
          </w:p>
          <w:p w:rsidR="00AD651A" w:rsidRPr="00AD651A" w:rsidRDefault="00AD651A" w:rsidP="00AD651A">
            <w:pPr>
              <w:tabs>
                <w:tab w:val="left" w:pos="-1440"/>
                <w:tab w:val="left" w:pos="-720"/>
              </w:tabs>
              <w:jc w:val="both"/>
            </w:pPr>
          </w:p>
          <w:p w:rsidR="00AD651A" w:rsidRPr="00AD651A" w:rsidRDefault="00AD651A" w:rsidP="00AD651A">
            <w:pPr>
              <w:tabs>
                <w:tab w:val="left" w:pos="-1440"/>
                <w:tab w:val="left" w:pos="-720"/>
              </w:tabs>
              <w:jc w:val="both"/>
            </w:pPr>
            <w:r w:rsidRPr="00AD651A">
              <w:tab/>
              <w:t>v. (35423)</w:t>
            </w:r>
          </w:p>
          <w:p w:rsidR="00AD651A" w:rsidRPr="00AD651A" w:rsidRDefault="00AD651A" w:rsidP="00AD651A">
            <w:pPr>
              <w:tabs>
                <w:tab w:val="left" w:pos="-1440"/>
                <w:tab w:val="left" w:pos="-720"/>
              </w:tabs>
              <w:jc w:val="both"/>
            </w:pPr>
          </w:p>
          <w:p w:rsidR="00AD651A" w:rsidRPr="00AD651A" w:rsidRDefault="00AD651A" w:rsidP="00AD651A">
            <w:pPr>
              <w:tabs>
                <w:tab w:val="left" w:pos="-1440"/>
                <w:tab w:val="left" w:pos="-720"/>
              </w:tabs>
              <w:jc w:val="both"/>
            </w:pPr>
            <w:r w:rsidRPr="00AD651A">
              <w:t xml:space="preserve">Her Majesty the Queen, in Right of </w:t>
            </w:r>
            <w:r w:rsidRPr="00AD651A">
              <w:rPr>
                <w:bCs/>
                <w:lang w:val="en-US"/>
              </w:rPr>
              <w:t>the Province of Saskatchewan</w:t>
            </w:r>
            <w:r w:rsidRPr="00AD651A">
              <w:t xml:space="preserve"> (Sask.)</w:t>
            </w:r>
          </w:p>
        </w:tc>
        <w:tc>
          <w:tcPr>
            <w:tcW w:w="1170" w:type="dxa"/>
          </w:tcPr>
          <w:p w:rsidR="00AD651A" w:rsidRPr="00AD651A" w:rsidRDefault="00AD651A" w:rsidP="00AD651A">
            <w:pPr>
              <w:tabs>
                <w:tab w:val="left" w:pos="-1440"/>
                <w:tab w:val="left" w:pos="-720"/>
              </w:tabs>
              <w:jc w:val="both"/>
            </w:pPr>
          </w:p>
        </w:tc>
        <w:tc>
          <w:tcPr>
            <w:tcW w:w="4327" w:type="dxa"/>
          </w:tcPr>
          <w:p w:rsidR="00AD651A" w:rsidRPr="00AD651A" w:rsidRDefault="00AD651A" w:rsidP="00AD651A">
            <w:pPr>
              <w:tabs>
                <w:tab w:val="left" w:pos="-1440"/>
                <w:tab w:val="left" w:pos="-720"/>
              </w:tabs>
              <w:jc w:val="both"/>
            </w:pPr>
          </w:p>
        </w:tc>
      </w:tr>
    </w:tbl>
    <w:p w:rsidR="00AD651A" w:rsidRPr="00AD651A" w:rsidRDefault="00AD651A" w:rsidP="00AD651A">
      <w:pPr>
        <w:tabs>
          <w:tab w:val="left" w:pos="-1440"/>
          <w:tab w:val="left" w:pos="-720"/>
        </w:tabs>
        <w:jc w:val="both"/>
        <w:rPr>
          <w:rFonts w:eastAsia="Times New Roman" w:cs="Times New Roman"/>
          <w:sz w:val="20"/>
          <w:szCs w:val="20"/>
          <w:lang w:eastAsia="en-CA"/>
        </w:rPr>
      </w:pPr>
    </w:p>
    <w:p w:rsidR="00AD651A" w:rsidRPr="00AD651A" w:rsidRDefault="00AD651A" w:rsidP="00AD651A">
      <w:pPr>
        <w:tabs>
          <w:tab w:val="left" w:pos="-1440"/>
          <w:tab w:val="left" w:pos="-720"/>
        </w:tabs>
        <w:jc w:val="both"/>
        <w:rPr>
          <w:rFonts w:eastAsia="Times New Roman" w:cs="Times New Roman"/>
          <w:sz w:val="20"/>
          <w:szCs w:val="20"/>
          <w:lang w:eastAsia="en-CA"/>
        </w:rPr>
      </w:pPr>
      <w:r w:rsidRPr="00AD651A">
        <w:rPr>
          <w:rFonts w:eastAsia="Times New Roman" w:cs="Times New Roman"/>
          <w:b/>
          <w:sz w:val="20"/>
          <w:szCs w:val="20"/>
          <w:lang w:eastAsia="en-CA"/>
        </w:rPr>
        <w:t>DISMISSED / REJETÉE</w:t>
      </w:r>
    </w:p>
    <w:p w:rsidR="00AD651A" w:rsidRPr="00AD651A" w:rsidRDefault="00AD651A" w:rsidP="00AD651A">
      <w:pPr>
        <w:tabs>
          <w:tab w:val="left" w:pos="-1440"/>
          <w:tab w:val="left" w:pos="-720"/>
        </w:tabs>
        <w:jc w:val="both"/>
        <w:rPr>
          <w:rFonts w:eastAsia="Times New Roman" w:cs="Times New Roman"/>
          <w:sz w:val="20"/>
          <w:szCs w:val="20"/>
          <w:lang w:eastAsia="en-CA"/>
        </w:rPr>
      </w:pPr>
    </w:p>
    <w:p w:rsidR="00AD651A" w:rsidRPr="00AD651A" w:rsidRDefault="00AD651A" w:rsidP="00AD651A">
      <w:pPr>
        <w:jc w:val="both"/>
        <w:rPr>
          <w:rFonts w:eastAsia="Times New Roman" w:cs="Times New Roman"/>
          <w:sz w:val="20"/>
          <w:szCs w:val="20"/>
          <w:lang w:eastAsia="en-CA"/>
        </w:rPr>
      </w:pPr>
      <w:r w:rsidRPr="00AD651A">
        <w:rPr>
          <w:rFonts w:eastAsia="Times New Roman" w:cs="Times New Roman"/>
          <w:b/>
          <w:bCs/>
          <w:sz w:val="20"/>
          <w:szCs w:val="20"/>
          <w:lang w:eastAsia="en-CA"/>
        </w:rPr>
        <w:t>UPON APPLICATION</w:t>
      </w:r>
      <w:r w:rsidRPr="00AD651A">
        <w:rPr>
          <w:rFonts w:eastAsia="Times New Roman" w:cs="Times New Roman"/>
          <w:sz w:val="20"/>
          <w:szCs w:val="20"/>
          <w:lang w:eastAsia="en-CA"/>
        </w:rPr>
        <w:t xml:space="preserve"> by the appellants </w:t>
      </w:r>
      <w:r w:rsidR="0006361A" w:rsidRPr="00AD651A">
        <w:rPr>
          <w:rFonts w:eastAsia="Times New Roman" w:cs="Times New Roman"/>
          <w:sz w:val="20"/>
          <w:szCs w:val="20"/>
          <w:lang w:eastAsia="en-CA"/>
        </w:rPr>
        <w:fldChar w:fldCharType="begin"/>
      </w:r>
      <w:r w:rsidRPr="00AD651A">
        <w:rPr>
          <w:rFonts w:eastAsia="Times New Roman" w:cs="Times New Roman"/>
          <w:sz w:val="20"/>
          <w:szCs w:val="20"/>
          <w:lang w:eastAsia="en-CA"/>
        </w:rPr>
        <w:instrText xml:space="preserve"> SEQ CHAPTER \h \r 1</w:instrText>
      </w:r>
      <w:r w:rsidR="0006361A" w:rsidRPr="00AD651A">
        <w:rPr>
          <w:rFonts w:eastAsia="Times New Roman" w:cs="Times New Roman"/>
          <w:sz w:val="20"/>
          <w:szCs w:val="20"/>
          <w:lang w:eastAsia="en-CA"/>
        </w:rPr>
        <w:fldChar w:fldCharType="end"/>
      </w:r>
      <w:r w:rsidRPr="00AD651A">
        <w:rPr>
          <w:rFonts w:eastAsia="Times New Roman" w:cs="Times New Roman"/>
          <w:sz w:val="20"/>
          <w:szCs w:val="20"/>
          <w:lang w:eastAsia="en-CA"/>
        </w:rPr>
        <w:t>for an order permitting the appellants and respondent to file factums on appeal of 60 pages and to present oral argument not exceeding 90 minutes at the hearing of the appeal;</w:t>
      </w:r>
    </w:p>
    <w:p w:rsidR="00AD651A" w:rsidRPr="00AD651A" w:rsidRDefault="00AD651A" w:rsidP="00AD651A">
      <w:pPr>
        <w:jc w:val="both"/>
        <w:rPr>
          <w:rFonts w:eastAsia="Times New Roman" w:cs="Times New Roman"/>
          <w:sz w:val="20"/>
          <w:szCs w:val="20"/>
          <w:lang w:eastAsia="en-CA"/>
        </w:rPr>
      </w:pPr>
    </w:p>
    <w:p w:rsidR="00AD651A" w:rsidRDefault="00AD651A">
      <w:pPr>
        <w:rPr>
          <w:rFonts w:eastAsia="Times New Roman" w:cs="Times New Roman"/>
          <w:b/>
          <w:bCs/>
          <w:sz w:val="20"/>
          <w:szCs w:val="20"/>
          <w:lang w:eastAsia="en-CA"/>
        </w:rPr>
      </w:pPr>
      <w:r>
        <w:rPr>
          <w:rFonts w:eastAsia="Times New Roman" w:cs="Times New Roman"/>
          <w:b/>
          <w:bCs/>
          <w:sz w:val="20"/>
          <w:szCs w:val="20"/>
          <w:lang w:eastAsia="en-CA"/>
        </w:rPr>
        <w:lastRenderedPageBreak/>
        <w:br w:type="page"/>
      </w:r>
    </w:p>
    <w:p w:rsidR="00AD651A" w:rsidRPr="00AD651A" w:rsidRDefault="00AD651A" w:rsidP="00AD651A">
      <w:pPr>
        <w:jc w:val="both"/>
        <w:rPr>
          <w:rFonts w:eastAsia="Times New Roman" w:cs="Times New Roman"/>
          <w:sz w:val="20"/>
          <w:szCs w:val="20"/>
          <w:lang w:eastAsia="en-CA"/>
        </w:rPr>
      </w:pPr>
      <w:r w:rsidRPr="00AD651A">
        <w:rPr>
          <w:rFonts w:eastAsia="Times New Roman" w:cs="Times New Roman"/>
          <w:b/>
          <w:bCs/>
          <w:sz w:val="20"/>
          <w:szCs w:val="20"/>
          <w:lang w:eastAsia="en-CA"/>
        </w:rPr>
        <w:lastRenderedPageBreak/>
        <w:t xml:space="preserve">AND HAVING READ </w:t>
      </w:r>
      <w:r w:rsidRPr="00AD651A">
        <w:rPr>
          <w:rFonts w:eastAsia="Times New Roman" w:cs="Times New Roman"/>
          <w:bCs/>
          <w:sz w:val="20"/>
          <w:szCs w:val="20"/>
          <w:lang w:eastAsia="en-CA"/>
        </w:rPr>
        <w:t>the consent of the respondent and the motion materials</w:t>
      </w:r>
      <w:r w:rsidRPr="00AD651A">
        <w:rPr>
          <w:rFonts w:eastAsia="Times New Roman" w:cs="Times New Roman"/>
          <w:sz w:val="20"/>
          <w:szCs w:val="20"/>
          <w:lang w:eastAsia="en-CA"/>
        </w:rPr>
        <w:t>;</w:t>
      </w:r>
    </w:p>
    <w:p w:rsidR="00AD651A" w:rsidRPr="00AD651A" w:rsidRDefault="00AD651A" w:rsidP="00AD651A">
      <w:pPr>
        <w:jc w:val="both"/>
        <w:rPr>
          <w:rFonts w:eastAsia="Times New Roman" w:cs="Times New Roman"/>
          <w:sz w:val="20"/>
          <w:szCs w:val="20"/>
          <w:lang w:eastAsia="en-CA"/>
        </w:rPr>
      </w:pPr>
    </w:p>
    <w:p w:rsidR="00AD651A" w:rsidRPr="00AD651A" w:rsidRDefault="00AD651A" w:rsidP="00AD651A">
      <w:pPr>
        <w:jc w:val="both"/>
        <w:rPr>
          <w:rFonts w:eastAsia="Times New Roman" w:cs="Times New Roman"/>
          <w:sz w:val="20"/>
          <w:szCs w:val="20"/>
          <w:lang w:eastAsia="en-CA"/>
        </w:rPr>
      </w:pPr>
      <w:r w:rsidRPr="00AD651A">
        <w:rPr>
          <w:rFonts w:eastAsia="Times New Roman" w:cs="Times New Roman"/>
          <w:b/>
          <w:sz w:val="20"/>
          <w:szCs w:val="20"/>
          <w:lang w:eastAsia="en-CA"/>
        </w:rPr>
        <w:t xml:space="preserve">AND </w:t>
      </w:r>
      <w:r w:rsidRPr="00AD651A">
        <w:rPr>
          <w:rFonts w:eastAsia="Times New Roman" w:cs="Times New Roman"/>
          <w:sz w:val="20"/>
          <w:szCs w:val="20"/>
          <w:lang w:eastAsia="en-CA"/>
        </w:rPr>
        <w:t>while the evidentiary record is no doubt voluminous, the questions to be addressed by this Court are questions of law, upon which the parties should be focused;</w:t>
      </w:r>
    </w:p>
    <w:p w:rsidR="00AD651A" w:rsidRPr="00AD651A" w:rsidRDefault="00AD651A" w:rsidP="00AD651A">
      <w:pPr>
        <w:jc w:val="both"/>
        <w:rPr>
          <w:rFonts w:eastAsia="Times New Roman" w:cs="Times New Roman"/>
          <w:sz w:val="20"/>
          <w:szCs w:val="20"/>
          <w:lang w:eastAsia="en-CA"/>
        </w:rPr>
      </w:pPr>
    </w:p>
    <w:p w:rsidR="00AD651A" w:rsidRPr="00AD651A" w:rsidRDefault="00AD651A" w:rsidP="00AD651A">
      <w:pPr>
        <w:jc w:val="both"/>
        <w:rPr>
          <w:rFonts w:eastAsia="Times New Roman" w:cs="Times New Roman"/>
          <w:sz w:val="20"/>
          <w:szCs w:val="20"/>
          <w:lang w:eastAsia="en-CA"/>
        </w:rPr>
      </w:pPr>
      <w:r w:rsidRPr="00AD651A">
        <w:rPr>
          <w:rFonts w:eastAsia="Times New Roman" w:cs="Times New Roman"/>
          <w:b/>
          <w:sz w:val="20"/>
          <w:szCs w:val="20"/>
          <w:lang w:eastAsia="en-CA"/>
        </w:rPr>
        <w:t>AND</w:t>
      </w:r>
      <w:r w:rsidRPr="00AD651A">
        <w:rPr>
          <w:rFonts w:eastAsia="Times New Roman" w:cs="Times New Roman"/>
          <w:sz w:val="20"/>
          <w:szCs w:val="20"/>
          <w:lang w:eastAsia="en-CA"/>
        </w:rPr>
        <w:t xml:space="preserve"> upon the constitutional questions in this case not appearing to be more complex than those in the numerous constitutional matters that are argued before this Court without requiring a departure from the 40-page maximum provided for in Rule 42(4);</w:t>
      </w:r>
    </w:p>
    <w:p w:rsidR="00AD651A" w:rsidRPr="00AD651A" w:rsidRDefault="00AD651A" w:rsidP="00AD651A">
      <w:pPr>
        <w:jc w:val="both"/>
        <w:rPr>
          <w:rFonts w:eastAsia="Times New Roman" w:cs="Times New Roman"/>
          <w:sz w:val="20"/>
          <w:szCs w:val="20"/>
          <w:lang w:eastAsia="en-CA"/>
        </w:rPr>
      </w:pPr>
    </w:p>
    <w:p w:rsidR="00AD651A" w:rsidRPr="00AD651A" w:rsidRDefault="00AD651A" w:rsidP="00AD651A">
      <w:pPr>
        <w:jc w:val="both"/>
        <w:rPr>
          <w:rFonts w:eastAsia="Times New Roman" w:cs="Times New Roman"/>
          <w:sz w:val="20"/>
          <w:szCs w:val="20"/>
          <w:lang w:eastAsia="en-CA"/>
        </w:rPr>
      </w:pPr>
      <w:r w:rsidRPr="00AD651A">
        <w:rPr>
          <w:rFonts w:eastAsia="Times New Roman" w:cs="Times New Roman"/>
          <w:b/>
          <w:sz w:val="20"/>
          <w:szCs w:val="20"/>
          <w:lang w:eastAsia="en-CA"/>
        </w:rPr>
        <w:t>AND</w:t>
      </w:r>
      <w:r w:rsidRPr="00AD651A">
        <w:rPr>
          <w:rFonts w:eastAsia="Times New Roman" w:cs="Times New Roman"/>
          <w:sz w:val="20"/>
          <w:szCs w:val="20"/>
          <w:lang w:eastAsia="en-CA"/>
        </w:rPr>
        <w:t xml:space="preserve"> having regard to the observation of Richards J.A. (as he then was) in considering a similar motion in the Saskatchewan Court of Appeal in this matter that</w:t>
      </w:r>
    </w:p>
    <w:p w:rsidR="00AD651A" w:rsidRPr="00AD651A" w:rsidRDefault="00AD651A" w:rsidP="00AD651A">
      <w:pPr>
        <w:jc w:val="both"/>
        <w:rPr>
          <w:rFonts w:eastAsia="Times New Roman" w:cs="Times New Roman"/>
          <w:sz w:val="20"/>
          <w:szCs w:val="20"/>
          <w:lang w:eastAsia="en-CA"/>
        </w:rPr>
      </w:pPr>
    </w:p>
    <w:p w:rsidR="00AD651A" w:rsidRPr="00AD651A" w:rsidRDefault="00AD651A" w:rsidP="00AD651A">
      <w:pPr>
        <w:ind w:left="720" w:hanging="720"/>
        <w:jc w:val="both"/>
        <w:rPr>
          <w:rFonts w:eastAsia="Times New Roman" w:cs="Times New Roman"/>
          <w:sz w:val="20"/>
          <w:szCs w:val="20"/>
          <w:lang w:eastAsia="en-CA"/>
        </w:rPr>
      </w:pPr>
      <w:r w:rsidRPr="00AD651A">
        <w:rPr>
          <w:rFonts w:eastAsia="Times New Roman" w:cs="Times New Roman"/>
          <w:sz w:val="20"/>
          <w:szCs w:val="20"/>
          <w:lang w:eastAsia="en-CA"/>
        </w:rPr>
        <w:tab/>
        <w:t xml:space="preserve">. . . all counsel are strongly urged not to treat page length maximums as effective minimums and to bear in mind the age-old truism that, in factum writing, quality always trumps quantity. </w:t>
      </w:r>
    </w:p>
    <w:p w:rsidR="00AD651A" w:rsidRPr="00AD651A" w:rsidRDefault="00AD651A" w:rsidP="00AD651A">
      <w:pPr>
        <w:jc w:val="both"/>
        <w:rPr>
          <w:rFonts w:eastAsia="Times New Roman" w:cs="Times New Roman"/>
          <w:sz w:val="20"/>
          <w:szCs w:val="20"/>
          <w:lang w:eastAsia="en-CA"/>
        </w:rPr>
      </w:pPr>
    </w:p>
    <w:p w:rsidR="00AD651A" w:rsidRPr="00AD651A" w:rsidRDefault="00AD651A" w:rsidP="00AD651A">
      <w:pPr>
        <w:jc w:val="both"/>
        <w:rPr>
          <w:rFonts w:eastAsia="Times New Roman" w:cs="Times New Roman"/>
          <w:b/>
          <w:sz w:val="20"/>
          <w:szCs w:val="20"/>
          <w:lang w:eastAsia="en-CA"/>
        </w:rPr>
      </w:pPr>
      <w:r w:rsidRPr="00AD651A">
        <w:rPr>
          <w:rFonts w:eastAsia="Times New Roman" w:cs="Times New Roman"/>
          <w:b/>
          <w:sz w:val="20"/>
          <w:szCs w:val="20"/>
          <w:lang w:eastAsia="en-CA"/>
        </w:rPr>
        <w:t>IT IS HEREBY ORDERED THAT:</w:t>
      </w:r>
    </w:p>
    <w:p w:rsidR="00AD651A" w:rsidRPr="00AD651A" w:rsidRDefault="00AD651A" w:rsidP="00AD651A">
      <w:pPr>
        <w:jc w:val="both"/>
        <w:rPr>
          <w:rFonts w:eastAsia="Times New Roman" w:cs="Times New Roman"/>
          <w:sz w:val="20"/>
          <w:szCs w:val="20"/>
          <w:lang w:eastAsia="en-CA"/>
        </w:rPr>
      </w:pPr>
    </w:p>
    <w:p w:rsidR="00AD651A" w:rsidRPr="00AD651A" w:rsidRDefault="00AD651A" w:rsidP="00AD651A">
      <w:pPr>
        <w:numPr>
          <w:ilvl w:val="0"/>
          <w:numId w:val="8"/>
        </w:numPr>
        <w:autoSpaceDE w:val="0"/>
        <w:autoSpaceDN w:val="0"/>
        <w:adjustRightInd w:val="0"/>
        <w:contextualSpacing/>
        <w:jc w:val="both"/>
        <w:rPr>
          <w:rFonts w:cs="Times New Roman"/>
          <w:sz w:val="20"/>
          <w:szCs w:val="20"/>
        </w:rPr>
      </w:pPr>
      <w:r w:rsidRPr="00AD651A">
        <w:rPr>
          <w:rFonts w:cs="Times New Roman"/>
          <w:sz w:val="20"/>
          <w:szCs w:val="20"/>
        </w:rPr>
        <w:t xml:space="preserve">The requests to file factums in excess of 40 pages are denied. </w:t>
      </w:r>
    </w:p>
    <w:p w:rsidR="00AD651A" w:rsidRPr="00AD651A" w:rsidRDefault="00AD651A" w:rsidP="00AD651A">
      <w:pPr>
        <w:jc w:val="both"/>
        <w:rPr>
          <w:rFonts w:eastAsia="Times New Roman" w:cs="Times New Roman"/>
          <w:sz w:val="20"/>
          <w:szCs w:val="20"/>
          <w:lang w:eastAsia="en-CA"/>
        </w:rPr>
      </w:pPr>
    </w:p>
    <w:p w:rsidR="00AD651A" w:rsidRPr="00AD651A" w:rsidRDefault="00AD651A" w:rsidP="00AD651A">
      <w:pPr>
        <w:numPr>
          <w:ilvl w:val="0"/>
          <w:numId w:val="8"/>
        </w:numPr>
        <w:autoSpaceDE w:val="0"/>
        <w:autoSpaceDN w:val="0"/>
        <w:adjustRightInd w:val="0"/>
        <w:contextualSpacing/>
        <w:jc w:val="both"/>
        <w:rPr>
          <w:rFonts w:cs="Times New Roman"/>
          <w:sz w:val="20"/>
          <w:szCs w:val="20"/>
        </w:rPr>
      </w:pPr>
      <w:r w:rsidRPr="00AD651A">
        <w:rPr>
          <w:rFonts w:cs="Times New Roman"/>
          <w:sz w:val="20"/>
          <w:szCs w:val="20"/>
        </w:rPr>
        <w:t xml:space="preserve">The requests to present oral argument not exceeding 90 minutes at the hearing of the appeal are deferred to a date following receipt and consideration of the written arguments of the parties and any interveners at which point the Court may order or direct as it deems appropriate. </w:t>
      </w:r>
    </w:p>
    <w:p w:rsidR="00AD651A" w:rsidRPr="00AD651A" w:rsidRDefault="00AD651A" w:rsidP="00AD651A">
      <w:pPr>
        <w:ind w:left="720"/>
        <w:contextualSpacing/>
        <w:jc w:val="both"/>
        <w:rPr>
          <w:rFonts w:cs="Times New Roman"/>
          <w:sz w:val="20"/>
          <w:szCs w:val="20"/>
        </w:rPr>
      </w:pPr>
    </w:p>
    <w:p w:rsidR="00AD651A" w:rsidRPr="00AD651A" w:rsidRDefault="00AD651A" w:rsidP="00AD651A">
      <w:pPr>
        <w:jc w:val="both"/>
        <w:rPr>
          <w:rFonts w:eastAsia="Times New Roman" w:cs="Times New Roman"/>
          <w:b/>
          <w:bCs/>
          <w:sz w:val="20"/>
          <w:szCs w:val="20"/>
          <w:lang w:eastAsia="en-CA"/>
        </w:rPr>
      </w:pPr>
    </w:p>
    <w:p w:rsidR="00AD651A" w:rsidRPr="00AD651A" w:rsidRDefault="00AD651A" w:rsidP="00AD651A">
      <w:pPr>
        <w:jc w:val="both"/>
        <w:rPr>
          <w:rFonts w:eastAsia="Times New Roman" w:cs="Times New Roman"/>
          <w:b/>
          <w:bCs/>
          <w:sz w:val="20"/>
          <w:szCs w:val="20"/>
          <w:lang w:eastAsia="en-CA"/>
        </w:rPr>
      </w:pPr>
    </w:p>
    <w:p w:rsidR="00AD651A" w:rsidRPr="00AD651A" w:rsidRDefault="00AD651A" w:rsidP="00AD651A">
      <w:pPr>
        <w:jc w:val="both"/>
        <w:rPr>
          <w:rFonts w:eastAsia="Times New Roman" w:cs="Times New Roman"/>
          <w:sz w:val="20"/>
          <w:szCs w:val="20"/>
          <w:lang w:val="fr-CA" w:eastAsia="en-CA"/>
        </w:rPr>
      </w:pPr>
      <w:r w:rsidRPr="00AD651A">
        <w:rPr>
          <w:rFonts w:eastAsia="Times New Roman" w:cs="Times New Roman"/>
          <w:b/>
          <w:bCs/>
          <w:sz w:val="20"/>
          <w:szCs w:val="20"/>
          <w:lang w:val="fr-CA" w:eastAsia="en-CA"/>
        </w:rPr>
        <w:t xml:space="preserve">À LA SUITE DE LA DEMANDE </w:t>
      </w:r>
      <w:r w:rsidRPr="00AD651A">
        <w:rPr>
          <w:rFonts w:eastAsia="Times New Roman" w:cs="Times New Roman"/>
          <w:bCs/>
          <w:sz w:val="20"/>
          <w:szCs w:val="20"/>
          <w:lang w:val="fr-CA" w:eastAsia="en-CA"/>
        </w:rPr>
        <w:t xml:space="preserve">présentée par les appelants en vue d’obtenir une ordonnance les autorisant, ainsi que l’intimée, à déposer des mémoires d’appel de 60 pages et </w:t>
      </w:r>
      <w:r w:rsidR="0006361A" w:rsidRPr="00AD651A">
        <w:rPr>
          <w:rFonts w:eastAsia="Times New Roman" w:cs="Times New Roman"/>
          <w:sz w:val="20"/>
          <w:szCs w:val="20"/>
          <w:lang w:eastAsia="en-CA"/>
        </w:rPr>
        <w:fldChar w:fldCharType="begin"/>
      </w:r>
      <w:r w:rsidRPr="00AD651A">
        <w:rPr>
          <w:rFonts w:eastAsia="Times New Roman" w:cs="Times New Roman"/>
          <w:sz w:val="20"/>
          <w:szCs w:val="20"/>
          <w:lang w:val="fr-CA" w:eastAsia="en-CA"/>
        </w:rPr>
        <w:instrText xml:space="preserve"> SEQ CHAPTER \h \r 1</w:instrText>
      </w:r>
      <w:r w:rsidR="0006361A" w:rsidRPr="00AD651A">
        <w:rPr>
          <w:rFonts w:eastAsia="Times New Roman" w:cs="Times New Roman"/>
          <w:sz w:val="20"/>
          <w:szCs w:val="20"/>
          <w:lang w:eastAsia="en-CA"/>
        </w:rPr>
        <w:fldChar w:fldCharType="end"/>
      </w:r>
      <w:r w:rsidRPr="00AD651A">
        <w:rPr>
          <w:rFonts w:eastAsia="Times New Roman" w:cs="Times New Roman"/>
          <w:sz w:val="20"/>
          <w:szCs w:val="20"/>
          <w:lang w:val="fr-CA" w:eastAsia="en-CA"/>
        </w:rPr>
        <w:t>à présenter une plaidoirie orale d’au plus 90 minutes à l’audition de l’appel;</w:t>
      </w:r>
    </w:p>
    <w:p w:rsidR="00AD651A" w:rsidRPr="00AD651A" w:rsidRDefault="00AD651A" w:rsidP="00AD651A">
      <w:pPr>
        <w:jc w:val="both"/>
        <w:rPr>
          <w:rFonts w:eastAsia="Times New Roman" w:cs="Times New Roman"/>
          <w:sz w:val="20"/>
          <w:szCs w:val="20"/>
          <w:lang w:val="fr-CA" w:eastAsia="en-CA"/>
        </w:rPr>
      </w:pPr>
    </w:p>
    <w:p w:rsidR="00AD651A" w:rsidRPr="00AD651A" w:rsidRDefault="00AD651A" w:rsidP="00AD651A">
      <w:pPr>
        <w:jc w:val="both"/>
        <w:rPr>
          <w:rFonts w:eastAsia="Times New Roman" w:cs="Times New Roman"/>
          <w:sz w:val="20"/>
          <w:szCs w:val="20"/>
          <w:lang w:val="fr-CA" w:eastAsia="en-CA"/>
        </w:rPr>
      </w:pPr>
      <w:r w:rsidRPr="00AD651A">
        <w:rPr>
          <w:rFonts w:eastAsia="Times New Roman" w:cs="Times New Roman"/>
          <w:b/>
          <w:bCs/>
          <w:sz w:val="20"/>
          <w:szCs w:val="20"/>
          <w:lang w:val="fr-CA" w:eastAsia="en-CA"/>
        </w:rPr>
        <w:t xml:space="preserve">ET APRÈS AVOIR PRIS CONNAISSANCE </w:t>
      </w:r>
      <w:r w:rsidRPr="00AD651A">
        <w:rPr>
          <w:rFonts w:eastAsia="Times New Roman" w:cs="Times New Roman"/>
          <w:bCs/>
          <w:sz w:val="20"/>
          <w:szCs w:val="20"/>
          <w:lang w:val="fr-CA" w:eastAsia="en-CA"/>
        </w:rPr>
        <w:t>du consentement de l’intimée et des documents relatifs à la requête</w:t>
      </w:r>
      <w:r w:rsidRPr="00AD651A">
        <w:rPr>
          <w:rFonts w:eastAsia="Times New Roman" w:cs="Times New Roman"/>
          <w:sz w:val="20"/>
          <w:szCs w:val="20"/>
          <w:lang w:val="fr-CA" w:eastAsia="en-CA"/>
        </w:rPr>
        <w:t>;</w:t>
      </w:r>
    </w:p>
    <w:p w:rsidR="00AD651A" w:rsidRPr="00AD651A" w:rsidRDefault="00AD651A" w:rsidP="00AD651A">
      <w:pPr>
        <w:jc w:val="both"/>
        <w:rPr>
          <w:rFonts w:eastAsia="Times New Roman" w:cs="Times New Roman"/>
          <w:sz w:val="20"/>
          <w:szCs w:val="20"/>
          <w:lang w:val="fr-CA" w:eastAsia="en-CA"/>
        </w:rPr>
      </w:pPr>
    </w:p>
    <w:p w:rsidR="00AD651A" w:rsidRPr="00AD651A" w:rsidRDefault="00AD651A" w:rsidP="00AD651A">
      <w:pPr>
        <w:jc w:val="both"/>
        <w:rPr>
          <w:rFonts w:eastAsia="Times New Roman" w:cs="Times New Roman"/>
          <w:sz w:val="20"/>
          <w:szCs w:val="20"/>
          <w:lang w:val="fr-CA" w:eastAsia="en-CA"/>
        </w:rPr>
      </w:pPr>
      <w:r w:rsidRPr="00AD651A">
        <w:rPr>
          <w:rFonts w:eastAsia="Times New Roman" w:cs="Times New Roman"/>
          <w:b/>
          <w:sz w:val="20"/>
          <w:szCs w:val="20"/>
          <w:lang w:val="fr-CA" w:eastAsia="en-CA"/>
        </w:rPr>
        <w:t xml:space="preserve">ET </w:t>
      </w:r>
      <w:r w:rsidRPr="00AD651A">
        <w:rPr>
          <w:rFonts w:eastAsia="Times New Roman" w:cs="Times New Roman"/>
          <w:sz w:val="20"/>
          <w:szCs w:val="20"/>
          <w:lang w:val="fr-CA" w:eastAsia="en-CA"/>
        </w:rPr>
        <w:t>malgré le caractère sans doute volumineux de la preuve, les questions soumises à la Cour sont des questions de droit sur lesquelles devraient se concentrer les parties;</w:t>
      </w:r>
    </w:p>
    <w:p w:rsidR="00AD651A" w:rsidRPr="00AD651A" w:rsidRDefault="00AD651A" w:rsidP="00AD651A">
      <w:pPr>
        <w:jc w:val="both"/>
        <w:rPr>
          <w:rFonts w:eastAsia="Times New Roman" w:cs="Times New Roman"/>
          <w:sz w:val="20"/>
          <w:szCs w:val="20"/>
          <w:lang w:val="fr-CA" w:eastAsia="en-CA"/>
        </w:rPr>
      </w:pPr>
    </w:p>
    <w:p w:rsidR="00AD651A" w:rsidRPr="00AD651A" w:rsidRDefault="00AD651A" w:rsidP="00AD651A">
      <w:pPr>
        <w:jc w:val="both"/>
        <w:rPr>
          <w:rFonts w:eastAsia="Times New Roman" w:cs="Times New Roman"/>
          <w:sz w:val="20"/>
          <w:szCs w:val="20"/>
          <w:lang w:val="fr-CA" w:eastAsia="en-CA"/>
        </w:rPr>
      </w:pPr>
      <w:r w:rsidRPr="00AD651A">
        <w:rPr>
          <w:rFonts w:eastAsia="Times New Roman" w:cs="Times New Roman"/>
          <w:b/>
          <w:sz w:val="20"/>
          <w:szCs w:val="20"/>
          <w:lang w:val="fr-CA" w:eastAsia="en-CA"/>
        </w:rPr>
        <w:t>ET</w:t>
      </w:r>
      <w:r w:rsidRPr="00AD651A">
        <w:rPr>
          <w:rFonts w:eastAsia="Times New Roman" w:cs="Times New Roman"/>
          <w:sz w:val="20"/>
          <w:szCs w:val="20"/>
          <w:lang w:val="fr-CA" w:eastAsia="en-CA"/>
        </w:rPr>
        <w:t xml:space="preserve"> vu que les questions constitutionnelles en l’espèce ne paraissent pas plus complexes que celles en jeu dans les nombreuses affaires constitutionnelles débattues devant la Cour et qui n’exigent pas qu’on s’écarte du maximum de 40 pages prévu au par. 42(4) des </w:t>
      </w:r>
      <w:r w:rsidRPr="00AD651A">
        <w:rPr>
          <w:rFonts w:eastAsia="Times New Roman" w:cs="Times New Roman"/>
          <w:i/>
          <w:sz w:val="20"/>
          <w:szCs w:val="20"/>
          <w:lang w:val="fr-CA" w:eastAsia="en-CA"/>
        </w:rPr>
        <w:t>Règles</w:t>
      </w:r>
      <w:r w:rsidRPr="00AD651A">
        <w:rPr>
          <w:rFonts w:eastAsia="Times New Roman" w:cs="Times New Roman"/>
          <w:sz w:val="20"/>
          <w:szCs w:val="20"/>
          <w:lang w:val="fr-CA" w:eastAsia="en-CA"/>
        </w:rPr>
        <w:t>;</w:t>
      </w:r>
    </w:p>
    <w:p w:rsidR="00AD651A" w:rsidRPr="00AD651A" w:rsidRDefault="00AD651A" w:rsidP="00AD651A">
      <w:pPr>
        <w:jc w:val="both"/>
        <w:rPr>
          <w:rFonts w:eastAsia="Times New Roman" w:cs="Times New Roman"/>
          <w:sz w:val="20"/>
          <w:szCs w:val="20"/>
          <w:lang w:val="fr-CA" w:eastAsia="en-CA"/>
        </w:rPr>
      </w:pPr>
    </w:p>
    <w:p w:rsidR="00AD651A" w:rsidRPr="00AD651A" w:rsidRDefault="00AD651A" w:rsidP="00AD651A">
      <w:pPr>
        <w:jc w:val="both"/>
        <w:rPr>
          <w:rFonts w:eastAsia="Times New Roman" w:cs="Times New Roman"/>
          <w:sz w:val="20"/>
          <w:szCs w:val="20"/>
          <w:lang w:val="fr-CA" w:eastAsia="en-CA"/>
        </w:rPr>
      </w:pPr>
      <w:r w:rsidRPr="00AD651A">
        <w:rPr>
          <w:rFonts w:eastAsia="Times New Roman" w:cs="Times New Roman"/>
          <w:b/>
          <w:sz w:val="20"/>
          <w:szCs w:val="20"/>
          <w:lang w:val="fr-CA" w:eastAsia="en-CA"/>
        </w:rPr>
        <w:t>ET</w:t>
      </w:r>
      <w:r w:rsidRPr="00AD651A">
        <w:rPr>
          <w:rFonts w:eastAsia="Times New Roman" w:cs="Times New Roman"/>
          <w:sz w:val="20"/>
          <w:szCs w:val="20"/>
          <w:lang w:val="fr-CA" w:eastAsia="en-CA"/>
        </w:rPr>
        <w:t xml:space="preserve"> compte tenu de l’observation suivante faite par le juge Richards (maintenant juge en chef de la Cour d’appel) lorsqu’il a examiné une requête semblable en Cour d’appel de la Saskatchewan dans la présente affaire : </w:t>
      </w:r>
    </w:p>
    <w:p w:rsidR="00AD651A" w:rsidRPr="00AD651A" w:rsidRDefault="00AD651A" w:rsidP="00AD651A">
      <w:pPr>
        <w:jc w:val="both"/>
        <w:rPr>
          <w:rFonts w:eastAsia="Times New Roman" w:cs="Times New Roman"/>
          <w:sz w:val="20"/>
          <w:szCs w:val="20"/>
          <w:lang w:val="fr-CA" w:eastAsia="en-CA"/>
        </w:rPr>
      </w:pPr>
    </w:p>
    <w:p w:rsidR="00AD651A" w:rsidRPr="00AD651A" w:rsidRDefault="00AD651A" w:rsidP="00AD651A">
      <w:pPr>
        <w:ind w:left="720" w:hanging="720"/>
        <w:jc w:val="both"/>
        <w:rPr>
          <w:rFonts w:eastAsia="Times New Roman" w:cs="Times New Roman"/>
          <w:sz w:val="20"/>
          <w:szCs w:val="20"/>
          <w:lang w:val="fr-CA" w:eastAsia="en-CA"/>
        </w:rPr>
      </w:pPr>
      <w:r w:rsidRPr="00AD651A">
        <w:rPr>
          <w:rFonts w:eastAsia="Times New Roman" w:cs="Times New Roman"/>
          <w:sz w:val="20"/>
          <w:szCs w:val="20"/>
          <w:lang w:val="fr-CA" w:eastAsia="en-CA"/>
        </w:rPr>
        <w:tab/>
        <w:t>[</w:t>
      </w:r>
      <w:r w:rsidRPr="00AD651A">
        <w:rPr>
          <w:rFonts w:eastAsia="Times New Roman" w:cs="Times New Roman"/>
          <w:smallCaps/>
          <w:sz w:val="20"/>
          <w:szCs w:val="20"/>
          <w:lang w:val="fr-CA" w:eastAsia="en-CA"/>
        </w:rPr>
        <w:t>traduction</w:t>
      </w:r>
      <w:r w:rsidRPr="00AD651A">
        <w:rPr>
          <w:rFonts w:eastAsia="Times New Roman" w:cs="Times New Roman"/>
          <w:sz w:val="20"/>
          <w:szCs w:val="20"/>
          <w:lang w:val="fr-CA" w:eastAsia="en-CA"/>
        </w:rPr>
        <w:t xml:space="preserve">] on demande instamment à tous les avocats de ne pas considérer les nombres maximums de pages comme des minimums dans les faits et de garder à l’esprit le vieux truisme selon lequel la qualité prime toujours la quantité. </w:t>
      </w:r>
    </w:p>
    <w:p w:rsidR="00AD651A" w:rsidRPr="00AD651A" w:rsidRDefault="00AD651A" w:rsidP="00AD651A">
      <w:pPr>
        <w:jc w:val="both"/>
        <w:rPr>
          <w:rFonts w:eastAsia="Times New Roman" w:cs="Times New Roman"/>
          <w:sz w:val="20"/>
          <w:szCs w:val="20"/>
          <w:lang w:val="fr-CA" w:eastAsia="en-CA"/>
        </w:rPr>
      </w:pPr>
    </w:p>
    <w:p w:rsidR="00AD651A" w:rsidRPr="00AD651A" w:rsidRDefault="00AD651A" w:rsidP="00AD651A">
      <w:pPr>
        <w:jc w:val="both"/>
        <w:rPr>
          <w:rFonts w:eastAsia="Times New Roman" w:cs="Times New Roman"/>
          <w:b/>
          <w:sz w:val="20"/>
          <w:szCs w:val="20"/>
          <w:lang w:val="fr-CA" w:eastAsia="en-CA"/>
        </w:rPr>
      </w:pPr>
      <w:r w:rsidRPr="00AD651A">
        <w:rPr>
          <w:rFonts w:eastAsia="Times New Roman" w:cs="Times New Roman"/>
          <w:b/>
          <w:sz w:val="20"/>
          <w:szCs w:val="20"/>
          <w:lang w:val="fr-CA" w:eastAsia="en-CA"/>
        </w:rPr>
        <w:t>IL EST ORDONNÉ CE QUI SUIT :</w:t>
      </w:r>
    </w:p>
    <w:p w:rsidR="00AD651A" w:rsidRPr="00AD651A" w:rsidRDefault="00AD651A" w:rsidP="00AD651A">
      <w:pPr>
        <w:jc w:val="both"/>
        <w:rPr>
          <w:rFonts w:eastAsia="Times New Roman" w:cs="Times New Roman"/>
          <w:sz w:val="20"/>
          <w:szCs w:val="20"/>
          <w:lang w:val="fr-CA" w:eastAsia="en-CA"/>
        </w:rPr>
      </w:pPr>
    </w:p>
    <w:p w:rsidR="00AD651A" w:rsidRPr="00AD651A" w:rsidRDefault="00AD651A" w:rsidP="00AD651A">
      <w:pPr>
        <w:numPr>
          <w:ilvl w:val="0"/>
          <w:numId w:val="10"/>
        </w:numPr>
        <w:autoSpaceDE w:val="0"/>
        <w:autoSpaceDN w:val="0"/>
        <w:adjustRightInd w:val="0"/>
        <w:contextualSpacing/>
        <w:jc w:val="both"/>
        <w:rPr>
          <w:rFonts w:cs="Times New Roman"/>
          <w:sz w:val="20"/>
          <w:szCs w:val="20"/>
          <w:lang w:val="fr-CA"/>
        </w:rPr>
      </w:pPr>
      <w:r w:rsidRPr="00AD651A">
        <w:rPr>
          <w:rFonts w:cs="Times New Roman"/>
          <w:sz w:val="20"/>
          <w:szCs w:val="20"/>
          <w:lang w:val="fr-CA"/>
        </w:rPr>
        <w:t>Les demandes en vue de déposer des mémoires de plus de 40 pages sont rejetées.</w:t>
      </w:r>
    </w:p>
    <w:p w:rsidR="00AD651A" w:rsidRPr="00AD651A" w:rsidRDefault="00AD651A" w:rsidP="00AD651A">
      <w:pPr>
        <w:ind w:left="720"/>
        <w:contextualSpacing/>
        <w:jc w:val="both"/>
        <w:rPr>
          <w:rFonts w:cs="Times New Roman"/>
          <w:sz w:val="20"/>
          <w:szCs w:val="20"/>
          <w:lang w:val="fr-CA"/>
        </w:rPr>
      </w:pPr>
    </w:p>
    <w:p w:rsidR="00AD651A" w:rsidRPr="00AD651A" w:rsidRDefault="00AD651A" w:rsidP="00AD651A">
      <w:pPr>
        <w:numPr>
          <w:ilvl w:val="0"/>
          <w:numId w:val="10"/>
        </w:numPr>
        <w:autoSpaceDE w:val="0"/>
        <w:autoSpaceDN w:val="0"/>
        <w:adjustRightInd w:val="0"/>
        <w:contextualSpacing/>
        <w:jc w:val="both"/>
        <w:rPr>
          <w:rFonts w:cs="Times New Roman"/>
          <w:sz w:val="20"/>
          <w:szCs w:val="20"/>
          <w:lang w:val="fr-CA"/>
        </w:rPr>
      </w:pPr>
      <w:r w:rsidRPr="00AD651A">
        <w:rPr>
          <w:rFonts w:cs="Times New Roman"/>
          <w:sz w:val="20"/>
          <w:szCs w:val="20"/>
          <w:lang w:val="fr-CA"/>
        </w:rPr>
        <w:t>La décision sur les demandes en vue de présenter une plaidoirie orale d’au plus 90 minutes à l’audition de l’appel sera rendue après réception et examen des arguments écrits des parties et de tout intervenant.  La Cour pourra alors rendre la décision ou donner les instructions qu’elle estime indiquées.</w:t>
      </w:r>
    </w:p>
    <w:p w:rsidR="00AD651A" w:rsidRPr="00AD651A" w:rsidRDefault="00AD651A" w:rsidP="00AD651A">
      <w:pPr>
        <w:tabs>
          <w:tab w:val="left" w:pos="-1440"/>
          <w:tab w:val="left" w:pos="-720"/>
        </w:tabs>
        <w:jc w:val="both"/>
        <w:rPr>
          <w:rFonts w:eastAsia="Times New Roman" w:cs="Times New Roman"/>
          <w:sz w:val="20"/>
          <w:szCs w:val="20"/>
          <w:lang w:val="fr-CA" w:eastAsia="en-CA"/>
        </w:rPr>
      </w:pPr>
    </w:p>
    <w:p w:rsidR="00AD651A" w:rsidRPr="00AD651A" w:rsidRDefault="00EB0F11" w:rsidP="00AD651A">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76" style="width:2in;height:1pt" o:hrpct="0" o:hralign="center" o:hrstd="t" o:hrnoshade="t" o:hr="t" fillcolor="black [3213]" stroked="f"/>
        </w:pict>
      </w:r>
    </w:p>
    <w:p w:rsidR="00AD651A" w:rsidRDefault="00AD651A" w:rsidP="00AD651A">
      <w:pPr>
        <w:rPr>
          <w:rFonts w:eastAsia="Times New Roman" w:cs="Times New Roman"/>
          <w:sz w:val="20"/>
          <w:szCs w:val="20"/>
          <w:lang w:val="fr-CA" w:eastAsia="en-CA"/>
        </w:rPr>
      </w:pPr>
    </w:p>
    <w:p w:rsidR="00AD651A" w:rsidRPr="00AD651A" w:rsidRDefault="00AD651A" w:rsidP="00AD651A">
      <w:pPr>
        <w:tabs>
          <w:tab w:val="left" w:pos="-1440"/>
          <w:tab w:val="left" w:pos="-720"/>
        </w:tabs>
        <w:jc w:val="both"/>
        <w:rPr>
          <w:rFonts w:eastAsia="Times New Roman" w:cs="Times New Roman"/>
          <w:sz w:val="20"/>
          <w:szCs w:val="20"/>
          <w:lang w:val="fr-CA" w:eastAsia="en-CA"/>
        </w:rPr>
      </w:pPr>
      <w:r w:rsidRPr="00AD651A">
        <w:rPr>
          <w:rFonts w:eastAsia="Times New Roman" w:cs="Times New Roman"/>
          <w:sz w:val="20"/>
          <w:szCs w:val="20"/>
          <w:lang w:val="fr-CA" w:eastAsia="en-CA"/>
        </w:rPr>
        <w:lastRenderedPageBreak/>
        <w:t>11.02.2014</w:t>
      </w:r>
    </w:p>
    <w:p w:rsidR="00AD651A" w:rsidRPr="00AD651A" w:rsidRDefault="00AD651A" w:rsidP="00AD651A">
      <w:pPr>
        <w:tabs>
          <w:tab w:val="left" w:pos="-1440"/>
          <w:tab w:val="left" w:pos="-720"/>
        </w:tabs>
        <w:jc w:val="both"/>
        <w:rPr>
          <w:rFonts w:eastAsia="Times New Roman" w:cs="Times New Roman"/>
          <w:sz w:val="20"/>
          <w:szCs w:val="20"/>
          <w:lang w:val="fr-CA" w:eastAsia="en-CA"/>
        </w:rPr>
      </w:pPr>
    </w:p>
    <w:p w:rsidR="00AD651A" w:rsidRPr="00AD651A" w:rsidRDefault="00AD651A" w:rsidP="00AD651A">
      <w:pPr>
        <w:tabs>
          <w:tab w:val="left" w:pos="-1440"/>
          <w:tab w:val="left" w:pos="-720"/>
        </w:tabs>
        <w:jc w:val="both"/>
        <w:rPr>
          <w:rFonts w:eastAsia="Times New Roman" w:cs="Times New Roman"/>
          <w:sz w:val="20"/>
          <w:szCs w:val="20"/>
          <w:lang w:val="fr-CA" w:eastAsia="en-CA"/>
        </w:rPr>
      </w:pPr>
      <w:r w:rsidRPr="00AD651A">
        <w:rPr>
          <w:rFonts w:eastAsia="Times New Roman" w:cs="Times New Roman"/>
          <w:sz w:val="20"/>
          <w:szCs w:val="20"/>
          <w:lang w:val="fr-CA" w:eastAsia="en-CA"/>
        </w:rPr>
        <w:t>Before / Devant :   ROTHSTEIN J. / LE JUGE ROTHSTEIN</w:t>
      </w:r>
    </w:p>
    <w:p w:rsidR="00AD651A" w:rsidRPr="00AD651A" w:rsidRDefault="00AD651A" w:rsidP="00AD651A">
      <w:pPr>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2880"/>
        <w:gridCol w:w="1170"/>
        <w:gridCol w:w="4327"/>
      </w:tblGrid>
      <w:tr w:rsidR="00AD651A" w:rsidRPr="00AD651A" w:rsidTr="001C4AC6">
        <w:tc>
          <w:tcPr>
            <w:tcW w:w="4338" w:type="dxa"/>
            <w:gridSpan w:val="2"/>
          </w:tcPr>
          <w:p w:rsidR="00AD651A" w:rsidRPr="00AD651A" w:rsidRDefault="00AD651A" w:rsidP="00AD651A">
            <w:pPr>
              <w:rPr>
                <w:b/>
              </w:rPr>
            </w:pPr>
            <w:r w:rsidRPr="00AD651A">
              <w:rPr>
                <w:b/>
              </w:rPr>
              <w:t>Motions for leave to intervene</w:t>
            </w:r>
            <w:r w:rsidRPr="00AD651A">
              <w:rPr>
                <w:szCs w:val="24"/>
                <w:lang w:val="en-US"/>
              </w:rPr>
              <w:t xml:space="preserve"> </w:t>
            </w:r>
            <w:r w:rsidR="0006361A" w:rsidRPr="00AD651A">
              <w:rPr>
                <w:szCs w:val="24"/>
                <w:lang w:val="en-US"/>
              </w:rPr>
              <w:fldChar w:fldCharType="begin"/>
            </w:r>
            <w:r w:rsidRPr="00AD651A">
              <w:rPr>
                <w:szCs w:val="24"/>
              </w:rPr>
              <w:instrText xml:space="preserve"> SEQ CHAPTER \h \r 1</w:instrText>
            </w:r>
            <w:r w:rsidR="0006361A" w:rsidRPr="00AD651A">
              <w:rPr>
                <w:szCs w:val="24"/>
                <w:lang w:val="en-US"/>
              </w:rPr>
              <w:fldChar w:fldCharType="end"/>
            </w:r>
          </w:p>
        </w:tc>
        <w:tc>
          <w:tcPr>
            <w:tcW w:w="1170" w:type="dxa"/>
          </w:tcPr>
          <w:p w:rsidR="00AD651A" w:rsidRPr="00AD651A" w:rsidRDefault="00AD651A" w:rsidP="00AD651A"/>
          <w:p w:rsidR="00AD651A" w:rsidRPr="00AD651A" w:rsidRDefault="00AD651A" w:rsidP="00AD651A"/>
        </w:tc>
        <w:tc>
          <w:tcPr>
            <w:tcW w:w="4327" w:type="dxa"/>
          </w:tcPr>
          <w:p w:rsidR="00AD651A" w:rsidRPr="00AD651A" w:rsidRDefault="00AD651A" w:rsidP="00AD651A">
            <w:pPr>
              <w:rPr>
                <w:b/>
              </w:rPr>
            </w:pPr>
            <w:r w:rsidRPr="00AD651A">
              <w:rPr>
                <w:b/>
                <w:bCs/>
                <w:lang w:val="fr-CA"/>
              </w:rPr>
              <w:t>Requêtes en autorisation d’intervenir</w:t>
            </w:r>
            <w:r w:rsidRPr="00AD651A">
              <w:rPr>
                <w:szCs w:val="24"/>
                <w:lang w:val="en-US"/>
              </w:rPr>
              <w:t xml:space="preserve"> </w:t>
            </w:r>
            <w:r w:rsidR="0006361A" w:rsidRPr="00AD651A">
              <w:rPr>
                <w:szCs w:val="24"/>
                <w:lang w:val="en-US"/>
              </w:rPr>
              <w:fldChar w:fldCharType="begin"/>
            </w:r>
            <w:r w:rsidRPr="00AD651A">
              <w:rPr>
                <w:szCs w:val="24"/>
              </w:rPr>
              <w:instrText xml:space="preserve"> SEQ CHAPTER \h \r 1</w:instrText>
            </w:r>
            <w:r w:rsidR="0006361A" w:rsidRPr="00AD651A">
              <w:rPr>
                <w:szCs w:val="24"/>
                <w:lang w:val="en-US"/>
              </w:rPr>
              <w:fldChar w:fldCharType="end"/>
            </w:r>
          </w:p>
        </w:tc>
      </w:tr>
      <w:tr w:rsidR="00AD651A" w:rsidRPr="00AD651A" w:rsidTr="001C4AC6">
        <w:trPr>
          <w:trHeight w:val="360"/>
        </w:trPr>
        <w:tc>
          <w:tcPr>
            <w:tcW w:w="1458" w:type="dxa"/>
          </w:tcPr>
          <w:p w:rsidR="00AD651A" w:rsidRPr="00AD651A" w:rsidRDefault="00AD651A" w:rsidP="00AD651A">
            <w:r w:rsidRPr="00AD651A">
              <w:t>BY / PAR</w:t>
            </w:r>
          </w:p>
        </w:tc>
        <w:tc>
          <w:tcPr>
            <w:tcW w:w="2880" w:type="dxa"/>
          </w:tcPr>
          <w:p w:rsidR="00AD651A" w:rsidRPr="00AD651A" w:rsidRDefault="00AD651A" w:rsidP="00AD651A">
            <w:r w:rsidRPr="00AD651A">
              <w:rPr>
                <w:lang w:val="en-US"/>
              </w:rPr>
              <w:t>Attorney General of Alberta</w:t>
            </w:r>
            <w:r w:rsidRPr="00AD651A">
              <w:t>;</w:t>
            </w:r>
          </w:p>
        </w:tc>
        <w:tc>
          <w:tcPr>
            <w:tcW w:w="1170" w:type="dxa"/>
          </w:tcPr>
          <w:p w:rsidR="00AD651A" w:rsidRPr="00AD651A" w:rsidRDefault="00AD651A" w:rsidP="00AD651A"/>
        </w:tc>
        <w:tc>
          <w:tcPr>
            <w:tcW w:w="4327" w:type="dxa"/>
          </w:tcPr>
          <w:p w:rsidR="00AD651A" w:rsidRPr="00AD651A" w:rsidRDefault="00AD651A" w:rsidP="00AD651A"/>
        </w:tc>
      </w:tr>
      <w:tr w:rsidR="00AD651A" w:rsidRPr="00AD651A" w:rsidTr="001C4AC6">
        <w:trPr>
          <w:trHeight w:val="360"/>
        </w:trPr>
        <w:tc>
          <w:tcPr>
            <w:tcW w:w="1458" w:type="dxa"/>
          </w:tcPr>
          <w:p w:rsidR="00AD651A" w:rsidRPr="00AD651A" w:rsidRDefault="00AD651A" w:rsidP="00AD651A"/>
        </w:tc>
        <w:tc>
          <w:tcPr>
            <w:tcW w:w="2880" w:type="dxa"/>
          </w:tcPr>
          <w:p w:rsidR="00AD651A" w:rsidRPr="00AD651A" w:rsidRDefault="00AD651A" w:rsidP="00AD651A">
            <w:r w:rsidRPr="00AD651A">
              <w:rPr>
                <w:lang w:val="en-US"/>
              </w:rPr>
              <w:t>T.R.</w:t>
            </w:r>
            <w:r w:rsidRPr="00AD651A">
              <w:t>;</w:t>
            </w:r>
          </w:p>
        </w:tc>
        <w:tc>
          <w:tcPr>
            <w:tcW w:w="1170" w:type="dxa"/>
          </w:tcPr>
          <w:p w:rsidR="00AD651A" w:rsidRPr="00AD651A" w:rsidRDefault="00AD651A" w:rsidP="00AD651A"/>
        </w:tc>
        <w:tc>
          <w:tcPr>
            <w:tcW w:w="4327" w:type="dxa"/>
          </w:tcPr>
          <w:p w:rsidR="00AD651A" w:rsidRPr="00AD651A" w:rsidRDefault="00AD651A" w:rsidP="00AD651A"/>
        </w:tc>
      </w:tr>
      <w:tr w:rsidR="00AD651A" w:rsidRPr="00AD651A" w:rsidTr="001C4AC6">
        <w:trPr>
          <w:trHeight w:val="360"/>
        </w:trPr>
        <w:tc>
          <w:tcPr>
            <w:tcW w:w="1458" w:type="dxa"/>
          </w:tcPr>
          <w:p w:rsidR="00AD651A" w:rsidRPr="00AD651A" w:rsidRDefault="00AD651A" w:rsidP="00AD651A"/>
        </w:tc>
        <w:tc>
          <w:tcPr>
            <w:tcW w:w="2880" w:type="dxa"/>
          </w:tcPr>
          <w:p w:rsidR="00AD651A" w:rsidRPr="00AD651A" w:rsidRDefault="00AD651A" w:rsidP="00AD651A">
            <w:r w:rsidRPr="00AD651A">
              <w:t>Association of Chiefs of Police;</w:t>
            </w:r>
          </w:p>
        </w:tc>
        <w:tc>
          <w:tcPr>
            <w:tcW w:w="1170" w:type="dxa"/>
          </w:tcPr>
          <w:p w:rsidR="00AD651A" w:rsidRPr="00AD651A" w:rsidRDefault="00AD651A" w:rsidP="00AD651A"/>
        </w:tc>
        <w:tc>
          <w:tcPr>
            <w:tcW w:w="4327" w:type="dxa"/>
          </w:tcPr>
          <w:p w:rsidR="00AD651A" w:rsidRPr="00AD651A" w:rsidRDefault="00AD651A" w:rsidP="00AD651A"/>
        </w:tc>
      </w:tr>
      <w:tr w:rsidR="00AD651A" w:rsidRPr="00AD651A" w:rsidTr="001C4AC6">
        <w:trPr>
          <w:trHeight w:val="360"/>
        </w:trPr>
        <w:tc>
          <w:tcPr>
            <w:tcW w:w="1458" w:type="dxa"/>
          </w:tcPr>
          <w:p w:rsidR="00AD651A" w:rsidRPr="00AD651A" w:rsidRDefault="00AD651A" w:rsidP="00AD651A"/>
        </w:tc>
        <w:tc>
          <w:tcPr>
            <w:tcW w:w="2880" w:type="dxa"/>
          </w:tcPr>
          <w:p w:rsidR="00AD651A" w:rsidRPr="00AD651A" w:rsidRDefault="00AD651A" w:rsidP="00AD651A">
            <w:r w:rsidRPr="00AD651A">
              <w:t>Mental Health Legal Committee;</w:t>
            </w:r>
          </w:p>
        </w:tc>
        <w:tc>
          <w:tcPr>
            <w:tcW w:w="1170" w:type="dxa"/>
          </w:tcPr>
          <w:p w:rsidR="00AD651A" w:rsidRPr="00AD651A" w:rsidRDefault="00AD651A" w:rsidP="00AD651A"/>
        </w:tc>
        <w:tc>
          <w:tcPr>
            <w:tcW w:w="4327" w:type="dxa"/>
          </w:tcPr>
          <w:p w:rsidR="00AD651A" w:rsidRPr="00AD651A" w:rsidRDefault="00AD651A" w:rsidP="00AD651A"/>
        </w:tc>
      </w:tr>
      <w:tr w:rsidR="00AD651A" w:rsidRPr="00AD651A" w:rsidTr="001C4AC6">
        <w:trPr>
          <w:trHeight w:val="576"/>
        </w:trPr>
        <w:tc>
          <w:tcPr>
            <w:tcW w:w="1458" w:type="dxa"/>
          </w:tcPr>
          <w:p w:rsidR="00AD651A" w:rsidRPr="00AD651A" w:rsidRDefault="00AD651A" w:rsidP="00AD651A"/>
        </w:tc>
        <w:tc>
          <w:tcPr>
            <w:tcW w:w="2880" w:type="dxa"/>
          </w:tcPr>
          <w:p w:rsidR="00AD651A" w:rsidRPr="00AD651A" w:rsidRDefault="00AD651A" w:rsidP="00AD651A">
            <w:pPr>
              <w:rPr>
                <w:lang w:val="en-US"/>
              </w:rPr>
            </w:pPr>
            <w:r w:rsidRPr="00AD651A">
              <w:t>Criminal Lawyers’ Association of Ontario</w:t>
            </w:r>
            <w:r w:rsidRPr="00AD651A">
              <w:rPr>
                <w:lang w:val="en-US"/>
              </w:rPr>
              <w:t>;</w:t>
            </w:r>
          </w:p>
        </w:tc>
        <w:tc>
          <w:tcPr>
            <w:tcW w:w="1170" w:type="dxa"/>
          </w:tcPr>
          <w:p w:rsidR="00AD651A" w:rsidRPr="00AD651A" w:rsidRDefault="00AD651A" w:rsidP="00AD651A"/>
        </w:tc>
        <w:tc>
          <w:tcPr>
            <w:tcW w:w="4327" w:type="dxa"/>
          </w:tcPr>
          <w:p w:rsidR="00AD651A" w:rsidRPr="00AD651A" w:rsidRDefault="00AD651A" w:rsidP="00AD651A"/>
        </w:tc>
      </w:tr>
      <w:tr w:rsidR="00AD651A" w:rsidRPr="00AD651A" w:rsidTr="001C4AC6">
        <w:trPr>
          <w:trHeight w:val="576"/>
        </w:trPr>
        <w:tc>
          <w:tcPr>
            <w:tcW w:w="1458" w:type="dxa"/>
          </w:tcPr>
          <w:p w:rsidR="00AD651A" w:rsidRPr="00AD651A" w:rsidRDefault="00AD651A" w:rsidP="00AD651A"/>
        </w:tc>
        <w:tc>
          <w:tcPr>
            <w:tcW w:w="2880" w:type="dxa"/>
          </w:tcPr>
          <w:p w:rsidR="00AD651A" w:rsidRPr="00AD651A" w:rsidRDefault="00AD651A" w:rsidP="00AD651A">
            <w:pPr>
              <w:rPr>
                <w:lang w:val="en-US"/>
              </w:rPr>
            </w:pPr>
            <w:r w:rsidRPr="00AD651A">
              <w:t>Barbra Schlifer Commemorative Clinic</w:t>
            </w:r>
          </w:p>
        </w:tc>
        <w:tc>
          <w:tcPr>
            <w:tcW w:w="1170" w:type="dxa"/>
          </w:tcPr>
          <w:p w:rsidR="00AD651A" w:rsidRPr="00AD651A" w:rsidRDefault="00AD651A" w:rsidP="00AD651A"/>
        </w:tc>
        <w:tc>
          <w:tcPr>
            <w:tcW w:w="4327" w:type="dxa"/>
          </w:tcPr>
          <w:p w:rsidR="00AD651A" w:rsidRPr="00AD651A" w:rsidRDefault="00AD651A" w:rsidP="00AD651A"/>
        </w:tc>
      </w:tr>
      <w:tr w:rsidR="00AD651A" w:rsidRPr="00AD651A" w:rsidTr="001C4AC6">
        <w:tc>
          <w:tcPr>
            <w:tcW w:w="1458" w:type="dxa"/>
          </w:tcPr>
          <w:p w:rsidR="00AD651A" w:rsidRPr="00AD651A" w:rsidRDefault="00AD651A" w:rsidP="00AD651A"/>
        </w:tc>
        <w:tc>
          <w:tcPr>
            <w:tcW w:w="2880" w:type="dxa"/>
          </w:tcPr>
          <w:p w:rsidR="00AD651A" w:rsidRPr="00AD651A" w:rsidRDefault="00AD651A" w:rsidP="00AD651A"/>
        </w:tc>
        <w:tc>
          <w:tcPr>
            <w:tcW w:w="1170" w:type="dxa"/>
          </w:tcPr>
          <w:p w:rsidR="00AD651A" w:rsidRPr="00AD651A" w:rsidRDefault="00AD651A" w:rsidP="00AD651A"/>
        </w:tc>
        <w:tc>
          <w:tcPr>
            <w:tcW w:w="4327" w:type="dxa"/>
          </w:tcPr>
          <w:p w:rsidR="00AD651A" w:rsidRPr="00AD651A" w:rsidRDefault="00AD651A" w:rsidP="00AD651A"/>
        </w:tc>
      </w:tr>
      <w:tr w:rsidR="00AD651A" w:rsidRPr="00AD651A" w:rsidTr="001C4AC6">
        <w:tc>
          <w:tcPr>
            <w:tcW w:w="1458" w:type="dxa"/>
          </w:tcPr>
          <w:p w:rsidR="00AD651A" w:rsidRPr="00AD651A" w:rsidRDefault="00AD651A" w:rsidP="00AD651A">
            <w:r w:rsidRPr="00AD651A">
              <w:t>IN / DANS :</w:t>
            </w:r>
          </w:p>
        </w:tc>
        <w:tc>
          <w:tcPr>
            <w:tcW w:w="2880" w:type="dxa"/>
          </w:tcPr>
          <w:p w:rsidR="00AD651A" w:rsidRPr="00AD651A" w:rsidRDefault="00AD651A" w:rsidP="00AD651A">
            <w:r w:rsidRPr="00AD651A">
              <w:t>Her Majesty the Queen</w:t>
            </w:r>
          </w:p>
          <w:p w:rsidR="00AD651A" w:rsidRPr="00AD651A" w:rsidRDefault="00AD651A" w:rsidP="00AD651A"/>
          <w:p w:rsidR="00AD651A" w:rsidRPr="00AD651A" w:rsidRDefault="00AD651A" w:rsidP="00AD651A">
            <w:r w:rsidRPr="00AD651A">
              <w:tab/>
              <w:t>v. (35390)</w:t>
            </w:r>
          </w:p>
          <w:p w:rsidR="00AD651A" w:rsidRPr="00AD651A" w:rsidRDefault="00AD651A" w:rsidP="00AD651A"/>
          <w:p w:rsidR="00AD651A" w:rsidRPr="00AD651A" w:rsidRDefault="00AD651A" w:rsidP="00AD651A">
            <w:r w:rsidRPr="00AD651A">
              <w:t>Vincent Quesnelle (Crim.) (Ont.)</w:t>
            </w:r>
          </w:p>
        </w:tc>
        <w:tc>
          <w:tcPr>
            <w:tcW w:w="1170" w:type="dxa"/>
          </w:tcPr>
          <w:p w:rsidR="00AD651A" w:rsidRPr="00AD651A" w:rsidRDefault="00AD651A" w:rsidP="00AD651A"/>
        </w:tc>
        <w:tc>
          <w:tcPr>
            <w:tcW w:w="4327" w:type="dxa"/>
          </w:tcPr>
          <w:p w:rsidR="00AD651A" w:rsidRPr="00AD651A" w:rsidRDefault="00AD651A" w:rsidP="00AD651A"/>
        </w:tc>
      </w:tr>
    </w:tbl>
    <w:p w:rsidR="00AD651A" w:rsidRPr="00AD651A" w:rsidRDefault="00AD651A" w:rsidP="00AD651A">
      <w:pPr>
        <w:jc w:val="both"/>
        <w:rPr>
          <w:rFonts w:eastAsia="Times New Roman" w:cs="Times New Roman"/>
          <w:sz w:val="20"/>
          <w:szCs w:val="20"/>
          <w:lang w:eastAsia="en-CA"/>
        </w:rPr>
      </w:pPr>
    </w:p>
    <w:p w:rsidR="00AD651A" w:rsidRPr="00AD651A" w:rsidRDefault="00AD651A" w:rsidP="00AD651A">
      <w:pPr>
        <w:tabs>
          <w:tab w:val="left" w:pos="-1440"/>
          <w:tab w:val="left" w:pos="-720"/>
        </w:tabs>
        <w:jc w:val="both"/>
        <w:rPr>
          <w:rFonts w:eastAsia="Times New Roman" w:cs="Times New Roman"/>
          <w:sz w:val="20"/>
          <w:szCs w:val="20"/>
          <w:lang w:val="fr-CA" w:eastAsia="en-CA"/>
        </w:rPr>
      </w:pPr>
      <w:r w:rsidRPr="00AD651A">
        <w:rPr>
          <w:rFonts w:eastAsia="Times New Roman" w:cs="Times New Roman"/>
          <w:b/>
          <w:sz w:val="20"/>
          <w:szCs w:val="20"/>
          <w:lang w:val="fr-CA" w:eastAsia="en-CA"/>
        </w:rPr>
        <w:t>GRANTED IN PART / ACCORDÉES EN PARTIE</w:t>
      </w:r>
    </w:p>
    <w:p w:rsidR="00AD651A" w:rsidRPr="00AD651A" w:rsidRDefault="00AD651A" w:rsidP="00AD651A">
      <w:pPr>
        <w:tabs>
          <w:tab w:val="left" w:pos="-1440"/>
          <w:tab w:val="left" w:pos="-720"/>
        </w:tabs>
        <w:jc w:val="both"/>
        <w:rPr>
          <w:rFonts w:eastAsia="Times New Roman" w:cs="Times New Roman"/>
          <w:sz w:val="20"/>
          <w:szCs w:val="20"/>
          <w:lang w:val="fr-CA" w:eastAsia="en-CA"/>
        </w:rPr>
      </w:pPr>
    </w:p>
    <w:p w:rsidR="00AD651A" w:rsidRPr="00AD651A" w:rsidRDefault="00AD651A" w:rsidP="00AD651A">
      <w:pPr>
        <w:jc w:val="both"/>
        <w:rPr>
          <w:rFonts w:eastAsia="Times New Roman" w:cs="Times New Roman"/>
          <w:sz w:val="20"/>
          <w:szCs w:val="20"/>
          <w:lang w:eastAsia="en-CA"/>
        </w:rPr>
      </w:pPr>
      <w:r w:rsidRPr="00AD651A">
        <w:rPr>
          <w:rFonts w:eastAsia="Times New Roman" w:cs="Times New Roman"/>
          <w:b/>
          <w:bCs/>
          <w:sz w:val="20"/>
          <w:szCs w:val="20"/>
          <w:lang w:eastAsia="en-CA"/>
        </w:rPr>
        <w:t xml:space="preserve">UPON APPLICATIONS </w:t>
      </w:r>
      <w:r w:rsidRPr="00AD651A">
        <w:rPr>
          <w:rFonts w:eastAsia="Times New Roman" w:cs="Times New Roman"/>
          <w:sz w:val="20"/>
          <w:szCs w:val="20"/>
          <w:lang w:eastAsia="en-CA"/>
        </w:rPr>
        <w:t>by the Attorney General of Alberta, T.R., the Association of Chiefs of Police, the Mental Health Legal Committee, the Criminal Lawyers’ Association of Ontario and the Barbra Schlifer Commemorative Clinic for leave to intervene in the above appeal;</w:t>
      </w:r>
    </w:p>
    <w:p w:rsidR="00AD651A" w:rsidRPr="00AD651A" w:rsidRDefault="00AD651A" w:rsidP="00AD651A">
      <w:pPr>
        <w:jc w:val="both"/>
        <w:rPr>
          <w:rFonts w:eastAsia="Times New Roman" w:cs="Times New Roman"/>
          <w:sz w:val="20"/>
          <w:szCs w:val="20"/>
          <w:lang w:eastAsia="en-CA"/>
        </w:rPr>
      </w:pPr>
    </w:p>
    <w:p w:rsidR="00AD651A" w:rsidRPr="00AD651A" w:rsidRDefault="00AD651A" w:rsidP="00AD651A">
      <w:pPr>
        <w:jc w:val="both"/>
        <w:rPr>
          <w:rFonts w:eastAsia="Times New Roman" w:cs="Times New Roman"/>
          <w:sz w:val="20"/>
          <w:szCs w:val="20"/>
          <w:lang w:eastAsia="en-CA"/>
        </w:rPr>
      </w:pPr>
      <w:r w:rsidRPr="00AD651A">
        <w:rPr>
          <w:rFonts w:eastAsia="Times New Roman" w:cs="Times New Roman"/>
          <w:b/>
          <w:bCs/>
          <w:sz w:val="20"/>
          <w:szCs w:val="20"/>
          <w:lang w:eastAsia="en-CA"/>
        </w:rPr>
        <w:t>AND THE MATERIAL FILED</w:t>
      </w:r>
      <w:r w:rsidRPr="00AD651A">
        <w:rPr>
          <w:rFonts w:eastAsia="Times New Roman" w:cs="Times New Roman"/>
          <w:sz w:val="20"/>
          <w:szCs w:val="20"/>
          <w:lang w:eastAsia="en-CA"/>
        </w:rPr>
        <w:t xml:space="preserve"> having been read;</w:t>
      </w:r>
    </w:p>
    <w:p w:rsidR="00AD651A" w:rsidRPr="00AD651A" w:rsidRDefault="00AD651A" w:rsidP="00AD651A">
      <w:pPr>
        <w:jc w:val="both"/>
        <w:rPr>
          <w:rFonts w:eastAsia="Times New Roman" w:cs="Times New Roman"/>
          <w:sz w:val="20"/>
          <w:szCs w:val="20"/>
          <w:lang w:eastAsia="en-CA"/>
        </w:rPr>
      </w:pPr>
    </w:p>
    <w:p w:rsidR="00AD651A" w:rsidRPr="00AD651A" w:rsidRDefault="00AD651A" w:rsidP="00AD651A">
      <w:pPr>
        <w:jc w:val="both"/>
        <w:rPr>
          <w:rFonts w:eastAsia="Times New Roman" w:cs="Times New Roman"/>
          <w:sz w:val="20"/>
          <w:szCs w:val="20"/>
          <w:lang w:eastAsia="en-CA"/>
        </w:rPr>
      </w:pPr>
      <w:r w:rsidRPr="00AD651A">
        <w:rPr>
          <w:rFonts w:eastAsia="Times New Roman" w:cs="Times New Roman"/>
          <w:b/>
          <w:bCs/>
          <w:sz w:val="20"/>
          <w:szCs w:val="20"/>
          <w:lang w:eastAsia="en-CA"/>
        </w:rPr>
        <w:t>IT IS HEREBY ORDERED THAT:</w:t>
      </w:r>
    </w:p>
    <w:p w:rsidR="00AD651A" w:rsidRPr="00AD651A" w:rsidRDefault="00AD651A" w:rsidP="00AD651A">
      <w:pPr>
        <w:jc w:val="both"/>
        <w:rPr>
          <w:rFonts w:eastAsia="Times New Roman" w:cs="Times New Roman"/>
          <w:sz w:val="20"/>
          <w:szCs w:val="20"/>
          <w:lang w:eastAsia="en-CA"/>
        </w:rPr>
      </w:pPr>
    </w:p>
    <w:p w:rsidR="00AD651A" w:rsidRPr="00AD651A" w:rsidRDefault="00AD651A" w:rsidP="00AD651A">
      <w:pPr>
        <w:jc w:val="both"/>
        <w:rPr>
          <w:rFonts w:eastAsia="Times New Roman" w:cs="Times New Roman"/>
          <w:sz w:val="20"/>
          <w:szCs w:val="20"/>
          <w:lang w:eastAsia="en-CA"/>
        </w:rPr>
      </w:pPr>
      <w:r w:rsidRPr="00AD651A">
        <w:rPr>
          <w:rFonts w:eastAsia="Times New Roman" w:cs="Times New Roman"/>
          <w:sz w:val="20"/>
          <w:szCs w:val="20"/>
          <w:lang w:eastAsia="en-CA"/>
        </w:rPr>
        <w:t>The motions for leave to intervene of the Attorney General of Alberta, the Canadian Association of Chiefs of Police, the Criminal Lawyers’ Association of Ontario and the Barbra Schlifer Commemorative Clinic are granted and the said four interveners shall be entitled to each serve and file a factum not to exceed 10 pages in length on or before March 13, 2014.</w:t>
      </w:r>
    </w:p>
    <w:p w:rsidR="00AD651A" w:rsidRPr="00AD651A" w:rsidRDefault="00AD651A" w:rsidP="00AD651A">
      <w:pPr>
        <w:jc w:val="both"/>
        <w:rPr>
          <w:rFonts w:eastAsia="Times New Roman" w:cs="Times New Roman"/>
          <w:sz w:val="20"/>
          <w:szCs w:val="20"/>
          <w:lang w:eastAsia="en-CA"/>
        </w:rPr>
      </w:pPr>
    </w:p>
    <w:p w:rsidR="00AD651A" w:rsidRPr="00AD651A" w:rsidRDefault="00AD651A" w:rsidP="00AD651A">
      <w:pPr>
        <w:jc w:val="both"/>
        <w:rPr>
          <w:rFonts w:eastAsia="Times New Roman" w:cs="Times New Roman"/>
          <w:sz w:val="20"/>
          <w:szCs w:val="20"/>
          <w:lang w:eastAsia="en-CA"/>
        </w:rPr>
      </w:pPr>
      <w:r w:rsidRPr="00AD651A">
        <w:rPr>
          <w:rFonts w:eastAsia="Times New Roman" w:cs="Times New Roman"/>
          <w:sz w:val="20"/>
          <w:szCs w:val="20"/>
          <w:lang w:eastAsia="en-CA"/>
        </w:rPr>
        <w:t xml:space="preserve">The motions for leave to intervene of T.R. and the Mental Health Legal Committee are dismissed. </w:t>
      </w:r>
    </w:p>
    <w:p w:rsidR="00AD651A" w:rsidRPr="00AD651A" w:rsidRDefault="00AD651A" w:rsidP="00AD651A">
      <w:pPr>
        <w:jc w:val="both"/>
        <w:rPr>
          <w:rFonts w:eastAsia="Times New Roman" w:cs="Times New Roman"/>
          <w:sz w:val="20"/>
          <w:szCs w:val="20"/>
          <w:lang w:eastAsia="en-CA"/>
        </w:rPr>
      </w:pPr>
    </w:p>
    <w:p w:rsidR="00AD651A" w:rsidRPr="00AD651A" w:rsidRDefault="00AD651A" w:rsidP="00AD651A">
      <w:pPr>
        <w:jc w:val="both"/>
        <w:rPr>
          <w:rFonts w:eastAsia="Times New Roman" w:cs="Times New Roman"/>
          <w:sz w:val="20"/>
          <w:szCs w:val="20"/>
          <w:lang w:eastAsia="en-CA"/>
        </w:rPr>
      </w:pPr>
      <w:r w:rsidRPr="00AD651A">
        <w:rPr>
          <w:rFonts w:eastAsia="Times New Roman" w:cs="Times New Roman"/>
          <w:sz w:val="20"/>
          <w:szCs w:val="20"/>
          <w:lang w:eastAsia="en-CA"/>
        </w:rPr>
        <w:t>The requests to present oral argument are deferred to a date following receipt and consideration of the written arguments of the parties and the interveners.</w:t>
      </w:r>
    </w:p>
    <w:p w:rsidR="00AD651A" w:rsidRPr="00AD651A" w:rsidRDefault="00AD651A" w:rsidP="00AD651A">
      <w:pPr>
        <w:jc w:val="both"/>
        <w:rPr>
          <w:rFonts w:eastAsia="Times New Roman" w:cs="Times New Roman"/>
          <w:sz w:val="20"/>
          <w:szCs w:val="20"/>
          <w:lang w:eastAsia="en-CA"/>
        </w:rPr>
      </w:pPr>
    </w:p>
    <w:p w:rsidR="00AD651A" w:rsidRPr="00AD651A" w:rsidRDefault="0006361A" w:rsidP="00AD651A">
      <w:pPr>
        <w:jc w:val="both"/>
        <w:rPr>
          <w:rFonts w:eastAsia="Times New Roman" w:cs="Times New Roman"/>
          <w:sz w:val="20"/>
          <w:szCs w:val="20"/>
          <w:lang w:eastAsia="en-CA"/>
        </w:rPr>
      </w:pPr>
      <w:r w:rsidRPr="00AD651A">
        <w:rPr>
          <w:rFonts w:eastAsia="Times New Roman" w:cs="Times New Roman"/>
          <w:sz w:val="20"/>
          <w:szCs w:val="20"/>
          <w:lang w:eastAsia="en-CA"/>
        </w:rPr>
        <w:fldChar w:fldCharType="begin"/>
      </w:r>
      <w:r w:rsidR="00AD651A" w:rsidRPr="00AD651A">
        <w:rPr>
          <w:rFonts w:eastAsia="Times New Roman" w:cs="Times New Roman"/>
          <w:sz w:val="20"/>
          <w:szCs w:val="20"/>
          <w:lang w:eastAsia="en-CA"/>
        </w:rPr>
        <w:instrText xml:space="preserve"> SEQ CHAPTER \h \r 1</w:instrText>
      </w:r>
      <w:r w:rsidRPr="00AD651A">
        <w:rPr>
          <w:rFonts w:eastAsia="Times New Roman" w:cs="Times New Roman"/>
          <w:sz w:val="20"/>
          <w:szCs w:val="20"/>
          <w:lang w:eastAsia="en-CA"/>
        </w:rPr>
        <w:fldChar w:fldCharType="end"/>
      </w:r>
      <w:r w:rsidR="00AD651A" w:rsidRPr="00AD651A">
        <w:rPr>
          <w:rFonts w:eastAsia="Times New Roman" w:cs="Times New Roman"/>
          <w:bCs/>
          <w:sz w:val="20"/>
          <w:szCs w:val="20"/>
          <w:lang w:eastAsia="en-CA"/>
        </w:rPr>
        <w:t>The interveners are not entitled to raise new issues or to adduce further evidence or otherwise to supplement the record of the parties.</w:t>
      </w:r>
    </w:p>
    <w:p w:rsidR="00AD651A" w:rsidRPr="00AD651A" w:rsidRDefault="00AD651A" w:rsidP="00AD651A">
      <w:pPr>
        <w:jc w:val="both"/>
        <w:rPr>
          <w:rFonts w:eastAsia="Times New Roman" w:cs="Times New Roman"/>
          <w:sz w:val="20"/>
          <w:szCs w:val="20"/>
          <w:lang w:eastAsia="en-CA"/>
        </w:rPr>
      </w:pPr>
    </w:p>
    <w:p w:rsidR="00AD651A" w:rsidRPr="00AD651A" w:rsidRDefault="00AD651A" w:rsidP="00AD651A">
      <w:pPr>
        <w:jc w:val="both"/>
        <w:rPr>
          <w:rFonts w:eastAsia="Times New Roman" w:cs="Times New Roman"/>
          <w:sz w:val="20"/>
          <w:szCs w:val="20"/>
          <w:lang w:eastAsia="en-CA"/>
        </w:rPr>
      </w:pPr>
      <w:r w:rsidRPr="00AD651A">
        <w:rPr>
          <w:rFonts w:eastAsia="Times New Roman" w:cs="Times New Roman"/>
          <w:sz w:val="20"/>
          <w:szCs w:val="20"/>
          <w:lang w:eastAsia="en-CA"/>
        </w:rPr>
        <w:t>Pursuant to Rule 59(1)(</w:t>
      </w:r>
      <w:r w:rsidRPr="00AD651A">
        <w:rPr>
          <w:rFonts w:eastAsia="Times New Roman" w:cs="Times New Roman"/>
          <w:i/>
          <w:iCs/>
          <w:sz w:val="20"/>
          <w:szCs w:val="20"/>
          <w:lang w:eastAsia="en-CA"/>
        </w:rPr>
        <w:t>a</w:t>
      </w:r>
      <w:r w:rsidRPr="00AD651A">
        <w:rPr>
          <w:rFonts w:eastAsia="Times New Roman" w:cs="Times New Roman"/>
          <w:sz w:val="20"/>
          <w:szCs w:val="20"/>
          <w:lang w:eastAsia="en-CA"/>
        </w:rPr>
        <w:t xml:space="preserve">) of the </w:t>
      </w:r>
      <w:r w:rsidRPr="00AD651A">
        <w:rPr>
          <w:rFonts w:eastAsia="Times New Roman" w:cs="Times New Roman"/>
          <w:i/>
          <w:iCs/>
          <w:sz w:val="20"/>
          <w:szCs w:val="20"/>
          <w:lang w:eastAsia="en-CA"/>
        </w:rPr>
        <w:t>Rules of the Supreme Court of Canada</w:t>
      </w:r>
      <w:r w:rsidRPr="00AD651A">
        <w:rPr>
          <w:rFonts w:eastAsia="Times New Roman" w:cs="Times New Roman"/>
          <w:sz w:val="20"/>
          <w:szCs w:val="20"/>
          <w:lang w:eastAsia="en-CA"/>
        </w:rPr>
        <w:t>, the interveners shall pay to the appellant and respondent any additional disbursements occasioned to the appellant and respondent by their interventions.</w:t>
      </w:r>
    </w:p>
    <w:p w:rsidR="00AD651A" w:rsidRPr="00AD651A" w:rsidRDefault="00AD651A" w:rsidP="00AD651A">
      <w:pPr>
        <w:jc w:val="both"/>
        <w:rPr>
          <w:rFonts w:eastAsia="Times New Roman" w:cs="Times New Roman"/>
          <w:sz w:val="20"/>
          <w:szCs w:val="20"/>
          <w:lang w:eastAsia="en-CA"/>
        </w:rPr>
      </w:pPr>
    </w:p>
    <w:p w:rsidR="00AD651A" w:rsidRPr="00AD651A" w:rsidRDefault="00AD651A" w:rsidP="00AD651A">
      <w:pPr>
        <w:jc w:val="both"/>
        <w:rPr>
          <w:rFonts w:eastAsia="Times New Roman" w:cs="Times New Roman"/>
          <w:sz w:val="20"/>
          <w:szCs w:val="20"/>
          <w:lang w:eastAsia="en-CA"/>
        </w:rPr>
      </w:pPr>
    </w:p>
    <w:p w:rsidR="00AD651A" w:rsidRPr="00AD651A" w:rsidRDefault="00AD651A" w:rsidP="00AD651A">
      <w:pPr>
        <w:jc w:val="both"/>
        <w:rPr>
          <w:rFonts w:eastAsia="Times New Roman" w:cs="Times New Roman"/>
          <w:sz w:val="20"/>
          <w:szCs w:val="20"/>
          <w:lang w:eastAsia="en-CA"/>
        </w:rPr>
      </w:pPr>
    </w:p>
    <w:p w:rsidR="00AD651A" w:rsidRPr="00AD651A" w:rsidRDefault="00AD651A" w:rsidP="00AD651A">
      <w:pPr>
        <w:jc w:val="both"/>
        <w:rPr>
          <w:rFonts w:eastAsia="Times New Roman" w:cs="Times New Roman"/>
          <w:sz w:val="20"/>
          <w:szCs w:val="20"/>
          <w:lang w:val="fr-CA" w:eastAsia="en-CA"/>
        </w:rPr>
      </w:pPr>
      <w:r w:rsidRPr="00AD651A">
        <w:rPr>
          <w:rFonts w:eastAsia="Times New Roman" w:cs="Times New Roman"/>
          <w:b/>
          <w:bCs/>
          <w:sz w:val="20"/>
          <w:szCs w:val="20"/>
          <w:lang w:val="fr-CA" w:eastAsia="en-CA"/>
        </w:rPr>
        <w:t xml:space="preserve">À LA SUITE DES DEMANDES </w:t>
      </w:r>
      <w:r w:rsidRPr="00AD651A">
        <w:rPr>
          <w:rFonts w:eastAsia="Times New Roman" w:cs="Times New Roman"/>
          <w:bCs/>
          <w:sz w:val="20"/>
          <w:szCs w:val="20"/>
          <w:lang w:val="fr-CA" w:eastAsia="en-CA"/>
        </w:rPr>
        <w:t>d’autorisation d’intervenir dans l’appel présentées par le procureur général de l’</w:t>
      </w:r>
      <w:r w:rsidRPr="00AD651A">
        <w:rPr>
          <w:rFonts w:eastAsia="Times New Roman" w:cs="Times New Roman"/>
          <w:sz w:val="20"/>
          <w:szCs w:val="20"/>
          <w:lang w:val="fr-CA" w:eastAsia="en-CA"/>
        </w:rPr>
        <w:t>Alberta, T.R., l’Association canadienne des chefs de police, le Mental Health Legal Committee, la Criminal Lawyers’ Association of Ontario et la Barbra Schlifer Commemorative Clinic;</w:t>
      </w:r>
    </w:p>
    <w:p w:rsidR="00AD651A" w:rsidRPr="00AD651A" w:rsidRDefault="00AD651A" w:rsidP="00AD651A">
      <w:pPr>
        <w:jc w:val="both"/>
        <w:rPr>
          <w:rFonts w:eastAsia="Times New Roman" w:cs="Times New Roman"/>
          <w:sz w:val="20"/>
          <w:szCs w:val="20"/>
          <w:lang w:val="fr-CA" w:eastAsia="en-CA"/>
        </w:rPr>
      </w:pPr>
    </w:p>
    <w:p w:rsidR="00AD651A" w:rsidRPr="00AD651A" w:rsidRDefault="00AD651A" w:rsidP="00AD651A">
      <w:pPr>
        <w:jc w:val="both"/>
        <w:rPr>
          <w:rFonts w:eastAsia="Times New Roman" w:cs="Times New Roman"/>
          <w:sz w:val="20"/>
          <w:szCs w:val="20"/>
          <w:lang w:val="fr-CA" w:eastAsia="en-CA"/>
        </w:rPr>
      </w:pPr>
      <w:r w:rsidRPr="00AD651A">
        <w:rPr>
          <w:rFonts w:eastAsia="Times New Roman" w:cs="Times New Roman"/>
          <w:b/>
          <w:bCs/>
          <w:sz w:val="20"/>
          <w:szCs w:val="20"/>
          <w:lang w:val="fr-CA" w:eastAsia="en-CA"/>
        </w:rPr>
        <w:t xml:space="preserve">ET APRÈS EXAMEN </w:t>
      </w:r>
      <w:r w:rsidRPr="00AD651A">
        <w:rPr>
          <w:rFonts w:eastAsia="Times New Roman" w:cs="Times New Roman"/>
          <w:bCs/>
          <w:sz w:val="20"/>
          <w:szCs w:val="20"/>
          <w:lang w:val="fr-CA" w:eastAsia="en-CA"/>
        </w:rPr>
        <w:t>des documents déposés</w:t>
      </w:r>
      <w:r w:rsidRPr="00AD651A">
        <w:rPr>
          <w:rFonts w:eastAsia="Times New Roman" w:cs="Times New Roman"/>
          <w:sz w:val="20"/>
          <w:szCs w:val="20"/>
          <w:lang w:val="fr-CA" w:eastAsia="en-CA"/>
        </w:rPr>
        <w:t>;</w:t>
      </w:r>
    </w:p>
    <w:p w:rsidR="00AD651A" w:rsidRPr="00AD651A" w:rsidRDefault="00AD651A" w:rsidP="00AD651A">
      <w:pPr>
        <w:jc w:val="both"/>
        <w:rPr>
          <w:rFonts w:eastAsia="Times New Roman" w:cs="Times New Roman"/>
          <w:sz w:val="20"/>
          <w:szCs w:val="20"/>
          <w:lang w:val="fr-CA" w:eastAsia="en-CA"/>
        </w:rPr>
      </w:pPr>
    </w:p>
    <w:p w:rsidR="00AD651A" w:rsidRPr="00AD651A" w:rsidRDefault="00AD651A" w:rsidP="00AD651A">
      <w:pPr>
        <w:jc w:val="both"/>
        <w:rPr>
          <w:rFonts w:eastAsia="Times New Roman" w:cs="Times New Roman"/>
          <w:sz w:val="20"/>
          <w:szCs w:val="20"/>
          <w:lang w:val="fr-CA" w:eastAsia="en-CA"/>
        </w:rPr>
      </w:pPr>
      <w:r w:rsidRPr="00AD651A">
        <w:rPr>
          <w:rFonts w:eastAsia="Times New Roman" w:cs="Times New Roman"/>
          <w:b/>
          <w:bCs/>
          <w:sz w:val="20"/>
          <w:szCs w:val="20"/>
          <w:lang w:val="fr-CA" w:eastAsia="en-CA"/>
        </w:rPr>
        <w:t>IL EST ORDONNÉ CE QUI SUIT :</w:t>
      </w:r>
    </w:p>
    <w:p w:rsidR="00AD651A" w:rsidRPr="00AD651A" w:rsidRDefault="00AD651A" w:rsidP="00AD651A">
      <w:pPr>
        <w:jc w:val="both"/>
        <w:rPr>
          <w:rFonts w:eastAsia="Times New Roman" w:cs="Times New Roman"/>
          <w:sz w:val="20"/>
          <w:szCs w:val="20"/>
          <w:lang w:val="fr-CA" w:eastAsia="en-CA"/>
        </w:rPr>
      </w:pPr>
    </w:p>
    <w:p w:rsidR="00AD651A" w:rsidRPr="00AD651A" w:rsidRDefault="00AD651A" w:rsidP="00AD651A">
      <w:pPr>
        <w:jc w:val="both"/>
        <w:rPr>
          <w:rFonts w:eastAsia="Times New Roman" w:cs="Times New Roman"/>
          <w:sz w:val="20"/>
          <w:szCs w:val="20"/>
          <w:lang w:val="fr-CA" w:eastAsia="en-CA"/>
        </w:rPr>
      </w:pPr>
      <w:r w:rsidRPr="00AD651A">
        <w:rPr>
          <w:rFonts w:eastAsia="Times New Roman" w:cs="Times New Roman"/>
          <w:sz w:val="20"/>
          <w:szCs w:val="20"/>
          <w:lang w:val="fr-CA" w:eastAsia="en-CA"/>
        </w:rPr>
        <w:t>Les requêtes en autorisation d’intervenir du procureur général de l’Alberta, de l’Association canadienne des chefs de police, de la Criminal Lawyers’ Association of Ontario et de la Barbra Schlifer Commemorative Clinic sont accueillies et chacun de ces quatre intervenants pourra signifier et déposer un mémoire d’au plus 10 pages au plus tard le 13 mars 2014.</w:t>
      </w:r>
    </w:p>
    <w:p w:rsidR="00AD651A" w:rsidRPr="00AD651A" w:rsidRDefault="00AD651A" w:rsidP="00AD651A">
      <w:pPr>
        <w:jc w:val="both"/>
        <w:rPr>
          <w:rFonts w:eastAsia="Times New Roman" w:cs="Times New Roman"/>
          <w:sz w:val="20"/>
          <w:szCs w:val="20"/>
          <w:lang w:val="fr-CA" w:eastAsia="en-CA"/>
        </w:rPr>
      </w:pPr>
    </w:p>
    <w:p w:rsidR="00AD651A" w:rsidRPr="00AD651A" w:rsidRDefault="00AD651A" w:rsidP="00AD651A">
      <w:pPr>
        <w:jc w:val="both"/>
        <w:rPr>
          <w:rFonts w:eastAsia="Times New Roman" w:cs="Times New Roman"/>
          <w:sz w:val="20"/>
          <w:szCs w:val="20"/>
          <w:lang w:val="fr-CA" w:eastAsia="en-CA"/>
        </w:rPr>
      </w:pPr>
      <w:r w:rsidRPr="00AD651A">
        <w:rPr>
          <w:rFonts w:eastAsia="Times New Roman" w:cs="Times New Roman"/>
          <w:sz w:val="20"/>
          <w:szCs w:val="20"/>
          <w:lang w:val="fr-CA" w:eastAsia="en-CA"/>
        </w:rPr>
        <w:t xml:space="preserve">Les requêtes en autorisation d’intervenir de T.R. et du Mental Health Legal Committee sont rejetées. </w:t>
      </w:r>
    </w:p>
    <w:p w:rsidR="00AD651A" w:rsidRPr="00AD651A" w:rsidRDefault="00AD651A" w:rsidP="00AD651A">
      <w:pPr>
        <w:jc w:val="both"/>
        <w:rPr>
          <w:rFonts w:eastAsia="Times New Roman" w:cs="Times New Roman"/>
          <w:sz w:val="20"/>
          <w:szCs w:val="20"/>
          <w:lang w:val="fr-CA" w:eastAsia="en-CA"/>
        </w:rPr>
      </w:pPr>
    </w:p>
    <w:p w:rsidR="00AD651A" w:rsidRPr="00AD651A" w:rsidRDefault="00AD651A" w:rsidP="00AD651A">
      <w:pPr>
        <w:jc w:val="both"/>
        <w:rPr>
          <w:rFonts w:eastAsia="Times New Roman" w:cs="Times New Roman"/>
          <w:sz w:val="20"/>
          <w:szCs w:val="20"/>
          <w:lang w:val="fr-CA" w:eastAsia="en-CA"/>
        </w:rPr>
      </w:pPr>
      <w:r w:rsidRPr="00AD651A">
        <w:rPr>
          <w:rFonts w:eastAsia="Times New Roman" w:cs="Times New Roman"/>
          <w:sz w:val="20"/>
          <w:szCs w:val="20"/>
          <w:lang w:val="fr-CA" w:eastAsia="en-CA"/>
        </w:rPr>
        <w:t>La décision sur les demandes en vue de présenter une plaidoirie orale sera rendue après réception et examen des arguments écrits des parties et des intervenants.</w:t>
      </w:r>
    </w:p>
    <w:p w:rsidR="00AD651A" w:rsidRPr="00AD651A" w:rsidRDefault="00AD651A" w:rsidP="00AD651A">
      <w:pPr>
        <w:jc w:val="both"/>
        <w:rPr>
          <w:rFonts w:eastAsia="Times New Roman" w:cs="Times New Roman"/>
          <w:sz w:val="20"/>
          <w:szCs w:val="20"/>
          <w:lang w:val="fr-CA" w:eastAsia="en-CA"/>
        </w:rPr>
      </w:pPr>
    </w:p>
    <w:p w:rsidR="00AD651A" w:rsidRPr="00AD651A" w:rsidRDefault="00AD651A" w:rsidP="00AD651A">
      <w:pPr>
        <w:jc w:val="both"/>
        <w:rPr>
          <w:rFonts w:eastAsia="Times New Roman" w:cs="Times New Roman"/>
          <w:sz w:val="20"/>
          <w:szCs w:val="20"/>
          <w:lang w:val="fr-CA" w:eastAsia="en-CA"/>
        </w:rPr>
      </w:pPr>
      <w:r w:rsidRPr="00AD651A">
        <w:rPr>
          <w:rFonts w:eastAsia="Times New Roman" w:cs="Times New Roman"/>
          <w:sz w:val="20"/>
          <w:szCs w:val="20"/>
          <w:lang w:val="fr-CA" w:eastAsia="en-CA"/>
        </w:rPr>
        <w:t xml:space="preserve">Les </w:t>
      </w:r>
      <w:r w:rsidR="0006361A" w:rsidRPr="00AD651A">
        <w:rPr>
          <w:rFonts w:eastAsia="Times New Roman" w:cs="Times New Roman"/>
          <w:sz w:val="20"/>
          <w:szCs w:val="20"/>
          <w:lang w:eastAsia="en-CA"/>
        </w:rPr>
        <w:fldChar w:fldCharType="begin"/>
      </w:r>
      <w:r w:rsidRPr="00AD651A">
        <w:rPr>
          <w:rFonts w:eastAsia="Times New Roman" w:cs="Times New Roman"/>
          <w:sz w:val="20"/>
          <w:szCs w:val="20"/>
          <w:lang w:val="fr-CA" w:eastAsia="en-CA"/>
        </w:rPr>
        <w:instrText xml:space="preserve"> SEQ CHAPTER \h \r 1</w:instrText>
      </w:r>
      <w:r w:rsidR="0006361A" w:rsidRPr="00AD651A">
        <w:rPr>
          <w:rFonts w:eastAsia="Times New Roman" w:cs="Times New Roman"/>
          <w:sz w:val="20"/>
          <w:szCs w:val="20"/>
          <w:lang w:eastAsia="en-CA"/>
        </w:rPr>
        <w:fldChar w:fldCharType="end"/>
      </w:r>
      <w:r w:rsidRPr="00AD651A">
        <w:rPr>
          <w:rFonts w:eastAsia="Times New Roman" w:cs="Times New Roman"/>
          <w:bCs/>
          <w:sz w:val="20"/>
          <w:szCs w:val="20"/>
          <w:lang w:val="fr-CA" w:eastAsia="en-CA"/>
        </w:rPr>
        <w:t>intervenants n’ont pas le droit de soulever de nouvelles questions, de produire d’autres éléments de preuve ni de compléter de quelque autre façon le dossier des parties.</w:t>
      </w:r>
    </w:p>
    <w:p w:rsidR="00AD651A" w:rsidRPr="00AD651A" w:rsidRDefault="00AD651A" w:rsidP="00AD651A">
      <w:pPr>
        <w:jc w:val="both"/>
        <w:rPr>
          <w:rFonts w:eastAsia="Times New Roman" w:cs="Times New Roman"/>
          <w:sz w:val="20"/>
          <w:szCs w:val="20"/>
          <w:lang w:val="fr-CA" w:eastAsia="en-CA"/>
        </w:rPr>
      </w:pPr>
    </w:p>
    <w:p w:rsidR="00AD651A" w:rsidRPr="00AD651A" w:rsidRDefault="00AD651A" w:rsidP="00AD651A">
      <w:pPr>
        <w:jc w:val="both"/>
        <w:rPr>
          <w:rFonts w:eastAsia="Times New Roman" w:cs="Times New Roman"/>
          <w:sz w:val="20"/>
          <w:szCs w:val="20"/>
          <w:lang w:val="fr-CA" w:eastAsia="en-CA"/>
        </w:rPr>
      </w:pPr>
      <w:r w:rsidRPr="00AD651A">
        <w:rPr>
          <w:rFonts w:eastAsia="Times New Roman" w:cs="Times New Roman"/>
          <w:sz w:val="20"/>
          <w:szCs w:val="20"/>
          <w:lang w:val="fr-CA" w:eastAsia="en-CA"/>
        </w:rPr>
        <w:t>Conformément à l’alinéa 59(1)</w:t>
      </w:r>
      <w:r w:rsidRPr="00AD651A">
        <w:rPr>
          <w:rFonts w:eastAsia="Times New Roman" w:cs="Times New Roman"/>
          <w:i/>
          <w:iCs/>
          <w:sz w:val="20"/>
          <w:szCs w:val="20"/>
          <w:lang w:val="fr-CA" w:eastAsia="en-CA"/>
        </w:rPr>
        <w:t>a</w:t>
      </w:r>
      <w:r w:rsidRPr="00AD651A">
        <w:rPr>
          <w:rFonts w:eastAsia="Times New Roman" w:cs="Times New Roman"/>
          <w:sz w:val="20"/>
          <w:szCs w:val="20"/>
          <w:lang w:val="fr-CA" w:eastAsia="en-CA"/>
        </w:rPr>
        <w:t xml:space="preserve">) des </w:t>
      </w:r>
      <w:r w:rsidRPr="00AD651A">
        <w:rPr>
          <w:rFonts w:eastAsia="Times New Roman" w:cs="Times New Roman"/>
          <w:i/>
          <w:iCs/>
          <w:sz w:val="20"/>
          <w:szCs w:val="20"/>
          <w:lang w:val="fr-CA" w:eastAsia="en-CA"/>
        </w:rPr>
        <w:t>Règles de la Cour suprême du Canada</w:t>
      </w:r>
      <w:r w:rsidRPr="00AD651A">
        <w:rPr>
          <w:rFonts w:eastAsia="Times New Roman" w:cs="Times New Roman"/>
          <w:sz w:val="20"/>
          <w:szCs w:val="20"/>
          <w:lang w:val="fr-CA" w:eastAsia="en-CA"/>
        </w:rPr>
        <w:t>, les intervenants paieront à l’appelante et à l’intimé tous débours supplémentaires résultant de leurs interventions.</w:t>
      </w:r>
    </w:p>
    <w:p w:rsidR="00AD651A" w:rsidRPr="00AD651A" w:rsidRDefault="00AD651A" w:rsidP="00AD651A">
      <w:pPr>
        <w:spacing w:line="233" w:lineRule="auto"/>
        <w:jc w:val="both"/>
        <w:rPr>
          <w:rFonts w:eastAsia="Times New Roman" w:cs="Times New Roman"/>
          <w:sz w:val="20"/>
          <w:szCs w:val="20"/>
          <w:lang w:val="fr-CA" w:eastAsia="en-CA"/>
        </w:rPr>
      </w:pPr>
    </w:p>
    <w:p w:rsidR="00AD651A" w:rsidRPr="00AD651A" w:rsidRDefault="00EB0F11" w:rsidP="00AD651A">
      <w:pPr>
        <w:spacing w:line="233" w:lineRule="auto"/>
        <w:jc w:val="both"/>
        <w:rPr>
          <w:rFonts w:eastAsia="Times New Roman" w:cs="Times New Roman"/>
          <w:sz w:val="20"/>
          <w:szCs w:val="20"/>
          <w:lang w:val="fr-CA" w:eastAsia="en-CA"/>
        </w:rPr>
      </w:pPr>
      <w:r>
        <w:rPr>
          <w:rFonts w:eastAsia="Times New Roman" w:cs="Times New Roman"/>
          <w:sz w:val="20"/>
          <w:szCs w:val="20"/>
          <w:lang w:val="fr-CA" w:eastAsia="en-CA"/>
        </w:rPr>
        <w:pict>
          <v:rect id="_x0000_i1077" style="width:2in;height:1pt" o:hrpct="0" o:hralign="center" o:hrstd="t" o:hrnoshade="t" o:hr="t" fillcolor="black [3213]" stroked="f"/>
        </w:pict>
      </w:r>
    </w:p>
    <w:p w:rsidR="00AD651A" w:rsidRPr="00AD651A" w:rsidRDefault="00AD651A" w:rsidP="00AD651A">
      <w:pPr>
        <w:spacing w:line="233" w:lineRule="auto"/>
        <w:jc w:val="both"/>
        <w:rPr>
          <w:rFonts w:eastAsia="Times New Roman" w:cs="Times New Roman"/>
          <w:sz w:val="20"/>
          <w:szCs w:val="20"/>
          <w:lang w:val="en-US" w:eastAsia="en-CA"/>
        </w:rPr>
      </w:pPr>
    </w:p>
    <w:p w:rsidR="00AD651A" w:rsidRPr="00AD651A" w:rsidRDefault="00AD651A" w:rsidP="00AD651A">
      <w:pPr>
        <w:tabs>
          <w:tab w:val="left" w:pos="-1440"/>
          <w:tab w:val="left" w:pos="-720"/>
        </w:tabs>
        <w:jc w:val="both"/>
        <w:rPr>
          <w:rFonts w:eastAsia="Times New Roman" w:cs="Times New Roman"/>
          <w:sz w:val="20"/>
          <w:szCs w:val="20"/>
          <w:lang w:val="fr-CA" w:eastAsia="en-CA"/>
        </w:rPr>
      </w:pPr>
      <w:r w:rsidRPr="00AD651A">
        <w:rPr>
          <w:rFonts w:eastAsia="Times New Roman" w:cs="Times New Roman"/>
          <w:sz w:val="20"/>
          <w:szCs w:val="20"/>
          <w:lang w:val="fr-CA" w:eastAsia="en-CA"/>
        </w:rPr>
        <w:t>13.02.2014</w:t>
      </w:r>
    </w:p>
    <w:p w:rsidR="00AD651A" w:rsidRPr="00AD651A" w:rsidRDefault="00AD651A" w:rsidP="00AD651A">
      <w:pPr>
        <w:tabs>
          <w:tab w:val="left" w:pos="-1440"/>
          <w:tab w:val="left" w:pos="-720"/>
        </w:tabs>
        <w:jc w:val="both"/>
        <w:rPr>
          <w:rFonts w:eastAsia="Times New Roman" w:cs="Times New Roman"/>
          <w:sz w:val="20"/>
          <w:szCs w:val="20"/>
          <w:lang w:val="fr-CA" w:eastAsia="en-CA"/>
        </w:rPr>
      </w:pPr>
    </w:p>
    <w:p w:rsidR="00AD651A" w:rsidRPr="00AD651A" w:rsidRDefault="00AD651A" w:rsidP="00AD651A">
      <w:pPr>
        <w:tabs>
          <w:tab w:val="left" w:pos="-1440"/>
          <w:tab w:val="left" w:pos="-720"/>
        </w:tabs>
        <w:jc w:val="both"/>
        <w:rPr>
          <w:rFonts w:eastAsia="Times New Roman" w:cs="Times New Roman"/>
          <w:sz w:val="20"/>
          <w:szCs w:val="20"/>
          <w:lang w:val="fr-CA" w:eastAsia="en-CA"/>
        </w:rPr>
      </w:pPr>
      <w:r w:rsidRPr="00AD651A">
        <w:rPr>
          <w:rFonts w:eastAsia="Times New Roman" w:cs="Times New Roman"/>
          <w:sz w:val="20"/>
          <w:szCs w:val="20"/>
          <w:lang w:val="fr-CA" w:eastAsia="en-CA"/>
        </w:rPr>
        <w:t>Before / Devant :   ROTHSTEIN J. / LE JUGE ROTHSTEIN</w:t>
      </w:r>
    </w:p>
    <w:p w:rsidR="00AD651A" w:rsidRPr="00AD651A" w:rsidRDefault="00AD651A" w:rsidP="00AD651A">
      <w:pPr>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2880"/>
        <w:gridCol w:w="1170"/>
        <w:gridCol w:w="4327"/>
      </w:tblGrid>
      <w:tr w:rsidR="00AD651A" w:rsidRPr="00AD651A" w:rsidTr="001C4AC6">
        <w:tc>
          <w:tcPr>
            <w:tcW w:w="4338" w:type="dxa"/>
            <w:gridSpan w:val="2"/>
          </w:tcPr>
          <w:p w:rsidR="00AD651A" w:rsidRPr="00AD651A" w:rsidRDefault="00AD651A" w:rsidP="00AD651A">
            <w:pPr>
              <w:rPr>
                <w:b/>
              </w:rPr>
            </w:pPr>
            <w:r w:rsidRPr="00AD651A">
              <w:rPr>
                <w:b/>
              </w:rPr>
              <w:t>Motions for leave to intervene</w:t>
            </w:r>
            <w:r w:rsidRPr="00AD651A">
              <w:rPr>
                <w:szCs w:val="24"/>
                <w:lang w:val="en-US"/>
              </w:rPr>
              <w:t xml:space="preserve"> </w:t>
            </w:r>
            <w:r w:rsidR="0006361A" w:rsidRPr="00AD651A">
              <w:rPr>
                <w:szCs w:val="24"/>
                <w:lang w:val="en-US"/>
              </w:rPr>
              <w:fldChar w:fldCharType="begin"/>
            </w:r>
            <w:r w:rsidRPr="00AD651A">
              <w:rPr>
                <w:szCs w:val="24"/>
              </w:rPr>
              <w:instrText xml:space="preserve"> SEQ CHAPTER \h \r 1</w:instrText>
            </w:r>
            <w:r w:rsidR="0006361A" w:rsidRPr="00AD651A">
              <w:rPr>
                <w:szCs w:val="24"/>
                <w:lang w:val="en-US"/>
              </w:rPr>
              <w:fldChar w:fldCharType="end"/>
            </w:r>
          </w:p>
        </w:tc>
        <w:tc>
          <w:tcPr>
            <w:tcW w:w="1170" w:type="dxa"/>
          </w:tcPr>
          <w:p w:rsidR="00AD651A" w:rsidRPr="00AD651A" w:rsidRDefault="00AD651A" w:rsidP="00AD651A"/>
          <w:p w:rsidR="00AD651A" w:rsidRPr="00AD651A" w:rsidRDefault="00AD651A" w:rsidP="00AD651A"/>
        </w:tc>
        <w:tc>
          <w:tcPr>
            <w:tcW w:w="4327" w:type="dxa"/>
          </w:tcPr>
          <w:p w:rsidR="00AD651A" w:rsidRPr="00AD651A" w:rsidRDefault="00AD651A" w:rsidP="00AD651A">
            <w:pPr>
              <w:rPr>
                <w:b/>
              </w:rPr>
            </w:pPr>
            <w:r w:rsidRPr="00AD651A">
              <w:rPr>
                <w:b/>
                <w:bCs/>
                <w:lang w:val="fr-CA"/>
              </w:rPr>
              <w:t>Requêtes en autorisation d’intervenir</w:t>
            </w:r>
            <w:r w:rsidRPr="00AD651A">
              <w:rPr>
                <w:szCs w:val="24"/>
                <w:lang w:val="en-US"/>
              </w:rPr>
              <w:t xml:space="preserve"> </w:t>
            </w:r>
            <w:r w:rsidR="0006361A" w:rsidRPr="00AD651A">
              <w:rPr>
                <w:szCs w:val="24"/>
                <w:lang w:val="en-US"/>
              </w:rPr>
              <w:fldChar w:fldCharType="begin"/>
            </w:r>
            <w:r w:rsidRPr="00AD651A">
              <w:rPr>
                <w:szCs w:val="24"/>
              </w:rPr>
              <w:instrText xml:space="preserve"> SEQ CHAPTER \h \r 1</w:instrText>
            </w:r>
            <w:r w:rsidR="0006361A" w:rsidRPr="00AD651A">
              <w:rPr>
                <w:szCs w:val="24"/>
                <w:lang w:val="en-US"/>
              </w:rPr>
              <w:fldChar w:fldCharType="end"/>
            </w:r>
          </w:p>
        </w:tc>
      </w:tr>
      <w:tr w:rsidR="00AD651A" w:rsidRPr="00AD651A" w:rsidTr="001C4AC6">
        <w:trPr>
          <w:trHeight w:val="864"/>
        </w:trPr>
        <w:tc>
          <w:tcPr>
            <w:tcW w:w="1458" w:type="dxa"/>
          </w:tcPr>
          <w:p w:rsidR="00AD651A" w:rsidRPr="00AD651A" w:rsidRDefault="00AD651A" w:rsidP="00AD651A">
            <w:r w:rsidRPr="00AD651A">
              <w:t>BY / PAR</w:t>
            </w:r>
          </w:p>
        </w:tc>
        <w:tc>
          <w:tcPr>
            <w:tcW w:w="2880" w:type="dxa"/>
          </w:tcPr>
          <w:p w:rsidR="00AD651A" w:rsidRPr="00AD651A" w:rsidRDefault="00AD651A" w:rsidP="00AD651A">
            <w:r w:rsidRPr="00AD651A">
              <w:t>Writers Guild of Canada and Canadian Screenwriters Collection Society;</w:t>
            </w:r>
          </w:p>
        </w:tc>
        <w:tc>
          <w:tcPr>
            <w:tcW w:w="1170" w:type="dxa"/>
          </w:tcPr>
          <w:p w:rsidR="00AD651A" w:rsidRPr="00AD651A" w:rsidRDefault="00AD651A" w:rsidP="00AD651A"/>
        </w:tc>
        <w:tc>
          <w:tcPr>
            <w:tcW w:w="4327" w:type="dxa"/>
          </w:tcPr>
          <w:p w:rsidR="00AD651A" w:rsidRPr="00AD651A" w:rsidRDefault="00AD651A" w:rsidP="00AD651A"/>
        </w:tc>
      </w:tr>
      <w:tr w:rsidR="00AD651A" w:rsidRPr="00EB0F11" w:rsidTr="001C4AC6">
        <w:trPr>
          <w:trHeight w:val="864"/>
        </w:trPr>
        <w:tc>
          <w:tcPr>
            <w:tcW w:w="1458" w:type="dxa"/>
          </w:tcPr>
          <w:p w:rsidR="00AD651A" w:rsidRPr="00AD651A" w:rsidRDefault="00AD651A" w:rsidP="00AD651A"/>
        </w:tc>
        <w:tc>
          <w:tcPr>
            <w:tcW w:w="2880" w:type="dxa"/>
          </w:tcPr>
          <w:p w:rsidR="00AD651A" w:rsidRPr="00AD651A" w:rsidRDefault="00AD651A" w:rsidP="00AD651A">
            <w:pPr>
              <w:rPr>
                <w:lang w:val="fr-CA"/>
              </w:rPr>
            </w:pPr>
            <w:r w:rsidRPr="00AD651A">
              <w:rPr>
                <w:lang w:val="fr-CA"/>
              </w:rPr>
              <w:t>Société du droit de reproduction des auteurs compositeurs et éditeurs du Canada;</w:t>
            </w:r>
          </w:p>
        </w:tc>
        <w:tc>
          <w:tcPr>
            <w:tcW w:w="1170" w:type="dxa"/>
          </w:tcPr>
          <w:p w:rsidR="00AD651A" w:rsidRPr="00AD651A" w:rsidRDefault="00AD651A" w:rsidP="00AD651A">
            <w:pPr>
              <w:rPr>
                <w:lang w:val="fr-CA"/>
              </w:rPr>
            </w:pPr>
          </w:p>
        </w:tc>
        <w:tc>
          <w:tcPr>
            <w:tcW w:w="4327" w:type="dxa"/>
          </w:tcPr>
          <w:p w:rsidR="00AD651A" w:rsidRPr="00AD651A" w:rsidRDefault="00AD651A" w:rsidP="00AD651A">
            <w:pPr>
              <w:rPr>
                <w:lang w:val="fr-CA"/>
              </w:rPr>
            </w:pPr>
          </w:p>
        </w:tc>
      </w:tr>
      <w:tr w:rsidR="00AD651A" w:rsidRPr="00AD651A" w:rsidTr="001C4AC6">
        <w:tc>
          <w:tcPr>
            <w:tcW w:w="1458" w:type="dxa"/>
          </w:tcPr>
          <w:p w:rsidR="00AD651A" w:rsidRPr="00AD651A" w:rsidRDefault="00AD651A" w:rsidP="00AD651A">
            <w:pPr>
              <w:rPr>
                <w:lang w:val="fr-CA"/>
              </w:rPr>
            </w:pPr>
          </w:p>
        </w:tc>
        <w:tc>
          <w:tcPr>
            <w:tcW w:w="2880" w:type="dxa"/>
          </w:tcPr>
          <w:p w:rsidR="00AD651A" w:rsidRPr="00AD651A" w:rsidRDefault="00AD651A" w:rsidP="00AD651A">
            <w:pPr>
              <w:rPr>
                <w:lang w:val="en-US"/>
              </w:rPr>
            </w:pPr>
            <w:r w:rsidRPr="00AD651A">
              <w:t>SODRAC 2003</w:t>
            </w:r>
          </w:p>
        </w:tc>
        <w:tc>
          <w:tcPr>
            <w:tcW w:w="1170" w:type="dxa"/>
          </w:tcPr>
          <w:p w:rsidR="00AD651A" w:rsidRPr="00AD651A" w:rsidRDefault="00AD651A" w:rsidP="00AD651A"/>
        </w:tc>
        <w:tc>
          <w:tcPr>
            <w:tcW w:w="4327" w:type="dxa"/>
          </w:tcPr>
          <w:p w:rsidR="00AD651A" w:rsidRPr="00AD651A" w:rsidRDefault="00AD651A" w:rsidP="00AD651A"/>
        </w:tc>
      </w:tr>
      <w:tr w:rsidR="00AD651A" w:rsidRPr="00AD651A" w:rsidTr="001C4AC6">
        <w:tc>
          <w:tcPr>
            <w:tcW w:w="1458" w:type="dxa"/>
          </w:tcPr>
          <w:p w:rsidR="00AD651A" w:rsidRPr="00AD651A" w:rsidRDefault="00AD651A" w:rsidP="00AD651A"/>
        </w:tc>
        <w:tc>
          <w:tcPr>
            <w:tcW w:w="2880" w:type="dxa"/>
          </w:tcPr>
          <w:p w:rsidR="00AD651A" w:rsidRPr="00AD651A" w:rsidRDefault="00AD651A" w:rsidP="00AD651A"/>
        </w:tc>
        <w:tc>
          <w:tcPr>
            <w:tcW w:w="1170" w:type="dxa"/>
          </w:tcPr>
          <w:p w:rsidR="00AD651A" w:rsidRPr="00AD651A" w:rsidRDefault="00AD651A" w:rsidP="00AD651A"/>
        </w:tc>
        <w:tc>
          <w:tcPr>
            <w:tcW w:w="4327" w:type="dxa"/>
          </w:tcPr>
          <w:p w:rsidR="00AD651A" w:rsidRPr="00AD651A" w:rsidRDefault="00AD651A" w:rsidP="00AD651A"/>
        </w:tc>
      </w:tr>
      <w:tr w:rsidR="00AD651A" w:rsidRPr="00AD651A" w:rsidTr="001C4AC6">
        <w:tc>
          <w:tcPr>
            <w:tcW w:w="1458" w:type="dxa"/>
          </w:tcPr>
          <w:p w:rsidR="00AD651A" w:rsidRPr="00AD651A" w:rsidRDefault="00AD651A" w:rsidP="00AD651A">
            <w:r w:rsidRPr="00AD651A">
              <w:t>IN / DANS :</w:t>
            </w:r>
          </w:p>
        </w:tc>
        <w:tc>
          <w:tcPr>
            <w:tcW w:w="2880" w:type="dxa"/>
          </w:tcPr>
          <w:p w:rsidR="00AD651A" w:rsidRPr="00AD651A" w:rsidRDefault="00AD651A" w:rsidP="00AD651A">
            <w:pPr>
              <w:rPr>
                <w:lang w:val="fr-CA"/>
              </w:rPr>
            </w:pPr>
            <w:r w:rsidRPr="00AD651A">
              <w:rPr>
                <w:lang w:val="fr-CA"/>
              </w:rPr>
              <w:t>Canadian Artist’s Representation/Front des artistes canadiens et al.</w:t>
            </w:r>
          </w:p>
          <w:p w:rsidR="00AD651A" w:rsidRPr="00AD651A" w:rsidRDefault="00AD651A" w:rsidP="00AD651A">
            <w:pPr>
              <w:rPr>
                <w:lang w:val="fr-CA"/>
              </w:rPr>
            </w:pPr>
          </w:p>
          <w:p w:rsidR="00AD651A" w:rsidRPr="00AD651A" w:rsidRDefault="00AD651A" w:rsidP="00AD651A">
            <w:r w:rsidRPr="00AD651A">
              <w:rPr>
                <w:lang w:val="fr-CA"/>
              </w:rPr>
              <w:tab/>
            </w:r>
            <w:r w:rsidRPr="00AD651A">
              <w:t>v. (35353)</w:t>
            </w:r>
          </w:p>
          <w:p w:rsidR="00AD651A" w:rsidRPr="00AD651A" w:rsidRDefault="00AD651A" w:rsidP="00AD651A"/>
          <w:p w:rsidR="00AD651A" w:rsidRPr="00AD651A" w:rsidRDefault="00AD651A" w:rsidP="00AD651A">
            <w:r w:rsidRPr="00AD651A">
              <w:t>National Gallery of Canada (F.C.)</w:t>
            </w:r>
          </w:p>
        </w:tc>
        <w:tc>
          <w:tcPr>
            <w:tcW w:w="1170" w:type="dxa"/>
          </w:tcPr>
          <w:p w:rsidR="00AD651A" w:rsidRPr="00AD651A" w:rsidRDefault="00AD651A" w:rsidP="00AD651A"/>
        </w:tc>
        <w:tc>
          <w:tcPr>
            <w:tcW w:w="4327" w:type="dxa"/>
          </w:tcPr>
          <w:p w:rsidR="00AD651A" w:rsidRPr="00AD651A" w:rsidRDefault="00AD651A" w:rsidP="00AD651A"/>
        </w:tc>
      </w:tr>
    </w:tbl>
    <w:p w:rsidR="00AD651A" w:rsidRPr="00AD651A" w:rsidRDefault="00AD651A" w:rsidP="00AD651A">
      <w:pPr>
        <w:jc w:val="both"/>
        <w:rPr>
          <w:rFonts w:eastAsia="Times New Roman" w:cs="Times New Roman"/>
          <w:sz w:val="20"/>
          <w:szCs w:val="20"/>
          <w:lang w:eastAsia="en-CA"/>
        </w:rPr>
      </w:pPr>
    </w:p>
    <w:p w:rsidR="00AD651A" w:rsidRPr="00AD651A" w:rsidRDefault="00AD651A" w:rsidP="00AD651A">
      <w:pPr>
        <w:tabs>
          <w:tab w:val="left" w:pos="-1440"/>
          <w:tab w:val="left" w:pos="-720"/>
        </w:tabs>
        <w:jc w:val="both"/>
        <w:rPr>
          <w:rFonts w:eastAsia="Times New Roman" w:cs="Times New Roman"/>
          <w:b/>
          <w:sz w:val="20"/>
          <w:szCs w:val="20"/>
          <w:lang w:eastAsia="en-CA"/>
        </w:rPr>
      </w:pPr>
      <w:r w:rsidRPr="00AD651A">
        <w:rPr>
          <w:rFonts w:eastAsia="Times New Roman" w:cs="Times New Roman"/>
          <w:b/>
          <w:sz w:val="20"/>
          <w:szCs w:val="20"/>
          <w:lang w:eastAsia="en-CA"/>
        </w:rPr>
        <w:t>GRANTED / ACCORDÉES</w:t>
      </w:r>
    </w:p>
    <w:p w:rsidR="00AD651A" w:rsidRPr="00AD651A" w:rsidRDefault="00AD651A" w:rsidP="00AD651A">
      <w:pPr>
        <w:tabs>
          <w:tab w:val="left" w:pos="-1440"/>
          <w:tab w:val="left" w:pos="-720"/>
        </w:tabs>
        <w:jc w:val="both"/>
        <w:rPr>
          <w:rFonts w:eastAsia="Times New Roman" w:cs="Times New Roman"/>
          <w:sz w:val="20"/>
          <w:szCs w:val="20"/>
          <w:lang w:eastAsia="en-CA"/>
        </w:rPr>
      </w:pPr>
    </w:p>
    <w:p w:rsidR="00AD651A" w:rsidRPr="00AD651A" w:rsidRDefault="00AD651A" w:rsidP="00AD651A">
      <w:pPr>
        <w:jc w:val="both"/>
        <w:rPr>
          <w:rFonts w:eastAsia="Times New Roman" w:cs="Times New Roman"/>
          <w:sz w:val="20"/>
          <w:szCs w:val="20"/>
          <w:lang w:val="en-US" w:eastAsia="en-CA"/>
        </w:rPr>
      </w:pPr>
      <w:r w:rsidRPr="00AD651A">
        <w:rPr>
          <w:rFonts w:eastAsia="Times New Roman" w:cs="Times New Roman"/>
          <w:b/>
          <w:bCs/>
          <w:sz w:val="20"/>
          <w:szCs w:val="20"/>
          <w:lang w:val="en-US" w:eastAsia="en-CA"/>
        </w:rPr>
        <w:t xml:space="preserve">UPON APPLICATIONS </w:t>
      </w:r>
      <w:r w:rsidRPr="00AD651A">
        <w:rPr>
          <w:rFonts w:eastAsia="Times New Roman" w:cs="Times New Roman"/>
          <w:sz w:val="20"/>
          <w:szCs w:val="20"/>
          <w:lang w:val="en-US" w:eastAsia="en-CA"/>
        </w:rPr>
        <w:t xml:space="preserve">by </w:t>
      </w:r>
      <w:r w:rsidRPr="00AD651A">
        <w:rPr>
          <w:rFonts w:eastAsia="Times New Roman" w:cs="Times New Roman"/>
          <w:sz w:val="20"/>
          <w:szCs w:val="20"/>
          <w:lang w:eastAsia="en-CA"/>
        </w:rPr>
        <w:t xml:space="preserve">the Writers Guild of Canada and Canadian Screenwriters Collection Society and the Société du droit de reproduction des auteurs compositeurs et éditeurs du Canada et SODRAC 2003 Inc. </w:t>
      </w:r>
      <w:r w:rsidRPr="00AD651A">
        <w:rPr>
          <w:rFonts w:eastAsia="Times New Roman" w:cs="Times New Roman"/>
          <w:sz w:val="20"/>
          <w:szCs w:val="20"/>
          <w:lang w:val="en-US" w:eastAsia="en-CA"/>
        </w:rPr>
        <w:t>for leave to intervene in the above appeal;</w:t>
      </w:r>
    </w:p>
    <w:p w:rsidR="00AD651A" w:rsidRPr="00AD651A" w:rsidRDefault="00AD651A" w:rsidP="00AD651A">
      <w:pPr>
        <w:jc w:val="both"/>
        <w:rPr>
          <w:rFonts w:eastAsia="Times New Roman" w:cs="Times New Roman"/>
          <w:sz w:val="20"/>
          <w:szCs w:val="20"/>
          <w:lang w:val="en-US" w:eastAsia="en-CA"/>
        </w:rPr>
      </w:pPr>
    </w:p>
    <w:p w:rsidR="00AD651A" w:rsidRPr="00AD651A" w:rsidRDefault="00AD651A" w:rsidP="00AD651A">
      <w:pPr>
        <w:jc w:val="both"/>
        <w:rPr>
          <w:rFonts w:eastAsia="Times New Roman" w:cs="Times New Roman"/>
          <w:sz w:val="20"/>
          <w:szCs w:val="20"/>
          <w:lang w:val="en-US" w:eastAsia="en-CA"/>
        </w:rPr>
      </w:pPr>
      <w:r w:rsidRPr="00AD651A">
        <w:rPr>
          <w:rFonts w:eastAsia="Times New Roman" w:cs="Times New Roman"/>
          <w:b/>
          <w:bCs/>
          <w:sz w:val="20"/>
          <w:szCs w:val="20"/>
          <w:lang w:val="en-US" w:eastAsia="en-CA"/>
        </w:rPr>
        <w:t>AND THE MATERIAL FILED</w:t>
      </w:r>
      <w:r w:rsidRPr="00AD651A">
        <w:rPr>
          <w:rFonts w:eastAsia="Times New Roman" w:cs="Times New Roman"/>
          <w:sz w:val="20"/>
          <w:szCs w:val="20"/>
          <w:lang w:val="en-US" w:eastAsia="en-CA"/>
        </w:rPr>
        <w:t xml:space="preserve"> having been read;</w:t>
      </w:r>
    </w:p>
    <w:p w:rsidR="00AD651A" w:rsidRPr="00AD651A" w:rsidRDefault="00AD651A" w:rsidP="00AD651A">
      <w:pPr>
        <w:jc w:val="both"/>
        <w:rPr>
          <w:rFonts w:eastAsia="Times New Roman" w:cs="Times New Roman"/>
          <w:b/>
          <w:bCs/>
          <w:sz w:val="20"/>
          <w:szCs w:val="20"/>
          <w:lang w:val="en-US" w:eastAsia="en-CA"/>
        </w:rPr>
      </w:pPr>
    </w:p>
    <w:p w:rsidR="00AD651A" w:rsidRPr="00AD651A" w:rsidRDefault="00AD651A" w:rsidP="00AD651A">
      <w:pPr>
        <w:jc w:val="both"/>
        <w:rPr>
          <w:rFonts w:eastAsia="Times New Roman" w:cs="Times New Roman"/>
          <w:sz w:val="20"/>
          <w:szCs w:val="20"/>
          <w:lang w:val="en-US" w:eastAsia="en-CA"/>
        </w:rPr>
      </w:pPr>
      <w:r w:rsidRPr="00AD651A">
        <w:rPr>
          <w:rFonts w:eastAsia="Times New Roman" w:cs="Times New Roman"/>
          <w:b/>
          <w:bCs/>
          <w:sz w:val="20"/>
          <w:szCs w:val="20"/>
          <w:lang w:val="en-US" w:eastAsia="en-CA"/>
        </w:rPr>
        <w:lastRenderedPageBreak/>
        <w:t>IT IS HEREBY ORDERED THAT:</w:t>
      </w:r>
    </w:p>
    <w:p w:rsidR="00AD651A" w:rsidRPr="00AD651A" w:rsidRDefault="00AD651A" w:rsidP="00AD651A">
      <w:pPr>
        <w:jc w:val="both"/>
        <w:rPr>
          <w:rFonts w:eastAsia="Times New Roman" w:cs="Times New Roman"/>
          <w:sz w:val="20"/>
          <w:szCs w:val="20"/>
          <w:lang w:val="en-US" w:eastAsia="en-CA"/>
        </w:rPr>
      </w:pPr>
    </w:p>
    <w:p w:rsidR="00AD651A" w:rsidRPr="00AD651A" w:rsidRDefault="00AD651A" w:rsidP="00AD651A">
      <w:pPr>
        <w:jc w:val="both"/>
        <w:rPr>
          <w:rFonts w:eastAsia="Times New Roman" w:cs="Times New Roman"/>
          <w:sz w:val="20"/>
          <w:szCs w:val="20"/>
          <w:lang w:val="en-US" w:eastAsia="en-CA"/>
        </w:rPr>
      </w:pPr>
      <w:r w:rsidRPr="00AD651A">
        <w:rPr>
          <w:rFonts w:eastAsia="Times New Roman" w:cs="Times New Roman"/>
          <w:sz w:val="20"/>
          <w:szCs w:val="20"/>
          <w:lang w:val="en-US" w:eastAsia="en-CA"/>
        </w:rPr>
        <w:t xml:space="preserve">The motions for leave to intervene of </w:t>
      </w:r>
      <w:r w:rsidRPr="00AD651A">
        <w:rPr>
          <w:rFonts w:eastAsia="Times New Roman" w:cs="Times New Roman"/>
          <w:sz w:val="20"/>
          <w:szCs w:val="20"/>
          <w:lang w:eastAsia="en-CA"/>
        </w:rPr>
        <w:t xml:space="preserve">the Writers Guild of Canada and Canadian Screenwriters Collection Society and the Société du droit de reproduction des auteurs compositeurs et éditeurs du Canada et SODRAC 2003 Inc. are </w:t>
      </w:r>
      <w:r w:rsidRPr="00AD651A">
        <w:rPr>
          <w:rFonts w:eastAsia="Times New Roman" w:cs="Times New Roman"/>
          <w:sz w:val="20"/>
          <w:szCs w:val="20"/>
          <w:lang w:val="en-US" w:eastAsia="en-CA"/>
        </w:rPr>
        <w:t>granted and the said two interveners shall be entitled to each serve and file a factum not to exceed 10 pages in length on or before April 10, 2014.</w:t>
      </w:r>
    </w:p>
    <w:p w:rsidR="00AD651A" w:rsidRPr="00AD651A" w:rsidRDefault="00AD651A" w:rsidP="00AD651A">
      <w:pPr>
        <w:jc w:val="both"/>
        <w:rPr>
          <w:rFonts w:eastAsia="Times New Roman" w:cs="Times New Roman"/>
          <w:sz w:val="20"/>
          <w:szCs w:val="20"/>
          <w:lang w:val="en-US" w:eastAsia="en-CA"/>
        </w:rPr>
      </w:pPr>
    </w:p>
    <w:p w:rsidR="00AD651A" w:rsidRPr="00AD651A" w:rsidRDefault="00AD651A" w:rsidP="00AD651A">
      <w:pPr>
        <w:jc w:val="both"/>
        <w:rPr>
          <w:rFonts w:eastAsia="Times New Roman" w:cs="Times New Roman"/>
          <w:sz w:val="20"/>
          <w:szCs w:val="20"/>
          <w:lang w:val="en-US" w:eastAsia="en-CA"/>
        </w:rPr>
      </w:pPr>
      <w:r w:rsidRPr="00AD651A">
        <w:rPr>
          <w:rFonts w:eastAsia="Times New Roman" w:cs="Times New Roman"/>
          <w:sz w:val="20"/>
          <w:szCs w:val="20"/>
          <w:lang w:val="en-US" w:eastAsia="en-CA"/>
        </w:rPr>
        <w:t xml:space="preserve">The request of the Société du droit de reproduction des auteurs, compositeurs et éditeurs du Canada et SODRAC 2003 Inc. for leave to file additional evidence to complete the record is denied.  </w:t>
      </w:r>
    </w:p>
    <w:p w:rsidR="00AD651A" w:rsidRPr="00AD651A" w:rsidRDefault="00AD651A" w:rsidP="00AD651A">
      <w:pPr>
        <w:jc w:val="both"/>
        <w:rPr>
          <w:rFonts w:eastAsia="Times New Roman" w:cs="Times New Roman"/>
          <w:sz w:val="20"/>
          <w:szCs w:val="20"/>
          <w:lang w:val="en-US" w:eastAsia="en-CA"/>
        </w:rPr>
      </w:pPr>
    </w:p>
    <w:p w:rsidR="00AD651A" w:rsidRPr="00AD651A" w:rsidRDefault="0006361A" w:rsidP="00AD651A">
      <w:pPr>
        <w:jc w:val="both"/>
        <w:rPr>
          <w:rFonts w:eastAsia="Times New Roman" w:cs="Times New Roman"/>
          <w:sz w:val="20"/>
          <w:szCs w:val="20"/>
          <w:lang w:val="en-US" w:eastAsia="en-CA"/>
        </w:rPr>
      </w:pPr>
      <w:r w:rsidRPr="00AD651A">
        <w:rPr>
          <w:rFonts w:eastAsia="Times New Roman" w:cs="Times New Roman"/>
          <w:sz w:val="20"/>
          <w:szCs w:val="20"/>
          <w:lang w:eastAsia="en-CA"/>
        </w:rPr>
        <w:fldChar w:fldCharType="begin"/>
      </w:r>
      <w:r w:rsidR="00AD651A" w:rsidRPr="00AD651A">
        <w:rPr>
          <w:rFonts w:eastAsia="Times New Roman" w:cs="Times New Roman"/>
          <w:sz w:val="20"/>
          <w:szCs w:val="20"/>
          <w:lang w:eastAsia="en-CA"/>
        </w:rPr>
        <w:instrText xml:space="preserve"> SEQ CHAPTER \h \r 1</w:instrText>
      </w:r>
      <w:r w:rsidRPr="00AD651A">
        <w:rPr>
          <w:rFonts w:eastAsia="Times New Roman" w:cs="Times New Roman"/>
          <w:sz w:val="20"/>
          <w:szCs w:val="20"/>
          <w:lang w:eastAsia="en-CA"/>
        </w:rPr>
        <w:fldChar w:fldCharType="end"/>
      </w:r>
      <w:r w:rsidR="00AD651A" w:rsidRPr="00AD651A">
        <w:rPr>
          <w:rFonts w:eastAsia="Times New Roman" w:cs="Times New Roman"/>
          <w:sz w:val="20"/>
          <w:szCs w:val="20"/>
          <w:lang w:val="en-US" w:eastAsia="en-CA"/>
        </w:rPr>
        <w:t>The requests to present oral argument are deferred to a date following receipt and consideration of the written arguments of the parties and the interveners.</w:t>
      </w:r>
    </w:p>
    <w:p w:rsidR="00AD651A" w:rsidRPr="00AD651A" w:rsidRDefault="00AD651A" w:rsidP="00AD651A">
      <w:pPr>
        <w:jc w:val="both"/>
        <w:rPr>
          <w:rFonts w:eastAsia="Times New Roman" w:cs="Times New Roman"/>
          <w:sz w:val="20"/>
          <w:szCs w:val="20"/>
          <w:lang w:val="en-US" w:eastAsia="en-CA"/>
        </w:rPr>
      </w:pPr>
    </w:p>
    <w:p w:rsidR="00AD651A" w:rsidRPr="00AD651A" w:rsidRDefault="00AD651A" w:rsidP="00AD651A">
      <w:pPr>
        <w:jc w:val="both"/>
        <w:rPr>
          <w:rFonts w:eastAsia="Times New Roman" w:cs="Times New Roman"/>
          <w:sz w:val="20"/>
          <w:szCs w:val="20"/>
          <w:lang w:val="en-US" w:eastAsia="en-CA"/>
        </w:rPr>
      </w:pPr>
      <w:r w:rsidRPr="00AD651A">
        <w:rPr>
          <w:rFonts w:eastAsia="Times New Roman" w:cs="Times New Roman"/>
          <w:sz w:val="20"/>
          <w:szCs w:val="20"/>
          <w:lang w:val="en-US" w:eastAsia="en-CA"/>
        </w:rPr>
        <w:t>The interveners are not entitled to raise new issues or to adduce further evidence or otherwise to supplement the record of the parties.</w:t>
      </w:r>
    </w:p>
    <w:p w:rsidR="00AD651A" w:rsidRPr="00AD651A" w:rsidRDefault="00AD651A" w:rsidP="00AD651A">
      <w:pPr>
        <w:jc w:val="both"/>
        <w:rPr>
          <w:rFonts w:eastAsia="Times New Roman" w:cs="Times New Roman"/>
          <w:b/>
          <w:sz w:val="20"/>
          <w:szCs w:val="20"/>
          <w:lang w:val="en-US" w:eastAsia="en-CA"/>
        </w:rPr>
      </w:pPr>
    </w:p>
    <w:p w:rsidR="00AD651A" w:rsidRPr="00AD651A" w:rsidRDefault="00AD651A" w:rsidP="00AD651A">
      <w:pPr>
        <w:jc w:val="both"/>
        <w:rPr>
          <w:rFonts w:eastAsia="Times New Roman" w:cs="Times New Roman"/>
          <w:sz w:val="20"/>
          <w:szCs w:val="20"/>
          <w:lang w:val="en-US" w:eastAsia="en-CA"/>
        </w:rPr>
      </w:pPr>
      <w:r w:rsidRPr="00AD651A">
        <w:rPr>
          <w:rFonts w:eastAsia="Times New Roman" w:cs="Times New Roman"/>
          <w:sz w:val="20"/>
          <w:szCs w:val="20"/>
          <w:lang w:val="en-US" w:eastAsia="en-CA"/>
        </w:rPr>
        <w:t>Pursuant to Rule 59(1)(</w:t>
      </w:r>
      <w:r w:rsidRPr="00AD651A">
        <w:rPr>
          <w:rFonts w:eastAsia="Times New Roman" w:cs="Times New Roman"/>
          <w:i/>
          <w:iCs/>
          <w:sz w:val="20"/>
          <w:szCs w:val="20"/>
          <w:lang w:val="en-US" w:eastAsia="en-CA"/>
        </w:rPr>
        <w:t>a</w:t>
      </w:r>
      <w:r w:rsidRPr="00AD651A">
        <w:rPr>
          <w:rFonts w:eastAsia="Times New Roman" w:cs="Times New Roman"/>
          <w:sz w:val="20"/>
          <w:szCs w:val="20"/>
          <w:lang w:val="en-US" w:eastAsia="en-CA"/>
        </w:rPr>
        <w:t xml:space="preserve">) of the </w:t>
      </w:r>
      <w:r w:rsidRPr="00AD651A">
        <w:rPr>
          <w:rFonts w:eastAsia="Times New Roman" w:cs="Times New Roman"/>
          <w:i/>
          <w:iCs/>
          <w:sz w:val="20"/>
          <w:szCs w:val="20"/>
          <w:lang w:val="en-US" w:eastAsia="en-CA"/>
        </w:rPr>
        <w:t>Rules of the Supreme Court of Canada</w:t>
      </w:r>
      <w:r w:rsidRPr="00AD651A">
        <w:rPr>
          <w:rFonts w:eastAsia="Times New Roman" w:cs="Times New Roman"/>
          <w:sz w:val="20"/>
          <w:szCs w:val="20"/>
          <w:lang w:val="en-US" w:eastAsia="en-CA"/>
        </w:rPr>
        <w:t xml:space="preserve">, the interveners shall pay to the appellants and respondent any additional disbursements occasioned to the appellants and respondent by their interventions. </w:t>
      </w:r>
    </w:p>
    <w:p w:rsidR="00AD651A" w:rsidRPr="00AD651A" w:rsidRDefault="00AD651A" w:rsidP="00AD651A">
      <w:pPr>
        <w:rPr>
          <w:rFonts w:eastAsia="Times New Roman" w:cs="Times New Roman"/>
          <w:sz w:val="20"/>
          <w:szCs w:val="20"/>
          <w:lang w:val="en-US" w:eastAsia="en-CA"/>
        </w:rPr>
      </w:pPr>
    </w:p>
    <w:p w:rsidR="00AD651A" w:rsidRPr="00AD651A" w:rsidRDefault="00AD651A" w:rsidP="00AD651A">
      <w:pPr>
        <w:rPr>
          <w:rFonts w:eastAsia="Times New Roman" w:cs="Times New Roman"/>
          <w:sz w:val="20"/>
          <w:szCs w:val="20"/>
          <w:lang w:val="en-US" w:eastAsia="en-CA"/>
        </w:rPr>
      </w:pPr>
    </w:p>
    <w:p w:rsidR="00AD651A" w:rsidRPr="00AD651A" w:rsidRDefault="00AD651A" w:rsidP="00AD651A">
      <w:pPr>
        <w:rPr>
          <w:rFonts w:eastAsia="Times New Roman" w:cs="Times New Roman"/>
          <w:sz w:val="20"/>
          <w:szCs w:val="20"/>
          <w:lang w:val="en-US" w:eastAsia="en-CA"/>
        </w:rPr>
      </w:pPr>
    </w:p>
    <w:p w:rsidR="00AD651A" w:rsidRPr="00AD651A" w:rsidRDefault="00AD651A" w:rsidP="00AD651A">
      <w:pPr>
        <w:jc w:val="both"/>
        <w:rPr>
          <w:rFonts w:eastAsia="Times New Roman" w:cs="Times New Roman"/>
          <w:sz w:val="20"/>
          <w:szCs w:val="20"/>
          <w:lang w:val="fr-FR" w:eastAsia="en-CA"/>
        </w:rPr>
      </w:pPr>
      <w:r w:rsidRPr="00AD651A">
        <w:rPr>
          <w:rFonts w:eastAsia="Times New Roman" w:cs="Times New Roman"/>
          <w:b/>
          <w:sz w:val="20"/>
          <w:szCs w:val="20"/>
          <w:lang w:val="fr-FR" w:eastAsia="en-CA"/>
        </w:rPr>
        <w:t>À LA SUITE DES REQUÊTES</w:t>
      </w:r>
      <w:r w:rsidRPr="00AD651A">
        <w:rPr>
          <w:rFonts w:eastAsia="Times New Roman" w:cs="Times New Roman"/>
          <w:sz w:val="20"/>
          <w:szCs w:val="20"/>
          <w:lang w:val="fr-FR" w:eastAsia="en-CA"/>
        </w:rPr>
        <w:t xml:space="preserve"> présentées par la Writers Guild of Canada and Canadian Screenwriters Collection Society et la Société du droit de reproduction des auteurs compositeurs et éditeurs du Canada et SODRAC 2003 Inc. en autorisation d’intervenir dans l’appel; </w:t>
      </w:r>
    </w:p>
    <w:p w:rsidR="00AD651A" w:rsidRPr="00AD651A" w:rsidRDefault="00AD651A" w:rsidP="00AD651A">
      <w:pPr>
        <w:jc w:val="both"/>
        <w:rPr>
          <w:rFonts w:eastAsia="Times New Roman" w:cs="Times New Roman"/>
          <w:sz w:val="20"/>
          <w:szCs w:val="20"/>
          <w:lang w:val="fr-FR" w:eastAsia="en-CA"/>
        </w:rPr>
      </w:pPr>
    </w:p>
    <w:p w:rsidR="00AD651A" w:rsidRPr="00AD651A" w:rsidRDefault="00AD651A" w:rsidP="00AD651A">
      <w:pPr>
        <w:jc w:val="both"/>
        <w:rPr>
          <w:rFonts w:eastAsia="Times New Roman" w:cs="Times New Roman"/>
          <w:sz w:val="20"/>
          <w:szCs w:val="20"/>
          <w:lang w:val="fr-CA" w:eastAsia="en-CA"/>
        </w:rPr>
      </w:pPr>
      <w:r w:rsidRPr="00AD651A">
        <w:rPr>
          <w:rFonts w:eastAsia="Times New Roman" w:cs="Times New Roman"/>
          <w:b/>
          <w:sz w:val="20"/>
          <w:szCs w:val="20"/>
          <w:lang w:val="fr-CA" w:eastAsia="en-CA"/>
        </w:rPr>
        <w:t>ET APRÈS EXAMEN</w:t>
      </w:r>
      <w:r w:rsidRPr="00AD651A">
        <w:rPr>
          <w:rFonts w:eastAsia="Times New Roman" w:cs="Times New Roman"/>
          <w:sz w:val="20"/>
          <w:szCs w:val="20"/>
          <w:lang w:val="fr-CA" w:eastAsia="en-CA"/>
        </w:rPr>
        <w:t xml:space="preserve"> des documents déposés; </w:t>
      </w:r>
    </w:p>
    <w:p w:rsidR="00AD651A" w:rsidRPr="00AD651A" w:rsidRDefault="00AD651A" w:rsidP="00AD651A">
      <w:pPr>
        <w:jc w:val="both"/>
        <w:rPr>
          <w:rFonts w:eastAsia="Times New Roman" w:cs="Times New Roman"/>
          <w:sz w:val="20"/>
          <w:szCs w:val="20"/>
          <w:lang w:val="fr-CA" w:eastAsia="en-CA"/>
        </w:rPr>
      </w:pPr>
    </w:p>
    <w:p w:rsidR="00AD651A" w:rsidRPr="00AD651A" w:rsidRDefault="00AD651A" w:rsidP="00AD651A">
      <w:pPr>
        <w:jc w:val="both"/>
        <w:rPr>
          <w:rFonts w:eastAsia="Times New Roman" w:cs="Times New Roman"/>
          <w:sz w:val="20"/>
          <w:szCs w:val="20"/>
          <w:lang w:val="fr-CA" w:eastAsia="en-CA"/>
        </w:rPr>
      </w:pPr>
      <w:r w:rsidRPr="00AD651A">
        <w:rPr>
          <w:rFonts w:eastAsia="Times New Roman" w:cs="Times New Roman"/>
          <w:b/>
          <w:sz w:val="20"/>
          <w:szCs w:val="20"/>
          <w:lang w:val="fr-CA" w:eastAsia="en-CA"/>
        </w:rPr>
        <w:t>IL EST PAR LA PRÉSENTE ORDONNÉ CE QUI SUIT</w:t>
      </w:r>
      <w:r w:rsidRPr="00AD651A">
        <w:rPr>
          <w:rFonts w:eastAsia="Times New Roman" w:cs="Times New Roman"/>
          <w:sz w:val="20"/>
          <w:szCs w:val="20"/>
          <w:lang w:val="fr-CA" w:eastAsia="en-CA"/>
        </w:rPr>
        <w:t xml:space="preserve"> : </w:t>
      </w:r>
    </w:p>
    <w:p w:rsidR="00AD651A" w:rsidRPr="00AD651A" w:rsidRDefault="00AD651A" w:rsidP="00AD651A">
      <w:pPr>
        <w:jc w:val="both"/>
        <w:rPr>
          <w:rFonts w:eastAsia="Times New Roman" w:cs="Times New Roman"/>
          <w:sz w:val="20"/>
          <w:szCs w:val="20"/>
          <w:lang w:val="fr-CA" w:eastAsia="en-CA"/>
        </w:rPr>
      </w:pPr>
    </w:p>
    <w:p w:rsidR="00AD651A" w:rsidRPr="00AD651A" w:rsidRDefault="00AD651A" w:rsidP="00AD651A">
      <w:pPr>
        <w:jc w:val="both"/>
        <w:rPr>
          <w:rFonts w:eastAsia="Times New Roman" w:cs="Times New Roman"/>
          <w:sz w:val="20"/>
          <w:szCs w:val="20"/>
          <w:lang w:val="fr-CA" w:eastAsia="en-CA"/>
        </w:rPr>
      </w:pPr>
      <w:r w:rsidRPr="00AD651A">
        <w:rPr>
          <w:rFonts w:eastAsia="Times New Roman" w:cs="Times New Roman"/>
          <w:sz w:val="20"/>
          <w:szCs w:val="20"/>
          <w:lang w:val="fr-CA" w:eastAsia="en-CA"/>
        </w:rPr>
        <w:t xml:space="preserve">Les requêtes en autorisation d’intervenir présentées par la </w:t>
      </w:r>
      <w:r w:rsidRPr="00AD651A">
        <w:rPr>
          <w:rFonts w:eastAsia="Times New Roman" w:cs="Times New Roman"/>
          <w:sz w:val="20"/>
          <w:szCs w:val="20"/>
          <w:lang w:val="fr-FR" w:eastAsia="en-CA"/>
        </w:rPr>
        <w:t xml:space="preserve">Writers Guild of Canada and Canadian Screenwriters Collection Society et la Société du droit de reproduction des auteurs compositeurs et éditeurs du Canada et SODRAC 2003 Inc. </w:t>
      </w:r>
      <w:r w:rsidRPr="00AD651A">
        <w:rPr>
          <w:rFonts w:eastAsia="Times New Roman" w:cs="Times New Roman"/>
          <w:sz w:val="20"/>
          <w:szCs w:val="20"/>
          <w:lang w:val="fr-CA" w:eastAsia="en-CA"/>
        </w:rPr>
        <w:t>sont accueillies et ces deux intervenants pourront chacun signifier et déposer un mémoire d’au plus dix (10) pages au plus tard le 10 avril 2014.</w:t>
      </w:r>
    </w:p>
    <w:p w:rsidR="00AD651A" w:rsidRPr="00AD651A" w:rsidRDefault="00AD651A" w:rsidP="00AD651A">
      <w:pPr>
        <w:jc w:val="both"/>
        <w:rPr>
          <w:rFonts w:eastAsia="Times New Roman" w:cs="Times New Roman"/>
          <w:sz w:val="20"/>
          <w:szCs w:val="20"/>
          <w:lang w:val="fr-CA" w:eastAsia="en-CA"/>
        </w:rPr>
      </w:pPr>
    </w:p>
    <w:p w:rsidR="00AD651A" w:rsidRPr="00AD651A" w:rsidRDefault="00AD651A" w:rsidP="00AD651A">
      <w:pPr>
        <w:jc w:val="both"/>
        <w:rPr>
          <w:rFonts w:eastAsia="Times New Roman" w:cs="Times New Roman"/>
          <w:sz w:val="20"/>
          <w:szCs w:val="20"/>
          <w:lang w:val="fr-CA" w:eastAsia="en-CA"/>
        </w:rPr>
      </w:pPr>
      <w:r w:rsidRPr="00AD651A">
        <w:rPr>
          <w:rFonts w:eastAsia="Times New Roman" w:cs="Times New Roman"/>
          <w:sz w:val="20"/>
          <w:szCs w:val="20"/>
          <w:lang w:val="fr-CA" w:eastAsia="en-CA"/>
        </w:rPr>
        <w:t>La demande de la Société du droit de reproduction des auteurs compositeurs et éditeurs du Canada et SODRAC 2003 Inc. en autorisation de déposer des éléments de preuve permettant de compléter le dossier est refusée.</w:t>
      </w:r>
    </w:p>
    <w:p w:rsidR="00AD651A" w:rsidRPr="00AD651A" w:rsidRDefault="00AD651A" w:rsidP="00AD651A">
      <w:pPr>
        <w:jc w:val="both"/>
        <w:rPr>
          <w:rFonts w:eastAsia="Times New Roman" w:cs="Times New Roman"/>
          <w:sz w:val="20"/>
          <w:szCs w:val="20"/>
          <w:lang w:val="fr-CA" w:eastAsia="en-CA"/>
        </w:rPr>
      </w:pPr>
    </w:p>
    <w:p w:rsidR="00AD651A" w:rsidRPr="00AD651A" w:rsidRDefault="00AD651A" w:rsidP="00AD651A">
      <w:pPr>
        <w:jc w:val="both"/>
        <w:rPr>
          <w:rFonts w:eastAsia="Times New Roman" w:cs="Times New Roman"/>
          <w:sz w:val="20"/>
          <w:szCs w:val="20"/>
          <w:lang w:val="fr-CA" w:eastAsia="en-CA"/>
        </w:rPr>
      </w:pPr>
      <w:r w:rsidRPr="00AD651A">
        <w:rPr>
          <w:rFonts w:eastAsia="Times New Roman" w:cs="Times New Roman"/>
          <w:sz w:val="20"/>
          <w:szCs w:val="20"/>
          <w:lang w:val="fr-CA" w:eastAsia="en-CA"/>
        </w:rPr>
        <w:t>Les décisions sur les requêtes en vue de présenter des plaidoiries orales seront rendues après réception et examen des arguments écrits des parties et des intervenantes.</w:t>
      </w:r>
    </w:p>
    <w:p w:rsidR="00AD651A" w:rsidRPr="00AD651A" w:rsidRDefault="00AD651A" w:rsidP="00AD651A">
      <w:pPr>
        <w:jc w:val="both"/>
        <w:rPr>
          <w:rFonts w:eastAsia="Times New Roman" w:cs="Times New Roman"/>
          <w:sz w:val="20"/>
          <w:szCs w:val="20"/>
          <w:lang w:val="fr-CA" w:eastAsia="en-CA"/>
        </w:rPr>
      </w:pPr>
    </w:p>
    <w:p w:rsidR="00AD651A" w:rsidRPr="00AD651A" w:rsidRDefault="00AD651A" w:rsidP="00AD651A">
      <w:pPr>
        <w:jc w:val="both"/>
        <w:rPr>
          <w:rFonts w:eastAsia="Times New Roman" w:cs="Times New Roman"/>
          <w:sz w:val="20"/>
          <w:szCs w:val="20"/>
          <w:lang w:val="fr-CA" w:eastAsia="en-CA"/>
        </w:rPr>
      </w:pPr>
      <w:r w:rsidRPr="00AD651A">
        <w:rPr>
          <w:rFonts w:eastAsia="Times New Roman" w:cs="Times New Roman"/>
          <w:sz w:val="20"/>
          <w:szCs w:val="20"/>
          <w:lang w:val="fr-CA" w:eastAsia="en-CA"/>
        </w:rPr>
        <w:t>Les intervenantes n’ont pas le droit de soulever de nouvelles questions, de produire d’autres éléments de preuve ni de compléter de quelque autre façon le dossier des parties.</w:t>
      </w:r>
    </w:p>
    <w:p w:rsidR="00AD651A" w:rsidRPr="00AD651A" w:rsidRDefault="00AD651A" w:rsidP="00AD651A">
      <w:pPr>
        <w:jc w:val="both"/>
        <w:rPr>
          <w:rFonts w:eastAsia="Times New Roman" w:cs="Times New Roman"/>
          <w:b/>
          <w:sz w:val="20"/>
          <w:szCs w:val="20"/>
          <w:lang w:val="fr-CA" w:eastAsia="en-CA"/>
        </w:rPr>
      </w:pPr>
    </w:p>
    <w:p w:rsidR="00AD651A" w:rsidRPr="00AD651A" w:rsidRDefault="00AD651A" w:rsidP="00AD651A">
      <w:pPr>
        <w:jc w:val="both"/>
        <w:rPr>
          <w:rFonts w:eastAsia="Times New Roman" w:cs="Times New Roman"/>
          <w:sz w:val="20"/>
          <w:szCs w:val="20"/>
          <w:lang w:val="fr-CA" w:eastAsia="en-CA"/>
        </w:rPr>
      </w:pPr>
      <w:r w:rsidRPr="00AD651A">
        <w:rPr>
          <w:rFonts w:eastAsia="Times New Roman" w:cs="Times New Roman"/>
          <w:sz w:val="20"/>
          <w:szCs w:val="20"/>
          <w:lang w:val="fr-CA" w:eastAsia="en-CA"/>
        </w:rPr>
        <w:t>Conformément à l’alinéa 59(1)(</w:t>
      </w:r>
      <w:r w:rsidRPr="00AD651A">
        <w:rPr>
          <w:rFonts w:eastAsia="Times New Roman" w:cs="Times New Roman"/>
          <w:i/>
          <w:sz w:val="20"/>
          <w:szCs w:val="20"/>
          <w:lang w:val="fr-CA" w:eastAsia="en-CA"/>
        </w:rPr>
        <w:t>a</w:t>
      </w:r>
      <w:r w:rsidRPr="00AD651A">
        <w:rPr>
          <w:rFonts w:eastAsia="Times New Roman" w:cs="Times New Roman"/>
          <w:sz w:val="20"/>
          <w:szCs w:val="20"/>
          <w:lang w:val="fr-CA" w:eastAsia="en-CA"/>
        </w:rPr>
        <w:t xml:space="preserve">) des </w:t>
      </w:r>
      <w:r w:rsidRPr="00AD651A">
        <w:rPr>
          <w:rFonts w:eastAsia="Times New Roman" w:cs="Times New Roman"/>
          <w:i/>
          <w:sz w:val="20"/>
          <w:szCs w:val="20"/>
          <w:lang w:val="fr-CA" w:eastAsia="en-CA"/>
        </w:rPr>
        <w:t>Règles de la Cour suprême du Canada</w:t>
      </w:r>
      <w:r w:rsidRPr="00AD651A">
        <w:rPr>
          <w:rFonts w:eastAsia="Times New Roman" w:cs="Times New Roman"/>
          <w:sz w:val="20"/>
          <w:szCs w:val="20"/>
          <w:lang w:val="fr-CA" w:eastAsia="en-CA"/>
        </w:rPr>
        <w:t>, les intervenantes paieront aux appelants et à l’intimée tous débours supplémentaires résultant de leurs interventions.</w:t>
      </w:r>
    </w:p>
    <w:p w:rsidR="00AD651A" w:rsidRPr="00AD651A" w:rsidRDefault="00AD651A" w:rsidP="00AD651A">
      <w:pPr>
        <w:tabs>
          <w:tab w:val="left" w:pos="-1440"/>
          <w:tab w:val="left" w:pos="-720"/>
        </w:tabs>
        <w:jc w:val="both"/>
        <w:rPr>
          <w:rFonts w:eastAsia="Times New Roman" w:cs="Times New Roman"/>
          <w:sz w:val="20"/>
          <w:szCs w:val="20"/>
          <w:lang w:val="fr-CA" w:eastAsia="en-CA"/>
        </w:rPr>
      </w:pPr>
    </w:p>
    <w:p w:rsidR="00AD651A" w:rsidRPr="00AD651A" w:rsidRDefault="00EB0F11" w:rsidP="00AD651A">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78" style="width:2in;height:1pt" o:hrpct="0" o:hralign="center" o:hrstd="t" o:hrnoshade="t" o:hr="t" fillcolor="black [3213]" stroked="f"/>
        </w:pict>
      </w:r>
    </w:p>
    <w:p w:rsidR="00AD651A" w:rsidRDefault="00AD651A" w:rsidP="00AD651A">
      <w:pPr>
        <w:rPr>
          <w:rFonts w:eastAsia="Times New Roman" w:cs="Times New Roman"/>
          <w:sz w:val="20"/>
          <w:szCs w:val="20"/>
          <w:lang w:eastAsia="en-CA"/>
        </w:rPr>
      </w:pPr>
    </w:p>
    <w:p w:rsidR="00AD651A" w:rsidRPr="00AD651A" w:rsidRDefault="00AD651A" w:rsidP="00AD651A">
      <w:pPr>
        <w:rPr>
          <w:rFonts w:eastAsia="Times New Roman" w:cs="Times New Roman"/>
          <w:sz w:val="20"/>
          <w:szCs w:val="20"/>
          <w:lang w:eastAsia="en-CA"/>
        </w:rPr>
      </w:pPr>
      <w:r w:rsidRPr="00AD651A">
        <w:rPr>
          <w:rFonts w:eastAsia="Times New Roman" w:cs="Times New Roman"/>
          <w:sz w:val="20"/>
          <w:szCs w:val="20"/>
          <w:lang w:eastAsia="en-CA"/>
        </w:rPr>
        <w:br w:type="page"/>
      </w:r>
    </w:p>
    <w:p w:rsidR="00AD651A" w:rsidRPr="00AD651A" w:rsidRDefault="00AD651A" w:rsidP="00AD651A">
      <w:pPr>
        <w:tabs>
          <w:tab w:val="left" w:pos="-1440"/>
          <w:tab w:val="left" w:pos="-720"/>
        </w:tabs>
        <w:jc w:val="both"/>
        <w:rPr>
          <w:rFonts w:eastAsia="Times New Roman" w:cs="Times New Roman"/>
          <w:sz w:val="20"/>
          <w:szCs w:val="20"/>
          <w:lang w:eastAsia="en-CA"/>
        </w:rPr>
      </w:pPr>
      <w:r w:rsidRPr="00AD651A">
        <w:rPr>
          <w:rFonts w:eastAsia="Times New Roman" w:cs="Times New Roman"/>
          <w:sz w:val="20"/>
          <w:szCs w:val="20"/>
          <w:lang w:eastAsia="en-CA"/>
        </w:rPr>
        <w:lastRenderedPageBreak/>
        <w:t>13.02.2014</w:t>
      </w:r>
    </w:p>
    <w:p w:rsidR="00AD651A" w:rsidRPr="00AD651A" w:rsidRDefault="00AD651A" w:rsidP="00AD651A">
      <w:pPr>
        <w:tabs>
          <w:tab w:val="left" w:pos="-1440"/>
          <w:tab w:val="left" w:pos="-720"/>
        </w:tabs>
        <w:jc w:val="both"/>
        <w:rPr>
          <w:rFonts w:eastAsia="Times New Roman" w:cs="Times New Roman"/>
          <w:sz w:val="20"/>
          <w:szCs w:val="20"/>
          <w:lang w:eastAsia="en-CA"/>
        </w:rPr>
      </w:pPr>
    </w:p>
    <w:p w:rsidR="00AD651A" w:rsidRPr="00AD651A" w:rsidRDefault="00AD651A" w:rsidP="00AD651A">
      <w:pPr>
        <w:tabs>
          <w:tab w:val="left" w:pos="-1440"/>
          <w:tab w:val="left" w:pos="-720"/>
        </w:tabs>
        <w:jc w:val="both"/>
        <w:rPr>
          <w:rFonts w:eastAsia="Times New Roman" w:cs="Times New Roman"/>
          <w:sz w:val="20"/>
          <w:szCs w:val="20"/>
          <w:lang w:eastAsia="en-CA"/>
        </w:rPr>
      </w:pPr>
      <w:r w:rsidRPr="00AD651A">
        <w:rPr>
          <w:rFonts w:eastAsia="Times New Roman" w:cs="Times New Roman"/>
          <w:sz w:val="20"/>
          <w:szCs w:val="20"/>
          <w:lang w:eastAsia="en-CA"/>
        </w:rPr>
        <w:t>Before / Devant :   THE DEPUTY REGISTRAR / LA REGISTRAIRE ADJOINTE</w:t>
      </w:r>
    </w:p>
    <w:p w:rsidR="00AD651A" w:rsidRPr="00AD651A" w:rsidRDefault="00AD651A" w:rsidP="00AD651A">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AD651A" w:rsidRPr="00AD651A" w:rsidTr="001C4AC6">
        <w:trPr>
          <w:trHeight w:val="151"/>
        </w:trPr>
        <w:tc>
          <w:tcPr>
            <w:tcW w:w="4338" w:type="dxa"/>
          </w:tcPr>
          <w:p w:rsidR="00AD651A" w:rsidRPr="00AD651A" w:rsidRDefault="0006361A" w:rsidP="00AD651A">
            <w:pPr>
              <w:tabs>
                <w:tab w:val="left" w:pos="-1440"/>
                <w:tab w:val="left" w:pos="-720"/>
              </w:tabs>
              <w:jc w:val="both"/>
              <w:rPr>
                <w:lang w:val="fr-CA"/>
              </w:rPr>
            </w:pPr>
            <w:r w:rsidRPr="00AD651A">
              <w:rPr>
                <w:lang w:val="en-US"/>
              </w:rPr>
              <w:fldChar w:fldCharType="begin"/>
            </w:r>
            <w:r w:rsidR="00AD651A" w:rsidRPr="00AD651A">
              <w:rPr>
                <w:lang w:val="fr-CA"/>
              </w:rPr>
              <w:instrText xml:space="preserve"> SEQ CHAPTER \h \r 1</w:instrText>
            </w:r>
            <w:r w:rsidRPr="00AD651A">
              <w:rPr>
                <w:lang w:val="en-US"/>
              </w:rPr>
              <w:fldChar w:fldCharType="end"/>
            </w:r>
            <w:r w:rsidR="00AD651A" w:rsidRPr="00AD651A">
              <w:rPr>
                <w:b/>
                <w:bCs/>
                <w:lang w:val="fr-CA"/>
              </w:rPr>
              <w:t>Miscellaneous motion</w:t>
            </w:r>
          </w:p>
          <w:p w:rsidR="00AD651A" w:rsidRPr="00AD651A" w:rsidRDefault="0006361A" w:rsidP="00AD651A">
            <w:pPr>
              <w:tabs>
                <w:tab w:val="left" w:pos="-1440"/>
                <w:tab w:val="left" w:pos="-720"/>
              </w:tabs>
              <w:jc w:val="both"/>
              <w:rPr>
                <w:lang w:val="fr-CA"/>
              </w:rPr>
            </w:pPr>
            <w:r w:rsidRPr="00AD651A">
              <w:rPr>
                <w:lang w:val="en-US"/>
              </w:rPr>
              <w:fldChar w:fldCharType="begin"/>
            </w:r>
            <w:r w:rsidR="00AD651A" w:rsidRPr="00AD651A">
              <w:rPr>
                <w:lang w:val="fr-CA"/>
              </w:rPr>
              <w:instrText xml:space="preserve"> SEQ CHAPTER \h \r 1</w:instrText>
            </w:r>
            <w:r w:rsidRPr="00AD651A">
              <w:rPr>
                <w:lang w:val="en-US"/>
              </w:rPr>
              <w:fldChar w:fldCharType="end"/>
            </w:r>
          </w:p>
        </w:tc>
        <w:tc>
          <w:tcPr>
            <w:tcW w:w="1170" w:type="dxa"/>
          </w:tcPr>
          <w:p w:rsidR="00AD651A" w:rsidRPr="00AD651A" w:rsidRDefault="00AD651A" w:rsidP="00AD651A">
            <w:pPr>
              <w:jc w:val="both"/>
              <w:rPr>
                <w:lang w:val="fr-CA"/>
              </w:rPr>
            </w:pPr>
          </w:p>
          <w:p w:rsidR="00AD651A" w:rsidRPr="00AD651A" w:rsidRDefault="00AD651A" w:rsidP="00AD651A">
            <w:pPr>
              <w:jc w:val="both"/>
              <w:rPr>
                <w:lang w:val="fr-CA"/>
              </w:rPr>
            </w:pPr>
          </w:p>
        </w:tc>
        <w:tc>
          <w:tcPr>
            <w:tcW w:w="4327" w:type="dxa"/>
          </w:tcPr>
          <w:p w:rsidR="00AD651A" w:rsidRPr="00AD651A" w:rsidRDefault="0006361A" w:rsidP="00AD651A">
            <w:pPr>
              <w:jc w:val="both"/>
              <w:rPr>
                <w:b/>
                <w:lang w:val="fr-CA"/>
              </w:rPr>
            </w:pPr>
            <w:r w:rsidRPr="00AD651A">
              <w:rPr>
                <w:lang w:val="en-US"/>
              </w:rPr>
              <w:fldChar w:fldCharType="begin"/>
            </w:r>
            <w:r w:rsidR="00AD651A" w:rsidRPr="00AD651A">
              <w:rPr>
                <w:lang w:val="fr-CA"/>
              </w:rPr>
              <w:instrText xml:space="preserve"> SEQ CHAPTER \h \r 1</w:instrText>
            </w:r>
            <w:r w:rsidRPr="00AD651A">
              <w:rPr>
                <w:lang w:val="en-US"/>
              </w:rPr>
              <w:fldChar w:fldCharType="end"/>
            </w:r>
            <w:r w:rsidR="00AD651A" w:rsidRPr="00AD651A">
              <w:rPr>
                <w:b/>
                <w:bCs/>
                <w:lang w:val="fr-CA"/>
              </w:rPr>
              <w:t>Requête diverse</w:t>
            </w:r>
          </w:p>
          <w:p w:rsidR="00AD651A" w:rsidRPr="00AD651A" w:rsidRDefault="0006361A" w:rsidP="00AD651A">
            <w:pPr>
              <w:jc w:val="both"/>
              <w:rPr>
                <w:b/>
                <w:lang w:val="fr-CA"/>
              </w:rPr>
            </w:pPr>
            <w:r w:rsidRPr="00AD651A">
              <w:rPr>
                <w:b/>
                <w:lang w:val="en-US"/>
              </w:rPr>
              <w:fldChar w:fldCharType="begin"/>
            </w:r>
            <w:r w:rsidR="00AD651A" w:rsidRPr="00AD651A">
              <w:rPr>
                <w:b/>
                <w:lang w:val="fr-CA"/>
              </w:rPr>
              <w:instrText xml:space="preserve"> SEQ CHAPTER \h \r 1</w:instrText>
            </w:r>
            <w:r w:rsidRPr="00AD651A">
              <w:rPr>
                <w:b/>
                <w:lang w:val="en-US"/>
              </w:rPr>
              <w:fldChar w:fldCharType="end"/>
            </w:r>
            <w:r w:rsidRPr="00AD651A">
              <w:rPr>
                <w:b/>
                <w:lang w:val="en-US"/>
              </w:rPr>
              <w:fldChar w:fldCharType="begin"/>
            </w:r>
            <w:r w:rsidR="00AD651A" w:rsidRPr="00AD651A">
              <w:rPr>
                <w:b/>
                <w:lang w:val="fr-CA"/>
              </w:rPr>
              <w:instrText xml:space="preserve"> SEQ CHAPTER \h \r 1</w:instrText>
            </w:r>
            <w:r w:rsidRPr="00AD651A">
              <w:rPr>
                <w:b/>
                <w:lang w:val="en-US"/>
              </w:rPr>
              <w:fldChar w:fldCharType="end"/>
            </w:r>
          </w:p>
        </w:tc>
      </w:tr>
      <w:tr w:rsidR="00AD651A" w:rsidRPr="00AD651A" w:rsidTr="001C4AC6">
        <w:trPr>
          <w:trHeight w:val="150"/>
        </w:trPr>
        <w:tc>
          <w:tcPr>
            <w:tcW w:w="4338" w:type="dxa"/>
          </w:tcPr>
          <w:p w:rsidR="00AD651A" w:rsidRPr="00AD651A" w:rsidRDefault="00AD651A" w:rsidP="00AD651A">
            <w:pPr>
              <w:tabs>
                <w:tab w:val="left" w:pos="-1440"/>
                <w:tab w:val="left" w:pos="-720"/>
              </w:tabs>
              <w:jc w:val="both"/>
              <w:rPr>
                <w:lang w:val="fr-CA"/>
              </w:rPr>
            </w:pPr>
            <w:r w:rsidRPr="00AD651A">
              <w:rPr>
                <w:lang w:val="fr-CA"/>
              </w:rPr>
              <w:t>Saskatchewan Financial Services Commission et al.</w:t>
            </w:r>
          </w:p>
          <w:p w:rsidR="00AD651A" w:rsidRPr="00AD651A" w:rsidRDefault="00AD651A" w:rsidP="00AD651A">
            <w:pPr>
              <w:tabs>
                <w:tab w:val="left" w:pos="-1440"/>
                <w:tab w:val="left" w:pos="-720"/>
              </w:tabs>
              <w:jc w:val="both"/>
              <w:rPr>
                <w:lang w:val="fr-CA"/>
              </w:rPr>
            </w:pPr>
          </w:p>
          <w:p w:rsidR="00AD651A" w:rsidRPr="00AD651A" w:rsidRDefault="00AD651A" w:rsidP="00AD651A">
            <w:pPr>
              <w:tabs>
                <w:tab w:val="left" w:pos="-1440"/>
                <w:tab w:val="left" w:pos="-720"/>
              </w:tabs>
              <w:jc w:val="both"/>
              <w:rPr>
                <w:lang w:val="fr-CA"/>
              </w:rPr>
            </w:pPr>
            <w:r w:rsidRPr="00AD651A">
              <w:rPr>
                <w:lang w:val="fr-CA"/>
              </w:rPr>
              <w:tab/>
              <w:t>v. (34655)</w:t>
            </w:r>
          </w:p>
          <w:p w:rsidR="00AD651A" w:rsidRPr="00AD651A" w:rsidRDefault="00AD651A" w:rsidP="00AD651A">
            <w:pPr>
              <w:tabs>
                <w:tab w:val="left" w:pos="-1440"/>
                <w:tab w:val="left" w:pos="-720"/>
              </w:tabs>
              <w:jc w:val="both"/>
              <w:rPr>
                <w:lang w:val="fr-CA"/>
              </w:rPr>
            </w:pPr>
          </w:p>
          <w:p w:rsidR="00AD651A" w:rsidRPr="00AD651A" w:rsidRDefault="00AD651A" w:rsidP="00AD651A">
            <w:pPr>
              <w:tabs>
                <w:tab w:val="left" w:pos="-1440"/>
                <w:tab w:val="left" w:pos="-720"/>
              </w:tabs>
              <w:jc w:val="both"/>
              <w:rPr>
                <w:lang w:val="fr-CA"/>
              </w:rPr>
            </w:pPr>
            <w:r w:rsidRPr="00AD651A">
              <w:rPr>
                <w:lang w:val="fr-CA"/>
              </w:rPr>
              <w:t>Brian Norvel Mallard et al. (Sask.)</w:t>
            </w:r>
          </w:p>
        </w:tc>
        <w:tc>
          <w:tcPr>
            <w:tcW w:w="1170" w:type="dxa"/>
          </w:tcPr>
          <w:p w:rsidR="00AD651A" w:rsidRPr="00AD651A" w:rsidRDefault="00AD651A" w:rsidP="00AD651A">
            <w:pPr>
              <w:jc w:val="both"/>
              <w:rPr>
                <w:lang w:val="fr-CA"/>
              </w:rPr>
            </w:pPr>
          </w:p>
        </w:tc>
        <w:tc>
          <w:tcPr>
            <w:tcW w:w="4327" w:type="dxa"/>
          </w:tcPr>
          <w:p w:rsidR="00AD651A" w:rsidRPr="00AD651A" w:rsidRDefault="00AD651A" w:rsidP="00AD651A">
            <w:pPr>
              <w:jc w:val="both"/>
              <w:rPr>
                <w:lang w:val="fr-CA"/>
              </w:rPr>
            </w:pPr>
          </w:p>
        </w:tc>
      </w:tr>
    </w:tbl>
    <w:p w:rsidR="00AD651A" w:rsidRPr="00AD651A" w:rsidRDefault="00AD651A" w:rsidP="00AD651A">
      <w:pPr>
        <w:tabs>
          <w:tab w:val="left" w:pos="-1440"/>
          <w:tab w:val="left" w:pos="-720"/>
        </w:tabs>
        <w:jc w:val="both"/>
        <w:rPr>
          <w:rFonts w:eastAsia="Times New Roman" w:cs="Times New Roman"/>
          <w:b/>
          <w:sz w:val="20"/>
          <w:szCs w:val="20"/>
          <w:lang w:val="fr-CA" w:eastAsia="en-CA"/>
        </w:rPr>
      </w:pPr>
    </w:p>
    <w:p w:rsidR="00AD651A" w:rsidRPr="00AD651A" w:rsidRDefault="00AD651A" w:rsidP="00AD651A">
      <w:pPr>
        <w:tabs>
          <w:tab w:val="left" w:pos="-1440"/>
          <w:tab w:val="left" w:pos="-720"/>
        </w:tabs>
        <w:jc w:val="both"/>
        <w:rPr>
          <w:rFonts w:eastAsia="Times New Roman" w:cs="Times New Roman"/>
          <w:b/>
          <w:sz w:val="20"/>
          <w:szCs w:val="20"/>
          <w:lang w:val="fr-CA" w:eastAsia="en-CA"/>
        </w:rPr>
      </w:pPr>
      <w:r w:rsidRPr="00AD651A">
        <w:rPr>
          <w:rFonts w:eastAsia="Times New Roman" w:cs="Times New Roman"/>
          <w:b/>
          <w:sz w:val="20"/>
          <w:szCs w:val="20"/>
          <w:lang w:val="fr-CA" w:eastAsia="en-CA"/>
        </w:rPr>
        <w:t>GRANTED / ACCORDÉE</w:t>
      </w:r>
    </w:p>
    <w:p w:rsidR="00AD651A" w:rsidRPr="00AD651A" w:rsidRDefault="00AD651A" w:rsidP="00AD651A">
      <w:pPr>
        <w:tabs>
          <w:tab w:val="left" w:pos="-1440"/>
          <w:tab w:val="left" w:pos="-720"/>
        </w:tabs>
        <w:jc w:val="both"/>
        <w:rPr>
          <w:rFonts w:eastAsia="Times New Roman" w:cs="Times New Roman"/>
          <w:sz w:val="20"/>
          <w:szCs w:val="20"/>
          <w:lang w:val="fr-CA" w:eastAsia="en-CA"/>
        </w:rPr>
      </w:pPr>
    </w:p>
    <w:p w:rsidR="00AD651A" w:rsidRPr="00AD651A" w:rsidRDefault="00EB0F11" w:rsidP="00AD651A">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79" style="width:2in;height:1pt" o:hrpct="0" o:hralign="center" o:hrstd="t" o:hrnoshade="t" o:hr="t" fillcolor="black [3213]" stroked="f"/>
        </w:pict>
      </w:r>
    </w:p>
    <w:p w:rsidR="00AD651A" w:rsidRPr="00AD651A" w:rsidRDefault="00AD651A" w:rsidP="00AD651A">
      <w:pPr>
        <w:tabs>
          <w:tab w:val="left" w:pos="-1440"/>
          <w:tab w:val="left" w:pos="-720"/>
        </w:tabs>
        <w:jc w:val="both"/>
        <w:rPr>
          <w:rFonts w:eastAsia="Times New Roman" w:cs="Times New Roman"/>
          <w:sz w:val="20"/>
          <w:szCs w:val="20"/>
          <w:lang w:val="fr-CA"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83"/>
          <w:headerReference w:type="default" r:id="rId84"/>
          <w:footerReference w:type="even" r:id="rId85"/>
          <w:footerReference w:type="default" r:id="rId86"/>
          <w:headerReference w:type="first" r:id="rId87"/>
          <w:footerReference w:type="first" r:id="rId88"/>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EB0F11"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10587F" w:rsidRPr="003B3977" w:rsidTr="0010587F">
        <w:trPr>
          <w:cantSplit/>
        </w:trPr>
        <w:tc>
          <w:tcPr>
            <w:tcW w:w="2206" w:type="pct"/>
            <w:tcMar>
              <w:left w:w="0" w:type="dxa"/>
              <w:right w:w="0" w:type="dxa"/>
            </w:tcMar>
          </w:tcPr>
          <w:p w:rsidR="0010587F" w:rsidRPr="009C4053" w:rsidRDefault="009C4053" w:rsidP="003B3977">
            <w:pPr>
              <w:rPr>
                <w:sz w:val="20"/>
                <w:szCs w:val="20"/>
                <w:lang w:val="fr-CA"/>
              </w:rPr>
            </w:pPr>
            <w:r w:rsidRPr="009C4053">
              <w:rPr>
                <w:sz w:val="20"/>
                <w:szCs w:val="20"/>
                <w:lang w:val="fr-CA"/>
              </w:rPr>
              <w:t>12</w:t>
            </w:r>
            <w:r w:rsidR="0010587F" w:rsidRPr="009C4053">
              <w:rPr>
                <w:sz w:val="20"/>
                <w:szCs w:val="20"/>
                <w:lang w:val="fr-CA"/>
              </w:rPr>
              <w:t>.0</w:t>
            </w:r>
            <w:r w:rsidRPr="009C4053">
              <w:rPr>
                <w:sz w:val="20"/>
                <w:szCs w:val="20"/>
                <w:lang w:val="fr-CA"/>
              </w:rPr>
              <w:t>2</w:t>
            </w:r>
            <w:r w:rsidR="0010587F" w:rsidRPr="009C4053">
              <w:rPr>
                <w:sz w:val="20"/>
                <w:szCs w:val="20"/>
                <w:lang w:val="fr-CA"/>
              </w:rPr>
              <w:t>.201</w:t>
            </w:r>
            <w:r w:rsidRPr="009C4053">
              <w:rPr>
                <w:sz w:val="20"/>
                <w:szCs w:val="20"/>
                <w:lang w:val="fr-CA"/>
              </w:rPr>
              <w:t>4</w:t>
            </w:r>
          </w:p>
          <w:p w:rsidR="0010587F" w:rsidRPr="009C4053" w:rsidRDefault="0010587F" w:rsidP="003B3977">
            <w:pPr>
              <w:rPr>
                <w:sz w:val="20"/>
                <w:szCs w:val="20"/>
                <w:lang w:val="fr-CA"/>
              </w:rPr>
            </w:pPr>
          </w:p>
          <w:p w:rsidR="0010587F" w:rsidRPr="009C4053" w:rsidRDefault="009C4053" w:rsidP="003B3977">
            <w:pPr>
              <w:rPr>
                <w:b/>
                <w:sz w:val="20"/>
                <w:szCs w:val="20"/>
                <w:lang w:val="fr-CA"/>
              </w:rPr>
            </w:pPr>
            <w:r w:rsidRPr="009C4053">
              <w:rPr>
                <w:b/>
                <w:sz w:val="20"/>
                <w:szCs w:val="20"/>
                <w:lang w:val="fr-CA"/>
              </w:rPr>
              <w:t>Mouvement la</w:t>
            </w:r>
            <w:r>
              <w:rPr>
                <w:b/>
                <w:sz w:val="20"/>
                <w:szCs w:val="20"/>
                <w:lang w:val="fr-CA"/>
              </w:rPr>
              <w:t>ï</w:t>
            </w:r>
            <w:r w:rsidRPr="009C4053">
              <w:rPr>
                <w:b/>
                <w:sz w:val="20"/>
                <w:szCs w:val="20"/>
                <w:lang w:val="fr-CA"/>
              </w:rPr>
              <w:t xml:space="preserve">que québecois </w:t>
            </w:r>
            <w:r w:rsidR="0010587F" w:rsidRPr="009C4053">
              <w:rPr>
                <w:b/>
                <w:sz w:val="20"/>
                <w:szCs w:val="20"/>
                <w:lang w:val="fr-CA"/>
              </w:rPr>
              <w:t>e</w:t>
            </w:r>
            <w:r w:rsidRPr="009C4053">
              <w:rPr>
                <w:b/>
                <w:sz w:val="20"/>
                <w:szCs w:val="20"/>
                <w:lang w:val="fr-CA"/>
              </w:rPr>
              <w:t>t</w:t>
            </w:r>
            <w:r w:rsidR="0010587F" w:rsidRPr="009C4053">
              <w:rPr>
                <w:b/>
                <w:sz w:val="20"/>
                <w:szCs w:val="20"/>
                <w:lang w:val="fr-CA"/>
              </w:rPr>
              <w:t xml:space="preserve"> a</w:t>
            </w:r>
            <w:r w:rsidRPr="009C4053">
              <w:rPr>
                <w:b/>
                <w:sz w:val="20"/>
                <w:szCs w:val="20"/>
                <w:lang w:val="fr-CA"/>
              </w:rPr>
              <w:t>utre</w:t>
            </w:r>
          </w:p>
          <w:p w:rsidR="0010587F" w:rsidRPr="009C4053" w:rsidRDefault="0010587F" w:rsidP="003B3977">
            <w:pPr>
              <w:rPr>
                <w:b/>
                <w:sz w:val="20"/>
                <w:szCs w:val="20"/>
                <w:lang w:val="fr-CA"/>
              </w:rPr>
            </w:pPr>
          </w:p>
          <w:p w:rsidR="0010587F" w:rsidRPr="00AD651A" w:rsidRDefault="0010587F" w:rsidP="003B3977">
            <w:pPr>
              <w:rPr>
                <w:b/>
                <w:sz w:val="20"/>
                <w:szCs w:val="20"/>
                <w:lang w:val="fr-CA"/>
              </w:rPr>
            </w:pPr>
            <w:r w:rsidRPr="009C4053">
              <w:rPr>
                <w:b/>
                <w:sz w:val="20"/>
                <w:szCs w:val="20"/>
                <w:lang w:val="fr-CA"/>
              </w:rPr>
              <w:tab/>
            </w:r>
            <w:r w:rsidR="009C4053" w:rsidRPr="00AD651A">
              <w:rPr>
                <w:b/>
                <w:sz w:val="20"/>
                <w:szCs w:val="20"/>
                <w:lang w:val="fr-CA"/>
              </w:rPr>
              <w:t>c</w:t>
            </w:r>
            <w:r w:rsidRPr="00AD651A">
              <w:rPr>
                <w:b/>
                <w:sz w:val="20"/>
                <w:szCs w:val="20"/>
                <w:lang w:val="fr-CA"/>
              </w:rPr>
              <w:t>. (3</w:t>
            </w:r>
            <w:r w:rsidR="009C4053" w:rsidRPr="00AD651A">
              <w:rPr>
                <w:b/>
                <w:sz w:val="20"/>
                <w:szCs w:val="20"/>
                <w:lang w:val="fr-CA"/>
              </w:rPr>
              <w:t>54</w:t>
            </w:r>
            <w:r w:rsidRPr="00AD651A">
              <w:rPr>
                <w:b/>
                <w:sz w:val="20"/>
                <w:szCs w:val="20"/>
                <w:lang w:val="fr-CA"/>
              </w:rPr>
              <w:t>9</w:t>
            </w:r>
            <w:r w:rsidR="009C4053" w:rsidRPr="00AD651A">
              <w:rPr>
                <w:b/>
                <w:sz w:val="20"/>
                <w:szCs w:val="20"/>
                <w:lang w:val="fr-CA"/>
              </w:rPr>
              <w:t>6</w:t>
            </w:r>
            <w:r w:rsidRPr="00AD651A">
              <w:rPr>
                <w:b/>
                <w:sz w:val="20"/>
                <w:szCs w:val="20"/>
                <w:lang w:val="fr-CA"/>
              </w:rPr>
              <w:t>)</w:t>
            </w:r>
          </w:p>
          <w:p w:rsidR="0010587F" w:rsidRPr="00AD651A" w:rsidRDefault="0010587F" w:rsidP="003B3977">
            <w:pPr>
              <w:rPr>
                <w:b/>
                <w:sz w:val="20"/>
                <w:szCs w:val="20"/>
                <w:lang w:val="fr-CA"/>
              </w:rPr>
            </w:pPr>
          </w:p>
          <w:p w:rsidR="0010587F" w:rsidRPr="009C4053" w:rsidRDefault="009C4053" w:rsidP="003B3977">
            <w:pPr>
              <w:rPr>
                <w:b/>
                <w:sz w:val="20"/>
                <w:szCs w:val="20"/>
                <w:lang w:val="fr-CA"/>
              </w:rPr>
            </w:pPr>
            <w:r w:rsidRPr="009C4053">
              <w:rPr>
                <w:b/>
                <w:sz w:val="20"/>
                <w:szCs w:val="20"/>
                <w:lang w:val="fr-CA"/>
              </w:rPr>
              <w:t>Ville d</w:t>
            </w:r>
            <w:r w:rsidR="0010587F" w:rsidRPr="009C4053">
              <w:rPr>
                <w:b/>
                <w:sz w:val="20"/>
                <w:szCs w:val="20"/>
                <w:lang w:val="fr-CA"/>
              </w:rPr>
              <w:t>e</w:t>
            </w:r>
            <w:r w:rsidRPr="009C4053">
              <w:rPr>
                <w:b/>
                <w:sz w:val="20"/>
                <w:szCs w:val="20"/>
                <w:lang w:val="fr-CA"/>
              </w:rPr>
              <w:t xml:space="preserve"> S</w:t>
            </w:r>
            <w:r w:rsidR="0010587F" w:rsidRPr="009C4053">
              <w:rPr>
                <w:b/>
                <w:sz w:val="20"/>
                <w:szCs w:val="20"/>
                <w:lang w:val="fr-CA"/>
              </w:rPr>
              <w:t>a</w:t>
            </w:r>
            <w:r w:rsidRPr="009C4053">
              <w:rPr>
                <w:b/>
                <w:sz w:val="20"/>
                <w:szCs w:val="20"/>
                <w:lang w:val="fr-CA"/>
              </w:rPr>
              <w:t>gu</w:t>
            </w:r>
            <w:r w:rsidR="0010587F" w:rsidRPr="009C4053">
              <w:rPr>
                <w:b/>
                <w:sz w:val="20"/>
                <w:szCs w:val="20"/>
                <w:lang w:val="fr-CA"/>
              </w:rPr>
              <w:t>e</w:t>
            </w:r>
            <w:r w:rsidRPr="009C4053">
              <w:rPr>
                <w:b/>
                <w:sz w:val="20"/>
                <w:szCs w:val="20"/>
                <w:lang w:val="fr-CA"/>
              </w:rPr>
              <w:t>na</w:t>
            </w:r>
            <w:r w:rsidR="0010587F" w:rsidRPr="009C4053">
              <w:rPr>
                <w:b/>
                <w:sz w:val="20"/>
                <w:szCs w:val="20"/>
                <w:lang w:val="fr-CA"/>
              </w:rPr>
              <w:t xml:space="preserve">y </w:t>
            </w:r>
            <w:r w:rsidRPr="009C4053">
              <w:rPr>
                <w:b/>
                <w:sz w:val="20"/>
                <w:szCs w:val="20"/>
                <w:lang w:val="fr-CA"/>
              </w:rPr>
              <w:t>e</w:t>
            </w:r>
            <w:r w:rsidR="0010587F" w:rsidRPr="009C4053">
              <w:rPr>
                <w:b/>
                <w:sz w:val="20"/>
                <w:szCs w:val="20"/>
                <w:lang w:val="fr-CA"/>
              </w:rPr>
              <w:t>t</w:t>
            </w:r>
            <w:r w:rsidRPr="009C4053">
              <w:rPr>
                <w:b/>
                <w:sz w:val="20"/>
                <w:szCs w:val="20"/>
                <w:lang w:val="fr-CA"/>
              </w:rPr>
              <w:t xml:space="preserve"> autr</w:t>
            </w:r>
            <w:r w:rsidR="0010587F" w:rsidRPr="009C4053">
              <w:rPr>
                <w:b/>
                <w:sz w:val="20"/>
                <w:szCs w:val="20"/>
                <w:lang w:val="fr-CA"/>
              </w:rPr>
              <w:t>e (</w:t>
            </w:r>
            <w:r w:rsidRPr="009C4053">
              <w:rPr>
                <w:b/>
                <w:sz w:val="20"/>
                <w:szCs w:val="20"/>
                <w:lang w:val="fr-CA"/>
              </w:rPr>
              <w:t>Qc</w:t>
            </w:r>
            <w:r w:rsidR="0010587F" w:rsidRPr="009C4053">
              <w:rPr>
                <w:b/>
                <w:sz w:val="20"/>
                <w:szCs w:val="20"/>
                <w:lang w:val="fr-CA"/>
              </w:rPr>
              <w:t>)</w:t>
            </w:r>
          </w:p>
          <w:p w:rsidR="0010587F" w:rsidRPr="009C4053" w:rsidRDefault="0010587F" w:rsidP="003B3977">
            <w:pPr>
              <w:rPr>
                <w:sz w:val="20"/>
                <w:szCs w:val="20"/>
                <w:lang w:val="fr-CA"/>
              </w:rPr>
            </w:pPr>
          </w:p>
          <w:p w:rsidR="0010587F" w:rsidRPr="003B3977" w:rsidRDefault="0010587F" w:rsidP="003B3977">
            <w:pPr>
              <w:rPr>
                <w:sz w:val="20"/>
                <w:szCs w:val="20"/>
              </w:rPr>
            </w:pPr>
            <w:r w:rsidRPr="003B3977">
              <w:rPr>
                <w:sz w:val="20"/>
                <w:szCs w:val="20"/>
              </w:rPr>
              <w:t>(A</w:t>
            </w:r>
            <w:r w:rsidR="009C4053">
              <w:rPr>
                <w:sz w:val="20"/>
                <w:szCs w:val="20"/>
              </w:rPr>
              <w:t>utori</w:t>
            </w:r>
            <w:r w:rsidRPr="003B3977">
              <w:rPr>
                <w:sz w:val="20"/>
                <w:szCs w:val="20"/>
              </w:rPr>
              <w:t>s</w:t>
            </w:r>
            <w:r w:rsidR="009C4053">
              <w:rPr>
                <w:sz w:val="20"/>
                <w:szCs w:val="20"/>
              </w:rPr>
              <w:t>at</w:t>
            </w:r>
            <w:r w:rsidRPr="003B3977">
              <w:rPr>
                <w:sz w:val="20"/>
                <w:szCs w:val="20"/>
              </w:rPr>
              <w:t>i</w:t>
            </w:r>
            <w:r w:rsidR="009C4053">
              <w:rPr>
                <w:sz w:val="20"/>
                <w:szCs w:val="20"/>
              </w:rPr>
              <w:t>on</w:t>
            </w:r>
            <w:r w:rsidRPr="003B3977">
              <w:rPr>
                <w:sz w:val="20"/>
                <w:szCs w:val="20"/>
              </w:rPr>
              <w:t>)</w:t>
            </w:r>
          </w:p>
          <w:p w:rsidR="0010587F" w:rsidRPr="003B3977" w:rsidRDefault="0010587F" w:rsidP="003B3977">
            <w:pPr>
              <w:rPr>
                <w:sz w:val="20"/>
                <w:szCs w:val="20"/>
              </w:rPr>
            </w:pPr>
          </w:p>
          <w:p w:rsidR="0010587F" w:rsidRPr="003B3977" w:rsidRDefault="00EB0F11" w:rsidP="003B3977">
            <w:pPr>
              <w:rPr>
                <w:sz w:val="20"/>
                <w:szCs w:val="20"/>
                <w:lang w:val="fr-CA"/>
              </w:rPr>
            </w:pPr>
            <w:r>
              <w:rPr>
                <w:sz w:val="20"/>
                <w:szCs w:val="20"/>
                <w:lang w:val="fr-CA"/>
              </w:rPr>
              <w:pict>
                <v:rect id="_x0000_i1082"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AD651A" w:rsidRDefault="009C4053" w:rsidP="003B3977">
            <w:pPr>
              <w:rPr>
                <w:sz w:val="20"/>
                <w:szCs w:val="20"/>
                <w:lang w:val="fr-CA"/>
              </w:rPr>
            </w:pPr>
            <w:r w:rsidRPr="00AD651A">
              <w:rPr>
                <w:sz w:val="20"/>
                <w:szCs w:val="20"/>
                <w:lang w:val="fr-CA"/>
              </w:rPr>
              <w:t>14</w:t>
            </w:r>
            <w:r w:rsidR="0010587F" w:rsidRPr="00AD651A">
              <w:rPr>
                <w:sz w:val="20"/>
                <w:szCs w:val="20"/>
                <w:lang w:val="fr-CA"/>
              </w:rPr>
              <w:t>.0</w:t>
            </w:r>
            <w:r w:rsidRPr="00AD651A">
              <w:rPr>
                <w:sz w:val="20"/>
                <w:szCs w:val="20"/>
                <w:lang w:val="fr-CA"/>
              </w:rPr>
              <w:t>2</w:t>
            </w:r>
            <w:r w:rsidR="0010587F" w:rsidRPr="00AD651A">
              <w:rPr>
                <w:sz w:val="20"/>
                <w:szCs w:val="20"/>
                <w:lang w:val="fr-CA"/>
              </w:rPr>
              <w:t>.201</w:t>
            </w:r>
            <w:r w:rsidRPr="00AD651A">
              <w:rPr>
                <w:sz w:val="20"/>
                <w:szCs w:val="20"/>
                <w:lang w:val="fr-CA"/>
              </w:rPr>
              <w:t>4</w:t>
            </w:r>
          </w:p>
          <w:p w:rsidR="0010587F" w:rsidRPr="00AD651A" w:rsidRDefault="0010587F" w:rsidP="003B3977">
            <w:pPr>
              <w:rPr>
                <w:sz w:val="20"/>
                <w:szCs w:val="20"/>
                <w:lang w:val="fr-CA"/>
              </w:rPr>
            </w:pPr>
          </w:p>
          <w:p w:rsidR="0010587F" w:rsidRPr="00AD651A" w:rsidRDefault="009C4053" w:rsidP="003B3977">
            <w:pPr>
              <w:rPr>
                <w:b/>
                <w:sz w:val="20"/>
                <w:szCs w:val="20"/>
                <w:lang w:val="fr-CA"/>
              </w:rPr>
            </w:pPr>
            <w:r w:rsidRPr="00AD651A">
              <w:rPr>
                <w:b/>
                <w:sz w:val="20"/>
                <w:szCs w:val="20"/>
                <w:lang w:val="fr-CA"/>
              </w:rPr>
              <w:t>Lee Carter et al.</w:t>
            </w:r>
          </w:p>
          <w:p w:rsidR="0010587F" w:rsidRPr="00AD651A" w:rsidRDefault="0010587F" w:rsidP="003B3977">
            <w:pPr>
              <w:rPr>
                <w:b/>
                <w:sz w:val="20"/>
                <w:szCs w:val="20"/>
                <w:lang w:val="fr-CA"/>
              </w:rPr>
            </w:pPr>
          </w:p>
          <w:p w:rsidR="0010587F" w:rsidRPr="00AD651A" w:rsidRDefault="0010587F" w:rsidP="003B3977">
            <w:pPr>
              <w:rPr>
                <w:b/>
                <w:sz w:val="20"/>
                <w:szCs w:val="20"/>
                <w:lang w:val="fr-CA"/>
              </w:rPr>
            </w:pPr>
            <w:r w:rsidRPr="00AD651A">
              <w:rPr>
                <w:b/>
                <w:sz w:val="20"/>
                <w:szCs w:val="20"/>
                <w:lang w:val="fr-CA"/>
              </w:rPr>
              <w:tab/>
              <w:t>v. (3</w:t>
            </w:r>
            <w:r w:rsidR="009C4053" w:rsidRPr="00AD651A">
              <w:rPr>
                <w:b/>
                <w:sz w:val="20"/>
                <w:szCs w:val="20"/>
                <w:lang w:val="fr-CA"/>
              </w:rPr>
              <w:t>55</w:t>
            </w:r>
            <w:r w:rsidRPr="00AD651A">
              <w:rPr>
                <w:b/>
                <w:sz w:val="20"/>
                <w:szCs w:val="20"/>
                <w:lang w:val="fr-CA"/>
              </w:rPr>
              <w:t>9</w:t>
            </w:r>
            <w:r w:rsidR="009C4053" w:rsidRPr="00AD651A">
              <w:rPr>
                <w:b/>
                <w:sz w:val="20"/>
                <w:szCs w:val="20"/>
                <w:lang w:val="fr-CA"/>
              </w:rPr>
              <w:t>1</w:t>
            </w:r>
            <w:r w:rsidRPr="00AD651A">
              <w:rPr>
                <w:b/>
                <w:sz w:val="20"/>
                <w:szCs w:val="20"/>
                <w:lang w:val="fr-CA"/>
              </w:rPr>
              <w:t>)</w:t>
            </w:r>
          </w:p>
          <w:p w:rsidR="0010587F" w:rsidRPr="00AD651A" w:rsidRDefault="0010587F" w:rsidP="003B3977">
            <w:pPr>
              <w:rPr>
                <w:b/>
                <w:sz w:val="20"/>
                <w:szCs w:val="20"/>
                <w:lang w:val="fr-CA"/>
              </w:rPr>
            </w:pPr>
          </w:p>
          <w:p w:rsidR="0010587F" w:rsidRPr="009C4053" w:rsidRDefault="009C4053" w:rsidP="003B3977">
            <w:pPr>
              <w:rPr>
                <w:b/>
                <w:sz w:val="20"/>
                <w:szCs w:val="20"/>
              </w:rPr>
            </w:pPr>
            <w:r>
              <w:rPr>
                <w:b/>
                <w:sz w:val="20"/>
                <w:szCs w:val="20"/>
              </w:rPr>
              <w:t>Atto</w:t>
            </w:r>
            <w:r w:rsidRPr="003B3977">
              <w:rPr>
                <w:b/>
                <w:sz w:val="20"/>
                <w:szCs w:val="20"/>
              </w:rPr>
              <w:t>r</w:t>
            </w:r>
            <w:r>
              <w:rPr>
                <w:b/>
                <w:sz w:val="20"/>
                <w:szCs w:val="20"/>
              </w:rPr>
              <w:t>n</w:t>
            </w:r>
            <w:r w:rsidRPr="003B3977">
              <w:rPr>
                <w:b/>
                <w:sz w:val="20"/>
                <w:szCs w:val="20"/>
              </w:rPr>
              <w:t xml:space="preserve">ey </w:t>
            </w:r>
            <w:r>
              <w:rPr>
                <w:b/>
                <w:sz w:val="20"/>
                <w:szCs w:val="20"/>
              </w:rPr>
              <w:t>G</w:t>
            </w:r>
            <w:r w:rsidRPr="003B3977">
              <w:rPr>
                <w:b/>
                <w:sz w:val="20"/>
                <w:szCs w:val="20"/>
              </w:rPr>
              <w:t>e</w:t>
            </w:r>
            <w:r>
              <w:rPr>
                <w:b/>
                <w:sz w:val="20"/>
                <w:szCs w:val="20"/>
              </w:rPr>
              <w:t>n</w:t>
            </w:r>
            <w:r w:rsidRPr="003B3977">
              <w:rPr>
                <w:b/>
                <w:sz w:val="20"/>
                <w:szCs w:val="20"/>
              </w:rPr>
              <w:t>e</w:t>
            </w:r>
            <w:r>
              <w:rPr>
                <w:b/>
                <w:sz w:val="20"/>
                <w:szCs w:val="20"/>
              </w:rPr>
              <w:t xml:space="preserve">ral of </w:t>
            </w:r>
            <w:r w:rsidR="00DE114D">
              <w:rPr>
                <w:b/>
                <w:sz w:val="20"/>
                <w:szCs w:val="20"/>
              </w:rPr>
              <w:t>British Columbi</w:t>
            </w:r>
            <w:r>
              <w:rPr>
                <w:b/>
                <w:sz w:val="20"/>
                <w:szCs w:val="20"/>
              </w:rPr>
              <w:t>a et al.</w:t>
            </w:r>
            <w:r w:rsidR="0010587F" w:rsidRPr="009C4053">
              <w:rPr>
                <w:b/>
                <w:sz w:val="20"/>
                <w:szCs w:val="20"/>
              </w:rPr>
              <w:t xml:space="preserve"> (</w:t>
            </w:r>
            <w:r w:rsidRPr="009C4053">
              <w:rPr>
                <w:b/>
                <w:sz w:val="20"/>
                <w:szCs w:val="20"/>
              </w:rPr>
              <w:t>B.C</w:t>
            </w:r>
            <w:r w:rsidR="0010587F" w:rsidRPr="009C4053">
              <w:rPr>
                <w:b/>
                <w:sz w:val="20"/>
                <w:szCs w:val="20"/>
              </w:rPr>
              <w:t>.)</w:t>
            </w:r>
          </w:p>
          <w:p w:rsidR="0010587F" w:rsidRPr="009C4053" w:rsidRDefault="0010587F" w:rsidP="003B3977">
            <w:pPr>
              <w:rPr>
                <w:sz w:val="20"/>
                <w:szCs w:val="20"/>
              </w:rPr>
            </w:pPr>
          </w:p>
          <w:p w:rsidR="0010587F" w:rsidRPr="003B3977" w:rsidRDefault="0010587F" w:rsidP="003B3977">
            <w:pPr>
              <w:rPr>
                <w:sz w:val="20"/>
                <w:szCs w:val="20"/>
              </w:rPr>
            </w:pPr>
            <w:r w:rsidRPr="003B3977">
              <w:rPr>
                <w:sz w:val="20"/>
                <w:szCs w:val="20"/>
              </w:rPr>
              <w:t>(</w:t>
            </w:r>
            <w:r w:rsidR="009C4053">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EB0F11" w:rsidP="003B3977">
            <w:pPr>
              <w:rPr>
                <w:sz w:val="20"/>
                <w:szCs w:val="20"/>
              </w:rPr>
            </w:pPr>
            <w:r>
              <w:rPr>
                <w:sz w:val="20"/>
                <w:szCs w:val="20"/>
                <w:lang w:val="fr-CA"/>
              </w:rPr>
              <w:pict>
                <v:rect id="_x0000_i1083" style="width:106.1pt;height:1pt" o:hrpct="500" o:hralign="center" o:hrstd="t" o:hrnoshade="t" o:hr="t" fillcolor="black [3213]" stroked="f"/>
              </w:pict>
            </w: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89"/>
          <w:headerReference w:type="default" r:id="rId90"/>
          <w:footerReference w:type="even" r:id="rId91"/>
          <w:footerReference w:type="default" r:id="rId92"/>
          <w:headerReference w:type="first" r:id="rId93"/>
          <w:footerReference w:type="first" r:id="rId9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EB0F11"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32DB7" w:rsidRPr="00C50A5C" w:rsidRDefault="00A51A60" w:rsidP="00732DB7">
      <w:pPr>
        <w:widowControl w:val="0"/>
        <w:rPr>
          <w:sz w:val="20"/>
          <w:szCs w:val="20"/>
        </w:rPr>
      </w:pPr>
      <w:r>
        <w:rPr>
          <w:sz w:val="20"/>
          <w:szCs w:val="20"/>
        </w:rPr>
        <w:t>17</w:t>
      </w:r>
      <w:r w:rsidR="00732DB7" w:rsidRPr="00C50A5C">
        <w:rPr>
          <w:sz w:val="20"/>
          <w:szCs w:val="20"/>
        </w:rPr>
        <w:t>.0</w:t>
      </w:r>
      <w:r>
        <w:rPr>
          <w:sz w:val="20"/>
          <w:szCs w:val="20"/>
        </w:rPr>
        <w:t>2</w:t>
      </w:r>
      <w:r w:rsidR="00732DB7" w:rsidRPr="00C50A5C">
        <w:rPr>
          <w:sz w:val="20"/>
          <w:szCs w:val="20"/>
        </w:rPr>
        <w:t>.201</w:t>
      </w:r>
      <w:r>
        <w:rPr>
          <w:sz w:val="20"/>
          <w:szCs w:val="20"/>
        </w:rPr>
        <w:t>4</w:t>
      </w:r>
    </w:p>
    <w:p w:rsidR="00732DB7" w:rsidRDefault="00732DB7" w:rsidP="00732DB7">
      <w:pPr>
        <w:widowControl w:val="0"/>
        <w:rPr>
          <w:sz w:val="20"/>
          <w:szCs w:val="20"/>
        </w:rPr>
      </w:pPr>
    </w:p>
    <w:p w:rsidR="00A51A60" w:rsidRPr="00F04C2A" w:rsidRDefault="00A51A60" w:rsidP="00A51A60">
      <w:pPr>
        <w:widowControl w:val="0"/>
        <w:ind w:left="720" w:hanging="720"/>
        <w:rPr>
          <w:sz w:val="20"/>
          <w:szCs w:val="20"/>
          <w:u w:val="single"/>
        </w:rPr>
      </w:pPr>
      <w:r w:rsidRPr="00F04C2A">
        <w:rPr>
          <w:sz w:val="20"/>
          <w:szCs w:val="20"/>
        </w:rPr>
        <w:t xml:space="preserve">Coram: </w:t>
      </w:r>
      <w:r w:rsidRPr="00F04C2A">
        <w:rPr>
          <w:sz w:val="20"/>
          <w:szCs w:val="20"/>
        </w:rPr>
        <w:tab/>
      </w:r>
      <w:r w:rsidRPr="00F04C2A">
        <w:rPr>
          <w:sz w:val="20"/>
          <w:szCs w:val="20"/>
          <w:u w:val="single"/>
        </w:rPr>
        <w:t>LeBel, Cromwell, Moldaver, Karakatsanis and Wagner JJ.</w:t>
      </w:r>
    </w:p>
    <w:p w:rsidR="00732DB7" w:rsidRPr="00C50A5C" w:rsidRDefault="00732DB7" w:rsidP="00732DB7">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32DB7" w:rsidRPr="00C50A5C" w:rsidTr="00697C62">
        <w:tc>
          <w:tcPr>
            <w:tcW w:w="4380" w:type="dxa"/>
            <w:tcMar>
              <w:left w:w="0" w:type="dxa"/>
              <w:right w:w="0" w:type="dxa"/>
            </w:tcMar>
          </w:tcPr>
          <w:p w:rsidR="00A51A60" w:rsidRDefault="00A51A60" w:rsidP="00C1697B">
            <w:pPr>
              <w:widowControl w:val="0"/>
              <w:jc w:val="both"/>
              <w:rPr>
                <w:b/>
                <w:sz w:val="20"/>
                <w:szCs w:val="20"/>
              </w:rPr>
            </w:pPr>
            <w:r w:rsidRPr="00F04C2A">
              <w:rPr>
                <w:b/>
                <w:sz w:val="20"/>
                <w:szCs w:val="20"/>
              </w:rPr>
              <w:t xml:space="preserve">Vittorio Thomas Flaviano </w:t>
            </w:r>
          </w:p>
          <w:p w:rsidR="00A51A60" w:rsidRDefault="00A51A60" w:rsidP="00C1697B">
            <w:pPr>
              <w:widowControl w:val="0"/>
              <w:jc w:val="both"/>
              <w:rPr>
                <w:b/>
                <w:sz w:val="20"/>
                <w:szCs w:val="20"/>
              </w:rPr>
            </w:pPr>
          </w:p>
          <w:p w:rsidR="00A51A60" w:rsidRDefault="00A51A60" w:rsidP="00C1697B">
            <w:pPr>
              <w:widowControl w:val="0"/>
              <w:jc w:val="both"/>
              <w:rPr>
                <w:b/>
                <w:sz w:val="20"/>
                <w:szCs w:val="20"/>
              </w:rPr>
            </w:pPr>
            <w:r>
              <w:rPr>
                <w:b/>
                <w:sz w:val="20"/>
                <w:szCs w:val="20"/>
              </w:rPr>
              <w:tab/>
            </w:r>
            <w:r w:rsidRPr="00F04C2A">
              <w:rPr>
                <w:b/>
                <w:sz w:val="20"/>
                <w:szCs w:val="20"/>
              </w:rPr>
              <w:t xml:space="preserve">v. </w:t>
            </w:r>
            <w:r w:rsidRPr="00F04C2A">
              <w:rPr>
                <w:sz w:val="20"/>
                <w:szCs w:val="20"/>
              </w:rPr>
              <w:t>(</w:t>
            </w:r>
            <w:hyperlink r:id="rId95" w:history="1">
              <w:r w:rsidRPr="00F04C2A">
                <w:rPr>
                  <w:rStyle w:val="Hyperlink"/>
                  <w:sz w:val="20"/>
                  <w:szCs w:val="20"/>
                </w:rPr>
                <w:t>35488</w:t>
              </w:r>
            </w:hyperlink>
            <w:r w:rsidRPr="00F04C2A">
              <w:rPr>
                <w:sz w:val="20"/>
                <w:szCs w:val="20"/>
              </w:rPr>
              <w:t>)</w:t>
            </w:r>
          </w:p>
          <w:p w:rsidR="00A51A60" w:rsidRDefault="00A51A60" w:rsidP="00C1697B">
            <w:pPr>
              <w:widowControl w:val="0"/>
              <w:jc w:val="both"/>
              <w:rPr>
                <w:b/>
                <w:sz w:val="20"/>
                <w:szCs w:val="20"/>
              </w:rPr>
            </w:pPr>
          </w:p>
          <w:p w:rsidR="00732DB7" w:rsidRPr="00C50A5C" w:rsidRDefault="00A51A60" w:rsidP="002A3F03">
            <w:pPr>
              <w:widowControl w:val="0"/>
              <w:jc w:val="both"/>
              <w:rPr>
                <w:sz w:val="20"/>
                <w:szCs w:val="20"/>
                <w:lang w:val="fr-CA"/>
              </w:rPr>
            </w:pPr>
            <w:r w:rsidRPr="00F04C2A">
              <w:rPr>
                <w:b/>
                <w:sz w:val="20"/>
                <w:szCs w:val="20"/>
              </w:rPr>
              <w:t>Her Majesty the Queen (Alta.) (Criminal) (As</w:t>
            </w:r>
            <w:r w:rsidR="002A3F03">
              <w:rPr>
                <w:b/>
                <w:sz w:val="20"/>
                <w:szCs w:val="20"/>
              </w:rPr>
              <w:t> </w:t>
            </w:r>
            <w:r w:rsidRPr="00F04C2A">
              <w:rPr>
                <w:b/>
                <w:sz w:val="20"/>
                <w:szCs w:val="20"/>
              </w:rPr>
              <w:t>of</w:t>
            </w:r>
            <w:r w:rsidR="002A3F03">
              <w:rPr>
                <w:b/>
                <w:sz w:val="20"/>
                <w:szCs w:val="20"/>
              </w:rPr>
              <w:t> </w:t>
            </w:r>
            <w:r w:rsidRPr="00F04C2A">
              <w:rPr>
                <w:b/>
                <w:sz w:val="20"/>
                <w:szCs w:val="20"/>
              </w:rPr>
              <w:t>Right)</w:t>
            </w:r>
            <w:r w:rsidRPr="00F04C2A">
              <w:rPr>
                <w:sz w:val="20"/>
                <w:szCs w:val="20"/>
              </w:rPr>
              <w:t xml:space="preserve"> </w:t>
            </w:r>
          </w:p>
        </w:tc>
        <w:tc>
          <w:tcPr>
            <w:tcW w:w="720" w:type="dxa"/>
            <w:tcMar>
              <w:left w:w="0" w:type="dxa"/>
              <w:right w:w="0" w:type="dxa"/>
            </w:tcMar>
          </w:tcPr>
          <w:p w:rsidR="00732DB7" w:rsidRPr="00C50A5C" w:rsidRDefault="00732DB7" w:rsidP="00732DB7">
            <w:pPr>
              <w:widowControl w:val="0"/>
              <w:jc w:val="center"/>
              <w:rPr>
                <w:sz w:val="20"/>
                <w:szCs w:val="20"/>
                <w:lang w:val="fr-CA"/>
              </w:rPr>
            </w:pPr>
          </w:p>
        </w:tc>
        <w:tc>
          <w:tcPr>
            <w:tcW w:w="4380" w:type="dxa"/>
            <w:tcMar>
              <w:left w:w="0" w:type="dxa"/>
              <w:right w:w="0" w:type="dxa"/>
            </w:tcMar>
          </w:tcPr>
          <w:p w:rsidR="002A3F03" w:rsidRDefault="002A3F03" w:rsidP="002A3F03">
            <w:pPr>
              <w:tabs>
                <w:tab w:val="left" w:pos="-2970"/>
              </w:tabs>
              <w:jc w:val="both"/>
              <w:rPr>
                <w:sz w:val="20"/>
                <w:szCs w:val="20"/>
                <w:lang w:val="en-US"/>
              </w:rPr>
            </w:pPr>
            <w:r w:rsidRPr="00C77274">
              <w:rPr>
                <w:sz w:val="20"/>
                <w:szCs w:val="20"/>
                <w:lang w:val="en-US"/>
              </w:rPr>
              <w:t xml:space="preserve">Alain Hepner, Q.C. </w:t>
            </w:r>
            <w:r>
              <w:rPr>
                <w:sz w:val="20"/>
                <w:szCs w:val="20"/>
                <w:lang w:val="en-US"/>
              </w:rPr>
              <w:t>f</w:t>
            </w:r>
            <w:r w:rsidRPr="00C77274">
              <w:rPr>
                <w:sz w:val="20"/>
                <w:szCs w:val="20"/>
                <w:lang w:val="en-US"/>
              </w:rPr>
              <w:t xml:space="preserve">or the </w:t>
            </w:r>
            <w:r>
              <w:rPr>
                <w:sz w:val="20"/>
                <w:szCs w:val="20"/>
                <w:lang w:val="en-US"/>
              </w:rPr>
              <w:t>a</w:t>
            </w:r>
            <w:r w:rsidRPr="00C77274">
              <w:rPr>
                <w:sz w:val="20"/>
                <w:szCs w:val="20"/>
                <w:lang w:val="en-US"/>
              </w:rPr>
              <w:t>ppellant</w:t>
            </w:r>
            <w:r>
              <w:rPr>
                <w:sz w:val="20"/>
                <w:szCs w:val="20"/>
                <w:lang w:val="en-US"/>
              </w:rPr>
              <w:t>.</w:t>
            </w:r>
          </w:p>
          <w:p w:rsidR="002A3F03" w:rsidRPr="00C77274" w:rsidRDefault="002A3F03" w:rsidP="002A3F03">
            <w:pPr>
              <w:tabs>
                <w:tab w:val="left" w:pos="-2970"/>
              </w:tabs>
              <w:jc w:val="both"/>
              <w:rPr>
                <w:sz w:val="20"/>
                <w:szCs w:val="20"/>
                <w:lang w:val="en-US"/>
              </w:rPr>
            </w:pPr>
          </w:p>
          <w:p w:rsidR="00732DB7" w:rsidRPr="00C50A5C" w:rsidRDefault="002A3F03" w:rsidP="002A3F03">
            <w:pPr>
              <w:widowControl w:val="0"/>
              <w:jc w:val="both"/>
              <w:rPr>
                <w:sz w:val="20"/>
                <w:szCs w:val="20"/>
              </w:rPr>
            </w:pPr>
            <w:r w:rsidRPr="00C77274">
              <w:rPr>
                <w:sz w:val="20"/>
                <w:szCs w:val="20"/>
                <w:lang w:val="en-US"/>
              </w:rPr>
              <w:t xml:space="preserve">Christine Rideout </w:t>
            </w:r>
            <w:r>
              <w:rPr>
                <w:sz w:val="20"/>
                <w:szCs w:val="20"/>
                <w:lang w:val="en-US"/>
              </w:rPr>
              <w:t>f</w:t>
            </w:r>
            <w:r w:rsidRPr="00C77274">
              <w:rPr>
                <w:sz w:val="20"/>
                <w:szCs w:val="20"/>
                <w:lang w:val="en-US"/>
              </w:rPr>
              <w:t xml:space="preserve">or the </w:t>
            </w:r>
            <w:r>
              <w:rPr>
                <w:sz w:val="20"/>
                <w:szCs w:val="20"/>
                <w:lang w:val="en-US"/>
              </w:rPr>
              <w:t>r</w:t>
            </w:r>
            <w:r w:rsidRPr="00C77274">
              <w:rPr>
                <w:sz w:val="20"/>
                <w:szCs w:val="20"/>
                <w:lang w:val="en-US"/>
              </w:rPr>
              <w:t>espondent</w:t>
            </w:r>
            <w:r>
              <w:rPr>
                <w:sz w:val="20"/>
                <w:szCs w:val="20"/>
                <w:lang w:val="en-US"/>
              </w:rPr>
              <w:t>.</w:t>
            </w:r>
          </w:p>
        </w:tc>
      </w:tr>
    </w:tbl>
    <w:p w:rsidR="00C1697B" w:rsidRDefault="00C1697B" w:rsidP="00C1697B">
      <w:pPr>
        <w:widowControl w:val="0"/>
      </w:pPr>
    </w:p>
    <w:p w:rsidR="00A51A60" w:rsidRPr="00F04C2A" w:rsidRDefault="00A51A60" w:rsidP="00A51A60">
      <w:pPr>
        <w:widowControl w:val="0"/>
        <w:rPr>
          <w:b/>
          <w:sz w:val="20"/>
          <w:szCs w:val="20"/>
        </w:rPr>
      </w:pPr>
      <w:r w:rsidRPr="00F04C2A">
        <w:rPr>
          <w:b/>
          <w:sz w:val="20"/>
          <w:szCs w:val="20"/>
        </w:rPr>
        <w:t>2014 SCC 14 / 2014 CSC 14</w:t>
      </w:r>
    </w:p>
    <w:p w:rsidR="00A51A60" w:rsidRDefault="00A51A60" w:rsidP="00C1697B">
      <w:pPr>
        <w:widowControl w:val="0"/>
        <w:rPr>
          <w:b/>
          <w:sz w:val="20"/>
          <w:szCs w:val="20"/>
        </w:rPr>
      </w:pPr>
    </w:p>
    <w:p w:rsidR="00A51A60" w:rsidRPr="00F04C2A" w:rsidRDefault="00A51A60" w:rsidP="00A51A60">
      <w:pPr>
        <w:widowControl w:val="0"/>
        <w:rPr>
          <w:sz w:val="20"/>
          <w:szCs w:val="20"/>
        </w:rPr>
      </w:pPr>
      <w:r w:rsidRPr="00F04C2A">
        <w:rPr>
          <w:b/>
          <w:sz w:val="20"/>
          <w:szCs w:val="20"/>
        </w:rPr>
        <w:t>DISMISSED / REJETÉ</w:t>
      </w:r>
    </w:p>
    <w:p w:rsidR="00C1697B" w:rsidRPr="00A51A60" w:rsidRDefault="00C1697B">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A51A60" w:rsidRPr="00EB0F11" w:rsidTr="00A51A60">
        <w:tc>
          <w:tcPr>
            <w:tcW w:w="4380" w:type="dxa"/>
            <w:tcMar>
              <w:left w:w="0" w:type="dxa"/>
              <w:right w:w="0" w:type="dxa"/>
            </w:tcMar>
          </w:tcPr>
          <w:p w:rsidR="00A51A60" w:rsidRPr="00CC4D84" w:rsidRDefault="00A51A60" w:rsidP="00A51A60">
            <w:pPr>
              <w:widowControl w:val="0"/>
              <w:jc w:val="both"/>
              <w:rPr>
                <w:b/>
                <w:sz w:val="20"/>
                <w:szCs w:val="20"/>
                <w:u w:val="single"/>
              </w:rPr>
            </w:pPr>
            <w:r>
              <w:rPr>
                <w:b/>
                <w:sz w:val="20"/>
                <w:szCs w:val="20"/>
                <w:u w:val="single"/>
              </w:rPr>
              <w:t>JUDGMENT</w:t>
            </w:r>
            <w:r w:rsidRPr="00CC4D84">
              <w:rPr>
                <w:b/>
                <w:sz w:val="20"/>
                <w:szCs w:val="20"/>
                <w:u w:val="single"/>
              </w:rPr>
              <w:t>:</w:t>
            </w:r>
          </w:p>
          <w:p w:rsidR="00A51A60" w:rsidRPr="001A663B" w:rsidRDefault="00A51A60" w:rsidP="00A51A60">
            <w:pPr>
              <w:widowControl w:val="0"/>
              <w:jc w:val="both"/>
              <w:rPr>
                <w:b/>
                <w:sz w:val="20"/>
                <w:szCs w:val="20"/>
              </w:rPr>
            </w:pPr>
          </w:p>
          <w:p w:rsidR="002A3F03" w:rsidRPr="009A1BA3" w:rsidRDefault="002A3F03" w:rsidP="002A3F03">
            <w:pPr>
              <w:jc w:val="both"/>
              <w:rPr>
                <w:sz w:val="20"/>
                <w:szCs w:val="20"/>
              </w:rPr>
            </w:pPr>
            <w:r w:rsidRPr="009A1BA3">
              <w:rPr>
                <w:sz w:val="20"/>
                <w:szCs w:val="20"/>
              </w:rPr>
              <w:t>The appeal from the judgment of the Court of Appeal of Alberta (Calgary), Number 1201-0047-A, 2013 ABCA 219, dated June 14, 2013, was heard on February 17, 2014, and the Court on that day delivered the following judgment orally:</w:t>
            </w:r>
          </w:p>
          <w:p w:rsidR="002A3F03" w:rsidRPr="009A1BA3" w:rsidRDefault="002A3F03" w:rsidP="002A3F03">
            <w:pPr>
              <w:jc w:val="both"/>
              <w:rPr>
                <w:sz w:val="20"/>
                <w:szCs w:val="20"/>
              </w:rPr>
            </w:pPr>
          </w:p>
          <w:p w:rsidR="002A3F03" w:rsidRPr="009A1BA3" w:rsidRDefault="002A3F03" w:rsidP="002A3F03">
            <w:pPr>
              <w:jc w:val="both"/>
              <w:rPr>
                <w:smallCaps/>
                <w:sz w:val="20"/>
                <w:szCs w:val="20"/>
              </w:rPr>
            </w:pPr>
          </w:p>
          <w:p w:rsidR="002A3F03" w:rsidRPr="009A1BA3" w:rsidRDefault="002A3F03" w:rsidP="002A3F03">
            <w:pPr>
              <w:jc w:val="both"/>
              <w:rPr>
                <w:sz w:val="20"/>
                <w:szCs w:val="20"/>
              </w:rPr>
            </w:pPr>
            <w:r w:rsidRPr="009A1BA3">
              <w:rPr>
                <w:smallCaps/>
                <w:sz w:val="20"/>
                <w:szCs w:val="20"/>
              </w:rPr>
              <w:t xml:space="preserve">Moldaver J. </w:t>
            </w:r>
            <w:r w:rsidRPr="009A1BA3">
              <w:rPr>
                <w:rFonts w:cs="Times New Roman"/>
                <w:smallCaps/>
                <w:sz w:val="20"/>
                <w:szCs w:val="20"/>
              </w:rPr>
              <w:t>—</w:t>
            </w:r>
            <w:r w:rsidRPr="009A1BA3">
              <w:rPr>
                <w:smallCaps/>
                <w:sz w:val="20"/>
                <w:szCs w:val="20"/>
              </w:rPr>
              <w:t xml:space="preserve"> </w:t>
            </w:r>
            <w:r w:rsidRPr="009A1BA3">
              <w:rPr>
                <w:sz w:val="20"/>
                <w:szCs w:val="20"/>
              </w:rPr>
              <w:t>We agree with the conclusion of the Court of Appeal.  In particular, taking the record at its highest for the appellant, there was no evidence that the appellant took any reasonable steps to ascertain whether the complainant was consenting to sexual relations following her initial rejection of the appellant’s sexual advances. With respect, the trial judge erred in law in finding that there was some evidence that he had taken reasonable steps as required by s. 273.2(</w:t>
            </w:r>
            <w:r w:rsidRPr="009A1BA3">
              <w:rPr>
                <w:i/>
                <w:sz w:val="20"/>
                <w:szCs w:val="20"/>
              </w:rPr>
              <w:t>b</w:t>
            </w:r>
            <w:r w:rsidRPr="009A1BA3">
              <w:rPr>
                <w:sz w:val="20"/>
                <w:szCs w:val="20"/>
              </w:rPr>
              <w:t xml:space="preserve">) of the </w:t>
            </w:r>
            <w:r w:rsidRPr="009A1BA3">
              <w:rPr>
                <w:i/>
                <w:sz w:val="20"/>
                <w:szCs w:val="20"/>
              </w:rPr>
              <w:t>Criminal</w:t>
            </w:r>
            <w:r w:rsidRPr="009A1BA3">
              <w:rPr>
                <w:sz w:val="20"/>
                <w:szCs w:val="20"/>
              </w:rPr>
              <w:t xml:space="preserve"> </w:t>
            </w:r>
            <w:r w:rsidRPr="009A1BA3">
              <w:rPr>
                <w:i/>
                <w:sz w:val="20"/>
                <w:szCs w:val="20"/>
              </w:rPr>
              <w:t>Code</w:t>
            </w:r>
            <w:r w:rsidRPr="009A1BA3">
              <w:rPr>
                <w:sz w:val="20"/>
                <w:szCs w:val="20"/>
              </w:rPr>
              <w:t>.</w:t>
            </w:r>
          </w:p>
          <w:p w:rsidR="002A3F03" w:rsidRPr="009A1BA3" w:rsidRDefault="002A3F03" w:rsidP="002A3F03">
            <w:pPr>
              <w:jc w:val="both"/>
              <w:rPr>
                <w:sz w:val="20"/>
                <w:szCs w:val="20"/>
              </w:rPr>
            </w:pPr>
          </w:p>
          <w:p w:rsidR="002A3F03" w:rsidRDefault="002A3F03" w:rsidP="002A3F03">
            <w:pPr>
              <w:jc w:val="both"/>
              <w:rPr>
                <w:sz w:val="20"/>
                <w:szCs w:val="20"/>
              </w:rPr>
            </w:pPr>
          </w:p>
          <w:p w:rsidR="002A3F03" w:rsidRPr="009A1BA3" w:rsidRDefault="002A3F03" w:rsidP="002A3F03">
            <w:pPr>
              <w:jc w:val="both"/>
              <w:rPr>
                <w:sz w:val="20"/>
                <w:szCs w:val="20"/>
              </w:rPr>
            </w:pPr>
          </w:p>
          <w:p w:rsidR="00A51A60" w:rsidRPr="00C1697B" w:rsidRDefault="002A3F03" w:rsidP="002A3F03">
            <w:pPr>
              <w:jc w:val="both"/>
              <w:rPr>
                <w:b/>
                <w:sz w:val="20"/>
                <w:szCs w:val="20"/>
              </w:rPr>
            </w:pPr>
            <w:r w:rsidRPr="009A1BA3">
              <w:rPr>
                <w:sz w:val="20"/>
                <w:szCs w:val="20"/>
              </w:rPr>
              <w:t>Accordingly, the appeal is dismissed.</w:t>
            </w:r>
          </w:p>
        </w:tc>
        <w:tc>
          <w:tcPr>
            <w:tcW w:w="720" w:type="dxa"/>
            <w:tcMar>
              <w:left w:w="0" w:type="dxa"/>
              <w:right w:w="0" w:type="dxa"/>
            </w:tcMar>
          </w:tcPr>
          <w:p w:rsidR="00A51A60" w:rsidRPr="00C1697B" w:rsidRDefault="00A51A60" w:rsidP="00A51A60">
            <w:pPr>
              <w:widowControl w:val="0"/>
              <w:jc w:val="center"/>
              <w:rPr>
                <w:sz w:val="20"/>
                <w:szCs w:val="20"/>
              </w:rPr>
            </w:pPr>
          </w:p>
        </w:tc>
        <w:tc>
          <w:tcPr>
            <w:tcW w:w="4380" w:type="dxa"/>
            <w:tcMar>
              <w:left w:w="0" w:type="dxa"/>
              <w:right w:w="0" w:type="dxa"/>
            </w:tcMar>
          </w:tcPr>
          <w:p w:rsidR="00A51A60" w:rsidRPr="00CC4D84" w:rsidRDefault="00A51A60" w:rsidP="00A51A60">
            <w:pPr>
              <w:widowControl w:val="0"/>
              <w:jc w:val="both"/>
              <w:rPr>
                <w:b/>
                <w:sz w:val="20"/>
                <w:szCs w:val="20"/>
                <w:u w:val="single"/>
                <w:lang w:val="fr-CA"/>
              </w:rPr>
            </w:pPr>
            <w:r>
              <w:rPr>
                <w:b/>
                <w:sz w:val="20"/>
                <w:szCs w:val="20"/>
                <w:u w:val="single"/>
                <w:lang w:val="fr-CA"/>
              </w:rPr>
              <w:t>JUGEMENT</w:t>
            </w:r>
            <w:r w:rsidRPr="00CC4D84">
              <w:rPr>
                <w:b/>
                <w:sz w:val="20"/>
                <w:szCs w:val="20"/>
                <w:u w:val="single"/>
                <w:lang w:val="fr-CA"/>
              </w:rPr>
              <w:t xml:space="preserve"> :</w:t>
            </w:r>
          </w:p>
          <w:p w:rsidR="00A51A60" w:rsidRPr="00C1697B" w:rsidRDefault="00A51A60" w:rsidP="00A51A60">
            <w:pPr>
              <w:widowControl w:val="0"/>
              <w:jc w:val="both"/>
              <w:rPr>
                <w:sz w:val="20"/>
                <w:szCs w:val="20"/>
                <w:lang w:val="fr-CA"/>
              </w:rPr>
            </w:pPr>
          </w:p>
          <w:p w:rsidR="002A3F03" w:rsidRPr="009A1BA3" w:rsidRDefault="002A3F03" w:rsidP="002A3F03">
            <w:pPr>
              <w:jc w:val="both"/>
              <w:rPr>
                <w:sz w:val="20"/>
                <w:szCs w:val="20"/>
                <w:lang w:val="fr-CA"/>
              </w:rPr>
            </w:pPr>
            <w:r w:rsidRPr="009A1BA3">
              <w:rPr>
                <w:sz w:val="20"/>
                <w:szCs w:val="20"/>
                <w:lang w:val="fr-CA"/>
              </w:rPr>
              <w:t>L’appel interjeté contre l’arrêt de la Cour d’appel de l’Alberta (Calgary), numéro 1201-0047-A, 2013 ABCA 219, en date du 14 juin 2013, a été entendu le 17 février 2014, et la Cour a prononcé oralement le même jour le jugement suivant :</w:t>
            </w:r>
          </w:p>
          <w:p w:rsidR="002A3F03" w:rsidRPr="009A1BA3" w:rsidRDefault="002A3F03" w:rsidP="002A3F03">
            <w:pPr>
              <w:jc w:val="both"/>
              <w:rPr>
                <w:sz w:val="20"/>
                <w:szCs w:val="20"/>
                <w:lang w:val="fr-CA"/>
              </w:rPr>
            </w:pPr>
          </w:p>
          <w:p w:rsidR="002A3F03" w:rsidRPr="009A1BA3" w:rsidRDefault="002A3F03" w:rsidP="002A3F03">
            <w:pPr>
              <w:jc w:val="both"/>
              <w:rPr>
                <w:smallCaps/>
                <w:sz w:val="20"/>
                <w:szCs w:val="20"/>
                <w:lang w:val="fr-CA"/>
              </w:rPr>
            </w:pPr>
            <w:r w:rsidRPr="009A1BA3">
              <w:rPr>
                <w:smallCaps/>
                <w:sz w:val="20"/>
                <w:szCs w:val="20"/>
                <w:lang w:val="fr-CA"/>
              </w:rPr>
              <w:t>[traduction]</w:t>
            </w:r>
          </w:p>
          <w:p w:rsidR="002A3F03" w:rsidRPr="009A1BA3" w:rsidRDefault="002A3F03" w:rsidP="002A3F03">
            <w:pPr>
              <w:jc w:val="both"/>
              <w:rPr>
                <w:sz w:val="20"/>
                <w:szCs w:val="20"/>
                <w:lang w:val="fr-CA"/>
              </w:rPr>
            </w:pPr>
            <w:r w:rsidRPr="009A1BA3">
              <w:rPr>
                <w:smallCaps/>
                <w:sz w:val="20"/>
                <w:szCs w:val="20"/>
                <w:lang w:val="fr-CA"/>
              </w:rPr>
              <w:t xml:space="preserve">le juge Moldaver </w:t>
            </w:r>
            <w:r w:rsidRPr="009A1BA3">
              <w:rPr>
                <w:rFonts w:cs="Times New Roman"/>
                <w:smallCaps/>
                <w:sz w:val="20"/>
                <w:szCs w:val="20"/>
                <w:lang w:val="fr-CA"/>
              </w:rPr>
              <w:t xml:space="preserve">— </w:t>
            </w:r>
            <w:r w:rsidRPr="009A1BA3">
              <w:rPr>
                <w:smallCaps/>
                <w:sz w:val="20"/>
                <w:szCs w:val="20"/>
                <w:lang w:val="fr-CA"/>
              </w:rPr>
              <w:t>N</w:t>
            </w:r>
            <w:r w:rsidRPr="009A1BA3">
              <w:rPr>
                <w:sz w:val="20"/>
                <w:szCs w:val="20"/>
                <w:lang w:val="fr-CA"/>
              </w:rPr>
              <w:t>ous souscrivons à la conclusion de la Cour d’appel. En particulier, même considéré sous l’angle le plus favorable à l’appelant, le dossier ne renferme aucune preuve que celui-ci a pris quelque mesure raisonnable que ce soit pour s’assurer du consentement de la plaignante aux rapports sexuels après le rejet initial par cette dernière de ses avances sexuelles. Avec égards, la juge du procès a commis une erreur de droit en concluant à l’existence de certains éléments de preuve montrant que l’appelant avait pris des mesures raisonnables comme l’exige l’al. 273.2</w:t>
            </w:r>
            <w:r w:rsidRPr="009A1BA3">
              <w:rPr>
                <w:i/>
                <w:sz w:val="20"/>
                <w:szCs w:val="20"/>
                <w:lang w:val="fr-CA"/>
              </w:rPr>
              <w:t>b</w:t>
            </w:r>
            <w:r w:rsidRPr="009A1BA3">
              <w:rPr>
                <w:sz w:val="20"/>
                <w:szCs w:val="20"/>
                <w:lang w:val="fr-CA"/>
              </w:rPr>
              <w:t xml:space="preserve">) du </w:t>
            </w:r>
            <w:r w:rsidRPr="009A1BA3">
              <w:rPr>
                <w:i/>
                <w:sz w:val="20"/>
                <w:szCs w:val="20"/>
                <w:lang w:val="fr-CA"/>
              </w:rPr>
              <w:t>Code criminel</w:t>
            </w:r>
            <w:r w:rsidRPr="009A1BA3">
              <w:rPr>
                <w:sz w:val="20"/>
                <w:szCs w:val="20"/>
                <w:lang w:val="fr-CA"/>
              </w:rPr>
              <w:t>.</w:t>
            </w:r>
          </w:p>
          <w:p w:rsidR="002A3F03" w:rsidRPr="009A1BA3" w:rsidRDefault="002A3F03" w:rsidP="002A3F03">
            <w:pPr>
              <w:jc w:val="both"/>
              <w:rPr>
                <w:sz w:val="20"/>
                <w:szCs w:val="20"/>
                <w:lang w:val="fr-CA"/>
              </w:rPr>
            </w:pPr>
          </w:p>
          <w:p w:rsidR="00A51A60" w:rsidRPr="00C1697B" w:rsidRDefault="002A3F03" w:rsidP="002A3F03">
            <w:pPr>
              <w:jc w:val="both"/>
              <w:rPr>
                <w:sz w:val="20"/>
                <w:szCs w:val="20"/>
                <w:lang w:val="fr-CA"/>
              </w:rPr>
            </w:pPr>
            <w:r w:rsidRPr="009A1BA3">
              <w:rPr>
                <w:sz w:val="20"/>
                <w:szCs w:val="20"/>
                <w:lang w:val="fr-CA"/>
              </w:rPr>
              <w:t>En conséquence, le pourvoi est rejeté.</w:t>
            </w:r>
          </w:p>
        </w:tc>
      </w:tr>
    </w:tbl>
    <w:p w:rsidR="00A51A60" w:rsidRPr="002A3F03" w:rsidRDefault="00A51A60">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1697B" w:rsidRPr="00EB0F11" w:rsidTr="00C1697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t>Nature of the case:</w:t>
            </w:r>
          </w:p>
          <w:p w:rsidR="00C1697B" w:rsidRDefault="00C1697B" w:rsidP="00C1697B">
            <w:pPr>
              <w:widowControl w:val="0"/>
              <w:jc w:val="both"/>
              <w:rPr>
                <w:b/>
                <w:sz w:val="20"/>
                <w:szCs w:val="20"/>
              </w:rPr>
            </w:pPr>
          </w:p>
          <w:p w:rsidR="00637B49" w:rsidRPr="00ED33A6" w:rsidRDefault="00637B49" w:rsidP="00637B49">
            <w:pPr>
              <w:widowControl w:val="0"/>
              <w:jc w:val="both"/>
              <w:rPr>
                <w:smallCaps/>
                <w:sz w:val="20"/>
                <w:szCs w:val="20"/>
              </w:rPr>
            </w:pPr>
            <w:r w:rsidRPr="00ED33A6">
              <w:rPr>
                <w:smallCaps/>
                <w:sz w:val="20"/>
                <w:szCs w:val="20"/>
              </w:rPr>
              <w:t xml:space="preserve">(Publication </w:t>
            </w:r>
            <w:r>
              <w:rPr>
                <w:smallCaps/>
                <w:sz w:val="20"/>
              </w:rPr>
              <w:t>B</w:t>
            </w:r>
            <w:r w:rsidRPr="00ED33A6">
              <w:rPr>
                <w:smallCaps/>
                <w:sz w:val="20"/>
                <w:szCs w:val="20"/>
              </w:rPr>
              <w:t xml:space="preserve">an in </w:t>
            </w:r>
            <w:r>
              <w:rPr>
                <w:smallCaps/>
                <w:sz w:val="20"/>
              </w:rPr>
              <w:t>C</w:t>
            </w:r>
            <w:r w:rsidRPr="00ED33A6">
              <w:rPr>
                <w:smallCaps/>
                <w:sz w:val="20"/>
                <w:szCs w:val="20"/>
              </w:rPr>
              <w:t>ase)</w:t>
            </w:r>
          </w:p>
          <w:p w:rsidR="00637B49" w:rsidRDefault="00637B49" w:rsidP="00637B49">
            <w:pPr>
              <w:widowControl w:val="0"/>
              <w:jc w:val="both"/>
              <w:rPr>
                <w:sz w:val="20"/>
                <w:szCs w:val="20"/>
              </w:rPr>
            </w:pPr>
          </w:p>
          <w:p w:rsidR="00637B49" w:rsidRPr="00ED33A6" w:rsidRDefault="00637B49" w:rsidP="00637B49">
            <w:pPr>
              <w:widowControl w:val="0"/>
              <w:jc w:val="both"/>
              <w:rPr>
                <w:sz w:val="20"/>
                <w:szCs w:val="20"/>
              </w:rPr>
            </w:pPr>
          </w:p>
          <w:p w:rsidR="00A51A60" w:rsidRPr="00C1697B" w:rsidRDefault="00637B49" w:rsidP="00637B49">
            <w:pPr>
              <w:widowControl w:val="0"/>
              <w:jc w:val="both"/>
              <w:rPr>
                <w:b/>
                <w:sz w:val="20"/>
                <w:szCs w:val="20"/>
              </w:rPr>
            </w:pPr>
            <w:r w:rsidRPr="00ED33A6">
              <w:rPr>
                <w:sz w:val="20"/>
                <w:szCs w:val="20"/>
              </w:rPr>
              <w:t xml:space="preserve">Criminal law - Sexual assault - Defence of mistaken belief in consent - Air of reality - Whether the Court of Appeal erred by substituting the findings of fact and inferences of the trial judge with its own findings of fact - Whether the complainant’s nonverbal communication established an air of reality to the </w:t>
            </w:r>
            <w:r w:rsidRPr="00ED33A6">
              <w:rPr>
                <w:sz w:val="20"/>
                <w:szCs w:val="20"/>
              </w:rPr>
              <w:lastRenderedPageBreak/>
              <w:t xml:space="preserve">defence of honest but mistaken belief in consent - Whether it is incumbent on an accused to take reasonable steps to ascertain that a complainant is consenting if consent may be inferred from the objective circumstances - Whether the Court of Appeal may rely on the testimony of an accused to negate the defence of honest but mistaken belief in consent, notwithstanding that the accused’s evidence was not believed by the trial judge - Whether the Court of Appeal reversed the burden of proof respecting the defence of honest but mistaken belief in consent. </w:t>
            </w: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CC4D84" w:rsidRDefault="00C1697B" w:rsidP="00C1697B">
            <w:pPr>
              <w:widowControl w:val="0"/>
              <w:jc w:val="both"/>
              <w:rPr>
                <w:b/>
                <w:sz w:val="20"/>
                <w:szCs w:val="20"/>
                <w:u w:val="single"/>
                <w:lang w:val="fr-CA"/>
              </w:rPr>
            </w:pPr>
            <w:r w:rsidRPr="00CC4D84">
              <w:rPr>
                <w:b/>
                <w:sz w:val="20"/>
                <w:szCs w:val="20"/>
                <w:u w:val="single"/>
                <w:lang w:val="fr-CA"/>
              </w:rPr>
              <w:t>Nature de la cause :</w:t>
            </w:r>
          </w:p>
          <w:p w:rsidR="00C1697B" w:rsidRPr="00C1697B" w:rsidRDefault="00C1697B" w:rsidP="00C1697B">
            <w:pPr>
              <w:widowControl w:val="0"/>
              <w:jc w:val="both"/>
              <w:rPr>
                <w:sz w:val="20"/>
                <w:szCs w:val="20"/>
                <w:lang w:val="fr-CA"/>
              </w:rPr>
            </w:pPr>
          </w:p>
          <w:p w:rsidR="00637B49" w:rsidRPr="00405B1B" w:rsidRDefault="00637B49" w:rsidP="00637B49">
            <w:pPr>
              <w:widowControl w:val="0"/>
              <w:jc w:val="both"/>
              <w:rPr>
                <w:smallCaps/>
                <w:sz w:val="20"/>
                <w:szCs w:val="20"/>
                <w:lang w:val="fr-CA"/>
              </w:rPr>
            </w:pPr>
            <w:r w:rsidRPr="00405B1B">
              <w:rPr>
                <w:smallCaps/>
                <w:sz w:val="20"/>
                <w:szCs w:val="20"/>
                <w:lang w:val="fr-CA"/>
              </w:rPr>
              <w:t>(Ordonnance de non-publication dans le dossier)</w:t>
            </w:r>
          </w:p>
          <w:p w:rsidR="00637B49" w:rsidRPr="00405B1B" w:rsidRDefault="00637B49" w:rsidP="00637B49">
            <w:pPr>
              <w:widowControl w:val="0"/>
              <w:jc w:val="both"/>
              <w:rPr>
                <w:sz w:val="20"/>
                <w:szCs w:val="20"/>
                <w:lang w:val="fr-CA"/>
              </w:rPr>
            </w:pPr>
          </w:p>
          <w:p w:rsidR="00C1697B" w:rsidRPr="00C1697B" w:rsidRDefault="00637B49" w:rsidP="00637B49">
            <w:pPr>
              <w:widowControl w:val="0"/>
              <w:jc w:val="both"/>
              <w:rPr>
                <w:sz w:val="20"/>
                <w:szCs w:val="20"/>
                <w:lang w:val="fr-CA"/>
              </w:rPr>
            </w:pPr>
            <w:r w:rsidRPr="00405B1B">
              <w:rPr>
                <w:sz w:val="20"/>
                <w:szCs w:val="20"/>
                <w:lang w:val="fr-CA"/>
              </w:rPr>
              <w:t xml:space="preserve">Droit criminel - Agression sexuelle - Moyen de défense fondé sur la croyance erronée au consentement - Vraisemblance - La Cour d’appel a-t-elle eu tort de substituer ses propres conclusions de fait aux conclusions de fait et aux inférences tirées par le juge du procès? - La communication non verbale de </w:t>
            </w:r>
            <w:r w:rsidRPr="00405B1B">
              <w:rPr>
                <w:sz w:val="20"/>
                <w:szCs w:val="20"/>
                <w:lang w:val="fr-CA"/>
              </w:rPr>
              <w:lastRenderedPageBreak/>
              <w:t>la plaignante a-t-elle permis d’établir la vraisemblance de la croyance sincère mais erronée au consentement? - Incombe-t-il à un accusé de prendre des mesures raisonnables pour s’assurer du consentement de la plaignante si le consentement peut être inféré des circonstances objectives? - La Cour d’appel peut-elle s’appuyer sur le témoignage d’un accusé pour réfuter le moyen de défense fondé sur la croyance sincère mais erronée même si le juge du procès n’a pas ajouté foi à ce témoignage? - La Cour d’appel a-t-elle inversé le fardeau de la preuve en ce qui a trait au moyen de défense fondé sur la croyance sincère mais erronée?</w:t>
            </w:r>
          </w:p>
        </w:tc>
      </w:tr>
    </w:tbl>
    <w:p w:rsidR="00732DB7" w:rsidRDefault="00732DB7" w:rsidP="00732DB7">
      <w:pPr>
        <w:widowControl w:val="0"/>
        <w:rPr>
          <w:sz w:val="20"/>
          <w:szCs w:val="20"/>
          <w:lang w:val="fr-CA"/>
        </w:rPr>
      </w:pPr>
    </w:p>
    <w:p w:rsidR="002A27D1" w:rsidRDefault="00EB0F11" w:rsidP="002A27D1">
      <w:pPr>
        <w:widowControl w:val="0"/>
        <w:rPr>
          <w:sz w:val="20"/>
          <w:szCs w:val="20"/>
        </w:rPr>
      </w:pPr>
      <w:r>
        <w:rPr>
          <w:sz w:val="20"/>
          <w:szCs w:val="20"/>
          <w:lang w:val="fr-CA"/>
        </w:rPr>
        <w:pict>
          <v:rect id="_x0000_i1086" style="width:2in;height:1pt" o:hrpct="0" o:hralign="center" o:hrstd="t" o:hrnoshade="t" o:hr="t" fillcolor="black [3213]" stroked="f"/>
        </w:pict>
      </w:r>
    </w:p>
    <w:p w:rsidR="002A27D1" w:rsidRDefault="002A27D1" w:rsidP="002A27D1">
      <w:pPr>
        <w:widowControl w:val="0"/>
        <w:rPr>
          <w:sz w:val="20"/>
          <w:szCs w:val="20"/>
        </w:rPr>
      </w:pPr>
    </w:p>
    <w:p w:rsidR="002A27D1" w:rsidRDefault="003F26F3" w:rsidP="002A27D1">
      <w:pPr>
        <w:widowControl w:val="0"/>
        <w:rPr>
          <w:sz w:val="20"/>
          <w:szCs w:val="20"/>
        </w:rPr>
      </w:pPr>
      <w:r>
        <w:rPr>
          <w:sz w:val="20"/>
          <w:szCs w:val="20"/>
        </w:rPr>
        <w:t>1</w:t>
      </w:r>
      <w:r w:rsidR="002A27D1">
        <w:rPr>
          <w:sz w:val="20"/>
          <w:szCs w:val="20"/>
        </w:rPr>
        <w:t>8.</w:t>
      </w:r>
      <w:r>
        <w:rPr>
          <w:sz w:val="20"/>
          <w:szCs w:val="20"/>
        </w:rPr>
        <w:t>02</w:t>
      </w:r>
      <w:r w:rsidR="002A27D1">
        <w:rPr>
          <w:sz w:val="20"/>
          <w:szCs w:val="20"/>
        </w:rPr>
        <w:t>.201</w:t>
      </w:r>
      <w:r>
        <w:rPr>
          <w:sz w:val="20"/>
          <w:szCs w:val="20"/>
        </w:rPr>
        <w:t>4</w:t>
      </w:r>
    </w:p>
    <w:p w:rsidR="002A27D1" w:rsidRDefault="002A27D1" w:rsidP="002A27D1">
      <w:pPr>
        <w:widowControl w:val="0"/>
        <w:rPr>
          <w:sz w:val="20"/>
          <w:szCs w:val="20"/>
        </w:rPr>
      </w:pPr>
    </w:p>
    <w:p w:rsidR="00DC6D23" w:rsidRPr="009E31B0" w:rsidRDefault="00DC6D23" w:rsidP="00DC6D23">
      <w:pPr>
        <w:widowControl w:val="0"/>
        <w:ind w:left="720" w:hanging="720"/>
        <w:rPr>
          <w:sz w:val="20"/>
          <w:szCs w:val="20"/>
          <w:u w:val="single"/>
        </w:rPr>
      </w:pPr>
      <w:r w:rsidRPr="009E31B0">
        <w:rPr>
          <w:sz w:val="20"/>
          <w:szCs w:val="20"/>
        </w:rPr>
        <w:t xml:space="preserve">Coram: </w:t>
      </w:r>
      <w:r w:rsidRPr="009E31B0">
        <w:rPr>
          <w:sz w:val="20"/>
          <w:szCs w:val="20"/>
        </w:rPr>
        <w:tab/>
      </w:r>
      <w:r w:rsidRPr="009E31B0">
        <w:rPr>
          <w:sz w:val="20"/>
          <w:szCs w:val="20"/>
          <w:u w:val="single"/>
        </w:rPr>
        <w:t>McLachlin C.J. and LeBel, Abella, Rothstein, Cromwell, Karakatsanis and Wagner JJ.</w:t>
      </w:r>
    </w:p>
    <w:p w:rsidR="002A27D1" w:rsidRDefault="002A27D1" w:rsidP="002A27D1">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2A27D1" w:rsidRPr="00C50A5C" w:rsidTr="002A4AFA">
        <w:tc>
          <w:tcPr>
            <w:tcW w:w="4380" w:type="dxa"/>
            <w:tcMar>
              <w:left w:w="0" w:type="dxa"/>
              <w:right w:w="0" w:type="dxa"/>
            </w:tcMar>
          </w:tcPr>
          <w:p w:rsidR="00DC6D23" w:rsidRPr="00DC6D23" w:rsidRDefault="00DC6D23" w:rsidP="002A4AFA">
            <w:pPr>
              <w:widowControl w:val="0"/>
              <w:jc w:val="both"/>
              <w:rPr>
                <w:rFonts w:eastAsia="Calibri"/>
                <w:b/>
                <w:sz w:val="20"/>
                <w:szCs w:val="20"/>
                <w:lang w:val="fr-CA"/>
              </w:rPr>
            </w:pPr>
            <w:r w:rsidRPr="00DC6D23">
              <w:rPr>
                <w:rFonts w:eastAsia="Calibri"/>
                <w:b/>
                <w:sz w:val="20"/>
                <w:szCs w:val="20"/>
                <w:lang w:val="fr-CA"/>
              </w:rPr>
              <w:t>Mounted Police Association of Ontario</w:t>
            </w:r>
            <w:r w:rsidRPr="00DC6D23">
              <w:rPr>
                <w:lang w:val="fr-CA"/>
              </w:rPr>
              <w:t> </w:t>
            </w:r>
            <w:r w:rsidRPr="00DC6D23">
              <w:rPr>
                <w:rFonts w:eastAsia="Calibri"/>
                <w:b/>
                <w:sz w:val="20"/>
                <w:szCs w:val="20"/>
                <w:lang w:val="fr-CA"/>
              </w:rPr>
              <w:t xml:space="preserve">/ Association de la police montée de l’Ontario et al. </w:t>
            </w:r>
          </w:p>
          <w:p w:rsidR="00DC6D23" w:rsidRPr="00DC6D23" w:rsidRDefault="00DC6D23" w:rsidP="002A4AFA">
            <w:pPr>
              <w:widowControl w:val="0"/>
              <w:jc w:val="both"/>
              <w:rPr>
                <w:rFonts w:eastAsia="Calibri"/>
                <w:b/>
                <w:sz w:val="20"/>
                <w:szCs w:val="20"/>
                <w:lang w:val="fr-CA"/>
              </w:rPr>
            </w:pPr>
          </w:p>
          <w:p w:rsidR="00DC6D23" w:rsidRDefault="00DC6D23" w:rsidP="002A4AFA">
            <w:pPr>
              <w:widowControl w:val="0"/>
              <w:jc w:val="both"/>
              <w:rPr>
                <w:rFonts w:eastAsia="Calibri"/>
                <w:b/>
                <w:sz w:val="20"/>
                <w:szCs w:val="20"/>
              </w:rPr>
            </w:pPr>
            <w:r w:rsidRPr="00AD651A">
              <w:rPr>
                <w:rFonts w:eastAsia="Calibri"/>
                <w:b/>
                <w:sz w:val="20"/>
                <w:szCs w:val="20"/>
                <w:lang w:val="fr-CA"/>
              </w:rPr>
              <w:tab/>
            </w:r>
            <w:r w:rsidRPr="00DC6D23">
              <w:rPr>
                <w:rFonts w:eastAsia="Calibri"/>
                <w:b/>
                <w:sz w:val="20"/>
                <w:szCs w:val="20"/>
              </w:rPr>
              <w:t xml:space="preserve">v. </w:t>
            </w:r>
            <w:r w:rsidRPr="009E31B0">
              <w:rPr>
                <w:rFonts w:eastAsia="Calibri"/>
                <w:sz w:val="20"/>
                <w:szCs w:val="20"/>
              </w:rPr>
              <w:t>(</w:t>
            </w:r>
            <w:hyperlink r:id="rId96" w:history="1">
              <w:r w:rsidRPr="009E31B0">
                <w:rPr>
                  <w:rStyle w:val="Hyperlink"/>
                  <w:rFonts w:eastAsia="Calibri"/>
                  <w:sz w:val="20"/>
                  <w:szCs w:val="20"/>
                </w:rPr>
                <w:t>34948</w:t>
              </w:r>
            </w:hyperlink>
            <w:r w:rsidRPr="009E31B0">
              <w:rPr>
                <w:rFonts w:eastAsia="Calibri"/>
                <w:sz w:val="20"/>
                <w:szCs w:val="20"/>
              </w:rPr>
              <w:t>)</w:t>
            </w:r>
          </w:p>
          <w:p w:rsidR="00DC6D23" w:rsidRDefault="00DC6D23" w:rsidP="002A4AFA">
            <w:pPr>
              <w:widowControl w:val="0"/>
              <w:jc w:val="both"/>
              <w:rPr>
                <w:rFonts w:eastAsia="Calibri"/>
                <w:b/>
                <w:sz w:val="20"/>
                <w:szCs w:val="20"/>
              </w:rPr>
            </w:pPr>
          </w:p>
          <w:p w:rsidR="002A27D1" w:rsidRPr="0093057E" w:rsidRDefault="00DC6D23" w:rsidP="00CA2F33">
            <w:pPr>
              <w:widowControl w:val="0"/>
              <w:jc w:val="both"/>
              <w:rPr>
                <w:sz w:val="20"/>
                <w:szCs w:val="20"/>
              </w:rPr>
            </w:pPr>
            <w:r w:rsidRPr="00DC6D23">
              <w:rPr>
                <w:rFonts w:eastAsia="Calibri"/>
                <w:b/>
                <w:sz w:val="20"/>
                <w:szCs w:val="20"/>
              </w:rPr>
              <w:t>Attorney General of Canada</w:t>
            </w:r>
            <w:r w:rsidRPr="00DC6D23">
              <w:rPr>
                <w:rFonts w:eastAsia="Calibri"/>
                <w:b/>
                <w:i/>
                <w:sz w:val="20"/>
                <w:szCs w:val="20"/>
              </w:rPr>
              <w:t xml:space="preserve"> </w:t>
            </w:r>
            <w:r w:rsidRPr="00DC6D23">
              <w:rPr>
                <w:rFonts w:eastAsia="Calibri"/>
                <w:b/>
                <w:sz w:val="20"/>
                <w:szCs w:val="20"/>
              </w:rPr>
              <w:t xml:space="preserve">(Ont.) </w:t>
            </w:r>
            <w:r w:rsidRPr="009E31B0">
              <w:rPr>
                <w:rFonts w:eastAsia="Calibri"/>
                <w:b/>
                <w:sz w:val="20"/>
                <w:szCs w:val="20"/>
              </w:rPr>
              <w:t>(Civil) (By</w:t>
            </w:r>
            <w:r w:rsidR="00CA2F33">
              <w:rPr>
                <w:rFonts w:eastAsia="Calibri"/>
                <w:b/>
                <w:sz w:val="20"/>
                <w:szCs w:val="20"/>
              </w:rPr>
              <w:t> </w:t>
            </w:r>
            <w:r w:rsidRPr="009E31B0">
              <w:rPr>
                <w:rFonts w:eastAsia="Calibri"/>
                <w:b/>
                <w:sz w:val="20"/>
                <w:szCs w:val="20"/>
              </w:rPr>
              <w:t>Leave)</w:t>
            </w:r>
          </w:p>
        </w:tc>
        <w:tc>
          <w:tcPr>
            <w:tcW w:w="720" w:type="dxa"/>
            <w:tcMar>
              <w:left w:w="0" w:type="dxa"/>
              <w:right w:w="0" w:type="dxa"/>
            </w:tcMar>
          </w:tcPr>
          <w:p w:rsidR="002A27D1" w:rsidRPr="0093057E" w:rsidRDefault="002A27D1" w:rsidP="002A4AFA">
            <w:pPr>
              <w:widowControl w:val="0"/>
              <w:jc w:val="center"/>
              <w:rPr>
                <w:sz w:val="20"/>
                <w:szCs w:val="20"/>
              </w:rPr>
            </w:pPr>
          </w:p>
        </w:tc>
        <w:tc>
          <w:tcPr>
            <w:tcW w:w="4380" w:type="dxa"/>
            <w:tcMar>
              <w:left w:w="0" w:type="dxa"/>
              <w:right w:w="0" w:type="dxa"/>
            </w:tcMar>
          </w:tcPr>
          <w:p w:rsidR="007C446E" w:rsidRPr="005C142C" w:rsidRDefault="007C446E" w:rsidP="007C446E">
            <w:pPr>
              <w:tabs>
                <w:tab w:val="left" w:pos="-2970"/>
              </w:tabs>
              <w:jc w:val="both"/>
              <w:rPr>
                <w:sz w:val="20"/>
                <w:szCs w:val="20"/>
                <w:lang w:val="en-US"/>
              </w:rPr>
            </w:pPr>
            <w:r w:rsidRPr="005C142C">
              <w:rPr>
                <w:sz w:val="20"/>
                <w:szCs w:val="20"/>
                <w:lang w:val="en-US"/>
              </w:rPr>
              <w:t>Laura C. Young</w:t>
            </w:r>
            <w:r>
              <w:rPr>
                <w:sz w:val="20"/>
                <w:szCs w:val="20"/>
                <w:lang w:val="en-US"/>
              </w:rPr>
              <w:t xml:space="preserve"> and </w:t>
            </w:r>
            <w:r w:rsidRPr="005C142C">
              <w:rPr>
                <w:sz w:val="20"/>
                <w:szCs w:val="20"/>
                <w:lang w:val="en-US"/>
              </w:rPr>
              <w:t>Patric Senson</w:t>
            </w:r>
            <w:r>
              <w:rPr>
                <w:sz w:val="20"/>
                <w:szCs w:val="20"/>
                <w:lang w:val="en-US"/>
              </w:rPr>
              <w:t xml:space="preserve"> f</w:t>
            </w:r>
            <w:r w:rsidRPr="005C142C">
              <w:rPr>
                <w:sz w:val="20"/>
                <w:szCs w:val="20"/>
                <w:lang w:val="en-US"/>
              </w:rPr>
              <w:t xml:space="preserve">or the </w:t>
            </w:r>
            <w:r>
              <w:rPr>
                <w:sz w:val="20"/>
                <w:szCs w:val="20"/>
                <w:lang w:val="en-US"/>
              </w:rPr>
              <w:t>a</w:t>
            </w:r>
            <w:r w:rsidRPr="005C142C">
              <w:rPr>
                <w:sz w:val="20"/>
                <w:szCs w:val="20"/>
                <w:lang w:val="en-US"/>
              </w:rPr>
              <w:t>ppellants.</w:t>
            </w:r>
          </w:p>
          <w:p w:rsidR="007C446E" w:rsidRPr="005C142C" w:rsidRDefault="007C446E" w:rsidP="007C446E">
            <w:pPr>
              <w:tabs>
                <w:tab w:val="left" w:pos="-2970"/>
              </w:tabs>
              <w:jc w:val="both"/>
              <w:rPr>
                <w:sz w:val="20"/>
                <w:szCs w:val="20"/>
                <w:lang w:val="en-US"/>
              </w:rPr>
            </w:pPr>
          </w:p>
          <w:p w:rsidR="007C446E" w:rsidRPr="005C142C" w:rsidRDefault="007C446E" w:rsidP="007C446E">
            <w:pPr>
              <w:tabs>
                <w:tab w:val="left" w:pos="-2970"/>
              </w:tabs>
              <w:jc w:val="both"/>
              <w:rPr>
                <w:sz w:val="20"/>
                <w:szCs w:val="20"/>
                <w:lang w:val="fr-CA"/>
              </w:rPr>
            </w:pPr>
            <w:r w:rsidRPr="005C142C">
              <w:rPr>
                <w:sz w:val="20"/>
                <w:szCs w:val="20"/>
                <w:lang w:val="fr-CA"/>
              </w:rPr>
              <w:t>James R.K. Duggan and Alexander H. Duggan for the intervener Association des membres de la police montée du Québec</w:t>
            </w:r>
            <w:r>
              <w:rPr>
                <w:sz w:val="20"/>
                <w:szCs w:val="20"/>
                <w:lang w:val="fr-CA"/>
              </w:rPr>
              <w:t>.</w:t>
            </w:r>
          </w:p>
          <w:p w:rsidR="007C446E" w:rsidRPr="005C142C" w:rsidRDefault="007C446E" w:rsidP="007C446E">
            <w:pPr>
              <w:tabs>
                <w:tab w:val="left" w:pos="-2970"/>
              </w:tabs>
              <w:jc w:val="both"/>
              <w:rPr>
                <w:sz w:val="20"/>
                <w:szCs w:val="20"/>
                <w:lang w:val="fr-CA"/>
              </w:rPr>
            </w:pPr>
          </w:p>
          <w:p w:rsidR="007C446E" w:rsidRPr="005C142C" w:rsidRDefault="007C446E" w:rsidP="007C446E">
            <w:pPr>
              <w:tabs>
                <w:tab w:val="left" w:pos="-2970"/>
              </w:tabs>
              <w:jc w:val="both"/>
              <w:rPr>
                <w:sz w:val="20"/>
                <w:szCs w:val="20"/>
                <w:lang w:val="en-US"/>
              </w:rPr>
            </w:pPr>
            <w:r w:rsidRPr="005C142C">
              <w:rPr>
                <w:sz w:val="20"/>
                <w:szCs w:val="20"/>
                <w:lang w:val="en-US"/>
              </w:rPr>
              <w:t>Ian J. Roland</w:t>
            </w:r>
            <w:r>
              <w:rPr>
                <w:sz w:val="20"/>
                <w:szCs w:val="20"/>
                <w:lang w:val="en-US"/>
              </w:rPr>
              <w:t xml:space="preserve"> and </w:t>
            </w:r>
            <w:r w:rsidRPr="005C142C">
              <w:rPr>
                <w:sz w:val="20"/>
                <w:szCs w:val="20"/>
                <w:lang w:val="en-US"/>
              </w:rPr>
              <w:t>Michael Fenrick</w:t>
            </w:r>
            <w:r>
              <w:rPr>
                <w:sz w:val="20"/>
                <w:szCs w:val="20"/>
                <w:lang w:val="en-US"/>
              </w:rPr>
              <w:t xml:space="preserve"> f</w:t>
            </w:r>
            <w:r w:rsidRPr="005C142C">
              <w:rPr>
                <w:sz w:val="20"/>
                <w:szCs w:val="20"/>
                <w:lang w:val="en-US"/>
              </w:rPr>
              <w:t xml:space="preserve">or the </w:t>
            </w:r>
            <w:r>
              <w:rPr>
                <w:sz w:val="20"/>
                <w:szCs w:val="20"/>
                <w:lang w:val="en-US"/>
              </w:rPr>
              <w:t>i</w:t>
            </w:r>
            <w:r w:rsidRPr="005C142C">
              <w:rPr>
                <w:sz w:val="20"/>
                <w:szCs w:val="20"/>
                <w:lang w:val="en-US"/>
              </w:rPr>
              <w:t>ntervener</w:t>
            </w:r>
            <w:r>
              <w:rPr>
                <w:sz w:val="20"/>
                <w:szCs w:val="20"/>
                <w:lang w:val="en-US"/>
              </w:rPr>
              <w:t xml:space="preserve"> </w:t>
            </w:r>
            <w:r w:rsidRPr="005C142C">
              <w:rPr>
                <w:sz w:val="20"/>
                <w:szCs w:val="20"/>
                <w:lang w:val="en-US"/>
              </w:rPr>
              <w:t>Canadian Police Association</w:t>
            </w:r>
            <w:r>
              <w:rPr>
                <w:sz w:val="20"/>
                <w:szCs w:val="20"/>
                <w:lang w:val="en-US"/>
              </w:rPr>
              <w:t>.</w:t>
            </w:r>
          </w:p>
          <w:p w:rsidR="007C446E" w:rsidRPr="005C142C" w:rsidRDefault="007C446E" w:rsidP="007C446E">
            <w:pPr>
              <w:tabs>
                <w:tab w:val="left" w:pos="-2970"/>
              </w:tabs>
              <w:jc w:val="both"/>
              <w:rPr>
                <w:sz w:val="20"/>
                <w:szCs w:val="20"/>
                <w:lang w:val="en-US"/>
              </w:rPr>
            </w:pPr>
          </w:p>
          <w:p w:rsidR="007C446E" w:rsidRPr="005C142C" w:rsidRDefault="007C446E" w:rsidP="007C446E">
            <w:pPr>
              <w:tabs>
                <w:tab w:val="left" w:pos="-2970"/>
              </w:tabs>
              <w:jc w:val="both"/>
              <w:rPr>
                <w:sz w:val="20"/>
                <w:szCs w:val="20"/>
                <w:lang w:val="en-US"/>
              </w:rPr>
            </w:pPr>
            <w:r w:rsidRPr="005C142C">
              <w:rPr>
                <w:sz w:val="20"/>
                <w:szCs w:val="20"/>
                <w:lang w:val="en-US"/>
              </w:rPr>
              <w:t>Ranjan K. Agarwal</w:t>
            </w:r>
            <w:r>
              <w:rPr>
                <w:sz w:val="20"/>
                <w:szCs w:val="20"/>
                <w:lang w:val="en-US"/>
              </w:rPr>
              <w:t xml:space="preserve"> and </w:t>
            </w:r>
            <w:r w:rsidRPr="005C142C">
              <w:rPr>
                <w:sz w:val="20"/>
                <w:szCs w:val="20"/>
                <w:lang w:val="en-US"/>
              </w:rPr>
              <w:t>Ashley L. Paterson</w:t>
            </w:r>
            <w:r>
              <w:rPr>
                <w:sz w:val="20"/>
                <w:szCs w:val="20"/>
                <w:lang w:val="en-US"/>
              </w:rPr>
              <w:t xml:space="preserve"> f</w:t>
            </w:r>
            <w:r w:rsidRPr="005C142C">
              <w:rPr>
                <w:sz w:val="20"/>
                <w:szCs w:val="20"/>
                <w:lang w:val="en-US"/>
              </w:rPr>
              <w:t xml:space="preserve">or the </w:t>
            </w:r>
            <w:r>
              <w:rPr>
                <w:sz w:val="20"/>
                <w:szCs w:val="20"/>
                <w:lang w:val="en-US"/>
              </w:rPr>
              <w:t>i</w:t>
            </w:r>
            <w:r w:rsidRPr="005C142C">
              <w:rPr>
                <w:sz w:val="20"/>
                <w:szCs w:val="20"/>
                <w:lang w:val="en-US"/>
              </w:rPr>
              <w:t>ntervener</w:t>
            </w:r>
            <w:r>
              <w:rPr>
                <w:sz w:val="20"/>
                <w:szCs w:val="20"/>
                <w:lang w:val="en-US"/>
              </w:rPr>
              <w:t xml:space="preserve"> </w:t>
            </w:r>
            <w:r w:rsidRPr="005C142C">
              <w:rPr>
                <w:sz w:val="20"/>
                <w:szCs w:val="20"/>
                <w:lang w:val="en-US"/>
              </w:rPr>
              <w:t>Canadian Civil Liberties Association</w:t>
            </w:r>
            <w:r>
              <w:rPr>
                <w:sz w:val="20"/>
                <w:szCs w:val="20"/>
                <w:lang w:val="en-US"/>
              </w:rPr>
              <w:t>.</w:t>
            </w:r>
          </w:p>
          <w:p w:rsidR="007C446E" w:rsidRPr="005C142C" w:rsidRDefault="007C446E" w:rsidP="007C446E">
            <w:pPr>
              <w:tabs>
                <w:tab w:val="left" w:pos="-2970"/>
              </w:tabs>
              <w:jc w:val="both"/>
              <w:rPr>
                <w:sz w:val="20"/>
                <w:szCs w:val="20"/>
                <w:lang w:val="en-US"/>
              </w:rPr>
            </w:pPr>
          </w:p>
          <w:p w:rsidR="007C446E" w:rsidRPr="005C142C" w:rsidRDefault="007C446E" w:rsidP="007C446E">
            <w:pPr>
              <w:tabs>
                <w:tab w:val="left" w:pos="-2970"/>
              </w:tabs>
              <w:jc w:val="both"/>
              <w:rPr>
                <w:sz w:val="20"/>
                <w:szCs w:val="20"/>
              </w:rPr>
            </w:pPr>
            <w:r w:rsidRPr="005C142C">
              <w:rPr>
                <w:sz w:val="20"/>
                <w:szCs w:val="20"/>
                <w:lang w:val="en-US"/>
              </w:rPr>
              <w:t>Lindsay M. Lyster</w:t>
            </w:r>
            <w:r>
              <w:rPr>
                <w:sz w:val="20"/>
                <w:szCs w:val="20"/>
                <w:lang w:val="en-US"/>
              </w:rPr>
              <w:t xml:space="preserve"> f</w:t>
            </w:r>
            <w:r w:rsidRPr="005C142C">
              <w:rPr>
                <w:sz w:val="20"/>
                <w:szCs w:val="20"/>
                <w:lang w:val="en-US"/>
              </w:rPr>
              <w:t xml:space="preserve">or the </w:t>
            </w:r>
            <w:r>
              <w:rPr>
                <w:sz w:val="20"/>
                <w:szCs w:val="20"/>
                <w:lang w:val="en-US"/>
              </w:rPr>
              <w:t>i</w:t>
            </w:r>
            <w:r w:rsidRPr="005C142C">
              <w:rPr>
                <w:sz w:val="20"/>
                <w:szCs w:val="20"/>
                <w:lang w:val="en-US"/>
              </w:rPr>
              <w:t>ntervener</w:t>
            </w:r>
            <w:r>
              <w:rPr>
                <w:sz w:val="20"/>
                <w:szCs w:val="20"/>
                <w:lang w:val="en-US"/>
              </w:rPr>
              <w:t xml:space="preserve"> </w:t>
            </w:r>
            <w:r w:rsidRPr="005C142C">
              <w:rPr>
                <w:sz w:val="20"/>
                <w:szCs w:val="20"/>
              </w:rPr>
              <w:t>British Columbia Civil Liberties Association.</w:t>
            </w:r>
          </w:p>
          <w:p w:rsidR="007C446E" w:rsidRPr="005C142C" w:rsidRDefault="007C446E" w:rsidP="007C446E">
            <w:pPr>
              <w:tabs>
                <w:tab w:val="left" w:pos="-2970"/>
              </w:tabs>
              <w:jc w:val="both"/>
              <w:rPr>
                <w:sz w:val="20"/>
                <w:szCs w:val="20"/>
              </w:rPr>
            </w:pPr>
          </w:p>
          <w:p w:rsidR="007C446E" w:rsidRPr="005C142C" w:rsidRDefault="007C446E" w:rsidP="007C446E">
            <w:pPr>
              <w:tabs>
                <w:tab w:val="left" w:pos="-2970"/>
              </w:tabs>
              <w:jc w:val="both"/>
              <w:rPr>
                <w:sz w:val="20"/>
                <w:szCs w:val="20"/>
                <w:lang w:val="fr-CA"/>
              </w:rPr>
            </w:pPr>
            <w:r w:rsidRPr="005C142C">
              <w:rPr>
                <w:sz w:val="20"/>
                <w:szCs w:val="20"/>
                <w:lang w:val="fr-CA"/>
              </w:rPr>
              <w:t>Benoit Laurin</w:t>
            </w:r>
            <w:r>
              <w:rPr>
                <w:sz w:val="20"/>
                <w:szCs w:val="20"/>
                <w:lang w:val="fr-CA"/>
              </w:rPr>
              <w:t xml:space="preserve"> et </w:t>
            </w:r>
            <w:r w:rsidRPr="005C142C">
              <w:rPr>
                <w:sz w:val="20"/>
                <w:szCs w:val="20"/>
                <w:lang w:val="fr-CA"/>
              </w:rPr>
              <w:t>Éric Lévesque</w:t>
            </w:r>
            <w:r>
              <w:rPr>
                <w:sz w:val="20"/>
                <w:szCs w:val="20"/>
                <w:lang w:val="fr-CA"/>
              </w:rPr>
              <w:t xml:space="preserve"> p</w:t>
            </w:r>
            <w:r w:rsidRPr="005C142C">
              <w:rPr>
                <w:sz w:val="20"/>
                <w:szCs w:val="20"/>
                <w:lang w:val="fr-CA"/>
              </w:rPr>
              <w:t>our l’intervenante</w:t>
            </w:r>
            <w:r>
              <w:rPr>
                <w:sz w:val="20"/>
                <w:szCs w:val="20"/>
                <w:lang w:val="fr-CA"/>
              </w:rPr>
              <w:t xml:space="preserve"> </w:t>
            </w:r>
            <w:r w:rsidRPr="005C142C">
              <w:rPr>
                <w:sz w:val="20"/>
                <w:szCs w:val="20"/>
                <w:lang w:val="fr-CA"/>
              </w:rPr>
              <w:t>Confédération des syndicats nationaux</w:t>
            </w:r>
            <w:r>
              <w:rPr>
                <w:sz w:val="20"/>
                <w:szCs w:val="20"/>
                <w:lang w:val="fr-CA"/>
              </w:rPr>
              <w:t>.</w:t>
            </w:r>
          </w:p>
          <w:p w:rsidR="007C446E" w:rsidRPr="005C142C" w:rsidRDefault="007C446E" w:rsidP="007C446E">
            <w:pPr>
              <w:tabs>
                <w:tab w:val="left" w:pos="-2970"/>
              </w:tabs>
              <w:jc w:val="both"/>
              <w:rPr>
                <w:sz w:val="20"/>
                <w:szCs w:val="20"/>
                <w:lang w:val="fr-CA"/>
              </w:rPr>
            </w:pPr>
          </w:p>
          <w:p w:rsidR="007C446E" w:rsidRPr="005C142C" w:rsidRDefault="007C446E" w:rsidP="007C446E">
            <w:pPr>
              <w:tabs>
                <w:tab w:val="left" w:pos="-2970"/>
              </w:tabs>
              <w:jc w:val="both"/>
              <w:rPr>
                <w:sz w:val="20"/>
                <w:szCs w:val="20"/>
                <w:lang w:val="en-US"/>
              </w:rPr>
            </w:pPr>
            <w:r w:rsidRPr="005C142C">
              <w:rPr>
                <w:sz w:val="20"/>
                <w:szCs w:val="20"/>
                <w:lang w:val="en-US"/>
              </w:rPr>
              <w:t>Andrew Raven</w:t>
            </w:r>
            <w:r>
              <w:rPr>
                <w:sz w:val="20"/>
                <w:szCs w:val="20"/>
                <w:lang w:val="en-US"/>
              </w:rPr>
              <w:t xml:space="preserve">, </w:t>
            </w:r>
            <w:r w:rsidRPr="005C142C">
              <w:rPr>
                <w:sz w:val="20"/>
                <w:szCs w:val="20"/>
                <w:lang w:val="en-US"/>
              </w:rPr>
              <w:t>Andrew Astritis</w:t>
            </w:r>
            <w:r>
              <w:rPr>
                <w:sz w:val="20"/>
                <w:szCs w:val="20"/>
                <w:lang w:val="en-US"/>
              </w:rPr>
              <w:t xml:space="preserve"> and </w:t>
            </w:r>
            <w:r w:rsidRPr="005C142C">
              <w:rPr>
                <w:sz w:val="20"/>
                <w:szCs w:val="20"/>
                <w:lang w:val="en-US"/>
              </w:rPr>
              <w:t>Morgan Rowe</w:t>
            </w:r>
            <w:r>
              <w:rPr>
                <w:sz w:val="20"/>
                <w:szCs w:val="20"/>
                <w:lang w:val="en-US"/>
              </w:rPr>
              <w:t xml:space="preserve"> f</w:t>
            </w:r>
            <w:r w:rsidRPr="005C142C">
              <w:rPr>
                <w:sz w:val="20"/>
                <w:szCs w:val="20"/>
                <w:lang w:val="en-US"/>
              </w:rPr>
              <w:t xml:space="preserve">or the </w:t>
            </w:r>
            <w:r>
              <w:rPr>
                <w:sz w:val="20"/>
                <w:szCs w:val="20"/>
                <w:lang w:val="en-US"/>
              </w:rPr>
              <w:t>i</w:t>
            </w:r>
            <w:r w:rsidRPr="005C142C">
              <w:rPr>
                <w:sz w:val="20"/>
                <w:szCs w:val="20"/>
                <w:lang w:val="en-US"/>
              </w:rPr>
              <w:t>ntervener</w:t>
            </w:r>
            <w:r>
              <w:rPr>
                <w:sz w:val="20"/>
                <w:szCs w:val="20"/>
                <w:lang w:val="en-US"/>
              </w:rPr>
              <w:t xml:space="preserve"> </w:t>
            </w:r>
            <w:r w:rsidRPr="005C142C">
              <w:rPr>
                <w:sz w:val="20"/>
                <w:szCs w:val="20"/>
                <w:lang w:val="en-US"/>
              </w:rPr>
              <w:t>Public Service Alliance of Canada</w:t>
            </w:r>
            <w:r>
              <w:rPr>
                <w:sz w:val="20"/>
                <w:szCs w:val="20"/>
                <w:lang w:val="en-US"/>
              </w:rPr>
              <w:t>.</w:t>
            </w:r>
          </w:p>
          <w:p w:rsidR="007C446E" w:rsidRPr="005C142C" w:rsidRDefault="007C446E" w:rsidP="007C446E">
            <w:pPr>
              <w:tabs>
                <w:tab w:val="left" w:pos="-2970"/>
              </w:tabs>
              <w:jc w:val="both"/>
              <w:rPr>
                <w:sz w:val="20"/>
                <w:szCs w:val="20"/>
                <w:lang w:val="en-US"/>
              </w:rPr>
            </w:pPr>
          </w:p>
          <w:p w:rsidR="007C446E" w:rsidRPr="005C142C" w:rsidRDefault="007C446E" w:rsidP="007C446E">
            <w:pPr>
              <w:tabs>
                <w:tab w:val="left" w:pos="-2970"/>
              </w:tabs>
              <w:jc w:val="both"/>
              <w:rPr>
                <w:sz w:val="20"/>
                <w:szCs w:val="20"/>
                <w:lang w:val="en-US"/>
              </w:rPr>
            </w:pPr>
            <w:r w:rsidRPr="005C142C">
              <w:rPr>
                <w:sz w:val="20"/>
                <w:szCs w:val="20"/>
                <w:lang w:val="en-US"/>
              </w:rPr>
              <w:t>Steven Barrett</w:t>
            </w:r>
            <w:r>
              <w:rPr>
                <w:sz w:val="20"/>
                <w:szCs w:val="20"/>
                <w:lang w:val="en-US"/>
              </w:rPr>
              <w:t xml:space="preserve"> and </w:t>
            </w:r>
            <w:r w:rsidRPr="005C142C">
              <w:rPr>
                <w:sz w:val="20"/>
                <w:szCs w:val="20"/>
                <w:lang w:val="en-US"/>
              </w:rPr>
              <w:t>Ethan Poskanzer</w:t>
            </w:r>
            <w:r>
              <w:rPr>
                <w:sz w:val="20"/>
                <w:szCs w:val="20"/>
                <w:lang w:val="en-US"/>
              </w:rPr>
              <w:t xml:space="preserve"> f</w:t>
            </w:r>
            <w:r w:rsidRPr="005C142C">
              <w:rPr>
                <w:sz w:val="20"/>
                <w:szCs w:val="20"/>
                <w:lang w:val="en-US"/>
              </w:rPr>
              <w:t xml:space="preserve">or the </w:t>
            </w:r>
            <w:r>
              <w:rPr>
                <w:sz w:val="20"/>
                <w:szCs w:val="20"/>
                <w:lang w:val="en-US"/>
              </w:rPr>
              <w:t>i</w:t>
            </w:r>
            <w:r w:rsidRPr="005C142C">
              <w:rPr>
                <w:sz w:val="20"/>
                <w:szCs w:val="20"/>
                <w:lang w:val="en-US"/>
              </w:rPr>
              <w:t>ntervener</w:t>
            </w:r>
            <w:r>
              <w:rPr>
                <w:sz w:val="20"/>
                <w:szCs w:val="20"/>
                <w:lang w:val="en-US"/>
              </w:rPr>
              <w:t xml:space="preserve"> </w:t>
            </w:r>
            <w:r w:rsidRPr="005C142C">
              <w:rPr>
                <w:sz w:val="20"/>
                <w:szCs w:val="20"/>
                <w:lang w:val="en-US"/>
              </w:rPr>
              <w:t>Canadian Labour Congress</w:t>
            </w:r>
            <w:r>
              <w:rPr>
                <w:sz w:val="20"/>
                <w:szCs w:val="20"/>
                <w:lang w:val="en-US"/>
              </w:rPr>
              <w:t>.</w:t>
            </w:r>
          </w:p>
          <w:p w:rsidR="007C446E" w:rsidRPr="005C142C" w:rsidRDefault="007C446E" w:rsidP="007C446E">
            <w:pPr>
              <w:tabs>
                <w:tab w:val="left" w:pos="-2970"/>
              </w:tabs>
              <w:jc w:val="both"/>
              <w:rPr>
                <w:sz w:val="20"/>
                <w:szCs w:val="20"/>
                <w:lang w:val="en-US"/>
              </w:rPr>
            </w:pPr>
          </w:p>
          <w:p w:rsidR="007C446E" w:rsidRDefault="007C446E" w:rsidP="007C446E">
            <w:pPr>
              <w:tabs>
                <w:tab w:val="left" w:pos="-2970"/>
              </w:tabs>
              <w:jc w:val="both"/>
              <w:rPr>
                <w:sz w:val="20"/>
                <w:szCs w:val="20"/>
                <w:lang w:val="en-US"/>
              </w:rPr>
            </w:pPr>
            <w:r w:rsidRPr="005C142C">
              <w:rPr>
                <w:sz w:val="20"/>
                <w:szCs w:val="20"/>
                <w:lang w:val="en-US"/>
              </w:rPr>
              <w:t>Peter Southey</w:t>
            </w:r>
            <w:r>
              <w:rPr>
                <w:sz w:val="20"/>
                <w:szCs w:val="20"/>
                <w:lang w:val="en-US"/>
              </w:rPr>
              <w:t xml:space="preserve">, </w:t>
            </w:r>
            <w:r w:rsidRPr="005C142C">
              <w:rPr>
                <w:sz w:val="20"/>
                <w:szCs w:val="20"/>
                <w:lang w:val="en-US"/>
              </w:rPr>
              <w:t>Donnaree Nygard</w:t>
            </w:r>
            <w:r>
              <w:rPr>
                <w:sz w:val="20"/>
                <w:szCs w:val="20"/>
                <w:lang w:val="en-US"/>
              </w:rPr>
              <w:t xml:space="preserve"> and </w:t>
            </w:r>
            <w:r w:rsidRPr="005C142C">
              <w:rPr>
                <w:sz w:val="20"/>
                <w:szCs w:val="20"/>
                <w:lang w:val="en-US"/>
              </w:rPr>
              <w:t>Kathryn Hucal</w:t>
            </w:r>
            <w:r>
              <w:rPr>
                <w:sz w:val="20"/>
                <w:szCs w:val="20"/>
                <w:lang w:val="en-US"/>
              </w:rPr>
              <w:t xml:space="preserve"> f</w:t>
            </w:r>
            <w:r w:rsidRPr="005C142C">
              <w:rPr>
                <w:sz w:val="20"/>
                <w:szCs w:val="20"/>
                <w:lang w:val="en-US"/>
              </w:rPr>
              <w:t xml:space="preserve">or the </w:t>
            </w:r>
            <w:r>
              <w:rPr>
                <w:sz w:val="20"/>
                <w:szCs w:val="20"/>
                <w:lang w:val="en-US"/>
              </w:rPr>
              <w:t>r</w:t>
            </w:r>
            <w:r w:rsidRPr="005C142C">
              <w:rPr>
                <w:sz w:val="20"/>
                <w:szCs w:val="20"/>
                <w:lang w:val="en-US"/>
              </w:rPr>
              <w:t>espondent.</w:t>
            </w:r>
          </w:p>
          <w:p w:rsidR="007C446E" w:rsidRPr="005C142C" w:rsidRDefault="007C446E" w:rsidP="007C446E">
            <w:pPr>
              <w:tabs>
                <w:tab w:val="left" w:pos="-2970"/>
              </w:tabs>
              <w:jc w:val="both"/>
              <w:rPr>
                <w:sz w:val="20"/>
                <w:szCs w:val="20"/>
                <w:lang w:val="en-US"/>
              </w:rPr>
            </w:pPr>
          </w:p>
          <w:p w:rsidR="007C446E" w:rsidRPr="005C142C" w:rsidRDefault="007C446E" w:rsidP="007C446E">
            <w:pPr>
              <w:tabs>
                <w:tab w:val="left" w:pos="-2970"/>
              </w:tabs>
              <w:jc w:val="both"/>
              <w:rPr>
                <w:sz w:val="20"/>
                <w:szCs w:val="20"/>
              </w:rPr>
            </w:pPr>
            <w:r w:rsidRPr="005C142C">
              <w:rPr>
                <w:sz w:val="20"/>
                <w:szCs w:val="20"/>
                <w:lang w:val="en-US"/>
              </w:rPr>
              <w:t>Robin K. Basu</w:t>
            </w:r>
            <w:r>
              <w:rPr>
                <w:sz w:val="20"/>
                <w:szCs w:val="20"/>
                <w:lang w:val="en-US"/>
              </w:rPr>
              <w:t xml:space="preserve"> and </w:t>
            </w:r>
            <w:r w:rsidRPr="005C142C">
              <w:rPr>
                <w:sz w:val="20"/>
                <w:szCs w:val="20"/>
                <w:lang w:val="en-US"/>
              </w:rPr>
              <w:t>Michael Dunn</w:t>
            </w:r>
            <w:r>
              <w:rPr>
                <w:sz w:val="20"/>
                <w:szCs w:val="20"/>
                <w:lang w:val="en-US"/>
              </w:rPr>
              <w:t xml:space="preserve"> f</w:t>
            </w:r>
            <w:r w:rsidRPr="005C142C">
              <w:rPr>
                <w:sz w:val="20"/>
                <w:szCs w:val="20"/>
                <w:lang w:val="en-US"/>
              </w:rPr>
              <w:t xml:space="preserve">or the </w:t>
            </w:r>
            <w:r>
              <w:rPr>
                <w:sz w:val="20"/>
                <w:szCs w:val="20"/>
                <w:lang w:val="en-US"/>
              </w:rPr>
              <w:t>i</w:t>
            </w:r>
            <w:r w:rsidRPr="005C142C">
              <w:rPr>
                <w:sz w:val="20"/>
                <w:szCs w:val="20"/>
                <w:lang w:val="en-US"/>
              </w:rPr>
              <w:t>ntervener</w:t>
            </w:r>
            <w:r>
              <w:rPr>
                <w:sz w:val="20"/>
                <w:szCs w:val="20"/>
                <w:lang w:val="en-US"/>
              </w:rPr>
              <w:t xml:space="preserve"> </w:t>
            </w:r>
            <w:r w:rsidRPr="005C142C">
              <w:rPr>
                <w:sz w:val="20"/>
                <w:szCs w:val="20"/>
              </w:rPr>
              <w:t>Attorney General of Ontario</w:t>
            </w:r>
            <w:r>
              <w:rPr>
                <w:sz w:val="20"/>
                <w:szCs w:val="20"/>
              </w:rPr>
              <w:t>.</w:t>
            </w:r>
          </w:p>
          <w:p w:rsidR="007C446E" w:rsidRPr="005C142C" w:rsidRDefault="007C446E" w:rsidP="007C446E">
            <w:pPr>
              <w:tabs>
                <w:tab w:val="left" w:pos="-2970"/>
              </w:tabs>
              <w:jc w:val="both"/>
              <w:rPr>
                <w:sz w:val="20"/>
                <w:szCs w:val="20"/>
              </w:rPr>
            </w:pPr>
          </w:p>
          <w:p w:rsidR="007C446E" w:rsidRPr="005C142C" w:rsidRDefault="007C446E" w:rsidP="007C446E">
            <w:pPr>
              <w:tabs>
                <w:tab w:val="left" w:pos="-2970"/>
              </w:tabs>
              <w:jc w:val="both"/>
              <w:rPr>
                <w:sz w:val="20"/>
                <w:szCs w:val="20"/>
              </w:rPr>
            </w:pPr>
            <w:r w:rsidRPr="005C142C">
              <w:rPr>
                <w:sz w:val="20"/>
                <w:szCs w:val="20"/>
                <w:lang w:val="en-US"/>
              </w:rPr>
              <w:t>Graeme G. Mitchell, Q.C.</w:t>
            </w:r>
            <w:r>
              <w:rPr>
                <w:sz w:val="20"/>
                <w:szCs w:val="20"/>
                <w:lang w:val="en-US"/>
              </w:rPr>
              <w:t xml:space="preserve"> f</w:t>
            </w:r>
            <w:r w:rsidRPr="005C142C">
              <w:rPr>
                <w:sz w:val="20"/>
                <w:szCs w:val="20"/>
                <w:lang w:val="en-US"/>
              </w:rPr>
              <w:t xml:space="preserve">or the </w:t>
            </w:r>
            <w:r>
              <w:rPr>
                <w:sz w:val="20"/>
                <w:szCs w:val="20"/>
                <w:lang w:val="en-US"/>
              </w:rPr>
              <w:t>i</w:t>
            </w:r>
            <w:r w:rsidRPr="005C142C">
              <w:rPr>
                <w:sz w:val="20"/>
                <w:szCs w:val="20"/>
                <w:lang w:val="en-US"/>
              </w:rPr>
              <w:t>ntervener</w:t>
            </w:r>
            <w:r>
              <w:rPr>
                <w:sz w:val="20"/>
                <w:szCs w:val="20"/>
                <w:lang w:val="en-US"/>
              </w:rPr>
              <w:t xml:space="preserve"> </w:t>
            </w:r>
            <w:r w:rsidRPr="005C142C">
              <w:rPr>
                <w:sz w:val="20"/>
                <w:szCs w:val="20"/>
              </w:rPr>
              <w:t>Attorney General of Saskatchewan</w:t>
            </w:r>
            <w:r>
              <w:rPr>
                <w:sz w:val="20"/>
                <w:szCs w:val="20"/>
              </w:rPr>
              <w:t>.</w:t>
            </w:r>
          </w:p>
          <w:p w:rsidR="007C446E" w:rsidRPr="005C142C" w:rsidRDefault="007C446E" w:rsidP="007C446E">
            <w:pPr>
              <w:tabs>
                <w:tab w:val="left" w:pos="-2970"/>
              </w:tabs>
              <w:jc w:val="both"/>
              <w:rPr>
                <w:sz w:val="20"/>
                <w:szCs w:val="20"/>
              </w:rPr>
            </w:pPr>
          </w:p>
          <w:p w:rsidR="007C446E" w:rsidRPr="005C142C" w:rsidRDefault="007C446E" w:rsidP="007C446E">
            <w:pPr>
              <w:tabs>
                <w:tab w:val="left" w:pos="-2970"/>
              </w:tabs>
              <w:jc w:val="both"/>
              <w:rPr>
                <w:sz w:val="20"/>
                <w:szCs w:val="20"/>
              </w:rPr>
            </w:pPr>
            <w:r w:rsidRPr="005C142C">
              <w:rPr>
                <w:sz w:val="20"/>
                <w:szCs w:val="20"/>
                <w:lang w:val="en-US"/>
              </w:rPr>
              <w:t>Roderick S. Wiltshire</w:t>
            </w:r>
            <w:r>
              <w:rPr>
                <w:sz w:val="20"/>
                <w:szCs w:val="20"/>
                <w:lang w:val="en-US"/>
              </w:rPr>
              <w:t xml:space="preserve"> f</w:t>
            </w:r>
            <w:r w:rsidRPr="005C142C">
              <w:rPr>
                <w:sz w:val="20"/>
                <w:szCs w:val="20"/>
                <w:lang w:val="en-US"/>
              </w:rPr>
              <w:t xml:space="preserve">or the </w:t>
            </w:r>
            <w:r>
              <w:rPr>
                <w:sz w:val="20"/>
                <w:szCs w:val="20"/>
                <w:lang w:val="en-US"/>
              </w:rPr>
              <w:t>i</w:t>
            </w:r>
            <w:r w:rsidRPr="005C142C">
              <w:rPr>
                <w:sz w:val="20"/>
                <w:szCs w:val="20"/>
                <w:lang w:val="en-US"/>
              </w:rPr>
              <w:t>ntervener</w:t>
            </w:r>
            <w:r>
              <w:rPr>
                <w:sz w:val="20"/>
                <w:szCs w:val="20"/>
                <w:lang w:val="en-US"/>
              </w:rPr>
              <w:t xml:space="preserve"> </w:t>
            </w:r>
            <w:r w:rsidRPr="005C142C">
              <w:rPr>
                <w:sz w:val="20"/>
                <w:szCs w:val="20"/>
              </w:rPr>
              <w:t xml:space="preserve">Attorney </w:t>
            </w:r>
            <w:r w:rsidRPr="005C142C">
              <w:rPr>
                <w:sz w:val="20"/>
                <w:szCs w:val="20"/>
              </w:rPr>
              <w:lastRenderedPageBreak/>
              <w:t>General of Alberta</w:t>
            </w:r>
            <w:r>
              <w:rPr>
                <w:sz w:val="20"/>
                <w:szCs w:val="20"/>
              </w:rPr>
              <w:t>.</w:t>
            </w:r>
          </w:p>
          <w:p w:rsidR="007C446E" w:rsidRPr="005C142C" w:rsidRDefault="007C446E" w:rsidP="007C446E">
            <w:pPr>
              <w:tabs>
                <w:tab w:val="left" w:pos="-2970"/>
              </w:tabs>
              <w:jc w:val="both"/>
              <w:rPr>
                <w:sz w:val="20"/>
                <w:szCs w:val="20"/>
              </w:rPr>
            </w:pPr>
          </w:p>
          <w:p w:rsidR="007C446E" w:rsidRPr="005C142C" w:rsidRDefault="007C446E" w:rsidP="007C446E">
            <w:pPr>
              <w:tabs>
                <w:tab w:val="left" w:pos="-2970"/>
              </w:tabs>
              <w:jc w:val="both"/>
              <w:rPr>
                <w:sz w:val="20"/>
                <w:szCs w:val="20"/>
              </w:rPr>
            </w:pPr>
            <w:r w:rsidRPr="005C142C">
              <w:rPr>
                <w:sz w:val="20"/>
                <w:szCs w:val="20"/>
                <w:lang w:val="en-US"/>
              </w:rPr>
              <w:t>Jonathan Penner</w:t>
            </w:r>
            <w:r>
              <w:rPr>
                <w:sz w:val="20"/>
                <w:szCs w:val="20"/>
                <w:lang w:val="en-US"/>
              </w:rPr>
              <w:t xml:space="preserve">, </w:t>
            </w:r>
            <w:r w:rsidRPr="005C142C">
              <w:rPr>
                <w:sz w:val="20"/>
                <w:szCs w:val="20"/>
                <w:lang w:val="en-US"/>
              </w:rPr>
              <w:t>Keith Evans</w:t>
            </w:r>
            <w:r>
              <w:rPr>
                <w:sz w:val="20"/>
                <w:szCs w:val="20"/>
                <w:lang w:val="en-US"/>
              </w:rPr>
              <w:t xml:space="preserve"> and </w:t>
            </w:r>
            <w:r w:rsidRPr="005C142C">
              <w:rPr>
                <w:sz w:val="20"/>
                <w:szCs w:val="20"/>
              </w:rPr>
              <w:t>Karen Horsman</w:t>
            </w:r>
            <w:r>
              <w:rPr>
                <w:sz w:val="20"/>
                <w:szCs w:val="20"/>
              </w:rPr>
              <w:t xml:space="preserve"> f</w:t>
            </w:r>
            <w:r w:rsidRPr="005C142C">
              <w:rPr>
                <w:sz w:val="20"/>
                <w:szCs w:val="20"/>
                <w:lang w:val="en-US"/>
              </w:rPr>
              <w:t xml:space="preserve">or the </w:t>
            </w:r>
            <w:r>
              <w:rPr>
                <w:sz w:val="20"/>
                <w:szCs w:val="20"/>
                <w:lang w:val="en-US"/>
              </w:rPr>
              <w:t>i</w:t>
            </w:r>
            <w:r w:rsidRPr="005C142C">
              <w:rPr>
                <w:sz w:val="20"/>
                <w:szCs w:val="20"/>
                <w:lang w:val="en-US"/>
              </w:rPr>
              <w:t>ntervener</w:t>
            </w:r>
            <w:r>
              <w:rPr>
                <w:sz w:val="20"/>
                <w:szCs w:val="20"/>
                <w:lang w:val="en-US"/>
              </w:rPr>
              <w:t xml:space="preserve"> </w:t>
            </w:r>
            <w:r w:rsidRPr="005C142C">
              <w:rPr>
                <w:sz w:val="20"/>
                <w:szCs w:val="20"/>
              </w:rPr>
              <w:t>Attorney General of British Columbia</w:t>
            </w:r>
            <w:r>
              <w:rPr>
                <w:sz w:val="20"/>
                <w:szCs w:val="20"/>
              </w:rPr>
              <w:t>.</w:t>
            </w:r>
          </w:p>
          <w:p w:rsidR="007C446E" w:rsidRPr="005C142C" w:rsidRDefault="007C446E" w:rsidP="007C446E">
            <w:pPr>
              <w:tabs>
                <w:tab w:val="left" w:pos="-2970"/>
              </w:tabs>
              <w:jc w:val="both"/>
              <w:rPr>
                <w:sz w:val="20"/>
                <w:szCs w:val="20"/>
              </w:rPr>
            </w:pPr>
          </w:p>
          <w:p w:rsidR="002A27D1" w:rsidRPr="00C50A5C" w:rsidRDefault="007C446E" w:rsidP="007C446E">
            <w:pPr>
              <w:tabs>
                <w:tab w:val="left" w:pos="-2970"/>
              </w:tabs>
              <w:jc w:val="both"/>
              <w:rPr>
                <w:sz w:val="20"/>
                <w:szCs w:val="20"/>
              </w:rPr>
            </w:pPr>
            <w:r w:rsidRPr="005C142C">
              <w:rPr>
                <w:sz w:val="20"/>
                <w:szCs w:val="20"/>
                <w:lang w:val="en-US"/>
              </w:rPr>
              <w:t>John D.R. Craig</w:t>
            </w:r>
            <w:r>
              <w:rPr>
                <w:sz w:val="20"/>
                <w:szCs w:val="20"/>
                <w:lang w:val="en-US"/>
              </w:rPr>
              <w:t xml:space="preserve"> and </w:t>
            </w:r>
            <w:r w:rsidRPr="005C142C">
              <w:rPr>
                <w:sz w:val="20"/>
                <w:szCs w:val="20"/>
                <w:lang w:val="en-US"/>
              </w:rPr>
              <w:t>Christopher D. Pigott</w:t>
            </w:r>
            <w:r>
              <w:rPr>
                <w:sz w:val="20"/>
                <w:szCs w:val="20"/>
                <w:lang w:val="en-US"/>
              </w:rPr>
              <w:t xml:space="preserve"> f</w:t>
            </w:r>
            <w:r w:rsidRPr="005C142C">
              <w:rPr>
                <w:sz w:val="20"/>
                <w:szCs w:val="20"/>
                <w:lang w:val="en-US"/>
              </w:rPr>
              <w:t xml:space="preserve">or the </w:t>
            </w:r>
            <w:r>
              <w:rPr>
                <w:sz w:val="20"/>
                <w:szCs w:val="20"/>
                <w:lang w:val="en-US"/>
              </w:rPr>
              <w:t>i</w:t>
            </w:r>
            <w:r w:rsidRPr="005C142C">
              <w:rPr>
                <w:sz w:val="20"/>
                <w:szCs w:val="20"/>
                <w:lang w:val="en-US"/>
              </w:rPr>
              <w:t>ntervener</w:t>
            </w:r>
            <w:r>
              <w:rPr>
                <w:sz w:val="20"/>
                <w:szCs w:val="20"/>
                <w:lang w:val="en-US"/>
              </w:rPr>
              <w:t xml:space="preserve"> </w:t>
            </w:r>
            <w:r w:rsidRPr="005C142C">
              <w:rPr>
                <w:sz w:val="20"/>
                <w:szCs w:val="20"/>
              </w:rPr>
              <w:t>Mounted Police Members</w:t>
            </w:r>
            <w:r>
              <w:rPr>
                <w:sz w:val="20"/>
                <w:szCs w:val="20"/>
              </w:rPr>
              <w:t>’</w:t>
            </w:r>
            <w:r w:rsidRPr="005C142C">
              <w:rPr>
                <w:sz w:val="20"/>
                <w:szCs w:val="20"/>
              </w:rPr>
              <w:t xml:space="preserve"> Legal Fund</w:t>
            </w:r>
            <w:r>
              <w:rPr>
                <w:sz w:val="20"/>
                <w:szCs w:val="20"/>
              </w:rPr>
              <w:t>.</w:t>
            </w:r>
          </w:p>
        </w:tc>
      </w:tr>
    </w:tbl>
    <w:p w:rsidR="002A27D1" w:rsidRDefault="002A27D1" w:rsidP="002A27D1">
      <w:pPr>
        <w:widowControl w:val="0"/>
        <w:rPr>
          <w:sz w:val="20"/>
          <w:szCs w:val="20"/>
        </w:rPr>
      </w:pPr>
    </w:p>
    <w:p w:rsidR="002A27D1" w:rsidRPr="0085476B" w:rsidRDefault="00A51A60" w:rsidP="002A27D1">
      <w:pPr>
        <w:widowControl w:val="0"/>
        <w:rPr>
          <w:sz w:val="20"/>
          <w:szCs w:val="20"/>
        </w:rPr>
      </w:pPr>
      <w:r>
        <w:rPr>
          <w:b/>
          <w:sz w:val="20"/>
          <w:szCs w:val="20"/>
        </w:rPr>
        <w:t>RESERV</w:t>
      </w:r>
      <w:r w:rsidR="002A27D1" w:rsidRPr="0085476B">
        <w:rPr>
          <w:b/>
          <w:sz w:val="20"/>
          <w:szCs w:val="20"/>
        </w:rPr>
        <w:t xml:space="preserve">ED / </w:t>
      </w:r>
      <w:r w:rsidR="002A27D1" w:rsidRPr="0085476B">
        <w:rPr>
          <w:b/>
          <w:sz w:val="20"/>
          <w:szCs w:val="20"/>
          <w:lang w:val="fr-CA"/>
        </w:rPr>
        <w:t>E</w:t>
      </w:r>
      <w:r>
        <w:rPr>
          <w:b/>
          <w:sz w:val="20"/>
          <w:szCs w:val="20"/>
          <w:lang w:val="fr-CA"/>
        </w:rPr>
        <w:t>N DÉ</w:t>
      </w:r>
      <w:r w:rsidR="002A27D1">
        <w:rPr>
          <w:b/>
          <w:sz w:val="20"/>
          <w:szCs w:val="20"/>
          <w:lang w:val="fr-CA"/>
        </w:rPr>
        <w:t>LI</w:t>
      </w:r>
      <w:r>
        <w:rPr>
          <w:b/>
          <w:sz w:val="20"/>
          <w:szCs w:val="20"/>
          <w:lang w:val="fr-CA"/>
        </w:rPr>
        <w:t>BÉRÉ</w:t>
      </w:r>
    </w:p>
    <w:p w:rsidR="002A27D1" w:rsidRDefault="002A27D1" w:rsidP="002A27D1"/>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2A27D1" w:rsidRPr="00EB0F11" w:rsidTr="002A4AFA">
        <w:tc>
          <w:tcPr>
            <w:tcW w:w="4380" w:type="dxa"/>
            <w:tcMar>
              <w:left w:w="0" w:type="dxa"/>
              <w:right w:w="0" w:type="dxa"/>
            </w:tcMar>
          </w:tcPr>
          <w:p w:rsidR="002A27D1" w:rsidRPr="00CC4D84" w:rsidRDefault="002A27D1" w:rsidP="002A4AFA">
            <w:pPr>
              <w:widowControl w:val="0"/>
              <w:jc w:val="both"/>
              <w:rPr>
                <w:b/>
                <w:sz w:val="20"/>
                <w:szCs w:val="20"/>
                <w:u w:val="single"/>
              </w:rPr>
            </w:pPr>
            <w:r w:rsidRPr="00CC4D84">
              <w:rPr>
                <w:b/>
                <w:sz w:val="20"/>
                <w:szCs w:val="20"/>
                <w:u w:val="single"/>
              </w:rPr>
              <w:t>Nature of the case:</w:t>
            </w:r>
          </w:p>
          <w:p w:rsidR="002A27D1" w:rsidRPr="001A663B" w:rsidRDefault="002A27D1" w:rsidP="002A4AFA">
            <w:pPr>
              <w:widowControl w:val="0"/>
              <w:jc w:val="both"/>
              <w:rPr>
                <w:b/>
                <w:sz w:val="20"/>
                <w:szCs w:val="20"/>
              </w:rPr>
            </w:pPr>
          </w:p>
          <w:p w:rsidR="002A27D1" w:rsidRPr="00C1697B" w:rsidRDefault="00F146D0" w:rsidP="002A4AFA">
            <w:pPr>
              <w:widowControl w:val="0"/>
              <w:jc w:val="both"/>
              <w:rPr>
                <w:b/>
                <w:sz w:val="20"/>
                <w:szCs w:val="20"/>
              </w:rPr>
            </w:pPr>
            <w:r w:rsidRPr="00E833AB">
              <w:rPr>
                <w:i/>
                <w:sz w:val="20"/>
                <w:szCs w:val="20"/>
              </w:rPr>
              <w:t>Canadian Charter of Rights and Freedoms</w:t>
            </w:r>
            <w:r w:rsidRPr="00E833AB">
              <w:rPr>
                <w:sz w:val="20"/>
                <w:szCs w:val="20"/>
              </w:rPr>
              <w:t xml:space="preserve"> - Labour and employment law - Freedom of association - Collective bargaining - Regulations imposing a labour relations regime for RCMP members - Whether s. 96 of the </w:t>
            </w:r>
            <w:r w:rsidRPr="00E833AB">
              <w:rPr>
                <w:i/>
                <w:sz w:val="20"/>
                <w:szCs w:val="20"/>
              </w:rPr>
              <w:t>Royal Canadian Mounted Police Regulations</w:t>
            </w:r>
            <w:r w:rsidRPr="00E833AB">
              <w:rPr>
                <w:sz w:val="20"/>
                <w:szCs w:val="20"/>
              </w:rPr>
              <w:t>, 1998, SOR/88-361, infringes s. 2(</w:t>
            </w:r>
            <w:r w:rsidRPr="00E833AB">
              <w:rPr>
                <w:i/>
                <w:sz w:val="20"/>
                <w:szCs w:val="20"/>
              </w:rPr>
              <w:t>d</w:t>
            </w:r>
            <w:r w:rsidRPr="00E833AB">
              <w:rPr>
                <w:sz w:val="20"/>
                <w:szCs w:val="20"/>
              </w:rPr>
              <w:t xml:space="preserve">) of the Canadian </w:t>
            </w:r>
            <w:r w:rsidRPr="00E833AB">
              <w:rPr>
                <w:i/>
                <w:sz w:val="20"/>
                <w:szCs w:val="20"/>
              </w:rPr>
              <w:t>Charter of Rights and Freedoms</w:t>
            </w:r>
            <w:r w:rsidRPr="00E833AB">
              <w:rPr>
                <w:sz w:val="20"/>
                <w:szCs w:val="20"/>
              </w:rPr>
              <w:t xml:space="preserve"> - If so, whether the infringement is a reasonable limit prescribed by law as can be demonstrably justified in a free and democratic society under s. 1 of the </w:t>
            </w:r>
            <w:r w:rsidRPr="00E833AB">
              <w:rPr>
                <w:i/>
                <w:sz w:val="20"/>
                <w:szCs w:val="20"/>
              </w:rPr>
              <w:t>Canadian Charter of Rights and Freedoms</w:t>
            </w:r>
            <w:r w:rsidRPr="00E833AB">
              <w:rPr>
                <w:sz w:val="20"/>
                <w:szCs w:val="20"/>
              </w:rPr>
              <w:t xml:space="preserve"> - Whether para. (d) of the definition of “employee” at s. 2(1) of the </w:t>
            </w:r>
            <w:r w:rsidRPr="00E833AB">
              <w:rPr>
                <w:i/>
                <w:sz w:val="20"/>
                <w:szCs w:val="20"/>
              </w:rPr>
              <w:t>Public Service Labour Relations Act</w:t>
            </w:r>
            <w:r w:rsidRPr="00E833AB">
              <w:rPr>
                <w:sz w:val="20"/>
                <w:szCs w:val="20"/>
              </w:rPr>
              <w:t>, S.C. 2003, c. 22, infringes s. 2(</w:t>
            </w:r>
            <w:r w:rsidRPr="00E833AB">
              <w:rPr>
                <w:i/>
                <w:sz w:val="20"/>
                <w:szCs w:val="20"/>
              </w:rPr>
              <w:t>d</w:t>
            </w:r>
            <w:r w:rsidRPr="00E833AB">
              <w:rPr>
                <w:sz w:val="20"/>
                <w:szCs w:val="20"/>
              </w:rPr>
              <w:t xml:space="preserve">) of the </w:t>
            </w:r>
            <w:r w:rsidRPr="00E833AB">
              <w:rPr>
                <w:i/>
                <w:sz w:val="20"/>
                <w:szCs w:val="20"/>
              </w:rPr>
              <w:t>Canadian Charter of Rights and Freedoms</w:t>
            </w:r>
            <w:r w:rsidRPr="00E833AB">
              <w:rPr>
                <w:sz w:val="20"/>
                <w:szCs w:val="20"/>
              </w:rPr>
              <w:t xml:space="preserve"> - If so, whether the infringement is a reasonable limit prescribed by law as can be demonstrably justified in a free and democratic society under s. 1 of the </w:t>
            </w:r>
            <w:r w:rsidRPr="00E833AB">
              <w:rPr>
                <w:i/>
                <w:sz w:val="20"/>
                <w:szCs w:val="20"/>
              </w:rPr>
              <w:t>Canadian Charter of Rights and Freedoms</w:t>
            </w:r>
            <w:r w:rsidR="00B30D54">
              <w:rPr>
                <w:sz w:val="20"/>
                <w:szCs w:val="20"/>
              </w:rPr>
              <w:t>?</w:t>
            </w:r>
          </w:p>
        </w:tc>
        <w:tc>
          <w:tcPr>
            <w:tcW w:w="720" w:type="dxa"/>
            <w:tcMar>
              <w:left w:w="0" w:type="dxa"/>
              <w:right w:w="0" w:type="dxa"/>
            </w:tcMar>
          </w:tcPr>
          <w:p w:rsidR="002A27D1" w:rsidRPr="00C1697B" w:rsidRDefault="002A27D1" w:rsidP="002A4AFA">
            <w:pPr>
              <w:widowControl w:val="0"/>
              <w:jc w:val="center"/>
              <w:rPr>
                <w:sz w:val="20"/>
                <w:szCs w:val="20"/>
              </w:rPr>
            </w:pPr>
          </w:p>
        </w:tc>
        <w:tc>
          <w:tcPr>
            <w:tcW w:w="4380" w:type="dxa"/>
            <w:tcMar>
              <w:left w:w="0" w:type="dxa"/>
              <w:right w:w="0" w:type="dxa"/>
            </w:tcMar>
          </w:tcPr>
          <w:p w:rsidR="002A27D1" w:rsidRPr="00CC4D84" w:rsidRDefault="002A27D1" w:rsidP="002A4AFA">
            <w:pPr>
              <w:widowControl w:val="0"/>
              <w:jc w:val="both"/>
              <w:rPr>
                <w:b/>
                <w:sz w:val="20"/>
                <w:szCs w:val="20"/>
                <w:u w:val="single"/>
                <w:lang w:val="fr-CA"/>
              </w:rPr>
            </w:pPr>
            <w:r w:rsidRPr="00CC4D84">
              <w:rPr>
                <w:b/>
                <w:sz w:val="20"/>
                <w:szCs w:val="20"/>
                <w:u w:val="single"/>
                <w:lang w:val="fr-CA"/>
              </w:rPr>
              <w:t>Nature de la cause :</w:t>
            </w:r>
          </w:p>
          <w:p w:rsidR="002A27D1" w:rsidRPr="00C1697B" w:rsidRDefault="002A27D1" w:rsidP="002A4AFA">
            <w:pPr>
              <w:widowControl w:val="0"/>
              <w:jc w:val="both"/>
              <w:rPr>
                <w:sz w:val="20"/>
                <w:szCs w:val="20"/>
                <w:lang w:val="fr-CA"/>
              </w:rPr>
            </w:pPr>
          </w:p>
          <w:p w:rsidR="002A27D1" w:rsidRPr="00C1697B" w:rsidRDefault="00F146D0" w:rsidP="002A4AFA">
            <w:pPr>
              <w:widowControl w:val="0"/>
              <w:jc w:val="both"/>
              <w:rPr>
                <w:sz w:val="20"/>
                <w:szCs w:val="20"/>
                <w:lang w:val="fr-CA"/>
              </w:rPr>
            </w:pPr>
            <w:r w:rsidRPr="00AB3DEC">
              <w:rPr>
                <w:i/>
                <w:sz w:val="20"/>
                <w:szCs w:val="20"/>
                <w:lang w:val="fr-CA"/>
              </w:rPr>
              <w:t xml:space="preserve">Charte canadienne des droits et libertés </w:t>
            </w:r>
            <w:r w:rsidRPr="00AB3DEC">
              <w:rPr>
                <w:sz w:val="20"/>
                <w:szCs w:val="20"/>
                <w:lang w:val="fr-CA"/>
              </w:rPr>
              <w:t xml:space="preserve">- Droit du travail et de l’emploi - Liberté d’association - Négociations collectives - Règlement imposant un régime de relations du travail aux membres de la GRC - L’art. 96 du </w:t>
            </w:r>
            <w:r w:rsidRPr="00AB3DEC">
              <w:rPr>
                <w:i/>
                <w:sz w:val="20"/>
                <w:szCs w:val="20"/>
                <w:lang w:val="fr-CA"/>
              </w:rPr>
              <w:t>Règlement de la Gendarmerie royale du Canada (1988)</w:t>
            </w:r>
            <w:r w:rsidRPr="00AB3DEC">
              <w:rPr>
                <w:sz w:val="20"/>
                <w:szCs w:val="20"/>
                <w:lang w:val="fr-CA"/>
              </w:rPr>
              <w:t>, DORS/88-361 porte-t-il atteinte à l’al. 2</w:t>
            </w:r>
            <w:r w:rsidRPr="00AB3DEC">
              <w:rPr>
                <w:i/>
                <w:sz w:val="20"/>
                <w:szCs w:val="20"/>
                <w:lang w:val="fr-CA"/>
              </w:rPr>
              <w:t>d)</w:t>
            </w:r>
            <w:r w:rsidRPr="00AB3DEC">
              <w:rPr>
                <w:sz w:val="20"/>
                <w:szCs w:val="20"/>
                <w:lang w:val="fr-CA"/>
              </w:rPr>
              <w:t xml:space="preserve"> de la </w:t>
            </w:r>
            <w:r w:rsidRPr="00AB3DEC">
              <w:rPr>
                <w:i/>
                <w:sz w:val="20"/>
                <w:szCs w:val="20"/>
                <w:lang w:val="fr-CA"/>
              </w:rPr>
              <w:t>Charte canadienne des droits et libertés</w:t>
            </w:r>
            <w:r w:rsidRPr="00AB3DEC">
              <w:rPr>
                <w:sz w:val="20"/>
                <w:szCs w:val="20"/>
                <w:lang w:val="fr-CA"/>
              </w:rPr>
              <w:t>? - Dans l’affirmative, cette atteinte constitue-t-elle une limite raisonnable prescrite par une règle de droit dont la justification peut se démontrer dans le cadre d’une société libre et démocratique suivant l’article premier de la </w:t>
            </w:r>
            <w:r w:rsidRPr="00AB3DEC">
              <w:rPr>
                <w:i/>
                <w:iCs/>
                <w:sz w:val="20"/>
                <w:szCs w:val="20"/>
                <w:lang w:val="fr-CA"/>
              </w:rPr>
              <w:t>Charte canadienne des droits et libertés</w:t>
            </w:r>
            <w:r w:rsidRPr="00AB3DEC">
              <w:rPr>
                <w:sz w:val="20"/>
                <w:szCs w:val="20"/>
                <w:lang w:val="fr-CA"/>
              </w:rPr>
              <w:t xml:space="preserve">? - L’al. d) de la définition de « fonctionnaire » au par. 2(1) de la </w:t>
            </w:r>
            <w:r w:rsidRPr="00AB3DEC">
              <w:rPr>
                <w:i/>
                <w:sz w:val="20"/>
                <w:szCs w:val="20"/>
                <w:lang w:val="fr-CA"/>
              </w:rPr>
              <w:t>Loi sur les relations de travail dans la fonction publique</w:t>
            </w:r>
            <w:r w:rsidRPr="00AB3DEC">
              <w:rPr>
                <w:sz w:val="20"/>
                <w:szCs w:val="20"/>
                <w:lang w:val="fr-CA"/>
              </w:rPr>
              <w:t>, L.C. 2003, ch. 22 porte-t-il atteinte à l’al. 2</w:t>
            </w:r>
            <w:r w:rsidRPr="00AB3DEC">
              <w:rPr>
                <w:i/>
                <w:sz w:val="20"/>
                <w:szCs w:val="20"/>
                <w:lang w:val="fr-CA"/>
              </w:rPr>
              <w:t>d)</w:t>
            </w:r>
            <w:r w:rsidRPr="00AB3DEC">
              <w:rPr>
                <w:sz w:val="20"/>
                <w:szCs w:val="20"/>
                <w:lang w:val="fr-CA"/>
              </w:rPr>
              <w:t xml:space="preserve"> de la </w:t>
            </w:r>
            <w:r w:rsidRPr="00AB3DEC">
              <w:rPr>
                <w:i/>
                <w:sz w:val="20"/>
                <w:szCs w:val="20"/>
                <w:lang w:val="fr-CA"/>
              </w:rPr>
              <w:t>Charte canadienne des droits et libertés</w:t>
            </w:r>
            <w:r w:rsidRPr="00AB3DEC">
              <w:rPr>
                <w:sz w:val="20"/>
                <w:szCs w:val="20"/>
                <w:lang w:val="fr-CA"/>
              </w:rPr>
              <w:t>? - Dans l’affirmative, cette atteinte constitue-t-elle une limite raisonnable prescrite par une règle de droit dont la justification peut se démontrer dans le cadre d’une société libre et démocratique suivant l’article premier de la </w:t>
            </w:r>
            <w:r w:rsidRPr="00AB3DEC">
              <w:rPr>
                <w:i/>
                <w:iCs/>
                <w:sz w:val="20"/>
                <w:szCs w:val="20"/>
                <w:lang w:val="fr-CA"/>
              </w:rPr>
              <w:t>Charte canadienne des droits et libertés</w:t>
            </w:r>
            <w:r w:rsidRPr="00AB3DEC">
              <w:rPr>
                <w:sz w:val="20"/>
                <w:szCs w:val="20"/>
                <w:lang w:val="fr-CA"/>
              </w:rPr>
              <w:t>?</w:t>
            </w:r>
          </w:p>
        </w:tc>
      </w:tr>
    </w:tbl>
    <w:p w:rsidR="002A27D1" w:rsidRDefault="002A27D1" w:rsidP="002A27D1">
      <w:pPr>
        <w:widowControl w:val="0"/>
        <w:rPr>
          <w:sz w:val="20"/>
          <w:szCs w:val="20"/>
          <w:lang w:val="fr-CA"/>
        </w:rPr>
      </w:pPr>
    </w:p>
    <w:p w:rsidR="00E940EB" w:rsidRDefault="00EB0F11" w:rsidP="00732DB7">
      <w:pPr>
        <w:widowControl w:val="0"/>
        <w:rPr>
          <w:sz w:val="20"/>
          <w:szCs w:val="20"/>
          <w:lang w:val="fr-CA"/>
        </w:rPr>
      </w:pPr>
      <w:r>
        <w:rPr>
          <w:sz w:val="20"/>
          <w:szCs w:val="20"/>
          <w:lang w:val="fr-CA"/>
        </w:rPr>
        <w:pict>
          <v:rect id="_x0000_i1087" style="width:2in;height:1pt" o:hrpct="0" o:hralign="center" o:hrstd="t" o:hrnoshade="t" o:hr="t" fillcolor="black [3213]" stroked="f"/>
        </w:pict>
      </w:r>
    </w:p>
    <w:p w:rsidR="00D004FC" w:rsidRDefault="00D004FC" w:rsidP="00732DB7">
      <w:pPr>
        <w:widowControl w:val="0"/>
        <w:rPr>
          <w:sz w:val="20"/>
          <w:szCs w:val="20"/>
          <w:lang w:val="fr-CA"/>
        </w:rPr>
      </w:pPr>
    </w:p>
    <w:p w:rsidR="003F26F3" w:rsidRDefault="003F26F3" w:rsidP="003F26F3">
      <w:pPr>
        <w:widowControl w:val="0"/>
        <w:rPr>
          <w:sz w:val="20"/>
          <w:szCs w:val="20"/>
        </w:rPr>
      </w:pPr>
      <w:r>
        <w:rPr>
          <w:sz w:val="20"/>
          <w:szCs w:val="20"/>
        </w:rPr>
        <w:t>19.02.2014</w:t>
      </w:r>
    </w:p>
    <w:p w:rsidR="003F26F3" w:rsidRDefault="003F26F3" w:rsidP="003F26F3">
      <w:pPr>
        <w:widowControl w:val="0"/>
        <w:rPr>
          <w:sz w:val="20"/>
          <w:szCs w:val="20"/>
        </w:rPr>
      </w:pPr>
    </w:p>
    <w:p w:rsidR="00BE3BD2" w:rsidRDefault="00BE3BD2" w:rsidP="003F26F3">
      <w:pPr>
        <w:widowControl w:val="0"/>
        <w:rPr>
          <w:sz w:val="20"/>
          <w:szCs w:val="20"/>
        </w:rPr>
      </w:pPr>
      <w:r w:rsidRPr="00CD25D6">
        <w:rPr>
          <w:sz w:val="20"/>
          <w:szCs w:val="20"/>
        </w:rPr>
        <w:t xml:space="preserve">Coram: </w:t>
      </w:r>
      <w:r w:rsidRPr="00CD25D6">
        <w:rPr>
          <w:sz w:val="20"/>
          <w:szCs w:val="20"/>
        </w:rPr>
        <w:tab/>
      </w:r>
      <w:r w:rsidRPr="00CD25D6">
        <w:rPr>
          <w:sz w:val="20"/>
          <w:szCs w:val="20"/>
          <w:u w:val="single"/>
        </w:rPr>
        <w:t>McLachlin C.J. and LeBel, Abella, Rothstein, Cromwell, Karakatsanis and Wagner JJ.</w:t>
      </w:r>
    </w:p>
    <w:p w:rsidR="003F26F3" w:rsidRDefault="003F26F3" w:rsidP="003F26F3">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3F26F3" w:rsidRPr="00C50A5C" w:rsidTr="00F146D0">
        <w:tc>
          <w:tcPr>
            <w:tcW w:w="4380" w:type="dxa"/>
            <w:tcMar>
              <w:left w:w="0" w:type="dxa"/>
              <w:right w:w="0" w:type="dxa"/>
            </w:tcMar>
          </w:tcPr>
          <w:p w:rsidR="00BE3BD2" w:rsidRDefault="00BE3BD2" w:rsidP="00BE3BD2">
            <w:pPr>
              <w:widowControl w:val="0"/>
              <w:rPr>
                <w:b/>
                <w:sz w:val="20"/>
                <w:szCs w:val="20"/>
              </w:rPr>
            </w:pPr>
            <w:r w:rsidRPr="00CD25D6">
              <w:rPr>
                <w:b/>
                <w:sz w:val="20"/>
                <w:szCs w:val="20"/>
              </w:rPr>
              <w:t xml:space="preserve">Robert Meredith et al. </w:t>
            </w:r>
          </w:p>
          <w:p w:rsidR="00BE3BD2" w:rsidRDefault="00BE3BD2" w:rsidP="00BE3BD2">
            <w:pPr>
              <w:widowControl w:val="0"/>
              <w:rPr>
                <w:b/>
                <w:sz w:val="20"/>
                <w:szCs w:val="20"/>
              </w:rPr>
            </w:pPr>
          </w:p>
          <w:p w:rsidR="00BE3BD2" w:rsidRDefault="00BE3BD2" w:rsidP="00BE3BD2">
            <w:pPr>
              <w:widowControl w:val="0"/>
              <w:rPr>
                <w:b/>
                <w:sz w:val="20"/>
                <w:szCs w:val="20"/>
              </w:rPr>
            </w:pPr>
            <w:r>
              <w:rPr>
                <w:b/>
                <w:sz w:val="20"/>
                <w:szCs w:val="20"/>
              </w:rPr>
              <w:tab/>
            </w:r>
            <w:r w:rsidRPr="00CD25D6">
              <w:rPr>
                <w:b/>
                <w:sz w:val="20"/>
                <w:szCs w:val="20"/>
              </w:rPr>
              <w:t xml:space="preserve">v. </w:t>
            </w:r>
            <w:r w:rsidRPr="00CD25D6">
              <w:rPr>
                <w:sz w:val="20"/>
                <w:szCs w:val="20"/>
              </w:rPr>
              <w:t>(</w:t>
            </w:r>
            <w:hyperlink r:id="rId97" w:history="1">
              <w:r w:rsidRPr="00CD25D6">
                <w:rPr>
                  <w:rStyle w:val="Hyperlink"/>
                  <w:sz w:val="20"/>
                  <w:szCs w:val="20"/>
                </w:rPr>
                <w:t>35424</w:t>
              </w:r>
            </w:hyperlink>
            <w:r w:rsidRPr="00CD25D6">
              <w:rPr>
                <w:sz w:val="20"/>
                <w:szCs w:val="20"/>
              </w:rPr>
              <w:t>)</w:t>
            </w:r>
          </w:p>
          <w:p w:rsidR="00BE3BD2" w:rsidRDefault="00BE3BD2" w:rsidP="00BE3BD2">
            <w:pPr>
              <w:widowControl w:val="0"/>
              <w:rPr>
                <w:b/>
                <w:sz w:val="20"/>
                <w:szCs w:val="20"/>
              </w:rPr>
            </w:pPr>
          </w:p>
          <w:p w:rsidR="003F26F3" w:rsidRPr="0093057E" w:rsidRDefault="00BE3BD2" w:rsidP="00BE3BD2">
            <w:pPr>
              <w:widowControl w:val="0"/>
              <w:rPr>
                <w:sz w:val="20"/>
                <w:szCs w:val="20"/>
              </w:rPr>
            </w:pPr>
            <w:r w:rsidRPr="00CD25D6">
              <w:rPr>
                <w:b/>
                <w:sz w:val="20"/>
                <w:szCs w:val="20"/>
              </w:rPr>
              <w:t>Attorney General of Canada (F.C.) (Civil) (By</w:t>
            </w:r>
            <w:r>
              <w:rPr>
                <w:b/>
                <w:sz w:val="20"/>
                <w:szCs w:val="20"/>
              </w:rPr>
              <w:t> </w:t>
            </w:r>
            <w:r w:rsidRPr="00CD25D6">
              <w:rPr>
                <w:b/>
                <w:sz w:val="20"/>
                <w:szCs w:val="20"/>
              </w:rPr>
              <w:t>Leave)</w:t>
            </w:r>
            <w:r w:rsidRPr="00CD25D6">
              <w:rPr>
                <w:sz w:val="20"/>
                <w:szCs w:val="20"/>
              </w:rPr>
              <w:t xml:space="preserve"> </w:t>
            </w:r>
          </w:p>
        </w:tc>
        <w:tc>
          <w:tcPr>
            <w:tcW w:w="720" w:type="dxa"/>
            <w:tcMar>
              <w:left w:w="0" w:type="dxa"/>
              <w:right w:w="0" w:type="dxa"/>
            </w:tcMar>
          </w:tcPr>
          <w:p w:rsidR="003F26F3" w:rsidRPr="0093057E" w:rsidRDefault="003F26F3" w:rsidP="00F146D0">
            <w:pPr>
              <w:widowControl w:val="0"/>
              <w:jc w:val="center"/>
              <w:rPr>
                <w:sz w:val="20"/>
                <w:szCs w:val="20"/>
              </w:rPr>
            </w:pPr>
          </w:p>
        </w:tc>
        <w:tc>
          <w:tcPr>
            <w:tcW w:w="4380" w:type="dxa"/>
            <w:tcMar>
              <w:left w:w="0" w:type="dxa"/>
              <w:right w:w="0" w:type="dxa"/>
            </w:tcMar>
          </w:tcPr>
          <w:p w:rsidR="0080534C" w:rsidRPr="00D14262" w:rsidRDefault="0080534C" w:rsidP="0080534C">
            <w:pPr>
              <w:rPr>
                <w:sz w:val="20"/>
                <w:szCs w:val="20"/>
              </w:rPr>
            </w:pPr>
            <w:r w:rsidRPr="00D14262">
              <w:rPr>
                <w:sz w:val="20"/>
                <w:szCs w:val="20"/>
              </w:rPr>
              <w:t>Christopher Rootham</w:t>
            </w:r>
            <w:r>
              <w:rPr>
                <w:sz w:val="20"/>
                <w:szCs w:val="20"/>
              </w:rPr>
              <w:t xml:space="preserve"> and </w:t>
            </w:r>
            <w:r w:rsidRPr="00D14262">
              <w:rPr>
                <w:sz w:val="20"/>
                <w:szCs w:val="20"/>
              </w:rPr>
              <w:t>Alison McEwan</w:t>
            </w:r>
            <w:r>
              <w:rPr>
                <w:sz w:val="20"/>
                <w:szCs w:val="20"/>
              </w:rPr>
              <w:t xml:space="preserve"> f</w:t>
            </w:r>
            <w:r w:rsidRPr="00D14262">
              <w:rPr>
                <w:sz w:val="20"/>
                <w:szCs w:val="20"/>
              </w:rPr>
              <w:t xml:space="preserve">or the </w:t>
            </w:r>
            <w:r>
              <w:rPr>
                <w:sz w:val="20"/>
                <w:szCs w:val="20"/>
              </w:rPr>
              <w:t>a</w:t>
            </w:r>
            <w:r w:rsidRPr="00D14262">
              <w:rPr>
                <w:sz w:val="20"/>
                <w:szCs w:val="20"/>
              </w:rPr>
              <w:t>ppellants</w:t>
            </w:r>
            <w:r>
              <w:rPr>
                <w:sz w:val="20"/>
                <w:szCs w:val="20"/>
              </w:rPr>
              <w:t>.</w:t>
            </w:r>
          </w:p>
          <w:p w:rsidR="0080534C" w:rsidRPr="00D14262" w:rsidRDefault="0080534C" w:rsidP="0080534C">
            <w:pPr>
              <w:rPr>
                <w:sz w:val="20"/>
                <w:szCs w:val="20"/>
              </w:rPr>
            </w:pPr>
          </w:p>
          <w:p w:rsidR="0080534C" w:rsidRPr="00D14262" w:rsidRDefault="0080534C" w:rsidP="0080534C">
            <w:pPr>
              <w:rPr>
                <w:sz w:val="20"/>
                <w:szCs w:val="20"/>
              </w:rPr>
            </w:pPr>
            <w:r w:rsidRPr="00D14262">
              <w:rPr>
                <w:sz w:val="20"/>
                <w:szCs w:val="20"/>
                <w:lang w:val="en-US"/>
              </w:rPr>
              <w:t>Fay Faraday</w:t>
            </w:r>
            <w:r>
              <w:rPr>
                <w:sz w:val="20"/>
                <w:szCs w:val="20"/>
                <w:lang w:val="en-US"/>
              </w:rPr>
              <w:t xml:space="preserve"> f</w:t>
            </w:r>
            <w:r w:rsidRPr="00D14262">
              <w:rPr>
                <w:sz w:val="20"/>
                <w:szCs w:val="20"/>
              </w:rPr>
              <w:t xml:space="preserve">or the </w:t>
            </w:r>
            <w:r>
              <w:rPr>
                <w:sz w:val="20"/>
                <w:szCs w:val="20"/>
              </w:rPr>
              <w:t>i</w:t>
            </w:r>
            <w:r w:rsidRPr="00D14262">
              <w:rPr>
                <w:sz w:val="20"/>
                <w:szCs w:val="20"/>
              </w:rPr>
              <w:t>ntervener</w:t>
            </w:r>
            <w:r>
              <w:rPr>
                <w:sz w:val="20"/>
                <w:szCs w:val="20"/>
                <w:lang w:val="en-US"/>
              </w:rPr>
              <w:t xml:space="preserve"> </w:t>
            </w:r>
            <w:r w:rsidRPr="00D14262">
              <w:rPr>
                <w:sz w:val="20"/>
                <w:szCs w:val="20"/>
                <w:lang w:val="en-US"/>
              </w:rPr>
              <w:t xml:space="preserve">Professional Institute of the Public Service </w:t>
            </w:r>
            <w:r w:rsidRPr="00D14262">
              <w:rPr>
                <w:sz w:val="20"/>
                <w:szCs w:val="20"/>
              </w:rPr>
              <w:t>of Canada.</w:t>
            </w:r>
          </w:p>
          <w:p w:rsidR="0080534C" w:rsidRPr="00D14262" w:rsidRDefault="0080534C" w:rsidP="0080534C">
            <w:pPr>
              <w:rPr>
                <w:sz w:val="20"/>
                <w:szCs w:val="20"/>
              </w:rPr>
            </w:pPr>
          </w:p>
          <w:p w:rsidR="0080534C" w:rsidRPr="00D14262" w:rsidRDefault="0080534C" w:rsidP="0080534C">
            <w:pPr>
              <w:rPr>
                <w:sz w:val="20"/>
                <w:szCs w:val="20"/>
                <w:lang w:val="fr-CA"/>
              </w:rPr>
            </w:pPr>
            <w:r w:rsidRPr="00D14262">
              <w:rPr>
                <w:sz w:val="20"/>
                <w:szCs w:val="20"/>
                <w:lang w:val="fr-CA"/>
              </w:rPr>
              <w:t>Éric Lévesque</w:t>
            </w:r>
            <w:r>
              <w:rPr>
                <w:sz w:val="20"/>
                <w:szCs w:val="20"/>
                <w:lang w:val="fr-CA"/>
              </w:rPr>
              <w:t xml:space="preserve"> p</w:t>
            </w:r>
            <w:r w:rsidRPr="00D14262">
              <w:rPr>
                <w:sz w:val="20"/>
                <w:szCs w:val="20"/>
                <w:lang w:val="fr-CA"/>
              </w:rPr>
              <w:t>our l’</w:t>
            </w:r>
            <w:r>
              <w:rPr>
                <w:sz w:val="20"/>
                <w:szCs w:val="20"/>
                <w:lang w:val="fr-CA"/>
              </w:rPr>
              <w:t>i</w:t>
            </w:r>
            <w:r w:rsidRPr="00D14262">
              <w:rPr>
                <w:sz w:val="20"/>
                <w:szCs w:val="20"/>
                <w:lang w:val="fr-CA"/>
              </w:rPr>
              <w:t>ntervenant</w:t>
            </w:r>
            <w:r>
              <w:rPr>
                <w:sz w:val="20"/>
                <w:szCs w:val="20"/>
                <w:lang w:val="fr-CA"/>
              </w:rPr>
              <w:t xml:space="preserve"> </w:t>
            </w:r>
            <w:r w:rsidRPr="00D14262">
              <w:rPr>
                <w:sz w:val="20"/>
                <w:szCs w:val="20"/>
                <w:lang w:val="fr-CA"/>
              </w:rPr>
              <w:t>Confédération des syndicats nationaux et</w:t>
            </w:r>
            <w:r>
              <w:rPr>
                <w:sz w:val="20"/>
                <w:szCs w:val="20"/>
                <w:lang w:val="fr-CA"/>
              </w:rPr>
              <w:t xml:space="preserve"> </w:t>
            </w:r>
            <w:r w:rsidRPr="00D14262">
              <w:rPr>
                <w:sz w:val="20"/>
                <w:szCs w:val="20"/>
                <w:lang w:val="fr-CA"/>
              </w:rPr>
              <w:t xml:space="preserve">du Syndicat des agents correctionnels du </w:t>
            </w:r>
            <w:r>
              <w:rPr>
                <w:sz w:val="20"/>
                <w:szCs w:val="20"/>
                <w:lang w:val="fr-CA"/>
              </w:rPr>
              <w:t>C</w:t>
            </w:r>
            <w:r w:rsidRPr="00D14262">
              <w:rPr>
                <w:sz w:val="20"/>
                <w:szCs w:val="20"/>
                <w:lang w:val="fr-CA"/>
              </w:rPr>
              <w:t>anada</w:t>
            </w:r>
            <w:r>
              <w:rPr>
                <w:sz w:val="20"/>
                <w:szCs w:val="20"/>
                <w:lang w:val="fr-CA"/>
              </w:rPr>
              <w:t>.</w:t>
            </w:r>
          </w:p>
          <w:p w:rsidR="0080534C" w:rsidRPr="00D14262" w:rsidRDefault="0080534C" w:rsidP="0080534C">
            <w:pPr>
              <w:rPr>
                <w:sz w:val="20"/>
                <w:szCs w:val="20"/>
                <w:lang w:val="fr-CA"/>
              </w:rPr>
            </w:pPr>
          </w:p>
          <w:p w:rsidR="0080534C" w:rsidRPr="00D14262" w:rsidRDefault="0080534C" w:rsidP="0080534C">
            <w:pPr>
              <w:rPr>
                <w:sz w:val="20"/>
                <w:szCs w:val="20"/>
                <w:lang w:val="en-US"/>
              </w:rPr>
            </w:pPr>
            <w:r w:rsidRPr="00D14262">
              <w:rPr>
                <w:sz w:val="20"/>
                <w:szCs w:val="20"/>
                <w:lang w:val="en-US"/>
              </w:rPr>
              <w:t>Andrew Raven</w:t>
            </w:r>
            <w:r>
              <w:rPr>
                <w:sz w:val="20"/>
                <w:szCs w:val="20"/>
                <w:lang w:val="en-US"/>
              </w:rPr>
              <w:t xml:space="preserve">, </w:t>
            </w:r>
            <w:r w:rsidRPr="00D14262">
              <w:rPr>
                <w:sz w:val="20"/>
                <w:szCs w:val="20"/>
                <w:lang w:val="en-US"/>
              </w:rPr>
              <w:t>Andrew Astritis</w:t>
            </w:r>
            <w:r>
              <w:rPr>
                <w:sz w:val="20"/>
                <w:szCs w:val="20"/>
                <w:lang w:val="en-US"/>
              </w:rPr>
              <w:t xml:space="preserve"> and </w:t>
            </w:r>
            <w:r w:rsidRPr="00D14262">
              <w:rPr>
                <w:sz w:val="20"/>
                <w:szCs w:val="20"/>
              </w:rPr>
              <w:t>Morgan Rowe</w:t>
            </w:r>
            <w:r>
              <w:rPr>
                <w:sz w:val="20"/>
                <w:szCs w:val="20"/>
              </w:rPr>
              <w:t xml:space="preserve"> f</w:t>
            </w:r>
            <w:r w:rsidRPr="00D14262">
              <w:rPr>
                <w:sz w:val="20"/>
                <w:szCs w:val="20"/>
              </w:rPr>
              <w:t xml:space="preserve">or the </w:t>
            </w:r>
            <w:r>
              <w:rPr>
                <w:sz w:val="20"/>
                <w:szCs w:val="20"/>
              </w:rPr>
              <w:t>i</w:t>
            </w:r>
            <w:r w:rsidRPr="00D14262">
              <w:rPr>
                <w:sz w:val="20"/>
                <w:szCs w:val="20"/>
              </w:rPr>
              <w:t>ntervener</w:t>
            </w:r>
            <w:r>
              <w:rPr>
                <w:sz w:val="20"/>
                <w:szCs w:val="20"/>
              </w:rPr>
              <w:t xml:space="preserve"> </w:t>
            </w:r>
            <w:r w:rsidRPr="00D14262">
              <w:rPr>
                <w:sz w:val="20"/>
                <w:szCs w:val="20"/>
                <w:lang w:val="en-US"/>
              </w:rPr>
              <w:t>Public Service Alliance of Canada</w:t>
            </w:r>
            <w:r>
              <w:rPr>
                <w:sz w:val="20"/>
                <w:szCs w:val="20"/>
                <w:lang w:val="en-US"/>
              </w:rPr>
              <w:t>.</w:t>
            </w:r>
          </w:p>
          <w:p w:rsidR="0080534C" w:rsidRPr="00D14262" w:rsidRDefault="0080534C" w:rsidP="0080534C">
            <w:pPr>
              <w:rPr>
                <w:sz w:val="20"/>
                <w:szCs w:val="20"/>
              </w:rPr>
            </w:pPr>
          </w:p>
          <w:p w:rsidR="0080534C" w:rsidRPr="00D14262" w:rsidRDefault="0080534C" w:rsidP="0080534C">
            <w:pPr>
              <w:rPr>
                <w:sz w:val="20"/>
                <w:szCs w:val="20"/>
                <w:lang w:val="fr-CA"/>
              </w:rPr>
            </w:pPr>
            <w:r w:rsidRPr="00D14262">
              <w:rPr>
                <w:sz w:val="20"/>
                <w:szCs w:val="20"/>
                <w:lang w:val="fr-CA"/>
              </w:rPr>
              <w:lastRenderedPageBreak/>
              <w:t>Annick Desjardins</w:t>
            </w:r>
            <w:r>
              <w:rPr>
                <w:sz w:val="20"/>
                <w:szCs w:val="20"/>
                <w:lang w:val="fr-CA"/>
              </w:rPr>
              <w:t xml:space="preserve"> p</w:t>
            </w:r>
            <w:r w:rsidRPr="00D14262">
              <w:rPr>
                <w:sz w:val="20"/>
                <w:szCs w:val="20"/>
                <w:lang w:val="fr-CA"/>
              </w:rPr>
              <w:t>our l’Intervenant</w:t>
            </w:r>
            <w:r>
              <w:rPr>
                <w:sz w:val="20"/>
                <w:szCs w:val="20"/>
                <w:lang w:val="fr-CA"/>
              </w:rPr>
              <w:t xml:space="preserve"> </w:t>
            </w:r>
            <w:r w:rsidRPr="00D14262">
              <w:rPr>
                <w:sz w:val="20"/>
                <w:szCs w:val="20"/>
                <w:lang w:val="fr-CA"/>
              </w:rPr>
              <w:t>Syndicat de la fonction publique,Section locale 675</w:t>
            </w:r>
            <w:r>
              <w:rPr>
                <w:sz w:val="20"/>
                <w:szCs w:val="20"/>
                <w:lang w:val="fr-CA"/>
              </w:rPr>
              <w:t>.</w:t>
            </w:r>
          </w:p>
          <w:p w:rsidR="0080534C" w:rsidRPr="00D14262" w:rsidRDefault="0080534C" w:rsidP="0080534C">
            <w:pPr>
              <w:rPr>
                <w:sz w:val="20"/>
                <w:szCs w:val="20"/>
                <w:lang w:val="fr-CA"/>
              </w:rPr>
            </w:pPr>
          </w:p>
          <w:p w:rsidR="0080534C" w:rsidRPr="00D14262" w:rsidRDefault="0080534C" w:rsidP="0080534C">
            <w:pPr>
              <w:rPr>
                <w:sz w:val="20"/>
                <w:szCs w:val="20"/>
              </w:rPr>
            </w:pPr>
            <w:r w:rsidRPr="00D14262">
              <w:rPr>
                <w:sz w:val="20"/>
                <w:szCs w:val="20"/>
                <w:lang w:val="en-US"/>
              </w:rPr>
              <w:t>Steven Barrett</w:t>
            </w:r>
            <w:r>
              <w:rPr>
                <w:sz w:val="20"/>
                <w:szCs w:val="20"/>
                <w:lang w:val="en-US"/>
              </w:rPr>
              <w:t xml:space="preserve"> and </w:t>
            </w:r>
            <w:r w:rsidRPr="00D14262">
              <w:rPr>
                <w:sz w:val="20"/>
                <w:szCs w:val="20"/>
                <w:lang w:val="en-US"/>
              </w:rPr>
              <w:t>Ethan Poskanzer</w:t>
            </w:r>
            <w:r>
              <w:rPr>
                <w:sz w:val="20"/>
                <w:szCs w:val="20"/>
                <w:lang w:val="en-US"/>
              </w:rPr>
              <w:t xml:space="preserve"> f</w:t>
            </w:r>
            <w:r w:rsidRPr="00D14262">
              <w:rPr>
                <w:sz w:val="20"/>
                <w:szCs w:val="20"/>
              </w:rPr>
              <w:t xml:space="preserve">or the </w:t>
            </w:r>
            <w:r>
              <w:rPr>
                <w:sz w:val="20"/>
                <w:szCs w:val="20"/>
              </w:rPr>
              <w:t>i</w:t>
            </w:r>
            <w:r w:rsidRPr="00D14262">
              <w:rPr>
                <w:sz w:val="20"/>
                <w:szCs w:val="20"/>
              </w:rPr>
              <w:t>ntervener</w:t>
            </w:r>
            <w:r>
              <w:rPr>
                <w:sz w:val="20"/>
                <w:szCs w:val="20"/>
              </w:rPr>
              <w:t xml:space="preserve"> </w:t>
            </w:r>
            <w:r w:rsidRPr="00D14262">
              <w:rPr>
                <w:sz w:val="20"/>
                <w:szCs w:val="20"/>
                <w:lang w:val="en-US"/>
              </w:rPr>
              <w:t>Canadian Labour Congress</w:t>
            </w:r>
            <w:r>
              <w:rPr>
                <w:sz w:val="20"/>
                <w:szCs w:val="20"/>
                <w:lang w:val="en-US"/>
              </w:rPr>
              <w:t>.</w:t>
            </w:r>
          </w:p>
          <w:p w:rsidR="0080534C" w:rsidRPr="00D14262" w:rsidRDefault="0080534C" w:rsidP="0080534C">
            <w:pPr>
              <w:rPr>
                <w:sz w:val="20"/>
                <w:szCs w:val="20"/>
                <w:lang w:val="en-US"/>
              </w:rPr>
            </w:pPr>
          </w:p>
          <w:p w:rsidR="0080534C" w:rsidRDefault="0080534C" w:rsidP="0080534C">
            <w:pPr>
              <w:rPr>
                <w:sz w:val="20"/>
                <w:szCs w:val="20"/>
              </w:rPr>
            </w:pPr>
            <w:r w:rsidRPr="00D14262">
              <w:rPr>
                <w:sz w:val="20"/>
                <w:szCs w:val="20"/>
              </w:rPr>
              <w:t>Peter Southey</w:t>
            </w:r>
            <w:r>
              <w:rPr>
                <w:sz w:val="20"/>
                <w:szCs w:val="20"/>
              </w:rPr>
              <w:t xml:space="preserve">, </w:t>
            </w:r>
            <w:r w:rsidRPr="00D14262">
              <w:rPr>
                <w:sz w:val="20"/>
                <w:szCs w:val="20"/>
              </w:rPr>
              <w:t>Donnaree Nygard</w:t>
            </w:r>
            <w:r>
              <w:rPr>
                <w:sz w:val="20"/>
                <w:szCs w:val="20"/>
              </w:rPr>
              <w:t xml:space="preserve"> and</w:t>
            </w:r>
            <w:r w:rsidRPr="00D14262">
              <w:rPr>
                <w:sz w:val="20"/>
                <w:szCs w:val="20"/>
              </w:rPr>
              <w:t xml:space="preserve"> J. Sanderson Graham</w:t>
            </w:r>
            <w:r>
              <w:rPr>
                <w:sz w:val="20"/>
                <w:szCs w:val="20"/>
              </w:rPr>
              <w:t xml:space="preserve"> f</w:t>
            </w:r>
            <w:r w:rsidRPr="00D14262">
              <w:rPr>
                <w:sz w:val="20"/>
                <w:szCs w:val="20"/>
              </w:rPr>
              <w:t xml:space="preserve">or the </w:t>
            </w:r>
            <w:r>
              <w:rPr>
                <w:sz w:val="20"/>
                <w:szCs w:val="20"/>
              </w:rPr>
              <w:t>r</w:t>
            </w:r>
            <w:r w:rsidRPr="00D14262">
              <w:rPr>
                <w:sz w:val="20"/>
                <w:szCs w:val="20"/>
              </w:rPr>
              <w:t>espondent.</w:t>
            </w:r>
          </w:p>
          <w:p w:rsidR="0080534C" w:rsidRPr="00D14262" w:rsidRDefault="0080534C" w:rsidP="0080534C">
            <w:pPr>
              <w:rPr>
                <w:sz w:val="20"/>
                <w:szCs w:val="20"/>
              </w:rPr>
            </w:pPr>
          </w:p>
          <w:p w:rsidR="0080534C" w:rsidRPr="00D14262" w:rsidRDefault="0080534C" w:rsidP="0080534C">
            <w:pPr>
              <w:rPr>
                <w:sz w:val="20"/>
                <w:szCs w:val="20"/>
              </w:rPr>
            </w:pPr>
            <w:r w:rsidRPr="00D14262">
              <w:rPr>
                <w:sz w:val="20"/>
                <w:szCs w:val="20"/>
              </w:rPr>
              <w:t>Robin K. Basu</w:t>
            </w:r>
            <w:r>
              <w:rPr>
                <w:sz w:val="20"/>
                <w:szCs w:val="20"/>
              </w:rPr>
              <w:t xml:space="preserve"> and </w:t>
            </w:r>
            <w:r w:rsidRPr="00D14262">
              <w:rPr>
                <w:sz w:val="20"/>
                <w:szCs w:val="20"/>
              </w:rPr>
              <w:t>Michael S. Dunn</w:t>
            </w:r>
            <w:r>
              <w:rPr>
                <w:sz w:val="20"/>
                <w:szCs w:val="20"/>
              </w:rPr>
              <w:t xml:space="preserve"> f</w:t>
            </w:r>
            <w:r w:rsidRPr="00D14262">
              <w:rPr>
                <w:sz w:val="20"/>
                <w:szCs w:val="20"/>
              </w:rPr>
              <w:t xml:space="preserve">or the </w:t>
            </w:r>
            <w:r>
              <w:rPr>
                <w:sz w:val="20"/>
                <w:szCs w:val="20"/>
              </w:rPr>
              <w:t>i</w:t>
            </w:r>
            <w:r w:rsidRPr="00D14262">
              <w:rPr>
                <w:sz w:val="20"/>
                <w:szCs w:val="20"/>
              </w:rPr>
              <w:t>ntervener</w:t>
            </w:r>
            <w:r>
              <w:rPr>
                <w:sz w:val="20"/>
                <w:szCs w:val="20"/>
              </w:rPr>
              <w:t xml:space="preserve"> </w:t>
            </w:r>
            <w:r w:rsidRPr="00D14262">
              <w:rPr>
                <w:sz w:val="20"/>
                <w:szCs w:val="20"/>
              </w:rPr>
              <w:t>Attorney General of Ontario</w:t>
            </w:r>
            <w:r>
              <w:rPr>
                <w:sz w:val="20"/>
                <w:szCs w:val="20"/>
              </w:rPr>
              <w:t>.</w:t>
            </w:r>
          </w:p>
          <w:p w:rsidR="0080534C" w:rsidRPr="00D14262" w:rsidRDefault="0080534C" w:rsidP="0080534C">
            <w:pPr>
              <w:rPr>
                <w:sz w:val="20"/>
                <w:szCs w:val="20"/>
              </w:rPr>
            </w:pPr>
          </w:p>
          <w:p w:rsidR="0080534C" w:rsidRPr="00D14262" w:rsidRDefault="0080534C" w:rsidP="0080534C">
            <w:pPr>
              <w:rPr>
                <w:sz w:val="20"/>
                <w:szCs w:val="20"/>
              </w:rPr>
            </w:pPr>
            <w:r w:rsidRPr="00D14262">
              <w:rPr>
                <w:sz w:val="20"/>
                <w:szCs w:val="20"/>
              </w:rPr>
              <w:t>Karen Horsman</w:t>
            </w:r>
            <w:r>
              <w:rPr>
                <w:sz w:val="20"/>
                <w:szCs w:val="20"/>
              </w:rPr>
              <w:t xml:space="preserve">, </w:t>
            </w:r>
            <w:r w:rsidRPr="00D14262">
              <w:rPr>
                <w:sz w:val="20"/>
                <w:szCs w:val="20"/>
              </w:rPr>
              <w:t>Jonathan Penner</w:t>
            </w:r>
            <w:r>
              <w:rPr>
                <w:sz w:val="20"/>
                <w:szCs w:val="20"/>
              </w:rPr>
              <w:t xml:space="preserve"> and </w:t>
            </w:r>
            <w:r w:rsidRPr="00D14262">
              <w:rPr>
                <w:sz w:val="20"/>
                <w:szCs w:val="20"/>
              </w:rPr>
              <w:t>Keith Evans</w:t>
            </w:r>
            <w:r>
              <w:rPr>
                <w:sz w:val="20"/>
                <w:szCs w:val="20"/>
              </w:rPr>
              <w:t xml:space="preserve"> f</w:t>
            </w:r>
            <w:r w:rsidRPr="00D14262">
              <w:rPr>
                <w:sz w:val="20"/>
                <w:szCs w:val="20"/>
              </w:rPr>
              <w:t xml:space="preserve">or the </w:t>
            </w:r>
            <w:r>
              <w:rPr>
                <w:sz w:val="20"/>
                <w:szCs w:val="20"/>
              </w:rPr>
              <w:t>i</w:t>
            </w:r>
            <w:r w:rsidRPr="00D14262">
              <w:rPr>
                <w:sz w:val="20"/>
                <w:szCs w:val="20"/>
              </w:rPr>
              <w:t>ntervener</w:t>
            </w:r>
            <w:r>
              <w:rPr>
                <w:sz w:val="20"/>
                <w:szCs w:val="20"/>
              </w:rPr>
              <w:t xml:space="preserve"> </w:t>
            </w:r>
            <w:r w:rsidRPr="00D14262">
              <w:rPr>
                <w:sz w:val="20"/>
                <w:szCs w:val="20"/>
              </w:rPr>
              <w:t>Attorney General of British Columbia</w:t>
            </w:r>
            <w:r>
              <w:rPr>
                <w:sz w:val="20"/>
                <w:szCs w:val="20"/>
              </w:rPr>
              <w:t>.</w:t>
            </w:r>
          </w:p>
          <w:p w:rsidR="0080534C" w:rsidRPr="00D14262" w:rsidRDefault="0080534C" w:rsidP="0080534C">
            <w:pPr>
              <w:rPr>
                <w:sz w:val="20"/>
                <w:szCs w:val="20"/>
              </w:rPr>
            </w:pPr>
          </w:p>
          <w:p w:rsidR="0080534C" w:rsidRPr="00D14262" w:rsidRDefault="0080534C" w:rsidP="0080534C">
            <w:pPr>
              <w:rPr>
                <w:sz w:val="20"/>
                <w:szCs w:val="20"/>
              </w:rPr>
            </w:pPr>
            <w:r w:rsidRPr="00D14262">
              <w:rPr>
                <w:sz w:val="20"/>
                <w:szCs w:val="20"/>
              </w:rPr>
              <w:t>Graeme G. Mitchell, Q.C.</w:t>
            </w:r>
            <w:r>
              <w:rPr>
                <w:sz w:val="20"/>
                <w:szCs w:val="20"/>
              </w:rPr>
              <w:t xml:space="preserve"> f</w:t>
            </w:r>
            <w:r w:rsidRPr="00D14262">
              <w:rPr>
                <w:sz w:val="20"/>
                <w:szCs w:val="20"/>
              </w:rPr>
              <w:t xml:space="preserve">or the </w:t>
            </w:r>
            <w:r>
              <w:rPr>
                <w:sz w:val="20"/>
                <w:szCs w:val="20"/>
              </w:rPr>
              <w:t>i</w:t>
            </w:r>
            <w:r w:rsidRPr="00D14262">
              <w:rPr>
                <w:sz w:val="20"/>
                <w:szCs w:val="20"/>
              </w:rPr>
              <w:t>ntervener</w:t>
            </w:r>
            <w:r>
              <w:rPr>
                <w:sz w:val="20"/>
                <w:szCs w:val="20"/>
              </w:rPr>
              <w:t xml:space="preserve"> A</w:t>
            </w:r>
            <w:r w:rsidRPr="00D14262">
              <w:rPr>
                <w:sz w:val="20"/>
                <w:szCs w:val="20"/>
              </w:rPr>
              <w:t>ttorney General for Saskatchewan</w:t>
            </w:r>
            <w:r>
              <w:rPr>
                <w:sz w:val="20"/>
                <w:szCs w:val="20"/>
              </w:rPr>
              <w:t>.</w:t>
            </w:r>
          </w:p>
          <w:p w:rsidR="0080534C" w:rsidRPr="00D14262" w:rsidRDefault="0080534C" w:rsidP="0080534C">
            <w:pPr>
              <w:rPr>
                <w:sz w:val="20"/>
                <w:szCs w:val="20"/>
              </w:rPr>
            </w:pPr>
          </w:p>
          <w:p w:rsidR="003F26F3" w:rsidRPr="00C50A5C" w:rsidRDefault="0080534C" w:rsidP="0080534C">
            <w:pPr>
              <w:widowControl w:val="0"/>
              <w:jc w:val="both"/>
              <w:rPr>
                <w:sz w:val="20"/>
                <w:szCs w:val="20"/>
              </w:rPr>
            </w:pPr>
            <w:r w:rsidRPr="00D14262">
              <w:rPr>
                <w:sz w:val="20"/>
                <w:szCs w:val="20"/>
              </w:rPr>
              <w:t>Roderick S Wiltshire</w:t>
            </w:r>
            <w:r>
              <w:rPr>
                <w:sz w:val="20"/>
                <w:szCs w:val="20"/>
              </w:rPr>
              <w:t xml:space="preserve"> f</w:t>
            </w:r>
            <w:r w:rsidRPr="00D14262">
              <w:rPr>
                <w:sz w:val="20"/>
                <w:szCs w:val="20"/>
              </w:rPr>
              <w:t xml:space="preserve">or the </w:t>
            </w:r>
            <w:r>
              <w:rPr>
                <w:sz w:val="20"/>
                <w:szCs w:val="20"/>
              </w:rPr>
              <w:t>i</w:t>
            </w:r>
            <w:r w:rsidRPr="00D14262">
              <w:rPr>
                <w:sz w:val="20"/>
                <w:szCs w:val="20"/>
              </w:rPr>
              <w:t>ntervener</w:t>
            </w:r>
            <w:r>
              <w:rPr>
                <w:sz w:val="20"/>
                <w:szCs w:val="20"/>
              </w:rPr>
              <w:t xml:space="preserve"> </w:t>
            </w:r>
            <w:r w:rsidRPr="00D14262">
              <w:rPr>
                <w:sz w:val="20"/>
                <w:szCs w:val="20"/>
              </w:rPr>
              <w:t>Attorney General of Alberta</w:t>
            </w:r>
            <w:r>
              <w:rPr>
                <w:sz w:val="20"/>
                <w:szCs w:val="20"/>
              </w:rPr>
              <w:t>.</w:t>
            </w:r>
          </w:p>
        </w:tc>
      </w:tr>
    </w:tbl>
    <w:p w:rsidR="003F26F3" w:rsidRDefault="003F26F3" w:rsidP="003F26F3">
      <w:pPr>
        <w:widowControl w:val="0"/>
        <w:rPr>
          <w:sz w:val="20"/>
          <w:szCs w:val="20"/>
        </w:rPr>
      </w:pPr>
    </w:p>
    <w:p w:rsidR="003F26F3" w:rsidRPr="0085476B" w:rsidRDefault="003F26F3" w:rsidP="003F26F3">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3F26F3" w:rsidRDefault="003F26F3" w:rsidP="003F26F3"/>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3F26F3" w:rsidRPr="00EB0F11" w:rsidTr="00F146D0">
        <w:tc>
          <w:tcPr>
            <w:tcW w:w="4380" w:type="dxa"/>
            <w:tcMar>
              <w:left w:w="0" w:type="dxa"/>
              <w:right w:w="0" w:type="dxa"/>
            </w:tcMar>
          </w:tcPr>
          <w:p w:rsidR="003F26F3" w:rsidRPr="00CC4D84" w:rsidRDefault="003F26F3" w:rsidP="00F146D0">
            <w:pPr>
              <w:widowControl w:val="0"/>
              <w:jc w:val="both"/>
              <w:rPr>
                <w:b/>
                <w:sz w:val="20"/>
                <w:szCs w:val="20"/>
                <w:u w:val="single"/>
              </w:rPr>
            </w:pPr>
            <w:r w:rsidRPr="00CC4D84">
              <w:rPr>
                <w:b/>
                <w:sz w:val="20"/>
                <w:szCs w:val="20"/>
                <w:u w:val="single"/>
              </w:rPr>
              <w:t>Nature of the case:</w:t>
            </w:r>
          </w:p>
          <w:p w:rsidR="003F26F3" w:rsidRPr="001A663B" w:rsidRDefault="003F26F3" w:rsidP="00F146D0">
            <w:pPr>
              <w:widowControl w:val="0"/>
              <w:jc w:val="both"/>
              <w:rPr>
                <w:b/>
                <w:sz w:val="20"/>
                <w:szCs w:val="20"/>
              </w:rPr>
            </w:pPr>
          </w:p>
          <w:p w:rsidR="003F26F3" w:rsidRPr="00C1697B" w:rsidRDefault="00B30D54" w:rsidP="00F146D0">
            <w:pPr>
              <w:widowControl w:val="0"/>
              <w:jc w:val="both"/>
              <w:rPr>
                <w:b/>
                <w:sz w:val="20"/>
                <w:szCs w:val="20"/>
              </w:rPr>
            </w:pPr>
            <w:r w:rsidRPr="00094DC9">
              <w:rPr>
                <w:i/>
                <w:sz w:val="20"/>
                <w:szCs w:val="20"/>
              </w:rPr>
              <w:t xml:space="preserve">Charter of Rights and Freedoms </w:t>
            </w:r>
            <w:r w:rsidRPr="00094DC9">
              <w:rPr>
                <w:sz w:val="20"/>
                <w:szCs w:val="20"/>
              </w:rPr>
              <w:t xml:space="preserve">- Freedom of association - Treasury Board unilaterally reducing scheduled wage increases for RCMP members - Parliament subsequently passing an Act legislating limits on RCMP wage increases previously implemented by Treasury Board - Does Treasury Board decision infringe appellants’ freedom of association? - If so, is infringement a reasonable limit prescribed by law as can be demonstrably justified in a free and democratic society under s. 1 of the </w:t>
            </w:r>
            <w:r w:rsidRPr="00094DC9">
              <w:rPr>
                <w:i/>
                <w:sz w:val="20"/>
                <w:szCs w:val="20"/>
              </w:rPr>
              <w:t>Canadian Charter of Rights and Freedoms</w:t>
            </w:r>
            <w:r w:rsidRPr="00094DC9">
              <w:rPr>
                <w:sz w:val="20"/>
                <w:szCs w:val="20"/>
              </w:rPr>
              <w:t xml:space="preserve">? - Do sections 16, 35, 38, 43, 46 and 49 of the </w:t>
            </w:r>
            <w:r w:rsidRPr="00094DC9">
              <w:rPr>
                <w:i/>
                <w:sz w:val="20"/>
                <w:szCs w:val="20"/>
              </w:rPr>
              <w:t>Expenditure Restraint Act</w:t>
            </w:r>
            <w:r w:rsidRPr="00094DC9">
              <w:rPr>
                <w:sz w:val="20"/>
                <w:szCs w:val="20"/>
              </w:rPr>
              <w:t xml:space="preserve">, S.C. 2009, c.2, s. 393 infringe s. 2(d) of the </w:t>
            </w:r>
            <w:r w:rsidRPr="00094DC9">
              <w:rPr>
                <w:i/>
                <w:sz w:val="20"/>
                <w:szCs w:val="20"/>
              </w:rPr>
              <w:t>Canadian Charter of Rights and Freedoms</w:t>
            </w:r>
            <w:r w:rsidRPr="00094DC9">
              <w:rPr>
                <w:sz w:val="20"/>
                <w:szCs w:val="20"/>
              </w:rPr>
              <w:t xml:space="preserve">? - If so, is infringement a reasonable limit prescribed by law as can be demonstrably justified in a free and democratic society under s. 1 of the </w:t>
            </w:r>
            <w:r w:rsidRPr="00094DC9">
              <w:rPr>
                <w:i/>
                <w:sz w:val="20"/>
                <w:szCs w:val="20"/>
              </w:rPr>
              <w:t>Canadian Charter of Rights and Freedoms</w:t>
            </w:r>
            <w:r w:rsidRPr="00094DC9">
              <w:rPr>
                <w:sz w:val="20"/>
                <w:szCs w:val="20"/>
              </w:rPr>
              <w:t>?</w:t>
            </w:r>
          </w:p>
        </w:tc>
        <w:tc>
          <w:tcPr>
            <w:tcW w:w="720" w:type="dxa"/>
            <w:tcMar>
              <w:left w:w="0" w:type="dxa"/>
              <w:right w:w="0" w:type="dxa"/>
            </w:tcMar>
          </w:tcPr>
          <w:p w:rsidR="003F26F3" w:rsidRPr="00C1697B" w:rsidRDefault="003F26F3" w:rsidP="00F146D0">
            <w:pPr>
              <w:widowControl w:val="0"/>
              <w:jc w:val="center"/>
              <w:rPr>
                <w:sz w:val="20"/>
                <w:szCs w:val="20"/>
              </w:rPr>
            </w:pPr>
          </w:p>
        </w:tc>
        <w:tc>
          <w:tcPr>
            <w:tcW w:w="4380" w:type="dxa"/>
            <w:tcMar>
              <w:left w:w="0" w:type="dxa"/>
              <w:right w:w="0" w:type="dxa"/>
            </w:tcMar>
          </w:tcPr>
          <w:p w:rsidR="003F26F3" w:rsidRPr="00CC4D84" w:rsidRDefault="003F26F3" w:rsidP="00F146D0">
            <w:pPr>
              <w:widowControl w:val="0"/>
              <w:jc w:val="both"/>
              <w:rPr>
                <w:b/>
                <w:sz w:val="20"/>
                <w:szCs w:val="20"/>
                <w:u w:val="single"/>
                <w:lang w:val="fr-CA"/>
              </w:rPr>
            </w:pPr>
            <w:r w:rsidRPr="00CC4D84">
              <w:rPr>
                <w:b/>
                <w:sz w:val="20"/>
                <w:szCs w:val="20"/>
                <w:u w:val="single"/>
                <w:lang w:val="fr-CA"/>
              </w:rPr>
              <w:t>Nature de la cause :</w:t>
            </w:r>
          </w:p>
          <w:p w:rsidR="003F26F3" w:rsidRPr="00C1697B" w:rsidRDefault="003F26F3" w:rsidP="00F146D0">
            <w:pPr>
              <w:widowControl w:val="0"/>
              <w:jc w:val="both"/>
              <w:rPr>
                <w:sz w:val="20"/>
                <w:szCs w:val="20"/>
                <w:lang w:val="fr-CA"/>
              </w:rPr>
            </w:pPr>
          </w:p>
          <w:p w:rsidR="003F26F3" w:rsidRPr="00C1697B" w:rsidRDefault="00B30D54" w:rsidP="00F146D0">
            <w:pPr>
              <w:widowControl w:val="0"/>
              <w:jc w:val="both"/>
              <w:rPr>
                <w:sz w:val="20"/>
                <w:szCs w:val="20"/>
                <w:lang w:val="fr-CA"/>
              </w:rPr>
            </w:pPr>
            <w:r w:rsidRPr="0078717B">
              <w:rPr>
                <w:rFonts w:cs="Times New Roman"/>
                <w:sz w:val="20"/>
                <w:szCs w:val="20"/>
                <w:lang w:val="fr-CA"/>
              </w:rPr>
              <w:t>Charte canadienne des droits et libertés - Liberté d’association - Réduction unilatérale par le Conseil du Trésor de l’augmentation des taux de salaire prévue à l’égard des membres de la GRC - Adoption ultérieure par le Parlement d’une loi fixant des limites à l’augmentation des taux de salaire des membres de la GRC mise en œuvre précédemment par le Conseil du Trésor - La décision du Conseil du Trésor porte-t-elle atteinte à la liberté d’association des appelants? - Dans l’affirmative, cette atteinte constitue-t-elle une limite raisonnable prescrite par une règle de droit et dont la justification peut se démontrer dans le cadre d’une société libre et démocratique au sens de l’article premier de la Charte canadienne des droits et libertés? - Les articles 16, 35, 38, 43, 46 et 49 de la Loi sur le contrôle des dépenses, L.C. 2009, ch. 2, art. 393, contreviennent-ils à l’al. 2d) de la Charte canadienne des droits et libertés? - Dans l’affirmative, s’agit-il d’une limite raisonnable prescrite par une règle de droit et dont la justification peut se démontrer dans le cadre d’une société libre et démocratique au sens de l’article premier de la Charte canadienne des droits et libertés?</w:t>
            </w:r>
          </w:p>
        </w:tc>
      </w:tr>
    </w:tbl>
    <w:p w:rsidR="003F26F3" w:rsidRDefault="003F26F3" w:rsidP="003F26F3">
      <w:pPr>
        <w:widowControl w:val="0"/>
        <w:rPr>
          <w:sz w:val="20"/>
          <w:szCs w:val="20"/>
          <w:lang w:val="fr-CA"/>
        </w:rPr>
      </w:pPr>
    </w:p>
    <w:p w:rsidR="003F26F3" w:rsidRDefault="00EB0F11" w:rsidP="003F26F3">
      <w:pPr>
        <w:widowControl w:val="0"/>
        <w:rPr>
          <w:sz w:val="20"/>
          <w:szCs w:val="20"/>
          <w:lang w:val="fr-CA"/>
        </w:rPr>
      </w:pPr>
      <w:r>
        <w:rPr>
          <w:sz w:val="20"/>
          <w:szCs w:val="20"/>
          <w:lang w:val="fr-CA"/>
        </w:rPr>
        <w:pict>
          <v:rect id="_x0000_i1088" style="width:2in;height:1pt" o:hrpct="0" o:hralign="center" o:hrstd="t" o:hrnoshade="t" o:hr="t" fillcolor="black [3213]" stroked="f"/>
        </w:pict>
      </w:r>
    </w:p>
    <w:p w:rsidR="003F26F3" w:rsidRPr="00C1697B" w:rsidRDefault="003F26F3" w:rsidP="003F26F3">
      <w:pPr>
        <w:widowControl w:val="0"/>
        <w:rPr>
          <w:sz w:val="20"/>
          <w:szCs w:val="20"/>
          <w:lang w:val="fr-CA"/>
        </w:rPr>
      </w:pPr>
    </w:p>
    <w:p w:rsidR="00EA0658" w:rsidRDefault="00EA0658">
      <w:pPr>
        <w:rPr>
          <w:sz w:val="20"/>
          <w:szCs w:val="20"/>
        </w:rPr>
      </w:pPr>
      <w:r>
        <w:rPr>
          <w:sz w:val="20"/>
          <w:szCs w:val="20"/>
        </w:rPr>
        <w:br w:type="page"/>
      </w:r>
    </w:p>
    <w:p w:rsidR="003F26F3" w:rsidRPr="00C97437" w:rsidRDefault="003F26F3" w:rsidP="003F26F3">
      <w:pPr>
        <w:widowControl w:val="0"/>
        <w:rPr>
          <w:sz w:val="20"/>
          <w:szCs w:val="20"/>
          <w:lang w:val="fr-CA"/>
        </w:rPr>
      </w:pPr>
      <w:r w:rsidRPr="00C97437">
        <w:rPr>
          <w:sz w:val="20"/>
          <w:szCs w:val="20"/>
          <w:lang w:val="fr-CA"/>
        </w:rPr>
        <w:lastRenderedPageBreak/>
        <w:t>20.02.2014</w:t>
      </w:r>
    </w:p>
    <w:p w:rsidR="003F26F3" w:rsidRPr="00C97437" w:rsidRDefault="003F26F3" w:rsidP="003F26F3">
      <w:pPr>
        <w:widowControl w:val="0"/>
        <w:rPr>
          <w:sz w:val="20"/>
          <w:szCs w:val="20"/>
          <w:lang w:val="fr-CA"/>
        </w:rPr>
      </w:pPr>
    </w:p>
    <w:p w:rsidR="00EA0658" w:rsidRPr="00E75133" w:rsidRDefault="00EA0658" w:rsidP="00EA0658">
      <w:pPr>
        <w:widowControl w:val="0"/>
        <w:ind w:left="720" w:hanging="720"/>
        <w:rPr>
          <w:sz w:val="20"/>
          <w:szCs w:val="20"/>
          <w:u w:val="single"/>
          <w:lang w:val="fr-CA"/>
        </w:rPr>
      </w:pPr>
      <w:r w:rsidRPr="00E75133">
        <w:rPr>
          <w:sz w:val="20"/>
          <w:szCs w:val="20"/>
          <w:lang w:val="fr-CA"/>
        </w:rPr>
        <w:t xml:space="preserve">Coram: </w:t>
      </w:r>
      <w:r w:rsidRPr="00E75133">
        <w:rPr>
          <w:sz w:val="20"/>
          <w:szCs w:val="20"/>
          <w:lang w:val="fr-CA"/>
        </w:rPr>
        <w:tab/>
      </w:r>
      <w:r w:rsidRPr="00E75133">
        <w:rPr>
          <w:sz w:val="20"/>
          <w:szCs w:val="20"/>
          <w:u w:val="single"/>
          <w:lang w:val="fr-CA"/>
        </w:rPr>
        <w:t>La juge en chef McLachlin et les juges LeBel, Abella, Rothstein, Moldaver, Karakatsanis et Wagner</w:t>
      </w:r>
    </w:p>
    <w:p w:rsidR="003F26F3" w:rsidRPr="00C97437" w:rsidRDefault="003F26F3" w:rsidP="003F26F3">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3F26F3" w:rsidRPr="00EB0F11" w:rsidTr="00F146D0">
        <w:tc>
          <w:tcPr>
            <w:tcW w:w="4380" w:type="dxa"/>
            <w:tcMar>
              <w:left w:w="0" w:type="dxa"/>
              <w:right w:w="0" w:type="dxa"/>
            </w:tcMar>
          </w:tcPr>
          <w:p w:rsidR="00EA0658" w:rsidRDefault="00EA0658" w:rsidP="00EA0658">
            <w:pPr>
              <w:widowControl w:val="0"/>
              <w:rPr>
                <w:b/>
                <w:sz w:val="20"/>
                <w:szCs w:val="20"/>
                <w:lang w:val="fr-CA"/>
              </w:rPr>
            </w:pPr>
            <w:r w:rsidRPr="00E75133">
              <w:rPr>
                <w:b/>
                <w:sz w:val="20"/>
                <w:szCs w:val="20"/>
                <w:lang w:val="fr-CA"/>
              </w:rPr>
              <w:t xml:space="preserve">Immeubles Jacques Robitaille Inc. </w:t>
            </w:r>
          </w:p>
          <w:p w:rsidR="00EA0658" w:rsidRDefault="00EA0658" w:rsidP="00EA0658">
            <w:pPr>
              <w:widowControl w:val="0"/>
              <w:rPr>
                <w:b/>
                <w:sz w:val="20"/>
                <w:szCs w:val="20"/>
                <w:lang w:val="fr-CA"/>
              </w:rPr>
            </w:pPr>
          </w:p>
          <w:p w:rsidR="00EA0658" w:rsidRDefault="00EA0658" w:rsidP="00EA0658">
            <w:pPr>
              <w:widowControl w:val="0"/>
              <w:rPr>
                <w:b/>
                <w:sz w:val="20"/>
                <w:szCs w:val="20"/>
                <w:lang w:val="fr-CA"/>
              </w:rPr>
            </w:pPr>
            <w:r>
              <w:rPr>
                <w:b/>
                <w:sz w:val="20"/>
                <w:szCs w:val="20"/>
                <w:lang w:val="fr-CA"/>
              </w:rPr>
              <w:tab/>
            </w:r>
            <w:r w:rsidRPr="00E75133">
              <w:rPr>
                <w:b/>
                <w:sz w:val="20"/>
                <w:szCs w:val="20"/>
                <w:lang w:val="fr-CA"/>
              </w:rPr>
              <w:t xml:space="preserve">c. </w:t>
            </w:r>
            <w:r w:rsidRPr="00E75133">
              <w:rPr>
                <w:sz w:val="20"/>
                <w:szCs w:val="20"/>
                <w:lang w:val="fr-CA"/>
              </w:rPr>
              <w:t>(</w:t>
            </w:r>
            <w:hyperlink r:id="rId98" w:history="1">
              <w:r w:rsidRPr="00E75133">
                <w:rPr>
                  <w:rStyle w:val="Hyperlink"/>
                  <w:sz w:val="20"/>
                  <w:szCs w:val="20"/>
                  <w:lang w:val="fr-CA"/>
                </w:rPr>
                <w:t>35295</w:t>
              </w:r>
            </w:hyperlink>
            <w:r w:rsidRPr="00E75133">
              <w:rPr>
                <w:sz w:val="20"/>
                <w:szCs w:val="20"/>
                <w:lang w:val="fr-CA"/>
              </w:rPr>
              <w:t>)</w:t>
            </w:r>
          </w:p>
          <w:p w:rsidR="00EA0658" w:rsidRDefault="00EA0658" w:rsidP="00EA0658">
            <w:pPr>
              <w:widowControl w:val="0"/>
              <w:rPr>
                <w:b/>
                <w:sz w:val="20"/>
                <w:szCs w:val="20"/>
                <w:lang w:val="fr-CA"/>
              </w:rPr>
            </w:pPr>
          </w:p>
          <w:p w:rsidR="003F26F3" w:rsidRPr="00EA0658" w:rsidRDefault="00EA0658" w:rsidP="00EA0658">
            <w:pPr>
              <w:widowControl w:val="0"/>
              <w:rPr>
                <w:sz w:val="20"/>
                <w:szCs w:val="20"/>
                <w:lang w:val="fr-CA"/>
              </w:rPr>
            </w:pPr>
            <w:r w:rsidRPr="00E75133">
              <w:rPr>
                <w:b/>
                <w:sz w:val="20"/>
                <w:szCs w:val="20"/>
                <w:lang w:val="fr-CA"/>
              </w:rPr>
              <w:t>Ville de Québec (Qc) (Civile) (Autorisation)</w:t>
            </w:r>
            <w:r w:rsidRPr="00E75133">
              <w:rPr>
                <w:sz w:val="20"/>
                <w:szCs w:val="20"/>
                <w:lang w:val="fr-CA"/>
              </w:rPr>
              <w:t xml:space="preserve"> </w:t>
            </w:r>
          </w:p>
        </w:tc>
        <w:tc>
          <w:tcPr>
            <w:tcW w:w="720" w:type="dxa"/>
            <w:tcMar>
              <w:left w:w="0" w:type="dxa"/>
              <w:right w:w="0" w:type="dxa"/>
            </w:tcMar>
          </w:tcPr>
          <w:p w:rsidR="003F26F3" w:rsidRPr="00EA0658" w:rsidRDefault="003F26F3" w:rsidP="00F146D0">
            <w:pPr>
              <w:widowControl w:val="0"/>
              <w:jc w:val="center"/>
              <w:rPr>
                <w:sz w:val="20"/>
                <w:szCs w:val="20"/>
                <w:lang w:val="fr-CA"/>
              </w:rPr>
            </w:pPr>
          </w:p>
        </w:tc>
        <w:tc>
          <w:tcPr>
            <w:tcW w:w="4380" w:type="dxa"/>
            <w:tcMar>
              <w:left w:w="0" w:type="dxa"/>
              <w:right w:w="0" w:type="dxa"/>
            </w:tcMar>
          </w:tcPr>
          <w:p w:rsidR="00EA0658" w:rsidRDefault="00EA0658" w:rsidP="00EA0658">
            <w:pPr>
              <w:rPr>
                <w:sz w:val="20"/>
                <w:szCs w:val="20"/>
                <w:lang w:val="fr-CA"/>
              </w:rPr>
            </w:pPr>
            <w:r w:rsidRPr="008A09CD">
              <w:rPr>
                <w:sz w:val="20"/>
                <w:szCs w:val="20"/>
                <w:lang w:val="fr-CA"/>
              </w:rPr>
              <w:t xml:space="preserve">David Bernier </w:t>
            </w:r>
            <w:r>
              <w:rPr>
                <w:sz w:val="20"/>
                <w:szCs w:val="20"/>
                <w:lang w:val="fr-CA"/>
              </w:rPr>
              <w:t xml:space="preserve">et </w:t>
            </w:r>
            <w:r w:rsidRPr="008A09CD">
              <w:rPr>
                <w:sz w:val="20"/>
                <w:szCs w:val="20"/>
                <w:lang w:val="fr-CA"/>
              </w:rPr>
              <w:t>William Noonan</w:t>
            </w:r>
            <w:r>
              <w:rPr>
                <w:sz w:val="20"/>
                <w:szCs w:val="20"/>
                <w:lang w:val="fr-CA"/>
              </w:rPr>
              <w:t xml:space="preserve"> p</w:t>
            </w:r>
            <w:r w:rsidRPr="008A09CD">
              <w:rPr>
                <w:sz w:val="20"/>
                <w:szCs w:val="20"/>
                <w:lang w:val="fr-CA"/>
              </w:rPr>
              <w:t>our l’appelante</w:t>
            </w:r>
            <w:r>
              <w:rPr>
                <w:sz w:val="20"/>
                <w:szCs w:val="20"/>
                <w:lang w:val="fr-CA"/>
              </w:rPr>
              <w:t>.</w:t>
            </w:r>
          </w:p>
          <w:p w:rsidR="00EA0658" w:rsidRDefault="00EA0658" w:rsidP="00EA0658">
            <w:pPr>
              <w:rPr>
                <w:sz w:val="20"/>
                <w:szCs w:val="20"/>
                <w:lang w:val="fr-CA"/>
              </w:rPr>
            </w:pPr>
          </w:p>
          <w:p w:rsidR="003F26F3" w:rsidRPr="00EA0658" w:rsidRDefault="00EA0658" w:rsidP="00EA0658">
            <w:pPr>
              <w:widowControl w:val="0"/>
              <w:jc w:val="both"/>
              <w:rPr>
                <w:sz w:val="20"/>
                <w:szCs w:val="20"/>
                <w:lang w:val="fr-CA"/>
              </w:rPr>
            </w:pPr>
            <w:r w:rsidRPr="008A09CD">
              <w:rPr>
                <w:sz w:val="20"/>
                <w:szCs w:val="20"/>
                <w:lang w:val="fr-CA"/>
              </w:rPr>
              <w:t>Isabelle Chouinard</w:t>
            </w:r>
            <w:r>
              <w:rPr>
                <w:sz w:val="20"/>
                <w:szCs w:val="20"/>
                <w:lang w:val="fr-CA"/>
              </w:rPr>
              <w:t xml:space="preserve">, </w:t>
            </w:r>
            <w:r w:rsidRPr="008A09CD">
              <w:rPr>
                <w:sz w:val="20"/>
                <w:szCs w:val="20"/>
                <w:lang w:val="fr-CA"/>
              </w:rPr>
              <w:t>Marc Desrosiers</w:t>
            </w:r>
            <w:r>
              <w:rPr>
                <w:sz w:val="20"/>
                <w:szCs w:val="20"/>
                <w:lang w:val="fr-CA"/>
              </w:rPr>
              <w:t xml:space="preserve"> et </w:t>
            </w:r>
            <w:r w:rsidRPr="008A09CD">
              <w:rPr>
                <w:sz w:val="20"/>
                <w:szCs w:val="20"/>
                <w:lang w:val="fr-CA"/>
              </w:rPr>
              <w:t>Kathy Lévesque</w:t>
            </w:r>
            <w:r>
              <w:rPr>
                <w:sz w:val="20"/>
                <w:szCs w:val="20"/>
                <w:lang w:val="fr-CA"/>
              </w:rPr>
              <w:t xml:space="preserve"> p</w:t>
            </w:r>
            <w:r w:rsidRPr="008A09CD">
              <w:rPr>
                <w:sz w:val="20"/>
                <w:szCs w:val="20"/>
                <w:lang w:val="fr-CA"/>
              </w:rPr>
              <w:t>our l’intimée</w:t>
            </w:r>
            <w:r>
              <w:rPr>
                <w:sz w:val="20"/>
                <w:szCs w:val="20"/>
                <w:lang w:val="fr-CA"/>
              </w:rPr>
              <w:t>.</w:t>
            </w:r>
          </w:p>
        </w:tc>
      </w:tr>
    </w:tbl>
    <w:p w:rsidR="003F26F3" w:rsidRPr="00EA0658" w:rsidRDefault="003F26F3" w:rsidP="003F26F3">
      <w:pPr>
        <w:widowControl w:val="0"/>
        <w:rPr>
          <w:sz w:val="20"/>
          <w:szCs w:val="20"/>
          <w:lang w:val="fr-CA"/>
        </w:rPr>
      </w:pPr>
    </w:p>
    <w:p w:rsidR="003F26F3" w:rsidRPr="0085476B" w:rsidRDefault="003F26F3" w:rsidP="003F26F3">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3F26F3" w:rsidRDefault="003F26F3" w:rsidP="003F26F3"/>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3F26F3" w:rsidRPr="00EB0F11" w:rsidTr="00F146D0">
        <w:tc>
          <w:tcPr>
            <w:tcW w:w="4380" w:type="dxa"/>
            <w:tcMar>
              <w:left w:w="0" w:type="dxa"/>
              <w:right w:w="0" w:type="dxa"/>
            </w:tcMar>
          </w:tcPr>
          <w:p w:rsidR="003F26F3" w:rsidRPr="00CC4D84" w:rsidRDefault="003F26F3" w:rsidP="00F146D0">
            <w:pPr>
              <w:widowControl w:val="0"/>
              <w:jc w:val="both"/>
              <w:rPr>
                <w:b/>
                <w:sz w:val="20"/>
                <w:szCs w:val="20"/>
                <w:u w:val="single"/>
              </w:rPr>
            </w:pPr>
            <w:r w:rsidRPr="00CC4D84">
              <w:rPr>
                <w:b/>
                <w:sz w:val="20"/>
                <w:szCs w:val="20"/>
                <w:u w:val="single"/>
              </w:rPr>
              <w:t>Nature of the case:</w:t>
            </w:r>
          </w:p>
          <w:p w:rsidR="003F26F3" w:rsidRPr="001A663B" w:rsidRDefault="003F26F3" w:rsidP="00F146D0">
            <w:pPr>
              <w:widowControl w:val="0"/>
              <w:jc w:val="both"/>
              <w:rPr>
                <w:b/>
                <w:sz w:val="20"/>
                <w:szCs w:val="20"/>
              </w:rPr>
            </w:pPr>
          </w:p>
          <w:p w:rsidR="003F26F3" w:rsidRPr="00C1697B" w:rsidRDefault="00B30D54" w:rsidP="00F146D0">
            <w:pPr>
              <w:widowControl w:val="0"/>
              <w:jc w:val="both"/>
              <w:rPr>
                <w:b/>
                <w:sz w:val="20"/>
                <w:szCs w:val="20"/>
              </w:rPr>
            </w:pPr>
            <w:r w:rsidRPr="007B5958">
              <w:rPr>
                <w:sz w:val="20"/>
                <w:szCs w:val="20"/>
              </w:rPr>
              <w:t>Municipal law - Penal procedure - Whether doctrine of estoppel can be pleaded by defendant in penal proceeding dealing with application of provision of municipal zoning by-law - Whether respondent’s actions could make doctrine of estoppel applicable in this case and thus result in appellant’s acquittal on offence charged.</w:t>
            </w:r>
          </w:p>
        </w:tc>
        <w:tc>
          <w:tcPr>
            <w:tcW w:w="720" w:type="dxa"/>
            <w:tcMar>
              <w:left w:w="0" w:type="dxa"/>
              <w:right w:w="0" w:type="dxa"/>
            </w:tcMar>
          </w:tcPr>
          <w:p w:rsidR="003F26F3" w:rsidRPr="00C1697B" w:rsidRDefault="003F26F3" w:rsidP="00F146D0">
            <w:pPr>
              <w:widowControl w:val="0"/>
              <w:jc w:val="center"/>
              <w:rPr>
                <w:sz w:val="20"/>
                <w:szCs w:val="20"/>
              </w:rPr>
            </w:pPr>
          </w:p>
        </w:tc>
        <w:tc>
          <w:tcPr>
            <w:tcW w:w="4380" w:type="dxa"/>
            <w:tcMar>
              <w:left w:w="0" w:type="dxa"/>
              <w:right w:w="0" w:type="dxa"/>
            </w:tcMar>
          </w:tcPr>
          <w:p w:rsidR="003F26F3" w:rsidRPr="00CC4D84" w:rsidRDefault="003F26F3" w:rsidP="00F146D0">
            <w:pPr>
              <w:widowControl w:val="0"/>
              <w:jc w:val="both"/>
              <w:rPr>
                <w:b/>
                <w:sz w:val="20"/>
                <w:szCs w:val="20"/>
                <w:u w:val="single"/>
                <w:lang w:val="fr-CA"/>
              </w:rPr>
            </w:pPr>
            <w:r w:rsidRPr="00CC4D84">
              <w:rPr>
                <w:b/>
                <w:sz w:val="20"/>
                <w:szCs w:val="20"/>
                <w:u w:val="single"/>
                <w:lang w:val="fr-CA"/>
              </w:rPr>
              <w:t>Nature de la cause :</w:t>
            </w:r>
          </w:p>
          <w:p w:rsidR="003F26F3" w:rsidRPr="00C1697B" w:rsidRDefault="003F26F3" w:rsidP="00F146D0">
            <w:pPr>
              <w:widowControl w:val="0"/>
              <w:jc w:val="both"/>
              <w:rPr>
                <w:sz w:val="20"/>
                <w:szCs w:val="20"/>
                <w:lang w:val="fr-CA"/>
              </w:rPr>
            </w:pPr>
          </w:p>
          <w:p w:rsidR="003F26F3" w:rsidRPr="00C1697B" w:rsidRDefault="00B30D54" w:rsidP="00F146D0">
            <w:pPr>
              <w:widowControl w:val="0"/>
              <w:jc w:val="both"/>
              <w:rPr>
                <w:sz w:val="20"/>
                <w:szCs w:val="20"/>
                <w:lang w:val="fr-CA"/>
              </w:rPr>
            </w:pPr>
            <w:r w:rsidRPr="00752E64">
              <w:rPr>
                <w:sz w:val="20"/>
                <w:szCs w:val="20"/>
                <w:lang w:val="fr-CA"/>
              </w:rPr>
              <w:t>Droit municipal - Procédure pénale - La théorie de l’Estoppel peut-elle être alléguée par une partie défenderesse dans le cadre d’un recours pénal portant sur l’application d’une disposition d’un règlement municipal de zonage? - Les faits et gestes de l’intimée peuvent-ils entraîner l’application de la théorie de l’Estoppel en l’instance et donc l’acquittement de l’appelante face à l’infraction lui étant reprochée?</w:t>
            </w:r>
          </w:p>
        </w:tc>
      </w:tr>
    </w:tbl>
    <w:p w:rsidR="003F26F3" w:rsidRDefault="003F26F3" w:rsidP="003F26F3">
      <w:pPr>
        <w:widowControl w:val="0"/>
        <w:rPr>
          <w:sz w:val="20"/>
          <w:szCs w:val="20"/>
          <w:lang w:val="fr-CA"/>
        </w:rPr>
      </w:pPr>
    </w:p>
    <w:p w:rsidR="003F26F3" w:rsidRDefault="00EB0F11" w:rsidP="003F26F3">
      <w:pPr>
        <w:widowControl w:val="0"/>
        <w:rPr>
          <w:sz w:val="20"/>
          <w:szCs w:val="20"/>
          <w:lang w:val="fr-CA"/>
        </w:rPr>
      </w:pPr>
      <w:r>
        <w:rPr>
          <w:sz w:val="20"/>
          <w:szCs w:val="20"/>
          <w:lang w:val="fr-CA"/>
        </w:rPr>
        <w:pict>
          <v:rect id="_x0000_i1089" style="width:2in;height:1pt" o:hrpct="0" o:hralign="center" o:hrstd="t" o:hrnoshade="t" o:hr="t" fillcolor="black [3213]" stroked="f"/>
        </w:pict>
      </w:r>
    </w:p>
    <w:p w:rsidR="003F26F3" w:rsidRPr="00C1697B" w:rsidRDefault="003F26F3" w:rsidP="003F26F3">
      <w:pPr>
        <w:widowControl w:val="0"/>
        <w:rPr>
          <w:sz w:val="20"/>
          <w:szCs w:val="20"/>
          <w:lang w:val="fr-CA"/>
        </w:rPr>
      </w:pPr>
    </w:p>
    <w:p w:rsidR="003F26F3" w:rsidRPr="00C1697B" w:rsidRDefault="003F26F3"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99"/>
          <w:headerReference w:type="default" r:id="rId100"/>
          <w:footerReference w:type="even" r:id="rId101"/>
          <w:footerReference w:type="default" r:id="rId102"/>
          <w:headerReference w:type="first" r:id="rId103"/>
          <w:footerReference w:type="first" r:id="rId104"/>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EB0F11"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1F1368" w:rsidP="00AF1715">
      <w:pPr>
        <w:rPr>
          <w:b/>
          <w:sz w:val="20"/>
          <w:szCs w:val="20"/>
        </w:rPr>
      </w:pPr>
      <w:r>
        <w:rPr>
          <w:b/>
          <w:sz w:val="20"/>
          <w:szCs w:val="20"/>
        </w:rPr>
        <w:t>FEB</w:t>
      </w:r>
      <w:r w:rsidR="00AF1715" w:rsidRPr="003B3977">
        <w:rPr>
          <w:b/>
          <w:sz w:val="20"/>
          <w:szCs w:val="20"/>
        </w:rPr>
        <w:t>R</w:t>
      </w:r>
      <w:r>
        <w:rPr>
          <w:b/>
          <w:sz w:val="20"/>
          <w:szCs w:val="20"/>
        </w:rPr>
        <w:t>UARY</w:t>
      </w:r>
      <w:r w:rsidR="00AF1715" w:rsidRPr="003B3977">
        <w:rPr>
          <w:b/>
          <w:sz w:val="20"/>
          <w:szCs w:val="20"/>
        </w:rPr>
        <w:t xml:space="preserve"> </w:t>
      </w:r>
      <w:r w:rsidR="004E1E0A">
        <w:rPr>
          <w:b/>
          <w:sz w:val="20"/>
          <w:szCs w:val="20"/>
        </w:rPr>
        <w:t>2</w:t>
      </w:r>
      <w:r>
        <w:rPr>
          <w:b/>
          <w:sz w:val="20"/>
          <w:szCs w:val="20"/>
        </w:rPr>
        <w:t>0</w:t>
      </w:r>
      <w:r w:rsidR="00AF1715" w:rsidRPr="003B3977">
        <w:rPr>
          <w:b/>
          <w:sz w:val="20"/>
          <w:szCs w:val="20"/>
        </w:rPr>
        <w:t>, 201</w:t>
      </w:r>
      <w:r>
        <w:rPr>
          <w:b/>
          <w:sz w:val="20"/>
          <w:szCs w:val="20"/>
        </w:rPr>
        <w:t>4</w:t>
      </w:r>
      <w:r w:rsidR="00AF1715" w:rsidRPr="003B3977">
        <w:rPr>
          <w:b/>
          <w:sz w:val="20"/>
          <w:szCs w:val="20"/>
        </w:rPr>
        <w:t xml:space="preserve"> / LE </w:t>
      </w:r>
      <w:r w:rsidR="004E1E0A">
        <w:rPr>
          <w:b/>
          <w:sz w:val="20"/>
          <w:szCs w:val="20"/>
        </w:rPr>
        <w:t>2</w:t>
      </w:r>
      <w:r>
        <w:rPr>
          <w:b/>
          <w:sz w:val="20"/>
          <w:szCs w:val="20"/>
        </w:rPr>
        <w:t>0 FÉV</w:t>
      </w:r>
      <w:r w:rsidR="00AF1715" w:rsidRPr="003B3977">
        <w:rPr>
          <w:b/>
          <w:sz w:val="20"/>
          <w:szCs w:val="20"/>
        </w:rPr>
        <w:t>R</w:t>
      </w:r>
      <w:r>
        <w:rPr>
          <w:b/>
          <w:sz w:val="20"/>
          <w:szCs w:val="20"/>
        </w:rPr>
        <w:t>I</w:t>
      </w:r>
      <w:r w:rsidR="00AF1715" w:rsidRPr="003B3977">
        <w:rPr>
          <w:b/>
          <w:sz w:val="20"/>
          <w:szCs w:val="20"/>
        </w:rPr>
        <w:t>E</w:t>
      </w:r>
      <w:r>
        <w:rPr>
          <w:b/>
          <w:sz w:val="20"/>
          <w:szCs w:val="20"/>
        </w:rPr>
        <w:t>R</w:t>
      </w:r>
      <w:r w:rsidR="00AF1715" w:rsidRPr="003B3977">
        <w:rPr>
          <w:b/>
          <w:sz w:val="20"/>
          <w:szCs w:val="20"/>
        </w:rPr>
        <w:t xml:space="preserve"> 201</w:t>
      </w:r>
      <w:r>
        <w:rPr>
          <w:b/>
          <w:sz w:val="20"/>
          <w:szCs w:val="20"/>
        </w:rPr>
        <w:t>4</w:t>
      </w:r>
    </w:p>
    <w:p w:rsidR="00AF1715" w:rsidRDefault="00AF1715" w:rsidP="00AF1715">
      <w:pPr>
        <w:rPr>
          <w:sz w:val="20"/>
          <w:szCs w:val="20"/>
        </w:rPr>
      </w:pPr>
    </w:p>
    <w:p w:rsidR="001C4AC6" w:rsidRPr="000F3B4D" w:rsidRDefault="0006361A" w:rsidP="001C4AC6">
      <w:pPr>
        <w:ind w:left="1440" w:hanging="1440"/>
        <w:jc w:val="both"/>
        <w:rPr>
          <w:sz w:val="20"/>
        </w:rPr>
      </w:pPr>
      <w:r w:rsidRPr="00202C5F">
        <w:rPr>
          <w:b/>
          <w:sz w:val="20"/>
        </w:rPr>
        <w:fldChar w:fldCharType="begin"/>
      </w:r>
      <w:r w:rsidR="001C4AC6" w:rsidRPr="000F3B4D">
        <w:rPr>
          <w:b/>
          <w:sz w:val="20"/>
        </w:rPr>
        <w:instrText xml:space="preserve"> SEQ CHAPTER \h \r 1</w:instrText>
      </w:r>
      <w:r w:rsidRPr="00202C5F">
        <w:rPr>
          <w:b/>
          <w:sz w:val="20"/>
        </w:rPr>
        <w:fldChar w:fldCharType="end"/>
      </w:r>
      <w:r w:rsidR="001C4AC6" w:rsidRPr="000F3B4D">
        <w:rPr>
          <w:b/>
          <w:sz w:val="20"/>
        </w:rPr>
        <w:t>35180</w:t>
      </w:r>
      <w:r w:rsidR="001C4AC6" w:rsidRPr="000F3B4D">
        <w:rPr>
          <w:sz w:val="20"/>
        </w:rPr>
        <w:tab/>
      </w:r>
      <w:r w:rsidR="001C4AC6" w:rsidRPr="000F3B4D">
        <w:rPr>
          <w:b/>
          <w:sz w:val="20"/>
          <w:u w:val="single"/>
        </w:rPr>
        <w:t>Ajitpal Singh Sekhon v. Her Majesty The Queen</w:t>
      </w:r>
      <w:r w:rsidR="001C4AC6" w:rsidRPr="000F3B4D">
        <w:rPr>
          <w:b/>
          <w:sz w:val="20"/>
        </w:rPr>
        <w:t xml:space="preserve"> </w:t>
      </w:r>
      <w:r w:rsidR="001C4AC6" w:rsidRPr="000F3B4D">
        <w:rPr>
          <w:iCs/>
          <w:sz w:val="20"/>
        </w:rPr>
        <w:t>(B.C.)</w:t>
      </w:r>
    </w:p>
    <w:p w:rsidR="001C4AC6" w:rsidRPr="001C4AC6" w:rsidRDefault="001C4AC6" w:rsidP="001C4AC6">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1C4AC6">
        <w:rPr>
          <w:b/>
          <w:sz w:val="20"/>
        </w:rPr>
        <w:t>2014 SCC 15 / 2014 CSC 15</w:t>
      </w:r>
    </w:p>
    <w:p w:rsidR="001C4AC6" w:rsidRPr="001C4AC6" w:rsidRDefault="001C4AC6" w:rsidP="001C4AC6">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1C4AC6" w:rsidRPr="004F7009" w:rsidRDefault="001C4AC6" w:rsidP="001C4AC6">
      <w:pPr>
        <w:ind w:left="1440" w:hanging="1440"/>
        <w:rPr>
          <w:sz w:val="20"/>
          <w:u w:val="single"/>
        </w:rPr>
      </w:pPr>
      <w:r w:rsidRPr="004F7009">
        <w:rPr>
          <w:sz w:val="20"/>
        </w:rPr>
        <w:t>Coram:</w:t>
      </w:r>
      <w:r w:rsidRPr="004F7009">
        <w:rPr>
          <w:sz w:val="20"/>
        </w:rPr>
        <w:tab/>
      </w:r>
      <w:r w:rsidRPr="004F7009">
        <w:rPr>
          <w:sz w:val="20"/>
          <w:u w:val="single"/>
        </w:rPr>
        <w:t xml:space="preserve">McLachlin C.J. and LeBel, Abella, Rothstein, Moldaver, Karakatsanis and Wagner JJ. </w:t>
      </w:r>
    </w:p>
    <w:p w:rsidR="001C4AC6" w:rsidRPr="004F7009" w:rsidRDefault="001C4AC6" w:rsidP="001C4AC6">
      <w:pPr>
        <w:ind w:left="1440" w:hanging="1440"/>
        <w:rPr>
          <w:sz w:val="16"/>
          <w:u w:val="single"/>
        </w:rPr>
      </w:pPr>
      <w:r w:rsidRPr="004F7009">
        <w:rPr>
          <w:sz w:val="20"/>
          <w:u w:val="single"/>
        </w:rPr>
        <w:t xml:space="preserve"> </w:t>
      </w:r>
    </w:p>
    <w:p w:rsidR="001C4AC6" w:rsidRPr="004F7009" w:rsidRDefault="001C4AC6" w:rsidP="001C4AC6">
      <w:pPr>
        <w:jc w:val="both"/>
        <w:rPr>
          <w:rFonts w:eastAsia="Calibri"/>
          <w:sz w:val="20"/>
        </w:rPr>
      </w:pPr>
      <w:r w:rsidRPr="004F7009">
        <w:rPr>
          <w:rFonts w:eastAsia="Calibri"/>
          <w:sz w:val="20"/>
        </w:rPr>
        <w:t>The appeal from the judgment of the Court of Appeal for British Columbia (Vancouver), Number CA039578, 2012 BCCA 512, dated December 19, 2012, heard on November 8, 2013, is dismissed, McLachlin C.J. and LeBel J. dissenting.</w:t>
      </w:r>
    </w:p>
    <w:p w:rsidR="001C4AC6" w:rsidRPr="004F7009" w:rsidRDefault="001C4AC6" w:rsidP="001C4AC6">
      <w:pPr>
        <w:jc w:val="both"/>
        <w:rPr>
          <w:rFonts w:eastAsia="Calibri"/>
          <w:sz w:val="20"/>
        </w:rPr>
      </w:pPr>
    </w:p>
    <w:p w:rsidR="001C4AC6" w:rsidRPr="004F7009" w:rsidRDefault="001C4AC6" w:rsidP="001C4AC6">
      <w:pPr>
        <w:jc w:val="both"/>
        <w:rPr>
          <w:rFonts w:eastAsia="Calibri"/>
          <w:sz w:val="20"/>
          <w:lang w:val="fr-CA"/>
        </w:rPr>
      </w:pPr>
      <w:r w:rsidRPr="004F7009">
        <w:rPr>
          <w:rFonts w:eastAsia="Calibri"/>
          <w:sz w:val="20"/>
          <w:lang w:val="fr-CA"/>
        </w:rPr>
        <w:t>L’appel interjeté contre l’arrêt de la Cour d’appel de la Colombie-Britannique (Vancouver), numéro CA039578, 2012 BCCA 512, en date du 19 décembre 2012, entendu le 8 novembre 2013, est rejeté.  La juge en chef McLachlin et le juge LeBel sont dissidents.</w:t>
      </w:r>
    </w:p>
    <w:p w:rsidR="001C4AC6" w:rsidRPr="001C4AC6" w:rsidRDefault="001C4AC6" w:rsidP="00AF1715">
      <w:pPr>
        <w:rPr>
          <w:sz w:val="20"/>
          <w:szCs w:val="20"/>
          <w:lang w:val="fr-CA"/>
        </w:rPr>
      </w:pPr>
    </w:p>
    <w:p w:rsidR="00AF1715" w:rsidRPr="003B3977" w:rsidRDefault="00EB0F11" w:rsidP="00AF1715">
      <w:pPr>
        <w:spacing w:line="0" w:lineRule="atLeast"/>
        <w:rPr>
          <w:sz w:val="20"/>
          <w:szCs w:val="20"/>
        </w:rPr>
      </w:pPr>
      <w:r>
        <w:rPr>
          <w:b/>
          <w:sz w:val="20"/>
          <w:szCs w:val="20"/>
        </w:rPr>
        <w:pict>
          <v:rect id="_x0000_i1092"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1F1368" w:rsidRPr="001F1368" w:rsidRDefault="001F1368" w:rsidP="001F1368">
      <w:pPr>
        <w:rPr>
          <w:b/>
          <w:sz w:val="20"/>
          <w:szCs w:val="20"/>
          <w:lang w:val="fr-CA"/>
        </w:rPr>
      </w:pPr>
      <w:r w:rsidRPr="001F1368">
        <w:rPr>
          <w:b/>
          <w:sz w:val="20"/>
          <w:szCs w:val="20"/>
          <w:lang w:val="fr-CA"/>
        </w:rPr>
        <w:t>FEBRUARY 2</w:t>
      </w:r>
      <w:r>
        <w:rPr>
          <w:b/>
          <w:sz w:val="20"/>
          <w:szCs w:val="20"/>
          <w:lang w:val="fr-CA"/>
        </w:rPr>
        <w:t>1</w:t>
      </w:r>
      <w:r w:rsidRPr="001F1368">
        <w:rPr>
          <w:b/>
          <w:sz w:val="20"/>
          <w:szCs w:val="20"/>
          <w:lang w:val="fr-CA"/>
        </w:rPr>
        <w:t>, 2014 / LE 2</w:t>
      </w:r>
      <w:r>
        <w:rPr>
          <w:b/>
          <w:sz w:val="20"/>
          <w:szCs w:val="20"/>
          <w:lang w:val="fr-CA"/>
        </w:rPr>
        <w:t>1</w:t>
      </w:r>
      <w:r w:rsidRPr="001F1368">
        <w:rPr>
          <w:b/>
          <w:sz w:val="20"/>
          <w:szCs w:val="20"/>
          <w:lang w:val="fr-CA"/>
        </w:rPr>
        <w:t xml:space="preserve"> FÉVRIER 2014</w:t>
      </w:r>
    </w:p>
    <w:p w:rsidR="00D004FC" w:rsidRDefault="00D004FC" w:rsidP="00D004FC">
      <w:pPr>
        <w:spacing w:line="0" w:lineRule="atLeast"/>
        <w:rPr>
          <w:rFonts w:cs="Times New Roman"/>
          <w:sz w:val="20"/>
          <w:szCs w:val="20"/>
          <w:lang w:val="fr-CA"/>
        </w:rPr>
      </w:pPr>
    </w:p>
    <w:p w:rsidR="00EC0733" w:rsidRPr="00DC2B2E" w:rsidRDefault="0006361A" w:rsidP="00EC0733">
      <w:pPr>
        <w:ind w:left="1440" w:hanging="1440"/>
        <w:jc w:val="both"/>
        <w:rPr>
          <w:sz w:val="20"/>
          <w:lang w:val="fr-CA"/>
        </w:rPr>
      </w:pPr>
      <w:r w:rsidRPr="00202C5F">
        <w:rPr>
          <w:b/>
          <w:sz w:val="20"/>
        </w:rPr>
        <w:fldChar w:fldCharType="begin"/>
      </w:r>
      <w:r w:rsidR="00EC0733" w:rsidRPr="00DC2B2E">
        <w:rPr>
          <w:b/>
          <w:sz w:val="20"/>
          <w:lang w:val="fr-CA"/>
        </w:rPr>
        <w:instrText xml:space="preserve"> SEQ CHAPTER \h \r 1</w:instrText>
      </w:r>
      <w:r w:rsidRPr="00202C5F">
        <w:rPr>
          <w:b/>
          <w:sz w:val="20"/>
        </w:rPr>
        <w:fldChar w:fldCharType="end"/>
      </w:r>
      <w:r w:rsidR="00EC0733" w:rsidRPr="00DC2B2E">
        <w:rPr>
          <w:b/>
          <w:sz w:val="20"/>
          <w:lang w:val="fr-CA"/>
        </w:rPr>
        <w:t>34824</w:t>
      </w:r>
      <w:r w:rsidR="00EC0733" w:rsidRPr="00DC2B2E">
        <w:rPr>
          <w:sz w:val="20"/>
          <w:lang w:val="fr-CA"/>
        </w:rPr>
        <w:tab/>
      </w:r>
      <w:r w:rsidR="00EC0733" w:rsidRPr="00DC2B2E">
        <w:rPr>
          <w:b/>
          <w:sz w:val="20"/>
          <w:u w:val="single"/>
          <w:lang w:val="fr-CA"/>
        </w:rPr>
        <w:t>Antal Babos c. Sa Majesté la Reine</w:t>
      </w:r>
      <w:r w:rsidR="00EC0733">
        <w:rPr>
          <w:b/>
          <w:sz w:val="20"/>
          <w:u w:val="single"/>
          <w:lang w:val="fr-CA"/>
        </w:rPr>
        <w:t xml:space="preserve"> – ET ENTRE – </w:t>
      </w:r>
      <w:r w:rsidR="00EC0733" w:rsidRPr="00DC2B2E">
        <w:rPr>
          <w:b/>
          <w:sz w:val="20"/>
          <w:u w:val="single"/>
          <w:lang w:val="fr-CA"/>
        </w:rPr>
        <w:t xml:space="preserve">Sergio Piccirilli </w:t>
      </w:r>
      <w:r w:rsidR="00EC0733">
        <w:rPr>
          <w:b/>
          <w:sz w:val="20"/>
          <w:u w:val="single"/>
          <w:lang w:val="fr-CA"/>
        </w:rPr>
        <w:t xml:space="preserve">c. </w:t>
      </w:r>
      <w:r w:rsidR="00EC0733" w:rsidRPr="00DC2B2E">
        <w:rPr>
          <w:b/>
          <w:sz w:val="20"/>
          <w:u w:val="single"/>
          <w:lang w:val="fr-CA"/>
        </w:rPr>
        <w:t>Sa Majesté la Reine</w:t>
      </w:r>
      <w:r w:rsidR="00EC0733" w:rsidRPr="00DC2B2E">
        <w:rPr>
          <w:b/>
          <w:sz w:val="20"/>
          <w:lang w:val="fr-CA"/>
        </w:rPr>
        <w:t xml:space="preserve"> </w:t>
      </w:r>
      <w:r w:rsidR="00EC0733" w:rsidRPr="00DC2B2E">
        <w:rPr>
          <w:sz w:val="20"/>
          <w:lang w:val="fr-CA"/>
        </w:rPr>
        <w:t>(</w:t>
      </w:r>
      <w:r w:rsidR="00EC0733">
        <w:rPr>
          <w:sz w:val="20"/>
          <w:lang w:val="fr-CA"/>
        </w:rPr>
        <w:t>Qc</w:t>
      </w:r>
      <w:r w:rsidR="00EC0733" w:rsidRPr="00DC2B2E">
        <w:rPr>
          <w:sz w:val="20"/>
          <w:lang w:val="fr-CA"/>
        </w:rPr>
        <w:t>)</w:t>
      </w:r>
    </w:p>
    <w:p w:rsidR="00EC0733" w:rsidRPr="00DC2B2E" w:rsidRDefault="00EC0733" w:rsidP="00EC0733">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DC2B2E">
        <w:rPr>
          <w:b/>
          <w:sz w:val="20"/>
          <w:lang w:val="fr-CA"/>
        </w:rPr>
        <w:t>2014 SCC 16 / 2014 CSC 16</w:t>
      </w:r>
    </w:p>
    <w:p w:rsidR="00EC0733" w:rsidRPr="00DC2B2E" w:rsidRDefault="00EC0733" w:rsidP="00EC0733">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EC0733" w:rsidRPr="00DC2B2E" w:rsidRDefault="00EC0733" w:rsidP="00EC0733">
      <w:pPr>
        <w:ind w:left="1440" w:hanging="1440"/>
        <w:rPr>
          <w:sz w:val="20"/>
          <w:u w:val="single"/>
          <w:lang w:val="fr-CA"/>
        </w:rPr>
      </w:pPr>
      <w:r w:rsidRPr="00DC2B2E">
        <w:rPr>
          <w:sz w:val="20"/>
          <w:lang w:val="fr-CA"/>
        </w:rPr>
        <w:t>Coram:</w:t>
      </w:r>
      <w:r w:rsidRPr="00DC2B2E">
        <w:rPr>
          <w:sz w:val="20"/>
          <w:lang w:val="fr-CA"/>
        </w:rPr>
        <w:tab/>
      </w:r>
      <w:r w:rsidRPr="00DC2B2E">
        <w:rPr>
          <w:sz w:val="20"/>
          <w:u w:val="single"/>
          <w:lang w:val="fr-CA"/>
        </w:rPr>
        <w:t xml:space="preserve">La juge en chef McLachlin et les juges LeBel, Abella, Cromwell, Moldaver, Karakatsanis et Wagner </w:t>
      </w:r>
    </w:p>
    <w:p w:rsidR="00EC0733" w:rsidRPr="00DC2B2E" w:rsidRDefault="00EC0733" w:rsidP="00EC0733">
      <w:pPr>
        <w:ind w:left="1440" w:hanging="1440"/>
        <w:jc w:val="both"/>
        <w:rPr>
          <w:sz w:val="20"/>
          <w:u w:val="single"/>
          <w:lang w:val="fr-CA"/>
        </w:rPr>
      </w:pPr>
    </w:p>
    <w:p w:rsidR="00EC0733" w:rsidRPr="00DC2B2E" w:rsidRDefault="00EC0733" w:rsidP="00EC0733">
      <w:pPr>
        <w:jc w:val="both"/>
        <w:rPr>
          <w:rFonts w:eastAsia="Calibri"/>
          <w:sz w:val="20"/>
          <w:lang w:val="fr-CA"/>
        </w:rPr>
      </w:pPr>
      <w:r w:rsidRPr="00DC2B2E">
        <w:rPr>
          <w:rFonts w:eastAsia="Calibri"/>
          <w:sz w:val="20"/>
          <w:lang w:val="fr-CA"/>
        </w:rPr>
        <w:t>Les appels interjetés contre l’arrêt de la Cour d’appel du Québec (Montréal), numéros 500-10-004261-085 et 500-10-004264-089, 2012 QCCA 471, en date du 14 mars 2012, entendus le 9 octobre 2013, sont rejetés. La juge Abella est dissidente. La requête en vue de présenter des nouveaux éléments de preuve est également rejetée.</w:t>
      </w:r>
    </w:p>
    <w:p w:rsidR="00EC0733" w:rsidRPr="00DC2B2E" w:rsidRDefault="00EC0733" w:rsidP="00EC0733">
      <w:pPr>
        <w:jc w:val="both"/>
        <w:rPr>
          <w:rFonts w:eastAsia="Calibri"/>
          <w:sz w:val="20"/>
          <w:lang w:val="fr-CA"/>
        </w:rPr>
      </w:pPr>
    </w:p>
    <w:p w:rsidR="00EC0733" w:rsidRPr="00DC2B2E" w:rsidRDefault="00EC0733" w:rsidP="00EC0733">
      <w:pPr>
        <w:jc w:val="both"/>
        <w:rPr>
          <w:rFonts w:eastAsia="Calibri"/>
          <w:sz w:val="20"/>
        </w:rPr>
      </w:pPr>
      <w:r w:rsidRPr="00DC2B2E">
        <w:rPr>
          <w:rFonts w:eastAsia="Calibri"/>
          <w:sz w:val="20"/>
        </w:rPr>
        <w:t xml:space="preserve">The appeals from the judgment </w:t>
      </w:r>
      <w:bookmarkStart w:id="2" w:name="BM_1_"/>
      <w:bookmarkEnd w:id="2"/>
      <w:r w:rsidRPr="00DC2B2E">
        <w:rPr>
          <w:rFonts w:eastAsia="Calibri"/>
          <w:sz w:val="20"/>
        </w:rPr>
        <w:t>of the Court of Appeal of Quebec (Montréal), Numbers  500-10-004261-085 and 500-10-004264-089, 2012 QCCA 471, dated March 14, 2012, heard on October 9, 2013, are dismissed, Abella J. dissenting. The respondent’s motion to adduce fresh evidence is also dismissed.</w:t>
      </w:r>
    </w:p>
    <w:p w:rsidR="00D004FC" w:rsidRDefault="00D004FC" w:rsidP="00D004FC">
      <w:pPr>
        <w:spacing w:line="0" w:lineRule="atLeast"/>
        <w:rPr>
          <w:rFonts w:cs="Times New Roman"/>
          <w:sz w:val="20"/>
          <w:szCs w:val="20"/>
        </w:rPr>
      </w:pPr>
    </w:p>
    <w:p w:rsidR="00D004FC" w:rsidRDefault="00EB0F11" w:rsidP="00D004FC">
      <w:pPr>
        <w:jc w:val="both"/>
        <w:rPr>
          <w:rFonts w:cs="Times New Roman"/>
          <w:b/>
          <w:sz w:val="20"/>
          <w:szCs w:val="20"/>
        </w:rPr>
      </w:pPr>
      <w:r>
        <w:rPr>
          <w:rFonts w:cs="Times New Roman"/>
          <w:b/>
          <w:sz w:val="20"/>
          <w:szCs w:val="20"/>
        </w:rPr>
        <w:pict>
          <v:rect id="_x0000_i1093"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105"/>
          <w:headerReference w:type="default" r:id="rId106"/>
          <w:footerReference w:type="even" r:id="rId107"/>
          <w:footerReference w:type="default" r:id="rId108"/>
          <w:headerReference w:type="first" r:id="rId109"/>
          <w:footerReference w:type="first" r:id="rId110"/>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4A5EB8" w:rsidRPr="00700188" w:rsidRDefault="004A5EB8" w:rsidP="004A5EB8">
      <w:pPr>
        <w:widowControl w:val="0"/>
        <w:autoSpaceDE w:val="0"/>
        <w:autoSpaceDN w:val="0"/>
        <w:adjustRightInd w:val="0"/>
        <w:jc w:val="both"/>
        <w:rPr>
          <w:sz w:val="20"/>
          <w:szCs w:val="20"/>
        </w:rPr>
      </w:pPr>
      <w:r w:rsidRPr="00700188">
        <w:rPr>
          <w:i/>
          <w:sz w:val="20"/>
          <w:szCs w:val="20"/>
        </w:rPr>
        <w:t xml:space="preserve">Ajitpal Singh Sekhon v. Her Majesty the Queen </w:t>
      </w:r>
      <w:r w:rsidRPr="00700188">
        <w:rPr>
          <w:sz w:val="20"/>
          <w:szCs w:val="20"/>
        </w:rPr>
        <w:t>(B.C.) (</w:t>
      </w:r>
      <w:hyperlink r:id="rId111" w:history="1">
        <w:r w:rsidRPr="00700188">
          <w:rPr>
            <w:rStyle w:val="Hyperlink"/>
            <w:sz w:val="20"/>
            <w:szCs w:val="20"/>
          </w:rPr>
          <w:t>35180</w:t>
        </w:r>
      </w:hyperlink>
      <w:r w:rsidRPr="00700188">
        <w:rPr>
          <w:sz w:val="20"/>
          <w:szCs w:val="20"/>
        </w:rPr>
        <w:t>)</w:t>
      </w:r>
    </w:p>
    <w:p w:rsidR="00FA583A" w:rsidRPr="00946B08" w:rsidRDefault="00FA583A" w:rsidP="00FA583A">
      <w:pPr>
        <w:jc w:val="both"/>
        <w:rPr>
          <w:b/>
          <w:sz w:val="20"/>
          <w:szCs w:val="20"/>
        </w:rPr>
      </w:pPr>
      <w:r w:rsidRPr="00946B08">
        <w:rPr>
          <w:b/>
          <w:sz w:val="20"/>
          <w:szCs w:val="20"/>
        </w:rPr>
        <w:t xml:space="preserve">Indexed as:  R. </w:t>
      </w:r>
      <w:r w:rsidRPr="00946B08">
        <w:rPr>
          <w:b/>
          <w:i/>
          <w:sz w:val="20"/>
          <w:szCs w:val="20"/>
        </w:rPr>
        <w:t>v.</w:t>
      </w:r>
      <w:r w:rsidRPr="00946B08">
        <w:rPr>
          <w:b/>
          <w:sz w:val="20"/>
          <w:szCs w:val="20"/>
        </w:rPr>
        <w:t xml:space="preserve"> Sekhon</w:t>
      </w:r>
      <w:r>
        <w:rPr>
          <w:b/>
          <w:sz w:val="20"/>
          <w:szCs w:val="20"/>
        </w:rPr>
        <w:t xml:space="preserve"> / </w:t>
      </w:r>
      <w:r w:rsidRPr="001C4AC6">
        <w:rPr>
          <w:b/>
          <w:sz w:val="20"/>
          <w:szCs w:val="20"/>
        </w:rPr>
        <w:t xml:space="preserve">Répertorié : R. </w:t>
      </w:r>
      <w:r w:rsidRPr="001C4AC6">
        <w:rPr>
          <w:b/>
          <w:i/>
          <w:sz w:val="20"/>
          <w:szCs w:val="20"/>
        </w:rPr>
        <w:t>c.</w:t>
      </w:r>
      <w:r w:rsidRPr="001C4AC6">
        <w:rPr>
          <w:b/>
          <w:sz w:val="20"/>
          <w:szCs w:val="20"/>
        </w:rPr>
        <w:t xml:space="preserve"> Sekhon</w:t>
      </w:r>
    </w:p>
    <w:p w:rsidR="005C6840" w:rsidRPr="001C4AC6" w:rsidRDefault="005C6840" w:rsidP="005C6840">
      <w:pPr>
        <w:pStyle w:val="SCCSystemYear"/>
        <w:jc w:val="both"/>
        <w:rPr>
          <w:sz w:val="20"/>
          <w:lang w:val="en-CA"/>
        </w:rPr>
      </w:pPr>
      <w:r w:rsidRPr="001C4AC6">
        <w:rPr>
          <w:sz w:val="20"/>
          <w:lang w:val="en-CA"/>
        </w:rPr>
        <w:t>Neutral citation:  201</w:t>
      </w:r>
      <w:r w:rsidR="004A5EB8" w:rsidRPr="001C4AC6">
        <w:rPr>
          <w:sz w:val="20"/>
          <w:lang w:val="en-CA"/>
        </w:rPr>
        <w:t>4</w:t>
      </w:r>
      <w:r w:rsidRPr="001C4AC6">
        <w:rPr>
          <w:sz w:val="20"/>
          <w:lang w:val="en-CA"/>
        </w:rPr>
        <w:t xml:space="preserve"> SCC </w:t>
      </w:r>
      <w:r w:rsidR="007F387B" w:rsidRPr="001C4AC6">
        <w:rPr>
          <w:sz w:val="20"/>
          <w:lang w:val="en-CA"/>
        </w:rPr>
        <w:t>1</w:t>
      </w:r>
      <w:r w:rsidR="004A5EB8" w:rsidRPr="001C4AC6">
        <w:rPr>
          <w:sz w:val="20"/>
          <w:lang w:val="en-CA"/>
        </w:rPr>
        <w:t>5</w:t>
      </w:r>
      <w:r w:rsidRPr="001C4AC6">
        <w:rPr>
          <w:sz w:val="20"/>
          <w:lang w:val="en-CA"/>
        </w:rPr>
        <w:t xml:space="preserve"> / Référence neutre : 201</w:t>
      </w:r>
      <w:r w:rsidR="004A5EB8" w:rsidRPr="001C4AC6">
        <w:rPr>
          <w:sz w:val="20"/>
          <w:lang w:val="en-CA"/>
        </w:rPr>
        <w:t>4</w:t>
      </w:r>
      <w:r w:rsidRPr="001C4AC6">
        <w:rPr>
          <w:sz w:val="20"/>
          <w:lang w:val="en-CA"/>
        </w:rPr>
        <w:t xml:space="preserve"> CSC </w:t>
      </w:r>
      <w:r w:rsidR="007F387B" w:rsidRPr="001C4AC6">
        <w:rPr>
          <w:sz w:val="20"/>
          <w:lang w:val="en-CA"/>
        </w:rPr>
        <w:t>1</w:t>
      </w:r>
      <w:r w:rsidR="004A5EB8" w:rsidRPr="001C4AC6">
        <w:rPr>
          <w:sz w:val="20"/>
          <w:lang w:val="en-CA"/>
        </w:rPr>
        <w:t>5</w:t>
      </w:r>
    </w:p>
    <w:p w:rsidR="005C6840" w:rsidRPr="001C4AC6" w:rsidRDefault="005C6840" w:rsidP="005C6840">
      <w:pPr>
        <w:rPr>
          <w:rFonts w:cs="Times New Roman"/>
          <w:sz w:val="20"/>
          <w:szCs w:val="20"/>
        </w:rPr>
      </w:pPr>
      <w:r w:rsidRPr="001C4AC6">
        <w:rPr>
          <w:rFonts w:cs="Times New Roman"/>
          <w:sz w:val="20"/>
          <w:szCs w:val="20"/>
        </w:rPr>
        <w:t xml:space="preserve">Hearing:  </w:t>
      </w:r>
      <w:r w:rsidR="00FA583A" w:rsidRPr="001C4AC6">
        <w:rPr>
          <w:rFonts w:cs="Times New Roman"/>
          <w:sz w:val="20"/>
          <w:szCs w:val="20"/>
        </w:rPr>
        <w:t>Novem</w:t>
      </w:r>
      <w:r w:rsidRPr="001C4AC6">
        <w:rPr>
          <w:rFonts w:cs="Times New Roman"/>
          <w:sz w:val="20"/>
          <w:szCs w:val="20"/>
        </w:rPr>
        <w:t>ber 8, 201</w:t>
      </w:r>
      <w:r w:rsidR="00FA583A" w:rsidRPr="001C4AC6">
        <w:rPr>
          <w:rFonts w:cs="Times New Roman"/>
          <w:sz w:val="20"/>
          <w:szCs w:val="20"/>
        </w:rPr>
        <w:t>3</w:t>
      </w:r>
      <w:r w:rsidRPr="001C4AC6">
        <w:rPr>
          <w:rFonts w:cs="Times New Roman"/>
          <w:sz w:val="20"/>
          <w:szCs w:val="20"/>
        </w:rPr>
        <w:t xml:space="preserve"> / Judgment:  </w:t>
      </w:r>
      <w:r w:rsidR="004A5EB8" w:rsidRPr="001C4AC6">
        <w:rPr>
          <w:rFonts w:cs="Times New Roman"/>
          <w:sz w:val="20"/>
          <w:szCs w:val="20"/>
        </w:rPr>
        <w:t>Fe</w:t>
      </w:r>
      <w:r w:rsidRPr="001C4AC6">
        <w:rPr>
          <w:rFonts w:cs="Times New Roman"/>
          <w:sz w:val="20"/>
          <w:szCs w:val="20"/>
        </w:rPr>
        <w:t>br</w:t>
      </w:r>
      <w:r w:rsidR="004A5EB8" w:rsidRPr="001C4AC6">
        <w:rPr>
          <w:rFonts w:cs="Times New Roman"/>
          <w:sz w:val="20"/>
          <w:szCs w:val="20"/>
        </w:rPr>
        <w:t>uary</w:t>
      </w:r>
      <w:r w:rsidRPr="001C4AC6">
        <w:rPr>
          <w:rFonts w:cs="Times New Roman"/>
          <w:sz w:val="20"/>
          <w:szCs w:val="20"/>
        </w:rPr>
        <w:t xml:space="preserve"> 2</w:t>
      </w:r>
      <w:r w:rsidR="004A5EB8" w:rsidRPr="001C4AC6">
        <w:rPr>
          <w:rFonts w:cs="Times New Roman"/>
          <w:sz w:val="20"/>
          <w:szCs w:val="20"/>
        </w:rPr>
        <w:t>0</w:t>
      </w:r>
      <w:r w:rsidRPr="001C4AC6">
        <w:rPr>
          <w:rFonts w:cs="Times New Roman"/>
          <w:sz w:val="20"/>
          <w:szCs w:val="20"/>
        </w:rPr>
        <w:t>, 201</w:t>
      </w:r>
      <w:r w:rsidR="004A5EB8" w:rsidRPr="001C4AC6">
        <w:rPr>
          <w:rFonts w:cs="Times New Roman"/>
          <w:sz w:val="20"/>
          <w:szCs w:val="20"/>
        </w:rPr>
        <w:t>4</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8 </w:t>
      </w:r>
      <w:r w:rsidR="00FA583A">
        <w:rPr>
          <w:rFonts w:cs="Times New Roman"/>
          <w:sz w:val="20"/>
          <w:szCs w:val="20"/>
          <w:lang w:val="fr-CA"/>
        </w:rPr>
        <w:t>n</w:t>
      </w:r>
      <w:r w:rsidRPr="003B3977">
        <w:rPr>
          <w:rFonts w:cs="Times New Roman"/>
          <w:sz w:val="20"/>
          <w:szCs w:val="20"/>
          <w:lang w:val="fr-CA"/>
        </w:rPr>
        <w:t>o</w:t>
      </w:r>
      <w:r w:rsidR="00FA583A">
        <w:rPr>
          <w:rFonts w:cs="Times New Roman"/>
          <w:sz w:val="20"/>
          <w:szCs w:val="20"/>
          <w:lang w:val="fr-CA"/>
        </w:rPr>
        <w:t>vem</w:t>
      </w:r>
      <w:r w:rsidRPr="003B3977">
        <w:rPr>
          <w:rFonts w:cs="Times New Roman"/>
          <w:sz w:val="20"/>
          <w:szCs w:val="20"/>
          <w:lang w:val="fr-CA"/>
        </w:rPr>
        <w:t>bre 201</w:t>
      </w:r>
      <w:r w:rsidR="00FA583A">
        <w:rPr>
          <w:rFonts w:cs="Times New Roman"/>
          <w:sz w:val="20"/>
          <w:szCs w:val="20"/>
          <w:lang w:val="fr-CA"/>
        </w:rPr>
        <w:t>3</w:t>
      </w:r>
      <w:r w:rsidRPr="003B3977">
        <w:rPr>
          <w:rFonts w:cs="Times New Roman"/>
          <w:sz w:val="20"/>
          <w:szCs w:val="20"/>
          <w:lang w:val="fr-CA"/>
        </w:rPr>
        <w:t xml:space="preserve"> / Jugement : Le 2</w:t>
      </w:r>
      <w:r w:rsidR="004A5EB8">
        <w:rPr>
          <w:rFonts w:cs="Times New Roman"/>
          <w:sz w:val="20"/>
          <w:szCs w:val="20"/>
          <w:lang w:val="fr-CA"/>
        </w:rPr>
        <w:t>0</w:t>
      </w:r>
      <w:r w:rsidRPr="003B3977">
        <w:rPr>
          <w:rFonts w:cs="Times New Roman"/>
          <w:sz w:val="20"/>
          <w:szCs w:val="20"/>
          <w:lang w:val="fr-CA"/>
        </w:rPr>
        <w:t xml:space="preserve"> </w:t>
      </w:r>
      <w:r w:rsidR="004A5EB8">
        <w:rPr>
          <w:rFonts w:cs="Times New Roman"/>
          <w:sz w:val="20"/>
          <w:szCs w:val="20"/>
          <w:lang w:val="fr-CA"/>
        </w:rPr>
        <w:t>fév</w:t>
      </w:r>
      <w:r w:rsidRPr="003B3977">
        <w:rPr>
          <w:rFonts w:cs="Times New Roman"/>
          <w:sz w:val="20"/>
          <w:szCs w:val="20"/>
          <w:lang w:val="fr-CA"/>
        </w:rPr>
        <w:t>r</w:t>
      </w:r>
      <w:r w:rsidR="004A5EB8">
        <w:rPr>
          <w:rFonts w:cs="Times New Roman"/>
          <w:sz w:val="20"/>
          <w:szCs w:val="20"/>
          <w:lang w:val="fr-CA"/>
        </w:rPr>
        <w:t>i</w:t>
      </w:r>
      <w:r w:rsidRPr="003B3977">
        <w:rPr>
          <w:rFonts w:cs="Times New Roman"/>
          <w:sz w:val="20"/>
          <w:szCs w:val="20"/>
          <w:lang w:val="fr-CA"/>
        </w:rPr>
        <w:t>e</w:t>
      </w:r>
      <w:r w:rsidR="004A5EB8">
        <w:rPr>
          <w:rFonts w:cs="Times New Roman"/>
          <w:sz w:val="20"/>
          <w:szCs w:val="20"/>
          <w:lang w:val="fr-CA"/>
        </w:rPr>
        <w:t>r</w:t>
      </w:r>
      <w:r w:rsidRPr="003B3977">
        <w:rPr>
          <w:rFonts w:cs="Times New Roman"/>
          <w:sz w:val="20"/>
          <w:szCs w:val="20"/>
          <w:lang w:val="fr-CA"/>
        </w:rPr>
        <w:t xml:space="preserve"> 201</w:t>
      </w:r>
      <w:r w:rsidR="004A5EB8">
        <w:rPr>
          <w:rFonts w:cs="Times New Roman"/>
          <w:sz w:val="20"/>
          <w:szCs w:val="20"/>
          <w:lang w:val="fr-CA"/>
        </w:rPr>
        <w:t>4</w:t>
      </w:r>
    </w:p>
    <w:p w:rsidR="005C6840" w:rsidRPr="003B3977" w:rsidRDefault="00EB0F11" w:rsidP="005C6840">
      <w:pPr>
        <w:rPr>
          <w:rFonts w:cs="Times New Roman"/>
          <w:sz w:val="20"/>
          <w:szCs w:val="20"/>
          <w:lang w:val="fr-CA"/>
        </w:rPr>
      </w:pPr>
      <w:r>
        <w:rPr>
          <w:rFonts w:cs="Times New Roman"/>
          <w:i/>
          <w:sz w:val="20"/>
          <w:szCs w:val="20"/>
        </w:rPr>
        <w:pict>
          <v:rect id="_x0000_i1096"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FA583A" w:rsidRPr="00946B08" w:rsidRDefault="00FA583A" w:rsidP="00FA583A">
      <w:pPr>
        <w:jc w:val="both"/>
        <w:rPr>
          <w:sz w:val="20"/>
          <w:szCs w:val="20"/>
        </w:rPr>
      </w:pPr>
      <w:r w:rsidRPr="00946B08">
        <w:rPr>
          <w:sz w:val="20"/>
          <w:szCs w:val="20"/>
        </w:rPr>
        <w:t>Present:  McLachlin C.J. and LeBel, Abella, Rothstein, Moldaver, Karakatsanis and Wagner JJ.</w:t>
      </w:r>
    </w:p>
    <w:p w:rsidR="00FA583A" w:rsidRDefault="00FA583A" w:rsidP="00FA583A">
      <w:pPr>
        <w:pStyle w:val="SCCNormalDoubleSpacing"/>
        <w:spacing w:line="240" w:lineRule="auto"/>
        <w:rPr>
          <w:sz w:val="20"/>
        </w:rPr>
      </w:pPr>
    </w:p>
    <w:p w:rsidR="00FA583A" w:rsidRPr="00946B08" w:rsidRDefault="00FA583A" w:rsidP="00FA583A">
      <w:pPr>
        <w:pStyle w:val="SCCNormalDoubleSpacing"/>
        <w:spacing w:line="240" w:lineRule="auto"/>
        <w:rPr>
          <w:i/>
          <w:sz w:val="20"/>
        </w:rPr>
      </w:pPr>
      <w:r w:rsidRPr="00946B08">
        <w:rPr>
          <w:sz w:val="20"/>
        </w:rPr>
        <w:tab/>
      </w:r>
      <w:r w:rsidRPr="00946B08">
        <w:rPr>
          <w:i/>
          <w:sz w:val="20"/>
        </w:rPr>
        <w:t>Criminal law — Evidence — Admissibility — Expert evidence — Curative proviso — Accused charged with importation of cocaine and possession for purpose of trafficking — Cocaine found in concealed compartment of truck accused was driving — Accused denying knowledge of presence of cocaine — Police officer testifying he had never encountered blind courier over course of his many investigations — Whether trial judge erred in admitting and relying upon this expert evidence of police officer — If so, whether curative proviso applicable — Criminal Code, R.S.C. 1985, c. C</w:t>
      </w:r>
      <w:r w:rsidRPr="00946B08">
        <w:rPr>
          <w:i/>
          <w:sz w:val="20"/>
        </w:rPr>
        <w:noBreakHyphen/>
        <w:t>46, s. 686(1)(b)(iii).</w:t>
      </w:r>
    </w:p>
    <w:p w:rsidR="00FA583A" w:rsidRDefault="00FA583A" w:rsidP="00FA583A">
      <w:pPr>
        <w:pStyle w:val="SCCNormalDoubleSpacing"/>
        <w:spacing w:line="240" w:lineRule="auto"/>
        <w:rPr>
          <w:sz w:val="20"/>
        </w:rPr>
      </w:pPr>
    </w:p>
    <w:p w:rsidR="00FA583A" w:rsidRPr="00946B08" w:rsidRDefault="00FA583A" w:rsidP="00FA583A">
      <w:pPr>
        <w:pStyle w:val="SCCNormalDoubleSpacing"/>
        <w:spacing w:line="240" w:lineRule="auto"/>
        <w:rPr>
          <w:sz w:val="20"/>
        </w:rPr>
      </w:pPr>
      <w:r w:rsidRPr="00946B08">
        <w:rPr>
          <w:sz w:val="20"/>
        </w:rPr>
        <w:tab/>
        <w:t>S was convicted of importation and possession for the purposes of trafficking of 50 kg of cocaine.  The cocaine was seized by border officers who found it hidden in a concealed compartment of a pickup truck S attempted to drive from the United States into Canada.  The case against S was entirely circumstantial and the only issue at trial was whether he knew of the cocaine in the truck.  S claimed that an acquaintance had asked him to drive the truck and that he had no knowledge of the cocaine.  The trial judge rejected S’s testimony in its entirety.  The judge found that S knew of the cocaine based on:  its amount and value; expert evidence from a police officer pertaining to the customs and habits of drug couriers, including the fact that in his many years’ experience he had never encountered a blind courier; and evidence that S had detached the fob that controlled access to the secret compartment from his key chain before handing the keys to the border officer.  The trial judge also relied on additional items of circumstantial evidence that pointed towards S’s guilty knowledge.  On appeal, S argued that the trial judge should not have admitted or relied on the expert evidence of the police officer and in particular, that portion of his evidence relating to his own experience with blind couriers.  A majority of the Court of Appeal dismissed the appeal.</w:t>
      </w:r>
    </w:p>
    <w:p w:rsidR="00FA583A" w:rsidRDefault="00FA583A" w:rsidP="00FA583A">
      <w:pPr>
        <w:pStyle w:val="SCCNormalDoubleSpacing"/>
        <w:spacing w:line="240" w:lineRule="auto"/>
        <w:rPr>
          <w:sz w:val="20"/>
        </w:rPr>
      </w:pPr>
    </w:p>
    <w:p w:rsidR="00FA583A" w:rsidRPr="00946B08" w:rsidRDefault="00FA583A" w:rsidP="00FA583A">
      <w:pPr>
        <w:pStyle w:val="SCCNormalDoubleSpacing"/>
        <w:spacing w:line="240" w:lineRule="auto"/>
        <w:rPr>
          <w:i/>
          <w:sz w:val="20"/>
        </w:rPr>
      </w:pPr>
      <w:r w:rsidRPr="00946B08">
        <w:rPr>
          <w:sz w:val="20"/>
        </w:rPr>
        <w:tab/>
      </w:r>
      <w:r w:rsidRPr="00946B08">
        <w:rPr>
          <w:i/>
          <w:sz w:val="20"/>
        </w:rPr>
        <w:t>Held</w:t>
      </w:r>
      <w:r w:rsidRPr="00946B08">
        <w:rPr>
          <w:sz w:val="20"/>
        </w:rPr>
        <w:t xml:space="preserve"> (McLachlin C.J. and LeBel J. dissenting):  The appeal should be dismissed.</w:t>
      </w:r>
    </w:p>
    <w:p w:rsidR="00FA583A" w:rsidRDefault="00FA583A" w:rsidP="00FA583A">
      <w:pPr>
        <w:pStyle w:val="SCCNormalDoubleSpacing"/>
        <w:spacing w:line="240" w:lineRule="auto"/>
        <w:rPr>
          <w:sz w:val="20"/>
        </w:rPr>
      </w:pPr>
    </w:p>
    <w:p w:rsidR="00FA583A" w:rsidRPr="00946B08" w:rsidRDefault="00FA583A" w:rsidP="00FA583A">
      <w:pPr>
        <w:pStyle w:val="SCCNormalDoubleSpacing"/>
        <w:spacing w:line="240" w:lineRule="auto"/>
        <w:rPr>
          <w:sz w:val="20"/>
        </w:rPr>
      </w:pPr>
      <w:r w:rsidRPr="00946B08">
        <w:rPr>
          <w:sz w:val="20"/>
        </w:rPr>
        <w:tab/>
      </w:r>
      <w:r w:rsidRPr="00946B08">
        <w:rPr>
          <w:i/>
          <w:sz w:val="20"/>
        </w:rPr>
        <w:t>Per</w:t>
      </w:r>
      <w:r w:rsidRPr="00946B08">
        <w:rPr>
          <w:sz w:val="20"/>
        </w:rPr>
        <w:t xml:space="preserve"> Abella, Rothstein, </w:t>
      </w:r>
      <w:r w:rsidRPr="00946B08">
        <w:rPr>
          <w:b/>
          <w:sz w:val="20"/>
        </w:rPr>
        <w:t>Moldaver</w:t>
      </w:r>
      <w:r w:rsidRPr="00946B08">
        <w:rPr>
          <w:sz w:val="20"/>
        </w:rPr>
        <w:t xml:space="preserve">, Karakatsanis and Wagner JJ.:  The police officer’s evidence relating to his own experience with blind couriers was inadmissible and the trial judge erred in relying upon it.  Admission of expert evidence depends on the </w:t>
      </w:r>
      <w:r w:rsidRPr="00946B08">
        <w:rPr>
          <w:i/>
          <w:sz w:val="20"/>
        </w:rPr>
        <w:t>Mohan</w:t>
      </w:r>
      <w:r w:rsidRPr="00946B08">
        <w:rPr>
          <w:sz w:val="20"/>
        </w:rPr>
        <w:t xml:space="preserve"> criteria of relevance, necessity in assisting the trier of fact, absence of any exclusionary rule and a properly qualified expert.  It is not enough for a trial judge to simply consider the </w:t>
      </w:r>
      <w:r w:rsidRPr="00946B08">
        <w:rPr>
          <w:i/>
          <w:sz w:val="20"/>
        </w:rPr>
        <w:t>Mohan</w:t>
      </w:r>
      <w:r w:rsidRPr="00946B08">
        <w:rPr>
          <w:sz w:val="20"/>
        </w:rPr>
        <w:t xml:space="preserve"> criteria at the outset of an expert’s testimony and make an initial ruling as to the admissibility of the evidence.  The judge must do his or her best to ensure that throughout, the expert’s testimony remains within the proper boundaries of expert evidence.  This includes ensuring, so far as possible, that the content of the evidence itself is properly the subject of expert evidence.  Where mistakes are made and the testimony strays beyond the proper scope of expert evidence, it is imperative that the trial judge not assign any weight to the inadmissible parts.</w:t>
      </w:r>
    </w:p>
    <w:p w:rsidR="00FA583A" w:rsidRDefault="00FA583A" w:rsidP="00FA583A">
      <w:pPr>
        <w:pStyle w:val="SCCNormalDoubleSpacing"/>
        <w:spacing w:line="240" w:lineRule="auto"/>
        <w:rPr>
          <w:sz w:val="20"/>
        </w:rPr>
      </w:pPr>
    </w:p>
    <w:p w:rsidR="00FA583A" w:rsidRPr="00946B08" w:rsidRDefault="00FA583A" w:rsidP="00FA583A">
      <w:pPr>
        <w:pStyle w:val="SCCNormalDoubleSpacing"/>
        <w:spacing w:line="240" w:lineRule="auto"/>
        <w:rPr>
          <w:sz w:val="20"/>
        </w:rPr>
      </w:pPr>
      <w:r w:rsidRPr="00946B08">
        <w:rPr>
          <w:sz w:val="20"/>
        </w:rPr>
        <w:tab/>
        <w:t>In this case, the fact that the police officer had never encountered a blind courier in his many investigations was neither necessary nor relevant to the issue facing the trial judge — whether S knew about the cocaine.  The officer’s evidence was not necessary because determining whether S knew about the cocaine was not beyond the knowledge and experience of the judge and was not technical or scientific in nature.  Moreover, the guilt or innocence of accused persons that the police officer had encountered in the past was not legally relevant to S’s guilt or innocence. In other words, the officer’s testimony was of no probative value in determining whether S knew about the cocaine and its lack of relevance is sufficient to justify its exclusion.</w:t>
      </w:r>
    </w:p>
    <w:p w:rsidR="00FA583A" w:rsidRDefault="00FA583A" w:rsidP="00FA583A">
      <w:pPr>
        <w:pStyle w:val="SCCNormalDoubleSpacing"/>
        <w:spacing w:line="240" w:lineRule="auto"/>
        <w:rPr>
          <w:sz w:val="20"/>
        </w:rPr>
      </w:pPr>
    </w:p>
    <w:p w:rsidR="00FA583A" w:rsidRPr="00946B08" w:rsidRDefault="00FA583A" w:rsidP="00FA583A">
      <w:pPr>
        <w:pStyle w:val="SCCNormalDoubleSpacing"/>
        <w:spacing w:line="240" w:lineRule="auto"/>
        <w:rPr>
          <w:sz w:val="20"/>
        </w:rPr>
      </w:pPr>
      <w:r w:rsidRPr="00946B08">
        <w:rPr>
          <w:sz w:val="20"/>
        </w:rPr>
        <w:tab/>
        <w:t>The inadmissible testimony, however, forms one sentence of a 16</w:t>
      </w:r>
      <w:r w:rsidRPr="00946B08">
        <w:rPr>
          <w:sz w:val="20"/>
        </w:rPr>
        <w:noBreakHyphen/>
        <w:t xml:space="preserve">page judgment that is otherwise flawless.  In the judgment, the judge provided a long list of reasons for rejecting S’s testimony.  And apart from the one aspect of the </w:t>
      </w:r>
      <w:r w:rsidRPr="00946B08">
        <w:rPr>
          <w:sz w:val="20"/>
        </w:rPr>
        <w:lastRenderedPageBreak/>
        <w:t>expert’s testimony that he should not have considered, the judge provided an equally impressive list of reasons for concluding that S knew about the cocaine.</w:t>
      </w:r>
    </w:p>
    <w:p w:rsidR="00FA583A" w:rsidRDefault="00FA583A" w:rsidP="00FA583A">
      <w:pPr>
        <w:pStyle w:val="SCCNormalDoubleSpacing"/>
        <w:spacing w:line="240" w:lineRule="auto"/>
        <w:rPr>
          <w:sz w:val="20"/>
        </w:rPr>
      </w:pPr>
    </w:p>
    <w:p w:rsidR="00FA583A" w:rsidRPr="00946B08" w:rsidRDefault="00FA583A" w:rsidP="00FA583A">
      <w:pPr>
        <w:pStyle w:val="SCCNormalDoubleSpacing"/>
        <w:spacing w:line="240" w:lineRule="auto"/>
        <w:rPr>
          <w:sz w:val="20"/>
        </w:rPr>
      </w:pPr>
      <w:r w:rsidRPr="00946B08">
        <w:rPr>
          <w:sz w:val="20"/>
        </w:rPr>
        <w:tab/>
        <w:t>While the trial judge’s error in this case is not harmless, the evidence of S’s guilt is so overwhelming that a trier of fact would inevitably convict.  Hence, the second branch of the curative proviso can be applied to sustain S’s convictions.  The fob evidence on its own was devastating.  But it did not stand alone; it was part of a web of circumstantial evidence pointing towards S’s guilt.  When considering the second branch of the curative proviso in a circumstantial case, it is necessary to look at the whole of the admissible evidence in assessing the strength of the case.  It is not the task of an appellate court to parse each item of evidence in search of a possible innocent explanation.  If that were so, it would be impossible to ever satisfy the second branch. </w:t>
      </w:r>
    </w:p>
    <w:p w:rsidR="00FA583A" w:rsidRDefault="00FA583A" w:rsidP="00FA583A">
      <w:pPr>
        <w:pStyle w:val="SCCNormalDoubleSpacing"/>
        <w:spacing w:line="240" w:lineRule="auto"/>
        <w:rPr>
          <w:sz w:val="20"/>
        </w:rPr>
      </w:pPr>
    </w:p>
    <w:p w:rsidR="00FA583A" w:rsidRPr="00946B08" w:rsidRDefault="00FA583A" w:rsidP="00FA583A">
      <w:pPr>
        <w:pStyle w:val="SCCNormalDoubleSpacing"/>
        <w:spacing w:line="240" w:lineRule="auto"/>
        <w:rPr>
          <w:sz w:val="20"/>
        </w:rPr>
      </w:pPr>
      <w:r w:rsidRPr="00946B08">
        <w:rPr>
          <w:sz w:val="20"/>
        </w:rPr>
        <w:tab/>
      </w:r>
      <w:r w:rsidRPr="00946B08">
        <w:rPr>
          <w:i/>
          <w:sz w:val="20"/>
        </w:rPr>
        <w:t>Per</w:t>
      </w:r>
      <w:r w:rsidRPr="00946B08">
        <w:rPr>
          <w:sz w:val="20"/>
        </w:rPr>
        <w:t xml:space="preserve"> McLachlin C.J. and </w:t>
      </w:r>
      <w:r w:rsidRPr="00946B08">
        <w:rPr>
          <w:b/>
          <w:sz w:val="20"/>
        </w:rPr>
        <w:t>LeBel </w:t>
      </w:r>
      <w:r w:rsidRPr="00946B08">
        <w:rPr>
          <w:sz w:val="20"/>
        </w:rPr>
        <w:t xml:space="preserve">J. (dissenting):  The police officer’s evidence that in his many investigations he had never encountered a blind courier strayed from what would be admissible expert evidence.  His testimony was equivalent to a statement that individuals in S’s position always know about the drugs. It is a short step from such evidence to an inference that S must have known about the cocaine.  The evidence effectively amounted to an opinion that S possessed the </w:t>
      </w:r>
      <w:r w:rsidRPr="00946B08">
        <w:rPr>
          <w:i/>
          <w:sz w:val="20"/>
        </w:rPr>
        <w:t>mens rea</w:t>
      </w:r>
      <w:r w:rsidRPr="00946B08">
        <w:rPr>
          <w:sz w:val="20"/>
        </w:rPr>
        <w:t xml:space="preserve"> for the offences with which he was charged, which was the issue in this trial.  Whether it was admissible therefore requires special scrutiny.</w:t>
      </w:r>
    </w:p>
    <w:p w:rsidR="00FA583A" w:rsidRDefault="00FA583A" w:rsidP="00FA583A">
      <w:pPr>
        <w:pStyle w:val="SCCNormalDoubleSpacing"/>
        <w:spacing w:line="240" w:lineRule="auto"/>
        <w:rPr>
          <w:sz w:val="20"/>
        </w:rPr>
      </w:pPr>
    </w:p>
    <w:p w:rsidR="00FA583A" w:rsidRPr="00946B08" w:rsidRDefault="00FA583A" w:rsidP="00FA583A">
      <w:pPr>
        <w:pStyle w:val="SCCNormalDoubleSpacing"/>
        <w:spacing w:line="240" w:lineRule="auto"/>
        <w:rPr>
          <w:sz w:val="20"/>
        </w:rPr>
      </w:pPr>
      <w:r w:rsidRPr="00946B08">
        <w:rPr>
          <w:sz w:val="20"/>
        </w:rPr>
        <w:tab/>
        <w:t xml:space="preserve">Applying the </w:t>
      </w:r>
      <w:r w:rsidRPr="00946B08">
        <w:rPr>
          <w:i/>
          <w:sz w:val="20"/>
        </w:rPr>
        <w:t xml:space="preserve">Mohan </w:t>
      </w:r>
      <w:r w:rsidRPr="00946B08">
        <w:rPr>
          <w:sz w:val="20"/>
        </w:rPr>
        <w:t xml:space="preserve">criteria, the expert evidence should not have been admitted.  The evidence was not necessary, as it was open to the judge to infer what S knew or did not know.  Nor was it relevant.  The officer’s opinion invited the judge to find that S knew about the cocaine on the basis that all people driving vehicles containing hidden drugs know about the drugs.  In addition to usurping the trial judge’s role in resolving the issue of guilt or innocence, the opinion depended on an unacceptable and unfair inference. </w:t>
      </w:r>
    </w:p>
    <w:p w:rsidR="00FA583A" w:rsidRDefault="00FA583A" w:rsidP="00FA583A">
      <w:pPr>
        <w:pStyle w:val="SCCNormalDoubleSpacing"/>
        <w:spacing w:line="240" w:lineRule="auto"/>
        <w:rPr>
          <w:sz w:val="20"/>
        </w:rPr>
      </w:pPr>
    </w:p>
    <w:p w:rsidR="00FA583A" w:rsidRPr="00946B08" w:rsidRDefault="00FA583A" w:rsidP="00FA583A">
      <w:pPr>
        <w:pStyle w:val="SCCNormalDoubleSpacing"/>
        <w:spacing w:line="240" w:lineRule="auto"/>
        <w:rPr>
          <w:sz w:val="20"/>
        </w:rPr>
      </w:pPr>
      <w:r w:rsidRPr="00946B08">
        <w:rPr>
          <w:sz w:val="20"/>
        </w:rPr>
        <w:tab/>
        <w:t>Given the trial judge’s error was not a harmless one that would have no impact on the verdict, this is not an appropriate case for application of the second branch of the curative proviso.  The issue in applying the second branch is not whether the trial judge could make the inference he did or whether that inference was determinative of guilt, but whether it was the only rational conclusion. In this case, it was not.</w:t>
      </w:r>
    </w:p>
    <w:p w:rsidR="00FA583A" w:rsidRDefault="00FA583A" w:rsidP="00FA583A">
      <w:pPr>
        <w:pStyle w:val="SCCNormalDoubleSpacing"/>
        <w:spacing w:line="240" w:lineRule="auto"/>
        <w:rPr>
          <w:sz w:val="20"/>
        </w:rPr>
      </w:pPr>
    </w:p>
    <w:p w:rsidR="00FA583A" w:rsidRDefault="00FA583A" w:rsidP="00FA583A">
      <w:pPr>
        <w:pStyle w:val="SCCNormalDoubleSpacing"/>
        <w:spacing w:line="240" w:lineRule="auto"/>
        <w:rPr>
          <w:sz w:val="20"/>
        </w:rPr>
      </w:pPr>
      <w:r w:rsidRPr="00946B08">
        <w:rPr>
          <w:sz w:val="20"/>
        </w:rPr>
        <w:tab/>
        <w:t>While ordering a new trial places demands on judicial resources, this cannot override S’s right to a fair trial based solely on admissible evidence.  The trial judge relied on inadmissible evidence and this was a serious error.  If this Court excludes evidence described by the trial judge as one of the foundations of his conclusion that S was guilty, it cannot then hold that the evidence against S was nonetheless overwhelming without engaging in pure speculation.  Such a conclusion would contradict what the trial judge himself wrote and would rest on an improper reweighing of the remaining evidence.  The curative proviso does not permit this Court to deny a retrial in such circumstances.</w:t>
      </w:r>
    </w:p>
    <w:p w:rsidR="00FA583A" w:rsidRDefault="00FA583A" w:rsidP="00FA583A">
      <w:pPr>
        <w:pStyle w:val="SCCNormalDoubleSpacing"/>
        <w:spacing w:line="240" w:lineRule="auto"/>
        <w:rPr>
          <w:sz w:val="20"/>
        </w:rPr>
      </w:pPr>
    </w:p>
    <w:p w:rsidR="00FA583A" w:rsidRPr="00946B08" w:rsidRDefault="00FA583A" w:rsidP="00FA583A">
      <w:pPr>
        <w:pStyle w:val="SCCNormalDoubleSpacing"/>
        <w:spacing w:line="240" w:lineRule="auto"/>
        <w:rPr>
          <w:sz w:val="20"/>
        </w:rPr>
      </w:pPr>
      <w:r w:rsidRPr="00946B08">
        <w:rPr>
          <w:sz w:val="20"/>
        </w:rPr>
        <w:tab/>
        <w:t>APPEAL from a judgment of the British Columbia Court of Appeal (Finch C.J. and Newbury and Lowry JJ.A.), 2012 BCCA 512, 331 B.C.A.C. 170, 565 W.A.C. 170, [2012] B.C.J. No. 2675 (QL), 2012 CarswellBC 4005, affirming the accused’s convictions for importation and possession of cocaine for the purposes of trafficking.  Appeal dismissed, McLachlin C.J. and LeBel J. dissenting.</w:t>
      </w:r>
    </w:p>
    <w:p w:rsidR="00FA583A" w:rsidRDefault="00FA583A" w:rsidP="00FA583A">
      <w:pPr>
        <w:pStyle w:val="SCCNormalDoubleSpacing"/>
        <w:spacing w:line="240" w:lineRule="auto"/>
        <w:rPr>
          <w:i/>
          <w:sz w:val="20"/>
        </w:rPr>
      </w:pPr>
    </w:p>
    <w:p w:rsidR="00FA583A" w:rsidRPr="00946B08" w:rsidRDefault="00FA583A" w:rsidP="00FA583A">
      <w:pPr>
        <w:pStyle w:val="SCCNormalDoubleSpacing"/>
        <w:spacing w:line="240" w:lineRule="auto"/>
        <w:rPr>
          <w:sz w:val="20"/>
        </w:rPr>
      </w:pPr>
      <w:r w:rsidRPr="00946B08">
        <w:rPr>
          <w:i/>
          <w:sz w:val="20"/>
        </w:rPr>
        <w:tab/>
        <w:t>Eric V. Gottardi</w:t>
      </w:r>
      <w:r w:rsidRPr="00946B08">
        <w:rPr>
          <w:sz w:val="20"/>
        </w:rPr>
        <w:t xml:space="preserve"> and </w:t>
      </w:r>
      <w:r w:rsidRPr="00946B08">
        <w:rPr>
          <w:i/>
          <w:sz w:val="20"/>
        </w:rPr>
        <w:t>Kathleen M. Bradley</w:t>
      </w:r>
      <w:r w:rsidRPr="00946B08">
        <w:rPr>
          <w:sz w:val="20"/>
        </w:rPr>
        <w:t>, for the appellant.</w:t>
      </w:r>
    </w:p>
    <w:p w:rsidR="00FA583A" w:rsidRDefault="00FA583A" w:rsidP="00FA583A">
      <w:pPr>
        <w:pStyle w:val="SCCNormalDoubleSpacing"/>
        <w:spacing w:line="240" w:lineRule="auto"/>
        <w:rPr>
          <w:i/>
          <w:sz w:val="20"/>
        </w:rPr>
      </w:pPr>
    </w:p>
    <w:p w:rsidR="00FA583A" w:rsidRPr="00946B08" w:rsidRDefault="00FA583A" w:rsidP="00FA583A">
      <w:pPr>
        <w:pStyle w:val="SCCNormalDoubleSpacing"/>
        <w:spacing w:line="240" w:lineRule="auto"/>
        <w:rPr>
          <w:sz w:val="20"/>
        </w:rPr>
      </w:pPr>
      <w:r w:rsidRPr="00946B08">
        <w:rPr>
          <w:i/>
          <w:sz w:val="20"/>
        </w:rPr>
        <w:tab/>
        <w:t>Martha M. Devlin</w:t>
      </w:r>
      <w:r w:rsidRPr="00946B08">
        <w:rPr>
          <w:sz w:val="20"/>
        </w:rPr>
        <w:t xml:space="preserve">, </w:t>
      </w:r>
      <w:r w:rsidRPr="00946B08">
        <w:rPr>
          <w:i/>
          <w:sz w:val="20"/>
        </w:rPr>
        <w:t>Q.C.</w:t>
      </w:r>
      <w:r w:rsidRPr="00946B08">
        <w:rPr>
          <w:sz w:val="20"/>
        </w:rPr>
        <w:t xml:space="preserve">, and </w:t>
      </w:r>
      <w:r w:rsidRPr="00946B08">
        <w:rPr>
          <w:i/>
          <w:sz w:val="20"/>
        </w:rPr>
        <w:t>Chris Greenwood</w:t>
      </w:r>
      <w:r w:rsidRPr="00946B08">
        <w:rPr>
          <w:sz w:val="20"/>
        </w:rPr>
        <w:t>, for the respondent.</w:t>
      </w:r>
    </w:p>
    <w:p w:rsidR="00FA583A" w:rsidRDefault="00FA583A" w:rsidP="00FA583A">
      <w:pPr>
        <w:pStyle w:val="SCCLawFirm"/>
        <w:spacing w:line="240" w:lineRule="auto"/>
        <w:rPr>
          <w:sz w:val="20"/>
        </w:rPr>
      </w:pPr>
    </w:p>
    <w:p w:rsidR="00FA583A" w:rsidRPr="00946B08" w:rsidRDefault="00FA583A" w:rsidP="00FA583A">
      <w:pPr>
        <w:pStyle w:val="SCCLawFirm"/>
        <w:spacing w:line="240" w:lineRule="auto"/>
        <w:rPr>
          <w:sz w:val="20"/>
        </w:rPr>
      </w:pPr>
      <w:r w:rsidRPr="00946B08">
        <w:rPr>
          <w:sz w:val="20"/>
        </w:rPr>
        <w:tab/>
        <w:t>Solicitors for the appellant:  Peck and Company, Vancouver.</w:t>
      </w:r>
    </w:p>
    <w:p w:rsidR="00FA583A" w:rsidRDefault="00FA583A" w:rsidP="00FA583A">
      <w:pPr>
        <w:pStyle w:val="SCCLawFirm"/>
        <w:spacing w:line="240" w:lineRule="auto"/>
        <w:rPr>
          <w:sz w:val="20"/>
        </w:rPr>
      </w:pPr>
    </w:p>
    <w:p w:rsidR="00FA583A" w:rsidRDefault="00FA583A" w:rsidP="00FA583A">
      <w:pPr>
        <w:pStyle w:val="SCCLawFirm"/>
        <w:spacing w:line="240" w:lineRule="auto"/>
        <w:rPr>
          <w:sz w:val="20"/>
        </w:rPr>
      </w:pPr>
      <w:r w:rsidRPr="00946B08">
        <w:rPr>
          <w:sz w:val="20"/>
        </w:rPr>
        <w:tab/>
        <w:t>Solicitor for the respondent:  Attorney General of Canada, Vancouver.</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FA583A" w:rsidRPr="00C878E4" w:rsidRDefault="00FA583A" w:rsidP="00FA583A">
      <w:pPr>
        <w:jc w:val="both"/>
        <w:rPr>
          <w:sz w:val="20"/>
          <w:szCs w:val="20"/>
          <w:lang w:val="fr-CA"/>
        </w:rPr>
      </w:pPr>
      <w:r w:rsidRPr="00C878E4">
        <w:rPr>
          <w:sz w:val="20"/>
          <w:szCs w:val="20"/>
          <w:lang w:val="fr-CA"/>
        </w:rPr>
        <w:t>Présents : La juge en chef McLachlin et les juges LeBel, Abella, Rothstein, Moldaver, Karakatsanis et Wagner.</w:t>
      </w:r>
    </w:p>
    <w:p w:rsidR="00FA583A" w:rsidRDefault="00FA583A" w:rsidP="00FA583A">
      <w:pPr>
        <w:jc w:val="both"/>
        <w:rPr>
          <w:smallCaps/>
          <w:sz w:val="20"/>
          <w:lang w:val="fr-CA"/>
        </w:rPr>
      </w:pPr>
    </w:p>
    <w:p w:rsidR="00FA583A" w:rsidRPr="00C878E4" w:rsidRDefault="00FA583A" w:rsidP="00FA583A">
      <w:pPr>
        <w:pStyle w:val="SCCNormalDoubleSpacing"/>
        <w:spacing w:line="240" w:lineRule="auto"/>
        <w:rPr>
          <w:i/>
          <w:sz w:val="20"/>
          <w:lang w:val="fr-CA"/>
        </w:rPr>
      </w:pPr>
      <w:r w:rsidRPr="00C878E4">
        <w:rPr>
          <w:sz w:val="20"/>
          <w:lang w:val="fr-CA"/>
        </w:rPr>
        <w:tab/>
      </w:r>
      <w:r w:rsidRPr="00C878E4">
        <w:rPr>
          <w:i/>
          <w:sz w:val="20"/>
          <w:lang w:val="fr-CA"/>
        </w:rPr>
        <w:t>Droit criminel —</w:t>
      </w:r>
      <w:r w:rsidRPr="00C878E4">
        <w:rPr>
          <w:sz w:val="20"/>
          <w:lang w:val="fr-CA"/>
        </w:rPr>
        <w:t xml:space="preserve"> </w:t>
      </w:r>
      <w:r w:rsidRPr="00C878E4">
        <w:rPr>
          <w:i/>
          <w:sz w:val="20"/>
          <w:lang w:val="fr-CA"/>
        </w:rPr>
        <w:t xml:space="preserve">Preuve — Admissibilité — Preuve d’expert — Disposition réparatrice — Accusations d’importation de cocaïne et de possession en vue d’en faire le trafic — Cocaïne trouvée dans un compartiment secret de la camionnette conduite par l’accusé — Dénégation par l’accusé de toute connaissance de la présence de la cocaïne </w:t>
      </w:r>
      <w:r w:rsidRPr="00C878E4">
        <w:rPr>
          <w:i/>
          <w:sz w:val="20"/>
          <w:lang w:val="fr-CA"/>
        </w:rPr>
        <w:lastRenderedPageBreak/>
        <w:t>à bord — Témoignage d’un policier selon lequel il n’avait jamais eu affaire à un passeur involontaire au cours de ses nombreuses enquêtes — Le juge du procès a-t-il eu tort d’admettre ce témoignage et de se fonder sur lui? — Dans l’affirmative, y a</w:t>
      </w:r>
      <w:r w:rsidRPr="00C878E4">
        <w:rPr>
          <w:i/>
          <w:sz w:val="20"/>
          <w:lang w:val="fr-CA"/>
        </w:rPr>
        <w:noBreakHyphen/>
        <w:t>t</w:t>
      </w:r>
      <w:r w:rsidRPr="00C878E4">
        <w:rPr>
          <w:i/>
          <w:sz w:val="20"/>
          <w:lang w:val="fr-CA"/>
        </w:rPr>
        <w:noBreakHyphen/>
        <w:t>il lieu d’appliquer la disposition réparatrice? — Code criminel, L.R.C. 1985, ch. C-46, art. 686(1)b)(iii).</w:t>
      </w:r>
    </w:p>
    <w:p w:rsidR="00FA583A" w:rsidRDefault="00FA583A" w:rsidP="00FA583A">
      <w:pPr>
        <w:pStyle w:val="SCCNormalDoubleSpacing"/>
        <w:spacing w:line="240" w:lineRule="auto"/>
        <w:rPr>
          <w:sz w:val="20"/>
          <w:lang w:val="fr-CA"/>
        </w:rPr>
      </w:pPr>
    </w:p>
    <w:p w:rsidR="00FA583A" w:rsidRPr="00C878E4" w:rsidRDefault="00FA583A" w:rsidP="00FA583A">
      <w:pPr>
        <w:pStyle w:val="SCCNormalDoubleSpacing"/>
        <w:spacing w:line="240" w:lineRule="auto"/>
        <w:rPr>
          <w:sz w:val="20"/>
          <w:lang w:val="fr-CA"/>
        </w:rPr>
      </w:pPr>
      <w:r w:rsidRPr="00C878E4">
        <w:rPr>
          <w:sz w:val="20"/>
          <w:lang w:val="fr-CA"/>
        </w:rPr>
        <w:tab/>
        <w:t>S a été déclaré coupable d’importation de 50 kg de cocaïne et de possession de cette substance en vue d’en faire le trafic.  Des agents des services frontaliers ont saisi la cocaïne après l’avoir trouvée dans un compartiment secret de la camionnette à bord de laquelle S s’était présenté à la frontière canado</w:t>
      </w:r>
      <w:r w:rsidRPr="00C878E4">
        <w:rPr>
          <w:sz w:val="20"/>
          <w:lang w:val="fr-CA"/>
        </w:rPr>
        <w:noBreakHyphen/>
        <w:t>américaine en provenance des États-Unis.  La preuve contre S était entièrement circonstancielle, et la seule question en litige au procès était celle de savoir si S savait que la cocaïne se trouvait à bord du véhicule.  S a prétendu qu’une connaissance lui avait demandé de conduire la camionnette et qu’il ignorait tout de la présence de la cocaïne.  Le juge du procès a rejeté le témoignage de S en totalité.  Il a conclu que ce dernier savait pour la cocaïne, et ce, en se fondant sur la quantité et de la valeur de celle-ci, sur le témoignage d’expert d’un policier concernant les procédés habituels des passeurs, y compris ses propos voulant que, au cours de ses nombreuses années de service, il n’ait jamais eu affaire à un passeur involontaire, ainsi que sur la preuve selon laquelle S avait séparé la clé de contact et la télécommande qui donnait accès au compartiment secret avant de remettre la première à l’agent des services frontaliers.  Le juge s’est aussi appuyé sur d’autres éléments de preuve circonstancielle qui militaient en faveur de la connaissance coupable de S.  En appel, S a fait valoir que le juge n’aurait pas dû admettre le témoignage d’expert du policier ni se fonder sur lui, en particulier la portion où ce dernier dit n’avoir jamais eu affaire à un passeur involontaire.  Les juges majoritaires de la Cour d’appel l’ont débouté.</w:t>
      </w:r>
    </w:p>
    <w:p w:rsidR="00FA583A" w:rsidRDefault="00FA583A" w:rsidP="00FA583A">
      <w:pPr>
        <w:pStyle w:val="SCCNormalDoubleSpacing"/>
        <w:spacing w:line="240" w:lineRule="auto"/>
        <w:rPr>
          <w:sz w:val="20"/>
          <w:lang w:val="fr-CA"/>
        </w:rPr>
      </w:pPr>
    </w:p>
    <w:p w:rsidR="00FA583A" w:rsidRPr="00C878E4" w:rsidRDefault="00FA583A" w:rsidP="00FA583A">
      <w:pPr>
        <w:pStyle w:val="SCCNormalDoubleSpacing"/>
        <w:spacing w:line="240" w:lineRule="auto"/>
        <w:rPr>
          <w:sz w:val="20"/>
          <w:lang w:val="fr-CA"/>
        </w:rPr>
      </w:pPr>
      <w:r w:rsidRPr="00C878E4">
        <w:rPr>
          <w:sz w:val="20"/>
          <w:lang w:val="fr-CA"/>
        </w:rPr>
        <w:tab/>
      </w:r>
      <w:r w:rsidRPr="00C878E4">
        <w:rPr>
          <w:i/>
          <w:sz w:val="20"/>
          <w:lang w:val="fr-CA"/>
        </w:rPr>
        <w:t>Arrêt</w:t>
      </w:r>
      <w:r w:rsidRPr="00C878E4">
        <w:rPr>
          <w:sz w:val="20"/>
          <w:lang w:val="fr-CA"/>
        </w:rPr>
        <w:t xml:space="preserve"> (la juge en chef McLachlin et le juge LeBel sont dissidents) : Le pourvoi est rejeté.</w:t>
      </w:r>
    </w:p>
    <w:p w:rsidR="00FA583A" w:rsidRDefault="00FA583A" w:rsidP="00FA583A">
      <w:pPr>
        <w:pStyle w:val="SCCNormalDoubleSpacing"/>
        <w:spacing w:line="240" w:lineRule="auto"/>
        <w:rPr>
          <w:sz w:val="20"/>
          <w:lang w:val="fr-CA"/>
        </w:rPr>
      </w:pPr>
    </w:p>
    <w:p w:rsidR="00FA583A" w:rsidRPr="00C878E4" w:rsidRDefault="00FA583A" w:rsidP="00FA583A">
      <w:pPr>
        <w:pStyle w:val="SCCNormalDoubleSpacing"/>
        <w:spacing w:line="240" w:lineRule="auto"/>
        <w:rPr>
          <w:sz w:val="20"/>
          <w:lang w:val="fr-CA"/>
        </w:rPr>
      </w:pPr>
      <w:r w:rsidRPr="00C878E4">
        <w:rPr>
          <w:sz w:val="20"/>
          <w:lang w:val="fr-CA"/>
        </w:rPr>
        <w:tab/>
      </w:r>
      <w:r w:rsidRPr="00C878E4">
        <w:rPr>
          <w:i/>
          <w:sz w:val="20"/>
          <w:lang w:val="fr-CA"/>
        </w:rPr>
        <w:t>Les</w:t>
      </w:r>
      <w:r w:rsidRPr="00C878E4">
        <w:rPr>
          <w:sz w:val="20"/>
          <w:lang w:val="fr-CA"/>
        </w:rPr>
        <w:t xml:space="preserve"> juges Abella, Rothstein, </w:t>
      </w:r>
      <w:r w:rsidRPr="00C878E4">
        <w:rPr>
          <w:b/>
          <w:sz w:val="20"/>
          <w:lang w:val="fr-CA"/>
        </w:rPr>
        <w:t>Moldaver</w:t>
      </w:r>
      <w:r w:rsidRPr="00C878E4">
        <w:rPr>
          <w:sz w:val="20"/>
          <w:lang w:val="fr-CA"/>
        </w:rPr>
        <w:t xml:space="preserve">, Karakatsanis et Wagner : Le témoignage du policier selon lequel il n’avait jamais eu affaire à un passeur involontaire était inadmissible, et le juge du procès a eu tort de se fonder sur lui.  L’admissibilité de la preuve d’expert tient au respect des critères établis dans l’arrêt </w:t>
      </w:r>
      <w:r w:rsidRPr="00C878E4">
        <w:rPr>
          <w:i/>
          <w:sz w:val="20"/>
          <w:lang w:val="fr-CA"/>
        </w:rPr>
        <w:t>Mohan</w:t>
      </w:r>
      <w:r w:rsidRPr="00C878E4">
        <w:rPr>
          <w:sz w:val="20"/>
          <w:lang w:val="fr-CA"/>
        </w:rPr>
        <w:t xml:space="preserve">, à savoir la pertinence, la nécessité d’aider le juge des faits, l’absence de toute règle d’exclusion et la qualification suffisante de l’expert.  Il ne suffit pas au juge du procès de tenir compte des critères de l’arrêt </w:t>
      </w:r>
      <w:r w:rsidRPr="00C878E4">
        <w:rPr>
          <w:i/>
          <w:sz w:val="20"/>
          <w:lang w:val="fr-CA"/>
        </w:rPr>
        <w:t>Mohan</w:t>
      </w:r>
      <w:r w:rsidRPr="00C878E4">
        <w:rPr>
          <w:sz w:val="20"/>
          <w:lang w:val="fr-CA"/>
        </w:rPr>
        <w:t xml:space="preserve"> uniquement au début du témoignage de l’expert et de rendre une décision initiale quant à l’admissibilité de la preuve.  Il doit également faire en sorte que, tout au long de son témoignage, l’expert respecte les limites établies à l’égard d’une telle preuve.  Cela veut dire notamment s’assurer, autant que faire se peut, que la teneur de la preuve elle-même fait l’objet à juste titre du domaine d’un témoignage d’expert.  Lorsque des erreurs sont commises et que le témoignage dépasse les limites du domaine d’expertise, il est impératif que le juge du procès n’accorde aucune importance aux portions inadmissibles.  </w:t>
      </w:r>
    </w:p>
    <w:p w:rsidR="00FA583A" w:rsidRDefault="00FA583A" w:rsidP="00FA583A">
      <w:pPr>
        <w:pStyle w:val="SCCNormalDoubleSpacing"/>
        <w:spacing w:line="240" w:lineRule="auto"/>
        <w:rPr>
          <w:sz w:val="20"/>
          <w:lang w:val="fr-CA"/>
        </w:rPr>
      </w:pPr>
    </w:p>
    <w:p w:rsidR="00FA583A" w:rsidRPr="00C878E4" w:rsidRDefault="00FA583A" w:rsidP="00FA583A">
      <w:pPr>
        <w:pStyle w:val="SCCNormalDoubleSpacing"/>
        <w:spacing w:line="240" w:lineRule="auto"/>
        <w:rPr>
          <w:sz w:val="20"/>
          <w:lang w:val="fr-CA"/>
        </w:rPr>
      </w:pPr>
      <w:r w:rsidRPr="00C878E4">
        <w:rPr>
          <w:sz w:val="20"/>
          <w:lang w:val="fr-CA"/>
        </w:rPr>
        <w:tab/>
        <w:t xml:space="preserve">Que, en l’espèce, le policier n’ait jamais eu affaire au cas d’un passeur involontaire au cours de ses nombreuses enquêtes n’était ni nécessaire ni pertinent pour trancher la question en litige au procès, à savoir si S connaissait la présence de la cocaïne.  Son témoignage n’était pas nécessaire, car déterminer si S savait ou non pour la cocaïne n’était pas hors de portée du juge eu égard à ses connaissances et à son expérience et ne relevait certainement pas de la technique ou de la science.  En outre, la culpabilité ou l’innocence d’accusés au sujet desquels le policier avait enquêté dans le passé n’étaient pas pertinentes sur le plan juridique quant à la culpabilité ou à l’innocence de S.  Autrement dit, le témoignage du policier n’avait pas de valeur probante quant à savoir si S connaissait ou non la présence de la cocaïne, et son absence de pertinence suffisait à justifier son exclusion. </w:t>
      </w:r>
    </w:p>
    <w:p w:rsidR="00FA583A" w:rsidRDefault="00FA583A" w:rsidP="00FA583A">
      <w:pPr>
        <w:pStyle w:val="SCCNormalDoubleSpacing"/>
        <w:spacing w:line="240" w:lineRule="auto"/>
        <w:rPr>
          <w:sz w:val="20"/>
          <w:lang w:val="fr-CA"/>
        </w:rPr>
      </w:pPr>
    </w:p>
    <w:p w:rsidR="00FA583A" w:rsidRPr="00C878E4" w:rsidRDefault="00FA583A" w:rsidP="00FA583A">
      <w:pPr>
        <w:pStyle w:val="SCCNormalDoubleSpacing"/>
        <w:spacing w:line="240" w:lineRule="auto"/>
        <w:rPr>
          <w:sz w:val="20"/>
          <w:lang w:val="fr-CA"/>
        </w:rPr>
      </w:pPr>
      <w:r w:rsidRPr="00C878E4">
        <w:rPr>
          <w:sz w:val="20"/>
          <w:lang w:val="fr-CA"/>
        </w:rPr>
        <w:tab/>
        <w:t>Toutefois, l’élément inadmissible correspond à une phrase de l’une des 16 pages du jugement, par ailleurs irréprochable, dans lequel le juge énumère les nombreuses raisons pour lesquelles il rejette le témoignage de S.  Outre la partie du témoignage de l’expert dont il n’aurait pas dû tenir compte, le juge énonce les raisons tout aussi nombreuses pour lesquelles, selon lui, S savait pour la cocaïne.</w:t>
      </w:r>
    </w:p>
    <w:p w:rsidR="00FA583A" w:rsidRDefault="00FA583A" w:rsidP="00FA583A">
      <w:pPr>
        <w:pStyle w:val="SCCNormalDoubleSpacing"/>
        <w:spacing w:line="240" w:lineRule="auto"/>
        <w:rPr>
          <w:sz w:val="20"/>
          <w:lang w:val="fr-CA"/>
        </w:rPr>
      </w:pPr>
    </w:p>
    <w:p w:rsidR="00FA583A" w:rsidRPr="00C878E4" w:rsidRDefault="00FA583A" w:rsidP="00FA583A">
      <w:pPr>
        <w:pStyle w:val="SCCNormalDoubleSpacing"/>
        <w:spacing w:line="240" w:lineRule="auto"/>
        <w:rPr>
          <w:sz w:val="20"/>
          <w:lang w:val="fr-CA"/>
        </w:rPr>
      </w:pPr>
      <w:r w:rsidRPr="00C878E4">
        <w:rPr>
          <w:sz w:val="20"/>
          <w:lang w:val="fr-CA"/>
        </w:rPr>
        <w:tab/>
        <w:t xml:space="preserve">Bien qu’en l’espèce l’erreur du juge du procès ne soit pas inoffensive, la preuve de la culpabilité de S est à ce point accablante que le juge des faits conclurait forcément à la culpabilité.  Par conséquent, le second volet de la disposition réparatrice peut s’appliquer pour confirmer les déclarations de culpabilité prononcées contre S.  À elle seule, la preuve relative à la télécommande d’accès a eu un effet catastrophique.  Mais il ne s’agissait pas du seul élément de preuve.  Elle faisait partie d’un enchevêtrement d’éléments de preuve circonstancielle tendant à établir la culpabilité de S.  Au moment de considérer l’application du second volet de la disposition réparatrice dans le cas d’une preuve circonstancielle, il faut examiner l’ensemble des éléments admissibles pour apprécier la solidité de la preuve.  La cour </w:t>
      </w:r>
      <w:r w:rsidRPr="00C878E4">
        <w:rPr>
          <w:sz w:val="20"/>
          <w:lang w:val="fr-CA"/>
        </w:rPr>
        <w:lastRenderedPageBreak/>
        <w:t xml:space="preserve">d’appel n’a pas à considérer chacun des éléments et à rechercher une éventuelle explication qui innocenterait l’accusé.  S’il en allait ainsi, il ne serait jamais possible de satisfaire aux conditions d’application du second volet. </w:t>
      </w:r>
    </w:p>
    <w:p w:rsidR="00FA583A" w:rsidRDefault="00FA583A" w:rsidP="00FA583A">
      <w:pPr>
        <w:pStyle w:val="SCCNormalDoubleSpacing"/>
        <w:spacing w:line="240" w:lineRule="auto"/>
        <w:rPr>
          <w:sz w:val="20"/>
          <w:lang w:val="fr-CA"/>
        </w:rPr>
      </w:pPr>
    </w:p>
    <w:p w:rsidR="00FA583A" w:rsidRPr="00C878E4" w:rsidRDefault="00FA583A" w:rsidP="00FA583A">
      <w:pPr>
        <w:pStyle w:val="SCCNormalDoubleSpacing"/>
        <w:spacing w:line="240" w:lineRule="auto"/>
        <w:rPr>
          <w:sz w:val="20"/>
          <w:lang w:val="fr-CA"/>
        </w:rPr>
      </w:pPr>
      <w:r w:rsidRPr="00C878E4">
        <w:rPr>
          <w:sz w:val="20"/>
          <w:lang w:val="fr-CA"/>
        </w:rPr>
        <w:tab/>
      </w:r>
      <w:r w:rsidRPr="00C878E4">
        <w:rPr>
          <w:i/>
          <w:sz w:val="20"/>
          <w:lang w:val="fr-CA"/>
        </w:rPr>
        <w:t>La</w:t>
      </w:r>
      <w:r w:rsidRPr="00C878E4">
        <w:rPr>
          <w:sz w:val="20"/>
          <w:lang w:val="fr-CA"/>
        </w:rPr>
        <w:t xml:space="preserve"> juge en chef McLachlin et le juge </w:t>
      </w:r>
      <w:r w:rsidRPr="00C878E4">
        <w:rPr>
          <w:b/>
          <w:sz w:val="20"/>
          <w:lang w:val="fr-CA"/>
        </w:rPr>
        <w:t>LeBel</w:t>
      </w:r>
      <w:r w:rsidRPr="00C878E4">
        <w:rPr>
          <w:sz w:val="20"/>
          <w:lang w:val="fr-CA"/>
        </w:rPr>
        <w:t xml:space="preserve"> (dissidents) : Le témoignage du policier voulant que, au cours de ses nombreuses enquêtes, il n’ait jamais eu affaire à un passeur involontaire a dépassé les limites du témoignage d’expert admissible.  Ses propos revenaient à dire que, dans la situation de S, une personne savait toujours qu’elle transportait de la drogue.  Il ne restait qu’un petit pas à franchir pour en conclure que S avait dû être au courant pour la cocaïne.  Le témoin a effectivement exprimé l’opinion que S avait la </w:t>
      </w:r>
      <w:r w:rsidRPr="00C878E4">
        <w:rPr>
          <w:i/>
          <w:sz w:val="20"/>
          <w:lang w:val="fr-CA"/>
        </w:rPr>
        <w:t>mens rea</w:t>
      </w:r>
      <w:r w:rsidRPr="00C878E4">
        <w:rPr>
          <w:sz w:val="20"/>
          <w:lang w:val="fr-CA"/>
        </w:rPr>
        <w:t xml:space="preserve"> requise pour les infractions dont il était accusé, et il s’est donc prononcé sur la question fondamentale à trancher.  C’est pourquoi la question de l’admissibilité du témoignage doit faire l’objet d’un examen particulièrement minutieux.</w:t>
      </w:r>
    </w:p>
    <w:p w:rsidR="00FA583A" w:rsidRDefault="00FA583A" w:rsidP="00FA583A">
      <w:pPr>
        <w:pStyle w:val="SCCNormalDoubleSpacing"/>
        <w:spacing w:line="240" w:lineRule="auto"/>
        <w:rPr>
          <w:sz w:val="20"/>
          <w:lang w:val="fr-CA"/>
        </w:rPr>
      </w:pPr>
    </w:p>
    <w:p w:rsidR="00FA583A" w:rsidRPr="00C878E4" w:rsidRDefault="00FA583A" w:rsidP="00FA583A">
      <w:pPr>
        <w:pStyle w:val="SCCNormalDoubleSpacing"/>
        <w:spacing w:line="240" w:lineRule="auto"/>
        <w:rPr>
          <w:sz w:val="20"/>
          <w:lang w:val="fr-CA"/>
        </w:rPr>
      </w:pPr>
      <w:r w:rsidRPr="00C878E4">
        <w:rPr>
          <w:sz w:val="20"/>
          <w:lang w:val="fr-CA"/>
        </w:rPr>
        <w:tab/>
        <w:t xml:space="preserve">Compte tenu des critères de l’arrêt </w:t>
      </w:r>
      <w:r w:rsidRPr="00C878E4">
        <w:rPr>
          <w:i/>
          <w:sz w:val="20"/>
          <w:lang w:val="fr-CA"/>
        </w:rPr>
        <w:t>Mohan</w:t>
      </w:r>
      <w:r w:rsidRPr="00C878E4">
        <w:rPr>
          <w:sz w:val="20"/>
          <w:lang w:val="fr-CA"/>
        </w:rPr>
        <w:t>, le témoignage d’expert en cause n’aurait pas dû être admis.  Il n’était pas nécessaire, car le juge pouvait tirer l’inférence voulue quant à ce que S savait ou non.  Il n’était pas non plus pertinent.  L’opinion du policier invitait le juge à conclure que S savait qu’il transportait de la cocaïne parce que tout conducteur d’un véhicule à bord duquel est dissimulée de la drogue sait qu’il transporte de la drogue.  En plus d’usurper la fonction du juge du procès qui consiste à déterminer la culpabilité ou l’innocence, la formulation de l’opinion se fondait sur une conclusion à la fois inadmissible et injuste.</w:t>
      </w:r>
    </w:p>
    <w:p w:rsidR="00FA583A" w:rsidRDefault="00FA583A" w:rsidP="00FA583A">
      <w:pPr>
        <w:pStyle w:val="SCCNormalDoubleSpacing"/>
        <w:spacing w:line="240" w:lineRule="auto"/>
        <w:rPr>
          <w:sz w:val="20"/>
          <w:lang w:val="fr-CA"/>
        </w:rPr>
      </w:pPr>
    </w:p>
    <w:p w:rsidR="00FA583A" w:rsidRPr="00C878E4" w:rsidRDefault="00FA583A" w:rsidP="00FA583A">
      <w:pPr>
        <w:pStyle w:val="SCCNormalDoubleSpacing"/>
        <w:spacing w:line="240" w:lineRule="auto"/>
        <w:rPr>
          <w:sz w:val="20"/>
          <w:lang w:val="fr-CA"/>
        </w:rPr>
      </w:pPr>
      <w:r w:rsidRPr="00C878E4">
        <w:rPr>
          <w:sz w:val="20"/>
          <w:lang w:val="fr-CA"/>
        </w:rPr>
        <w:tab/>
        <w:t>Étant donné que l’erreur du juge du procès n’était pas une erreur inoffensive non susceptible d’avoir une incidence sur sa décision, il ne convient pas d’appliquer le second volet de la disposition réparatrice en l’espèce.  La question qui se pose lorsqu’il s’agit d’appliquer ou non le second volet n’est pas celle de savoir si le juge pouvait tirer l’inférence ou si elle était déterminante quant à la culpabilité, mais bien si c’était la seule rationnelle, ce qui n’était pas le cas dans la présente affaire.</w:t>
      </w:r>
    </w:p>
    <w:p w:rsidR="00FA583A" w:rsidRDefault="00FA583A" w:rsidP="00FA583A">
      <w:pPr>
        <w:pStyle w:val="SCCNormalDoubleSpacing"/>
        <w:spacing w:line="240" w:lineRule="auto"/>
        <w:rPr>
          <w:sz w:val="20"/>
          <w:lang w:val="fr-CA"/>
        </w:rPr>
      </w:pPr>
    </w:p>
    <w:p w:rsidR="00FA583A" w:rsidRDefault="00FA583A" w:rsidP="00FA583A">
      <w:pPr>
        <w:pStyle w:val="SCCNormalDoubleSpacing"/>
        <w:spacing w:line="240" w:lineRule="auto"/>
        <w:rPr>
          <w:sz w:val="20"/>
          <w:lang w:val="fr-CA"/>
        </w:rPr>
      </w:pPr>
      <w:r w:rsidRPr="00C878E4">
        <w:rPr>
          <w:sz w:val="20"/>
          <w:lang w:val="fr-CA"/>
        </w:rPr>
        <w:tab/>
        <w:t>Un nouveau procès mobiliserait certes des ressources judiciaires, mais cette considération ne saurait primer le droit de S à un procès équitable fondé sur la seule preuve admissible.  Le juge du procès s’est appuyé sur un élément de preuve inadmissible et il s’agit d’une erreur grave.  Si notre Cour écarte une preuve qui, selon le juge du procès, constitue l’une des assises des déclarations de culpabilité, elle ne saurait conclure que la preuve défavorable à S demeure accablante sans se livrer à de pures conjectures.  Pareille conclusion contredirait les motifs du juge eux</w:t>
      </w:r>
      <w:r w:rsidRPr="00C878E4">
        <w:rPr>
          <w:sz w:val="20"/>
          <w:lang w:val="fr-CA"/>
        </w:rPr>
        <w:noBreakHyphen/>
        <w:t>mêmes et reposerait sur une appréciation nouvelle et, partant, irrégulière des autres éléments de preuve.  La disposition réparatrice ne permet pas à la Cour de refuser un nouveau procès dans les circonstances.</w:t>
      </w:r>
    </w:p>
    <w:p w:rsidR="00FA583A" w:rsidRDefault="00FA583A" w:rsidP="00FA583A">
      <w:pPr>
        <w:pStyle w:val="SCCNormalDoubleSpacing"/>
        <w:spacing w:line="240" w:lineRule="auto"/>
        <w:rPr>
          <w:sz w:val="20"/>
          <w:lang w:val="fr-CA"/>
        </w:rPr>
      </w:pPr>
    </w:p>
    <w:p w:rsidR="00FA583A" w:rsidRPr="00C878E4" w:rsidRDefault="00FA583A" w:rsidP="00FA583A">
      <w:pPr>
        <w:pStyle w:val="SCCNormalDoubleSpacing"/>
        <w:spacing w:line="240" w:lineRule="auto"/>
        <w:rPr>
          <w:sz w:val="20"/>
          <w:lang w:val="fr-CA"/>
        </w:rPr>
      </w:pPr>
      <w:r w:rsidRPr="00C878E4">
        <w:rPr>
          <w:sz w:val="20"/>
          <w:lang w:val="fr-CA"/>
        </w:rPr>
        <w:tab/>
        <w:t>POURVOI contre un arrêt de la Cour d’appel de la Colombie</w:t>
      </w:r>
      <w:r w:rsidRPr="00C878E4">
        <w:rPr>
          <w:sz w:val="20"/>
          <w:lang w:val="fr-CA"/>
        </w:rPr>
        <w:noBreakHyphen/>
        <w:t>Britannique (le juge en chef Finch et les juges Newbury et Lowry), 2012 BCCA 512, 331 B.C.A.C. 170, 565 W.A.C. 170, [2012] B.C.J. No. 2675 (QL), 2012 CarswellBC 4005, qui a confirmé les déclarations de culpabilité pour importation de cocaïne et possession en vue d’en faire le trafic.  Pourvoi rejeté, la juge en chef McLachlin et le juge LeBel sont dissidents.</w:t>
      </w:r>
    </w:p>
    <w:p w:rsidR="00FA583A" w:rsidRDefault="00FA583A" w:rsidP="00FA583A">
      <w:pPr>
        <w:pStyle w:val="SCCNormalDoubleSpacing"/>
        <w:spacing w:line="240" w:lineRule="auto"/>
        <w:rPr>
          <w:i/>
          <w:sz w:val="20"/>
          <w:lang w:val="fr-CA"/>
        </w:rPr>
      </w:pPr>
    </w:p>
    <w:p w:rsidR="00FA583A" w:rsidRPr="00C878E4" w:rsidRDefault="00FA583A" w:rsidP="00FA583A">
      <w:pPr>
        <w:pStyle w:val="SCCNormalDoubleSpacing"/>
        <w:spacing w:line="240" w:lineRule="auto"/>
        <w:rPr>
          <w:sz w:val="20"/>
          <w:lang w:val="fr-CA"/>
        </w:rPr>
      </w:pPr>
      <w:r w:rsidRPr="00C878E4">
        <w:rPr>
          <w:i/>
          <w:sz w:val="20"/>
          <w:lang w:val="fr-CA"/>
        </w:rPr>
        <w:tab/>
        <w:t>Eric V. Gottardi</w:t>
      </w:r>
      <w:r w:rsidRPr="00C878E4">
        <w:rPr>
          <w:sz w:val="20"/>
          <w:lang w:val="fr-CA"/>
        </w:rPr>
        <w:t xml:space="preserve"> et </w:t>
      </w:r>
      <w:r w:rsidRPr="00C878E4">
        <w:rPr>
          <w:i/>
          <w:sz w:val="20"/>
          <w:lang w:val="fr-CA"/>
        </w:rPr>
        <w:t>Kathleen M. Bradley</w:t>
      </w:r>
      <w:r w:rsidRPr="00C878E4">
        <w:rPr>
          <w:sz w:val="20"/>
          <w:lang w:val="fr-CA"/>
        </w:rPr>
        <w:t>, pour l’appelant.</w:t>
      </w:r>
    </w:p>
    <w:p w:rsidR="00FA583A" w:rsidRDefault="00FA583A" w:rsidP="00FA583A">
      <w:pPr>
        <w:pStyle w:val="SCCNormalDoubleSpacing"/>
        <w:spacing w:line="240" w:lineRule="auto"/>
        <w:rPr>
          <w:i/>
          <w:sz w:val="20"/>
          <w:lang w:val="fr-CA"/>
        </w:rPr>
      </w:pPr>
    </w:p>
    <w:p w:rsidR="00FA583A" w:rsidRPr="00C878E4" w:rsidRDefault="00FA583A" w:rsidP="00FA583A">
      <w:pPr>
        <w:pStyle w:val="SCCNormalDoubleSpacing"/>
        <w:spacing w:line="240" w:lineRule="auto"/>
        <w:rPr>
          <w:sz w:val="20"/>
          <w:lang w:val="fr-CA"/>
        </w:rPr>
      </w:pPr>
      <w:r w:rsidRPr="00C878E4">
        <w:rPr>
          <w:i/>
          <w:sz w:val="20"/>
          <w:lang w:val="fr-CA"/>
        </w:rPr>
        <w:tab/>
        <w:t>Martha M. Devlin, c.r.</w:t>
      </w:r>
      <w:r w:rsidRPr="00C878E4">
        <w:rPr>
          <w:sz w:val="20"/>
          <w:lang w:val="fr-CA"/>
        </w:rPr>
        <w:t xml:space="preserve">, et </w:t>
      </w:r>
      <w:r w:rsidRPr="00C878E4">
        <w:rPr>
          <w:i/>
          <w:sz w:val="20"/>
          <w:lang w:val="fr-CA"/>
        </w:rPr>
        <w:t>Chris Greenwood</w:t>
      </w:r>
      <w:r w:rsidRPr="00C878E4">
        <w:rPr>
          <w:sz w:val="20"/>
          <w:lang w:val="fr-CA"/>
        </w:rPr>
        <w:t>, pour l’intimée.</w:t>
      </w:r>
    </w:p>
    <w:p w:rsidR="00FA583A" w:rsidRDefault="00FA583A" w:rsidP="00FA583A">
      <w:pPr>
        <w:pStyle w:val="SCCLawFirm"/>
        <w:spacing w:line="240" w:lineRule="auto"/>
        <w:rPr>
          <w:sz w:val="20"/>
          <w:lang w:val="fr-CA"/>
        </w:rPr>
      </w:pPr>
    </w:p>
    <w:p w:rsidR="00FA583A" w:rsidRPr="00C878E4" w:rsidRDefault="00FA583A" w:rsidP="00FA583A">
      <w:pPr>
        <w:pStyle w:val="SCCLawFirm"/>
        <w:spacing w:line="240" w:lineRule="auto"/>
        <w:rPr>
          <w:sz w:val="20"/>
          <w:lang w:val="fr-CA"/>
        </w:rPr>
      </w:pPr>
      <w:r w:rsidRPr="00C878E4">
        <w:rPr>
          <w:sz w:val="20"/>
          <w:lang w:val="fr-CA"/>
        </w:rPr>
        <w:tab/>
        <w:t>Procureurs de l’appelant : Peck and Company, Vancouver.</w:t>
      </w:r>
    </w:p>
    <w:p w:rsidR="00FA583A" w:rsidRDefault="00FA583A" w:rsidP="00FA583A">
      <w:pPr>
        <w:pStyle w:val="SCCLawFirm"/>
        <w:spacing w:line="240" w:lineRule="auto"/>
        <w:rPr>
          <w:sz w:val="20"/>
          <w:lang w:val="fr-CA"/>
        </w:rPr>
      </w:pPr>
    </w:p>
    <w:p w:rsidR="00FA583A" w:rsidRDefault="00FA583A" w:rsidP="00FA583A">
      <w:pPr>
        <w:pStyle w:val="SCCLawFirm"/>
        <w:spacing w:line="240" w:lineRule="auto"/>
        <w:rPr>
          <w:sz w:val="20"/>
          <w:lang w:val="fr-CA"/>
        </w:rPr>
      </w:pPr>
      <w:r w:rsidRPr="00C878E4">
        <w:rPr>
          <w:sz w:val="20"/>
          <w:lang w:val="fr-CA"/>
        </w:rPr>
        <w:tab/>
        <w:t>Procureur de l’intimée : Procureur général du Canada, Vancouver.</w:t>
      </w:r>
    </w:p>
    <w:p w:rsidR="003B3977" w:rsidRDefault="003B3977" w:rsidP="005C6840">
      <w:pPr>
        <w:rPr>
          <w:rFonts w:cs="Times New Roman"/>
          <w:sz w:val="20"/>
          <w:szCs w:val="20"/>
          <w:lang w:val="fr-CA"/>
        </w:rPr>
      </w:pPr>
    </w:p>
    <w:p w:rsidR="005C6840" w:rsidRDefault="00EB0F11" w:rsidP="005C6840">
      <w:pPr>
        <w:rPr>
          <w:lang w:val="fr-CA"/>
        </w:rPr>
      </w:pPr>
      <w:r>
        <w:rPr>
          <w:rFonts w:cs="Times New Roman"/>
          <w:sz w:val="20"/>
          <w:szCs w:val="20"/>
          <w:lang w:val="fr-CA"/>
        </w:rPr>
        <w:pict>
          <v:rect id="_x0000_i1097" style="width:144.3pt;height:1pt" o:hrpct="300" o:hralign="center" o:hrstd="t" o:hrnoshade="t" o:hr="t" fillcolor="black [3213]" stroked="f"/>
        </w:pict>
      </w:r>
      <w:r w:rsidR="005C6840">
        <w:rPr>
          <w:lang w:val="fr-CA"/>
        </w:rPr>
        <w:br w:type="page"/>
      </w:r>
    </w:p>
    <w:p w:rsidR="004A5EB8" w:rsidRPr="00700188" w:rsidRDefault="004A5EB8" w:rsidP="004A5EB8">
      <w:pPr>
        <w:jc w:val="both"/>
        <w:rPr>
          <w:sz w:val="20"/>
          <w:szCs w:val="20"/>
          <w:lang w:val="fr-CA"/>
        </w:rPr>
      </w:pPr>
      <w:r w:rsidRPr="00700188">
        <w:rPr>
          <w:i/>
          <w:sz w:val="20"/>
          <w:szCs w:val="20"/>
          <w:lang w:val="fr-CA"/>
        </w:rPr>
        <w:lastRenderedPageBreak/>
        <w:t xml:space="preserve">Antal Babos et autre c. Sa Majesté la Reine et autre </w:t>
      </w:r>
      <w:r w:rsidRPr="00700188">
        <w:rPr>
          <w:sz w:val="20"/>
          <w:szCs w:val="20"/>
          <w:lang w:val="fr-CA"/>
        </w:rPr>
        <w:t>(Qc) (</w:t>
      </w:r>
      <w:hyperlink r:id="rId112" w:history="1">
        <w:r w:rsidRPr="00700188">
          <w:rPr>
            <w:rStyle w:val="Hyperlink"/>
            <w:sz w:val="20"/>
            <w:szCs w:val="20"/>
            <w:lang w:val="fr-CA"/>
          </w:rPr>
          <w:t>34824</w:t>
        </w:r>
      </w:hyperlink>
      <w:r w:rsidRPr="00700188">
        <w:rPr>
          <w:sz w:val="20"/>
          <w:szCs w:val="20"/>
          <w:lang w:val="fr-CA"/>
        </w:rPr>
        <w:t>)</w:t>
      </w:r>
    </w:p>
    <w:p w:rsidR="005022D8" w:rsidRPr="005022D8" w:rsidRDefault="005022D8" w:rsidP="005022D8">
      <w:pPr>
        <w:jc w:val="both"/>
        <w:rPr>
          <w:b/>
          <w:i/>
          <w:sz w:val="20"/>
        </w:rPr>
      </w:pPr>
      <w:r w:rsidRPr="00FF46F6">
        <w:rPr>
          <w:b/>
          <w:sz w:val="20"/>
          <w:lang w:val="en-US"/>
        </w:rPr>
        <w:t xml:space="preserve">Indexed as: R. </w:t>
      </w:r>
      <w:r w:rsidRPr="00FF46F6">
        <w:rPr>
          <w:b/>
          <w:i/>
          <w:sz w:val="20"/>
          <w:lang w:val="en-US"/>
        </w:rPr>
        <w:t>v</w:t>
      </w:r>
      <w:r w:rsidRPr="00FF46F6">
        <w:rPr>
          <w:b/>
          <w:sz w:val="20"/>
          <w:lang w:val="en-US"/>
        </w:rPr>
        <w:t>. Babos</w:t>
      </w:r>
      <w:r>
        <w:rPr>
          <w:b/>
          <w:sz w:val="20"/>
          <w:lang w:val="en-US"/>
        </w:rPr>
        <w:t xml:space="preserve"> / </w:t>
      </w:r>
      <w:r w:rsidRPr="005022D8">
        <w:rPr>
          <w:b/>
          <w:sz w:val="20"/>
        </w:rPr>
        <w:t xml:space="preserve">Répertorié : R. </w:t>
      </w:r>
      <w:r w:rsidRPr="005022D8">
        <w:rPr>
          <w:b/>
          <w:i/>
          <w:sz w:val="20"/>
        </w:rPr>
        <w:t>c</w:t>
      </w:r>
      <w:r w:rsidRPr="005022D8">
        <w:rPr>
          <w:b/>
          <w:sz w:val="20"/>
        </w:rPr>
        <w:t>. Babos</w:t>
      </w:r>
    </w:p>
    <w:p w:rsidR="00902E51" w:rsidRPr="00352A49" w:rsidRDefault="00902E51" w:rsidP="00902E51">
      <w:pPr>
        <w:pStyle w:val="SCCSystemYear"/>
        <w:jc w:val="both"/>
        <w:rPr>
          <w:sz w:val="20"/>
        </w:rPr>
      </w:pPr>
      <w:r w:rsidRPr="00352A49">
        <w:rPr>
          <w:sz w:val="20"/>
        </w:rPr>
        <w:t>Neutral citation:  201</w:t>
      </w:r>
      <w:r w:rsidR="004A5EB8">
        <w:rPr>
          <w:sz w:val="20"/>
        </w:rPr>
        <w:t>4</w:t>
      </w:r>
      <w:r w:rsidRPr="00352A49">
        <w:rPr>
          <w:sz w:val="20"/>
        </w:rPr>
        <w:t xml:space="preserve"> SCC </w:t>
      </w:r>
      <w:r w:rsidR="004A5EB8">
        <w:rPr>
          <w:sz w:val="20"/>
        </w:rPr>
        <w:t>16</w:t>
      </w:r>
      <w:r w:rsidRPr="00352A49">
        <w:rPr>
          <w:sz w:val="20"/>
        </w:rPr>
        <w:t xml:space="preserve"> / Référence neutre : 201</w:t>
      </w:r>
      <w:r w:rsidR="004A5EB8">
        <w:rPr>
          <w:sz w:val="20"/>
        </w:rPr>
        <w:t>4</w:t>
      </w:r>
      <w:r w:rsidRPr="00352A49">
        <w:rPr>
          <w:sz w:val="20"/>
        </w:rPr>
        <w:t xml:space="preserve"> CSC </w:t>
      </w:r>
      <w:r w:rsidR="004A5EB8">
        <w:rPr>
          <w:sz w:val="20"/>
        </w:rPr>
        <w:t>16</w:t>
      </w:r>
    </w:p>
    <w:p w:rsidR="00902E51" w:rsidRPr="00352A49" w:rsidRDefault="00902E51" w:rsidP="00902E51">
      <w:pPr>
        <w:rPr>
          <w:sz w:val="20"/>
          <w:szCs w:val="20"/>
          <w:lang w:val="fr-CA"/>
        </w:rPr>
      </w:pPr>
      <w:r w:rsidRPr="00352A49">
        <w:rPr>
          <w:sz w:val="20"/>
          <w:szCs w:val="20"/>
          <w:lang w:val="fr-CA"/>
        </w:rPr>
        <w:t xml:space="preserve">Hearing:  </w:t>
      </w:r>
      <w:r w:rsidR="005022D8">
        <w:rPr>
          <w:sz w:val="20"/>
          <w:szCs w:val="20"/>
          <w:lang w:val="fr-CA"/>
        </w:rPr>
        <w:t>Octobe</w:t>
      </w:r>
      <w:r w:rsidRPr="00352A49">
        <w:rPr>
          <w:sz w:val="20"/>
          <w:szCs w:val="20"/>
          <w:lang w:val="fr-CA"/>
        </w:rPr>
        <w:t xml:space="preserve">r </w:t>
      </w:r>
      <w:r w:rsidR="005022D8">
        <w:rPr>
          <w:sz w:val="20"/>
          <w:szCs w:val="20"/>
          <w:lang w:val="fr-CA"/>
        </w:rPr>
        <w:t>9</w:t>
      </w:r>
      <w:r w:rsidRPr="00352A49">
        <w:rPr>
          <w:sz w:val="20"/>
          <w:szCs w:val="20"/>
          <w:lang w:val="fr-CA"/>
        </w:rPr>
        <w:t xml:space="preserve">, 2013 / Judgment:  </w:t>
      </w:r>
      <w:r w:rsidR="004A5EB8">
        <w:rPr>
          <w:sz w:val="20"/>
          <w:szCs w:val="20"/>
          <w:lang w:val="fr-CA"/>
        </w:rPr>
        <w:t>Febru</w:t>
      </w:r>
      <w:r w:rsidRPr="00352A49">
        <w:rPr>
          <w:sz w:val="20"/>
          <w:szCs w:val="20"/>
          <w:lang w:val="fr-CA"/>
        </w:rPr>
        <w:t>a</w:t>
      </w:r>
      <w:r w:rsidR="004A5EB8">
        <w:rPr>
          <w:sz w:val="20"/>
          <w:szCs w:val="20"/>
          <w:lang w:val="fr-CA"/>
        </w:rPr>
        <w:t>r</w:t>
      </w:r>
      <w:r w:rsidRPr="00352A49">
        <w:rPr>
          <w:sz w:val="20"/>
          <w:szCs w:val="20"/>
          <w:lang w:val="fr-CA"/>
        </w:rPr>
        <w:t xml:space="preserve">y </w:t>
      </w:r>
      <w:r w:rsidR="004A5EB8">
        <w:rPr>
          <w:sz w:val="20"/>
          <w:szCs w:val="20"/>
          <w:lang w:val="fr-CA"/>
        </w:rPr>
        <w:t>2</w:t>
      </w:r>
      <w:r w:rsidRPr="00352A49">
        <w:rPr>
          <w:sz w:val="20"/>
          <w:szCs w:val="20"/>
          <w:lang w:val="fr-CA"/>
        </w:rPr>
        <w:t>1, 201</w:t>
      </w:r>
      <w:r w:rsidR="004A5EB8">
        <w:rPr>
          <w:sz w:val="20"/>
          <w:szCs w:val="20"/>
          <w:lang w:val="fr-CA"/>
        </w:rPr>
        <w:t>4</w:t>
      </w:r>
    </w:p>
    <w:p w:rsidR="00902E51" w:rsidRPr="003B3977" w:rsidRDefault="00902E51" w:rsidP="00902E51">
      <w:pPr>
        <w:rPr>
          <w:sz w:val="20"/>
          <w:szCs w:val="20"/>
          <w:lang w:val="fr-CA"/>
        </w:rPr>
      </w:pPr>
      <w:r w:rsidRPr="003B3977">
        <w:rPr>
          <w:sz w:val="20"/>
          <w:szCs w:val="20"/>
          <w:lang w:val="fr-CA"/>
        </w:rPr>
        <w:t xml:space="preserve">Audition : Le </w:t>
      </w:r>
      <w:r w:rsidR="005022D8">
        <w:rPr>
          <w:sz w:val="20"/>
          <w:szCs w:val="20"/>
          <w:lang w:val="fr-CA"/>
        </w:rPr>
        <w:t>9</w:t>
      </w:r>
      <w:r>
        <w:rPr>
          <w:sz w:val="20"/>
          <w:szCs w:val="20"/>
          <w:lang w:val="fr-CA"/>
        </w:rPr>
        <w:t xml:space="preserve"> </w:t>
      </w:r>
      <w:r w:rsidR="005022D8">
        <w:rPr>
          <w:sz w:val="20"/>
          <w:szCs w:val="20"/>
          <w:lang w:val="fr-CA"/>
        </w:rPr>
        <w:t>octob</w:t>
      </w:r>
      <w:r>
        <w:rPr>
          <w:sz w:val="20"/>
          <w:szCs w:val="20"/>
          <w:lang w:val="fr-CA"/>
        </w:rPr>
        <w:t>r</w:t>
      </w:r>
      <w:r w:rsidR="005022D8">
        <w:rPr>
          <w:sz w:val="20"/>
          <w:szCs w:val="20"/>
          <w:lang w:val="fr-CA"/>
        </w:rPr>
        <w:t>e</w:t>
      </w:r>
      <w:r w:rsidRPr="003B3977">
        <w:rPr>
          <w:sz w:val="20"/>
          <w:szCs w:val="20"/>
          <w:lang w:val="fr-CA"/>
        </w:rPr>
        <w:t xml:space="preserve"> 201</w:t>
      </w:r>
      <w:r>
        <w:rPr>
          <w:sz w:val="20"/>
          <w:szCs w:val="20"/>
          <w:lang w:val="fr-CA"/>
        </w:rPr>
        <w:t>3</w:t>
      </w:r>
      <w:r w:rsidRPr="003B3977">
        <w:rPr>
          <w:sz w:val="20"/>
          <w:szCs w:val="20"/>
          <w:lang w:val="fr-CA"/>
        </w:rPr>
        <w:t xml:space="preserve"> / Jugement : Le </w:t>
      </w:r>
      <w:r w:rsidR="004A5EB8">
        <w:rPr>
          <w:sz w:val="20"/>
          <w:szCs w:val="20"/>
          <w:lang w:val="fr-CA"/>
        </w:rPr>
        <w:t>2</w:t>
      </w:r>
      <w:r>
        <w:rPr>
          <w:sz w:val="20"/>
          <w:szCs w:val="20"/>
          <w:lang w:val="fr-CA"/>
        </w:rPr>
        <w:t xml:space="preserve">1 </w:t>
      </w:r>
      <w:r w:rsidR="004A5EB8">
        <w:rPr>
          <w:sz w:val="20"/>
          <w:szCs w:val="20"/>
          <w:lang w:val="fr-CA"/>
        </w:rPr>
        <w:t>févr</w:t>
      </w:r>
      <w:r>
        <w:rPr>
          <w:sz w:val="20"/>
          <w:szCs w:val="20"/>
          <w:lang w:val="fr-CA"/>
        </w:rPr>
        <w:t>i</w:t>
      </w:r>
      <w:r w:rsidR="004A5EB8">
        <w:rPr>
          <w:sz w:val="20"/>
          <w:szCs w:val="20"/>
          <w:lang w:val="fr-CA"/>
        </w:rPr>
        <w:t>er</w:t>
      </w:r>
      <w:r w:rsidRPr="003B3977">
        <w:rPr>
          <w:sz w:val="20"/>
          <w:szCs w:val="20"/>
          <w:lang w:val="fr-CA"/>
        </w:rPr>
        <w:t xml:space="preserve"> 201</w:t>
      </w:r>
      <w:r w:rsidR="004A5EB8">
        <w:rPr>
          <w:sz w:val="20"/>
          <w:szCs w:val="20"/>
          <w:lang w:val="fr-CA"/>
        </w:rPr>
        <w:t>4</w:t>
      </w:r>
    </w:p>
    <w:p w:rsidR="005C6840" w:rsidRPr="003B3977" w:rsidRDefault="00EB0F11" w:rsidP="005C6840">
      <w:pPr>
        <w:rPr>
          <w:sz w:val="20"/>
          <w:szCs w:val="20"/>
          <w:lang w:val="fr-CA"/>
        </w:rPr>
      </w:pPr>
      <w:r>
        <w:rPr>
          <w:i/>
          <w:sz w:val="20"/>
          <w:szCs w:val="20"/>
        </w:rPr>
        <w:pict>
          <v:rect id="_x0000_i1098"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5022D8" w:rsidRPr="00C04D51" w:rsidRDefault="005022D8" w:rsidP="005022D8">
      <w:pPr>
        <w:jc w:val="both"/>
        <w:rPr>
          <w:sz w:val="20"/>
          <w:lang w:val="fr-CA"/>
        </w:rPr>
      </w:pPr>
      <w:r w:rsidRPr="00C04D51">
        <w:rPr>
          <w:sz w:val="20"/>
          <w:lang w:val="fr-CA"/>
        </w:rPr>
        <w:t>Présents : La juge en chef McLachlin et les juges LeBel, Abella, Cromwell, Moldaver, Karakatsanis et Wagner.</w:t>
      </w:r>
    </w:p>
    <w:p w:rsidR="005022D8" w:rsidRDefault="005022D8" w:rsidP="005022D8">
      <w:pPr>
        <w:pStyle w:val="SCCNormalDoubleSpacing"/>
        <w:spacing w:line="240" w:lineRule="auto"/>
        <w:rPr>
          <w:sz w:val="20"/>
          <w:lang w:val="fr-CA"/>
        </w:rPr>
      </w:pPr>
    </w:p>
    <w:p w:rsidR="005022D8" w:rsidRPr="00C04D51" w:rsidRDefault="005022D8" w:rsidP="005022D8">
      <w:pPr>
        <w:pStyle w:val="SCCNormalDoubleSpacing"/>
        <w:spacing w:line="240" w:lineRule="auto"/>
        <w:rPr>
          <w:i/>
          <w:sz w:val="20"/>
          <w:lang w:val="fr-CA"/>
        </w:rPr>
      </w:pPr>
      <w:r w:rsidRPr="00C04D51">
        <w:rPr>
          <w:sz w:val="20"/>
          <w:lang w:val="fr-CA"/>
        </w:rPr>
        <w:tab/>
      </w:r>
      <w:r w:rsidRPr="00C04D51">
        <w:rPr>
          <w:i/>
          <w:sz w:val="20"/>
          <w:lang w:val="fr-CA"/>
        </w:rPr>
        <w:t xml:space="preserve">Droit criminel — Arrêt des procédures — Abus de procédure — Accusés inculpés d’infractions relatives aux armes à feu et à l’importation, à la production et au trafic de méthamphétamine — Accusés allèguent des comportements répréhensibles du ministère public en ce qui a trait à l’obtention d’un dossier médical, à de la collusion entre policiers pour induire le tribunal en erreur et à des menaces proférées par la substitut du procureur général pour inciter les accusés à plaider coupable — Arrêt des procédures ordonné par le juge du procès — L’arrêt des procédures était-il nécessaire pour protéger l’intégrité du système judiciaire? </w:t>
      </w:r>
    </w:p>
    <w:p w:rsidR="005022D8" w:rsidRDefault="005022D8" w:rsidP="005022D8">
      <w:pPr>
        <w:pStyle w:val="SCCNormalDoubleSpacing"/>
        <w:spacing w:line="240" w:lineRule="auto"/>
        <w:rPr>
          <w:sz w:val="20"/>
          <w:lang w:val="fr-CA"/>
        </w:rPr>
      </w:pPr>
    </w:p>
    <w:p w:rsidR="005022D8" w:rsidRPr="00C04D51" w:rsidRDefault="005022D8" w:rsidP="005022D8">
      <w:pPr>
        <w:pStyle w:val="SCCNormalDoubleSpacing"/>
        <w:spacing w:line="240" w:lineRule="auto"/>
        <w:rPr>
          <w:sz w:val="20"/>
          <w:lang w:val="fr-CA"/>
        </w:rPr>
      </w:pPr>
      <w:r w:rsidRPr="00C04D51">
        <w:rPr>
          <w:sz w:val="20"/>
          <w:lang w:val="fr-CA"/>
        </w:rPr>
        <w:tab/>
        <w:t xml:space="preserve">Les accusés ont été inculpés de nombreuses infractions liées aux armes à feu et d’autres infractions relatives à l’importation, à la production et au trafic de méthamphétamine.  Durant le procès, les accusés ont présenté une demande d’arrêt des procédures pour abus de procédure.  Ils se plaignaient de trois actes répréhensibles du ministère public, soit du fait que la substitut du procureur général a essayé plusieurs fois de les intimider pour qu’ils renoncent à leur droit à un procès en les menaçant de porter d’autres accusations contre eux s’ils décidaient de nier leur culpabilité; que deux agents de police se sont concertés pour induire le tribunal en erreur au sujet de la saisie d’une arme à feu; et que le ministère public a utilisé des moyens irréguliers pour obtenir le dossier médical d’un des accusés.  Le juge du procès a ordonné l’arrêt des procédures.  La Cour d’appel a annulé l’arrêt des procédures et ordonné la tenue d’un nouveau procès. </w:t>
      </w:r>
    </w:p>
    <w:p w:rsidR="005022D8" w:rsidRDefault="005022D8" w:rsidP="005022D8">
      <w:pPr>
        <w:pStyle w:val="SCCNormalDoubleSpacing"/>
        <w:spacing w:line="240" w:lineRule="auto"/>
        <w:rPr>
          <w:sz w:val="20"/>
          <w:lang w:val="fr-CA"/>
        </w:rPr>
      </w:pPr>
    </w:p>
    <w:p w:rsidR="005022D8" w:rsidRPr="00C04D51" w:rsidRDefault="005022D8" w:rsidP="005022D8">
      <w:pPr>
        <w:pStyle w:val="SCCNormalDoubleSpacing"/>
        <w:spacing w:line="240" w:lineRule="auto"/>
        <w:rPr>
          <w:sz w:val="20"/>
          <w:lang w:val="fr-CA"/>
        </w:rPr>
      </w:pPr>
      <w:r w:rsidRPr="00C04D51">
        <w:rPr>
          <w:sz w:val="20"/>
          <w:lang w:val="fr-CA"/>
        </w:rPr>
        <w:tab/>
      </w:r>
      <w:r w:rsidRPr="00C04D51">
        <w:rPr>
          <w:i/>
          <w:iCs/>
          <w:sz w:val="20"/>
          <w:lang w:val="fr-CA"/>
        </w:rPr>
        <w:t xml:space="preserve">Arrêt </w:t>
      </w:r>
      <w:r w:rsidRPr="00C04D51">
        <w:rPr>
          <w:iCs/>
          <w:sz w:val="20"/>
          <w:lang w:val="fr-CA"/>
        </w:rPr>
        <w:t>(la juge Abella est dissidente) :</w:t>
      </w:r>
      <w:r w:rsidRPr="00C04D51">
        <w:rPr>
          <w:sz w:val="20"/>
          <w:lang w:val="fr-CA"/>
        </w:rPr>
        <w:t xml:space="preserve"> les pourvois sont rejetés.</w:t>
      </w:r>
    </w:p>
    <w:p w:rsidR="005022D8" w:rsidRDefault="005022D8" w:rsidP="005022D8">
      <w:pPr>
        <w:pStyle w:val="SCCNormalDoubleSpacing"/>
        <w:spacing w:line="240" w:lineRule="auto"/>
        <w:rPr>
          <w:sz w:val="20"/>
          <w:lang w:val="fr-CA"/>
        </w:rPr>
      </w:pPr>
    </w:p>
    <w:p w:rsidR="005022D8" w:rsidRPr="00C04D51" w:rsidRDefault="005022D8" w:rsidP="005022D8">
      <w:pPr>
        <w:pStyle w:val="SCCNormalDoubleSpacing"/>
        <w:spacing w:line="240" w:lineRule="auto"/>
        <w:rPr>
          <w:sz w:val="20"/>
          <w:lang w:val="fr-CA"/>
        </w:rPr>
      </w:pPr>
      <w:r w:rsidRPr="00C04D51">
        <w:rPr>
          <w:sz w:val="20"/>
          <w:lang w:val="fr-CA"/>
        </w:rPr>
        <w:tab/>
      </w:r>
      <w:r w:rsidRPr="00C04D51">
        <w:rPr>
          <w:i/>
          <w:sz w:val="20"/>
          <w:lang w:val="fr-CA"/>
        </w:rPr>
        <w:t xml:space="preserve">La juge en chef </w:t>
      </w:r>
      <w:r w:rsidRPr="00C04D51">
        <w:rPr>
          <w:sz w:val="20"/>
          <w:lang w:val="fr-CA"/>
        </w:rPr>
        <w:t xml:space="preserve">McLachlin et les juges LeBel, Cromwell, </w:t>
      </w:r>
      <w:r w:rsidRPr="00C04D51">
        <w:rPr>
          <w:b/>
          <w:sz w:val="20"/>
          <w:lang w:val="fr-CA"/>
        </w:rPr>
        <w:t>Moldaver</w:t>
      </w:r>
      <w:r w:rsidRPr="00C04D51">
        <w:rPr>
          <w:sz w:val="20"/>
          <w:lang w:val="fr-CA"/>
        </w:rPr>
        <w:t>, Karakatsanis et Wagner : Un arrêt des procédures pour abus de procédure n’est justifié que dans les cas les plus manifestes.  Deux types de conduite de l’État justifient un tel arrêt.  Le premier concerne la conduite qui compromet l’équité du procès d’un accusé (la catégorie « principale »).  Le second concerne la conduite qui ne présente aucune menace pour l’équité du procès, mais risque de miner l’intégrité du processus judiciaire (la catégorie « résiduelle »).  Le test servant à déterminer si l’arrêt des procédures est justifié est le même pour les deux catégories et comporte trois exigences : (1) il doit y avoir une atteinte au droit de l’accusé à un procès équitable ou à l’intégrité du système de justice qui sera révélée, perpétuée ou aggravée par le déroulement du procès ou par son issue, (2) il ne doit y avoir aucune autre réparation susceptible de corriger l’atteinte et (3), s’il subsiste une incertitude quant à l’opportunité de l’arrêt des procédures à l’issue des deux premières étapes, le tribunal doit mettre en balance les intérêts militant en faveur de cet arrêt, d’une part, et l’intérêt que représente pour la société un jugement définitif statuant sur le fond, d’autre part.</w:t>
      </w:r>
    </w:p>
    <w:p w:rsidR="005022D8" w:rsidRDefault="005022D8" w:rsidP="005022D8">
      <w:pPr>
        <w:pStyle w:val="SCCNormalDoubleSpacing"/>
        <w:spacing w:line="240" w:lineRule="auto"/>
        <w:rPr>
          <w:sz w:val="20"/>
          <w:lang w:val="fr-CA"/>
        </w:rPr>
      </w:pPr>
    </w:p>
    <w:p w:rsidR="005022D8" w:rsidRPr="00C04D51" w:rsidRDefault="005022D8" w:rsidP="005022D8">
      <w:pPr>
        <w:pStyle w:val="SCCNormalDoubleSpacing"/>
        <w:spacing w:line="240" w:lineRule="auto"/>
        <w:rPr>
          <w:sz w:val="20"/>
          <w:lang w:val="fr-CA"/>
        </w:rPr>
      </w:pPr>
      <w:r w:rsidRPr="00C04D51">
        <w:rPr>
          <w:sz w:val="20"/>
          <w:lang w:val="fr-CA"/>
        </w:rPr>
        <w:tab/>
        <w:t>Lorsque c’est la catégorie résiduelle qui est invoquée, il est satisfait à la première étape du test s’il est établi que l’État a adopté une conduite choquant le sens du franc</w:t>
      </w:r>
      <w:r w:rsidRPr="00C04D51">
        <w:rPr>
          <w:sz w:val="20"/>
          <w:lang w:val="fr-CA"/>
        </w:rPr>
        <w:noBreakHyphen/>
        <w:t>jeu et de la décence de la société et que la tenue d’un procès malgré cette conduite serait préjudiciable à l’intégrité du système de justice.  À la deuxième étape du test, l’accent est plutôt mis sur la question de savoir si une autre réparation, moindre que l’arrêt des procédures, permettra au système de justice de se dissocier suffisamment à l’avenir de la conduite reprochée à l’État.  Finalement, le tribunal est appelé à décider quelle des deux solutions suivantes assure le mieux l’intégrité du système de justice : l’arrêt des procédures ou la tenue d’un procès en dépit de la conduite contestée.  Cette analyse suppose nécessairement une mise en balance.  Le tribunal doit prendre en compte des éléments comme la nature et la gravité de la conduite reprochée — que celle</w:t>
      </w:r>
      <w:r w:rsidRPr="00C04D51">
        <w:rPr>
          <w:sz w:val="20"/>
          <w:lang w:val="fr-CA"/>
        </w:rPr>
        <w:noBreakHyphen/>
        <w:t xml:space="preserve">ci soit un cas isolé ou la manifestation d’un problème systémique et persistant —, la situation de l’accusé, les accusations auxquelles il doit répondre et l’intérêt de la société à ce que les accusations soient jugées au fond. </w:t>
      </w:r>
    </w:p>
    <w:p w:rsidR="005022D8" w:rsidRDefault="005022D8" w:rsidP="005022D8">
      <w:pPr>
        <w:pStyle w:val="SCCNormalDoubleSpacing"/>
        <w:spacing w:line="240" w:lineRule="auto"/>
        <w:rPr>
          <w:sz w:val="20"/>
          <w:lang w:val="fr-CA"/>
        </w:rPr>
      </w:pPr>
    </w:p>
    <w:p w:rsidR="005022D8" w:rsidRPr="00C04D51" w:rsidRDefault="005022D8" w:rsidP="005022D8">
      <w:pPr>
        <w:pStyle w:val="SCCNormalDoubleSpacing"/>
        <w:spacing w:line="240" w:lineRule="auto"/>
        <w:rPr>
          <w:sz w:val="20"/>
          <w:lang w:val="fr-CA"/>
        </w:rPr>
      </w:pPr>
      <w:r w:rsidRPr="00C04D51">
        <w:rPr>
          <w:sz w:val="20"/>
          <w:lang w:val="fr-CA"/>
        </w:rPr>
        <w:tab/>
        <w:t xml:space="preserve">En l’instance, les trois actes répréhensibles de l’État en cause sont manifestement de ceux qui entrent dans la catégorie résiduelle.  Le juge du procès a commis des erreurs dans l’appréciation des trois actes répréhensibles et en concluant qu’il était justifié d’ordonner l’arrêt des procédures.  Quant au dossier médical, le juge du procès a commis </w:t>
      </w:r>
      <w:r w:rsidRPr="00C04D51">
        <w:rPr>
          <w:sz w:val="20"/>
          <w:lang w:val="fr-CA"/>
        </w:rPr>
        <w:lastRenderedPageBreak/>
        <w:t xml:space="preserve">une erreur manifeste et dominante en concluant que la conduite du ministère public avait miné l’intégrité du système de justice.  Pour ce qui est de la collusion policière, abstraction faite de sa portée limitée, le juge du procès n’a pas tenu compte du fait qu’une autre réparation, soit l’exclusion de l’arme à feu à l’égard des deux accusés, aurait contré toute menace que la collusion policière représentait pour l’intégrité du système de justice.  En ce qui concerne les menaces proférées par la substitut du procureur général, bien qu’elles aient été répréhensibles et ne doivent pas se reproduire, le juge du procès a omis de tenir compte du fait qu’elles avaient été faites plus d’un an avant l’ouverture du procès, et que les accusés n’ont pris aucune mesure durant plus d’un an avant de s’en plaindre.  Ces facteurs jettent un éclairage sur le niveau de gravité attribué par la défense à ces menaces.  Le juge du procès a aussi omis de tenir compte du fait que la substitut du procureur général qui a proféré les menaces avait cessé d’occuper dans le dossier des mois avant le début du procès.  En outre, les juges du procès a omis de mettre en balance la nécessité de l’arrêt des procédures, d’une part, et l’intérêt de la société à ce qu’un procès soit jugé sur le fond, d’autre part.  Lorsque la conduite répréhensible attaquée est soupesée par rapport à l’intérêt pour la société à ce qu’un procès soit tenu, il ne s’agit pas de l’un des cas les plus manifestes où la réparation exceptionnelle que constitue l’arrêt des procédures est justifiée. </w:t>
      </w:r>
    </w:p>
    <w:p w:rsidR="005022D8" w:rsidRDefault="005022D8" w:rsidP="005022D8">
      <w:pPr>
        <w:pStyle w:val="SCCNormalDoubleSpacing"/>
        <w:spacing w:line="240" w:lineRule="auto"/>
        <w:rPr>
          <w:sz w:val="20"/>
          <w:lang w:val="fr-CA"/>
        </w:rPr>
      </w:pPr>
    </w:p>
    <w:p w:rsidR="005022D8" w:rsidRPr="00C04D51" w:rsidRDefault="005022D8" w:rsidP="005022D8">
      <w:pPr>
        <w:pStyle w:val="SCCNormalDoubleSpacing"/>
        <w:spacing w:line="240" w:lineRule="auto"/>
        <w:rPr>
          <w:sz w:val="20"/>
          <w:lang w:val="fr-CA"/>
        </w:rPr>
      </w:pPr>
      <w:r w:rsidRPr="00C04D51">
        <w:rPr>
          <w:sz w:val="20"/>
          <w:lang w:val="fr-CA"/>
        </w:rPr>
        <w:tab/>
      </w:r>
      <w:r w:rsidRPr="00C04D51">
        <w:rPr>
          <w:i/>
          <w:sz w:val="20"/>
          <w:lang w:val="fr-CA"/>
        </w:rPr>
        <w:t xml:space="preserve">La juge </w:t>
      </w:r>
      <w:r w:rsidRPr="00C04D51">
        <w:rPr>
          <w:sz w:val="20"/>
          <w:lang w:val="fr-CA"/>
        </w:rPr>
        <w:t>Abella (dissidente) : L’arrêt des procédures peut être ordonné lorsque la conduite de l’État est si profondément et disproportionnellement incompatible avec ce qu’exige, aux yeux du public, un système de justice équitable, que la tenue d’un procès revient à tolérer une conduite impardonnable.  Le substitut du procureur général qui profère des menaces dans le but d’intimider l’accusé pour qu’il renonce à son droit à un procès porte un coup fatal au cœur de la confiance du public dans cette intégrité.</w:t>
      </w:r>
    </w:p>
    <w:p w:rsidR="005022D8" w:rsidRDefault="005022D8" w:rsidP="005022D8">
      <w:pPr>
        <w:pStyle w:val="SCCNormalDoubleSpacing"/>
        <w:spacing w:line="240" w:lineRule="auto"/>
        <w:rPr>
          <w:sz w:val="20"/>
          <w:lang w:val="fr-CA"/>
        </w:rPr>
      </w:pPr>
    </w:p>
    <w:p w:rsidR="005022D8" w:rsidRPr="00C04D51" w:rsidRDefault="005022D8" w:rsidP="005022D8">
      <w:pPr>
        <w:pStyle w:val="SCCNormalDoubleSpacing"/>
        <w:spacing w:line="240" w:lineRule="auto"/>
        <w:rPr>
          <w:sz w:val="20"/>
          <w:lang w:val="fr-CA"/>
        </w:rPr>
      </w:pPr>
      <w:r w:rsidRPr="00C04D51">
        <w:rPr>
          <w:sz w:val="20"/>
          <w:lang w:val="fr-CA"/>
        </w:rPr>
        <w:tab/>
        <w:t>Le caractère injustifiable de la conduite du ministère public en l’espèce n’a pas été atténué par le temps qui s’est écoulé entre la prolifération des menaces et la tenue du procès.  Le temps n’est pas une réparation prévue par la loi en cas de manquement fondamental à la fonction du ministère public et il n’a pas pour effet d’atténuer ce qui constitue une conduite impardonnable.  C’est la profération des menaces en tant que telle qui était déterminante, et non le moment où elles ont été proférées.</w:t>
      </w:r>
    </w:p>
    <w:p w:rsidR="005022D8" w:rsidRDefault="005022D8" w:rsidP="005022D8">
      <w:pPr>
        <w:pStyle w:val="SCCNormalDoubleSpacing"/>
        <w:spacing w:line="240" w:lineRule="auto"/>
        <w:rPr>
          <w:sz w:val="20"/>
          <w:lang w:val="fr-CA"/>
        </w:rPr>
      </w:pPr>
    </w:p>
    <w:p w:rsidR="005022D8" w:rsidRDefault="005022D8" w:rsidP="005022D8">
      <w:pPr>
        <w:pStyle w:val="SCCNormalDoubleSpacing"/>
        <w:spacing w:line="240" w:lineRule="auto"/>
        <w:rPr>
          <w:sz w:val="20"/>
          <w:lang w:val="fr-CA"/>
        </w:rPr>
      </w:pPr>
      <w:r w:rsidRPr="00C04D51">
        <w:rPr>
          <w:sz w:val="20"/>
          <w:lang w:val="fr-CA"/>
        </w:rPr>
        <w:tab/>
        <w:t>En outre, une mise en balance en plus de l’examen préalable ne s’imposait pas en l’espèce.  Le juge du procès a conclu sans équivoque que l’abus justifiait l’arrêt des procédures et on ne retrouvait aucunement dans la présente affaire l’incertitude quant au bien</w:t>
      </w:r>
      <w:r w:rsidRPr="00C04D51">
        <w:rPr>
          <w:sz w:val="20"/>
          <w:lang w:val="fr-CA"/>
        </w:rPr>
        <w:noBreakHyphen/>
        <w:t>fondé de l’arrêt des procédures qui constitue une condition préalable au besoin de procéder à une mise en balance.  Lorsque le juge du procès conclut à l’impossibilité de tolérer la conduite en question parce qu’elle choque aussi profondément le sens de la justice du public, il est conceptuellement illogique de demander au tribunal d’affaiblir sa propre conclusion en pesant de nouveau le côté de la balance où se trouve l’intérêt du public dans la tenue d’un procès sur le fond.  Le public a non seulement intérêt à ce qu’il y ait des procès sur le fond, il a aussi bien davantage intérêt à savoir que l’État privilégie l’équité aux dépens de la célérité lorsqu’il participe à des procédures, notamment celles susceptibles d’entraîner la perte de liberté.  La justice ne se limite pas aux résultats, elle s’étend aussi à la manière de les atteindre.  Lorsqu’un substitut du procureur général menace l’accusé de porter d’autres accusations contre lui s’il n’avoue pas sa culpabilité, l’intérêt du public dans l’issue d’un procès doit céder le pas à l’intérêt transcendant d’assurer la confiance du public dans l’intégrité du système de justice.</w:t>
      </w:r>
    </w:p>
    <w:p w:rsidR="005022D8" w:rsidRDefault="005022D8" w:rsidP="005022D8">
      <w:pPr>
        <w:pStyle w:val="SCCNormalDoubleSpacing"/>
        <w:spacing w:line="240" w:lineRule="auto"/>
        <w:rPr>
          <w:sz w:val="20"/>
          <w:lang w:val="fr-CA"/>
        </w:rPr>
      </w:pPr>
    </w:p>
    <w:p w:rsidR="005022D8" w:rsidRPr="00C04D51" w:rsidRDefault="005022D8" w:rsidP="005022D8">
      <w:pPr>
        <w:pStyle w:val="SCCNormalDoubleSpacing"/>
        <w:spacing w:line="240" w:lineRule="auto"/>
        <w:rPr>
          <w:sz w:val="20"/>
          <w:lang w:val="fr-CA"/>
        </w:rPr>
      </w:pPr>
      <w:r w:rsidRPr="00C04D51">
        <w:rPr>
          <w:sz w:val="20"/>
          <w:lang w:val="fr-CA"/>
        </w:rPr>
        <w:tab/>
        <w:t>POURVOIS contre un arrêt de la Cour d’appel du Québec (la juge en chef Duval Hesler et les juges Chamberland et Doyon), 2012 QCCA 471, [2012] J.Q. n</w:t>
      </w:r>
      <w:r w:rsidRPr="00C04D51">
        <w:rPr>
          <w:sz w:val="20"/>
          <w:vertAlign w:val="superscript"/>
          <w:lang w:val="fr-CA"/>
        </w:rPr>
        <w:t>o</w:t>
      </w:r>
      <w:r w:rsidRPr="00C04D51">
        <w:rPr>
          <w:sz w:val="20"/>
          <w:lang w:val="fr-CA"/>
        </w:rPr>
        <w:t> 2107 (QL), 2012 CarswellQue 1987, SOQUIJ AZ</w:t>
      </w:r>
      <w:r w:rsidRPr="00C04D51">
        <w:rPr>
          <w:sz w:val="20"/>
          <w:lang w:val="fr-CA"/>
        </w:rPr>
        <w:noBreakHyphen/>
        <w:t>50839397, qui a annulé l’arrêt des procédures ordonné par le juge Garneau et ordonné la tenue d’un nouveau procès, 2008 QCCQ 11373, [2008] J.Q. n</w:t>
      </w:r>
      <w:r w:rsidRPr="00C04D51">
        <w:rPr>
          <w:sz w:val="20"/>
          <w:vertAlign w:val="superscript"/>
          <w:lang w:val="fr-CA"/>
        </w:rPr>
        <w:t>o</w:t>
      </w:r>
      <w:r w:rsidRPr="00C04D51">
        <w:rPr>
          <w:sz w:val="20"/>
          <w:lang w:val="fr-CA"/>
        </w:rPr>
        <w:t> 12838 (QL), 2008 CarswellQue 12200, SOQUIZ AZ</w:t>
      </w:r>
      <w:r w:rsidRPr="00C04D51">
        <w:rPr>
          <w:sz w:val="20"/>
          <w:lang w:val="fr-CA"/>
        </w:rPr>
        <w:noBreakHyphen/>
        <w:t>50525272 (</w:t>
      </w:r>
      <w:r w:rsidRPr="00C04D51">
        <w:rPr>
          <w:i/>
          <w:sz w:val="20"/>
          <w:lang w:val="fr-CA"/>
        </w:rPr>
        <w:t>sub nom. R. c. Piccirilli</w:t>
      </w:r>
      <w:r w:rsidRPr="00C04D51">
        <w:rPr>
          <w:sz w:val="20"/>
          <w:lang w:val="fr-CA"/>
        </w:rPr>
        <w:t xml:space="preserve">).  Pourvois rejetés, la juge Abella est dissidente. </w:t>
      </w:r>
    </w:p>
    <w:p w:rsidR="005022D8" w:rsidRDefault="005022D8" w:rsidP="005022D8">
      <w:pPr>
        <w:pStyle w:val="SCCNormalDoubleSpacing"/>
        <w:spacing w:line="240" w:lineRule="auto"/>
        <w:rPr>
          <w:i/>
          <w:sz w:val="20"/>
          <w:lang w:val="fr-CA"/>
        </w:rPr>
      </w:pPr>
    </w:p>
    <w:p w:rsidR="005022D8" w:rsidRPr="00C04D51" w:rsidRDefault="005022D8" w:rsidP="005022D8">
      <w:pPr>
        <w:pStyle w:val="SCCNormalDoubleSpacing"/>
        <w:spacing w:line="240" w:lineRule="auto"/>
        <w:rPr>
          <w:sz w:val="20"/>
          <w:lang w:val="fr-CA"/>
        </w:rPr>
      </w:pPr>
      <w:r w:rsidRPr="00C04D51">
        <w:rPr>
          <w:i/>
          <w:sz w:val="20"/>
          <w:lang w:val="fr-CA"/>
        </w:rPr>
        <w:tab/>
        <w:t>Franco Schiro</w:t>
      </w:r>
      <w:r w:rsidRPr="00C04D51">
        <w:rPr>
          <w:sz w:val="20"/>
          <w:lang w:val="fr-CA"/>
        </w:rPr>
        <w:t xml:space="preserve"> et </w:t>
      </w:r>
      <w:r w:rsidRPr="00C04D51">
        <w:rPr>
          <w:i/>
          <w:sz w:val="20"/>
          <w:lang w:val="fr-CA"/>
        </w:rPr>
        <w:t>Xuan Trung Nguyen</w:t>
      </w:r>
      <w:r w:rsidRPr="00C04D51">
        <w:rPr>
          <w:sz w:val="20"/>
          <w:lang w:val="fr-CA"/>
        </w:rPr>
        <w:t>, pour l’appelant Antal Babos.</w:t>
      </w:r>
    </w:p>
    <w:p w:rsidR="005022D8" w:rsidRDefault="005022D8" w:rsidP="005022D8">
      <w:pPr>
        <w:pStyle w:val="SCCNormalDoubleSpacing"/>
        <w:spacing w:line="240" w:lineRule="auto"/>
        <w:rPr>
          <w:i/>
          <w:sz w:val="20"/>
          <w:lang w:val="fr-CA"/>
        </w:rPr>
      </w:pPr>
    </w:p>
    <w:p w:rsidR="005022D8" w:rsidRPr="00C04D51" w:rsidRDefault="005022D8" w:rsidP="005022D8">
      <w:pPr>
        <w:pStyle w:val="SCCNormalDoubleSpacing"/>
        <w:spacing w:line="240" w:lineRule="auto"/>
        <w:rPr>
          <w:sz w:val="20"/>
          <w:lang w:val="fr-CA"/>
        </w:rPr>
      </w:pPr>
      <w:r w:rsidRPr="00C04D51">
        <w:rPr>
          <w:i/>
          <w:sz w:val="20"/>
          <w:lang w:val="fr-CA"/>
        </w:rPr>
        <w:tab/>
        <w:t>Guylaine Tardif, Jean</w:t>
      </w:r>
      <w:r w:rsidRPr="00C04D51">
        <w:rPr>
          <w:i/>
          <w:sz w:val="20"/>
          <w:lang w:val="fr-CA"/>
        </w:rPr>
        <w:noBreakHyphen/>
        <w:t>Pierre Pilon</w:t>
      </w:r>
      <w:r w:rsidRPr="00C04D51">
        <w:rPr>
          <w:sz w:val="20"/>
          <w:lang w:val="fr-CA"/>
        </w:rPr>
        <w:t xml:space="preserve"> et </w:t>
      </w:r>
      <w:r w:rsidRPr="00C04D51">
        <w:rPr>
          <w:i/>
          <w:sz w:val="20"/>
          <w:lang w:val="fr-CA"/>
        </w:rPr>
        <w:t>Maxime Wilkins</w:t>
      </w:r>
      <w:r w:rsidRPr="00C04D51">
        <w:rPr>
          <w:sz w:val="20"/>
          <w:lang w:val="fr-CA"/>
        </w:rPr>
        <w:t>, pour l’appelant Sergio Piccirilli.</w:t>
      </w:r>
    </w:p>
    <w:p w:rsidR="005022D8" w:rsidRDefault="005022D8" w:rsidP="005022D8">
      <w:pPr>
        <w:pStyle w:val="SCCNormalDoubleSpacing"/>
        <w:spacing w:line="240" w:lineRule="auto"/>
        <w:rPr>
          <w:i/>
          <w:sz w:val="20"/>
          <w:lang w:val="fr-CA"/>
        </w:rPr>
      </w:pPr>
    </w:p>
    <w:p w:rsidR="005022D8" w:rsidRPr="00C04D51" w:rsidRDefault="005022D8" w:rsidP="005022D8">
      <w:pPr>
        <w:pStyle w:val="SCCNormalDoubleSpacing"/>
        <w:spacing w:line="240" w:lineRule="auto"/>
        <w:rPr>
          <w:sz w:val="20"/>
          <w:lang w:val="fr-CA"/>
        </w:rPr>
      </w:pPr>
      <w:r w:rsidRPr="00C04D51">
        <w:rPr>
          <w:i/>
          <w:sz w:val="20"/>
          <w:lang w:val="fr-CA"/>
        </w:rPr>
        <w:tab/>
        <w:t>Gilles Villeneuve</w:t>
      </w:r>
      <w:r w:rsidRPr="00C04D51">
        <w:rPr>
          <w:sz w:val="20"/>
          <w:lang w:val="fr-CA"/>
        </w:rPr>
        <w:t xml:space="preserve"> et </w:t>
      </w:r>
      <w:r w:rsidRPr="00C04D51">
        <w:rPr>
          <w:i/>
          <w:sz w:val="20"/>
          <w:lang w:val="fr-CA"/>
        </w:rPr>
        <w:t>François Lacasse</w:t>
      </w:r>
      <w:r w:rsidRPr="00C04D51">
        <w:rPr>
          <w:sz w:val="20"/>
          <w:lang w:val="fr-CA"/>
        </w:rPr>
        <w:t>, pour l’intimée.</w:t>
      </w:r>
    </w:p>
    <w:p w:rsidR="005022D8" w:rsidRDefault="005022D8" w:rsidP="005022D8">
      <w:pPr>
        <w:pStyle w:val="SCCLawFirm"/>
        <w:spacing w:line="240" w:lineRule="auto"/>
        <w:rPr>
          <w:sz w:val="20"/>
          <w:lang w:val="fr-CA"/>
        </w:rPr>
      </w:pPr>
    </w:p>
    <w:p w:rsidR="005022D8" w:rsidRPr="00C04D51" w:rsidRDefault="005022D8" w:rsidP="005022D8">
      <w:pPr>
        <w:pStyle w:val="SCCLawFirm"/>
        <w:spacing w:line="240" w:lineRule="auto"/>
        <w:rPr>
          <w:sz w:val="20"/>
          <w:lang w:val="fr-CA"/>
        </w:rPr>
      </w:pPr>
      <w:r w:rsidRPr="00C04D51">
        <w:rPr>
          <w:sz w:val="20"/>
          <w:lang w:val="fr-CA"/>
        </w:rPr>
        <w:tab/>
        <w:t>Procureurs de l’appelant Antal Babos : Étude Légale Franco Schiro, Montréal.</w:t>
      </w:r>
    </w:p>
    <w:p w:rsidR="005022D8" w:rsidRDefault="005022D8" w:rsidP="005022D8">
      <w:pPr>
        <w:pStyle w:val="SCCLawFirm"/>
        <w:spacing w:line="240" w:lineRule="auto"/>
        <w:rPr>
          <w:sz w:val="20"/>
          <w:lang w:val="fr-CA"/>
        </w:rPr>
      </w:pPr>
    </w:p>
    <w:p w:rsidR="005022D8" w:rsidRDefault="005022D8">
      <w:pPr>
        <w:rPr>
          <w:rFonts w:eastAsia="Times New Roman" w:cs="Times New Roman"/>
          <w:i/>
          <w:sz w:val="20"/>
          <w:szCs w:val="20"/>
          <w:lang w:val="fr-CA" w:eastAsia="en-CA"/>
        </w:rPr>
      </w:pPr>
      <w:r>
        <w:rPr>
          <w:sz w:val="20"/>
          <w:lang w:val="fr-CA"/>
        </w:rPr>
        <w:br w:type="page"/>
      </w:r>
    </w:p>
    <w:p w:rsidR="005022D8" w:rsidRDefault="005022D8" w:rsidP="005022D8">
      <w:pPr>
        <w:pStyle w:val="SCCLawFirm"/>
        <w:spacing w:line="240" w:lineRule="auto"/>
        <w:rPr>
          <w:sz w:val="20"/>
          <w:lang w:val="fr-CA"/>
        </w:rPr>
      </w:pPr>
      <w:r w:rsidRPr="00C04D51">
        <w:rPr>
          <w:sz w:val="20"/>
          <w:lang w:val="fr-CA"/>
        </w:rPr>
        <w:lastRenderedPageBreak/>
        <w:tab/>
        <w:t>Procureurs de l’appelant Sergio Piccirilli : Pilon &amp; Associés, Montréal.</w:t>
      </w:r>
    </w:p>
    <w:p w:rsidR="005022D8" w:rsidRPr="005022D8" w:rsidRDefault="005022D8" w:rsidP="005022D8">
      <w:pPr>
        <w:pStyle w:val="SCCNormalDoubleSpacing"/>
        <w:spacing w:line="240" w:lineRule="auto"/>
        <w:rPr>
          <w:lang w:val="fr-CA"/>
        </w:rPr>
      </w:pPr>
    </w:p>
    <w:p w:rsidR="005022D8" w:rsidRDefault="005022D8" w:rsidP="005022D8">
      <w:pPr>
        <w:pStyle w:val="SCCLawFirm"/>
        <w:spacing w:line="240" w:lineRule="auto"/>
        <w:rPr>
          <w:sz w:val="20"/>
          <w:lang w:val="fr-CA"/>
        </w:rPr>
      </w:pPr>
      <w:r w:rsidRPr="00C04D51">
        <w:rPr>
          <w:sz w:val="20"/>
          <w:lang w:val="fr-CA"/>
        </w:rPr>
        <w:tab/>
        <w:t>Procureur de l’intimée : Service des poursuites pénales du Canada, Montréal et Ottawa.</w:t>
      </w:r>
    </w:p>
    <w:p w:rsidR="00902E51" w:rsidRDefault="00902E51" w:rsidP="00902E51">
      <w:pPr>
        <w:rPr>
          <w:sz w:val="20"/>
          <w:szCs w:val="20"/>
        </w:rPr>
      </w:pPr>
      <w:r w:rsidRPr="00492DCE">
        <w:rPr>
          <w:sz w:val="20"/>
          <w:szCs w:val="20"/>
        </w:rPr>
        <w:t>________________________</w:t>
      </w:r>
    </w:p>
    <w:p w:rsidR="00902E51" w:rsidRDefault="00902E51" w:rsidP="00902E51">
      <w:pPr>
        <w:rPr>
          <w:sz w:val="20"/>
          <w:szCs w:val="20"/>
        </w:rPr>
      </w:pPr>
    </w:p>
    <w:p w:rsidR="005022D8" w:rsidRPr="00FF46F6" w:rsidRDefault="005022D8" w:rsidP="005022D8">
      <w:pPr>
        <w:jc w:val="both"/>
        <w:rPr>
          <w:sz w:val="20"/>
        </w:rPr>
      </w:pPr>
      <w:r w:rsidRPr="00FF46F6">
        <w:rPr>
          <w:sz w:val="20"/>
        </w:rPr>
        <w:t>Present:  McLachlin C.J. and LeBel, Abella, Cromwell, Moldaver, Karakatsanis and Wagner JJ.</w:t>
      </w:r>
    </w:p>
    <w:p w:rsidR="005022D8" w:rsidRDefault="005022D8" w:rsidP="005022D8">
      <w:pPr>
        <w:pStyle w:val="SCCNormalDoubleSpacing"/>
        <w:spacing w:line="240" w:lineRule="auto"/>
        <w:rPr>
          <w:sz w:val="20"/>
        </w:rPr>
      </w:pPr>
    </w:p>
    <w:p w:rsidR="005022D8" w:rsidRPr="00FF46F6" w:rsidRDefault="005022D8" w:rsidP="005022D8">
      <w:pPr>
        <w:pStyle w:val="SCCNormalDoubleSpacing"/>
        <w:spacing w:line="240" w:lineRule="auto"/>
        <w:rPr>
          <w:sz w:val="20"/>
        </w:rPr>
      </w:pPr>
      <w:r w:rsidRPr="00FF46F6">
        <w:rPr>
          <w:sz w:val="20"/>
        </w:rPr>
        <w:tab/>
      </w:r>
      <w:r w:rsidRPr="00FF46F6">
        <w:rPr>
          <w:i/>
          <w:sz w:val="20"/>
        </w:rPr>
        <w:t>Criminal law — Stay of proceedings — Abuse of process — Accused charged with offences related to firearms and importation, production and trafficking of methamphetamine — Accused alleging Crown misconduct in obtaining medical records, police collusion to mislead court, and Crown threats pressuring accused to plead guilty — Trial judge staying proceedings — Whether stay of proceedings necessary to protect integrity of justice system.</w:t>
      </w:r>
    </w:p>
    <w:p w:rsidR="005022D8" w:rsidRDefault="005022D8" w:rsidP="005022D8">
      <w:pPr>
        <w:pStyle w:val="SCCNormalDoubleSpacing"/>
        <w:spacing w:line="240" w:lineRule="auto"/>
        <w:rPr>
          <w:sz w:val="20"/>
        </w:rPr>
      </w:pPr>
    </w:p>
    <w:p w:rsidR="005022D8" w:rsidRPr="00FF46F6" w:rsidRDefault="005022D8" w:rsidP="005022D8">
      <w:pPr>
        <w:pStyle w:val="SCCNormalDoubleSpacing"/>
        <w:spacing w:line="240" w:lineRule="auto"/>
        <w:rPr>
          <w:sz w:val="20"/>
        </w:rPr>
      </w:pPr>
      <w:r w:rsidRPr="00FF46F6">
        <w:rPr>
          <w:sz w:val="20"/>
        </w:rPr>
        <w:tab/>
        <w:t>The accused were charged with numerous firearms offences, as well as offences related to the importation, production and trafficking of methamphetamine.  During the course of the trial, the accused brought an application to stay the proceedings for abuse of process.  They took issue with three forms of state misconduct: attempts by the Crown to intimidate them into foregoing their right to a trial by threatening them with additional charges should they choose to plead not guilty, collusion on the part of two police officers to mislead the court about the seizure of a firearm, and improper means used by the Crown in obtaining the medical records of one of the accused.  The trial judge stayed the proceedings.  The Court of Appeal set aside the stay and ordered a new trial.</w:t>
      </w:r>
    </w:p>
    <w:p w:rsidR="005022D8" w:rsidRDefault="005022D8" w:rsidP="005022D8">
      <w:pPr>
        <w:pStyle w:val="SCCNormalDoubleSpacing"/>
        <w:spacing w:line="240" w:lineRule="auto"/>
        <w:rPr>
          <w:sz w:val="20"/>
        </w:rPr>
      </w:pPr>
    </w:p>
    <w:p w:rsidR="005022D8" w:rsidRPr="00FF46F6" w:rsidRDefault="005022D8" w:rsidP="005022D8">
      <w:pPr>
        <w:pStyle w:val="SCCNormalDoubleSpacing"/>
        <w:spacing w:line="240" w:lineRule="auto"/>
        <w:rPr>
          <w:sz w:val="20"/>
        </w:rPr>
      </w:pPr>
      <w:r w:rsidRPr="00FF46F6">
        <w:rPr>
          <w:sz w:val="20"/>
        </w:rPr>
        <w:tab/>
      </w:r>
      <w:r w:rsidRPr="00FF46F6">
        <w:rPr>
          <w:i/>
          <w:iCs/>
          <w:sz w:val="20"/>
        </w:rPr>
        <w:t xml:space="preserve">Held </w:t>
      </w:r>
      <w:r w:rsidRPr="00FF46F6">
        <w:rPr>
          <w:iCs/>
          <w:sz w:val="20"/>
        </w:rPr>
        <w:t>(Abella J. dissenting):</w:t>
      </w:r>
      <w:r w:rsidRPr="00FF46F6">
        <w:rPr>
          <w:sz w:val="20"/>
        </w:rPr>
        <w:t xml:space="preserve">  The appeals should be dismissed.</w:t>
      </w:r>
    </w:p>
    <w:p w:rsidR="005022D8" w:rsidRDefault="005022D8" w:rsidP="005022D8">
      <w:pPr>
        <w:pStyle w:val="SCCNormalDoubleSpacing"/>
        <w:spacing w:line="240" w:lineRule="auto"/>
        <w:rPr>
          <w:sz w:val="20"/>
        </w:rPr>
      </w:pPr>
    </w:p>
    <w:p w:rsidR="005022D8" w:rsidRPr="00FF46F6" w:rsidRDefault="005022D8" w:rsidP="005022D8">
      <w:pPr>
        <w:pStyle w:val="SCCNormalDoubleSpacing"/>
        <w:spacing w:line="240" w:lineRule="auto"/>
        <w:rPr>
          <w:sz w:val="20"/>
        </w:rPr>
      </w:pPr>
      <w:r w:rsidRPr="00FF46F6">
        <w:rPr>
          <w:sz w:val="20"/>
        </w:rPr>
        <w:tab/>
      </w:r>
      <w:r w:rsidRPr="00FF46F6">
        <w:rPr>
          <w:i/>
          <w:sz w:val="20"/>
        </w:rPr>
        <w:t xml:space="preserve">Per </w:t>
      </w:r>
      <w:r w:rsidRPr="00FF46F6">
        <w:rPr>
          <w:sz w:val="20"/>
        </w:rPr>
        <w:t xml:space="preserve">McLachlin C.J. and LeBel, Cromwell, </w:t>
      </w:r>
      <w:r w:rsidRPr="00FF46F6">
        <w:rPr>
          <w:b/>
          <w:sz w:val="20"/>
        </w:rPr>
        <w:t>Moldaver</w:t>
      </w:r>
      <w:r w:rsidRPr="00FF46F6">
        <w:rPr>
          <w:sz w:val="20"/>
        </w:rPr>
        <w:t xml:space="preserve">, Karakatsanis and Wagner JJ.:  A stay of proceedings for an abuse of process will only be warranted in the clearest of cases.  Two types of state conduct may warrant a stay.  The first is conduct that compromises the fairness of an accused’s trial (the “main category”).  The second is conduct that does not threaten trial fairness but risks undermining the integrity of the judicial process (the “residual” category).  The test for determining whether a stay of proceedings is warranted is the same for both categories and consists of three requirements:  (1) there must be prejudice to the accused’s right to a fair trial or to the integrity of the justice system that will be manifested, perpetuated or aggravated through the conduct of the trial, or by its outcome, (2) there must be no alternative remedy capable of redressing the prejudice, and (3) where there is still uncertainty over whether a stay is warranted after steps 1 and 2, the court must balance the interests in favour of granting a stay against the interest that society has in having a final decision on the merits.  </w:t>
      </w:r>
    </w:p>
    <w:p w:rsidR="005022D8" w:rsidRDefault="005022D8" w:rsidP="005022D8">
      <w:pPr>
        <w:pStyle w:val="SCCNormalDoubleSpacing"/>
        <w:spacing w:line="240" w:lineRule="auto"/>
        <w:rPr>
          <w:sz w:val="20"/>
        </w:rPr>
      </w:pPr>
    </w:p>
    <w:p w:rsidR="005022D8" w:rsidRPr="00FF46F6" w:rsidRDefault="005022D8" w:rsidP="005022D8">
      <w:pPr>
        <w:pStyle w:val="SCCNormalDoubleSpacing"/>
        <w:spacing w:line="240" w:lineRule="auto"/>
        <w:rPr>
          <w:sz w:val="20"/>
        </w:rPr>
      </w:pPr>
      <w:r w:rsidRPr="00FF46F6">
        <w:rPr>
          <w:sz w:val="20"/>
        </w:rPr>
        <w:tab/>
        <w:t xml:space="preserve">When the residual category is invoked, the first stage of the test is met when it is established that the state has engaged in conduct that is offensive to societal notions of fair play and decency, and that proceeding with a trial in the face of that conduct would be harmful to the integrity of the justice system.  At the second stage of the test, the focus is on whether an alternate remedy short of a stay of proceedings will adequately dissociate the justice system from the impugned state conduct going forward.  Finally, the court must decide whether staying the proceedings or having a trial despite the impugned conduct better protects the integrity of the justice system.  This inquiry necessarily demands balancing.  The court must consider such things as the nature and seriousness of the impugned conduct, whether the conduct is isolated or reflects a systemic and ongoing problem, the circumstances of the accused, the charges he or she faces, and the interests of society in having the charges disposed of on the merits.  </w:t>
      </w:r>
    </w:p>
    <w:p w:rsidR="005022D8" w:rsidRDefault="005022D8" w:rsidP="005022D8">
      <w:pPr>
        <w:pStyle w:val="SCCNormalDoubleSpacing"/>
        <w:spacing w:line="240" w:lineRule="auto"/>
        <w:rPr>
          <w:sz w:val="20"/>
        </w:rPr>
      </w:pPr>
    </w:p>
    <w:p w:rsidR="005022D8" w:rsidRPr="00FF46F6" w:rsidRDefault="005022D8" w:rsidP="005022D8">
      <w:pPr>
        <w:pStyle w:val="SCCNormalDoubleSpacing"/>
        <w:spacing w:line="240" w:lineRule="auto"/>
        <w:rPr>
          <w:sz w:val="20"/>
        </w:rPr>
      </w:pPr>
      <w:r w:rsidRPr="00FF46F6">
        <w:rPr>
          <w:sz w:val="20"/>
        </w:rPr>
        <w:tab/>
        <w:t xml:space="preserve">In the instant case, the three forms of state misconduct that are at issue fall squarely within the residual category.  The trial judge erred in his assessment of the impugned misconduct and in concluding that a stay of proceedings was warranted.  As regards the medical records, the trial judge made a palpable and overriding error in finding that the Crown’s conduct occasioned prejudice to the integrity of the justice system.  With respect to the police collusion, apart from its limited extent, the trial judge failed to consider the existence of another remedy that would have overcome the threat posed to the integrity of the justice system — namely, excluding the firearm from evidence in respect of both accused.  As for the threats made by the Crown, while they were reprehensible and should not be repeated, the trial judge failed to consider that they were made more than a year before the trial began, and that the accused took no steps for over a year to address the Crown’s conduct.  These factors shed light on how seriously the accused took the threats.  The trial judge also failed to consider that the Crown prosecutor who made the threats was removed from the case months before the trial started.  Moreover, the trial judge failed to balance the need for a stay </w:t>
      </w:r>
      <w:r w:rsidRPr="00FF46F6">
        <w:rPr>
          <w:sz w:val="20"/>
        </w:rPr>
        <w:lastRenderedPageBreak/>
        <w:t xml:space="preserve">against society’s interest in a trial on the merits.  When the impugned misconduct is weighed against society’s interest in a trial, this is not one of the clearest of cases where the exceptional remedy of a stay of proceedings is warranted. </w:t>
      </w:r>
    </w:p>
    <w:p w:rsidR="005022D8" w:rsidRDefault="005022D8" w:rsidP="005022D8">
      <w:pPr>
        <w:pStyle w:val="SCCNormalDoubleSpacing"/>
        <w:spacing w:line="240" w:lineRule="auto"/>
        <w:rPr>
          <w:sz w:val="20"/>
        </w:rPr>
      </w:pPr>
    </w:p>
    <w:p w:rsidR="005022D8" w:rsidRPr="00FF46F6" w:rsidRDefault="005022D8" w:rsidP="005022D8">
      <w:pPr>
        <w:pStyle w:val="SCCNormalDoubleSpacing"/>
        <w:spacing w:line="240" w:lineRule="auto"/>
        <w:rPr>
          <w:sz w:val="20"/>
        </w:rPr>
      </w:pPr>
      <w:r w:rsidRPr="00FF46F6">
        <w:rPr>
          <w:sz w:val="20"/>
        </w:rPr>
        <w:tab/>
      </w:r>
      <w:r w:rsidRPr="00FF46F6">
        <w:rPr>
          <w:i/>
          <w:sz w:val="20"/>
        </w:rPr>
        <w:t>Per</w:t>
      </w:r>
      <w:r w:rsidRPr="00FF46F6">
        <w:rPr>
          <w:sz w:val="20"/>
        </w:rPr>
        <w:t xml:space="preserve"> Abella J. (dissenting):  A stay of proceedings may be imposed when the state conduct is so profoundly and disproportionately inconsistent with the public perception of what a fair justice system requires, that proceeding with a trial means condoning unforgiveable conduct.  A Crown who makes threats intended to bully an accused into foregoing his or her right to a trial, takes fatal aim at the heart of the public’s confidence in that integrity.</w:t>
      </w:r>
    </w:p>
    <w:p w:rsidR="005022D8" w:rsidRDefault="005022D8" w:rsidP="005022D8">
      <w:pPr>
        <w:pStyle w:val="SCCNormalDoubleSpacing"/>
        <w:spacing w:line="240" w:lineRule="auto"/>
        <w:rPr>
          <w:sz w:val="20"/>
        </w:rPr>
      </w:pPr>
    </w:p>
    <w:p w:rsidR="005022D8" w:rsidRPr="00FF46F6" w:rsidRDefault="005022D8" w:rsidP="005022D8">
      <w:pPr>
        <w:pStyle w:val="SCCNormalDoubleSpacing"/>
        <w:spacing w:line="240" w:lineRule="auto"/>
        <w:rPr>
          <w:sz w:val="20"/>
        </w:rPr>
      </w:pPr>
      <w:r w:rsidRPr="00FF46F6">
        <w:rPr>
          <w:sz w:val="20"/>
        </w:rPr>
        <w:tab/>
        <w:t xml:space="preserve">The unjustifiable nature of the Crown’s conduct in this case was not mitigated by the length of time between the threats and the trial.  Time is not a legal remedy for a fundamental breach of the Crown’s role and the passage of time does not attenuate her unpardonable conduct.  It was the mere fact that the threats were made at all that was key, not when they were made.  </w:t>
      </w:r>
    </w:p>
    <w:p w:rsidR="005022D8" w:rsidRDefault="005022D8" w:rsidP="005022D8">
      <w:pPr>
        <w:pStyle w:val="SCCNormalDoubleSpacing"/>
        <w:spacing w:line="240" w:lineRule="auto"/>
        <w:rPr>
          <w:sz w:val="20"/>
        </w:rPr>
      </w:pPr>
    </w:p>
    <w:p w:rsidR="005022D8" w:rsidRDefault="005022D8" w:rsidP="005022D8">
      <w:pPr>
        <w:pStyle w:val="SCCNormalDoubleSpacing"/>
        <w:spacing w:line="240" w:lineRule="auto"/>
        <w:rPr>
          <w:sz w:val="20"/>
        </w:rPr>
      </w:pPr>
      <w:r w:rsidRPr="00FF46F6">
        <w:rPr>
          <w:sz w:val="20"/>
        </w:rPr>
        <w:tab/>
        <w:t>Moreover, a further balancing exercise was not required in the circumstances.  The trial judge was unequivocal in concluding that the conduct justified a stay, and there was none of the uncertainty as to the propriety of a stay that is a condition precedent to the need for a balancing exercise.  When a trial judge has found that the conduct cannot be condoned because it is such an exceptional assault on the public’s sense of justice, it is conceptually inconsistent to ask the court to undermine its own conclusion by re-weighing the half of the scale that contains the public’s interest in trials on the merits.  The public has an interest not only in trials on the merits, it has an even greater interest in knowing that when the state is involved in proceedings, particularly those that can result in an individual’s loss of liberty, it will put fairness above expedience.  Justice is not only about results, it is about how those results are obtained.  When a Crown threatens an accused with additional offences if he or she does not plead guilty, the public’s interest in the results of a trial must yield to the transcendent interest in protecting the public’s confidence in the integrity of the justice system.</w:t>
      </w:r>
    </w:p>
    <w:p w:rsidR="005022D8" w:rsidRPr="005022D8" w:rsidRDefault="005022D8" w:rsidP="005022D8">
      <w:pPr>
        <w:pStyle w:val="SCCNormalDoubleSpacing"/>
        <w:spacing w:line="240" w:lineRule="auto"/>
        <w:rPr>
          <w:sz w:val="20"/>
        </w:rPr>
      </w:pPr>
    </w:p>
    <w:p w:rsidR="005022D8" w:rsidRPr="00FF46F6" w:rsidRDefault="005022D8" w:rsidP="005022D8">
      <w:pPr>
        <w:pStyle w:val="SCCNormalDoubleSpacing"/>
        <w:spacing w:line="240" w:lineRule="auto"/>
        <w:rPr>
          <w:sz w:val="20"/>
        </w:rPr>
      </w:pPr>
      <w:r w:rsidRPr="005022D8">
        <w:rPr>
          <w:sz w:val="20"/>
        </w:rPr>
        <w:tab/>
      </w:r>
      <w:r w:rsidRPr="00FF46F6">
        <w:rPr>
          <w:sz w:val="20"/>
        </w:rPr>
        <w:t>APPEALS from a judgment of the Quebec Court of Appeal (Duval Hesler C.J. and Chamberland and Doyon JJ.A.), 2012 QCCA 471, [2012] J.Q. n</w:t>
      </w:r>
      <w:r w:rsidRPr="00FF46F6">
        <w:rPr>
          <w:sz w:val="20"/>
          <w:vertAlign w:val="superscript"/>
        </w:rPr>
        <w:t>o</w:t>
      </w:r>
      <w:r w:rsidRPr="00FF46F6">
        <w:rPr>
          <w:sz w:val="20"/>
        </w:rPr>
        <w:t> 2107 (QL), 2012 CarswellQue 1987, SOQUIJ AZ</w:t>
      </w:r>
      <w:r w:rsidRPr="00FF46F6">
        <w:rPr>
          <w:sz w:val="20"/>
        </w:rPr>
        <w:noBreakHyphen/>
        <w:t>50839397, setting aside the stay of proceedings entered by Garneau J. and ordering a new trial, 2008 QCCQ 11373, [2008] J.Q. n</w:t>
      </w:r>
      <w:r w:rsidRPr="00FF46F6">
        <w:rPr>
          <w:sz w:val="20"/>
          <w:vertAlign w:val="superscript"/>
        </w:rPr>
        <w:t>o</w:t>
      </w:r>
      <w:r w:rsidRPr="00FF46F6">
        <w:rPr>
          <w:sz w:val="20"/>
        </w:rPr>
        <w:t> 12838 (QL), 2008 CarswellQue 12200, SOQUIZ AZ</w:t>
      </w:r>
      <w:r w:rsidRPr="00FF46F6">
        <w:rPr>
          <w:sz w:val="20"/>
        </w:rPr>
        <w:noBreakHyphen/>
        <w:t>50525272 (</w:t>
      </w:r>
      <w:r w:rsidRPr="00FF46F6">
        <w:rPr>
          <w:i/>
          <w:sz w:val="20"/>
        </w:rPr>
        <w:t>sub nom. R. v. Piccirilli</w:t>
      </w:r>
      <w:r w:rsidRPr="00FF46F6">
        <w:rPr>
          <w:sz w:val="20"/>
        </w:rPr>
        <w:t xml:space="preserve">).  Appeals dismissed, Abella J. dissenting. </w:t>
      </w:r>
    </w:p>
    <w:p w:rsidR="005022D8" w:rsidRDefault="005022D8" w:rsidP="005022D8">
      <w:pPr>
        <w:pStyle w:val="SCCNormalDoubleSpacing"/>
        <w:spacing w:line="240" w:lineRule="auto"/>
        <w:rPr>
          <w:i/>
          <w:sz w:val="20"/>
        </w:rPr>
      </w:pPr>
    </w:p>
    <w:p w:rsidR="005022D8" w:rsidRPr="00FF46F6" w:rsidRDefault="005022D8" w:rsidP="005022D8">
      <w:pPr>
        <w:pStyle w:val="SCCNormalDoubleSpacing"/>
        <w:spacing w:line="240" w:lineRule="auto"/>
        <w:rPr>
          <w:sz w:val="20"/>
        </w:rPr>
      </w:pPr>
      <w:r w:rsidRPr="00FF46F6">
        <w:rPr>
          <w:i/>
          <w:sz w:val="20"/>
        </w:rPr>
        <w:tab/>
        <w:t>Franco Schiro</w:t>
      </w:r>
      <w:r w:rsidRPr="00FF46F6">
        <w:rPr>
          <w:sz w:val="20"/>
        </w:rPr>
        <w:t xml:space="preserve"> and </w:t>
      </w:r>
      <w:r w:rsidRPr="00FF46F6">
        <w:rPr>
          <w:i/>
          <w:sz w:val="20"/>
        </w:rPr>
        <w:t>Xuan Trung Nguyen</w:t>
      </w:r>
      <w:r w:rsidRPr="00FF46F6">
        <w:rPr>
          <w:sz w:val="20"/>
        </w:rPr>
        <w:t>, for the appellant Antal Babos.</w:t>
      </w:r>
    </w:p>
    <w:p w:rsidR="005022D8" w:rsidRDefault="005022D8" w:rsidP="005022D8">
      <w:pPr>
        <w:pStyle w:val="SCCNormalDoubleSpacing"/>
        <w:spacing w:line="240" w:lineRule="auto"/>
        <w:rPr>
          <w:i/>
          <w:sz w:val="20"/>
        </w:rPr>
      </w:pPr>
    </w:p>
    <w:p w:rsidR="005022D8" w:rsidRPr="00FF46F6" w:rsidRDefault="005022D8" w:rsidP="005022D8">
      <w:pPr>
        <w:pStyle w:val="SCCNormalDoubleSpacing"/>
        <w:spacing w:line="240" w:lineRule="auto"/>
        <w:rPr>
          <w:sz w:val="20"/>
        </w:rPr>
      </w:pPr>
      <w:r w:rsidRPr="00FF46F6">
        <w:rPr>
          <w:i/>
          <w:sz w:val="20"/>
        </w:rPr>
        <w:tab/>
        <w:t>Guylaine Tardif</w:t>
      </w:r>
      <w:r w:rsidRPr="00FF46F6">
        <w:rPr>
          <w:i/>
          <w:sz w:val="20"/>
          <w:lang w:val="en-US"/>
        </w:rPr>
        <w:t>, Jean</w:t>
      </w:r>
      <w:r w:rsidRPr="00FF46F6">
        <w:rPr>
          <w:i/>
          <w:sz w:val="20"/>
          <w:lang w:val="en-US"/>
        </w:rPr>
        <w:noBreakHyphen/>
        <w:t>Pierre Pilon and Maxime Wilkins</w:t>
      </w:r>
      <w:r w:rsidRPr="00FF46F6">
        <w:rPr>
          <w:sz w:val="20"/>
        </w:rPr>
        <w:t>, for the appellant Sergio Piccirilli.</w:t>
      </w:r>
    </w:p>
    <w:p w:rsidR="005022D8" w:rsidRDefault="005022D8" w:rsidP="005022D8">
      <w:pPr>
        <w:pStyle w:val="SCCNormalDoubleSpacing"/>
        <w:spacing w:line="240" w:lineRule="auto"/>
        <w:rPr>
          <w:i/>
          <w:sz w:val="20"/>
        </w:rPr>
      </w:pPr>
    </w:p>
    <w:p w:rsidR="005022D8" w:rsidRPr="00EB0F11" w:rsidRDefault="005022D8" w:rsidP="005022D8">
      <w:pPr>
        <w:pStyle w:val="SCCNormalDoubleSpacing"/>
        <w:spacing w:line="240" w:lineRule="auto"/>
        <w:rPr>
          <w:sz w:val="20"/>
        </w:rPr>
      </w:pPr>
      <w:r w:rsidRPr="00FF46F6">
        <w:rPr>
          <w:i/>
          <w:sz w:val="20"/>
        </w:rPr>
        <w:tab/>
      </w:r>
      <w:r w:rsidRPr="00EB0F11">
        <w:rPr>
          <w:i/>
          <w:sz w:val="20"/>
        </w:rPr>
        <w:t>Gilles Villeneuve</w:t>
      </w:r>
      <w:r w:rsidRPr="00EB0F11">
        <w:rPr>
          <w:sz w:val="20"/>
        </w:rPr>
        <w:t xml:space="preserve"> and </w:t>
      </w:r>
      <w:r w:rsidRPr="00EB0F11">
        <w:rPr>
          <w:i/>
          <w:sz w:val="20"/>
        </w:rPr>
        <w:t>François Lacasse</w:t>
      </w:r>
      <w:r w:rsidRPr="00EB0F11">
        <w:rPr>
          <w:sz w:val="20"/>
        </w:rPr>
        <w:t>, for the respondent.</w:t>
      </w:r>
    </w:p>
    <w:p w:rsidR="005022D8" w:rsidRPr="00EB0F11" w:rsidRDefault="005022D8" w:rsidP="005022D8">
      <w:pPr>
        <w:pStyle w:val="SCCLawFirm"/>
        <w:spacing w:line="240" w:lineRule="auto"/>
        <w:rPr>
          <w:sz w:val="20"/>
        </w:rPr>
      </w:pPr>
    </w:p>
    <w:p w:rsidR="005022D8" w:rsidRPr="00FF46F6" w:rsidRDefault="005022D8" w:rsidP="005022D8">
      <w:pPr>
        <w:pStyle w:val="SCCLawFirm"/>
        <w:spacing w:line="240" w:lineRule="auto"/>
        <w:rPr>
          <w:sz w:val="20"/>
          <w:lang w:val="fr-CA"/>
        </w:rPr>
      </w:pPr>
      <w:r w:rsidRPr="00EB0F11">
        <w:rPr>
          <w:sz w:val="20"/>
        </w:rPr>
        <w:tab/>
      </w:r>
      <w:r w:rsidRPr="00FF46F6">
        <w:rPr>
          <w:sz w:val="20"/>
          <w:lang w:val="fr-CA"/>
        </w:rPr>
        <w:t>Solicitors for the appellant Antal Babos:  Étude Légale Franco Schiro, Montréal.</w:t>
      </w:r>
    </w:p>
    <w:p w:rsidR="005022D8" w:rsidRDefault="005022D8" w:rsidP="005022D8">
      <w:pPr>
        <w:pStyle w:val="SCCLawFirm"/>
        <w:spacing w:line="240" w:lineRule="auto"/>
        <w:rPr>
          <w:sz w:val="20"/>
          <w:lang w:val="fr-CA"/>
        </w:rPr>
      </w:pPr>
    </w:p>
    <w:p w:rsidR="005022D8" w:rsidRPr="00FF46F6" w:rsidRDefault="005022D8" w:rsidP="005022D8">
      <w:pPr>
        <w:pStyle w:val="SCCLawFirm"/>
        <w:spacing w:line="240" w:lineRule="auto"/>
        <w:rPr>
          <w:sz w:val="20"/>
          <w:lang w:val="fr-CA"/>
        </w:rPr>
      </w:pPr>
      <w:r w:rsidRPr="00FF46F6">
        <w:rPr>
          <w:sz w:val="20"/>
          <w:lang w:val="fr-CA"/>
        </w:rPr>
        <w:tab/>
        <w:t>Solicitors for the appellant Sergio Piccirilli:  Pilon &amp; Associés, Montréal.</w:t>
      </w:r>
    </w:p>
    <w:p w:rsidR="005022D8" w:rsidRDefault="005022D8" w:rsidP="005022D8">
      <w:pPr>
        <w:pStyle w:val="SCCLawFirm"/>
        <w:spacing w:line="240" w:lineRule="auto"/>
        <w:rPr>
          <w:sz w:val="20"/>
          <w:lang w:val="fr-CA"/>
        </w:rPr>
      </w:pPr>
    </w:p>
    <w:p w:rsidR="005022D8" w:rsidRDefault="005022D8" w:rsidP="005022D8">
      <w:pPr>
        <w:pStyle w:val="SCCLawFirm"/>
        <w:spacing w:line="240" w:lineRule="auto"/>
        <w:rPr>
          <w:sz w:val="20"/>
          <w:lang w:val="en-US"/>
        </w:rPr>
      </w:pPr>
      <w:r w:rsidRPr="00FF46F6">
        <w:rPr>
          <w:sz w:val="20"/>
          <w:lang w:val="fr-CA"/>
        </w:rPr>
        <w:tab/>
      </w:r>
      <w:r w:rsidRPr="00FF46F6">
        <w:rPr>
          <w:sz w:val="20"/>
          <w:lang w:val="en-US"/>
        </w:rPr>
        <w:t>Solicitor for the respondent:  </w:t>
      </w:r>
      <w:r w:rsidRPr="00FF46F6">
        <w:rPr>
          <w:sz w:val="20"/>
        </w:rPr>
        <w:t>Public Prosecution Service of Canada</w:t>
      </w:r>
      <w:r w:rsidRPr="00FF46F6">
        <w:rPr>
          <w:sz w:val="20"/>
          <w:lang w:val="en-US"/>
        </w:rPr>
        <w:t>, Montréal and Ottawa.</w:t>
      </w:r>
    </w:p>
    <w:p w:rsidR="00902E51" w:rsidRPr="005022D8" w:rsidRDefault="00902E51" w:rsidP="00902E51">
      <w:pPr>
        <w:rPr>
          <w:sz w:val="20"/>
          <w:szCs w:val="20"/>
          <w:lang w:val="en-US"/>
        </w:rPr>
      </w:pPr>
    </w:p>
    <w:p w:rsidR="00902E51" w:rsidRDefault="00EB0F11" w:rsidP="00902E51">
      <w:pPr>
        <w:rPr>
          <w:rFonts w:cs="Times New Roman"/>
          <w:sz w:val="20"/>
          <w:szCs w:val="20"/>
          <w:lang w:val="fr-CA"/>
        </w:rPr>
      </w:pPr>
      <w:r>
        <w:rPr>
          <w:rFonts w:cs="Times New Roman"/>
          <w:sz w:val="20"/>
          <w:szCs w:val="20"/>
          <w:lang w:val="fr-CA"/>
        </w:rPr>
        <w:pict>
          <v:rect id="_x0000_i1099" style="width:144.3pt;height:1pt" o:hrpct="300" o:hralign="center" o:hrstd="t" o:hrnoshade="t" o:hr="t" fillcolor="black [3213]" stroked="f"/>
        </w:pict>
      </w:r>
    </w:p>
    <w:p w:rsidR="003B3977" w:rsidRPr="003F4721" w:rsidRDefault="003B3977"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113"/>
          <w:headerReference w:type="default" r:id="rId114"/>
          <w:footerReference w:type="even" r:id="rId115"/>
          <w:footerReference w:type="default" r:id="rId116"/>
          <w:headerReference w:type="first" r:id="rId117"/>
          <w:footerReference w:type="first" r:id="rId118"/>
          <w:pgSz w:w="12240" w:h="15840"/>
          <w:pgMar w:top="720" w:right="965" w:bottom="1080" w:left="1656" w:header="576" w:footer="960" w:gutter="0"/>
          <w:cols w:space="720"/>
          <w:titlePg/>
          <w:docGrid w:linePitch="272"/>
        </w:sectPr>
      </w:pPr>
    </w:p>
    <w:p w:rsidR="0081610A" w:rsidRPr="002E0C7E" w:rsidRDefault="0006361A" w:rsidP="0081610A">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610A"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610A" w:rsidRPr="002E0C7E">
        <w:rPr>
          <w:rFonts w:asciiTheme="minorHAnsi" w:hAnsiTheme="minorHAnsi" w:cstheme="minorHAnsi"/>
          <w:b/>
          <w:szCs w:val="24"/>
        </w:rPr>
        <w:t xml:space="preserve">SUPREME COURT OF CANADA SCHEDULE / </w:t>
      </w:r>
      <w:r w:rsidR="0081610A" w:rsidRPr="00743E53">
        <w:rPr>
          <w:rFonts w:asciiTheme="minorHAnsi" w:hAnsiTheme="minorHAnsi" w:cstheme="minorHAnsi"/>
          <w:b/>
          <w:szCs w:val="24"/>
          <w:lang w:val="fr-CA"/>
        </w:rPr>
        <w:t>CALENDRIER DE LA COUR SUPR</w:t>
      </w:r>
      <w:r w:rsidR="0081610A">
        <w:rPr>
          <w:rFonts w:asciiTheme="minorHAnsi" w:hAnsiTheme="minorHAnsi" w:cstheme="minorHAnsi"/>
          <w:b/>
          <w:szCs w:val="24"/>
          <w:lang w:val="fr-CA"/>
        </w:rPr>
        <w:t>Ê</w:t>
      </w:r>
      <w:r w:rsidR="0081610A" w:rsidRPr="00743E53">
        <w:rPr>
          <w:rFonts w:asciiTheme="minorHAnsi" w:hAnsiTheme="minorHAnsi" w:cstheme="minorHAnsi"/>
          <w:b/>
          <w:szCs w:val="24"/>
          <w:lang w:val="fr-CA"/>
        </w:rPr>
        <w:t>ME</w:t>
      </w:r>
    </w:p>
    <w:p w:rsidR="0081610A" w:rsidRPr="002E0C7E" w:rsidRDefault="0081610A" w:rsidP="0081610A">
      <w:pPr>
        <w:widowControl w:val="0"/>
        <w:spacing w:line="180" w:lineRule="auto"/>
        <w:rPr>
          <w:rFonts w:asciiTheme="minorHAnsi" w:hAnsiTheme="minorHAnsi" w:cstheme="minorHAnsi"/>
          <w:szCs w:val="24"/>
        </w:rPr>
      </w:pPr>
    </w:p>
    <w:p w:rsidR="0081610A" w:rsidRPr="002E0C7E" w:rsidRDefault="0081610A" w:rsidP="0081610A">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610A" w:rsidRPr="002E0C7E" w:rsidTr="00A51A60">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A51A60">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A51A60">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A51A60">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A51A60">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A51A60">
            <w:pPr>
              <w:widowControl w:val="0"/>
              <w:jc w:val="center"/>
              <w:rPr>
                <w:rFonts w:ascii="Arial" w:hAnsi="Arial"/>
                <w:sz w:val="14"/>
              </w:rPr>
            </w:pPr>
            <w:r w:rsidRPr="002E0C7E">
              <w:rPr>
                <w:rFonts w:ascii="Arial" w:hAnsi="Arial"/>
                <w:b/>
                <w:sz w:val="14"/>
              </w:rPr>
              <w:t>DECEMBER - DÉCEMBRE</w:t>
            </w:r>
          </w:p>
        </w:tc>
      </w:tr>
      <w:tr w:rsidR="0081610A" w:rsidRPr="002E0C7E" w:rsidTr="00A51A60">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S</w:t>
            </w:r>
          </w:p>
          <w:p w:rsidR="0081610A" w:rsidRPr="002E0C7E" w:rsidRDefault="0081610A" w:rsidP="00A51A60">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M</w:t>
            </w:r>
          </w:p>
          <w:p w:rsidR="0081610A" w:rsidRPr="002E0C7E" w:rsidRDefault="0081610A" w:rsidP="00A51A60">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T</w:t>
            </w:r>
          </w:p>
          <w:p w:rsidR="0081610A" w:rsidRPr="002E0C7E" w:rsidRDefault="0081610A" w:rsidP="00A51A60">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W</w:t>
            </w:r>
          </w:p>
          <w:p w:rsidR="0081610A" w:rsidRPr="002E0C7E" w:rsidRDefault="0081610A" w:rsidP="00A51A60">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T</w:t>
            </w:r>
          </w:p>
          <w:p w:rsidR="0081610A" w:rsidRPr="002E0C7E" w:rsidRDefault="0081610A" w:rsidP="00A51A60">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F</w:t>
            </w:r>
          </w:p>
          <w:p w:rsidR="0081610A" w:rsidRPr="002E0C7E" w:rsidRDefault="0081610A" w:rsidP="00A51A60">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S</w:t>
            </w:r>
          </w:p>
          <w:p w:rsidR="0081610A" w:rsidRPr="002E0C7E" w:rsidRDefault="0081610A" w:rsidP="00A51A60">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S</w:t>
            </w:r>
          </w:p>
          <w:p w:rsidR="0081610A" w:rsidRPr="002E0C7E" w:rsidRDefault="0081610A" w:rsidP="00A51A60">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M</w:t>
            </w:r>
          </w:p>
          <w:p w:rsidR="0081610A" w:rsidRPr="002E0C7E" w:rsidRDefault="0081610A" w:rsidP="00A51A60">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T</w:t>
            </w:r>
          </w:p>
          <w:p w:rsidR="0081610A" w:rsidRPr="002E0C7E" w:rsidRDefault="0081610A" w:rsidP="00A51A60">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W</w:t>
            </w:r>
          </w:p>
          <w:p w:rsidR="0081610A" w:rsidRPr="002E0C7E" w:rsidRDefault="0081610A" w:rsidP="00A51A60">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T</w:t>
            </w:r>
          </w:p>
          <w:p w:rsidR="0081610A" w:rsidRPr="002E0C7E" w:rsidRDefault="0081610A" w:rsidP="00A51A60">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F</w:t>
            </w:r>
          </w:p>
          <w:p w:rsidR="0081610A" w:rsidRPr="002E0C7E" w:rsidRDefault="0081610A" w:rsidP="00A51A60">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S</w:t>
            </w:r>
          </w:p>
          <w:p w:rsidR="0081610A" w:rsidRPr="002E0C7E" w:rsidRDefault="0081610A" w:rsidP="00A51A60">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S</w:t>
            </w:r>
          </w:p>
          <w:p w:rsidR="0081610A" w:rsidRPr="002E0C7E" w:rsidRDefault="0081610A" w:rsidP="00A51A60">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M</w:t>
            </w:r>
          </w:p>
          <w:p w:rsidR="0081610A" w:rsidRPr="002E0C7E" w:rsidRDefault="0081610A" w:rsidP="00A51A60">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T</w:t>
            </w:r>
          </w:p>
          <w:p w:rsidR="0081610A" w:rsidRPr="002E0C7E" w:rsidRDefault="0081610A" w:rsidP="00A51A60">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W</w:t>
            </w:r>
          </w:p>
          <w:p w:rsidR="0081610A" w:rsidRPr="002E0C7E" w:rsidRDefault="0081610A" w:rsidP="00A51A60">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T</w:t>
            </w:r>
          </w:p>
          <w:p w:rsidR="0081610A" w:rsidRPr="002E0C7E" w:rsidRDefault="0081610A" w:rsidP="00A51A60">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F</w:t>
            </w:r>
          </w:p>
          <w:p w:rsidR="0081610A" w:rsidRPr="002E0C7E" w:rsidRDefault="0081610A" w:rsidP="00A51A60">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S</w:t>
            </w:r>
          </w:p>
          <w:p w:rsidR="0081610A" w:rsidRPr="002E0C7E" w:rsidRDefault="0081610A" w:rsidP="00A51A60">
            <w:pPr>
              <w:widowControl w:val="0"/>
              <w:jc w:val="center"/>
              <w:rPr>
                <w:rFonts w:ascii="Arial" w:hAnsi="Arial"/>
                <w:sz w:val="14"/>
              </w:rPr>
            </w:pPr>
            <w:r w:rsidRPr="002E0C7E">
              <w:rPr>
                <w:rFonts w:ascii="Arial" w:hAnsi="Arial"/>
                <w:sz w:val="14"/>
              </w:rPr>
              <w:t>S</w:t>
            </w:r>
          </w:p>
        </w:tc>
      </w:tr>
      <w:tr w:rsidR="0081610A" w:rsidRPr="002E0C7E" w:rsidTr="00A51A60">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35CC4" w:rsidRDefault="0081610A" w:rsidP="00A51A60">
            <w:pPr>
              <w:widowControl w:val="0"/>
              <w:jc w:val="center"/>
              <w:rPr>
                <w:rFonts w:ascii="Arial" w:hAnsi="Arial"/>
                <w:b/>
                <w:sz w:val="14"/>
              </w:rPr>
            </w:pPr>
            <w:r>
              <w:rPr>
                <w:rFonts w:ascii="Arial" w:hAnsi="Arial"/>
                <w:b/>
                <w:sz w:val="14"/>
              </w:rPr>
              <w:t>M</w:t>
            </w:r>
          </w:p>
          <w:p w:rsidR="0081610A" w:rsidRPr="002E0C7E" w:rsidRDefault="0081610A" w:rsidP="00A51A60">
            <w:pPr>
              <w:widowControl w:val="0"/>
              <w:jc w:val="center"/>
              <w:rPr>
                <w:rFonts w:ascii="Arial" w:hAnsi="Arial"/>
                <w:sz w:val="14"/>
              </w:rPr>
            </w:pP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7</w:t>
            </w:r>
          </w:p>
        </w:tc>
      </w:tr>
      <w:tr w:rsidR="0081610A" w:rsidRPr="002E0C7E" w:rsidTr="00A51A60">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C583B" w:rsidRDefault="0081610A" w:rsidP="00A51A60">
            <w:pPr>
              <w:widowControl w:val="0"/>
              <w:jc w:val="center"/>
              <w:rPr>
                <w:rFonts w:ascii="Arial" w:hAnsi="Arial"/>
                <w:b/>
                <w:sz w:val="14"/>
              </w:rPr>
            </w:pPr>
            <w:r>
              <w:rPr>
                <w:rFonts w:ascii="Arial" w:hAnsi="Arial"/>
                <w:b/>
                <w:sz w:val="14"/>
              </w:rPr>
              <w:t>M</w:t>
            </w:r>
          </w:p>
          <w:p w:rsidR="0081610A" w:rsidRPr="002E0C7E" w:rsidRDefault="0081610A" w:rsidP="00A51A60">
            <w:pPr>
              <w:widowControl w:val="0"/>
              <w:jc w:val="center"/>
              <w:rPr>
                <w:rFonts w:ascii="Arial" w:hAnsi="Arial"/>
                <w:sz w:val="14"/>
              </w:rPr>
            </w:pPr>
            <w:r>
              <w:rPr>
                <w:rFonts w:ascii="Arial" w:hAnsi="Arial"/>
                <w:sz w:val="14"/>
              </w:rPr>
              <w:t>7</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0C583B" w:rsidRDefault="0081610A" w:rsidP="00A51A60">
            <w:pPr>
              <w:widowControl w:val="0"/>
              <w:jc w:val="center"/>
              <w:rPr>
                <w:rFonts w:ascii="Arial" w:hAnsi="Arial"/>
                <w:b/>
                <w:sz w:val="14"/>
              </w:rPr>
            </w:pPr>
          </w:p>
          <w:p w:rsidR="0081610A" w:rsidRPr="002E0C7E" w:rsidRDefault="0081610A" w:rsidP="00A51A60">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12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3</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b/>
                <w:sz w:val="14"/>
              </w:rPr>
              <w:t>M</w:t>
            </w:r>
          </w:p>
          <w:p w:rsidR="0081610A" w:rsidRPr="002E0C7E" w:rsidRDefault="0081610A" w:rsidP="00A51A60">
            <w:pPr>
              <w:widowControl w:val="0"/>
              <w:jc w:val="center"/>
              <w:rPr>
                <w:rFonts w:ascii="Arial" w:hAnsi="Arial"/>
                <w:sz w:val="14"/>
              </w:rPr>
            </w:pP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8</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14</w:t>
            </w:r>
          </w:p>
        </w:tc>
      </w:tr>
      <w:tr w:rsidR="0081610A" w:rsidRPr="002E0C7E" w:rsidTr="00A51A60">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0C583B" w:rsidRDefault="0081610A" w:rsidP="00A51A60">
            <w:pPr>
              <w:widowControl w:val="0"/>
              <w:jc w:val="center"/>
              <w:rPr>
                <w:rFonts w:ascii="Arial" w:hAnsi="Arial"/>
                <w:b/>
                <w:sz w:val="14"/>
              </w:rPr>
            </w:pPr>
            <w:r>
              <w:rPr>
                <w:rFonts w:ascii="Arial" w:hAnsi="Arial"/>
                <w:b/>
                <w:sz w:val="14"/>
              </w:rPr>
              <w:t>H</w:t>
            </w: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0C583B"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19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4030BA" w:rsidRDefault="0081610A" w:rsidP="00A51A60">
            <w:pPr>
              <w:widowControl w:val="0"/>
              <w:jc w:val="center"/>
              <w:rPr>
                <w:rFonts w:ascii="Arial" w:hAnsi="Arial"/>
                <w:sz w:val="14"/>
              </w:rPr>
            </w:pPr>
            <w:r>
              <w:rPr>
                <w:rFonts w:ascii="Arial" w:hAnsi="Arial"/>
                <w:b/>
                <w:sz w:val="14"/>
              </w:rPr>
              <w:t>H</w:t>
            </w: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A51A60">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A51A60">
            <w:pPr>
              <w:widowControl w:val="0"/>
              <w:jc w:val="center"/>
              <w:rPr>
                <w:rFonts w:ascii="Arial" w:hAnsi="Arial"/>
                <w:b/>
                <w:sz w:val="14"/>
              </w:rPr>
            </w:pPr>
            <w:r>
              <w:rPr>
                <w:rFonts w:ascii="Arial" w:hAnsi="Arial"/>
                <w:b/>
                <w:sz w:val="14"/>
              </w:rPr>
              <w:t>H</w:t>
            </w:r>
          </w:p>
          <w:p w:rsidR="0081610A" w:rsidRPr="002E0C7E" w:rsidRDefault="0081610A" w:rsidP="00A51A60">
            <w:pPr>
              <w:widowControl w:val="0"/>
              <w:jc w:val="center"/>
              <w:rPr>
                <w:rFonts w:ascii="Arial" w:hAnsi="Arial"/>
                <w:sz w:val="14"/>
              </w:rPr>
            </w:pPr>
            <w:r>
              <w:rPr>
                <w:rFonts w:ascii="Arial" w:hAnsi="Arial"/>
                <w:sz w:val="14"/>
              </w:rPr>
              <w:t>25</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A51A60">
            <w:pPr>
              <w:widowControl w:val="0"/>
              <w:jc w:val="center"/>
              <w:rPr>
                <w:rFonts w:ascii="Arial" w:hAnsi="Arial"/>
                <w:b/>
                <w:sz w:val="14"/>
              </w:rPr>
            </w:pPr>
            <w:r>
              <w:rPr>
                <w:rFonts w:ascii="Arial" w:hAnsi="Arial"/>
                <w:b/>
                <w:sz w:val="14"/>
              </w:rPr>
              <w:t>H</w:t>
            </w:r>
          </w:p>
          <w:p w:rsidR="0081610A" w:rsidRPr="002E0C7E" w:rsidRDefault="0081610A" w:rsidP="00A51A60">
            <w:pPr>
              <w:widowControl w:val="0"/>
              <w:jc w:val="center"/>
              <w:rPr>
                <w:rFonts w:ascii="Arial" w:hAnsi="Arial"/>
                <w:sz w:val="14"/>
              </w:rPr>
            </w:pPr>
            <w:r>
              <w:rPr>
                <w:rFonts w:ascii="Arial" w:hAnsi="Arial"/>
                <w:sz w:val="14"/>
              </w:rPr>
              <w:t>26</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A51A60">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4" w:space="0" w:color="auto"/>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p>
        </w:tc>
      </w:tr>
    </w:tbl>
    <w:p w:rsidR="0081610A" w:rsidRPr="002E0C7E" w:rsidRDefault="0081610A" w:rsidP="0081610A">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610A" w:rsidRPr="002E0C7E" w:rsidTr="00A51A60">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A51A60">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A51A60">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A51A60">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A51A60">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A51A60">
            <w:pPr>
              <w:widowControl w:val="0"/>
              <w:jc w:val="center"/>
              <w:rPr>
                <w:rFonts w:ascii="Arial" w:hAnsi="Arial"/>
                <w:sz w:val="14"/>
              </w:rPr>
            </w:pPr>
            <w:r w:rsidRPr="002E0C7E">
              <w:rPr>
                <w:rFonts w:ascii="Arial" w:hAnsi="Arial"/>
                <w:b/>
                <w:sz w:val="14"/>
              </w:rPr>
              <w:t>MARCH - MARS</w:t>
            </w:r>
          </w:p>
        </w:tc>
      </w:tr>
      <w:tr w:rsidR="0081610A" w:rsidRPr="002E0C7E" w:rsidTr="00A51A60">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S</w:t>
            </w:r>
          </w:p>
          <w:p w:rsidR="0081610A" w:rsidRPr="002E0C7E" w:rsidRDefault="0081610A" w:rsidP="00A51A60">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M</w:t>
            </w:r>
          </w:p>
          <w:p w:rsidR="0081610A" w:rsidRPr="002E0C7E" w:rsidRDefault="0081610A" w:rsidP="00A51A60">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T</w:t>
            </w:r>
          </w:p>
          <w:p w:rsidR="0081610A" w:rsidRPr="002E0C7E" w:rsidRDefault="0081610A" w:rsidP="00A51A60">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W</w:t>
            </w:r>
          </w:p>
          <w:p w:rsidR="0081610A" w:rsidRPr="002E0C7E" w:rsidRDefault="0081610A" w:rsidP="00A51A60">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T</w:t>
            </w:r>
          </w:p>
          <w:p w:rsidR="0081610A" w:rsidRPr="002E0C7E" w:rsidRDefault="0081610A" w:rsidP="00A51A60">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F</w:t>
            </w:r>
          </w:p>
          <w:p w:rsidR="0081610A" w:rsidRPr="002E0C7E" w:rsidRDefault="0081610A" w:rsidP="00A51A60">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S</w:t>
            </w:r>
          </w:p>
          <w:p w:rsidR="0081610A" w:rsidRPr="002E0C7E" w:rsidRDefault="0081610A" w:rsidP="00A51A60">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S</w:t>
            </w:r>
          </w:p>
          <w:p w:rsidR="0081610A" w:rsidRPr="002E0C7E" w:rsidRDefault="0081610A" w:rsidP="00A51A60">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M</w:t>
            </w:r>
          </w:p>
          <w:p w:rsidR="0081610A" w:rsidRPr="002E0C7E" w:rsidRDefault="0081610A" w:rsidP="00A51A60">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T</w:t>
            </w:r>
          </w:p>
          <w:p w:rsidR="0081610A" w:rsidRPr="002E0C7E" w:rsidRDefault="0081610A" w:rsidP="00A51A60">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W</w:t>
            </w:r>
          </w:p>
          <w:p w:rsidR="0081610A" w:rsidRPr="002E0C7E" w:rsidRDefault="0081610A" w:rsidP="00A51A60">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T</w:t>
            </w:r>
          </w:p>
          <w:p w:rsidR="0081610A" w:rsidRPr="002E0C7E" w:rsidRDefault="0081610A" w:rsidP="00A51A60">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F</w:t>
            </w:r>
          </w:p>
          <w:p w:rsidR="0081610A" w:rsidRPr="002E0C7E" w:rsidRDefault="0081610A" w:rsidP="00A51A60">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S</w:t>
            </w:r>
          </w:p>
          <w:p w:rsidR="0081610A" w:rsidRPr="002E0C7E" w:rsidRDefault="0081610A" w:rsidP="00A51A60">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S</w:t>
            </w:r>
          </w:p>
          <w:p w:rsidR="0081610A" w:rsidRPr="002E0C7E" w:rsidRDefault="0081610A" w:rsidP="00A51A60">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M</w:t>
            </w:r>
          </w:p>
          <w:p w:rsidR="0081610A" w:rsidRPr="002E0C7E" w:rsidRDefault="0081610A" w:rsidP="00A51A60">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T</w:t>
            </w:r>
          </w:p>
          <w:p w:rsidR="0081610A" w:rsidRPr="002E0C7E" w:rsidRDefault="0081610A" w:rsidP="00A51A60">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W</w:t>
            </w:r>
          </w:p>
          <w:p w:rsidR="0081610A" w:rsidRPr="002E0C7E" w:rsidRDefault="0081610A" w:rsidP="00A51A60">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T</w:t>
            </w:r>
          </w:p>
          <w:p w:rsidR="0081610A" w:rsidRPr="002E0C7E" w:rsidRDefault="0081610A" w:rsidP="00A51A60">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F</w:t>
            </w:r>
          </w:p>
          <w:p w:rsidR="0081610A" w:rsidRPr="002E0C7E" w:rsidRDefault="0081610A" w:rsidP="00A51A60">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S</w:t>
            </w:r>
          </w:p>
          <w:p w:rsidR="0081610A" w:rsidRPr="002E0C7E" w:rsidRDefault="0081610A" w:rsidP="00A51A60">
            <w:pPr>
              <w:widowControl w:val="0"/>
              <w:jc w:val="center"/>
              <w:rPr>
                <w:rFonts w:ascii="Arial" w:hAnsi="Arial"/>
                <w:sz w:val="14"/>
              </w:rPr>
            </w:pPr>
            <w:r w:rsidRPr="002E0C7E">
              <w:rPr>
                <w:rFonts w:ascii="Arial" w:hAnsi="Arial"/>
                <w:sz w:val="14"/>
              </w:rPr>
              <w:t>S</w:t>
            </w:r>
          </w:p>
        </w:tc>
      </w:tr>
      <w:tr w:rsidR="0081610A" w:rsidRPr="002E0C7E" w:rsidTr="00A51A60">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317A69" w:rsidRDefault="0081610A" w:rsidP="00A51A60">
            <w:pPr>
              <w:widowControl w:val="0"/>
              <w:jc w:val="center"/>
              <w:rPr>
                <w:rFonts w:ascii="Arial" w:hAnsi="Arial"/>
                <w:b/>
                <w:sz w:val="14"/>
              </w:rPr>
            </w:pPr>
          </w:p>
          <w:p w:rsidR="0081610A" w:rsidRPr="002E0C7E" w:rsidRDefault="0081610A" w:rsidP="00A51A60">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A51A60">
            <w:pPr>
              <w:widowControl w:val="0"/>
              <w:jc w:val="center"/>
              <w:rPr>
                <w:rFonts w:ascii="Arial" w:hAnsi="Arial"/>
                <w:b/>
                <w:sz w:val="14"/>
              </w:rPr>
            </w:pPr>
            <w:r>
              <w:rPr>
                <w:rFonts w:ascii="Arial" w:hAnsi="Arial"/>
                <w:b/>
                <w:sz w:val="14"/>
              </w:rPr>
              <w:t>H</w:t>
            </w:r>
          </w:p>
          <w:p w:rsidR="0081610A" w:rsidRPr="002E0C7E" w:rsidRDefault="0081610A" w:rsidP="00A51A60">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1</w:t>
            </w:r>
          </w:p>
        </w:tc>
      </w:tr>
      <w:tr w:rsidR="0081610A" w:rsidRPr="002E0C7E" w:rsidTr="00A51A60">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8</w:t>
            </w:r>
          </w:p>
        </w:tc>
      </w:tr>
      <w:tr w:rsidR="0081610A" w:rsidRPr="002E0C7E" w:rsidTr="00A51A60">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7255AD" w:rsidRDefault="0081610A" w:rsidP="00A51A60">
            <w:pPr>
              <w:widowControl w:val="0"/>
              <w:jc w:val="center"/>
              <w:rPr>
                <w:rFonts w:ascii="Arial" w:hAnsi="Arial"/>
                <w:b/>
                <w:sz w:val="14"/>
              </w:rPr>
            </w:pPr>
            <w:r>
              <w:rPr>
                <w:rFonts w:ascii="Arial" w:hAnsi="Arial"/>
                <w:b/>
                <w:sz w:val="14"/>
              </w:rPr>
              <w:t>M</w:t>
            </w: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9</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0E2B85" w:rsidRDefault="0081610A" w:rsidP="00A51A60">
            <w:pPr>
              <w:widowControl w:val="0"/>
              <w:jc w:val="center"/>
              <w:rPr>
                <w:rFonts w:ascii="Arial" w:hAnsi="Arial"/>
                <w:b/>
                <w:sz w:val="14"/>
              </w:rPr>
            </w:pPr>
            <w:r>
              <w:rPr>
                <w:rFonts w:ascii="Arial" w:hAnsi="Arial"/>
                <w:b/>
                <w:sz w:val="14"/>
              </w:rPr>
              <w:t>M</w:t>
            </w: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5</w:t>
            </w:r>
          </w:p>
        </w:tc>
      </w:tr>
      <w:tr w:rsidR="0081610A" w:rsidRPr="002E0C7E" w:rsidTr="00A51A60">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34238" w:rsidRDefault="0081610A" w:rsidP="00A51A60">
            <w:pPr>
              <w:widowControl w:val="0"/>
              <w:jc w:val="center"/>
              <w:rPr>
                <w:rFonts w:ascii="Arial" w:hAnsi="Arial"/>
                <w:b/>
                <w:sz w:val="14"/>
              </w:rPr>
            </w:pPr>
            <w:r>
              <w:rPr>
                <w:rFonts w:ascii="Arial" w:hAnsi="Arial"/>
                <w:b/>
                <w:sz w:val="14"/>
              </w:rPr>
              <w:t>M</w:t>
            </w: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2</w:t>
            </w:r>
          </w:p>
        </w:tc>
      </w:tr>
      <w:tr w:rsidR="0081610A" w:rsidRPr="002E0C7E" w:rsidTr="00A51A60">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Pr>
                <w:rFonts w:ascii="Arial" w:hAnsi="Arial"/>
                <w:sz w:val="14"/>
              </w:rPr>
              <w:t>23</w:t>
            </w:r>
          </w:p>
          <w:p w:rsidR="0081610A" w:rsidRPr="002E0C7E" w:rsidRDefault="0081610A" w:rsidP="00A51A60">
            <w:pPr>
              <w:widowControl w:val="0"/>
              <w:jc w:val="center"/>
              <w:rPr>
                <w:rFonts w:ascii="Arial" w:hAnsi="Arial"/>
                <w:sz w:val="14"/>
              </w:rPr>
            </w:pPr>
            <w:r>
              <w:rPr>
                <w:rFonts w:ascii="Arial" w:hAnsi="Arial"/>
                <w:sz w:val="14"/>
              </w:rPr>
              <w:t xml:space="preserve">  30</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r>
              <w:rPr>
                <w:rFonts w:ascii="Arial" w:hAnsi="Arial"/>
                <w:sz w:val="14"/>
              </w:rPr>
              <w:t>24</w:t>
            </w:r>
          </w:p>
          <w:p w:rsidR="0081610A" w:rsidRPr="002E0C7E" w:rsidRDefault="0081610A" w:rsidP="00A51A60">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61B35" w:rsidRDefault="0081610A" w:rsidP="00A51A60">
            <w:pPr>
              <w:widowControl w:val="0"/>
              <w:jc w:val="center"/>
              <w:rPr>
                <w:rFonts w:ascii="Arial" w:hAnsi="Arial"/>
                <w:b/>
                <w:sz w:val="14"/>
              </w:rPr>
            </w:pPr>
          </w:p>
          <w:p w:rsidR="0081610A" w:rsidRPr="002E0C7E" w:rsidRDefault="0081610A" w:rsidP="00A51A60">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29</w:t>
            </w:r>
          </w:p>
        </w:tc>
      </w:tr>
    </w:tbl>
    <w:p w:rsidR="0081610A" w:rsidRPr="002E0C7E" w:rsidRDefault="0081610A" w:rsidP="0081610A">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610A" w:rsidRPr="002E0C7E" w:rsidTr="00A51A60">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A51A60">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A51A60">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A51A60">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A51A60">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A51A60">
            <w:pPr>
              <w:widowControl w:val="0"/>
              <w:jc w:val="center"/>
              <w:rPr>
                <w:rFonts w:ascii="Arial" w:hAnsi="Arial"/>
                <w:sz w:val="14"/>
              </w:rPr>
            </w:pPr>
            <w:r w:rsidRPr="002E0C7E">
              <w:rPr>
                <w:rFonts w:ascii="Arial" w:hAnsi="Arial"/>
                <w:b/>
                <w:sz w:val="14"/>
              </w:rPr>
              <w:t>JUNE - JUIN</w:t>
            </w:r>
          </w:p>
        </w:tc>
      </w:tr>
      <w:tr w:rsidR="0081610A" w:rsidRPr="002E0C7E" w:rsidTr="00A51A60">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S</w:t>
            </w:r>
          </w:p>
          <w:p w:rsidR="0081610A" w:rsidRPr="002E0C7E" w:rsidRDefault="0081610A" w:rsidP="00A51A60">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M</w:t>
            </w:r>
          </w:p>
          <w:p w:rsidR="0081610A" w:rsidRPr="002E0C7E" w:rsidRDefault="0081610A" w:rsidP="00A51A60">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T</w:t>
            </w:r>
          </w:p>
          <w:p w:rsidR="0081610A" w:rsidRPr="002E0C7E" w:rsidRDefault="0081610A" w:rsidP="00A51A60">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W</w:t>
            </w:r>
          </w:p>
          <w:p w:rsidR="0081610A" w:rsidRPr="002E0C7E" w:rsidRDefault="0081610A" w:rsidP="00A51A60">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T</w:t>
            </w:r>
          </w:p>
          <w:p w:rsidR="0081610A" w:rsidRPr="002E0C7E" w:rsidRDefault="0081610A" w:rsidP="00A51A60">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F</w:t>
            </w:r>
          </w:p>
          <w:p w:rsidR="0081610A" w:rsidRPr="002E0C7E" w:rsidRDefault="0081610A" w:rsidP="00A51A60">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S</w:t>
            </w:r>
          </w:p>
          <w:p w:rsidR="0081610A" w:rsidRPr="002E0C7E" w:rsidRDefault="0081610A" w:rsidP="00A51A60">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S</w:t>
            </w:r>
          </w:p>
          <w:p w:rsidR="0081610A" w:rsidRPr="002E0C7E" w:rsidRDefault="0081610A" w:rsidP="00A51A60">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M</w:t>
            </w:r>
          </w:p>
          <w:p w:rsidR="0081610A" w:rsidRPr="002E0C7E" w:rsidRDefault="0081610A" w:rsidP="00A51A60">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T</w:t>
            </w:r>
          </w:p>
          <w:p w:rsidR="0081610A" w:rsidRPr="002E0C7E" w:rsidRDefault="0081610A" w:rsidP="00A51A60">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W</w:t>
            </w:r>
          </w:p>
          <w:p w:rsidR="0081610A" w:rsidRPr="002E0C7E" w:rsidRDefault="0081610A" w:rsidP="00A51A60">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T</w:t>
            </w:r>
          </w:p>
          <w:p w:rsidR="0081610A" w:rsidRPr="002E0C7E" w:rsidRDefault="0081610A" w:rsidP="00A51A60">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F</w:t>
            </w:r>
          </w:p>
          <w:p w:rsidR="0081610A" w:rsidRPr="002E0C7E" w:rsidRDefault="0081610A" w:rsidP="00A51A60">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S</w:t>
            </w:r>
          </w:p>
          <w:p w:rsidR="0081610A" w:rsidRPr="002E0C7E" w:rsidRDefault="0081610A" w:rsidP="00A51A60">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S</w:t>
            </w:r>
          </w:p>
          <w:p w:rsidR="0081610A" w:rsidRPr="002E0C7E" w:rsidRDefault="0081610A" w:rsidP="00A51A60">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M</w:t>
            </w:r>
          </w:p>
          <w:p w:rsidR="0081610A" w:rsidRPr="002E0C7E" w:rsidRDefault="0081610A" w:rsidP="00A51A60">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T</w:t>
            </w:r>
          </w:p>
          <w:p w:rsidR="0081610A" w:rsidRPr="002E0C7E" w:rsidRDefault="0081610A" w:rsidP="00A51A60">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W</w:t>
            </w:r>
          </w:p>
          <w:p w:rsidR="0081610A" w:rsidRPr="002E0C7E" w:rsidRDefault="0081610A" w:rsidP="00A51A60">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T</w:t>
            </w:r>
          </w:p>
          <w:p w:rsidR="0081610A" w:rsidRPr="002E0C7E" w:rsidRDefault="0081610A" w:rsidP="00A51A60">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sidRPr="002E0C7E">
              <w:rPr>
                <w:rFonts w:ascii="Arial" w:hAnsi="Arial"/>
                <w:sz w:val="14"/>
              </w:rPr>
              <w:t>F</w:t>
            </w:r>
          </w:p>
          <w:p w:rsidR="0081610A" w:rsidRPr="002E0C7E" w:rsidRDefault="0081610A" w:rsidP="00A51A60">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r>
              <w:rPr>
                <w:rFonts w:ascii="Arial" w:hAnsi="Arial"/>
                <w:sz w:val="14"/>
              </w:rPr>
              <w:t>S</w:t>
            </w:r>
          </w:p>
          <w:p w:rsidR="0081610A" w:rsidRPr="002E0C7E" w:rsidRDefault="0081610A" w:rsidP="00A51A60">
            <w:pPr>
              <w:widowControl w:val="0"/>
              <w:jc w:val="center"/>
              <w:rPr>
                <w:rFonts w:ascii="Arial" w:hAnsi="Arial"/>
                <w:sz w:val="14"/>
              </w:rPr>
            </w:pPr>
            <w:r>
              <w:rPr>
                <w:rFonts w:ascii="Arial" w:hAnsi="Arial"/>
                <w:sz w:val="14"/>
              </w:rPr>
              <w:t>S</w:t>
            </w:r>
          </w:p>
        </w:tc>
      </w:tr>
      <w:tr w:rsidR="0081610A" w:rsidRPr="002E0C7E" w:rsidTr="00A51A60">
        <w:trPr>
          <w:cantSplit/>
          <w:trHeight w:val="422"/>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b/>
                <w:sz w:val="14"/>
              </w:rPr>
            </w:pPr>
          </w:p>
          <w:p w:rsidR="0081610A" w:rsidRPr="002E0C7E" w:rsidRDefault="0081610A" w:rsidP="00A51A60">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7</w:t>
            </w:r>
          </w:p>
        </w:tc>
      </w:tr>
      <w:tr w:rsidR="0081610A" w:rsidRPr="002E0C7E" w:rsidTr="00A51A60">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710C8B" w:rsidRDefault="0081610A" w:rsidP="00A51A60">
            <w:pPr>
              <w:widowControl w:val="0"/>
              <w:jc w:val="center"/>
              <w:rPr>
                <w:rFonts w:ascii="Arial" w:hAnsi="Arial"/>
                <w:b/>
                <w:sz w:val="14"/>
              </w:rPr>
            </w:pPr>
          </w:p>
          <w:p w:rsidR="0081610A" w:rsidRPr="002E0C7E" w:rsidRDefault="0081610A" w:rsidP="00A51A60">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14</w:t>
            </w:r>
          </w:p>
        </w:tc>
      </w:tr>
      <w:tr w:rsidR="0081610A" w:rsidRPr="002E0C7E" w:rsidTr="00A51A60">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B5777" w:rsidRDefault="0081610A" w:rsidP="00A51A60">
            <w:pPr>
              <w:widowControl w:val="0"/>
              <w:jc w:val="center"/>
              <w:rPr>
                <w:rFonts w:ascii="Arial" w:hAnsi="Arial"/>
                <w:b/>
                <w:sz w:val="14"/>
              </w:rPr>
            </w:pPr>
            <w:r w:rsidRPr="00DB5777">
              <w:rPr>
                <w:rFonts w:ascii="Arial" w:hAnsi="Arial"/>
                <w:b/>
                <w:sz w:val="14"/>
              </w:rPr>
              <w:t>M</w:t>
            </w: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852172" w:rsidRDefault="0081610A" w:rsidP="00A51A60">
            <w:pPr>
              <w:widowControl w:val="0"/>
              <w:jc w:val="center"/>
              <w:rPr>
                <w:rFonts w:ascii="Arial" w:hAnsi="Arial"/>
                <w:b/>
                <w:sz w:val="14"/>
              </w:rPr>
            </w:pPr>
            <w:r>
              <w:rPr>
                <w:rFonts w:ascii="Arial" w:hAnsi="Arial"/>
                <w:b/>
                <w:sz w:val="14"/>
              </w:rPr>
              <w:t>H</w:t>
            </w:r>
          </w:p>
          <w:p w:rsidR="0081610A" w:rsidRPr="002E0C7E" w:rsidRDefault="0081610A" w:rsidP="00A51A60">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19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453E3" w:rsidRDefault="0081610A" w:rsidP="00A51A60">
            <w:pPr>
              <w:widowControl w:val="0"/>
              <w:jc w:val="center"/>
              <w:rPr>
                <w:rFonts w:ascii="Arial" w:hAnsi="Arial"/>
                <w:b/>
                <w:sz w:val="14"/>
              </w:rPr>
            </w:pPr>
            <w:r w:rsidRPr="002453E3">
              <w:rPr>
                <w:rFonts w:ascii="Arial" w:hAnsi="Arial"/>
                <w:b/>
                <w:sz w:val="14"/>
              </w:rPr>
              <w:t>M</w:t>
            </w: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6A1E8D" w:rsidRDefault="0081610A" w:rsidP="00A51A60">
            <w:pPr>
              <w:widowControl w:val="0"/>
              <w:jc w:val="center"/>
              <w:rPr>
                <w:rFonts w:ascii="Arial" w:hAnsi="Arial"/>
                <w:b/>
                <w:sz w:val="14"/>
              </w:rPr>
            </w:pPr>
            <w:r w:rsidRPr="006A1E8D">
              <w:rPr>
                <w:rFonts w:ascii="Arial" w:hAnsi="Arial"/>
                <w:b/>
                <w:sz w:val="14"/>
              </w:rPr>
              <w:t>M</w:t>
            </w: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A51A60">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vAlign w:val="center"/>
          </w:tcPr>
          <w:p w:rsidR="0081610A" w:rsidRPr="00CD57C3" w:rsidRDefault="0081610A" w:rsidP="00A51A60">
            <w:pPr>
              <w:widowControl w:val="0"/>
              <w:jc w:val="center"/>
              <w:rPr>
                <w:rFonts w:ascii="Arial" w:hAnsi="Arial"/>
                <w:b/>
                <w:sz w:val="14"/>
              </w:rPr>
            </w:pPr>
            <w:r w:rsidRPr="00CD57C3">
              <w:rPr>
                <w:rFonts w:ascii="Arial" w:hAnsi="Arial"/>
                <w:b/>
                <w:sz w:val="14"/>
              </w:rPr>
              <w:t>H</w:t>
            </w: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18</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2453E3" w:rsidRDefault="0081610A" w:rsidP="00A51A60">
            <w:pPr>
              <w:widowControl w:val="0"/>
              <w:jc w:val="center"/>
              <w:rPr>
                <w:rFonts w:ascii="Arial" w:hAnsi="Arial"/>
                <w:b/>
                <w:sz w:val="14"/>
              </w:rPr>
            </w:pPr>
            <w:r>
              <w:rPr>
                <w:rFonts w:ascii="Arial" w:hAnsi="Arial"/>
                <w:b/>
                <w:sz w:val="14"/>
              </w:rPr>
              <w:t>H</w:t>
            </w:r>
          </w:p>
          <w:p w:rsidR="0081610A" w:rsidRPr="002E0C7E" w:rsidRDefault="0081610A" w:rsidP="00A51A60">
            <w:pPr>
              <w:widowControl w:val="0"/>
              <w:jc w:val="center"/>
              <w:rPr>
                <w:rFonts w:ascii="Arial" w:hAnsi="Arial"/>
                <w:sz w:val="14"/>
              </w:rPr>
            </w:pPr>
            <w:r>
              <w:rPr>
                <w:rFonts w:ascii="Arial" w:hAnsi="Arial"/>
                <w:sz w:val="14"/>
              </w:rPr>
              <w:t>19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A51A60">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31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A51A60">
            <w:pPr>
              <w:widowControl w:val="0"/>
              <w:jc w:val="center"/>
              <w:rPr>
                <w:rFonts w:ascii="Arial" w:hAnsi="Arial"/>
                <w:sz w:val="14"/>
              </w:rPr>
            </w:pPr>
          </w:p>
          <w:p w:rsidR="0081610A" w:rsidRPr="002E0C7E" w:rsidRDefault="0081610A" w:rsidP="00A51A60">
            <w:pPr>
              <w:widowControl w:val="0"/>
              <w:jc w:val="center"/>
              <w:rPr>
                <w:rFonts w:ascii="Arial" w:hAnsi="Arial"/>
                <w:sz w:val="14"/>
              </w:rPr>
            </w:pPr>
          </w:p>
        </w:tc>
      </w:tr>
    </w:tbl>
    <w:p w:rsidR="0081610A" w:rsidRPr="002E0C7E" w:rsidRDefault="0081610A" w:rsidP="0081610A">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610A" w:rsidRPr="002E0C7E" w:rsidTr="00A51A60">
        <w:trPr>
          <w:cantSplit/>
        </w:trPr>
        <w:tc>
          <w:tcPr>
            <w:tcW w:w="1710" w:type="dxa"/>
            <w:tcBorders>
              <w:top w:val="nil"/>
              <w:left w:val="nil"/>
              <w:bottom w:val="nil"/>
              <w:right w:val="nil"/>
            </w:tcBorders>
            <w:tcMar>
              <w:top w:w="43" w:type="dxa"/>
              <w:left w:w="120" w:type="dxa"/>
              <w:bottom w:w="29" w:type="dxa"/>
              <w:right w:w="120" w:type="dxa"/>
            </w:tcMar>
          </w:tcPr>
          <w:p w:rsidR="0081610A" w:rsidRPr="002E0C7E" w:rsidRDefault="0081610A" w:rsidP="00A51A60">
            <w:pPr>
              <w:widowControl w:val="0"/>
              <w:rPr>
                <w:rFonts w:ascii="Arial" w:hAnsi="Arial"/>
                <w:sz w:val="16"/>
              </w:rPr>
            </w:pPr>
            <w:r w:rsidRPr="002E0C7E">
              <w:rPr>
                <w:rFonts w:ascii="Arial" w:hAnsi="Arial"/>
                <w:sz w:val="16"/>
              </w:rPr>
              <w:t>Sittings of the court:</w:t>
            </w:r>
          </w:p>
          <w:p w:rsidR="0081610A" w:rsidRPr="002E0C7E" w:rsidRDefault="0081610A" w:rsidP="00A51A60">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610A" w:rsidRPr="002E0C7E" w:rsidRDefault="0081610A" w:rsidP="00A51A60">
            <w:pPr>
              <w:widowControl w:val="0"/>
              <w:rPr>
                <w:rFonts w:ascii="Arial" w:hAnsi="Arial"/>
                <w:sz w:val="16"/>
              </w:rPr>
            </w:pPr>
          </w:p>
          <w:p w:rsidR="0081610A" w:rsidRPr="002E0C7E" w:rsidRDefault="0081610A" w:rsidP="00A51A60">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610A" w:rsidRPr="00B058C3" w:rsidRDefault="0081610A" w:rsidP="00A51A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610A" w:rsidRPr="00B058C3" w:rsidRDefault="0081610A" w:rsidP="00A51A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610A" w:rsidRPr="00B058C3" w:rsidRDefault="0081610A" w:rsidP="00A51A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610A" w:rsidRPr="002E0C7E" w:rsidRDefault="0081610A" w:rsidP="00A51A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610A" w:rsidRPr="002E0C7E" w:rsidRDefault="0081610A" w:rsidP="00A51A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A51A60">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A51A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610A" w:rsidRPr="002E0C7E" w:rsidRDefault="0081610A" w:rsidP="00A51A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610A" w:rsidRPr="002E0C7E" w:rsidRDefault="0081610A" w:rsidP="00A51A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A51A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A51A60">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A51A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610A" w:rsidRPr="002E0C7E" w:rsidRDefault="0081610A" w:rsidP="00A51A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610A" w:rsidRPr="002E0C7E" w:rsidRDefault="0081610A" w:rsidP="00A51A60">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A51A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610A" w:rsidRPr="002E0C7E" w:rsidRDefault="0081610A" w:rsidP="0081610A">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119"/>
      <w:footerReference w:type="default" r:id="rId120"/>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2D8" w:rsidRDefault="005022D8" w:rsidP="00A87207">
      <w:r>
        <w:separator/>
      </w:r>
    </w:p>
  </w:endnote>
  <w:endnote w:type="continuationSeparator" w:id="0">
    <w:p w:rsidR="005022D8" w:rsidRDefault="005022D8"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D8" w:rsidRDefault="005022D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D8" w:rsidRDefault="00EB0F11">
    <w:pPr>
      <w:pStyle w:val="Footer"/>
      <w:rPr>
        <w:lang w:val="fr-CA"/>
      </w:rPr>
    </w:pPr>
    <w:r>
      <w:rPr>
        <w:lang w:val="fr-CA"/>
      </w:rPr>
      <w:pict>
        <v:rect id="_x0000_i1072" style="width:480.95pt;height:1pt" o:hralign="center" o:hrstd="t" o:hrnoshade="t" o:hr="t" fillcolor="black [3213]" stroked="f"/>
      </w:pict>
    </w:r>
  </w:p>
  <w:p w:rsidR="005022D8" w:rsidRDefault="005022D8" w:rsidP="00245129">
    <w:pPr>
      <w:tabs>
        <w:tab w:val="center" w:pos="4680"/>
      </w:tabs>
    </w:pPr>
    <w:r>
      <w:tab/>
    </w:r>
    <w:r w:rsidRPr="0009648D">
      <w:t xml:space="preserve">- </w:t>
    </w:r>
    <w:r w:rsidR="00EB0F11">
      <w:fldChar w:fldCharType="begin"/>
    </w:r>
    <w:r w:rsidR="00EB0F11">
      <w:instrText xml:space="preserve"> PAGE   \* MERGEFORMAT </w:instrText>
    </w:r>
    <w:r w:rsidR="00EB0F11">
      <w:fldChar w:fldCharType="separate"/>
    </w:r>
    <w:r w:rsidR="00EB0F11">
      <w:rPr>
        <w:noProof/>
      </w:rPr>
      <w:t>308</w:t>
    </w:r>
    <w:r w:rsidR="00EB0F11">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D8" w:rsidRDefault="00502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022D8" w:rsidRDefault="00502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022D8" w:rsidRDefault="005022D8">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D8" w:rsidRDefault="00EB0F11" w:rsidP="00755F22">
    <w:pPr>
      <w:tabs>
        <w:tab w:val="left" w:pos="-1440"/>
        <w:tab w:val="left" w:pos="-720"/>
      </w:tabs>
    </w:pPr>
    <w:r>
      <w:pict>
        <v:rect id="_x0000_i1080" style="width:480.95pt;height:1pt" o:hralign="center" o:hrstd="t" o:hrnoshade="t" o:hr="t" fillcolor="black [3213]" stroked="f"/>
      </w:pict>
    </w:r>
  </w:p>
  <w:p w:rsidR="005022D8" w:rsidRDefault="005022D8" w:rsidP="00EB2B90">
    <w:pPr>
      <w:tabs>
        <w:tab w:val="center" w:pos="4680"/>
      </w:tabs>
    </w:pPr>
    <w:r>
      <w:tab/>
      <w:t xml:space="preserve">- </w:t>
    </w:r>
    <w:r w:rsidR="00EB0F11">
      <w:fldChar w:fldCharType="begin"/>
    </w:r>
    <w:r w:rsidR="00EB0F11">
      <w:instrText xml:space="preserve"> PAGE   \* MERGEFORMAT </w:instrText>
    </w:r>
    <w:r w:rsidR="00EB0F11">
      <w:fldChar w:fldCharType="separate"/>
    </w:r>
    <w:r w:rsidR="00EB0F11">
      <w:rPr>
        <w:noProof/>
      </w:rPr>
      <w:t>343</w:t>
    </w:r>
    <w:r w:rsidR="00EB0F11">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D8" w:rsidRDefault="00EB0F11" w:rsidP="00EB2B90">
    <w:pPr>
      <w:tabs>
        <w:tab w:val="center" w:pos="4680"/>
      </w:tabs>
    </w:pPr>
    <w:r>
      <w:pict>
        <v:rect id="_x0000_i1081" style="width:480.95pt;height:1pt" o:hralign="center" o:hrstd="t" o:hrnoshade="t" o:hr="t" fillcolor="black [3213]" stroked="f"/>
      </w:pict>
    </w:r>
  </w:p>
  <w:p w:rsidR="005022D8" w:rsidRPr="0031432F" w:rsidRDefault="005022D8" w:rsidP="00EB2B90">
    <w:pPr>
      <w:tabs>
        <w:tab w:val="center" w:pos="4680"/>
      </w:tabs>
    </w:pPr>
    <w:r>
      <w:tab/>
      <w:t xml:space="preserve">- </w:t>
    </w:r>
    <w:r w:rsidR="00EB0F11">
      <w:fldChar w:fldCharType="begin"/>
    </w:r>
    <w:r w:rsidR="00EB0F11">
      <w:instrText xml:space="preserve"> PAGE   \* MERGEFORMAT </w:instrText>
    </w:r>
    <w:r w:rsidR="00EB0F11">
      <w:fldChar w:fldCharType="separate"/>
    </w:r>
    <w:r w:rsidR="00EB0F11">
      <w:rPr>
        <w:noProof/>
      </w:rPr>
      <w:t>335</w:t>
    </w:r>
    <w:r w:rsidR="00EB0F11">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D8" w:rsidRDefault="00502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022D8" w:rsidRDefault="00502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022D8" w:rsidRDefault="005022D8">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D8" w:rsidRDefault="00EB0F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4" style="width:480.95pt;height:1pt" o:hralign="center" o:hrstd="t" o:hrnoshade="t" o:hr="t" fillcolor="black [3213]" stroked="f"/>
      </w:pict>
    </w:r>
  </w:p>
  <w:p w:rsidR="005022D8" w:rsidRDefault="005022D8" w:rsidP="00EB2B90">
    <w:pPr>
      <w:tabs>
        <w:tab w:val="center" w:pos="4680"/>
      </w:tabs>
    </w:pPr>
    <w:r>
      <w:tab/>
      <w:t xml:space="preserve">- </w:t>
    </w:r>
    <w:r w:rsidR="00EB0F11">
      <w:fldChar w:fldCharType="begin"/>
    </w:r>
    <w:r w:rsidR="00EB0F11">
      <w:instrText xml:space="preserve"> PAGE   \* MERGEFORMAT </w:instrText>
    </w:r>
    <w:r w:rsidR="00EB0F11">
      <w:fldChar w:fldCharType="separate"/>
    </w:r>
    <w:r>
      <w:rPr>
        <w:noProof/>
      </w:rPr>
      <w:t>519</w:t>
    </w:r>
    <w:r w:rsidR="00EB0F11">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D8" w:rsidRDefault="00EB0F11">
    <w:pPr>
      <w:pStyle w:val="Footer"/>
      <w:rPr>
        <w:lang w:val="fr-CA"/>
      </w:rPr>
    </w:pPr>
    <w:r>
      <w:rPr>
        <w:lang w:val="fr-CA"/>
      </w:rPr>
      <w:pict>
        <v:rect id="_x0000_i1085" style="width:480.95pt;height:1pt" o:hralign="center" o:hrstd="t" o:hrnoshade="t" o:hr="t" fillcolor="black [3213]" stroked="f"/>
      </w:pict>
    </w:r>
  </w:p>
  <w:p w:rsidR="005022D8" w:rsidRDefault="005022D8" w:rsidP="00EB2B90">
    <w:pPr>
      <w:tabs>
        <w:tab w:val="center" w:pos="4680"/>
      </w:tabs>
    </w:pPr>
    <w:r>
      <w:tab/>
      <w:t xml:space="preserve">- </w:t>
    </w:r>
    <w:r w:rsidR="00EB0F11">
      <w:fldChar w:fldCharType="begin"/>
    </w:r>
    <w:r w:rsidR="00EB0F11">
      <w:instrText xml:space="preserve"> PAGE   \* MERGEFORMAT </w:instrText>
    </w:r>
    <w:r w:rsidR="00EB0F11">
      <w:fldChar w:fldCharType="separate"/>
    </w:r>
    <w:r w:rsidR="00EB0F11">
      <w:rPr>
        <w:noProof/>
      </w:rPr>
      <w:t>344</w:t>
    </w:r>
    <w:r w:rsidR="00EB0F11">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D8" w:rsidRDefault="00502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022D8" w:rsidRDefault="00502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022D8" w:rsidRDefault="005022D8">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D8" w:rsidRDefault="00EB0F11" w:rsidP="00732DB7">
    <w:r>
      <w:pict>
        <v:rect id="_x0000_i1090" style="width:480.95pt;height:1pt" o:hralign="center" o:hrstd="t" o:hrnoshade="t" o:hr="t" fillcolor="black" stroked="f"/>
      </w:pict>
    </w:r>
  </w:p>
  <w:p w:rsidR="005022D8" w:rsidRDefault="005022D8">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D8" w:rsidRDefault="00EB0F11">
    <w:pPr>
      <w:pStyle w:val="Footer"/>
    </w:pPr>
    <w:r>
      <w:pict>
        <v:rect id="_x0000_i1091" style="width:480.95pt;height:1pt" o:hralign="center" o:hrstd="t" o:hrnoshade="t" o:hr="t" fillcolor="black" stroked="f"/>
      </w:pict>
    </w:r>
  </w:p>
  <w:p w:rsidR="005022D8" w:rsidRPr="00283C52" w:rsidRDefault="005022D8">
    <w:pPr>
      <w:pStyle w:val="Footer"/>
    </w:pPr>
    <w:r>
      <w:tab/>
    </w:r>
    <w:r w:rsidRPr="00283C52">
      <w:t xml:space="preserve">- </w:t>
    </w:r>
    <w:r w:rsidRPr="00283C52">
      <w:pgNum/>
    </w:r>
    <w:r w:rsidRPr="00283C5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D8" w:rsidRDefault="005022D8">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D8" w:rsidRDefault="00502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022D8" w:rsidRDefault="00502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022D8" w:rsidRDefault="005022D8">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D8" w:rsidRDefault="00EB0F11" w:rsidP="00732DB7">
    <w:r>
      <w:pict>
        <v:rect id="_x0000_i1094" style="width:480.95pt;height:1pt" o:hralign="center" o:hrstd="t" o:hrnoshade="t" o:hr="t" fillcolor="black" stroked="f"/>
      </w:pict>
    </w:r>
  </w:p>
  <w:p w:rsidR="005022D8" w:rsidRDefault="005022D8">
    <w:pPr>
      <w:tabs>
        <w:tab w:val="center" w:pos="4740"/>
      </w:tabs>
      <w:spacing w:line="0" w:lineRule="atLeast"/>
    </w:pPr>
    <w:r>
      <w:tab/>
      <w:t xml:space="preserve">- </w:t>
    </w:r>
    <w:r>
      <w:pgNum/>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D8" w:rsidRDefault="00EB0F11">
    <w:pPr>
      <w:pStyle w:val="Footer"/>
    </w:pPr>
    <w:r>
      <w:pict>
        <v:rect id="_x0000_i1095" style="width:480.95pt;height:1pt" o:hralign="center" o:hrstd="t" o:hrnoshade="t" o:hr="t" fillcolor="black [3213]" stroked="f"/>
      </w:pict>
    </w:r>
  </w:p>
  <w:p w:rsidR="005022D8" w:rsidRPr="003C2C0F" w:rsidRDefault="005022D8" w:rsidP="00697C62">
    <w:pPr>
      <w:tabs>
        <w:tab w:val="center" w:pos="4680"/>
      </w:tabs>
    </w:pPr>
    <w:r>
      <w:tab/>
      <w:t xml:space="preserve">- </w:t>
    </w:r>
    <w:r w:rsidR="00EB0F11">
      <w:fldChar w:fldCharType="begin"/>
    </w:r>
    <w:r w:rsidR="00EB0F11">
      <w:instrText xml:space="preserve"> PAGE   \* MERGEFORMAT </w:instrText>
    </w:r>
    <w:r w:rsidR="00EB0F11">
      <w:fldChar w:fldCharType="separate"/>
    </w:r>
    <w:r w:rsidR="00EB0F11">
      <w:rPr>
        <w:noProof/>
      </w:rPr>
      <w:t>350</w:t>
    </w:r>
    <w:r w:rsidR="00EB0F11">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D8" w:rsidRDefault="00502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022D8" w:rsidRDefault="00502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022D8" w:rsidRDefault="005022D8">
    <w:pPr>
      <w:tabs>
        <w:tab w:val="center" w:pos="4740"/>
      </w:tabs>
    </w:pPr>
    <w:r>
      <w:tab/>
      <w:t xml:space="preserve">- </w:t>
    </w:r>
    <w:r>
      <w:pgNum/>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D8" w:rsidRDefault="00502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022D8" w:rsidRDefault="00EB0F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00" style="width:480.95pt;height:1pt" o:hralign="center" o:hrstd="t" o:hrnoshade="t" o:hr="t" fillcolor="black [3213]" stroked="f"/>
      </w:pict>
    </w:r>
  </w:p>
  <w:p w:rsidR="005022D8" w:rsidRDefault="005022D8" w:rsidP="00782AE4">
    <w:pPr>
      <w:tabs>
        <w:tab w:val="center" w:pos="4680"/>
      </w:tabs>
    </w:pPr>
    <w:r>
      <w:tab/>
      <w:t xml:space="preserve">- </w:t>
    </w:r>
    <w:r w:rsidR="0006361A" w:rsidRPr="001775C1">
      <w:rPr>
        <w:szCs w:val="24"/>
      </w:rPr>
      <w:fldChar w:fldCharType="begin"/>
    </w:r>
    <w:r w:rsidRPr="001775C1">
      <w:rPr>
        <w:szCs w:val="24"/>
      </w:rPr>
      <w:instrText xml:space="preserve"> PAGE   \* MERGEFORMAT </w:instrText>
    </w:r>
    <w:r w:rsidR="0006361A" w:rsidRPr="001775C1">
      <w:rPr>
        <w:szCs w:val="24"/>
      </w:rPr>
      <w:fldChar w:fldCharType="separate"/>
    </w:r>
    <w:r w:rsidR="00EB0F11">
      <w:rPr>
        <w:noProof/>
        <w:szCs w:val="24"/>
      </w:rPr>
      <w:t>358</w:t>
    </w:r>
    <w:r w:rsidR="0006361A" w:rsidRPr="001775C1">
      <w:rPr>
        <w:szCs w:val="24"/>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D8" w:rsidRDefault="00EB0F11" w:rsidP="00782AE4">
    <w:pPr>
      <w:tabs>
        <w:tab w:val="center" w:pos="4680"/>
      </w:tabs>
    </w:pPr>
    <w:r>
      <w:pict>
        <v:rect id="_x0000_i1101" style="width:480.95pt;height:1pt" o:hralign="center" o:hrstd="t" o:hrnoshade="t" o:hr="t" fillcolor="black [3213]" stroked="f"/>
      </w:pict>
    </w:r>
  </w:p>
  <w:p w:rsidR="005022D8" w:rsidRDefault="005022D8" w:rsidP="00782AE4">
    <w:pPr>
      <w:tabs>
        <w:tab w:val="center" w:pos="4680"/>
      </w:tabs>
    </w:pPr>
    <w:r>
      <w:tab/>
      <w:t xml:space="preserve">- </w:t>
    </w:r>
    <w:r w:rsidR="0006361A" w:rsidRPr="001775C1">
      <w:rPr>
        <w:szCs w:val="24"/>
      </w:rPr>
      <w:fldChar w:fldCharType="begin"/>
    </w:r>
    <w:r w:rsidRPr="001775C1">
      <w:rPr>
        <w:szCs w:val="24"/>
      </w:rPr>
      <w:instrText xml:space="preserve"> PAGE   \* MERGEFORMAT </w:instrText>
    </w:r>
    <w:r w:rsidR="0006361A" w:rsidRPr="001775C1">
      <w:rPr>
        <w:szCs w:val="24"/>
      </w:rPr>
      <w:fldChar w:fldCharType="separate"/>
    </w:r>
    <w:r w:rsidR="00EB0F11">
      <w:rPr>
        <w:noProof/>
        <w:szCs w:val="24"/>
      </w:rPr>
      <w:t>351</w:t>
    </w:r>
    <w:r w:rsidR="0006361A" w:rsidRPr="001775C1">
      <w:rPr>
        <w:szCs w:val="24"/>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D8" w:rsidRPr="00924065" w:rsidRDefault="005022D8"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D8" w:rsidRDefault="005022D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D8" w:rsidRDefault="00EB0F11" w:rsidP="00A87207">
    <w:pPr>
      <w:pStyle w:val="Footer"/>
    </w:pPr>
    <w:r>
      <w:pict>
        <v:rect id="_x0000_i1036" style="width:480.95pt;height:1pt" o:hralign="center" o:hrstd="t" o:hrnoshade="t" o:hr="t" fillcolor="black [3213]" stroked="f"/>
      </w:pict>
    </w:r>
  </w:p>
  <w:p w:rsidR="005022D8" w:rsidRPr="00B7374B" w:rsidRDefault="005022D8" w:rsidP="00B7374B">
    <w:pPr>
      <w:tabs>
        <w:tab w:val="center" w:pos="4680"/>
      </w:tabs>
      <w:rPr>
        <w:szCs w:val="24"/>
      </w:rPr>
    </w:pPr>
    <w:r w:rsidRPr="00954D22">
      <w:rPr>
        <w:szCs w:val="24"/>
      </w:rPr>
      <w:tab/>
      <w:t xml:space="preserve">- </w:t>
    </w:r>
    <w:r w:rsidR="0006361A" w:rsidRPr="00954D22">
      <w:rPr>
        <w:szCs w:val="24"/>
      </w:rPr>
      <w:fldChar w:fldCharType="begin"/>
    </w:r>
    <w:r w:rsidRPr="00954D22">
      <w:rPr>
        <w:szCs w:val="24"/>
      </w:rPr>
      <w:instrText xml:space="preserve"> PAGE   \* MERGEFORMAT </w:instrText>
    </w:r>
    <w:r w:rsidR="0006361A" w:rsidRPr="00954D22">
      <w:rPr>
        <w:szCs w:val="24"/>
      </w:rPr>
      <w:fldChar w:fldCharType="separate"/>
    </w:r>
    <w:r w:rsidR="00EB0F11">
      <w:rPr>
        <w:noProof/>
        <w:szCs w:val="24"/>
      </w:rPr>
      <w:t>306</w:t>
    </w:r>
    <w:r w:rsidR="0006361A"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D8" w:rsidRDefault="00EB0F11" w:rsidP="00755F22">
    <w:pPr>
      <w:tabs>
        <w:tab w:val="left" w:pos="-1440"/>
        <w:tab w:val="left" w:pos="-720"/>
      </w:tabs>
    </w:pPr>
    <w:r>
      <w:pict>
        <v:rect id="_x0000_i1037" style="width:480.95pt;height:1pt" o:hralign="center" o:hrstd="t" o:hrnoshade="t" o:hr="t" fillcolor="black [3213]" stroked="f"/>
      </w:pict>
    </w:r>
  </w:p>
  <w:p w:rsidR="005022D8" w:rsidRPr="00954D22" w:rsidRDefault="005022D8" w:rsidP="00B7374B">
    <w:pPr>
      <w:tabs>
        <w:tab w:val="center" w:pos="4680"/>
      </w:tabs>
      <w:rPr>
        <w:szCs w:val="24"/>
      </w:rPr>
    </w:pPr>
    <w:r w:rsidRPr="00954D22">
      <w:rPr>
        <w:szCs w:val="24"/>
      </w:rPr>
      <w:tab/>
      <w:t xml:space="preserve">- </w:t>
    </w:r>
    <w:r w:rsidR="0006361A">
      <w:rPr>
        <w:szCs w:val="24"/>
      </w:rPr>
      <w:fldChar w:fldCharType="begin"/>
    </w:r>
    <w:r>
      <w:rPr>
        <w:szCs w:val="24"/>
      </w:rPr>
      <w:instrText xml:space="preserve"> PAGE   \* MERGEFORMAT </w:instrText>
    </w:r>
    <w:r w:rsidR="0006361A">
      <w:rPr>
        <w:szCs w:val="24"/>
      </w:rPr>
      <w:fldChar w:fldCharType="separate"/>
    </w:r>
    <w:r w:rsidR="00EB0F11">
      <w:rPr>
        <w:noProof/>
        <w:szCs w:val="24"/>
      </w:rPr>
      <w:t>305</w:t>
    </w:r>
    <w:r w:rsidR="0006361A">
      <w:rPr>
        <w:szCs w:val="24"/>
      </w:rPr>
      <w:fldChar w:fldCharType="end"/>
    </w:r>
    <w:r w:rsidRPr="00954D22">
      <w:rPr>
        <w:szCs w:val="24"/>
      </w:rPr>
      <w:t xml:space="preserve"> -</w:t>
    </w:r>
  </w:p>
  <w:p w:rsidR="005022D8" w:rsidRDefault="005022D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D8" w:rsidRDefault="00EB0F11" w:rsidP="00A87207">
    <w:pPr>
      <w:pStyle w:val="Footer"/>
    </w:pPr>
    <w:r>
      <w:pict>
        <v:rect id="_x0000_i1039" style="width:480.95pt;height:1pt" o:hralign="center" o:hrstd="t" o:hrnoshade="t" o:hr="t" fillcolor="black [3213]" stroked="f"/>
      </w:pict>
    </w:r>
  </w:p>
  <w:p w:rsidR="005022D8" w:rsidRPr="00B7374B" w:rsidRDefault="005022D8" w:rsidP="00B7374B">
    <w:pPr>
      <w:tabs>
        <w:tab w:val="center" w:pos="4680"/>
      </w:tabs>
      <w:rPr>
        <w:szCs w:val="24"/>
      </w:rPr>
    </w:pPr>
    <w:r w:rsidRPr="00954D22">
      <w:rPr>
        <w:szCs w:val="24"/>
      </w:rPr>
      <w:tab/>
      <w:t xml:space="preserve">- </w:t>
    </w:r>
    <w:r w:rsidR="0006361A" w:rsidRPr="00954D22">
      <w:rPr>
        <w:szCs w:val="24"/>
      </w:rPr>
      <w:fldChar w:fldCharType="begin"/>
    </w:r>
    <w:r w:rsidRPr="00954D22">
      <w:rPr>
        <w:szCs w:val="24"/>
      </w:rPr>
      <w:instrText xml:space="preserve"> PAGE   \* MERGEFORMAT </w:instrText>
    </w:r>
    <w:r w:rsidR="0006361A" w:rsidRPr="00954D22">
      <w:rPr>
        <w:szCs w:val="24"/>
      </w:rPr>
      <w:fldChar w:fldCharType="separate"/>
    </w:r>
    <w:r>
      <w:rPr>
        <w:noProof/>
        <w:szCs w:val="24"/>
      </w:rPr>
      <w:t>308</w:t>
    </w:r>
    <w:r w:rsidR="0006361A"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D8" w:rsidRDefault="00EB0F11"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0" style="width:480.95pt;height:1pt" o:hralign="center" o:hrstd="t" o:hrnoshade="t" o:hr="t" fillcolor="black [3213]" stroked="f"/>
      </w:pict>
    </w:r>
  </w:p>
  <w:p w:rsidR="005022D8" w:rsidRPr="00954D22" w:rsidRDefault="005022D8" w:rsidP="00B7374B">
    <w:pPr>
      <w:tabs>
        <w:tab w:val="center" w:pos="4680"/>
      </w:tabs>
      <w:rPr>
        <w:szCs w:val="24"/>
      </w:rPr>
    </w:pPr>
    <w:r w:rsidRPr="00954D22">
      <w:rPr>
        <w:szCs w:val="24"/>
      </w:rPr>
      <w:tab/>
      <w:t xml:space="preserve">- </w:t>
    </w:r>
    <w:r w:rsidR="0006361A" w:rsidRPr="00954D22">
      <w:rPr>
        <w:szCs w:val="24"/>
      </w:rPr>
      <w:fldChar w:fldCharType="begin"/>
    </w:r>
    <w:r w:rsidRPr="00954D22">
      <w:rPr>
        <w:szCs w:val="24"/>
      </w:rPr>
      <w:instrText xml:space="preserve"> PAGE   \* MERGEFORMAT </w:instrText>
    </w:r>
    <w:r w:rsidR="0006361A" w:rsidRPr="00954D22">
      <w:rPr>
        <w:szCs w:val="24"/>
      </w:rPr>
      <w:fldChar w:fldCharType="separate"/>
    </w:r>
    <w:r w:rsidR="00EB0F11">
      <w:rPr>
        <w:noProof/>
        <w:szCs w:val="24"/>
      </w:rPr>
      <w:t>307</w:t>
    </w:r>
    <w:r w:rsidR="0006361A"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D8" w:rsidRDefault="00502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5022D8" w:rsidRDefault="00502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022D8" w:rsidRDefault="005022D8">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D8" w:rsidRDefault="00EB0F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1" style="width:480.95pt;height:1pt" o:hralign="center" o:hrstd="t" o:hrnoshade="t" o:hr="t" fillcolor="black [3213]" stroked="f"/>
      </w:pict>
    </w:r>
  </w:p>
  <w:p w:rsidR="005022D8" w:rsidRPr="0009648D" w:rsidRDefault="005022D8" w:rsidP="00ED7E83">
    <w:pPr>
      <w:tabs>
        <w:tab w:val="center" w:pos="4680"/>
      </w:tabs>
    </w:pPr>
    <w:r>
      <w:tab/>
    </w:r>
    <w:r w:rsidRPr="0009648D">
      <w:t xml:space="preserve">- </w:t>
    </w:r>
    <w:r w:rsidR="00EB0F11">
      <w:fldChar w:fldCharType="begin"/>
    </w:r>
    <w:r w:rsidR="00EB0F11">
      <w:instrText xml:space="preserve"> PAGE   \* MERGEFORMAT </w:instrText>
    </w:r>
    <w:r w:rsidR="00EB0F11">
      <w:fldChar w:fldCharType="separate"/>
    </w:r>
    <w:r w:rsidR="00EB0F11">
      <w:rPr>
        <w:noProof/>
      </w:rPr>
      <w:t>334</w:t>
    </w:r>
    <w:r w:rsidR="00EB0F11">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2D8" w:rsidRDefault="005022D8" w:rsidP="00A87207">
      <w:r>
        <w:separator/>
      </w:r>
    </w:p>
  </w:footnote>
  <w:footnote w:type="continuationSeparator" w:id="0">
    <w:p w:rsidR="005022D8" w:rsidRDefault="005022D8"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D8" w:rsidRDefault="005022D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D8" w:rsidRDefault="005022D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022D8">
      <w:tc>
        <w:tcPr>
          <w:tcW w:w="4230" w:type="dxa"/>
          <w:tcMar>
            <w:left w:w="0" w:type="dxa"/>
            <w:right w:w="0" w:type="dxa"/>
          </w:tcMar>
        </w:tcPr>
        <w:p w:rsidR="005022D8" w:rsidRDefault="005022D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5022D8" w:rsidRDefault="005022D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022D8" w:rsidRDefault="005022D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5022D8">
      <w:trPr>
        <w:gridAfter w:val="2"/>
        <w:wAfter w:w="5250" w:type="dxa"/>
      </w:trPr>
      <w:tc>
        <w:tcPr>
          <w:tcW w:w="4230" w:type="dxa"/>
          <w:tcMar>
            <w:left w:w="0" w:type="dxa"/>
            <w:right w:w="0" w:type="dxa"/>
          </w:tcMar>
        </w:tcPr>
        <w:p w:rsidR="005022D8" w:rsidRDefault="00502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022D8" w:rsidRDefault="00502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022D8" w:rsidRPr="00755F22" w:rsidTr="00245129">
      <w:tc>
        <w:tcPr>
          <w:tcW w:w="4230" w:type="dxa"/>
          <w:tcMar>
            <w:left w:w="0" w:type="dxa"/>
            <w:right w:w="0" w:type="dxa"/>
          </w:tcMar>
        </w:tcPr>
        <w:p w:rsidR="005022D8" w:rsidRPr="00755F22" w:rsidRDefault="005022D8" w:rsidP="00831CA9">
          <w:pPr>
            <w:keepNext/>
            <w:keepLines/>
            <w:rPr>
              <w:sz w:val="20"/>
              <w:szCs w:val="20"/>
            </w:rPr>
          </w:pPr>
          <w:r w:rsidRPr="00755F22">
            <w:rPr>
              <w:sz w:val="20"/>
              <w:szCs w:val="20"/>
            </w:rPr>
            <w:t>MOTIONS</w:t>
          </w:r>
        </w:p>
      </w:tc>
      <w:tc>
        <w:tcPr>
          <w:tcW w:w="1170" w:type="dxa"/>
          <w:tcMar>
            <w:left w:w="0" w:type="dxa"/>
            <w:right w:w="0" w:type="dxa"/>
          </w:tcMar>
        </w:tcPr>
        <w:p w:rsidR="005022D8" w:rsidRPr="00755F22" w:rsidRDefault="005022D8" w:rsidP="00831CA9">
          <w:pPr>
            <w:keepLines/>
            <w:jc w:val="center"/>
            <w:rPr>
              <w:sz w:val="20"/>
              <w:szCs w:val="20"/>
            </w:rPr>
          </w:pPr>
        </w:p>
        <w:p w:rsidR="005022D8" w:rsidRPr="00755F22" w:rsidRDefault="005022D8" w:rsidP="00831CA9">
          <w:pPr>
            <w:keepLines/>
            <w:tabs>
              <w:tab w:val="left" w:pos="-1440"/>
              <w:tab w:val="left" w:pos="-720"/>
            </w:tabs>
            <w:jc w:val="center"/>
            <w:rPr>
              <w:sz w:val="20"/>
              <w:szCs w:val="20"/>
            </w:rPr>
          </w:pPr>
        </w:p>
      </w:tc>
      <w:tc>
        <w:tcPr>
          <w:tcW w:w="4080" w:type="dxa"/>
          <w:tcMar>
            <w:left w:w="0" w:type="dxa"/>
            <w:right w:w="0" w:type="dxa"/>
          </w:tcMar>
        </w:tcPr>
        <w:p w:rsidR="005022D8" w:rsidRPr="00BA6468" w:rsidRDefault="005022D8" w:rsidP="00BA6468">
          <w:pPr>
            <w:keepLines/>
            <w:rPr>
              <w:sz w:val="20"/>
              <w:szCs w:val="20"/>
              <w:lang w:val="fr-CA"/>
            </w:rPr>
          </w:pPr>
          <w:r w:rsidRPr="00BA6468">
            <w:rPr>
              <w:sz w:val="20"/>
              <w:szCs w:val="20"/>
              <w:lang w:val="fr-CA"/>
            </w:rPr>
            <w:t>REQUÊTES</w:t>
          </w:r>
        </w:p>
      </w:tc>
    </w:tr>
  </w:tbl>
  <w:p w:rsidR="005022D8" w:rsidRDefault="005022D8"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D8" w:rsidRDefault="005022D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022D8" w:rsidRPr="00837820">
      <w:tc>
        <w:tcPr>
          <w:tcW w:w="4200" w:type="dxa"/>
          <w:tcMar>
            <w:left w:w="0" w:type="dxa"/>
            <w:right w:w="0" w:type="dxa"/>
          </w:tcMar>
        </w:tcPr>
        <w:p w:rsidR="005022D8" w:rsidRDefault="005022D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5022D8" w:rsidRDefault="005022D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022D8" w:rsidRPr="00B01A03" w:rsidRDefault="005022D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5022D8" w:rsidRPr="00B01A03" w:rsidRDefault="00502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022D8" w:rsidRPr="00B01A03" w:rsidRDefault="00502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5022D8" w:rsidRPr="00837820" w:rsidTr="00245129">
      <w:tc>
        <w:tcPr>
          <w:tcW w:w="4200" w:type="dxa"/>
          <w:tcMar>
            <w:left w:w="0" w:type="dxa"/>
            <w:right w:w="0" w:type="dxa"/>
          </w:tcMar>
        </w:tcPr>
        <w:p w:rsidR="005022D8" w:rsidRPr="00F40249" w:rsidRDefault="005022D8"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5022D8" w:rsidRDefault="005022D8" w:rsidP="00102926">
          <w:pPr>
            <w:keepNext/>
            <w:keepLines/>
            <w:tabs>
              <w:tab w:val="left" w:pos="-1440"/>
              <w:tab w:val="left" w:pos="-720"/>
            </w:tabs>
            <w:jc w:val="center"/>
            <w:rPr>
              <w:sz w:val="20"/>
              <w:szCs w:val="20"/>
            </w:rPr>
          </w:pPr>
        </w:p>
        <w:p w:rsidR="005022D8" w:rsidRDefault="005022D8" w:rsidP="00102926">
          <w:pPr>
            <w:keepNext/>
            <w:keepLines/>
            <w:tabs>
              <w:tab w:val="left" w:pos="-1440"/>
              <w:tab w:val="left" w:pos="-720"/>
            </w:tabs>
            <w:jc w:val="center"/>
            <w:rPr>
              <w:sz w:val="20"/>
              <w:szCs w:val="20"/>
            </w:rPr>
          </w:pPr>
        </w:p>
        <w:p w:rsidR="005022D8" w:rsidRPr="00F40249" w:rsidRDefault="005022D8" w:rsidP="00102926">
          <w:pPr>
            <w:keepNext/>
            <w:keepLines/>
            <w:tabs>
              <w:tab w:val="left" w:pos="-1440"/>
              <w:tab w:val="left" w:pos="-720"/>
            </w:tabs>
            <w:jc w:val="center"/>
            <w:rPr>
              <w:sz w:val="20"/>
              <w:szCs w:val="20"/>
            </w:rPr>
          </w:pPr>
        </w:p>
      </w:tc>
      <w:tc>
        <w:tcPr>
          <w:tcW w:w="4230" w:type="dxa"/>
          <w:tcMar>
            <w:left w:w="0" w:type="dxa"/>
            <w:right w:w="0" w:type="dxa"/>
          </w:tcMar>
        </w:tcPr>
        <w:p w:rsidR="005022D8" w:rsidRPr="00F40249" w:rsidRDefault="005022D8"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5022D8" w:rsidRPr="00B01A03" w:rsidRDefault="005022D8"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D8" w:rsidRDefault="005022D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022D8" w:rsidRPr="00837820">
      <w:tc>
        <w:tcPr>
          <w:tcW w:w="4200" w:type="dxa"/>
          <w:tcMar>
            <w:left w:w="0" w:type="dxa"/>
            <w:right w:w="0" w:type="dxa"/>
          </w:tcMar>
        </w:tcPr>
        <w:p w:rsidR="005022D8" w:rsidRDefault="005022D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5022D8" w:rsidRDefault="005022D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022D8" w:rsidRPr="00283C52" w:rsidRDefault="005022D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5022D8" w:rsidRPr="00283C52" w:rsidRDefault="00502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022D8" w:rsidRPr="00283C52" w:rsidRDefault="00502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022D8" w:rsidRPr="00837820" w:rsidTr="00245129">
      <w:tc>
        <w:tcPr>
          <w:tcW w:w="4200" w:type="dxa"/>
          <w:tcMar>
            <w:left w:w="0" w:type="dxa"/>
            <w:right w:w="0" w:type="dxa"/>
          </w:tcMar>
        </w:tcPr>
        <w:p w:rsidR="005022D8" w:rsidRPr="00732DB7" w:rsidRDefault="005022D8"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5022D8" w:rsidRPr="00732DB7" w:rsidRDefault="005022D8" w:rsidP="00732DB7">
          <w:pPr>
            <w:keepNext/>
            <w:keepLines/>
            <w:tabs>
              <w:tab w:val="left" w:pos="-1440"/>
              <w:tab w:val="left" w:pos="-720"/>
            </w:tabs>
            <w:jc w:val="center"/>
            <w:rPr>
              <w:sz w:val="20"/>
              <w:szCs w:val="20"/>
            </w:rPr>
          </w:pPr>
        </w:p>
        <w:p w:rsidR="005022D8" w:rsidRPr="00732DB7" w:rsidRDefault="005022D8" w:rsidP="00732DB7">
          <w:pPr>
            <w:keepNext/>
            <w:keepLines/>
            <w:tabs>
              <w:tab w:val="left" w:pos="-1440"/>
              <w:tab w:val="left" w:pos="-720"/>
            </w:tabs>
            <w:jc w:val="center"/>
            <w:rPr>
              <w:sz w:val="20"/>
              <w:szCs w:val="20"/>
            </w:rPr>
          </w:pPr>
        </w:p>
        <w:p w:rsidR="005022D8" w:rsidRPr="00732DB7" w:rsidRDefault="005022D8" w:rsidP="00732DB7">
          <w:pPr>
            <w:keepNext/>
            <w:keepLines/>
            <w:tabs>
              <w:tab w:val="left" w:pos="-1440"/>
              <w:tab w:val="left" w:pos="-720"/>
            </w:tabs>
            <w:jc w:val="center"/>
            <w:rPr>
              <w:sz w:val="20"/>
              <w:szCs w:val="20"/>
            </w:rPr>
          </w:pPr>
        </w:p>
      </w:tc>
      <w:tc>
        <w:tcPr>
          <w:tcW w:w="4080" w:type="dxa"/>
          <w:tcMar>
            <w:left w:w="0" w:type="dxa"/>
            <w:right w:w="0" w:type="dxa"/>
          </w:tcMar>
        </w:tcPr>
        <w:p w:rsidR="005022D8" w:rsidRPr="00732DB7" w:rsidRDefault="005022D8"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5022D8" w:rsidRPr="00283C52" w:rsidRDefault="005022D8"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D8" w:rsidRDefault="005022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D8" w:rsidRDefault="005022D8">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022D8" w:rsidRPr="00837820">
      <w:tc>
        <w:tcPr>
          <w:tcW w:w="4200" w:type="dxa"/>
          <w:tcMar>
            <w:left w:w="0" w:type="dxa"/>
            <w:right w:w="0" w:type="dxa"/>
          </w:tcMar>
        </w:tcPr>
        <w:p w:rsidR="005022D8" w:rsidRDefault="005022D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5022D8" w:rsidRDefault="005022D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5022D8" w:rsidRDefault="005022D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5022D8" w:rsidRPr="003C2C0F" w:rsidRDefault="005022D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5022D8" w:rsidRPr="003C2C0F" w:rsidRDefault="00502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5022D8" w:rsidRPr="003C2C0F" w:rsidRDefault="00502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022D8" w:rsidRPr="00837820" w:rsidTr="00245129">
      <w:tc>
        <w:tcPr>
          <w:tcW w:w="4200" w:type="dxa"/>
          <w:tcMar>
            <w:left w:w="0" w:type="dxa"/>
            <w:right w:w="0" w:type="dxa"/>
          </w:tcMar>
        </w:tcPr>
        <w:p w:rsidR="005022D8" w:rsidRPr="00FF6EEC" w:rsidRDefault="005022D8" w:rsidP="00FF6EEC">
          <w:pPr>
            <w:rPr>
              <w:sz w:val="20"/>
              <w:szCs w:val="20"/>
            </w:rPr>
          </w:pPr>
          <w:r w:rsidRPr="00FF6EEC">
            <w:rPr>
              <w:sz w:val="20"/>
              <w:szCs w:val="20"/>
            </w:rPr>
            <w:t>PRONOUNCEMENTS OF APPEALS RESERVED</w:t>
          </w:r>
        </w:p>
      </w:tc>
      <w:tc>
        <w:tcPr>
          <w:tcW w:w="1200" w:type="dxa"/>
          <w:tcMar>
            <w:left w:w="0" w:type="dxa"/>
            <w:right w:w="0" w:type="dxa"/>
          </w:tcMar>
        </w:tcPr>
        <w:p w:rsidR="005022D8" w:rsidRPr="00FF6EEC" w:rsidRDefault="005022D8" w:rsidP="00FF6EEC">
          <w:pPr>
            <w:jc w:val="center"/>
            <w:rPr>
              <w:sz w:val="20"/>
              <w:szCs w:val="20"/>
            </w:rPr>
          </w:pPr>
        </w:p>
        <w:p w:rsidR="005022D8" w:rsidRPr="00FF6EEC" w:rsidRDefault="005022D8" w:rsidP="00FF6EEC">
          <w:pPr>
            <w:jc w:val="center"/>
            <w:rPr>
              <w:sz w:val="20"/>
              <w:szCs w:val="20"/>
            </w:rPr>
          </w:pPr>
        </w:p>
        <w:p w:rsidR="005022D8" w:rsidRPr="00FF6EEC" w:rsidRDefault="005022D8" w:rsidP="00FF6EEC">
          <w:pPr>
            <w:jc w:val="center"/>
            <w:rPr>
              <w:sz w:val="20"/>
              <w:szCs w:val="20"/>
            </w:rPr>
          </w:pPr>
        </w:p>
      </w:tc>
      <w:tc>
        <w:tcPr>
          <w:tcW w:w="4080" w:type="dxa"/>
          <w:tcMar>
            <w:left w:w="0" w:type="dxa"/>
            <w:right w:w="0" w:type="dxa"/>
          </w:tcMar>
        </w:tcPr>
        <w:p w:rsidR="005022D8" w:rsidRPr="00FF6EEC" w:rsidRDefault="005022D8" w:rsidP="00FF6EEC">
          <w:pPr>
            <w:rPr>
              <w:sz w:val="20"/>
              <w:szCs w:val="20"/>
              <w:lang w:val="fr-CA"/>
            </w:rPr>
          </w:pPr>
          <w:r w:rsidRPr="00FF6EEC">
            <w:rPr>
              <w:sz w:val="20"/>
              <w:szCs w:val="20"/>
              <w:lang w:val="fr-CA"/>
            </w:rPr>
            <w:t>JUGEMENTS RENDUS SUR LES APPELS EN DÉLIBÉRÉ</w:t>
          </w:r>
        </w:p>
      </w:tc>
    </w:tr>
  </w:tbl>
  <w:p w:rsidR="005022D8" w:rsidRPr="003C2C0F" w:rsidRDefault="005022D8"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D8" w:rsidRDefault="005022D8">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022D8">
      <w:tc>
        <w:tcPr>
          <w:tcW w:w="4230" w:type="dxa"/>
          <w:tcMar>
            <w:left w:w="0" w:type="dxa"/>
            <w:right w:w="0" w:type="dxa"/>
          </w:tcMar>
        </w:tcPr>
        <w:p w:rsidR="005022D8" w:rsidRDefault="005022D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5022D8" w:rsidRDefault="005022D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5022D8" w:rsidRDefault="005022D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5022D8" w:rsidRDefault="005022D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022D8" w:rsidRDefault="005022D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5022D8" w:rsidRDefault="005022D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5022D8" w:rsidRDefault="00502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022D8" w:rsidRDefault="00502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022D8" w:rsidRPr="00782AE4" w:rsidTr="00245129">
      <w:tc>
        <w:tcPr>
          <w:tcW w:w="4230" w:type="dxa"/>
          <w:tcMar>
            <w:left w:w="0" w:type="dxa"/>
            <w:right w:w="0" w:type="dxa"/>
          </w:tcMar>
        </w:tcPr>
        <w:p w:rsidR="005022D8" w:rsidRPr="00782AE4" w:rsidRDefault="005022D8" w:rsidP="00102926">
          <w:pPr>
            <w:keepNext/>
            <w:keepLines/>
            <w:tabs>
              <w:tab w:val="left" w:pos="-1440"/>
              <w:tab w:val="left" w:pos="-720"/>
            </w:tabs>
            <w:rPr>
              <w:sz w:val="20"/>
              <w:szCs w:val="20"/>
            </w:rPr>
          </w:pPr>
          <w:r w:rsidRPr="00782AE4">
            <w:rPr>
              <w:sz w:val="20"/>
              <w:szCs w:val="20"/>
            </w:rPr>
            <w:t xml:space="preserve">HEADNOTES OF RECENT </w:t>
          </w:r>
        </w:p>
        <w:p w:rsidR="005022D8" w:rsidRPr="00782AE4" w:rsidRDefault="005022D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5022D8" w:rsidRDefault="005022D8" w:rsidP="00102926">
          <w:pPr>
            <w:keepNext/>
            <w:keepLines/>
            <w:tabs>
              <w:tab w:val="left" w:pos="-1440"/>
              <w:tab w:val="left" w:pos="-720"/>
            </w:tabs>
            <w:jc w:val="center"/>
            <w:rPr>
              <w:sz w:val="20"/>
              <w:szCs w:val="20"/>
            </w:rPr>
          </w:pPr>
        </w:p>
        <w:p w:rsidR="005022D8" w:rsidRDefault="005022D8" w:rsidP="00102926">
          <w:pPr>
            <w:keepNext/>
            <w:keepLines/>
            <w:tabs>
              <w:tab w:val="left" w:pos="-1440"/>
              <w:tab w:val="left" w:pos="-720"/>
            </w:tabs>
            <w:jc w:val="center"/>
            <w:rPr>
              <w:sz w:val="20"/>
              <w:szCs w:val="20"/>
            </w:rPr>
          </w:pPr>
        </w:p>
        <w:p w:rsidR="005022D8" w:rsidRPr="00782AE4" w:rsidRDefault="005022D8" w:rsidP="00102926">
          <w:pPr>
            <w:keepNext/>
            <w:keepLines/>
            <w:tabs>
              <w:tab w:val="left" w:pos="-1440"/>
              <w:tab w:val="left" w:pos="-720"/>
            </w:tabs>
            <w:jc w:val="center"/>
            <w:rPr>
              <w:sz w:val="20"/>
              <w:szCs w:val="20"/>
            </w:rPr>
          </w:pPr>
        </w:p>
      </w:tc>
      <w:tc>
        <w:tcPr>
          <w:tcW w:w="4080" w:type="dxa"/>
          <w:tcMar>
            <w:left w:w="0" w:type="dxa"/>
            <w:right w:w="0" w:type="dxa"/>
          </w:tcMar>
        </w:tcPr>
        <w:p w:rsidR="005022D8" w:rsidRPr="00102926" w:rsidRDefault="005022D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5022D8" w:rsidRPr="00782AE4" w:rsidRDefault="005022D8" w:rsidP="00102926">
          <w:pPr>
            <w:keepLines/>
            <w:tabs>
              <w:tab w:val="left" w:pos="-1440"/>
              <w:tab w:val="left" w:pos="-720"/>
            </w:tabs>
            <w:rPr>
              <w:sz w:val="20"/>
              <w:szCs w:val="20"/>
            </w:rPr>
          </w:pPr>
          <w:r w:rsidRPr="00102926">
            <w:rPr>
              <w:sz w:val="20"/>
              <w:szCs w:val="20"/>
              <w:lang w:val="fr-CA"/>
            </w:rPr>
            <w:t>RÉCENTS</w:t>
          </w:r>
        </w:p>
      </w:tc>
    </w:tr>
  </w:tbl>
  <w:p w:rsidR="005022D8" w:rsidRDefault="005022D8"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D8" w:rsidRDefault="005022D8">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D8" w:rsidRDefault="005022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D8" w:rsidRDefault="005022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5022D8" w:rsidRPr="0044776A" w:rsidTr="00245129">
      <w:tc>
        <w:tcPr>
          <w:tcW w:w="4290" w:type="dxa"/>
          <w:tcMar>
            <w:left w:w="0" w:type="dxa"/>
            <w:right w:w="0" w:type="dxa"/>
          </w:tcMar>
        </w:tcPr>
        <w:p w:rsidR="005022D8" w:rsidRPr="0044776A" w:rsidRDefault="005022D8"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5022D8" w:rsidRPr="0044776A" w:rsidRDefault="005022D8" w:rsidP="002E2327">
          <w:pPr>
            <w:keepNext/>
            <w:keepLines/>
            <w:tabs>
              <w:tab w:val="left" w:pos="-1440"/>
              <w:tab w:val="left" w:pos="-720"/>
            </w:tabs>
            <w:jc w:val="center"/>
            <w:rPr>
              <w:sz w:val="20"/>
              <w:szCs w:val="20"/>
            </w:rPr>
          </w:pPr>
        </w:p>
        <w:p w:rsidR="005022D8" w:rsidRPr="0044776A" w:rsidRDefault="005022D8" w:rsidP="002E2327">
          <w:pPr>
            <w:keepNext/>
            <w:keepLines/>
            <w:tabs>
              <w:tab w:val="left" w:pos="-1440"/>
              <w:tab w:val="left" w:pos="-720"/>
            </w:tabs>
            <w:jc w:val="center"/>
            <w:rPr>
              <w:sz w:val="20"/>
              <w:szCs w:val="20"/>
            </w:rPr>
          </w:pPr>
        </w:p>
        <w:p w:rsidR="005022D8" w:rsidRPr="0044776A" w:rsidRDefault="005022D8" w:rsidP="002E2327">
          <w:pPr>
            <w:keepNext/>
            <w:keepLines/>
            <w:tabs>
              <w:tab w:val="left" w:pos="-1440"/>
              <w:tab w:val="left" w:pos="-720"/>
            </w:tabs>
            <w:jc w:val="center"/>
            <w:rPr>
              <w:sz w:val="20"/>
              <w:szCs w:val="20"/>
            </w:rPr>
          </w:pPr>
        </w:p>
      </w:tc>
      <w:tc>
        <w:tcPr>
          <w:tcW w:w="4320" w:type="dxa"/>
          <w:tcMar>
            <w:left w:w="0" w:type="dxa"/>
            <w:right w:w="0" w:type="dxa"/>
          </w:tcMar>
        </w:tcPr>
        <w:p w:rsidR="005022D8" w:rsidRPr="0044776A" w:rsidRDefault="005022D8" w:rsidP="002E2327">
          <w:pPr>
            <w:keepLines/>
            <w:rPr>
              <w:sz w:val="20"/>
              <w:szCs w:val="20"/>
              <w:lang w:val="fr-CA"/>
            </w:rPr>
          </w:pPr>
          <w:r w:rsidRPr="0044776A">
            <w:rPr>
              <w:sz w:val="20"/>
              <w:szCs w:val="20"/>
              <w:lang w:val="fr-CA"/>
            </w:rPr>
            <w:t>DEMANDES D'AUTORISATION D'APPEL DÉPOSÉES</w:t>
          </w:r>
        </w:p>
      </w:tc>
    </w:tr>
  </w:tbl>
  <w:p w:rsidR="005022D8" w:rsidRDefault="005022D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D8" w:rsidRDefault="005022D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022D8" w:rsidRPr="00837820" w:rsidTr="00245129">
      <w:tc>
        <w:tcPr>
          <w:tcW w:w="4200" w:type="dxa"/>
          <w:tcMar>
            <w:left w:w="0" w:type="dxa"/>
            <w:right w:w="0" w:type="dxa"/>
          </w:tcMar>
        </w:tcPr>
        <w:p w:rsidR="005022D8" w:rsidRPr="0044776A" w:rsidRDefault="005022D8" w:rsidP="0044776A">
          <w:pPr>
            <w:keepNext/>
            <w:keepLines/>
            <w:widowControl w:val="0"/>
            <w:rPr>
              <w:sz w:val="20"/>
              <w:szCs w:val="20"/>
            </w:rPr>
          </w:pPr>
          <w:r>
            <w:rPr>
              <w:sz w:val="20"/>
              <w:szCs w:val="20"/>
            </w:rPr>
            <w:t>APPLICATIONS FOR LEAVE</w:t>
          </w:r>
        </w:p>
        <w:p w:rsidR="005022D8" w:rsidRPr="0044776A" w:rsidRDefault="005022D8"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5022D8" w:rsidRPr="0044776A" w:rsidRDefault="005022D8" w:rsidP="0044776A">
          <w:pPr>
            <w:keepNext/>
            <w:keepLines/>
            <w:widowControl w:val="0"/>
            <w:jc w:val="center"/>
            <w:rPr>
              <w:sz w:val="20"/>
              <w:szCs w:val="20"/>
            </w:rPr>
          </w:pPr>
        </w:p>
        <w:p w:rsidR="005022D8" w:rsidRPr="0044776A" w:rsidRDefault="005022D8" w:rsidP="0044776A">
          <w:pPr>
            <w:keepNext/>
            <w:keepLines/>
            <w:widowControl w:val="0"/>
            <w:jc w:val="center"/>
            <w:rPr>
              <w:sz w:val="20"/>
              <w:szCs w:val="20"/>
            </w:rPr>
          </w:pPr>
        </w:p>
        <w:p w:rsidR="005022D8" w:rsidRPr="0044776A" w:rsidRDefault="005022D8" w:rsidP="0044776A">
          <w:pPr>
            <w:keepNext/>
            <w:keepLines/>
            <w:widowControl w:val="0"/>
            <w:jc w:val="center"/>
            <w:rPr>
              <w:sz w:val="20"/>
              <w:szCs w:val="20"/>
            </w:rPr>
          </w:pPr>
        </w:p>
      </w:tc>
      <w:tc>
        <w:tcPr>
          <w:tcW w:w="4080" w:type="dxa"/>
          <w:tcMar>
            <w:left w:w="0" w:type="dxa"/>
            <w:right w:w="0" w:type="dxa"/>
          </w:tcMar>
        </w:tcPr>
        <w:p w:rsidR="005022D8" w:rsidRPr="0044776A" w:rsidRDefault="005022D8" w:rsidP="0044776A">
          <w:pPr>
            <w:keepLines/>
            <w:widowControl w:val="0"/>
            <w:rPr>
              <w:sz w:val="20"/>
              <w:szCs w:val="20"/>
              <w:lang w:val="fr-CA"/>
            </w:rPr>
          </w:pPr>
          <w:r w:rsidRPr="0044776A">
            <w:rPr>
              <w:sz w:val="20"/>
              <w:szCs w:val="20"/>
              <w:lang w:val="fr-CA"/>
            </w:rPr>
            <w:t>DEMANDES SOUMISES À LA COUR DEPUIS LA DERNIÈRE PARUTION</w:t>
          </w:r>
        </w:p>
        <w:p w:rsidR="005022D8" w:rsidRPr="0044776A" w:rsidRDefault="005022D8" w:rsidP="0044776A">
          <w:pPr>
            <w:widowControl w:val="0"/>
            <w:rPr>
              <w:sz w:val="20"/>
              <w:szCs w:val="20"/>
              <w:lang w:val="fr-CA"/>
            </w:rPr>
          </w:pPr>
        </w:p>
      </w:tc>
    </w:tr>
  </w:tbl>
  <w:p w:rsidR="005022D8" w:rsidRPr="002E2327" w:rsidRDefault="005022D8">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D8" w:rsidRDefault="005022D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022D8" w:rsidRPr="00837820">
      <w:tc>
        <w:tcPr>
          <w:tcW w:w="4200" w:type="dxa"/>
          <w:tcMar>
            <w:left w:w="0" w:type="dxa"/>
            <w:right w:w="0" w:type="dxa"/>
          </w:tcMar>
        </w:tcPr>
        <w:p w:rsidR="005022D8" w:rsidRDefault="005022D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5022D8" w:rsidRDefault="005022D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5022D8" w:rsidRDefault="005022D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022D8" w:rsidRPr="00FF6BA5" w:rsidRDefault="005022D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5022D8" w:rsidRPr="00FF6BA5" w:rsidRDefault="00502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5022D8" w:rsidRPr="00FF6BA5" w:rsidRDefault="00502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5022D8" w:rsidRPr="00FF6BA5" w:rsidRDefault="00502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022D8" w:rsidRPr="00837820" w:rsidTr="00245129">
      <w:tc>
        <w:tcPr>
          <w:tcW w:w="4200" w:type="dxa"/>
          <w:tcMar>
            <w:left w:w="0" w:type="dxa"/>
            <w:right w:w="0" w:type="dxa"/>
          </w:tcMar>
        </w:tcPr>
        <w:p w:rsidR="005022D8" w:rsidRPr="00755F22" w:rsidRDefault="005022D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5022D8" w:rsidRPr="00755F22" w:rsidRDefault="005022D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5022D8" w:rsidRPr="00755F22" w:rsidRDefault="005022D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022D8" w:rsidRPr="00755F22" w:rsidRDefault="005022D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022D8" w:rsidRPr="00755F22" w:rsidRDefault="005022D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5022D8" w:rsidRPr="00755F22" w:rsidRDefault="005022D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5022D8" w:rsidRPr="00FF6BA5" w:rsidRDefault="005022D8"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31B04"/>
    <w:multiLevelType w:val="hybridMultilevel"/>
    <w:tmpl w:val="7B84E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AA76AB9"/>
    <w:multiLevelType w:val="hybridMultilevel"/>
    <w:tmpl w:val="A0486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AC5151"/>
    <w:multiLevelType w:val="hybridMultilevel"/>
    <w:tmpl w:val="A0486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7C20880"/>
    <w:multiLevelType w:val="hybridMultilevel"/>
    <w:tmpl w:val="7B84E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drawingGridHorizontalSpacing w:val="120"/>
  <w:displayHorizontalDrawingGridEvery w:val="2"/>
  <w:characterSpacingControl w:val="doNotCompress"/>
  <w:hdrShapeDefaults>
    <o:shapedefaults v:ext="edit" spidmax="73745"/>
  </w:hdrShapeDefaults>
  <w:footnotePr>
    <w:footnote w:id="-1"/>
    <w:footnote w:id="0"/>
  </w:footnotePr>
  <w:endnotePr>
    <w:endnote w:id="-1"/>
    <w:endnote w:id="0"/>
  </w:endnotePr>
  <w:compat>
    <w:compatSetting w:name="compatibilityMode" w:uri="http://schemas.microsoft.com/office/word" w:val="12"/>
  </w:compat>
  <w:rsids>
    <w:rsidRoot w:val="00D43331"/>
    <w:rsid w:val="000039CF"/>
    <w:rsid w:val="0003223B"/>
    <w:rsid w:val="000327B2"/>
    <w:rsid w:val="0004194A"/>
    <w:rsid w:val="0006361A"/>
    <w:rsid w:val="00064AAB"/>
    <w:rsid w:val="00080695"/>
    <w:rsid w:val="00090765"/>
    <w:rsid w:val="00091FA6"/>
    <w:rsid w:val="00096BD9"/>
    <w:rsid w:val="000B3C9A"/>
    <w:rsid w:val="000B40A2"/>
    <w:rsid w:val="000B4624"/>
    <w:rsid w:val="000C0ACD"/>
    <w:rsid w:val="000C0D2A"/>
    <w:rsid w:val="000C5CE8"/>
    <w:rsid w:val="000E2959"/>
    <w:rsid w:val="000F0143"/>
    <w:rsid w:val="000F0B60"/>
    <w:rsid w:val="00102926"/>
    <w:rsid w:val="0010587F"/>
    <w:rsid w:val="00111C6B"/>
    <w:rsid w:val="0012102B"/>
    <w:rsid w:val="0013369E"/>
    <w:rsid w:val="00164E6D"/>
    <w:rsid w:val="00181751"/>
    <w:rsid w:val="00182471"/>
    <w:rsid w:val="001A2C3C"/>
    <w:rsid w:val="001B157C"/>
    <w:rsid w:val="001B5C23"/>
    <w:rsid w:val="001C27C6"/>
    <w:rsid w:val="001C2AB7"/>
    <w:rsid w:val="001C4AC6"/>
    <w:rsid w:val="001D0D5F"/>
    <w:rsid w:val="001D6B8C"/>
    <w:rsid w:val="001F1368"/>
    <w:rsid w:val="001F1F83"/>
    <w:rsid w:val="001F40DF"/>
    <w:rsid w:val="002021A9"/>
    <w:rsid w:val="002139A7"/>
    <w:rsid w:val="00215F7C"/>
    <w:rsid w:val="0022323B"/>
    <w:rsid w:val="002236C9"/>
    <w:rsid w:val="002410B8"/>
    <w:rsid w:val="00242AEE"/>
    <w:rsid w:val="00245129"/>
    <w:rsid w:val="00245879"/>
    <w:rsid w:val="00267FD5"/>
    <w:rsid w:val="00274D34"/>
    <w:rsid w:val="0028040F"/>
    <w:rsid w:val="00283ED8"/>
    <w:rsid w:val="002868D0"/>
    <w:rsid w:val="002A008C"/>
    <w:rsid w:val="002A27D1"/>
    <w:rsid w:val="002A3F03"/>
    <w:rsid w:val="002A46DC"/>
    <w:rsid w:val="002A4AFA"/>
    <w:rsid w:val="002B516C"/>
    <w:rsid w:val="002B62A3"/>
    <w:rsid w:val="002C3225"/>
    <w:rsid w:val="002D6D4D"/>
    <w:rsid w:val="002D72EB"/>
    <w:rsid w:val="002E2327"/>
    <w:rsid w:val="002E3583"/>
    <w:rsid w:val="002E3DAD"/>
    <w:rsid w:val="002E5576"/>
    <w:rsid w:val="003052E5"/>
    <w:rsid w:val="0031264E"/>
    <w:rsid w:val="00331B52"/>
    <w:rsid w:val="003359D3"/>
    <w:rsid w:val="00336584"/>
    <w:rsid w:val="00355967"/>
    <w:rsid w:val="00382C47"/>
    <w:rsid w:val="003831AC"/>
    <w:rsid w:val="00384384"/>
    <w:rsid w:val="003866AE"/>
    <w:rsid w:val="003B3977"/>
    <w:rsid w:val="003E1D4C"/>
    <w:rsid w:val="003F26F3"/>
    <w:rsid w:val="004071E1"/>
    <w:rsid w:val="004151AE"/>
    <w:rsid w:val="00421074"/>
    <w:rsid w:val="00432989"/>
    <w:rsid w:val="00440E24"/>
    <w:rsid w:val="0044776A"/>
    <w:rsid w:val="00460AFC"/>
    <w:rsid w:val="00471B01"/>
    <w:rsid w:val="0047471F"/>
    <w:rsid w:val="004A0813"/>
    <w:rsid w:val="004A5EB8"/>
    <w:rsid w:val="004B195E"/>
    <w:rsid w:val="004B66B4"/>
    <w:rsid w:val="004B7F60"/>
    <w:rsid w:val="004C1AAC"/>
    <w:rsid w:val="004E1E0A"/>
    <w:rsid w:val="004E4B4E"/>
    <w:rsid w:val="004F090E"/>
    <w:rsid w:val="00501F3C"/>
    <w:rsid w:val="005022D8"/>
    <w:rsid w:val="00527CC7"/>
    <w:rsid w:val="00536D8C"/>
    <w:rsid w:val="00542B98"/>
    <w:rsid w:val="00571CA4"/>
    <w:rsid w:val="00582136"/>
    <w:rsid w:val="005C6840"/>
    <w:rsid w:val="005E7461"/>
    <w:rsid w:val="005F263E"/>
    <w:rsid w:val="00600252"/>
    <w:rsid w:val="006112BA"/>
    <w:rsid w:val="00612A40"/>
    <w:rsid w:val="00616E7A"/>
    <w:rsid w:val="0062714A"/>
    <w:rsid w:val="0063140C"/>
    <w:rsid w:val="00633A3E"/>
    <w:rsid w:val="00637B49"/>
    <w:rsid w:val="00655592"/>
    <w:rsid w:val="00675479"/>
    <w:rsid w:val="00680709"/>
    <w:rsid w:val="00696BF9"/>
    <w:rsid w:val="006972AC"/>
    <w:rsid w:val="00697C62"/>
    <w:rsid w:val="006A3267"/>
    <w:rsid w:val="006A329B"/>
    <w:rsid w:val="006A7EB8"/>
    <w:rsid w:val="006B6926"/>
    <w:rsid w:val="006C3F47"/>
    <w:rsid w:val="006C5F7A"/>
    <w:rsid w:val="006E06AF"/>
    <w:rsid w:val="006F20D6"/>
    <w:rsid w:val="006F350F"/>
    <w:rsid w:val="0071128A"/>
    <w:rsid w:val="00711493"/>
    <w:rsid w:val="00732DB7"/>
    <w:rsid w:val="0074238B"/>
    <w:rsid w:val="007455DE"/>
    <w:rsid w:val="00745EF7"/>
    <w:rsid w:val="00755F22"/>
    <w:rsid w:val="00766E4A"/>
    <w:rsid w:val="007820CE"/>
    <w:rsid w:val="00782AE4"/>
    <w:rsid w:val="00792F7D"/>
    <w:rsid w:val="0079724F"/>
    <w:rsid w:val="007A3EAE"/>
    <w:rsid w:val="007C04FC"/>
    <w:rsid w:val="007C446E"/>
    <w:rsid w:val="007C4E0B"/>
    <w:rsid w:val="007D10AF"/>
    <w:rsid w:val="007D3E0F"/>
    <w:rsid w:val="007E4282"/>
    <w:rsid w:val="007F0B9F"/>
    <w:rsid w:val="007F387B"/>
    <w:rsid w:val="00802376"/>
    <w:rsid w:val="00802863"/>
    <w:rsid w:val="0080534C"/>
    <w:rsid w:val="00815B3C"/>
    <w:rsid w:val="0081610A"/>
    <w:rsid w:val="0082783A"/>
    <w:rsid w:val="00831CA9"/>
    <w:rsid w:val="00837820"/>
    <w:rsid w:val="00850E1F"/>
    <w:rsid w:val="0085476B"/>
    <w:rsid w:val="008816D0"/>
    <w:rsid w:val="00890FEB"/>
    <w:rsid w:val="008A5C1A"/>
    <w:rsid w:val="008C1F1D"/>
    <w:rsid w:val="008D292F"/>
    <w:rsid w:val="008E03DC"/>
    <w:rsid w:val="00902E51"/>
    <w:rsid w:val="00902F9E"/>
    <w:rsid w:val="00924065"/>
    <w:rsid w:val="00927A38"/>
    <w:rsid w:val="00930D68"/>
    <w:rsid w:val="00932DB4"/>
    <w:rsid w:val="00941A4B"/>
    <w:rsid w:val="00943DC0"/>
    <w:rsid w:val="00946242"/>
    <w:rsid w:val="0095096B"/>
    <w:rsid w:val="00970CD3"/>
    <w:rsid w:val="009723FA"/>
    <w:rsid w:val="00977B8B"/>
    <w:rsid w:val="00984546"/>
    <w:rsid w:val="00985334"/>
    <w:rsid w:val="00996510"/>
    <w:rsid w:val="009B1896"/>
    <w:rsid w:val="009C0719"/>
    <w:rsid w:val="009C4053"/>
    <w:rsid w:val="009D1F15"/>
    <w:rsid w:val="009D555E"/>
    <w:rsid w:val="009F3024"/>
    <w:rsid w:val="00A0355E"/>
    <w:rsid w:val="00A375D1"/>
    <w:rsid w:val="00A43252"/>
    <w:rsid w:val="00A46666"/>
    <w:rsid w:val="00A51A60"/>
    <w:rsid w:val="00A51D10"/>
    <w:rsid w:val="00A52A83"/>
    <w:rsid w:val="00A638BE"/>
    <w:rsid w:val="00A6552C"/>
    <w:rsid w:val="00A76482"/>
    <w:rsid w:val="00A87207"/>
    <w:rsid w:val="00A914F5"/>
    <w:rsid w:val="00A935AA"/>
    <w:rsid w:val="00AB2201"/>
    <w:rsid w:val="00AD3259"/>
    <w:rsid w:val="00AD651A"/>
    <w:rsid w:val="00AE4E02"/>
    <w:rsid w:val="00AF1715"/>
    <w:rsid w:val="00AF3904"/>
    <w:rsid w:val="00B010C0"/>
    <w:rsid w:val="00B173AF"/>
    <w:rsid w:val="00B30D54"/>
    <w:rsid w:val="00B4740D"/>
    <w:rsid w:val="00B61629"/>
    <w:rsid w:val="00B7374B"/>
    <w:rsid w:val="00B90DC0"/>
    <w:rsid w:val="00BA116A"/>
    <w:rsid w:val="00BA5582"/>
    <w:rsid w:val="00BA6468"/>
    <w:rsid w:val="00BB1D44"/>
    <w:rsid w:val="00BC59B7"/>
    <w:rsid w:val="00BD06DA"/>
    <w:rsid w:val="00BD4217"/>
    <w:rsid w:val="00BE3BD2"/>
    <w:rsid w:val="00BF25F3"/>
    <w:rsid w:val="00C152AE"/>
    <w:rsid w:val="00C1697B"/>
    <w:rsid w:val="00C21CB5"/>
    <w:rsid w:val="00C36376"/>
    <w:rsid w:val="00C50A5C"/>
    <w:rsid w:val="00C50FDF"/>
    <w:rsid w:val="00C63381"/>
    <w:rsid w:val="00C73D06"/>
    <w:rsid w:val="00C73E1B"/>
    <w:rsid w:val="00C759B4"/>
    <w:rsid w:val="00C7627B"/>
    <w:rsid w:val="00C77713"/>
    <w:rsid w:val="00C85BB7"/>
    <w:rsid w:val="00C97437"/>
    <w:rsid w:val="00CA2DEA"/>
    <w:rsid w:val="00CA2F33"/>
    <w:rsid w:val="00CB43D5"/>
    <w:rsid w:val="00CC3B1C"/>
    <w:rsid w:val="00CC4D84"/>
    <w:rsid w:val="00CE198A"/>
    <w:rsid w:val="00CE395D"/>
    <w:rsid w:val="00CF08C8"/>
    <w:rsid w:val="00D004FC"/>
    <w:rsid w:val="00D43331"/>
    <w:rsid w:val="00D572E8"/>
    <w:rsid w:val="00D64901"/>
    <w:rsid w:val="00D76BDF"/>
    <w:rsid w:val="00D862C1"/>
    <w:rsid w:val="00D93B50"/>
    <w:rsid w:val="00D94028"/>
    <w:rsid w:val="00D94670"/>
    <w:rsid w:val="00D95DE0"/>
    <w:rsid w:val="00DA46F6"/>
    <w:rsid w:val="00DC6D23"/>
    <w:rsid w:val="00DD0B49"/>
    <w:rsid w:val="00DE0502"/>
    <w:rsid w:val="00DE114D"/>
    <w:rsid w:val="00DE349D"/>
    <w:rsid w:val="00E06DFA"/>
    <w:rsid w:val="00E20A0A"/>
    <w:rsid w:val="00E3543D"/>
    <w:rsid w:val="00E356C7"/>
    <w:rsid w:val="00E45FE4"/>
    <w:rsid w:val="00E508D2"/>
    <w:rsid w:val="00E646B5"/>
    <w:rsid w:val="00E64FA7"/>
    <w:rsid w:val="00E770CB"/>
    <w:rsid w:val="00E903A1"/>
    <w:rsid w:val="00E940EB"/>
    <w:rsid w:val="00E9703F"/>
    <w:rsid w:val="00EA0658"/>
    <w:rsid w:val="00EB0F11"/>
    <w:rsid w:val="00EB2B90"/>
    <w:rsid w:val="00EC0733"/>
    <w:rsid w:val="00EC0FEF"/>
    <w:rsid w:val="00ED7E83"/>
    <w:rsid w:val="00EE091F"/>
    <w:rsid w:val="00EE4CC7"/>
    <w:rsid w:val="00EE795A"/>
    <w:rsid w:val="00EF4B63"/>
    <w:rsid w:val="00F0068D"/>
    <w:rsid w:val="00F0576D"/>
    <w:rsid w:val="00F146D0"/>
    <w:rsid w:val="00F14E6D"/>
    <w:rsid w:val="00F15EA8"/>
    <w:rsid w:val="00F16C8D"/>
    <w:rsid w:val="00F26C61"/>
    <w:rsid w:val="00F33CCE"/>
    <w:rsid w:val="00F40249"/>
    <w:rsid w:val="00F526C8"/>
    <w:rsid w:val="00F761A3"/>
    <w:rsid w:val="00F9272D"/>
    <w:rsid w:val="00F9518C"/>
    <w:rsid w:val="00FA316E"/>
    <w:rsid w:val="00FA583A"/>
    <w:rsid w:val="00FA59EF"/>
    <w:rsid w:val="00FB19A2"/>
    <w:rsid w:val="00FC39AA"/>
    <w:rsid w:val="00FC68B6"/>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3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AD651A"/>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A46666"/>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C36376"/>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C36376"/>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1A2C3C"/>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3052E5"/>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3052E5"/>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0F0143"/>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0F0143"/>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0F0143"/>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0F0143"/>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0F0143"/>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0F0143"/>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0F0143"/>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0F0143"/>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0F0143"/>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fr/qc/qcca/doc/2013/2013qcca1140/2013qcca1140.html" TargetMode="External"/><Relationship Id="rId117" Type="http://schemas.openxmlformats.org/officeDocument/2006/relationships/header" Target="header25.xml"/><Relationship Id="rId21" Type="http://schemas.openxmlformats.org/officeDocument/2006/relationships/footer" Target="footer6.xml"/><Relationship Id="rId42" Type="http://schemas.openxmlformats.org/officeDocument/2006/relationships/hyperlink" Target="http://www.canlii.org/en/bc/bcsc/doc/2012/2012bcsc319/2012bcsc319.html?searchUrlHash=AAAAAQANMjAxMiBiY3NjIDMxOQAAAAAB" TargetMode="External"/><Relationship Id="rId47" Type="http://schemas.openxmlformats.org/officeDocument/2006/relationships/hyperlink" Target="http://www.canlii.org/fr/qc/qcca/doc/2013/2013qcca1410/2013qcca1410.html" TargetMode="External"/><Relationship Id="rId63" Type="http://schemas.openxmlformats.org/officeDocument/2006/relationships/hyperlink" Target="http://canlii.ca/t/g10jl" TargetMode="External"/><Relationship Id="rId68" Type="http://schemas.openxmlformats.org/officeDocument/2006/relationships/hyperlink" Target="file:///\\c-doc\DavWWWRoot\L25\01\05\35639_Leave%20opinion-Avis%20demande_levasseuk_En.docx" TargetMode="External"/><Relationship Id="rId84" Type="http://schemas.openxmlformats.org/officeDocument/2006/relationships/header" Target="header12.xml"/><Relationship Id="rId89" Type="http://schemas.openxmlformats.org/officeDocument/2006/relationships/header" Target="header14.xml"/><Relationship Id="rId112" Type="http://schemas.openxmlformats.org/officeDocument/2006/relationships/hyperlink" Target="http://www.scc-csc.ca/case-dossier/info/sum-som-fra.aspx?cas=34824" TargetMode="External"/><Relationship Id="rId16" Type="http://schemas.openxmlformats.org/officeDocument/2006/relationships/header" Target="header4.xml"/><Relationship Id="rId107" Type="http://schemas.openxmlformats.org/officeDocument/2006/relationships/footer" Target="footer20.xml"/><Relationship Id="rId11" Type="http://schemas.openxmlformats.org/officeDocument/2006/relationships/header" Target="header2.xml"/><Relationship Id="rId32" Type="http://schemas.openxmlformats.org/officeDocument/2006/relationships/hyperlink" Target="http://www.canlii.org/fr/qc/qccs/doc/2012/2012qccs699/2012qccs699.html" TargetMode="External"/><Relationship Id="rId37" Type="http://schemas.openxmlformats.org/officeDocument/2006/relationships/hyperlink" Target="http://www.canlii.org/en/bc/bcca/doc/2013/2013bcca352/2013bcca352.html?searchUrlHash=AAAAAQANMjAxMyBiY2NhIDM1MgAAAAAB" TargetMode="External"/><Relationship Id="rId53" Type="http://schemas.openxmlformats.org/officeDocument/2006/relationships/hyperlink" Target="http://canlii.ca/fr/qc/qcca/doc/2013/2013qcca1428/2013qcca1428.html" TargetMode="External"/><Relationship Id="rId58" Type="http://schemas.openxmlformats.org/officeDocument/2006/relationships/hyperlink" Target="http://canlii.ca/t/fxnlp" TargetMode="External"/><Relationship Id="rId74" Type="http://schemas.openxmlformats.org/officeDocument/2006/relationships/hyperlink" Target="http://decisions.fca-caf.ca/site/fca-caf/decisions/fr/item/62840/index.do" TargetMode="External"/><Relationship Id="rId79" Type="http://schemas.openxmlformats.org/officeDocument/2006/relationships/footer" Target="footer8.xml"/><Relationship Id="rId102" Type="http://schemas.openxmlformats.org/officeDocument/2006/relationships/footer" Target="footer18.xml"/><Relationship Id="rId5" Type="http://schemas.openxmlformats.org/officeDocument/2006/relationships/footnotes" Target="footnotes.xml"/><Relationship Id="rId61" Type="http://schemas.openxmlformats.org/officeDocument/2006/relationships/hyperlink" Target="http://canlii.ca/t/g0kpg" TargetMode="External"/><Relationship Id="rId82" Type="http://schemas.openxmlformats.org/officeDocument/2006/relationships/footer" Target="footer10.xml"/><Relationship Id="rId90" Type="http://schemas.openxmlformats.org/officeDocument/2006/relationships/header" Target="header15.xml"/><Relationship Id="rId95" Type="http://schemas.openxmlformats.org/officeDocument/2006/relationships/hyperlink" Target="http://www.scc-csc.ca/case-dossier/info/sum-som-eng.aspx?cas=35488" TargetMode="Externa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file:///\\FS-P01V\LegalData$\Communications\LEXUM\NewsRelease\2014\February%202014\2013%20QCCA%201140" TargetMode="External"/><Relationship Id="rId30" Type="http://schemas.openxmlformats.org/officeDocument/2006/relationships/hyperlink" Target="http://www.canlii.org/fr/qc/qccs/doc/2012/2012qccs699/2012qccs699.html" TargetMode="External"/><Relationship Id="rId35" Type="http://schemas.openxmlformats.org/officeDocument/2006/relationships/hyperlink" Target="http://www.canlii.org/en/bc/bcca/doc/2013/2013bcca352/2013bcca352.html?searchUrlHash=AAAAAQANMjAxMyBiY2NhIDM1MgAAAAAB" TargetMode="External"/><Relationship Id="rId43" Type="http://schemas.openxmlformats.org/officeDocument/2006/relationships/hyperlink" Target="http://www.canlii.org/en/bc/bcca/doc/2013/2013bcca352/2013bcca352.html?searchUrlHash=AAAAAQANMjAxMyBiY2NhIDM1MgAAAAAB" TargetMode="External"/><Relationship Id="rId48" Type="http://schemas.openxmlformats.org/officeDocument/2006/relationships/hyperlink" Target="http://www.canlii.org/en/on/onca/doc/2013/2013onca522/2013onca522.html?searchUrlHash=AAAAAQAPbWljaGVsbGUgd3JpZ2h0AAAAAAE" TargetMode="External"/><Relationship Id="rId56" Type="http://schemas.openxmlformats.org/officeDocument/2006/relationships/hyperlink" Target="http://www.canlii.org/en/on/onca/doc/2013/2013onca539/2013onca539.html" TargetMode="External"/><Relationship Id="rId64" Type="http://schemas.openxmlformats.org/officeDocument/2006/relationships/hyperlink" Target="http://canlii.ca/t/fv1mm" TargetMode="External"/><Relationship Id="rId69" Type="http://schemas.openxmlformats.org/officeDocument/2006/relationships/hyperlink" Target="http://canlii.ca/t/g0srb" TargetMode="External"/><Relationship Id="rId77" Type="http://schemas.openxmlformats.org/officeDocument/2006/relationships/header" Target="header8.xml"/><Relationship Id="rId100" Type="http://schemas.openxmlformats.org/officeDocument/2006/relationships/header" Target="header18.xml"/><Relationship Id="rId105" Type="http://schemas.openxmlformats.org/officeDocument/2006/relationships/header" Target="header20.xml"/><Relationship Id="rId113" Type="http://schemas.openxmlformats.org/officeDocument/2006/relationships/header" Target="header23.xml"/><Relationship Id="rId118" Type="http://schemas.openxmlformats.org/officeDocument/2006/relationships/footer" Target="footer25.xml"/><Relationship Id="rId8" Type="http://schemas.openxmlformats.org/officeDocument/2006/relationships/hyperlink" Target="http://www.scc-csc.ca" TargetMode="External"/><Relationship Id="rId51" Type="http://schemas.openxmlformats.org/officeDocument/2006/relationships/hyperlink" Target="http://canlii.ca/fr/qc/qcca/doc/2013/2013qcca1428/2013qcca1428.html" TargetMode="External"/><Relationship Id="rId72" Type="http://schemas.openxmlformats.org/officeDocument/2006/relationships/hyperlink" Target="http://canlii.ca/t/g0mq6" TargetMode="External"/><Relationship Id="rId80" Type="http://schemas.openxmlformats.org/officeDocument/2006/relationships/footer" Target="footer9.xml"/><Relationship Id="rId85" Type="http://schemas.openxmlformats.org/officeDocument/2006/relationships/footer" Target="footer11.xml"/><Relationship Id="rId93" Type="http://schemas.openxmlformats.org/officeDocument/2006/relationships/header" Target="header16.xml"/><Relationship Id="rId98" Type="http://schemas.openxmlformats.org/officeDocument/2006/relationships/hyperlink" Target="http://www.scc-csc.ca/case-dossier/info/sum-som-fra.aspx?cas=35295"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canlii.org/en/nb/nbca/doc/2013/2013nbca68/2013nbca68.html?searchUrlHash=AAAAAQANMjAxMiBOQlFCIDIxOAAAAAAB" TargetMode="External"/><Relationship Id="rId33" Type="http://schemas.openxmlformats.org/officeDocument/2006/relationships/hyperlink" Target="http://www.canlii.org/2013qcca1256" TargetMode="External"/><Relationship Id="rId38" Type="http://schemas.openxmlformats.org/officeDocument/2006/relationships/hyperlink" Target="http://www.canlii.org/en/bc/bcsc/doc/2012/2012bcsc319/2012bcsc319.html?searchUrlHash=AAAAAQANMjAxMiBiY3NjIDMxOQAAAAAB" TargetMode="External"/><Relationship Id="rId46" Type="http://schemas.openxmlformats.org/officeDocument/2006/relationships/hyperlink" Target="http://www.canlii.org/fr/qc/qcca/doc/2013/2013qcca1410/2013qcca1410.html" TargetMode="External"/><Relationship Id="rId59" Type="http://schemas.openxmlformats.org/officeDocument/2006/relationships/hyperlink" Target="http://canlii.ca/t/g0kpg" TargetMode="External"/><Relationship Id="rId67" Type="http://schemas.openxmlformats.org/officeDocument/2006/relationships/hyperlink" Target="http://canlii.ca/t/g0srb" TargetMode="External"/><Relationship Id="rId103" Type="http://schemas.openxmlformats.org/officeDocument/2006/relationships/header" Target="header19.xml"/><Relationship Id="rId108" Type="http://schemas.openxmlformats.org/officeDocument/2006/relationships/footer" Target="footer21.xml"/><Relationship Id="rId116" Type="http://schemas.openxmlformats.org/officeDocument/2006/relationships/footer" Target="footer24.xml"/><Relationship Id="rId20" Type="http://schemas.openxmlformats.org/officeDocument/2006/relationships/header" Target="header6.xml"/><Relationship Id="rId41" Type="http://schemas.openxmlformats.org/officeDocument/2006/relationships/hyperlink" Target="http://www.canlii.org/en/bc/bcca/doc/2013/2013bcca352/2013bcca352.html?searchUrlHash=AAAAAQANMjAxMyBiY2NhIDM1MgAAAAAB" TargetMode="External"/><Relationship Id="rId54" Type="http://schemas.openxmlformats.org/officeDocument/2006/relationships/hyperlink" Target="http://www.canlii.org/en/ca/laws/stat/rsc-1985-c-c-46/latest/rsc-1985-c-c-46.html" TargetMode="External"/><Relationship Id="rId62" Type="http://schemas.openxmlformats.org/officeDocument/2006/relationships/hyperlink" Target="http://canlii.ca/t/fv1mm" TargetMode="External"/><Relationship Id="rId70" Type="http://schemas.openxmlformats.org/officeDocument/2006/relationships/hyperlink" Target="http://canlii.ca/t/g0mqd" TargetMode="External"/><Relationship Id="rId75" Type="http://schemas.openxmlformats.org/officeDocument/2006/relationships/hyperlink" Target="http://canlii.ca/t/g0mqc" TargetMode="External"/><Relationship Id="rId83" Type="http://schemas.openxmlformats.org/officeDocument/2006/relationships/header" Target="header11.xml"/><Relationship Id="rId88" Type="http://schemas.openxmlformats.org/officeDocument/2006/relationships/footer" Target="footer13.xml"/><Relationship Id="rId91" Type="http://schemas.openxmlformats.org/officeDocument/2006/relationships/footer" Target="footer14.xml"/><Relationship Id="rId96" Type="http://schemas.openxmlformats.org/officeDocument/2006/relationships/hyperlink" Target="http://www.scc-csc.ca/case-dossier/info/sum-som-eng.aspx?cas=34948" TargetMode="External"/><Relationship Id="rId111" Type="http://schemas.openxmlformats.org/officeDocument/2006/relationships/hyperlink" Target="http://www.scc-csc.ca/case-dossier/info/sum-som-eng.aspx?cas=3518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canlii.ca/t/fzx0z" TargetMode="External"/><Relationship Id="rId36" Type="http://schemas.openxmlformats.org/officeDocument/2006/relationships/hyperlink" Target="http://www.canlii.org/en/bc/bcsc/doc/2012/2012bcsc319/2012bcsc319.html?searchUrlHash=AAAAAQANMjAxMiBiY3NjIDMxOQAAAAAB" TargetMode="External"/><Relationship Id="rId49" Type="http://schemas.openxmlformats.org/officeDocument/2006/relationships/hyperlink" Target="http://www.canlii.org/en/on/onca/doc/2013/2013onca522/2013onca522.html?searchUrlHash=AAAAAQAPbWljaGVsbGUgd3JpZ2h0AAAAAAE" TargetMode="External"/><Relationship Id="rId57" Type="http://schemas.openxmlformats.org/officeDocument/2006/relationships/hyperlink" Target="http://www.canlii.org/en/on/onca/doc/2013/2013onca539/2013onca539.html" TargetMode="External"/><Relationship Id="rId106" Type="http://schemas.openxmlformats.org/officeDocument/2006/relationships/header" Target="header21.xml"/><Relationship Id="rId114" Type="http://schemas.openxmlformats.org/officeDocument/2006/relationships/header" Target="header24.xml"/><Relationship Id="rId119" Type="http://schemas.openxmlformats.org/officeDocument/2006/relationships/header" Target="header26.xml"/><Relationship Id="rId10" Type="http://schemas.openxmlformats.org/officeDocument/2006/relationships/header" Target="header1.xml"/><Relationship Id="rId31" Type="http://schemas.openxmlformats.org/officeDocument/2006/relationships/hyperlink" Target="http://www.canlii.org/en/qc/qcca/doc/2013/2013qcca1256/2013qcca1256.html" TargetMode="External"/><Relationship Id="rId44" Type="http://schemas.openxmlformats.org/officeDocument/2006/relationships/hyperlink" Target="http://www.canlii.org/en/bc/bcsc/doc/2012/2012bcsc319/2012bcsc319.html?searchUrlHash=AAAAAQANMjAxMiBiY3NjIDMxOQAAAAAB" TargetMode="External"/><Relationship Id="rId52" Type="http://schemas.openxmlformats.org/officeDocument/2006/relationships/hyperlink" Target="http://canlii.ca/fr/qc/qccs/doc/2011/2011qccs7575/2011qccs7575.html" TargetMode="External"/><Relationship Id="rId60" Type="http://schemas.openxmlformats.org/officeDocument/2006/relationships/hyperlink" Target="http://canlii.ca/t/fxnlp" TargetMode="External"/><Relationship Id="rId65" Type="http://schemas.openxmlformats.org/officeDocument/2006/relationships/hyperlink" Target="http://canlii.ca/t/g10jl" TargetMode="External"/><Relationship Id="rId73" Type="http://schemas.openxmlformats.org/officeDocument/2006/relationships/hyperlink" Target="http://decisions.fca-caf.ca/site/fca-caf/decisions/fr/item/62840/index.do" TargetMode="External"/><Relationship Id="rId78" Type="http://schemas.openxmlformats.org/officeDocument/2006/relationships/header" Target="header9.xml"/><Relationship Id="rId81" Type="http://schemas.openxmlformats.org/officeDocument/2006/relationships/header" Target="header10.xml"/><Relationship Id="rId86" Type="http://schemas.openxmlformats.org/officeDocument/2006/relationships/footer" Target="footer12.xml"/><Relationship Id="rId94" Type="http://schemas.openxmlformats.org/officeDocument/2006/relationships/footer" Target="footer16.xml"/><Relationship Id="rId99" Type="http://schemas.openxmlformats.org/officeDocument/2006/relationships/header" Target="header17.xml"/><Relationship Id="rId101" Type="http://schemas.openxmlformats.org/officeDocument/2006/relationships/footer" Target="footer17.xm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www.canlii.org/en/bc/bcca/doc/2013/2013bcca352/2013bcca352.html?searchUrlHash=AAAAAQANMjAxMyBiY2NhIDM1MgAAAAAB" TargetMode="External"/><Relationship Id="rId109" Type="http://schemas.openxmlformats.org/officeDocument/2006/relationships/header" Target="header22.xml"/><Relationship Id="rId34" Type="http://schemas.openxmlformats.org/officeDocument/2006/relationships/hyperlink" Target="http://www.canlii.org/en/bc/bcsc/doc/2012/2012bcsc319/2012bcsc319.html?searchUrlHash=AAAAAQANMjAxMiBiY3NjIDMxOQAAAAAB" TargetMode="External"/><Relationship Id="rId50" Type="http://schemas.openxmlformats.org/officeDocument/2006/relationships/hyperlink" Target="http://canlii.ca/fr/qc/qccs/doc/2011/2011qccs7575/2011qccs7575.html" TargetMode="External"/><Relationship Id="rId55" Type="http://schemas.openxmlformats.org/officeDocument/2006/relationships/hyperlink" Target="http://www.canlii.org/en/ca/laws/stat/rsc-1985-c-c-46/latest/rsc-1985-c-c-46.html" TargetMode="External"/><Relationship Id="rId76" Type="http://schemas.openxmlformats.org/officeDocument/2006/relationships/hyperlink" Target="http://decisions.fca-caf.ca/site/fca-caf/decisions/fr/item/62834/index.do" TargetMode="External"/><Relationship Id="rId97" Type="http://schemas.openxmlformats.org/officeDocument/2006/relationships/hyperlink" Target="http://www.scc-csc.ca/case-dossier/info/sum-som-eng.aspx?cas=35424" TargetMode="External"/><Relationship Id="rId104" Type="http://schemas.openxmlformats.org/officeDocument/2006/relationships/footer" Target="footer19.xml"/><Relationship Id="rId120" Type="http://schemas.openxmlformats.org/officeDocument/2006/relationships/footer" Target="footer26.xml"/><Relationship Id="rId7" Type="http://schemas.openxmlformats.org/officeDocument/2006/relationships/image" Target="media/image1.wmf"/><Relationship Id="rId71" Type="http://schemas.openxmlformats.org/officeDocument/2006/relationships/hyperlink" Target="http://canlii.ca/t/g0mqc" TargetMode="External"/><Relationship Id="rId92" Type="http://schemas.openxmlformats.org/officeDocument/2006/relationships/footer" Target="footer15.xml"/><Relationship Id="rId2" Type="http://schemas.openxmlformats.org/officeDocument/2006/relationships/styles" Target="styles.xml"/><Relationship Id="rId29" Type="http://schemas.openxmlformats.org/officeDocument/2006/relationships/hyperlink" Target="http://canlii.ca/t/fzx0z" TargetMode="External"/><Relationship Id="rId24" Type="http://schemas.openxmlformats.org/officeDocument/2006/relationships/hyperlink" Target="http://www.canlii.org/en/nb/nbca/doc/2013/2013nbca68/2013nbca68.html?searchUrlHash=AAAAAQANMjAxMiBOQlFCIDIxOAAAAAAB" TargetMode="External"/><Relationship Id="rId40" Type="http://schemas.openxmlformats.org/officeDocument/2006/relationships/hyperlink" Target="http://www.canlii.org/en/bc/bcsc/doc/2012/2012bcsc319/2012bcsc319.html?searchUrlHash=AAAAAQANMjAxMiBiY3NjIDMxOQAAAAAB" TargetMode="External"/><Relationship Id="rId45" Type="http://schemas.openxmlformats.org/officeDocument/2006/relationships/hyperlink" Target="http://www.canlii.org/en/bc/bcca/doc/2013/2013bcca352/2013bcca352.html?searchUrlHash=AAAAAQANMjAxMyBiY2NhIDM1MgAAAAAB" TargetMode="External"/><Relationship Id="rId66" Type="http://schemas.openxmlformats.org/officeDocument/2006/relationships/hyperlink" Target="file:///\\c-doc\DavWWWRoot\L25\01\05\35639_Leave%20opinion-Avis%20demande_levasseuk_En.docx" TargetMode="External"/><Relationship Id="rId87" Type="http://schemas.openxmlformats.org/officeDocument/2006/relationships/header" Target="header13.xml"/><Relationship Id="rId110" Type="http://schemas.openxmlformats.org/officeDocument/2006/relationships/footer" Target="footer22.xml"/><Relationship Id="rId115" Type="http://schemas.openxmlformats.org/officeDocument/2006/relationships/footer" Target="foot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24269</Words>
  <Characters>138337</Characters>
  <Application>Microsoft Office Word</Application>
  <DocSecurity>0</DocSecurity>
  <Lines>1152</Lines>
  <Paragraphs>324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2014-02-17T16:23:00Z</dcterms:created>
  <dcterms:modified xsi:type="dcterms:W3CDTF">2015-12-15T20:57:00Z</dcterms:modified>
</cp:coreProperties>
</file>