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C68D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C68D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C68D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C68D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C68D7" w:rsidTr="002E5576">
        <w:tc>
          <w:tcPr>
            <w:tcW w:w="4518" w:type="dxa"/>
          </w:tcPr>
          <w:p w:rsidR="00BF25F3" w:rsidRPr="002E2327" w:rsidRDefault="007359B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359B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C68D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C68D7"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0C68D7">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0C68D7">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A1FC5"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7</w:t>
      </w:r>
      <w:r w:rsidR="00440E24" w:rsidRPr="00675479">
        <w:rPr>
          <w:lang w:val="fr-CA"/>
        </w:rPr>
        <w:t>, 201</w:t>
      </w:r>
      <w:r w:rsidR="00501F3C">
        <w:rPr>
          <w:lang w:val="fr-CA"/>
        </w:rPr>
        <w:t>4</w:t>
      </w:r>
      <w:r w:rsidR="00F0068D" w:rsidRPr="00675479">
        <w:rPr>
          <w:lang w:val="fr-CA"/>
        </w:rPr>
        <w:tab/>
      </w:r>
      <w:r>
        <w:rPr>
          <w:lang w:val="fr-CA"/>
        </w:rPr>
        <w:t>38</w:t>
      </w:r>
      <w:r w:rsidR="00F0068D" w:rsidRPr="00675479">
        <w:rPr>
          <w:lang w:val="fr-CA"/>
        </w:rPr>
        <w:t xml:space="preserve">1 - </w:t>
      </w:r>
      <w:r w:rsidR="00820F1B">
        <w:rPr>
          <w:lang w:val="fr-CA"/>
        </w:rPr>
        <w:t>422</w:t>
      </w:r>
      <w:r w:rsidR="00440E24" w:rsidRPr="00675479">
        <w:rPr>
          <w:lang w:val="fr-CA"/>
        </w:rPr>
        <w:tab/>
      </w:r>
      <w:r w:rsidR="00440E24" w:rsidRPr="002E2327">
        <w:rPr>
          <w:lang w:val="fr-CA"/>
        </w:rPr>
        <w:t>Le</w:t>
      </w:r>
      <w:r w:rsidR="00C73D06">
        <w:rPr>
          <w:lang w:val="fr-CA"/>
        </w:rPr>
        <w:t xml:space="preserve"> </w:t>
      </w:r>
      <w:r>
        <w:rPr>
          <w:lang w:val="fr-CA"/>
        </w:rPr>
        <w:t>7</w:t>
      </w:r>
      <w:r w:rsidR="00C73D06">
        <w:rPr>
          <w:lang w:val="fr-CA"/>
        </w:rPr>
        <w:t xml:space="preserve"> </w:t>
      </w:r>
      <w:r>
        <w:rPr>
          <w:lang w:val="fr-CA"/>
        </w:rPr>
        <w:t>m</w:t>
      </w:r>
      <w:r w:rsidR="00440E24" w:rsidRPr="002E2327">
        <w:rPr>
          <w:lang w:val="fr-CA"/>
        </w:rPr>
        <w:t>a</w:t>
      </w:r>
      <w:r w:rsidR="00C73D06">
        <w:rPr>
          <w:lang w:val="fr-CA"/>
        </w:rPr>
        <w:t>r</w:t>
      </w:r>
      <w:r>
        <w:rPr>
          <w:lang w:val="fr-CA"/>
        </w:rPr>
        <w:t>s</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B177E4">
            <w:pPr>
              <w:tabs>
                <w:tab w:val="right" w:pos="9360"/>
              </w:tabs>
              <w:rPr>
                <w:rFonts w:cs="Times New Roman"/>
                <w:sz w:val="20"/>
                <w:szCs w:val="20"/>
              </w:rPr>
            </w:pPr>
          </w:p>
        </w:tc>
        <w:tc>
          <w:tcPr>
            <w:tcW w:w="1980" w:type="dxa"/>
          </w:tcPr>
          <w:p w:rsidR="0095096B" w:rsidRPr="002E2327" w:rsidRDefault="00DA1FC5" w:rsidP="0095096B">
            <w:pPr>
              <w:jc w:val="center"/>
              <w:rPr>
                <w:rFonts w:cs="Times New Roman"/>
                <w:sz w:val="20"/>
                <w:szCs w:val="20"/>
              </w:rPr>
            </w:pPr>
            <w:r>
              <w:rPr>
                <w:rFonts w:cs="Times New Roman"/>
                <w:sz w:val="20"/>
                <w:szCs w:val="20"/>
              </w:rPr>
              <w:t xml:space="preserve">381 </w:t>
            </w:r>
            <w:r w:rsidR="007359BF" w:rsidRPr="002E2327">
              <w:rPr>
                <w:rFonts w:cs="Times New Roman"/>
                <w:sz w:val="20"/>
                <w:szCs w:val="20"/>
              </w:rPr>
              <w:fldChar w:fldCharType="begin"/>
            </w:r>
            <w:r w:rsidR="0095096B" w:rsidRPr="002E2327">
              <w:rPr>
                <w:rFonts w:cs="Times New Roman"/>
                <w:sz w:val="20"/>
                <w:szCs w:val="20"/>
              </w:rPr>
              <w:instrText xml:space="preserve"> SEQ CHAPTER \h \r 1</w:instrText>
            </w:r>
            <w:r w:rsidR="007359BF" w:rsidRPr="002E2327">
              <w:rPr>
                <w:rFonts w:cs="Times New Roman"/>
                <w:sz w:val="20"/>
                <w:szCs w:val="20"/>
              </w:rPr>
              <w:fldChar w:fldCharType="end"/>
            </w:r>
            <w:r w:rsidR="0095096B" w:rsidRPr="002E2327">
              <w:rPr>
                <w:rFonts w:cs="Times New Roman"/>
                <w:sz w:val="20"/>
                <w:szCs w:val="20"/>
              </w:rPr>
              <w:t>-</w:t>
            </w:r>
            <w:r w:rsidR="00FE6574">
              <w:rPr>
                <w:rFonts w:cs="Times New Roman"/>
                <w:sz w:val="20"/>
                <w:szCs w:val="20"/>
              </w:rPr>
              <w:t xml:space="preserve"> 382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E6574" w:rsidP="0095096B">
            <w:pPr>
              <w:jc w:val="center"/>
              <w:rPr>
                <w:rFonts w:cs="Times New Roman"/>
                <w:sz w:val="20"/>
                <w:szCs w:val="20"/>
              </w:rPr>
            </w:pPr>
            <w:r>
              <w:rPr>
                <w:rFonts w:cs="Times New Roman"/>
                <w:sz w:val="20"/>
                <w:szCs w:val="20"/>
              </w:rPr>
              <w:t>383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E6574" w:rsidP="0095096B">
            <w:pPr>
              <w:jc w:val="center"/>
              <w:rPr>
                <w:rFonts w:cs="Times New Roman"/>
                <w:sz w:val="20"/>
                <w:szCs w:val="20"/>
              </w:rPr>
            </w:pPr>
            <w:r>
              <w:rPr>
                <w:rFonts w:cs="Times New Roman"/>
                <w:sz w:val="20"/>
                <w:szCs w:val="20"/>
              </w:rPr>
              <w:t xml:space="preserve">384 </w:t>
            </w:r>
            <w:r w:rsidR="0095096B" w:rsidRPr="002E2327">
              <w:rPr>
                <w:rFonts w:cs="Times New Roman"/>
                <w:sz w:val="20"/>
                <w:szCs w:val="20"/>
              </w:rPr>
              <w:t>-</w:t>
            </w:r>
            <w:r w:rsidR="00C5390A">
              <w:rPr>
                <w:rFonts w:cs="Times New Roman"/>
                <w:sz w:val="20"/>
                <w:szCs w:val="20"/>
              </w:rPr>
              <w:t xml:space="preserve"> 391</w:t>
            </w:r>
          </w:p>
          <w:p w:rsidR="0095096B" w:rsidRPr="002E2327" w:rsidRDefault="0095096B" w:rsidP="0095096B">
            <w:pPr>
              <w:jc w:val="center"/>
              <w:rPr>
                <w:rFonts w:cs="Times New Roman"/>
                <w:sz w:val="20"/>
                <w:szCs w:val="20"/>
              </w:rPr>
            </w:pPr>
          </w:p>
          <w:p w:rsidR="00C5390A" w:rsidRDefault="00C5390A" w:rsidP="0095096B">
            <w:pPr>
              <w:jc w:val="center"/>
              <w:rPr>
                <w:rFonts w:cs="Times New Roman"/>
                <w:sz w:val="20"/>
                <w:szCs w:val="20"/>
              </w:rPr>
            </w:pPr>
          </w:p>
          <w:p w:rsidR="0095096B" w:rsidRPr="002E2327" w:rsidRDefault="00C5390A" w:rsidP="0095096B">
            <w:pPr>
              <w:jc w:val="center"/>
              <w:rPr>
                <w:rFonts w:cs="Times New Roman"/>
                <w:sz w:val="20"/>
                <w:szCs w:val="20"/>
              </w:rPr>
            </w:pPr>
            <w:r>
              <w:rPr>
                <w:rFonts w:cs="Times New Roman"/>
                <w:sz w:val="20"/>
                <w:szCs w:val="20"/>
              </w:rPr>
              <w:t xml:space="preserve">392 </w:t>
            </w:r>
            <w:r w:rsidR="0095096B" w:rsidRPr="002E2327">
              <w:rPr>
                <w:rFonts w:cs="Times New Roman"/>
                <w:sz w:val="20"/>
                <w:szCs w:val="20"/>
              </w:rPr>
              <w:t>-</w:t>
            </w:r>
            <w:r>
              <w:rPr>
                <w:rFonts w:cs="Times New Roman"/>
                <w:sz w:val="20"/>
                <w:szCs w:val="20"/>
              </w:rPr>
              <w:t xml:space="preserve"> 394</w:t>
            </w:r>
          </w:p>
          <w:p w:rsidR="0095096B" w:rsidRPr="002E2327" w:rsidRDefault="0095096B" w:rsidP="0095096B">
            <w:pPr>
              <w:jc w:val="center"/>
              <w:rPr>
                <w:rFonts w:cs="Times New Roman"/>
                <w:sz w:val="20"/>
                <w:szCs w:val="20"/>
              </w:rPr>
            </w:pPr>
          </w:p>
          <w:p w:rsidR="0095096B" w:rsidRPr="002E2327" w:rsidRDefault="00C5390A" w:rsidP="0095096B">
            <w:pPr>
              <w:jc w:val="center"/>
              <w:rPr>
                <w:rFonts w:cs="Times New Roman"/>
                <w:sz w:val="20"/>
                <w:szCs w:val="20"/>
              </w:rPr>
            </w:pPr>
            <w:r>
              <w:rPr>
                <w:rFonts w:cs="Times New Roman"/>
                <w:sz w:val="20"/>
                <w:szCs w:val="20"/>
              </w:rPr>
              <w:t>395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390A" w:rsidP="0095096B">
            <w:pPr>
              <w:jc w:val="center"/>
              <w:rPr>
                <w:rFonts w:cs="Times New Roman"/>
                <w:sz w:val="20"/>
                <w:szCs w:val="20"/>
              </w:rPr>
            </w:pPr>
            <w:r>
              <w:rPr>
                <w:rFonts w:cs="Times New Roman"/>
                <w:sz w:val="20"/>
                <w:szCs w:val="20"/>
              </w:rPr>
              <w:t xml:space="preserve">396 </w:t>
            </w:r>
            <w:r w:rsidR="0095096B" w:rsidRPr="002E2327">
              <w:rPr>
                <w:rFonts w:cs="Times New Roman"/>
                <w:sz w:val="20"/>
                <w:szCs w:val="20"/>
              </w:rPr>
              <w:t>-</w:t>
            </w:r>
            <w:r w:rsidR="00820F1B">
              <w:rPr>
                <w:rFonts w:cs="Times New Roman"/>
                <w:sz w:val="20"/>
                <w:szCs w:val="20"/>
              </w:rPr>
              <w:t xml:space="preserve"> 401</w:t>
            </w:r>
          </w:p>
          <w:p w:rsidR="0095096B" w:rsidRPr="002E2327" w:rsidRDefault="0095096B" w:rsidP="0095096B">
            <w:pPr>
              <w:jc w:val="center"/>
              <w:rPr>
                <w:rFonts w:cs="Times New Roman"/>
                <w:sz w:val="20"/>
                <w:szCs w:val="20"/>
              </w:rPr>
            </w:pPr>
          </w:p>
          <w:p w:rsidR="0095096B" w:rsidRPr="002E2327" w:rsidRDefault="00820F1B" w:rsidP="0095096B">
            <w:pPr>
              <w:jc w:val="center"/>
              <w:rPr>
                <w:rFonts w:cs="Times New Roman"/>
                <w:sz w:val="20"/>
                <w:szCs w:val="20"/>
              </w:rPr>
            </w:pPr>
            <w:r>
              <w:rPr>
                <w:rFonts w:cs="Times New Roman"/>
                <w:sz w:val="20"/>
                <w:szCs w:val="20"/>
              </w:rPr>
              <w:t>402</w:t>
            </w:r>
          </w:p>
          <w:p w:rsidR="0095096B" w:rsidRPr="002E2327" w:rsidRDefault="0095096B" w:rsidP="0095096B">
            <w:pPr>
              <w:jc w:val="center"/>
              <w:rPr>
                <w:rFonts w:cs="Times New Roman"/>
                <w:sz w:val="20"/>
                <w:szCs w:val="20"/>
              </w:rPr>
            </w:pPr>
          </w:p>
          <w:p w:rsidR="0095096B" w:rsidRPr="002E2327" w:rsidRDefault="00820F1B" w:rsidP="0095096B">
            <w:pPr>
              <w:jc w:val="center"/>
              <w:rPr>
                <w:rFonts w:cs="Times New Roman"/>
                <w:sz w:val="20"/>
                <w:szCs w:val="20"/>
              </w:rPr>
            </w:pPr>
            <w:r>
              <w:rPr>
                <w:rFonts w:cs="Times New Roman"/>
                <w:sz w:val="20"/>
                <w:szCs w:val="20"/>
              </w:rPr>
              <w:t xml:space="preserve">403 </w:t>
            </w:r>
            <w:r w:rsidR="0095096B" w:rsidRPr="002E2327">
              <w:rPr>
                <w:rFonts w:cs="Times New Roman"/>
                <w:sz w:val="20"/>
                <w:szCs w:val="20"/>
              </w:rPr>
              <w:t>-</w:t>
            </w:r>
            <w:r>
              <w:rPr>
                <w:rFonts w:cs="Times New Roman"/>
                <w:sz w:val="20"/>
                <w:szCs w:val="20"/>
              </w:rPr>
              <w:t xml:space="preserve"> 422</w:t>
            </w:r>
          </w:p>
          <w:p w:rsidR="00A87207" w:rsidRPr="002E2327" w:rsidRDefault="00A87207" w:rsidP="00C5390A">
            <w:pPr>
              <w:jc w:val="center"/>
              <w:rPr>
                <w:rFonts w:cs="Times New Roman"/>
                <w:sz w:val="20"/>
                <w:szCs w:val="20"/>
              </w:rPr>
            </w:pPr>
          </w:p>
        </w:tc>
        <w:tc>
          <w:tcPr>
            <w:tcW w:w="3888" w:type="dxa"/>
          </w:tcPr>
          <w:p w:rsidR="0095096B" w:rsidRPr="002E2327" w:rsidRDefault="007359B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B177E4">
            <w:pPr>
              <w:tabs>
                <w:tab w:val="right" w:pos="9360"/>
              </w:tabs>
              <w:rPr>
                <w:rFonts w:cs="Times New Roman"/>
                <w:sz w:val="20"/>
                <w:szCs w:val="20"/>
                <w:lang w:val="fr-CA"/>
              </w:rPr>
            </w:pPr>
          </w:p>
        </w:tc>
      </w:tr>
    </w:tbl>
    <w:p w:rsidR="0095096B" w:rsidRDefault="0095096B" w:rsidP="0095096B">
      <w:pPr>
        <w:tabs>
          <w:tab w:val="right" w:pos="9360"/>
        </w:tabs>
      </w:pPr>
    </w:p>
    <w:p w:rsidR="00B177E4" w:rsidRDefault="00B177E4" w:rsidP="0095096B">
      <w:pPr>
        <w:tabs>
          <w:tab w:val="right" w:pos="9360"/>
        </w:tabs>
      </w:pPr>
    </w:p>
    <w:p w:rsidR="00B177E4" w:rsidRDefault="00B177E4" w:rsidP="0095096B">
      <w:pPr>
        <w:tabs>
          <w:tab w:val="right" w:pos="9360"/>
        </w:tabs>
      </w:pPr>
    </w:p>
    <w:p w:rsidR="00B177E4" w:rsidRDefault="00B177E4" w:rsidP="0095096B">
      <w:pPr>
        <w:tabs>
          <w:tab w:val="right" w:pos="9360"/>
        </w:tabs>
      </w:pPr>
    </w:p>
    <w:p w:rsidR="00B177E4" w:rsidRPr="002E2327" w:rsidRDefault="00B177E4" w:rsidP="0095096B">
      <w:pPr>
        <w:tabs>
          <w:tab w:val="right" w:pos="9360"/>
        </w:tabs>
      </w:pPr>
    </w:p>
    <w:tbl>
      <w:tblPr>
        <w:tblStyle w:val="TableGrid"/>
        <w:tblW w:w="0" w:type="auto"/>
        <w:tblLook w:val="04A0" w:firstRow="1" w:lastRow="0" w:firstColumn="1" w:lastColumn="0" w:noHBand="0" w:noVBand="1"/>
      </w:tblPr>
      <w:tblGrid>
        <w:gridCol w:w="9576"/>
      </w:tblGrid>
      <w:tr w:rsidR="0079724F" w:rsidRPr="000C68D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A20911">
        <w:tc>
          <w:tcPr>
            <w:tcW w:w="4320" w:type="dxa"/>
            <w:shd w:val="clear" w:color="auto" w:fill="auto"/>
          </w:tcPr>
          <w:p w:rsidR="00242AEE" w:rsidRPr="00A935AA" w:rsidRDefault="00A641E8" w:rsidP="003B3977">
            <w:pPr>
              <w:rPr>
                <w:b/>
                <w:sz w:val="20"/>
                <w:szCs w:val="20"/>
              </w:rPr>
            </w:pPr>
            <w:r>
              <w:rPr>
                <w:b/>
                <w:sz w:val="20"/>
                <w:szCs w:val="20"/>
              </w:rPr>
              <w:t>Abb Inc. et al.</w:t>
            </w:r>
          </w:p>
          <w:p w:rsidR="00242AEE" w:rsidRPr="00A935AA" w:rsidRDefault="00242AEE" w:rsidP="003B3977">
            <w:pPr>
              <w:tabs>
                <w:tab w:val="left" w:pos="-1440"/>
                <w:tab w:val="left" w:pos="-720"/>
              </w:tabs>
              <w:rPr>
                <w:sz w:val="20"/>
                <w:szCs w:val="20"/>
              </w:rPr>
            </w:pPr>
            <w:r w:rsidRPr="00A935AA">
              <w:rPr>
                <w:sz w:val="20"/>
                <w:szCs w:val="20"/>
              </w:rPr>
              <w:tab/>
            </w:r>
            <w:r w:rsidR="00A641E8">
              <w:rPr>
                <w:sz w:val="20"/>
                <w:szCs w:val="20"/>
              </w:rPr>
              <w:t>Christopher J. Kent</w:t>
            </w:r>
          </w:p>
          <w:p w:rsidR="00242AEE" w:rsidRPr="00A935AA" w:rsidRDefault="00242AEE" w:rsidP="003B3977">
            <w:pPr>
              <w:tabs>
                <w:tab w:val="left" w:pos="-1440"/>
                <w:tab w:val="left" w:pos="-720"/>
              </w:tabs>
              <w:rPr>
                <w:sz w:val="20"/>
                <w:szCs w:val="20"/>
              </w:rPr>
            </w:pPr>
            <w:r w:rsidRPr="00A935AA">
              <w:rPr>
                <w:sz w:val="20"/>
                <w:szCs w:val="20"/>
              </w:rPr>
              <w:tab/>
            </w:r>
            <w:r w:rsidR="00A641E8">
              <w:rPr>
                <w:sz w:val="20"/>
                <w:szCs w:val="20"/>
              </w:rPr>
              <w:t>Cassidy Levy Kent (Canada)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DA1FC5">
              <w:rPr>
                <w:sz w:val="20"/>
                <w:szCs w:val="20"/>
              </w:rPr>
              <w:t>5</w:t>
            </w:r>
            <w:r w:rsidR="00A641E8">
              <w:rPr>
                <w:sz w:val="20"/>
                <w:szCs w:val="20"/>
              </w:rPr>
              <w:t>718</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A641E8" w:rsidP="003B3977">
            <w:pPr>
              <w:tabs>
                <w:tab w:val="left" w:pos="-1440"/>
                <w:tab w:val="left" w:pos="-720"/>
              </w:tabs>
              <w:rPr>
                <w:b/>
                <w:sz w:val="20"/>
                <w:szCs w:val="20"/>
              </w:rPr>
            </w:pPr>
            <w:r>
              <w:rPr>
                <w:b/>
                <w:sz w:val="20"/>
                <w:szCs w:val="20"/>
              </w:rPr>
              <w:t xml:space="preserve">Hyundai Heavy Industries Co., Ltd. et al. </w:t>
            </w:r>
            <w:r w:rsidR="00242AEE" w:rsidRPr="00A935AA">
              <w:rPr>
                <w:b/>
                <w:sz w:val="20"/>
                <w:szCs w:val="20"/>
              </w:rPr>
              <w:t>(</w:t>
            </w:r>
            <w:r>
              <w:rPr>
                <w:b/>
                <w:sz w:val="20"/>
                <w:szCs w:val="20"/>
              </w:rPr>
              <w:t>F</w:t>
            </w:r>
            <w:r w:rsidR="00242AEE" w:rsidRPr="00A935AA">
              <w:rPr>
                <w:b/>
                <w:sz w:val="20"/>
                <w:szCs w:val="20"/>
              </w:rPr>
              <w:t>.</w:t>
            </w:r>
            <w:r>
              <w:rPr>
                <w:b/>
                <w:sz w:val="20"/>
                <w:szCs w:val="20"/>
              </w:rPr>
              <w:t>C.</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A641E8">
              <w:rPr>
                <w:sz w:val="20"/>
                <w:szCs w:val="20"/>
              </w:rPr>
              <w:t>Jesse I. Goldman</w:t>
            </w:r>
          </w:p>
          <w:p w:rsidR="00242AEE" w:rsidRPr="00A935AA" w:rsidRDefault="00242AEE" w:rsidP="003B3977">
            <w:pPr>
              <w:tabs>
                <w:tab w:val="left" w:pos="-1440"/>
                <w:tab w:val="left" w:pos="-720"/>
              </w:tabs>
              <w:rPr>
                <w:sz w:val="20"/>
                <w:szCs w:val="20"/>
              </w:rPr>
            </w:pPr>
            <w:r w:rsidRPr="00A935AA">
              <w:rPr>
                <w:sz w:val="20"/>
                <w:szCs w:val="20"/>
              </w:rPr>
              <w:tab/>
            </w:r>
            <w:r w:rsidR="00A641E8">
              <w:rPr>
                <w:sz w:val="20"/>
                <w:szCs w:val="20"/>
              </w:rPr>
              <w:t>Bennett Jones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A641E8">
              <w:rPr>
                <w:sz w:val="20"/>
                <w:szCs w:val="20"/>
              </w:rPr>
              <w:t>04</w:t>
            </w:r>
            <w:r w:rsidRPr="00A935AA">
              <w:rPr>
                <w:sz w:val="20"/>
                <w:szCs w:val="20"/>
              </w:rPr>
              <w:t>.0</w:t>
            </w:r>
            <w:r w:rsidR="00A641E8">
              <w:rPr>
                <w:sz w:val="20"/>
                <w:szCs w:val="20"/>
              </w:rPr>
              <w:t>2</w:t>
            </w:r>
            <w:r w:rsidRPr="00A935AA">
              <w:rPr>
                <w:sz w:val="20"/>
                <w:szCs w:val="20"/>
              </w:rPr>
              <w:t>.201</w:t>
            </w:r>
            <w:r w:rsidR="00DA1FC5">
              <w:rPr>
                <w:sz w:val="20"/>
                <w:szCs w:val="20"/>
              </w:rPr>
              <w:t>4</w:t>
            </w:r>
          </w:p>
          <w:p w:rsidR="00242AEE" w:rsidRPr="00A935AA" w:rsidRDefault="000C68D7"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A641E8" w:rsidP="003B3977">
            <w:pPr>
              <w:keepNext/>
              <w:keepLines/>
              <w:tabs>
                <w:tab w:val="left" w:pos="-1440"/>
                <w:tab w:val="left" w:pos="-720"/>
              </w:tabs>
              <w:rPr>
                <w:b/>
                <w:sz w:val="20"/>
                <w:szCs w:val="20"/>
              </w:rPr>
            </w:pPr>
            <w:r>
              <w:rPr>
                <w:b/>
                <w:sz w:val="20"/>
                <w:szCs w:val="20"/>
              </w:rPr>
              <w:t>Stevan Ellis</w:t>
            </w:r>
          </w:p>
          <w:p w:rsidR="00242AEE" w:rsidRPr="00A935AA" w:rsidRDefault="00242AEE" w:rsidP="003B3977">
            <w:pPr>
              <w:keepNext/>
              <w:keepLines/>
              <w:tabs>
                <w:tab w:val="left" w:pos="-1440"/>
                <w:tab w:val="left" w:pos="-720"/>
              </w:tabs>
              <w:rPr>
                <w:sz w:val="20"/>
                <w:szCs w:val="20"/>
              </w:rPr>
            </w:pPr>
            <w:r w:rsidRPr="00A935AA">
              <w:rPr>
                <w:sz w:val="20"/>
                <w:szCs w:val="20"/>
              </w:rPr>
              <w:tab/>
            </w:r>
            <w:r w:rsidR="00A641E8">
              <w:rPr>
                <w:sz w:val="20"/>
                <w:szCs w:val="20"/>
              </w:rPr>
              <w:t>Mark C. Halfyard</w:t>
            </w:r>
          </w:p>
          <w:p w:rsidR="00242AEE" w:rsidRPr="00A935AA" w:rsidRDefault="00242AEE" w:rsidP="003B3977">
            <w:pPr>
              <w:keepNext/>
              <w:keepLines/>
              <w:tabs>
                <w:tab w:val="left" w:pos="-1440"/>
                <w:tab w:val="left" w:pos="-720"/>
              </w:tabs>
              <w:rPr>
                <w:sz w:val="20"/>
                <w:szCs w:val="20"/>
              </w:rPr>
            </w:pPr>
            <w:r w:rsidRPr="00A935AA">
              <w:rPr>
                <w:sz w:val="20"/>
                <w:szCs w:val="20"/>
              </w:rPr>
              <w:tab/>
            </w:r>
            <w:r w:rsidR="00A641E8">
              <w:rPr>
                <w:sz w:val="20"/>
                <w:szCs w:val="20"/>
              </w:rPr>
              <w:t xml:space="preserve">Rusonik, O’Connor, Robbins, Ross, </w:t>
            </w:r>
            <w:r w:rsidR="00A641E8">
              <w:rPr>
                <w:sz w:val="20"/>
                <w:szCs w:val="20"/>
              </w:rPr>
              <w:tab/>
              <w:t>Gorman &amp; Angelini LLP</w:t>
            </w:r>
          </w:p>
          <w:p w:rsidR="00242AEE" w:rsidRPr="00A935AA" w:rsidRDefault="00242AEE" w:rsidP="003B3977">
            <w:pPr>
              <w:keepNext/>
              <w:keepLines/>
              <w:tabs>
                <w:tab w:val="left" w:pos="-1440"/>
                <w:tab w:val="left" w:pos="-720"/>
              </w:tabs>
              <w:rPr>
                <w:sz w:val="20"/>
                <w:szCs w:val="20"/>
              </w:rPr>
            </w:pPr>
          </w:p>
          <w:p w:rsidR="00242AEE" w:rsidRPr="00A641E8" w:rsidRDefault="00242AEE" w:rsidP="003B3977">
            <w:pPr>
              <w:keepNext/>
              <w:keepLines/>
              <w:tabs>
                <w:tab w:val="left" w:pos="-1440"/>
                <w:tab w:val="left" w:pos="-720"/>
              </w:tabs>
              <w:rPr>
                <w:sz w:val="20"/>
                <w:szCs w:val="20"/>
              </w:rPr>
            </w:pPr>
            <w:r w:rsidRPr="00A935AA">
              <w:rPr>
                <w:sz w:val="20"/>
                <w:szCs w:val="20"/>
              </w:rPr>
              <w:tab/>
            </w:r>
            <w:r w:rsidRPr="00A641E8">
              <w:rPr>
                <w:sz w:val="20"/>
                <w:szCs w:val="20"/>
              </w:rPr>
              <w:t>v. (3</w:t>
            </w:r>
            <w:r w:rsidR="00DA1FC5" w:rsidRPr="00A641E8">
              <w:rPr>
                <w:sz w:val="20"/>
                <w:szCs w:val="20"/>
              </w:rPr>
              <w:t>5</w:t>
            </w:r>
            <w:r w:rsidR="00A641E8">
              <w:rPr>
                <w:sz w:val="20"/>
                <w:szCs w:val="20"/>
              </w:rPr>
              <w:t>649</w:t>
            </w:r>
            <w:r w:rsidRPr="00A641E8">
              <w:rPr>
                <w:sz w:val="20"/>
                <w:szCs w:val="20"/>
              </w:rPr>
              <w:t>)</w:t>
            </w:r>
          </w:p>
          <w:p w:rsidR="00242AEE" w:rsidRPr="00A641E8" w:rsidRDefault="00242AEE" w:rsidP="003B3977">
            <w:pPr>
              <w:keepNext/>
              <w:keepLines/>
              <w:tabs>
                <w:tab w:val="left" w:pos="-1440"/>
                <w:tab w:val="left" w:pos="-720"/>
              </w:tabs>
              <w:rPr>
                <w:sz w:val="20"/>
                <w:szCs w:val="20"/>
              </w:rPr>
            </w:pPr>
          </w:p>
          <w:p w:rsidR="00242AEE" w:rsidRPr="00A641E8" w:rsidRDefault="00A641E8" w:rsidP="003B3977">
            <w:pPr>
              <w:keepNext/>
              <w:keepLines/>
              <w:tabs>
                <w:tab w:val="left" w:pos="-1440"/>
                <w:tab w:val="left" w:pos="-720"/>
              </w:tabs>
              <w:rPr>
                <w:b/>
                <w:sz w:val="20"/>
                <w:szCs w:val="20"/>
              </w:rPr>
            </w:pPr>
            <w:r>
              <w:rPr>
                <w:b/>
                <w:sz w:val="20"/>
                <w:szCs w:val="20"/>
              </w:rPr>
              <w:t xml:space="preserve">Her Majesty the Queen </w:t>
            </w:r>
            <w:r w:rsidR="00242AEE" w:rsidRPr="00A641E8">
              <w:rPr>
                <w:b/>
                <w:sz w:val="20"/>
                <w:szCs w:val="20"/>
              </w:rPr>
              <w:t>(Ont.)</w:t>
            </w:r>
          </w:p>
          <w:p w:rsidR="00242AEE" w:rsidRPr="00A641E8" w:rsidRDefault="00242AEE" w:rsidP="003B3977">
            <w:pPr>
              <w:keepNext/>
              <w:keepLines/>
              <w:tabs>
                <w:tab w:val="left" w:pos="-1440"/>
                <w:tab w:val="left" w:pos="-720"/>
              </w:tabs>
              <w:rPr>
                <w:sz w:val="20"/>
                <w:szCs w:val="20"/>
              </w:rPr>
            </w:pPr>
            <w:r w:rsidRPr="00A641E8">
              <w:rPr>
                <w:sz w:val="20"/>
                <w:szCs w:val="20"/>
              </w:rPr>
              <w:tab/>
            </w:r>
            <w:r w:rsidR="00A641E8">
              <w:rPr>
                <w:sz w:val="20"/>
                <w:szCs w:val="20"/>
              </w:rPr>
              <w:t>Nicholas E. Devlin</w:t>
            </w:r>
          </w:p>
          <w:p w:rsidR="00242AEE" w:rsidRPr="00A641E8" w:rsidRDefault="00242AEE" w:rsidP="003B3977">
            <w:pPr>
              <w:keepNext/>
              <w:keepLines/>
              <w:tabs>
                <w:tab w:val="left" w:pos="-1440"/>
                <w:tab w:val="left" w:pos="-720"/>
              </w:tabs>
              <w:rPr>
                <w:sz w:val="20"/>
                <w:szCs w:val="20"/>
              </w:rPr>
            </w:pPr>
            <w:r w:rsidRPr="00A641E8">
              <w:rPr>
                <w:sz w:val="20"/>
                <w:szCs w:val="20"/>
              </w:rPr>
              <w:tab/>
            </w:r>
            <w:r w:rsidR="00A641E8">
              <w:rPr>
                <w:sz w:val="20"/>
                <w:szCs w:val="20"/>
              </w:rPr>
              <w:t>Public Prosecution Service of Canada</w:t>
            </w:r>
          </w:p>
          <w:p w:rsidR="00242AEE" w:rsidRPr="00A641E8" w:rsidRDefault="00242AEE" w:rsidP="003B3977">
            <w:pPr>
              <w:keepNext/>
              <w:keepLines/>
              <w:tabs>
                <w:tab w:val="left" w:pos="-1440"/>
                <w:tab w:val="left" w:pos="-720"/>
              </w:tabs>
              <w:rPr>
                <w:sz w:val="20"/>
                <w:szCs w:val="20"/>
              </w:rPr>
            </w:pPr>
          </w:p>
          <w:p w:rsidR="00242AEE" w:rsidRPr="00A935AA" w:rsidRDefault="00242AEE" w:rsidP="00A641E8">
            <w:pPr>
              <w:rPr>
                <w:sz w:val="20"/>
                <w:szCs w:val="20"/>
              </w:rPr>
            </w:pPr>
            <w:r w:rsidRPr="00A935AA">
              <w:rPr>
                <w:sz w:val="20"/>
                <w:szCs w:val="20"/>
              </w:rPr>
              <w:t xml:space="preserve">FILING DATE: </w:t>
            </w:r>
            <w:r w:rsidR="00A641E8">
              <w:rPr>
                <w:sz w:val="20"/>
                <w:szCs w:val="20"/>
              </w:rPr>
              <w:t>07</w:t>
            </w:r>
            <w:r w:rsidRPr="00A935AA">
              <w:rPr>
                <w:sz w:val="20"/>
                <w:szCs w:val="20"/>
              </w:rPr>
              <w:t>.0</w:t>
            </w:r>
            <w:r w:rsidR="00A641E8">
              <w:rPr>
                <w:sz w:val="20"/>
                <w:szCs w:val="20"/>
              </w:rPr>
              <w:t>2</w:t>
            </w:r>
            <w:r w:rsidRPr="00A935AA">
              <w:rPr>
                <w:sz w:val="20"/>
                <w:szCs w:val="20"/>
              </w:rPr>
              <w:t>.201</w:t>
            </w:r>
            <w:r w:rsidR="00DA1FC5">
              <w:rPr>
                <w:sz w:val="20"/>
                <w:szCs w:val="20"/>
              </w:rPr>
              <w:t>4</w:t>
            </w:r>
            <w:r w:rsidR="000C68D7">
              <w:rPr>
                <w:sz w:val="20"/>
                <w:szCs w:val="20"/>
                <w:lang w:val="fr-CA"/>
              </w:rPr>
              <w:pict>
                <v:rect id="_x0000_i1026" style="width:108pt;height:1pt" o:hrpct="0" o:hralign="center" o:hrstd="t" o:hrnoshade="t" o:hr="t" fillcolor="black [3213]" stroked="f"/>
              </w:pict>
            </w:r>
          </w:p>
        </w:tc>
      </w:tr>
      <w:tr w:rsidR="00A20911" w:rsidRPr="00A935AA" w:rsidTr="00A20911">
        <w:tc>
          <w:tcPr>
            <w:tcW w:w="4320" w:type="dxa"/>
            <w:shd w:val="clear" w:color="auto" w:fill="auto"/>
          </w:tcPr>
          <w:p w:rsidR="00A20911" w:rsidRPr="00A935AA" w:rsidRDefault="00A20911" w:rsidP="00A20911">
            <w:pPr>
              <w:rPr>
                <w:b/>
                <w:sz w:val="20"/>
                <w:szCs w:val="20"/>
              </w:rPr>
            </w:pPr>
            <w:r>
              <w:rPr>
                <w:b/>
                <w:sz w:val="20"/>
                <w:szCs w:val="20"/>
              </w:rPr>
              <w:t>W.C.</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W.C.</w:t>
            </w:r>
          </w:p>
          <w:p w:rsidR="00A20911" w:rsidRPr="00A935AA" w:rsidRDefault="00A20911" w:rsidP="00A20911">
            <w:pPr>
              <w:tabs>
                <w:tab w:val="left" w:pos="-1440"/>
                <w:tab w:val="left" w:pos="-720"/>
              </w:tabs>
              <w:rPr>
                <w:sz w:val="20"/>
                <w:szCs w:val="20"/>
              </w:rPr>
            </w:pPr>
          </w:p>
          <w:p w:rsidR="00A20911" w:rsidRPr="00A641E8" w:rsidRDefault="00A20911" w:rsidP="00A20911">
            <w:pPr>
              <w:keepNext/>
              <w:keepLines/>
              <w:tabs>
                <w:tab w:val="left" w:pos="-1440"/>
                <w:tab w:val="left" w:pos="-720"/>
              </w:tabs>
              <w:rPr>
                <w:sz w:val="20"/>
                <w:szCs w:val="20"/>
              </w:rPr>
            </w:pPr>
            <w:r w:rsidRPr="00A935AA">
              <w:rPr>
                <w:sz w:val="20"/>
                <w:szCs w:val="20"/>
              </w:rPr>
              <w:tab/>
            </w:r>
            <w:r w:rsidRPr="00A641E8">
              <w:rPr>
                <w:sz w:val="20"/>
                <w:szCs w:val="20"/>
              </w:rPr>
              <w:t>v. (35</w:t>
            </w:r>
            <w:r>
              <w:rPr>
                <w:sz w:val="20"/>
                <w:szCs w:val="20"/>
              </w:rPr>
              <w:t>657</w:t>
            </w:r>
            <w:r w:rsidRPr="00A641E8">
              <w:rPr>
                <w:sz w:val="20"/>
                <w:szCs w:val="20"/>
              </w:rPr>
              <w:t>)</w:t>
            </w:r>
          </w:p>
          <w:p w:rsidR="00A20911" w:rsidRPr="00A641E8" w:rsidRDefault="00A20911" w:rsidP="00A20911">
            <w:pPr>
              <w:keepNext/>
              <w:keepLines/>
              <w:tabs>
                <w:tab w:val="left" w:pos="-1440"/>
                <w:tab w:val="left" w:pos="-720"/>
              </w:tabs>
              <w:rPr>
                <w:sz w:val="20"/>
                <w:szCs w:val="20"/>
              </w:rPr>
            </w:pPr>
          </w:p>
          <w:p w:rsidR="00A20911" w:rsidRPr="00A641E8" w:rsidRDefault="00A20911" w:rsidP="00A20911">
            <w:pPr>
              <w:keepNext/>
              <w:keepLines/>
              <w:tabs>
                <w:tab w:val="left" w:pos="-1440"/>
                <w:tab w:val="left" w:pos="-720"/>
              </w:tabs>
              <w:rPr>
                <w:b/>
                <w:sz w:val="20"/>
                <w:szCs w:val="20"/>
              </w:rPr>
            </w:pPr>
            <w:r>
              <w:rPr>
                <w:b/>
                <w:sz w:val="20"/>
                <w:szCs w:val="20"/>
              </w:rPr>
              <w:t xml:space="preserve">Her Majesty the Queen in Right of Nova Scotia et al. </w:t>
            </w:r>
            <w:r w:rsidRPr="00A641E8">
              <w:rPr>
                <w:b/>
                <w:sz w:val="20"/>
                <w:szCs w:val="20"/>
              </w:rPr>
              <w:t>(</w:t>
            </w:r>
            <w:r>
              <w:rPr>
                <w:b/>
                <w:sz w:val="20"/>
                <w:szCs w:val="20"/>
              </w:rPr>
              <w:t>N.S</w:t>
            </w:r>
            <w:r w:rsidRPr="00A641E8">
              <w:rPr>
                <w:b/>
                <w:sz w:val="20"/>
                <w:szCs w:val="20"/>
              </w:rPr>
              <w:t>.)</w:t>
            </w:r>
          </w:p>
          <w:p w:rsidR="00A20911" w:rsidRPr="00A641E8" w:rsidRDefault="00A20911" w:rsidP="00A20911">
            <w:pPr>
              <w:keepNext/>
              <w:keepLines/>
              <w:tabs>
                <w:tab w:val="left" w:pos="-1440"/>
                <w:tab w:val="left" w:pos="-720"/>
              </w:tabs>
              <w:rPr>
                <w:sz w:val="20"/>
                <w:szCs w:val="20"/>
              </w:rPr>
            </w:pPr>
            <w:r w:rsidRPr="00A641E8">
              <w:rPr>
                <w:sz w:val="20"/>
                <w:szCs w:val="20"/>
              </w:rPr>
              <w:tab/>
            </w:r>
            <w:r>
              <w:rPr>
                <w:sz w:val="20"/>
                <w:szCs w:val="20"/>
              </w:rPr>
              <w:t>Kenneth W.F. Fiske</w:t>
            </w:r>
          </w:p>
          <w:p w:rsidR="00A20911" w:rsidRPr="00A641E8" w:rsidRDefault="00A20911" w:rsidP="00A20911">
            <w:pPr>
              <w:keepNext/>
              <w:keepLines/>
              <w:tabs>
                <w:tab w:val="left" w:pos="-1440"/>
                <w:tab w:val="left" w:pos="-720"/>
              </w:tabs>
              <w:rPr>
                <w:sz w:val="20"/>
                <w:szCs w:val="20"/>
              </w:rPr>
            </w:pPr>
            <w:r w:rsidRPr="00A641E8">
              <w:rPr>
                <w:sz w:val="20"/>
                <w:szCs w:val="20"/>
              </w:rPr>
              <w:tab/>
            </w:r>
            <w:r>
              <w:rPr>
                <w:sz w:val="20"/>
                <w:szCs w:val="20"/>
              </w:rPr>
              <w:t xml:space="preserve">Public Prosecution Service of Nova </w:t>
            </w:r>
            <w:r>
              <w:rPr>
                <w:sz w:val="20"/>
                <w:szCs w:val="20"/>
              </w:rPr>
              <w:tab/>
              <w:t>Scotia</w:t>
            </w:r>
          </w:p>
          <w:p w:rsidR="00A20911" w:rsidRPr="00A935AA" w:rsidRDefault="00A20911" w:rsidP="00A20911">
            <w:pPr>
              <w:tabs>
                <w:tab w:val="left" w:pos="-1440"/>
                <w:tab w:val="left" w:pos="-720"/>
              </w:tabs>
              <w:rPr>
                <w:sz w:val="20"/>
                <w:szCs w:val="20"/>
              </w:rPr>
            </w:pPr>
          </w:p>
          <w:p w:rsidR="00A20911" w:rsidRPr="00A935AA" w:rsidRDefault="00A20911" w:rsidP="00A20911">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2</w:t>
            </w:r>
            <w:r w:rsidRPr="00A935AA">
              <w:rPr>
                <w:sz w:val="20"/>
                <w:szCs w:val="20"/>
              </w:rPr>
              <w:t>.201</w:t>
            </w:r>
            <w:r>
              <w:rPr>
                <w:sz w:val="20"/>
                <w:szCs w:val="20"/>
              </w:rPr>
              <w:t>4</w:t>
            </w:r>
          </w:p>
          <w:p w:rsidR="00A20911" w:rsidRPr="00A935AA" w:rsidRDefault="000C68D7" w:rsidP="00A20911">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Pr="00A935AA" w:rsidRDefault="00A20911" w:rsidP="00242AEE">
            <w:pPr>
              <w:jc w:val="center"/>
              <w:rPr>
                <w:sz w:val="20"/>
                <w:szCs w:val="20"/>
              </w:rPr>
            </w:pPr>
          </w:p>
        </w:tc>
        <w:tc>
          <w:tcPr>
            <w:tcW w:w="4320" w:type="dxa"/>
            <w:shd w:val="clear" w:color="auto" w:fill="auto"/>
          </w:tcPr>
          <w:p w:rsidR="00A20911" w:rsidRPr="00A20911" w:rsidRDefault="00A20911" w:rsidP="00A20911">
            <w:pPr>
              <w:keepNext/>
              <w:keepLines/>
              <w:tabs>
                <w:tab w:val="left" w:pos="-1440"/>
                <w:tab w:val="left" w:pos="-720"/>
              </w:tabs>
              <w:rPr>
                <w:sz w:val="20"/>
                <w:szCs w:val="20"/>
              </w:rPr>
            </w:pPr>
          </w:p>
          <w:p w:rsidR="00A20911" w:rsidRPr="00A935AA" w:rsidRDefault="00A20911" w:rsidP="00A20911">
            <w:pPr>
              <w:keepNext/>
              <w:keepLines/>
              <w:tabs>
                <w:tab w:val="left" w:pos="-1440"/>
                <w:tab w:val="left" w:pos="-720"/>
              </w:tabs>
              <w:rPr>
                <w:b/>
                <w:sz w:val="20"/>
                <w:szCs w:val="20"/>
              </w:rPr>
            </w:pPr>
            <w:r>
              <w:rPr>
                <w:b/>
                <w:sz w:val="20"/>
                <w:szCs w:val="20"/>
              </w:rPr>
              <w:t>Eldon James Saddleback Jr.</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Laura K. Stevens, Q.C.</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Dawson Stevens Duckett &amp; Shaigec</w:t>
            </w:r>
          </w:p>
          <w:p w:rsidR="00A20911" w:rsidRPr="00A935AA" w:rsidRDefault="00A20911" w:rsidP="00A20911">
            <w:pPr>
              <w:tabs>
                <w:tab w:val="left" w:pos="-1440"/>
                <w:tab w:val="left" w:pos="-720"/>
              </w:tabs>
              <w:rPr>
                <w:sz w:val="20"/>
                <w:szCs w:val="20"/>
              </w:rPr>
            </w:pPr>
          </w:p>
          <w:p w:rsidR="00A20911" w:rsidRPr="00A935AA" w:rsidRDefault="00A20911" w:rsidP="00A20911">
            <w:pPr>
              <w:tabs>
                <w:tab w:val="left" w:pos="-1440"/>
                <w:tab w:val="left" w:pos="-720"/>
              </w:tabs>
              <w:rPr>
                <w:sz w:val="20"/>
                <w:szCs w:val="20"/>
              </w:rPr>
            </w:pPr>
            <w:r w:rsidRPr="00A935AA">
              <w:rPr>
                <w:sz w:val="20"/>
                <w:szCs w:val="20"/>
              </w:rPr>
              <w:tab/>
              <w:t>v. (3</w:t>
            </w:r>
            <w:r>
              <w:rPr>
                <w:sz w:val="20"/>
                <w:szCs w:val="20"/>
              </w:rPr>
              <w:t>5726</w:t>
            </w:r>
            <w:r w:rsidRPr="00A935AA">
              <w:rPr>
                <w:sz w:val="20"/>
                <w:szCs w:val="20"/>
              </w:rPr>
              <w:t>)</w:t>
            </w:r>
          </w:p>
          <w:p w:rsidR="00A20911" w:rsidRPr="00A935AA" w:rsidRDefault="00A20911" w:rsidP="00A20911">
            <w:pPr>
              <w:tabs>
                <w:tab w:val="left" w:pos="-1440"/>
                <w:tab w:val="left" w:pos="-720"/>
              </w:tabs>
              <w:rPr>
                <w:sz w:val="20"/>
                <w:szCs w:val="20"/>
              </w:rPr>
            </w:pPr>
          </w:p>
          <w:p w:rsidR="00A20911" w:rsidRPr="00A935AA" w:rsidRDefault="00A20911" w:rsidP="00A20911">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Joanne Dartana</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A.G. of Alberta</w:t>
            </w:r>
          </w:p>
          <w:p w:rsidR="00A20911" w:rsidRPr="00A935AA" w:rsidRDefault="00A20911" w:rsidP="00A20911">
            <w:pPr>
              <w:tabs>
                <w:tab w:val="left" w:pos="-1440"/>
                <w:tab w:val="left" w:pos="-720"/>
              </w:tabs>
              <w:rPr>
                <w:sz w:val="20"/>
                <w:szCs w:val="20"/>
              </w:rPr>
            </w:pPr>
          </w:p>
          <w:p w:rsidR="00A20911" w:rsidRPr="00A935AA" w:rsidRDefault="00A20911" w:rsidP="00A20911">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2</w:t>
            </w:r>
            <w:r w:rsidRPr="00A935AA">
              <w:rPr>
                <w:sz w:val="20"/>
                <w:szCs w:val="20"/>
              </w:rPr>
              <w:t>.201</w:t>
            </w:r>
            <w:r>
              <w:rPr>
                <w:sz w:val="20"/>
                <w:szCs w:val="20"/>
              </w:rPr>
              <w:t>4</w:t>
            </w:r>
          </w:p>
          <w:p w:rsidR="00A20911" w:rsidRPr="00A935AA" w:rsidRDefault="000C68D7" w:rsidP="00A20911">
            <w:pPr>
              <w:rPr>
                <w:sz w:val="20"/>
                <w:szCs w:val="20"/>
              </w:rPr>
            </w:pPr>
            <w:r>
              <w:rPr>
                <w:sz w:val="20"/>
                <w:szCs w:val="20"/>
                <w:lang w:val="fr-CA"/>
              </w:rPr>
              <w:pict>
                <v:rect id="_x0000_i1028" style="width:108pt;height:1pt" o:hrpct="0" o:hralign="center" o:hrstd="t" o:hrnoshade="t" o:hr="t" fillcolor="black [3213]" stroked="f"/>
              </w:pict>
            </w:r>
          </w:p>
        </w:tc>
      </w:tr>
      <w:tr w:rsidR="00A20911" w:rsidRPr="00A935AA" w:rsidTr="00A20911">
        <w:tc>
          <w:tcPr>
            <w:tcW w:w="4320" w:type="dxa"/>
            <w:shd w:val="clear" w:color="auto" w:fill="auto"/>
          </w:tcPr>
          <w:p w:rsidR="00A20911" w:rsidRPr="00A20911" w:rsidRDefault="00A20911" w:rsidP="00A20911">
            <w:pPr>
              <w:rPr>
                <w:b/>
                <w:sz w:val="20"/>
                <w:szCs w:val="20"/>
                <w:lang w:val="fr-CA"/>
              </w:rPr>
            </w:pPr>
            <w:r w:rsidRPr="00A20911">
              <w:rPr>
                <w:b/>
                <w:sz w:val="20"/>
                <w:szCs w:val="20"/>
                <w:lang w:val="fr-CA"/>
              </w:rPr>
              <w:t>Constable Cameron Land et al.</w:t>
            </w:r>
          </w:p>
          <w:p w:rsidR="00A20911" w:rsidRPr="00A20911" w:rsidRDefault="00A20911" w:rsidP="00A20911">
            <w:pPr>
              <w:tabs>
                <w:tab w:val="left" w:pos="-1440"/>
                <w:tab w:val="left" w:pos="-720"/>
              </w:tabs>
              <w:rPr>
                <w:sz w:val="20"/>
                <w:szCs w:val="20"/>
              </w:rPr>
            </w:pPr>
            <w:r w:rsidRPr="00A20911">
              <w:rPr>
                <w:sz w:val="20"/>
                <w:szCs w:val="20"/>
                <w:lang w:val="fr-CA"/>
              </w:rPr>
              <w:tab/>
            </w:r>
            <w:r w:rsidRPr="00A20911">
              <w:rPr>
                <w:sz w:val="20"/>
                <w:szCs w:val="20"/>
              </w:rPr>
              <w:t>Alexander Pringle, Q.C.</w:t>
            </w:r>
          </w:p>
          <w:p w:rsidR="00A20911" w:rsidRPr="00A20911" w:rsidRDefault="00A20911" w:rsidP="00A20911">
            <w:pPr>
              <w:tabs>
                <w:tab w:val="left" w:pos="-1440"/>
                <w:tab w:val="left" w:pos="-720"/>
              </w:tabs>
              <w:rPr>
                <w:sz w:val="20"/>
                <w:szCs w:val="20"/>
              </w:rPr>
            </w:pPr>
            <w:r w:rsidRPr="00A20911">
              <w:rPr>
                <w:sz w:val="20"/>
                <w:szCs w:val="20"/>
              </w:rPr>
              <w:tab/>
              <w:t>Pringle, Chivers, Sparks, Teskey</w:t>
            </w:r>
          </w:p>
          <w:p w:rsidR="00A20911" w:rsidRPr="00A20911" w:rsidRDefault="00A20911" w:rsidP="00A20911">
            <w:pPr>
              <w:tabs>
                <w:tab w:val="left" w:pos="-1440"/>
                <w:tab w:val="left" w:pos="-720"/>
              </w:tabs>
              <w:rPr>
                <w:sz w:val="20"/>
                <w:szCs w:val="20"/>
              </w:rPr>
            </w:pPr>
          </w:p>
          <w:p w:rsidR="00A20911" w:rsidRPr="00A935AA" w:rsidRDefault="00A20911" w:rsidP="00A20911">
            <w:pPr>
              <w:tabs>
                <w:tab w:val="left" w:pos="-1440"/>
                <w:tab w:val="left" w:pos="-720"/>
              </w:tabs>
              <w:rPr>
                <w:sz w:val="20"/>
                <w:szCs w:val="20"/>
              </w:rPr>
            </w:pPr>
            <w:r w:rsidRPr="00A20911">
              <w:rPr>
                <w:sz w:val="20"/>
                <w:szCs w:val="20"/>
              </w:rPr>
              <w:tab/>
            </w:r>
            <w:r w:rsidRPr="00A935AA">
              <w:rPr>
                <w:sz w:val="20"/>
                <w:szCs w:val="20"/>
              </w:rPr>
              <w:t>v. (3</w:t>
            </w:r>
            <w:r>
              <w:rPr>
                <w:sz w:val="20"/>
                <w:szCs w:val="20"/>
              </w:rPr>
              <w:t>5728</w:t>
            </w:r>
            <w:r w:rsidRPr="00A935AA">
              <w:rPr>
                <w:sz w:val="20"/>
                <w:szCs w:val="20"/>
              </w:rPr>
              <w:t>)</w:t>
            </w:r>
          </w:p>
          <w:p w:rsidR="00A20911" w:rsidRPr="00A935AA" w:rsidRDefault="00A20911" w:rsidP="00A20911">
            <w:pPr>
              <w:tabs>
                <w:tab w:val="left" w:pos="-1440"/>
                <w:tab w:val="left" w:pos="-720"/>
              </w:tabs>
              <w:rPr>
                <w:sz w:val="20"/>
                <w:szCs w:val="20"/>
              </w:rPr>
            </w:pPr>
          </w:p>
          <w:p w:rsidR="00A20911" w:rsidRPr="00A935AA" w:rsidRDefault="00A20911" w:rsidP="00A20911">
            <w:pPr>
              <w:tabs>
                <w:tab w:val="left" w:pos="-1440"/>
                <w:tab w:val="left" w:pos="-720"/>
              </w:tabs>
              <w:rPr>
                <w:b/>
                <w:sz w:val="20"/>
                <w:szCs w:val="20"/>
              </w:rPr>
            </w:pPr>
            <w:r>
              <w:rPr>
                <w:b/>
                <w:sz w:val="20"/>
                <w:szCs w:val="20"/>
              </w:rPr>
              <w:t xml:space="preserve">Law Enforcement Review Board </w:t>
            </w:r>
            <w:r w:rsidRPr="00A935AA">
              <w:rPr>
                <w:b/>
                <w:sz w:val="20"/>
                <w:szCs w:val="20"/>
              </w:rPr>
              <w:t>(</w:t>
            </w:r>
            <w:r>
              <w:rPr>
                <w:b/>
                <w:sz w:val="20"/>
                <w:szCs w:val="20"/>
              </w:rPr>
              <w:t>Alta</w:t>
            </w:r>
            <w:r w:rsidRPr="00A935AA">
              <w:rPr>
                <w:b/>
                <w:sz w:val="20"/>
                <w:szCs w:val="20"/>
              </w:rPr>
              <w:t>.)</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John-Marc Dube</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A.G. of Alberta</w:t>
            </w:r>
          </w:p>
          <w:p w:rsidR="00A20911" w:rsidRPr="00A935AA" w:rsidRDefault="00A20911" w:rsidP="00A20911">
            <w:pPr>
              <w:tabs>
                <w:tab w:val="left" w:pos="-1440"/>
                <w:tab w:val="left" w:pos="-720"/>
              </w:tabs>
              <w:rPr>
                <w:sz w:val="20"/>
                <w:szCs w:val="20"/>
              </w:rPr>
            </w:pPr>
          </w:p>
          <w:p w:rsidR="00A20911" w:rsidRPr="00A935AA" w:rsidRDefault="00A20911" w:rsidP="00A20911">
            <w:pPr>
              <w:rPr>
                <w:sz w:val="20"/>
                <w:szCs w:val="20"/>
              </w:rPr>
            </w:pPr>
            <w:r>
              <w:rPr>
                <w:sz w:val="20"/>
                <w:szCs w:val="20"/>
              </w:rPr>
              <w:t>and between</w:t>
            </w:r>
          </w:p>
        </w:tc>
        <w:tc>
          <w:tcPr>
            <w:tcW w:w="1181" w:type="dxa"/>
            <w:shd w:val="clear" w:color="auto" w:fill="auto"/>
          </w:tcPr>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tc>
        <w:tc>
          <w:tcPr>
            <w:tcW w:w="4320" w:type="dxa"/>
            <w:shd w:val="clear" w:color="auto" w:fill="auto"/>
          </w:tcPr>
          <w:p w:rsidR="00A20911" w:rsidRPr="00A935AA" w:rsidRDefault="004E3634" w:rsidP="00A20911">
            <w:pPr>
              <w:keepNext/>
              <w:keepLines/>
              <w:tabs>
                <w:tab w:val="left" w:pos="-1440"/>
                <w:tab w:val="left" w:pos="-720"/>
              </w:tabs>
              <w:rPr>
                <w:b/>
                <w:sz w:val="20"/>
                <w:szCs w:val="20"/>
              </w:rPr>
            </w:pPr>
            <w:r>
              <w:rPr>
                <w:b/>
                <w:sz w:val="20"/>
                <w:szCs w:val="20"/>
              </w:rPr>
              <w:t>Potash Corporation of Saskatchewan Inc. et al.</w:t>
            </w:r>
          </w:p>
          <w:p w:rsidR="00A20911" w:rsidRPr="00A935AA" w:rsidRDefault="00A20911" w:rsidP="00A20911">
            <w:pPr>
              <w:keepNext/>
              <w:keepLines/>
              <w:tabs>
                <w:tab w:val="left" w:pos="-1440"/>
                <w:tab w:val="left" w:pos="-720"/>
              </w:tabs>
              <w:rPr>
                <w:sz w:val="20"/>
                <w:szCs w:val="20"/>
              </w:rPr>
            </w:pPr>
            <w:r w:rsidRPr="00A935AA">
              <w:rPr>
                <w:sz w:val="20"/>
                <w:szCs w:val="20"/>
              </w:rPr>
              <w:tab/>
            </w:r>
            <w:r w:rsidR="004E3634">
              <w:rPr>
                <w:sz w:val="20"/>
                <w:szCs w:val="20"/>
              </w:rPr>
              <w:t>Kent E. Thomson</w:t>
            </w:r>
          </w:p>
          <w:p w:rsidR="00A20911" w:rsidRPr="00A935AA" w:rsidRDefault="00A20911" w:rsidP="00A20911">
            <w:pPr>
              <w:keepNext/>
              <w:keepLines/>
              <w:tabs>
                <w:tab w:val="left" w:pos="-1440"/>
                <w:tab w:val="left" w:pos="-720"/>
              </w:tabs>
              <w:rPr>
                <w:sz w:val="20"/>
                <w:szCs w:val="20"/>
              </w:rPr>
            </w:pPr>
            <w:r w:rsidRPr="00A935AA">
              <w:rPr>
                <w:sz w:val="20"/>
                <w:szCs w:val="20"/>
              </w:rPr>
              <w:tab/>
            </w:r>
            <w:r w:rsidR="004E3634">
              <w:rPr>
                <w:sz w:val="20"/>
                <w:szCs w:val="20"/>
              </w:rPr>
              <w:t>Davies Ward Phillips &amp; Vineberg LLP</w:t>
            </w:r>
          </w:p>
          <w:p w:rsidR="00A20911" w:rsidRPr="00A935AA" w:rsidRDefault="00A20911" w:rsidP="00A20911">
            <w:pPr>
              <w:keepNext/>
              <w:keepLines/>
              <w:tabs>
                <w:tab w:val="left" w:pos="-1440"/>
                <w:tab w:val="left" w:pos="-720"/>
              </w:tabs>
              <w:rPr>
                <w:sz w:val="20"/>
                <w:szCs w:val="20"/>
              </w:rPr>
            </w:pPr>
          </w:p>
          <w:p w:rsidR="00A20911" w:rsidRPr="00A20911" w:rsidRDefault="00A20911" w:rsidP="00A20911">
            <w:pPr>
              <w:keepNext/>
              <w:keepLines/>
              <w:tabs>
                <w:tab w:val="left" w:pos="-1440"/>
                <w:tab w:val="left" w:pos="-720"/>
              </w:tabs>
              <w:rPr>
                <w:sz w:val="20"/>
                <w:szCs w:val="20"/>
              </w:rPr>
            </w:pPr>
            <w:r w:rsidRPr="00A935AA">
              <w:rPr>
                <w:sz w:val="20"/>
                <w:szCs w:val="20"/>
              </w:rPr>
              <w:tab/>
            </w:r>
            <w:r w:rsidRPr="00A20911">
              <w:rPr>
                <w:sz w:val="20"/>
                <w:szCs w:val="20"/>
              </w:rPr>
              <w:t>v. (35</w:t>
            </w:r>
            <w:r w:rsidR="004E3634">
              <w:rPr>
                <w:sz w:val="20"/>
                <w:szCs w:val="20"/>
              </w:rPr>
              <w:t>729</w:t>
            </w:r>
            <w:r w:rsidRPr="00A20911">
              <w:rPr>
                <w:sz w:val="20"/>
                <w:szCs w:val="20"/>
              </w:rPr>
              <w:t>)</w:t>
            </w:r>
          </w:p>
          <w:p w:rsidR="00A20911" w:rsidRPr="00A20911" w:rsidRDefault="00A20911" w:rsidP="00A20911">
            <w:pPr>
              <w:keepNext/>
              <w:keepLines/>
              <w:tabs>
                <w:tab w:val="left" w:pos="-1440"/>
                <w:tab w:val="left" w:pos="-720"/>
              </w:tabs>
              <w:rPr>
                <w:sz w:val="20"/>
                <w:szCs w:val="20"/>
              </w:rPr>
            </w:pPr>
          </w:p>
          <w:p w:rsidR="00A20911" w:rsidRPr="00A20911" w:rsidRDefault="004E3634" w:rsidP="00A20911">
            <w:pPr>
              <w:keepNext/>
              <w:keepLines/>
              <w:tabs>
                <w:tab w:val="left" w:pos="-1440"/>
                <w:tab w:val="left" w:pos="-720"/>
              </w:tabs>
              <w:rPr>
                <w:b/>
                <w:sz w:val="20"/>
                <w:szCs w:val="20"/>
              </w:rPr>
            </w:pPr>
            <w:r>
              <w:rPr>
                <w:b/>
                <w:sz w:val="20"/>
                <w:szCs w:val="20"/>
              </w:rPr>
              <w:t xml:space="preserve">Keith Barton </w:t>
            </w:r>
            <w:r w:rsidR="00A20911" w:rsidRPr="00A20911">
              <w:rPr>
                <w:b/>
                <w:sz w:val="20"/>
                <w:szCs w:val="20"/>
              </w:rPr>
              <w:t>(</w:t>
            </w:r>
            <w:r>
              <w:rPr>
                <w:b/>
                <w:sz w:val="20"/>
                <w:szCs w:val="20"/>
              </w:rPr>
              <w:t>Sask</w:t>
            </w:r>
            <w:r w:rsidR="00A20911" w:rsidRPr="00A20911">
              <w:rPr>
                <w:b/>
                <w:sz w:val="20"/>
                <w:szCs w:val="20"/>
              </w:rPr>
              <w:t>.)</w:t>
            </w:r>
          </w:p>
          <w:p w:rsidR="00A20911" w:rsidRPr="00A20911" w:rsidRDefault="00A20911" w:rsidP="00A20911">
            <w:pPr>
              <w:keepNext/>
              <w:keepLines/>
              <w:tabs>
                <w:tab w:val="left" w:pos="-1440"/>
                <w:tab w:val="left" w:pos="-720"/>
              </w:tabs>
              <w:rPr>
                <w:sz w:val="20"/>
                <w:szCs w:val="20"/>
              </w:rPr>
            </w:pPr>
            <w:r w:rsidRPr="00A20911">
              <w:rPr>
                <w:sz w:val="20"/>
                <w:szCs w:val="20"/>
              </w:rPr>
              <w:tab/>
            </w:r>
            <w:r w:rsidR="004E3634">
              <w:rPr>
                <w:sz w:val="20"/>
                <w:szCs w:val="20"/>
              </w:rPr>
              <w:t>James S. Ehmann, Q.C.</w:t>
            </w:r>
          </w:p>
          <w:p w:rsidR="00A20911" w:rsidRPr="00A20911" w:rsidRDefault="00A20911" w:rsidP="00A20911">
            <w:pPr>
              <w:keepNext/>
              <w:keepLines/>
              <w:tabs>
                <w:tab w:val="left" w:pos="-1440"/>
                <w:tab w:val="left" w:pos="-720"/>
              </w:tabs>
              <w:rPr>
                <w:sz w:val="20"/>
                <w:szCs w:val="20"/>
              </w:rPr>
            </w:pPr>
            <w:r w:rsidRPr="00A20911">
              <w:rPr>
                <w:sz w:val="20"/>
                <w:szCs w:val="20"/>
              </w:rPr>
              <w:tab/>
            </w:r>
            <w:r w:rsidR="004E3634">
              <w:rPr>
                <w:sz w:val="20"/>
                <w:szCs w:val="20"/>
              </w:rPr>
              <w:t>Kanuka Thuringer</w:t>
            </w:r>
          </w:p>
          <w:p w:rsidR="00A20911" w:rsidRPr="00A20911" w:rsidRDefault="00A20911" w:rsidP="00A20911">
            <w:pPr>
              <w:keepNext/>
              <w:keepLines/>
              <w:tabs>
                <w:tab w:val="left" w:pos="-1440"/>
                <w:tab w:val="left" w:pos="-720"/>
              </w:tabs>
              <w:rPr>
                <w:sz w:val="20"/>
                <w:szCs w:val="20"/>
              </w:rPr>
            </w:pPr>
          </w:p>
          <w:p w:rsidR="00A20911" w:rsidRPr="00A935AA" w:rsidRDefault="00A20911" w:rsidP="00A20911">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29" style="width:108pt;height:1pt" o:hrpct="0" o:hralign="center" o:hrstd="t" o:hrnoshade="t" o:hr="t" fillcolor="black [3213]" stroked="f"/>
              </w:pict>
            </w:r>
          </w:p>
        </w:tc>
      </w:tr>
      <w:tr w:rsidR="00A20911" w:rsidRPr="00A935AA" w:rsidTr="00A20911">
        <w:tc>
          <w:tcPr>
            <w:tcW w:w="4320" w:type="dxa"/>
            <w:shd w:val="clear" w:color="auto" w:fill="auto"/>
          </w:tcPr>
          <w:p w:rsidR="00A20911" w:rsidRPr="00A935AA" w:rsidRDefault="00A20911" w:rsidP="00A20911">
            <w:pPr>
              <w:rPr>
                <w:b/>
                <w:sz w:val="20"/>
                <w:szCs w:val="20"/>
              </w:rPr>
            </w:pPr>
            <w:r>
              <w:rPr>
                <w:b/>
                <w:sz w:val="20"/>
                <w:szCs w:val="20"/>
              </w:rPr>
              <w:t>Chief of Police of the Edmonton Police Service</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Derek Cranna</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Field LLP</w:t>
            </w:r>
          </w:p>
          <w:p w:rsidR="00A20911" w:rsidRPr="00A935AA" w:rsidRDefault="00A20911" w:rsidP="00A20911">
            <w:pPr>
              <w:tabs>
                <w:tab w:val="left" w:pos="-1440"/>
                <w:tab w:val="left" w:pos="-720"/>
              </w:tabs>
              <w:rPr>
                <w:sz w:val="20"/>
                <w:szCs w:val="20"/>
              </w:rPr>
            </w:pPr>
          </w:p>
          <w:p w:rsidR="00A20911" w:rsidRPr="00A935AA" w:rsidRDefault="00A20911" w:rsidP="00A20911">
            <w:pPr>
              <w:tabs>
                <w:tab w:val="left" w:pos="-1440"/>
                <w:tab w:val="left" w:pos="-720"/>
              </w:tabs>
              <w:rPr>
                <w:sz w:val="20"/>
                <w:szCs w:val="20"/>
              </w:rPr>
            </w:pPr>
            <w:r w:rsidRPr="00A935AA">
              <w:rPr>
                <w:sz w:val="20"/>
                <w:szCs w:val="20"/>
              </w:rPr>
              <w:tab/>
              <w:t>v. (3</w:t>
            </w:r>
            <w:r>
              <w:rPr>
                <w:sz w:val="20"/>
                <w:szCs w:val="20"/>
              </w:rPr>
              <w:t>5728</w:t>
            </w:r>
            <w:r w:rsidRPr="00A935AA">
              <w:rPr>
                <w:sz w:val="20"/>
                <w:szCs w:val="20"/>
              </w:rPr>
              <w:t>)</w:t>
            </w:r>
          </w:p>
          <w:p w:rsidR="00A20911" w:rsidRPr="00A935AA" w:rsidRDefault="00A20911" w:rsidP="00A20911">
            <w:pPr>
              <w:tabs>
                <w:tab w:val="left" w:pos="-1440"/>
                <w:tab w:val="left" w:pos="-720"/>
              </w:tabs>
              <w:rPr>
                <w:sz w:val="20"/>
                <w:szCs w:val="20"/>
              </w:rPr>
            </w:pPr>
          </w:p>
          <w:p w:rsidR="00A20911" w:rsidRPr="00A935AA" w:rsidRDefault="00A20911" w:rsidP="00A20911">
            <w:pPr>
              <w:tabs>
                <w:tab w:val="left" w:pos="-1440"/>
                <w:tab w:val="left" w:pos="-720"/>
              </w:tabs>
              <w:rPr>
                <w:b/>
                <w:sz w:val="20"/>
                <w:szCs w:val="20"/>
              </w:rPr>
            </w:pPr>
            <w:r>
              <w:rPr>
                <w:b/>
                <w:sz w:val="20"/>
                <w:szCs w:val="20"/>
              </w:rPr>
              <w:t xml:space="preserve">Law Enforcement Review Board </w:t>
            </w:r>
            <w:r w:rsidRPr="00A935AA">
              <w:rPr>
                <w:b/>
                <w:sz w:val="20"/>
                <w:szCs w:val="20"/>
              </w:rPr>
              <w:t>(</w:t>
            </w:r>
            <w:r>
              <w:rPr>
                <w:b/>
                <w:sz w:val="20"/>
                <w:szCs w:val="20"/>
              </w:rPr>
              <w:t>Alta</w:t>
            </w:r>
            <w:r w:rsidRPr="00A935AA">
              <w:rPr>
                <w:b/>
                <w:sz w:val="20"/>
                <w:szCs w:val="20"/>
              </w:rPr>
              <w:t>.)</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John-Marc Dube</w:t>
            </w:r>
          </w:p>
          <w:p w:rsidR="00A20911" w:rsidRPr="00A935AA" w:rsidRDefault="00A20911" w:rsidP="00A20911">
            <w:pPr>
              <w:tabs>
                <w:tab w:val="left" w:pos="-1440"/>
                <w:tab w:val="left" w:pos="-720"/>
              </w:tabs>
              <w:rPr>
                <w:sz w:val="20"/>
                <w:szCs w:val="20"/>
              </w:rPr>
            </w:pPr>
            <w:r w:rsidRPr="00A935AA">
              <w:rPr>
                <w:sz w:val="20"/>
                <w:szCs w:val="20"/>
              </w:rPr>
              <w:tab/>
            </w:r>
            <w:r>
              <w:rPr>
                <w:sz w:val="20"/>
                <w:szCs w:val="20"/>
              </w:rPr>
              <w:t>A.G. of Alberta</w:t>
            </w:r>
          </w:p>
          <w:p w:rsidR="00A20911" w:rsidRPr="00A935AA" w:rsidRDefault="00A20911" w:rsidP="00A20911">
            <w:pPr>
              <w:tabs>
                <w:tab w:val="left" w:pos="-1440"/>
                <w:tab w:val="left" w:pos="-720"/>
              </w:tabs>
              <w:rPr>
                <w:sz w:val="20"/>
                <w:szCs w:val="20"/>
              </w:rPr>
            </w:pPr>
          </w:p>
          <w:p w:rsidR="00A20911" w:rsidRPr="00A935AA" w:rsidRDefault="00A20911" w:rsidP="00A20911">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0" style="width:108pt;height:1pt" o:hrpct="0" o:hralign="center" o:hrstd="t" o:hrnoshade="t" o:hr="t" fillcolor="black [3213]" stroked="f"/>
              </w:pict>
            </w:r>
          </w:p>
        </w:tc>
        <w:tc>
          <w:tcPr>
            <w:tcW w:w="1181" w:type="dxa"/>
            <w:shd w:val="clear" w:color="auto" w:fill="auto"/>
          </w:tcPr>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Pr="00A935AA" w:rsidRDefault="00A20911" w:rsidP="00242AEE">
            <w:pPr>
              <w:jc w:val="center"/>
              <w:rPr>
                <w:sz w:val="20"/>
                <w:szCs w:val="20"/>
              </w:rPr>
            </w:pPr>
          </w:p>
        </w:tc>
        <w:tc>
          <w:tcPr>
            <w:tcW w:w="4320" w:type="dxa"/>
            <w:shd w:val="clear" w:color="auto" w:fill="auto"/>
          </w:tcPr>
          <w:p w:rsidR="00A20911" w:rsidRDefault="00A20911" w:rsidP="00A20911">
            <w:pPr>
              <w:keepNext/>
              <w:keepLines/>
              <w:tabs>
                <w:tab w:val="left" w:pos="-1440"/>
                <w:tab w:val="left" w:pos="-720"/>
              </w:tabs>
              <w:rPr>
                <w:b/>
                <w:sz w:val="20"/>
                <w:szCs w:val="20"/>
              </w:rPr>
            </w:pPr>
          </w:p>
          <w:p w:rsidR="004E3634" w:rsidRPr="00A935AA" w:rsidRDefault="004E3634" w:rsidP="00A20911">
            <w:pPr>
              <w:keepNext/>
              <w:keepLines/>
              <w:tabs>
                <w:tab w:val="left" w:pos="-1440"/>
                <w:tab w:val="left" w:pos="-720"/>
              </w:tabs>
              <w:rPr>
                <w:b/>
                <w:sz w:val="20"/>
                <w:szCs w:val="20"/>
              </w:rPr>
            </w:pPr>
            <w:r>
              <w:rPr>
                <w:b/>
                <w:sz w:val="20"/>
                <w:szCs w:val="20"/>
              </w:rPr>
              <w:t>Thomas Richard Jackson</w:t>
            </w:r>
          </w:p>
          <w:p w:rsidR="00A20911" w:rsidRPr="00A935AA" w:rsidRDefault="00A20911" w:rsidP="00A20911">
            <w:pPr>
              <w:keepNext/>
              <w:keepLines/>
              <w:tabs>
                <w:tab w:val="left" w:pos="-1440"/>
                <w:tab w:val="left" w:pos="-720"/>
              </w:tabs>
              <w:rPr>
                <w:sz w:val="20"/>
                <w:szCs w:val="20"/>
              </w:rPr>
            </w:pPr>
            <w:r w:rsidRPr="00A935AA">
              <w:rPr>
                <w:sz w:val="20"/>
                <w:szCs w:val="20"/>
              </w:rPr>
              <w:tab/>
            </w:r>
            <w:r w:rsidR="004E3634">
              <w:rPr>
                <w:sz w:val="20"/>
                <w:szCs w:val="20"/>
              </w:rPr>
              <w:t>E.F. Anthony Merchant, Q.C.</w:t>
            </w:r>
          </w:p>
          <w:p w:rsidR="00A20911" w:rsidRPr="00A935AA" w:rsidRDefault="00A20911" w:rsidP="00A20911">
            <w:pPr>
              <w:keepNext/>
              <w:keepLines/>
              <w:tabs>
                <w:tab w:val="left" w:pos="-1440"/>
                <w:tab w:val="left" w:pos="-720"/>
              </w:tabs>
              <w:rPr>
                <w:sz w:val="20"/>
                <w:szCs w:val="20"/>
              </w:rPr>
            </w:pPr>
            <w:r w:rsidRPr="00A935AA">
              <w:rPr>
                <w:sz w:val="20"/>
                <w:szCs w:val="20"/>
              </w:rPr>
              <w:tab/>
            </w:r>
            <w:r w:rsidR="004E3634">
              <w:rPr>
                <w:sz w:val="20"/>
                <w:szCs w:val="20"/>
              </w:rPr>
              <w:t>Merchant Law Group</w:t>
            </w:r>
          </w:p>
          <w:p w:rsidR="00A20911" w:rsidRPr="00A935AA" w:rsidRDefault="00A20911" w:rsidP="00A20911">
            <w:pPr>
              <w:keepNext/>
              <w:keepLines/>
              <w:tabs>
                <w:tab w:val="left" w:pos="-1440"/>
                <w:tab w:val="left" w:pos="-720"/>
              </w:tabs>
              <w:rPr>
                <w:sz w:val="20"/>
                <w:szCs w:val="20"/>
              </w:rPr>
            </w:pPr>
          </w:p>
          <w:p w:rsidR="00A20911" w:rsidRPr="00A20911" w:rsidRDefault="00A20911" w:rsidP="00A20911">
            <w:pPr>
              <w:keepNext/>
              <w:keepLines/>
              <w:tabs>
                <w:tab w:val="left" w:pos="-1440"/>
                <w:tab w:val="left" w:pos="-720"/>
              </w:tabs>
              <w:rPr>
                <w:sz w:val="20"/>
                <w:szCs w:val="20"/>
              </w:rPr>
            </w:pPr>
            <w:r w:rsidRPr="00A935AA">
              <w:rPr>
                <w:sz w:val="20"/>
                <w:szCs w:val="20"/>
              </w:rPr>
              <w:tab/>
            </w:r>
            <w:r w:rsidRPr="00A20911">
              <w:rPr>
                <w:sz w:val="20"/>
                <w:szCs w:val="20"/>
              </w:rPr>
              <w:t>v. (35</w:t>
            </w:r>
            <w:r w:rsidR="004E3634">
              <w:rPr>
                <w:sz w:val="20"/>
                <w:szCs w:val="20"/>
              </w:rPr>
              <w:t>730</w:t>
            </w:r>
            <w:r w:rsidRPr="00A20911">
              <w:rPr>
                <w:sz w:val="20"/>
                <w:szCs w:val="20"/>
              </w:rPr>
              <w:t>)</w:t>
            </w:r>
          </w:p>
          <w:p w:rsidR="00A20911" w:rsidRPr="00A20911" w:rsidRDefault="00A20911" w:rsidP="00A20911">
            <w:pPr>
              <w:keepNext/>
              <w:keepLines/>
              <w:tabs>
                <w:tab w:val="left" w:pos="-1440"/>
                <w:tab w:val="left" w:pos="-720"/>
              </w:tabs>
              <w:rPr>
                <w:sz w:val="20"/>
                <w:szCs w:val="20"/>
              </w:rPr>
            </w:pPr>
          </w:p>
          <w:p w:rsidR="00A20911" w:rsidRPr="00022328" w:rsidRDefault="004E3634" w:rsidP="00A20911">
            <w:pPr>
              <w:keepNext/>
              <w:keepLines/>
              <w:tabs>
                <w:tab w:val="left" w:pos="-1440"/>
                <w:tab w:val="left" w:pos="-720"/>
              </w:tabs>
              <w:rPr>
                <w:b/>
                <w:sz w:val="20"/>
                <w:szCs w:val="20"/>
                <w:lang w:val="fr-CA"/>
              </w:rPr>
            </w:pPr>
            <w:r>
              <w:rPr>
                <w:b/>
                <w:sz w:val="20"/>
                <w:szCs w:val="20"/>
              </w:rPr>
              <w:t xml:space="preserve">Canadian National Railway et al. </w:t>
            </w:r>
            <w:r w:rsidR="00A20911" w:rsidRPr="00022328">
              <w:rPr>
                <w:b/>
                <w:sz w:val="20"/>
                <w:szCs w:val="20"/>
                <w:lang w:val="fr-CA"/>
              </w:rPr>
              <w:t>(</w:t>
            </w:r>
            <w:r w:rsidRPr="00022328">
              <w:rPr>
                <w:b/>
                <w:sz w:val="20"/>
                <w:szCs w:val="20"/>
                <w:lang w:val="fr-CA"/>
              </w:rPr>
              <w:t>Al</w:t>
            </w:r>
            <w:r w:rsidR="00A20911" w:rsidRPr="00022328">
              <w:rPr>
                <w:b/>
                <w:sz w:val="20"/>
                <w:szCs w:val="20"/>
                <w:lang w:val="fr-CA"/>
              </w:rPr>
              <w:t>t</w:t>
            </w:r>
            <w:r w:rsidRPr="00022328">
              <w:rPr>
                <w:b/>
                <w:sz w:val="20"/>
                <w:szCs w:val="20"/>
                <w:lang w:val="fr-CA"/>
              </w:rPr>
              <w:t>a</w:t>
            </w:r>
            <w:r w:rsidR="00A20911" w:rsidRPr="00022328">
              <w:rPr>
                <w:b/>
                <w:sz w:val="20"/>
                <w:szCs w:val="20"/>
                <w:lang w:val="fr-CA"/>
              </w:rPr>
              <w:t>.)</w:t>
            </w:r>
          </w:p>
          <w:p w:rsidR="00A20911" w:rsidRPr="004E3634" w:rsidRDefault="00A20911" w:rsidP="00A20911">
            <w:pPr>
              <w:keepNext/>
              <w:keepLines/>
              <w:tabs>
                <w:tab w:val="left" w:pos="-1440"/>
                <w:tab w:val="left" w:pos="-720"/>
              </w:tabs>
              <w:rPr>
                <w:sz w:val="20"/>
                <w:szCs w:val="20"/>
                <w:lang w:val="fr-CA"/>
              </w:rPr>
            </w:pPr>
            <w:r w:rsidRPr="00022328">
              <w:rPr>
                <w:sz w:val="20"/>
                <w:szCs w:val="20"/>
                <w:lang w:val="fr-CA"/>
              </w:rPr>
              <w:tab/>
            </w:r>
            <w:r w:rsidR="004E3634" w:rsidRPr="004E3634">
              <w:rPr>
                <w:sz w:val="20"/>
                <w:szCs w:val="20"/>
                <w:lang w:val="fr-CA"/>
              </w:rPr>
              <w:t>Robert W. Leurer, Q.C.</w:t>
            </w:r>
          </w:p>
          <w:p w:rsidR="00A20911" w:rsidRPr="00022328" w:rsidRDefault="00A20911" w:rsidP="00A20911">
            <w:pPr>
              <w:keepNext/>
              <w:keepLines/>
              <w:tabs>
                <w:tab w:val="left" w:pos="-1440"/>
                <w:tab w:val="left" w:pos="-720"/>
              </w:tabs>
              <w:rPr>
                <w:sz w:val="20"/>
                <w:szCs w:val="20"/>
              </w:rPr>
            </w:pPr>
            <w:r w:rsidRPr="004E3634">
              <w:rPr>
                <w:sz w:val="20"/>
                <w:szCs w:val="20"/>
                <w:lang w:val="fr-CA"/>
              </w:rPr>
              <w:tab/>
            </w:r>
            <w:r w:rsidR="004E3634" w:rsidRPr="00022328">
              <w:rPr>
                <w:sz w:val="20"/>
                <w:szCs w:val="20"/>
              </w:rPr>
              <w:t>MacPherson Leslie &amp; Tyerman LLP</w:t>
            </w:r>
          </w:p>
          <w:p w:rsidR="00A20911" w:rsidRPr="00022328" w:rsidRDefault="00A20911" w:rsidP="00A20911">
            <w:pPr>
              <w:keepNext/>
              <w:keepLines/>
              <w:tabs>
                <w:tab w:val="left" w:pos="-1440"/>
                <w:tab w:val="left" w:pos="-720"/>
              </w:tabs>
              <w:rPr>
                <w:sz w:val="20"/>
                <w:szCs w:val="20"/>
              </w:rPr>
            </w:pPr>
          </w:p>
          <w:p w:rsidR="00A20911" w:rsidRPr="00A935AA" w:rsidRDefault="00A20911" w:rsidP="00A20911">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1" style="width:108pt;height:1pt" o:hrpct="0" o:hralign="center" o:hrstd="t" o:hrnoshade="t" o:hr="t" fillcolor="black [3213]" stroked="f"/>
              </w:pict>
            </w:r>
          </w:p>
        </w:tc>
      </w:tr>
      <w:tr w:rsidR="00A20911" w:rsidRPr="00A935AA" w:rsidTr="00A20911">
        <w:trPr>
          <w:cantSplit/>
        </w:trPr>
        <w:tc>
          <w:tcPr>
            <w:tcW w:w="4320" w:type="dxa"/>
            <w:shd w:val="clear" w:color="auto" w:fill="auto"/>
          </w:tcPr>
          <w:p w:rsidR="00A20911" w:rsidRPr="00022328" w:rsidRDefault="004E3634" w:rsidP="00581489">
            <w:pPr>
              <w:rPr>
                <w:b/>
                <w:sz w:val="20"/>
                <w:szCs w:val="20"/>
                <w:lang w:val="fr-CA"/>
              </w:rPr>
            </w:pPr>
            <w:r w:rsidRPr="00022328">
              <w:rPr>
                <w:b/>
                <w:sz w:val="20"/>
                <w:szCs w:val="20"/>
                <w:lang w:val="fr-CA"/>
              </w:rPr>
              <w:lastRenderedPageBreak/>
              <w:t>G.G.</w:t>
            </w:r>
          </w:p>
          <w:p w:rsidR="00A20911" w:rsidRPr="00022328" w:rsidRDefault="00A20911" w:rsidP="00581489">
            <w:pPr>
              <w:tabs>
                <w:tab w:val="left" w:pos="-1440"/>
                <w:tab w:val="left" w:pos="-720"/>
              </w:tabs>
              <w:rPr>
                <w:sz w:val="20"/>
                <w:szCs w:val="20"/>
                <w:lang w:val="fr-CA"/>
              </w:rPr>
            </w:pPr>
            <w:r w:rsidRPr="00022328">
              <w:rPr>
                <w:sz w:val="20"/>
                <w:szCs w:val="20"/>
                <w:lang w:val="fr-CA"/>
              </w:rPr>
              <w:tab/>
            </w:r>
            <w:r w:rsidR="004E3634" w:rsidRPr="00022328">
              <w:rPr>
                <w:sz w:val="20"/>
                <w:szCs w:val="20"/>
                <w:lang w:val="fr-CA"/>
              </w:rPr>
              <w:t>G.G.</w:t>
            </w:r>
          </w:p>
          <w:p w:rsidR="00A20911" w:rsidRPr="00022328" w:rsidRDefault="00A20911" w:rsidP="00581489">
            <w:pPr>
              <w:tabs>
                <w:tab w:val="left" w:pos="-1440"/>
                <w:tab w:val="left" w:pos="-720"/>
              </w:tabs>
              <w:rPr>
                <w:sz w:val="20"/>
                <w:szCs w:val="20"/>
                <w:lang w:val="fr-CA"/>
              </w:rPr>
            </w:pPr>
          </w:p>
          <w:p w:rsidR="00A20911" w:rsidRPr="004E3634" w:rsidRDefault="00A20911" w:rsidP="00581489">
            <w:pPr>
              <w:tabs>
                <w:tab w:val="left" w:pos="-1440"/>
                <w:tab w:val="left" w:pos="-720"/>
              </w:tabs>
              <w:rPr>
                <w:sz w:val="20"/>
                <w:szCs w:val="20"/>
                <w:lang w:val="fr-CA"/>
              </w:rPr>
            </w:pPr>
            <w:r w:rsidRPr="00022328">
              <w:rPr>
                <w:sz w:val="20"/>
                <w:szCs w:val="20"/>
                <w:lang w:val="fr-CA"/>
              </w:rPr>
              <w:tab/>
            </w:r>
            <w:r w:rsidR="004E3634" w:rsidRPr="004E3634">
              <w:rPr>
                <w:sz w:val="20"/>
                <w:szCs w:val="20"/>
                <w:lang w:val="fr-CA"/>
              </w:rPr>
              <w:t>c</w:t>
            </w:r>
            <w:r w:rsidRPr="004E3634">
              <w:rPr>
                <w:sz w:val="20"/>
                <w:szCs w:val="20"/>
                <w:lang w:val="fr-CA"/>
              </w:rPr>
              <w:t>. (35</w:t>
            </w:r>
            <w:r w:rsidR="004E3634" w:rsidRPr="004E3634">
              <w:rPr>
                <w:sz w:val="20"/>
                <w:szCs w:val="20"/>
                <w:lang w:val="fr-CA"/>
              </w:rPr>
              <w:t>731</w:t>
            </w:r>
            <w:r w:rsidRPr="004E3634">
              <w:rPr>
                <w:sz w:val="20"/>
                <w:szCs w:val="20"/>
                <w:lang w:val="fr-CA"/>
              </w:rPr>
              <w:t>)</w:t>
            </w:r>
          </w:p>
          <w:p w:rsidR="00A20911" w:rsidRPr="004E3634" w:rsidRDefault="00A20911" w:rsidP="00581489">
            <w:pPr>
              <w:tabs>
                <w:tab w:val="left" w:pos="-1440"/>
                <w:tab w:val="left" w:pos="-720"/>
              </w:tabs>
              <w:rPr>
                <w:sz w:val="20"/>
                <w:szCs w:val="20"/>
                <w:lang w:val="fr-CA"/>
              </w:rPr>
            </w:pPr>
          </w:p>
          <w:p w:rsidR="00A20911" w:rsidRPr="004E3634" w:rsidRDefault="004E3634" w:rsidP="00581489">
            <w:pPr>
              <w:tabs>
                <w:tab w:val="left" w:pos="-1440"/>
                <w:tab w:val="left" w:pos="-720"/>
              </w:tabs>
              <w:rPr>
                <w:b/>
                <w:sz w:val="20"/>
                <w:szCs w:val="20"/>
                <w:lang w:val="fr-CA"/>
              </w:rPr>
            </w:pPr>
            <w:r w:rsidRPr="004E3634">
              <w:rPr>
                <w:b/>
                <w:sz w:val="20"/>
                <w:szCs w:val="20"/>
                <w:lang w:val="fr-CA"/>
              </w:rPr>
              <w:t xml:space="preserve">Ministre de l’emploi et de la solidarité sociale </w:t>
            </w:r>
            <w:r w:rsidR="00A20911" w:rsidRPr="004E3634">
              <w:rPr>
                <w:b/>
                <w:sz w:val="20"/>
                <w:szCs w:val="20"/>
                <w:lang w:val="fr-CA"/>
              </w:rPr>
              <w:t>(</w:t>
            </w:r>
            <w:r w:rsidRPr="004E3634">
              <w:rPr>
                <w:b/>
                <w:sz w:val="20"/>
                <w:szCs w:val="20"/>
                <w:lang w:val="fr-CA"/>
              </w:rPr>
              <w:t>Qc</w:t>
            </w:r>
            <w:r w:rsidR="00A20911" w:rsidRPr="004E3634">
              <w:rPr>
                <w:b/>
                <w:sz w:val="20"/>
                <w:szCs w:val="20"/>
                <w:lang w:val="fr-CA"/>
              </w:rPr>
              <w:t>)</w:t>
            </w:r>
          </w:p>
          <w:p w:rsidR="00A20911" w:rsidRPr="004E3634" w:rsidRDefault="00A20911" w:rsidP="00581489">
            <w:pPr>
              <w:tabs>
                <w:tab w:val="left" w:pos="-1440"/>
                <w:tab w:val="left" w:pos="-720"/>
              </w:tabs>
              <w:rPr>
                <w:sz w:val="20"/>
                <w:szCs w:val="20"/>
                <w:lang w:val="fr-CA"/>
              </w:rPr>
            </w:pPr>
            <w:r w:rsidRPr="004E3634">
              <w:rPr>
                <w:sz w:val="20"/>
                <w:szCs w:val="20"/>
                <w:lang w:val="fr-CA"/>
              </w:rPr>
              <w:tab/>
            </w:r>
            <w:r w:rsidR="004E3634">
              <w:rPr>
                <w:sz w:val="20"/>
                <w:szCs w:val="20"/>
                <w:lang w:val="fr-CA"/>
              </w:rPr>
              <w:t>Mario Normandin</w:t>
            </w:r>
          </w:p>
          <w:p w:rsidR="00A20911" w:rsidRPr="004E3634" w:rsidRDefault="00A20911" w:rsidP="00581489">
            <w:pPr>
              <w:tabs>
                <w:tab w:val="left" w:pos="-1440"/>
                <w:tab w:val="left" w:pos="-720"/>
              </w:tabs>
              <w:rPr>
                <w:sz w:val="20"/>
                <w:szCs w:val="20"/>
                <w:lang w:val="fr-CA"/>
              </w:rPr>
            </w:pPr>
            <w:r w:rsidRPr="004E3634">
              <w:rPr>
                <w:sz w:val="20"/>
                <w:szCs w:val="20"/>
                <w:lang w:val="fr-CA"/>
              </w:rPr>
              <w:tab/>
            </w:r>
            <w:r w:rsidR="004E3634">
              <w:rPr>
                <w:sz w:val="20"/>
                <w:szCs w:val="20"/>
                <w:lang w:val="fr-CA"/>
              </w:rPr>
              <w:t>Bernard, Roy &amp; Associés</w:t>
            </w:r>
          </w:p>
          <w:p w:rsidR="00A20911" w:rsidRPr="004E3634" w:rsidRDefault="00A20911" w:rsidP="00581489">
            <w:pPr>
              <w:tabs>
                <w:tab w:val="left" w:pos="-1440"/>
                <w:tab w:val="left" w:pos="-720"/>
              </w:tabs>
              <w:rPr>
                <w:sz w:val="20"/>
                <w:szCs w:val="20"/>
                <w:lang w:val="fr-CA"/>
              </w:rPr>
            </w:pPr>
          </w:p>
          <w:p w:rsidR="00A20911" w:rsidRPr="003363B3" w:rsidRDefault="00A20911" w:rsidP="00581489">
            <w:pPr>
              <w:rPr>
                <w:sz w:val="20"/>
                <w:szCs w:val="20"/>
                <w:lang w:val="fr-CA"/>
              </w:rPr>
            </w:pPr>
            <w:r w:rsidRPr="003363B3">
              <w:rPr>
                <w:sz w:val="20"/>
                <w:szCs w:val="20"/>
                <w:lang w:val="fr-CA"/>
              </w:rPr>
              <w:t>DATE</w:t>
            </w:r>
            <w:r w:rsidR="004E3634" w:rsidRPr="003363B3">
              <w:rPr>
                <w:sz w:val="20"/>
                <w:szCs w:val="20"/>
                <w:lang w:val="fr-CA"/>
              </w:rPr>
              <w:t xml:space="preserve"> DE PRODUCTION </w:t>
            </w:r>
            <w:r w:rsidRPr="003363B3">
              <w:rPr>
                <w:sz w:val="20"/>
                <w:szCs w:val="20"/>
                <w:lang w:val="fr-CA"/>
              </w:rPr>
              <w:t>: 14.02.2014</w:t>
            </w:r>
            <w:r w:rsidR="000C68D7">
              <w:rPr>
                <w:sz w:val="20"/>
                <w:szCs w:val="20"/>
                <w:lang w:val="fr-CA"/>
              </w:rPr>
              <w:pict>
                <v:rect id="_x0000_i1032" style="width:108pt;height:1pt" o:hrpct="0" o:hralign="center" o:hrstd="t" o:hrnoshade="t" o:hr="t" fillcolor="black [3213]" stroked="f"/>
              </w:pict>
            </w:r>
          </w:p>
        </w:tc>
        <w:tc>
          <w:tcPr>
            <w:tcW w:w="1181" w:type="dxa"/>
            <w:shd w:val="clear" w:color="auto" w:fill="auto"/>
          </w:tcPr>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p w:rsidR="00A20911" w:rsidRPr="003363B3" w:rsidRDefault="00A20911" w:rsidP="00242AEE">
            <w:pPr>
              <w:jc w:val="center"/>
              <w:rPr>
                <w:sz w:val="20"/>
                <w:szCs w:val="20"/>
                <w:lang w:val="fr-CA"/>
              </w:rPr>
            </w:pPr>
          </w:p>
        </w:tc>
        <w:tc>
          <w:tcPr>
            <w:tcW w:w="4320" w:type="dxa"/>
            <w:shd w:val="clear" w:color="auto" w:fill="auto"/>
          </w:tcPr>
          <w:p w:rsidR="00A20911" w:rsidRPr="00022328" w:rsidRDefault="004E3634" w:rsidP="00581489">
            <w:pPr>
              <w:keepNext/>
              <w:keepLines/>
              <w:tabs>
                <w:tab w:val="left" w:pos="-1440"/>
                <w:tab w:val="left" w:pos="-720"/>
              </w:tabs>
              <w:rPr>
                <w:b/>
                <w:sz w:val="20"/>
                <w:szCs w:val="20"/>
                <w:lang w:val="fr-CA"/>
              </w:rPr>
            </w:pPr>
            <w:r w:rsidRPr="00022328">
              <w:rPr>
                <w:b/>
                <w:sz w:val="20"/>
                <w:szCs w:val="20"/>
                <w:lang w:val="fr-CA"/>
              </w:rPr>
              <w:t>Robert Lavigne</w:t>
            </w:r>
          </w:p>
          <w:p w:rsidR="00A20911" w:rsidRPr="00022328" w:rsidRDefault="00A20911" w:rsidP="00581489">
            <w:pPr>
              <w:keepNext/>
              <w:keepLines/>
              <w:tabs>
                <w:tab w:val="left" w:pos="-1440"/>
                <w:tab w:val="left" w:pos="-720"/>
              </w:tabs>
              <w:rPr>
                <w:sz w:val="20"/>
                <w:szCs w:val="20"/>
                <w:lang w:val="fr-CA"/>
              </w:rPr>
            </w:pPr>
            <w:r w:rsidRPr="00022328">
              <w:rPr>
                <w:sz w:val="20"/>
                <w:szCs w:val="20"/>
                <w:lang w:val="fr-CA"/>
              </w:rPr>
              <w:tab/>
            </w:r>
            <w:r w:rsidR="004E3634" w:rsidRPr="00022328">
              <w:rPr>
                <w:sz w:val="20"/>
                <w:szCs w:val="20"/>
                <w:lang w:val="fr-CA"/>
              </w:rPr>
              <w:t>Robert Lavigne</w:t>
            </w:r>
          </w:p>
          <w:p w:rsidR="00A20911" w:rsidRPr="00022328" w:rsidRDefault="00A20911" w:rsidP="00581489">
            <w:pPr>
              <w:keepNext/>
              <w:keepLines/>
              <w:tabs>
                <w:tab w:val="left" w:pos="-1440"/>
                <w:tab w:val="left" w:pos="-720"/>
              </w:tabs>
              <w:rPr>
                <w:sz w:val="20"/>
                <w:szCs w:val="20"/>
                <w:lang w:val="fr-CA"/>
              </w:rPr>
            </w:pPr>
          </w:p>
          <w:p w:rsidR="00A20911" w:rsidRPr="00022328" w:rsidRDefault="00A20911" w:rsidP="00581489">
            <w:pPr>
              <w:keepNext/>
              <w:keepLines/>
              <w:tabs>
                <w:tab w:val="left" w:pos="-1440"/>
                <w:tab w:val="left" w:pos="-720"/>
              </w:tabs>
              <w:rPr>
                <w:sz w:val="20"/>
                <w:szCs w:val="20"/>
                <w:lang w:val="fr-CA"/>
              </w:rPr>
            </w:pPr>
            <w:r w:rsidRPr="00022328">
              <w:rPr>
                <w:sz w:val="20"/>
                <w:szCs w:val="20"/>
                <w:lang w:val="fr-CA"/>
              </w:rPr>
              <w:tab/>
              <w:t>v. (35</w:t>
            </w:r>
            <w:r w:rsidR="004E3634" w:rsidRPr="00022328">
              <w:rPr>
                <w:sz w:val="20"/>
                <w:szCs w:val="20"/>
                <w:lang w:val="fr-CA"/>
              </w:rPr>
              <w:t>738</w:t>
            </w:r>
            <w:r w:rsidRPr="00022328">
              <w:rPr>
                <w:sz w:val="20"/>
                <w:szCs w:val="20"/>
                <w:lang w:val="fr-CA"/>
              </w:rPr>
              <w:t>)</w:t>
            </w:r>
          </w:p>
          <w:p w:rsidR="00A20911" w:rsidRPr="00022328" w:rsidRDefault="00A20911" w:rsidP="00581489">
            <w:pPr>
              <w:keepNext/>
              <w:keepLines/>
              <w:tabs>
                <w:tab w:val="left" w:pos="-1440"/>
                <w:tab w:val="left" w:pos="-720"/>
              </w:tabs>
              <w:rPr>
                <w:sz w:val="20"/>
                <w:szCs w:val="20"/>
                <w:lang w:val="fr-CA"/>
              </w:rPr>
            </w:pPr>
          </w:p>
          <w:p w:rsidR="00A20911" w:rsidRPr="004E3634" w:rsidRDefault="004E3634" w:rsidP="00581489">
            <w:pPr>
              <w:keepNext/>
              <w:keepLines/>
              <w:tabs>
                <w:tab w:val="left" w:pos="-1440"/>
                <w:tab w:val="left" w:pos="-720"/>
              </w:tabs>
              <w:rPr>
                <w:b/>
                <w:sz w:val="20"/>
                <w:szCs w:val="20"/>
              </w:rPr>
            </w:pPr>
            <w:r>
              <w:rPr>
                <w:b/>
                <w:sz w:val="20"/>
                <w:szCs w:val="20"/>
              </w:rPr>
              <w:t xml:space="preserve">Canadian Human Rights Commission et al. </w:t>
            </w:r>
            <w:r w:rsidR="00A20911" w:rsidRPr="004E3634">
              <w:rPr>
                <w:b/>
                <w:sz w:val="20"/>
                <w:szCs w:val="20"/>
              </w:rPr>
              <w:t>(</w:t>
            </w:r>
            <w:r>
              <w:rPr>
                <w:b/>
                <w:sz w:val="20"/>
                <w:szCs w:val="20"/>
              </w:rPr>
              <w:t>F</w:t>
            </w:r>
            <w:r w:rsidR="00A20911" w:rsidRPr="004E3634">
              <w:rPr>
                <w:b/>
                <w:sz w:val="20"/>
                <w:szCs w:val="20"/>
              </w:rPr>
              <w:t>.</w:t>
            </w:r>
            <w:r>
              <w:rPr>
                <w:b/>
                <w:sz w:val="20"/>
                <w:szCs w:val="20"/>
              </w:rPr>
              <w:t>C.</w:t>
            </w:r>
            <w:r w:rsidR="00A20911" w:rsidRPr="004E3634">
              <w:rPr>
                <w:b/>
                <w:sz w:val="20"/>
                <w:szCs w:val="20"/>
              </w:rPr>
              <w:t>)</w:t>
            </w:r>
          </w:p>
          <w:p w:rsidR="00A20911" w:rsidRPr="004E3634" w:rsidRDefault="00A20911" w:rsidP="00581489">
            <w:pPr>
              <w:keepNext/>
              <w:keepLines/>
              <w:tabs>
                <w:tab w:val="left" w:pos="-1440"/>
                <w:tab w:val="left" w:pos="-720"/>
              </w:tabs>
              <w:rPr>
                <w:sz w:val="20"/>
                <w:szCs w:val="20"/>
              </w:rPr>
            </w:pPr>
            <w:r w:rsidRPr="004E3634">
              <w:rPr>
                <w:sz w:val="20"/>
                <w:szCs w:val="20"/>
              </w:rPr>
              <w:tab/>
            </w:r>
            <w:r w:rsidR="004E3634">
              <w:rPr>
                <w:sz w:val="20"/>
                <w:szCs w:val="20"/>
              </w:rPr>
              <w:t>Caroline Laverdière</w:t>
            </w:r>
          </w:p>
          <w:p w:rsidR="00A20911" w:rsidRPr="004E3634" w:rsidRDefault="00A20911" w:rsidP="00581489">
            <w:pPr>
              <w:keepNext/>
              <w:keepLines/>
              <w:tabs>
                <w:tab w:val="left" w:pos="-1440"/>
                <w:tab w:val="left" w:pos="-720"/>
              </w:tabs>
              <w:rPr>
                <w:sz w:val="20"/>
                <w:szCs w:val="20"/>
              </w:rPr>
            </w:pPr>
            <w:r w:rsidRPr="004E3634">
              <w:rPr>
                <w:sz w:val="20"/>
                <w:szCs w:val="20"/>
              </w:rPr>
              <w:tab/>
            </w:r>
            <w:r w:rsidR="004E3634">
              <w:rPr>
                <w:sz w:val="20"/>
                <w:szCs w:val="20"/>
              </w:rPr>
              <w:t>A.G. of Canada</w:t>
            </w:r>
          </w:p>
          <w:p w:rsidR="00A20911" w:rsidRPr="004E3634" w:rsidRDefault="00A20911" w:rsidP="00581489">
            <w:pPr>
              <w:keepNext/>
              <w:keepLines/>
              <w:tabs>
                <w:tab w:val="left" w:pos="-1440"/>
                <w:tab w:val="left" w:pos="-720"/>
              </w:tabs>
              <w:rPr>
                <w:sz w:val="20"/>
                <w:szCs w:val="20"/>
              </w:rPr>
            </w:pPr>
          </w:p>
          <w:p w:rsidR="00A20911" w:rsidRPr="00A935AA" w:rsidRDefault="00A20911" w:rsidP="004E3634">
            <w:pPr>
              <w:rPr>
                <w:sz w:val="20"/>
                <w:szCs w:val="20"/>
              </w:rPr>
            </w:pPr>
            <w:r w:rsidRPr="00A935AA">
              <w:rPr>
                <w:sz w:val="20"/>
                <w:szCs w:val="20"/>
              </w:rPr>
              <w:t xml:space="preserve">FILING DATE: </w:t>
            </w:r>
            <w:r>
              <w:rPr>
                <w:sz w:val="20"/>
                <w:szCs w:val="20"/>
              </w:rPr>
              <w:t>1</w:t>
            </w:r>
            <w:r w:rsidR="004E3634">
              <w:rPr>
                <w:sz w:val="20"/>
                <w:szCs w:val="20"/>
              </w:rPr>
              <w:t>7</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3" style="width:108pt;height:1pt" o:hrpct="0" o:hralign="center" o:hrstd="t" o:hrnoshade="t" o:hr="t" fillcolor="black [3213]" stroked="f"/>
              </w:pict>
            </w:r>
          </w:p>
        </w:tc>
      </w:tr>
      <w:tr w:rsidR="00A20911" w:rsidRPr="00A935AA" w:rsidTr="00A20911">
        <w:trPr>
          <w:cantSplit/>
        </w:trPr>
        <w:tc>
          <w:tcPr>
            <w:tcW w:w="4320" w:type="dxa"/>
            <w:shd w:val="clear" w:color="auto" w:fill="auto"/>
          </w:tcPr>
          <w:p w:rsidR="00A20911" w:rsidRPr="00A935AA" w:rsidRDefault="004E3634" w:rsidP="00581489">
            <w:pPr>
              <w:rPr>
                <w:b/>
                <w:sz w:val="20"/>
                <w:szCs w:val="20"/>
              </w:rPr>
            </w:pPr>
            <w:r>
              <w:rPr>
                <w:b/>
                <w:sz w:val="20"/>
                <w:szCs w:val="20"/>
              </w:rPr>
              <w:t>Trevor Kniss</w:t>
            </w:r>
          </w:p>
          <w:p w:rsidR="00A20911" w:rsidRPr="00A935AA" w:rsidRDefault="00A20911" w:rsidP="00581489">
            <w:pPr>
              <w:tabs>
                <w:tab w:val="left" w:pos="-1440"/>
                <w:tab w:val="left" w:pos="-720"/>
              </w:tabs>
              <w:rPr>
                <w:sz w:val="20"/>
                <w:szCs w:val="20"/>
              </w:rPr>
            </w:pPr>
            <w:r w:rsidRPr="00A935AA">
              <w:rPr>
                <w:sz w:val="20"/>
                <w:szCs w:val="20"/>
              </w:rPr>
              <w:tab/>
            </w:r>
            <w:r w:rsidR="004E3634">
              <w:rPr>
                <w:sz w:val="20"/>
                <w:szCs w:val="20"/>
              </w:rPr>
              <w:t>Trevor Kniss</w:t>
            </w:r>
          </w:p>
          <w:p w:rsidR="00A20911" w:rsidRPr="00A935AA" w:rsidRDefault="00A20911" w:rsidP="00581489">
            <w:pPr>
              <w:tabs>
                <w:tab w:val="left" w:pos="-1440"/>
                <w:tab w:val="left" w:pos="-720"/>
              </w:tabs>
              <w:rPr>
                <w:sz w:val="20"/>
                <w:szCs w:val="20"/>
              </w:rPr>
            </w:pPr>
          </w:p>
          <w:p w:rsidR="00A20911" w:rsidRPr="00A935AA" w:rsidRDefault="00A20911" w:rsidP="00581489">
            <w:pPr>
              <w:tabs>
                <w:tab w:val="left" w:pos="-1440"/>
                <w:tab w:val="left" w:pos="-720"/>
              </w:tabs>
              <w:rPr>
                <w:sz w:val="20"/>
                <w:szCs w:val="20"/>
              </w:rPr>
            </w:pPr>
            <w:r w:rsidRPr="00A935AA">
              <w:rPr>
                <w:sz w:val="20"/>
                <w:szCs w:val="20"/>
              </w:rPr>
              <w:tab/>
              <w:t>v. (3</w:t>
            </w:r>
            <w:r>
              <w:rPr>
                <w:sz w:val="20"/>
                <w:szCs w:val="20"/>
              </w:rPr>
              <w:t>5</w:t>
            </w:r>
            <w:r w:rsidR="004E3634">
              <w:rPr>
                <w:sz w:val="20"/>
                <w:szCs w:val="20"/>
              </w:rPr>
              <w:t>741</w:t>
            </w:r>
            <w:r w:rsidRPr="00A935AA">
              <w:rPr>
                <w:sz w:val="20"/>
                <w:szCs w:val="20"/>
              </w:rPr>
              <w:t>)</w:t>
            </w:r>
          </w:p>
          <w:p w:rsidR="00A20911" w:rsidRPr="00A935AA" w:rsidRDefault="00A20911" w:rsidP="00581489">
            <w:pPr>
              <w:tabs>
                <w:tab w:val="left" w:pos="-1440"/>
                <w:tab w:val="left" w:pos="-720"/>
              </w:tabs>
              <w:rPr>
                <w:sz w:val="20"/>
                <w:szCs w:val="20"/>
              </w:rPr>
            </w:pPr>
          </w:p>
          <w:p w:rsidR="00A20911" w:rsidRPr="004E3634" w:rsidRDefault="004E3634" w:rsidP="00581489">
            <w:pPr>
              <w:tabs>
                <w:tab w:val="left" w:pos="-1440"/>
                <w:tab w:val="left" w:pos="-720"/>
              </w:tabs>
              <w:rPr>
                <w:b/>
                <w:sz w:val="20"/>
                <w:szCs w:val="20"/>
                <w:lang w:val="fr-CA"/>
              </w:rPr>
            </w:pPr>
            <w:r>
              <w:rPr>
                <w:b/>
                <w:sz w:val="20"/>
                <w:szCs w:val="20"/>
              </w:rPr>
              <w:t xml:space="preserve">Telecommunication Workers Union (TWU) et al. </w:t>
            </w:r>
            <w:r w:rsidR="00A20911" w:rsidRPr="004E3634">
              <w:rPr>
                <w:b/>
                <w:sz w:val="20"/>
                <w:szCs w:val="20"/>
                <w:lang w:val="fr-CA"/>
              </w:rPr>
              <w:t>(</w:t>
            </w:r>
            <w:r w:rsidRPr="004E3634">
              <w:rPr>
                <w:b/>
                <w:sz w:val="20"/>
                <w:szCs w:val="20"/>
                <w:lang w:val="fr-CA"/>
              </w:rPr>
              <w:t>F.C</w:t>
            </w:r>
            <w:r w:rsidR="00A20911" w:rsidRPr="004E3634">
              <w:rPr>
                <w:b/>
                <w:sz w:val="20"/>
                <w:szCs w:val="20"/>
                <w:lang w:val="fr-CA"/>
              </w:rPr>
              <w:t>.)</w:t>
            </w:r>
          </w:p>
          <w:p w:rsidR="00A20911" w:rsidRPr="004E3634" w:rsidRDefault="00A20911" w:rsidP="00581489">
            <w:pPr>
              <w:tabs>
                <w:tab w:val="left" w:pos="-1440"/>
                <w:tab w:val="left" w:pos="-720"/>
              </w:tabs>
              <w:rPr>
                <w:sz w:val="20"/>
                <w:szCs w:val="20"/>
                <w:lang w:val="fr-CA"/>
              </w:rPr>
            </w:pPr>
            <w:r w:rsidRPr="004E3634">
              <w:rPr>
                <w:sz w:val="20"/>
                <w:szCs w:val="20"/>
                <w:lang w:val="fr-CA"/>
              </w:rPr>
              <w:tab/>
            </w:r>
            <w:r w:rsidR="004E3634" w:rsidRPr="004E3634">
              <w:rPr>
                <w:sz w:val="20"/>
                <w:szCs w:val="20"/>
                <w:lang w:val="fr-CA"/>
              </w:rPr>
              <w:t>Julien Landry, Q.C.</w:t>
            </w:r>
          </w:p>
          <w:p w:rsidR="00A20911" w:rsidRPr="004E3634" w:rsidRDefault="00A20911" w:rsidP="00581489">
            <w:pPr>
              <w:tabs>
                <w:tab w:val="left" w:pos="-1440"/>
                <w:tab w:val="left" w:pos="-720"/>
              </w:tabs>
              <w:rPr>
                <w:sz w:val="20"/>
                <w:szCs w:val="20"/>
                <w:lang w:val="fr-CA"/>
              </w:rPr>
            </w:pPr>
          </w:p>
          <w:p w:rsidR="00A20911" w:rsidRPr="00A935AA" w:rsidRDefault="00A20911" w:rsidP="004E3634">
            <w:pPr>
              <w:rPr>
                <w:sz w:val="20"/>
                <w:szCs w:val="20"/>
              </w:rPr>
            </w:pPr>
            <w:r w:rsidRPr="00A935AA">
              <w:rPr>
                <w:sz w:val="20"/>
                <w:szCs w:val="20"/>
              </w:rPr>
              <w:t xml:space="preserve">FILING DATE: </w:t>
            </w:r>
            <w:r>
              <w:rPr>
                <w:sz w:val="20"/>
                <w:szCs w:val="20"/>
              </w:rPr>
              <w:t>1</w:t>
            </w:r>
            <w:r w:rsidR="004E3634">
              <w:rPr>
                <w:sz w:val="20"/>
                <w:szCs w:val="20"/>
              </w:rPr>
              <w:t>7</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4" style="width:108pt;height:1pt" o:hrpct="0" o:hralign="center" o:hrstd="t" o:hrnoshade="t" o:hr="t" fillcolor="black [3213]" stroked="f"/>
              </w:pict>
            </w:r>
          </w:p>
        </w:tc>
        <w:tc>
          <w:tcPr>
            <w:tcW w:w="1181" w:type="dxa"/>
            <w:shd w:val="clear" w:color="auto" w:fill="auto"/>
          </w:tcPr>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tc>
        <w:tc>
          <w:tcPr>
            <w:tcW w:w="4320" w:type="dxa"/>
            <w:shd w:val="clear" w:color="auto" w:fill="auto"/>
          </w:tcPr>
          <w:p w:rsidR="00A20911" w:rsidRPr="00A935AA" w:rsidRDefault="004E3634" w:rsidP="00581489">
            <w:pPr>
              <w:keepNext/>
              <w:keepLines/>
              <w:tabs>
                <w:tab w:val="left" w:pos="-1440"/>
                <w:tab w:val="left" w:pos="-720"/>
              </w:tabs>
              <w:rPr>
                <w:b/>
                <w:sz w:val="20"/>
                <w:szCs w:val="20"/>
              </w:rPr>
            </w:pPr>
            <w:r>
              <w:rPr>
                <w:b/>
                <w:sz w:val="20"/>
                <w:szCs w:val="20"/>
              </w:rPr>
              <w:t>Ronald Cowan et al.</w:t>
            </w:r>
          </w:p>
          <w:p w:rsidR="00A20911" w:rsidRPr="00A935AA" w:rsidRDefault="00A20911" w:rsidP="00581489">
            <w:pPr>
              <w:keepNext/>
              <w:keepLines/>
              <w:tabs>
                <w:tab w:val="left" w:pos="-1440"/>
                <w:tab w:val="left" w:pos="-720"/>
              </w:tabs>
              <w:rPr>
                <w:sz w:val="20"/>
                <w:szCs w:val="20"/>
              </w:rPr>
            </w:pPr>
            <w:r w:rsidRPr="00A935AA">
              <w:rPr>
                <w:sz w:val="20"/>
                <w:szCs w:val="20"/>
              </w:rPr>
              <w:tab/>
            </w:r>
            <w:r w:rsidR="004E3634">
              <w:rPr>
                <w:sz w:val="20"/>
                <w:szCs w:val="20"/>
              </w:rPr>
              <w:t>Peter Cronyn</w:t>
            </w:r>
          </w:p>
          <w:p w:rsidR="00A20911" w:rsidRPr="00A935AA" w:rsidRDefault="00A20911" w:rsidP="00581489">
            <w:pPr>
              <w:keepNext/>
              <w:keepLines/>
              <w:tabs>
                <w:tab w:val="left" w:pos="-1440"/>
                <w:tab w:val="left" w:pos="-720"/>
              </w:tabs>
              <w:rPr>
                <w:sz w:val="20"/>
                <w:szCs w:val="20"/>
              </w:rPr>
            </w:pPr>
            <w:r w:rsidRPr="00A935AA">
              <w:rPr>
                <w:sz w:val="20"/>
                <w:szCs w:val="20"/>
              </w:rPr>
              <w:tab/>
            </w:r>
            <w:r w:rsidR="004E3634">
              <w:rPr>
                <w:sz w:val="20"/>
                <w:szCs w:val="20"/>
              </w:rPr>
              <w:t>Nelligan O’Brien Payne LLP</w:t>
            </w:r>
          </w:p>
          <w:p w:rsidR="00A20911" w:rsidRPr="00A935AA" w:rsidRDefault="00A20911" w:rsidP="00581489">
            <w:pPr>
              <w:keepNext/>
              <w:keepLines/>
              <w:tabs>
                <w:tab w:val="left" w:pos="-1440"/>
                <w:tab w:val="left" w:pos="-720"/>
              </w:tabs>
              <w:rPr>
                <w:sz w:val="20"/>
                <w:szCs w:val="20"/>
              </w:rPr>
            </w:pPr>
          </w:p>
          <w:p w:rsidR="00A20911" w:rsidRPr="004E3634" w:rsidRDefault="00A20911" w:rsidP="00581489">
            <w:pPr>
              <w:keepNext/>
              <w:keepLines/>
              <w:tabs>
                <w:tab w:val="left" w:pos="-1440"/>
                <w:tab w:val="left" w:pos="-720"/>
              </w:tabs>
              <w:rPr>
                <w:sz w:val="20"/>
                <w:szCs w:val="20"/>
              </w:rPr>
            </w:pPr>
            <w:r w:rsidRPr="00A935AA">
              <w:rPr>
                <w:sz w:val="20"/>
                <w:szCs w:val="20"/>
              </w:rPr>
              <w:tab/>
            </w:r>
            <w:r w:rsidRPr="004E3634">
              <w:rPr>
                <w:sz w:val="20"/>
                <w:szCs w:val="20"/>
              </w:rPr>
              <w:t>v. (35</w:t>
            </w:r>
            <w:r w:rsidR="004E3634">
              <w:rPr>
                <w:sz w:val="20"/>
                <w:szCs w:val="20"/>
              </w:rPr>
              <w:t>732</w:t>
            </w:r>
            <w:r w:rsidRPr="004E3634">
              <w:rPr>
                <w:sz w:val="20"/>
                <w:szCs w:val="20"/>
              </w:rPr>
              <w:t>)</w:t>
            </w:r>
          </w:p>
          <w:p w:rsidR="00A20911" w:rsidRPr="004E3634" w:rsidRDefault="00A20911" w:rsidP="00581489">
            <w:pPr>
              <w:keepNext/>
              <w:keepLines/>
              <w:tabs>
                <w:tab w:val="left" w:pos="-1440"/>
                <w:tab w:val="left" w:pos="-720"/>
              </w:tabs>
              <w:rPr>
                <w:sz w:val="20"/>
                <w:szCs w:val="20"/>
              </w:rPr>
            </w:pPr>
          </w:p>
          <w:p w:rsidR="00A20911" w:rsidRPr="004E3634" w:rsidRDefault="004E3634" w:rsidP="00581489">
            <w:pPr>
              <w:keepNext/>
              <w:keepLines/>
              <w:tabs>
                <w:tab w:val="left" w:pos="-1440"/>
                <w:tab w:val="left" w:pos="-720"/>
              </w:tabs>
              <w:rPr>
                <w:b/>
                <w:sz w:val="20"/>
                <w:szCs w:val="20"/>
              </w:rPr>
            </w:pPr>
            <w:r>
              <w:rPr>
                <w:b/>
                <w:sz w:val="20"/>
                <w:szCs w:val="20"/>
              </w:rPr>
              <w:t xml:space="preserve">Hydro One Networks Inc. </w:t>
            </w:r>
            <w:r w:rsidR="00A20911" w:rsidRPr="004E3634">
              <w:rPr>
                <w:b/>
                <w:sz w:val="20"/>
                <w:szCs w:val="20"/>
              </w:rPr>
              <w:t>(Ont.)</w:t>
            </w:r>
          </w:p>
          <w:p w:rsidR="00A20911" w:rsidRPr="004E3634" w:rsidRDefault="00A20911" w:rsidP="00581489">
            <w:pPr>
              <w:keepNext/>
              <w:keepLines/>
              <w:tabs>
                <w:tab w:val="left" w:pos="-1440"/>
                <w:tab w:val="left" w:pos="-720"/>
              </w:tabs>
              <w:rPr>
                <w:sz w:val="20"/>
                <w:szCs w:val="20"/>
              </w:rPr>
            </w:pPr>
            <w:r w:rsidRPr="004E3634">
              <w:rPr>
                <w:sz w:val="20"/>
                <w:szCs w:val="20"/>
              </w:rPr>
              <w:tab/>
            </w:r>
            <w:r w:rsidR="00155D4C">
              <w:rPr>
                <w:sz w:val="20"/>
                <w:szCs w:val="20"/>
              </w:rPr>
              <w:t>Ivan Lavrence</w:t>
            </w:r>
          </w:p>
          <w:p w:rsidR="00A20911" w:rsidRPr="004E3634" w:rsidRDefault="00A20911" w:rsidP="00581489">
            <w:pPr>
              <w:keepNext/>
              <w:keepLines/>
              <w:tabs>
                <w:tab w:val="left" w:pos="-1440"/>
                <w:tab w:val="left" w:pos="-720"/>
              </w:tabs>
              <w:rPr>
                <w:sz w:val="20"/>
                <w:szCs w:val="20"/>
              </w:rPr>
            </w:pPr>
            <w:r w:rsidRPr="004E3634">
              <w:rPr>
                <w:sz w:val="20"/>
                <w:szCs w:val="20"/>
              </w:rPr>
              <w:tab/>
            </w:r>
            <w:r w:rsidR="00155D4C">
              <w:rPr>
                <w:sz w:val="20"/>
                <w:szCs w:val="20"/>
              </w:rPr>
              <w:t>Blaney McMurtry LLP</w:t>
            </w:r>
          </w:p>
          <w:p w:rsidR="00A20911" w:rsidRPr="004E3634" w:rsidRDefault="00A20911" w:rsidP="00581489">
            <w:pPr>
              <w:keepNext/>
              <w:keepLines/>
              <w:tabs>
                <w:tab w:val="left" w:pos="-1440"/>
                <w:tab w:val="left" w:pos="-720"/>
              </w:tabs>
              <w:rPr>
                <w:sz w:val="20"/>
                <w:szCs w:val="20"/>
              </w:rPr>
            </w:pPr>
          </w:p>
          <w:p w:rsidR="00A20911" w:rsidRPr="00A935AA" w:rsidRDefault="00A20911" w:rsidP="00155D4C">
            <w:pPr>
              <w:rPr>
                <w:sz w:val="20"/>
                <w:szCs w:val="20"/>
              </w:rPr>
            </w:pPr>
            <w:r w:rsidRPr="00A935AA">
              <w:rPr>
                <w:sz w:val="20"/>
                <w:szCs w:val="20"/>
              </w:rPr>
              <w:t xml:space="preserve">FILING DATE: </w:t>
            </w:r>
            <w:r>
              <w:rPr>
                <w:sz w:val="20"/>
                <w:szCs w:val="20"/>
              </w:rPr>
              <w:t>1</w:t>
            </w:r>
            <w:r w:rsidR="00155D4C">
              <w:rPr>
                <w:sz w:val="20"/>
                <w:szCs w:val="20"/>
              </w:rPr>
              <w:t>8</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5" style="width:108pt;height:1pt" o:hrpct="0" o:hralign="center" o:hrstd="t" o:hrnoshade="t" o:hr="t" fillcolor="black [3213]" stroked="f"/>
              </w:pict>
            </w:r>
          </w:p>
        </w:tc>
      </w:tr>
      <w:tr w:rsidR="00A20911" w:rsidRPr="00A935AA" w:rsidTr="00A20911">
        <w:trPr>
          <w:cantSplit/>
        </w:trPr>
        <w:tc>
          <w:tcPr>
            <w:tcW w:w="4320" w:type="dxa"/>
            <w:shd w:val="clear" w:color="auto" w:fill="auto"/>
          </w:tcPr>
          <w:p w:rsidR="00A20911" w:rsidRPr="00A935AA" w:rsidRDefault="00A01888" w:rsidP="00A20911">
            <w:pPr>
              <w:rPr>
                <w:b/>
                <w:sz w:val="20"/>
                <w:szCs w:val="20"/>
              </w:rPr>
            </w:pPr>
            <w:r>
              <w:rPr>
                <w:b/>
                <w:sz w:val="20"/>
                <w:szCs w:val="20"/>
              </w:rPr>
              <w:t>Cold Lake First Nations</w:t>
            </w:r>
          </w:p>
          <w:p w:rsidR="00A20911" w:rsidRPr="00A935AA" w:rsidRDefault="00A20911" w:rsidP="00A20911">
            <w:pPr>
              <w:tabs>
                <w:tab w:val="left" w:pos="-1440"/>
                <w:tab w:val="left" w:pos="-720"/>
              </w:tabs>
              <w:rPr>
                <w:sz w:val="20"/>
                <w:szCs w:val="20"/>
              </w:rPr>
            </w:pPr>
            <w:r w:rsidRPr="00A935AA">
              <w:rPr>
                <w:sz w:val="20"/>
                <w:szCs w:val="20"/>
              </w:rPr>
              <w:tab/>
            </w:r>
            <w:r w:rsidR="00A01888">
              <w:rPr>
                <w:sz w:val="20"/>
                <w:szCs w:val="20"/>
              </w:rPr>
              <w:t xml:space="preserve">Garry Appelt </w:t>
            </w:r>
          </w:p>
          <w:p w:rsidR="00A20911" w:rsidRPr="00A935AA" w:rsidRDefault="00A20911" w:rsidP="00A20911">
            <w:pPr>
              <w:tabs>
                <w:tab w:val="left" w:pos="-1440"/>
                <w:tab w:val="left" w:pos="-720"/>
              </w:tabs>
              <w:rPr>
                <w:sz w:val="20"/>
                <w:szCs w:val="20"/>
              </w:rPr>
            </w:pPr>
            <w:r w:rsidRPr="00A935AA">
              <w:rPr>
                <w:sz w:val="20"/>
                <w:szCs w:val="20"/>
              </w:rPr>
              <w:tab/>
            </w:r>
            <w:r w:rsidR="00A01888">
              <w:rPr>
                <w:sz w:val="20"/>
                <w:szCs w:val="20"/>
              </w:rPr>
              <w:t>Witten LLP</w:t>
            </w:r>
          </w:p>
          <w:p w:rsidR="00A20911" w:rsidRPr="00A935AA" w:rsidRDefault="00A20911" w:rsidP="00A20911">
            <w:pPr>
              <w:tabs>
                <w:tab w:val="left" w:pos="-1440"/>
                <w:tab w:val="left" w:pos="-720"/>
              </w:tabs>
              <w:rPr>
                <w:sz w:val="20"/>
                <w:szCs w:val="20"/>
              </w:rPr>
            </w:pPr>
          </w:p>
          <w:p w:rsidR="00A20911" w:rsidRPr="00A935AA" w:rsidRDefault="00A20911" w:rsidP="00A20911">
            <w:pPr>
              <w:tabs>
                <w:tab w:val="left" w:pos="-1440"/>
                <w:tab w:val="left" w:pos="-720"/>
              </w:tabs>
              <w:rPr>
                <w:sz w:val="20"/>
                <w:szCs w:val="20"/>
              </w:rPr>
            </w:pPr>
            <w:r w:rsidRPr="00A935AA">
              <w:rPr>
                <w:sz w:val="20"/>
                <w:szCs w:val="20"/>
              </w:rPr>
              <w:tab/>
              <w:t>v. (3</w:t>
            </w:r>
            <w:r>
              <w:rPr>
                <w:sz w:val="20"/>
                <w:szCs w:val="20"/>
              </w:rPr>
              <w:t>5</w:t>
            </w:r>
            <w:r w:rsidR="00A01888">
              <w:rPr>
                <w:sz w:val="20"/>
                <w:szCs w:val="20"/>
              </w:rPr>
              <w:t>733</w:t>
            </w:r>
            <w:r w:rsidRPr="00A935AA">
              <w:rPr>
                <w:sz w:val="20"/>
                <w:szCs w:val="20"/>
              </w:rPr>
              <w:t>)</w:t>
            </w:r>
          </w:p>
          <w:p w:rsidR="00A20911" w:rsidRPr="00A935AA" w:rsidRDefault="00A20911" w:rsidP="00A20911">
            <w:pPr>
              <w:tabs>
                <w:tab w:val="left" w:pos="-1440"/>
                <w:tab w:val="left" w:pos="-720"/>
              </w:tabs>
              <w:rPr>
                <w:sz w:val="20"/>
                <w:szCs w:val="20"/>
              </w:rPr>
            </w:pPr>
          </w:p>
          <w:p w:rsidR="00A20911" w:rsidRPr="00A935AA" w:rsidRDefault="00A01888" w:rsidP="00A20911">
            <w:pPr>
              <w:tabs>
                <w:tab w:val="left" w:pos="-1440"/>
                <w:tab w:val="left" w:pos="-720"/>
              </w:tabs>
              <w:rPr>
                <w:b/>
                <w:sz w:val="20"/>
                <w:szCs w:val="20"/>
              </w:rPr>
            </w:pPr>
            <w:r>
              <w:rPr>
                <w:b/>
                <w:sz w:val="20"/>
                <w:szCs w:val="20"/>
              </w:rPr>
              <w:t xml:space="preserve">The Queen in Right of Alberta as represented by the Minister of Tourism, Parks and Recreation </w:t>
            </w:r>
            <w:r w:rsidR="00A20911" w:rsidRPr="00A935AA">
              <w:rPr>
                <w:b/>
                <w:sz w:val="20"/>
                <w:szCs w:val="20"/>
              </w:rPr>
              <w:t>(</w:t>
            </w:r>
            <w:r>
              <w:rPr>
                <w:b/>
                <w:sz w:val="20"/>
                <w:szCs w:val="20"/>
              </w:rPr>
              <w:t>Al</w:t>
            </w:r>
            <w:r w:rsidR="00A20911">
              <w:rPr>
                <w:b/>
                <w:sz w:val="20"/>
                <w:szCs w:val="20"/>
              </w:rPr>
              <w:t>t</w:t>
            </w:r>
            <w:r>
              <w:rPr>
                <w:b/>
                <w:sz w:val="20"/>
                <w:szCs w:val="20"/>
              </w:rPr>
              <w:t>a</w:t>
            </w:r>
            <w:r w:rsidR="00A20911" w:rsidRPr="00A935AA">
              <w:rPr>
                <w:b/>
                <w:sz w:val="20"/>
                <w:szCs w:val="20"/>
              </w:rPr>
              <w:t>.)</w:t>
            </w:r>
          </w:p>
          <w:p w:rsidR="00A20911" w:rsidRPr="00A935AA" w:rsidRDefault="00A20911" w:rsidP="00A20911">
            <w:pPr>
              <w:tabs>
                <w:tab w:val="left" w:pos="-1440"/>
                <w:tab w:val="left" w:pos="-720"/>
              </w:tabs>
              <w:rPr>
                <w:sz w:val="20"/>
                <w:szCs w:val="20"/>
              </w:rPr>
            </w:pPr>
            <w:r w:rsidRPr="00A935AA">
              <w:rPr>
                <w:sz w:val="20"/>
                <w:szCs w:val="20"/>
              </w:rPr>
              <w:tab/>
            </w:r>
            <w:r w:rsidR="00A01888">
              <w:rPr>
                <w:sz w:val="20"/>
                <w:szCs w:val="20"/>
              </w:rPr>
              <w:t>Stephanie C. Latimer</w:t>
            </w:r>
          </w:p>
          <w:p w:rsidR="00A20911" w:rsidRPr="00A935AA" w:rsidRDefault="00A20911" w:rsidP="00A20911">
            <w:pPr>
              <w:tabs>
                <w:tab w:val="left" w:pos="-1440"/>
                <w:tab w:val="left" w:pos="-720"/>
              </w:tabs>
              <w:rPr>
                <w:sz w:val="20"/>
                <w:szCs w:val="20"/>
              </w:rPr>
            </w:pPr>
            <w:r w:rsidRPr="00A935AA">
              <w:rPr>
                <w:sz w:val="20"/>
                <w:szCs w:val="20"/>
              </w:rPr>
              <w:tab/>
            </w:r>
            <w:r w:rsidR="00A01888">
              <w:rPr>
                <w:sz w:val="20"/>
                <w:szCs w:val="20"/>
              </w:rPr>
              <w:t>A.G. of Alberta</w:t>
            </w:r>
          </w:p>
          <w:p w:rsidR="00A20911" w:rsidRPr="00A935AA" w:rsidRDefault="00A20911" w:rsidP="00A20911">
            <w:pPr>
              <w:tabs>
                <w:tab w:val="left" w:pos="-1440"/>
                <w:tab w:val="left" w:pos="-720"/>
              </w:tabs>
              <w:rPr>
                <w:sz w:val="20"/>
                <w:szCs w:val="20"/>
              </w:rPr>
            </w:pPr>
          </w:p>
          <w:p w:rsidR="00A20911" w:rsidRPr="00A935AA" w:rsidRDefault="00A20911" w:rsidP="00A01888">
            <w:pPr>
              <w:rPr>
                <w:sz w:val="20"/>
                <w:szCs w:val="20"/>
              </w:rPr>
            </w:pPr>
            <w:r w:rsidRPr="00A935AA">
              <w:rPr>
                <w:sz w:val="20"/>
                <w:szCs w:val="20"/>
              </w:rPr>
              <w:t xml:space="preserve">FILING DATE: </w:t>
            </w:r>
            <w:r>
              <w:rPr>
                <w:sz w:val="20"/>
                <w:szCs w:val="20"/>
              </w:rPr>
              <w:t>1</w:t>
            </w:r>
            <w:r w:rsidR="00A01888">
              <w:rPr>
                <w:sz w:val="20"/>
                <w:szCs w:val="20"/>
              </w:rPr>
              <w:t>8</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6" style="width:108pt;height:1pt" o:hrpct="0" o:hralign="center" o:hrstd="t" o:hrnoshade="t" o:hr="t" fillcolor="black [3213]" stroked="f"/>
              </w:pict>
            </w:r>
          </w:p>
        </w:tc>
        <w:tc>
          <w:tcPr>
            <w:tcW w:w="1181" w:type="dxa"/>
            <w:shd w:val="clear" w:color="auto" w:fill="auto"/>
          </w:tcPr>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p w:rsidR="00A20911" w:rsidRDefault="00A20911" w:rsidP="00242AEE">
            <w:pPr>
              <w:jc w:val="center"/>
              <w:rPr>
                <w:sz w:val="20"/>
                <w:szCs w:val="20"/>
              </w:rPr>
            </w:pPr>
          </w:p>
          <w:p w:rsidR="00A01888" w:rsidRDefault="00A01888" w:rsidP="00242AEE">
            <w:pPr>
              <w:jc w:val="center"/>
              <w:rPr>
                <w:sz w:val="20"/>
                <w:szCs w:val="20"/>
              </w:rPr>
            </w:pPr>
          </w:p>
          <w:p w:rsidR="00A01888" w:rsidRPr="00A935AA" w:rsidRDefault="00A01888" w:rsidP="00242AEE">
            <w:pPr>
              <w:jc w:val="center"/>
              <w:rPr>
                <w:sz w:val="20"/>
                <w:szCs w:val="20"/>
              </w:rPr>
            </w:pPr>
          </w:p>
          <w:p w:rsidR="00A20911" w:rsidRPr="00A935AA" w:rsidRDefault="00A20911" w:rsidP="00242AEE">
            <w:pPr>
              <w:jc w:val="center"/>
              <w:rPr>
                <w:sz w:val="20"/>
                <w:szCs w:val="20"/>
              </w:rPr>
            </w:pPr>
          </w:p>
          <w:p w:rsidR="00A20911" w:rsidRPr="00A935AA" w:rsidRDefault="00A20911" w:rsidP="00242AEE">
            <w:pPr>
              <w:jc w:val="center"/>
              <w:rPr>
                <w:sz w:val="20"/>
                <w:szCs w:val="20"/>
              </w:rPr>
            </w:pPr>
          </w:p>
        </w:tc>
        <w:tc>
          <w:tcPr>
            <w:tcW w:w="4320" w:type="dxa"/>
            <w:shd w:val="clear" w:color="auto" w:fill="auto"/>
          </w:tcPr>
          <w:p w:rsidR="00A20911" w:rsidRDefault="00A20911" w:rsidP="00581489">
            <w:pPr>
              <w:keepNext/>
              <w:keepLines/>
              <w:tabs>
                <w:tab w:val="left" w:pos="-1440"/>
                <w:tab w:val="left" w:pos="-720"/>
              </w:tabs>
              <w:rPr>
                <w:b/>
                <w:sz w:val="20"/>
                <w:szCs w:val="20"/>
              </w:rPr>
            </w:pPr>
          </w:p>
          <w:p w:rsidR="00A01888" w:rsidRPr="00A935AA" w:rsidRDefault="00A01888" w:rsidP="00581489">
            <w:pPr>
              <w:keepNext/>
              <w:keepLines/>
              <w:tabs>
                <w:tab w:val="left" w:pos="-1440"/>
                <w:tab w:val="left" w:pos="-720"/>
              </w:tabs>
              <w:rPr>
                <w:b/>
                <w:sz w:val="20"/>
                <w:szCs w:val="20"/>
              </w:rPr>
            </w:pPr>
            <w:r>
              <w:rPr>
                <w:b/>
                <w:sz w:val="20"/>
                <w:szCs w:val="20"/>
              </w:rPr>
              <w:t>Forrest C. Higgins, Jr.</w:t>
            </w:r>
          </w:p>
          <w:p w:rsidR="00A20911" w:rsidRPr="00A935AA" w:rsidRDefault="00A20911" w:rsidP="00581489">
            <w:pPr>
              <w:keepNext/>
              <w:keepLines/>
              <w:tabs>
                <w:tab w:val="left" w:pos="-1440"/>
                <w:tab w:val="left" w:pos="-720"/>
              </w:tabs>
              <w:rPr>
                <w:sz w:val="20"/>
                <w:szCs w:val="20"/>
              </w:rPr>
            </w:pPr>
            <w:r w:rsidRPr="00A935AA">
              <w:rPr>
                <w:sz w:val="20"/>
                <w:szCs w:val="20"/>
              </w:rPr>
              <w:tab/>
            </w:r>
            <w:r w:rsidR="00A01888">
              <w:rPr>
                <w:sz w:val="20"/>
                <w:szCs w:val="20"/>
              </w:rPr>
              <w:t>Robert H. Pineo</w:t>
            </w:r>
          </w:p>
          <w:p w:rsidR="00A20911" w:rsidRPr="00A935AA" w:rsidRDefault="00A20911" w:rsidP="00581489">
            <w:pPr>
              <w:keepNext/>
              <w:keepLines/>
              <w:tabs>
                <w:tab w:val="left" w:pos="-1440"/>
                <w:tab w:val="left" w:pos="-720"/>
              </w:tabs>
              <w:rPr>
                <w:sz w:val="20"/>
                <w:szCs w:val="20"/>
              </w:rPr>
            </w:pPr>
            <w:r w:rsidRPr="00A935AA">
              <w:rPr>
                <w:sz w:val="20"/>
                <w:szCs w:val="20"/>
              </w:rPr>
              <w:tab/>
            </w:r>
            <w:r w:rsidR="00A01888">
              <w:rPr>
                <w:sz w:val="20"/>
                <w:szCs w:val="20"/>
              </w:rPr>
              <w:t>Patterson Law</w:t>
            </w:r>
          </w:p>
          <w:p w:rsidR="00A20911" w:rsidRPr="00A935AA" w:rsidRDefault="00A20911" w:rsidP="00581489">
            <w:pPr>
              <w:keepNext/>
              <w:keepLines/>
              <w:tabs>
                <w:tab w:val="left" w:pos="-1440"/>
                <w:tab w:val="left" w:pos="-720"/>
              </w:tabs>
              <w:rPr>
                <w:sz w:val="20"/>
                <w:szCs w:val="20"/>
              </w:rPr>
            </w:pPr>
          </w:p>
          <w:p w:rsidR="00A20911" w:rsidRPr="004E3634" w:rsidRDefault="00A20911" w:rsidP="00581489">
            <w:pPr>
              <w:keepNext/>
              <w:keepLines/>
              <w:tabs>
                <w:tab w:val="left" w:pos="-1440"/>
                <w:tab w:val="left" w:pos="-720"/>
              </w:tabs>
              <w:rPr>
                <w:sz w:val="20"/>
                <w:szCs w:val="20"/>
              </w:rPr>
            </w:pPr>
            <w:r w:rsidRPr="00A935AA">
              <w:rPr>
                <w:sz w:val="20"/>
                <w:szCs w:val="20"/>
              </w:rPr>
              <w:tab/>
            </w:r>
            <w:r w:rsidRPr="004E3634">
              <w:rPr>
                <w:sz w:val="20"/>
                <w:szCs w:val="20"/>
              </w:rPr>
              <w:t>v. (35</w:t>
            </w:r>
            <w:r w:rsidR="00A01888">
              <w:rPr>
                <w:sz w:val="20"/>
                <w:szCs w:val="20"/>
              </w:rPr>
              <w:t>734</w:t>
            </w:r>
            <w:r w:rsidRPr="004E3634">
              <w:rPr>
                <w:sz w:val="20"/>
                <w:szCs w:val="20"/>
              </w:rPr>
              <w:t>)</w:t>
            </w:r>
          </w:p>
          <w:p w:rsidR="00A20911" w:rsidRPr="004E3634" w:rsidRDefault="00A20911" w:rsidP="00581489">
            <w:pPr>
              <w:keepNext/>
              <w:keepLines/>
              <w:tabs>
                <w:tab w:val="left" w:pos="-1440"/>
                <w:tab w:val="left" w:pos="-720"/>
              </w:tabs>
              <w:rPr>
                <w:sz w:val="20"/>
                <w:szCs w:val="20"/>
              </w:rPr>
            </w:pPr>
          </w:p>
          <w:p w:rsidR="00A20911" w:rsidRPr="004E3634" w:rsidRDefault="00A01888" w:rsidP="00581489">
            <w:pPr>
              <w:keepNext/>
              <w:keepLines/>
              <w:tabs>
                <w:tab w:val="left" w:pos="-1440"/>
                <w:tab w:val="left" w:pos="-720"/>
              </w:tabs>
              <w:rPr>
                <w:b/>
                <w:sz w:val="20"/>
                <w:szCs w:val="20"/>
              </w:rPr>
            </w:pPr>
            <w:r>
              <w:rPr>
                <w:b/>
                <w:sz w:val="20"/>
                <w:szCs w:val="20"/>
              </w:rPr>
              <w:t xml:space="preserve">Attorney General of Nova Scotia representing Her Majesty the Queen in Right of the Province of Nova Scotia et al. </w:t>
            </w:r>
            <w:r w:rsidR="00A20911" w:rsidRPr="004E3634">
              <w:rPr>
                <w:b/>
                <w:sz w:val="20"/>
                <w:szCs w:val="20"/>
              </w:rPr>
              <w:t>(</w:t>
            </w:r>
            <w:r>
              <w:rPr>
                <w:b/>
                <w:sz w:val="20"/>
                <w:szCs w:val="20"/>
              </w:rPr>
              <w:t>N.S</w:t>
            </w:r>
            <w:r w:rsidR="00A20911" w:rsidRPr="004E3634">
              <w:rPr>
                <w:b/>
                <w:sz w:val="20"/>
                <w:szCs w:val="20"/>
              </w:rPr>
              <w:t>.)</w:t>
            </w:r>
          </w:p>
          <w:p w:rsidR="00A20911" w:rsidRPr="004E3634" w:rsidRDefault="00A20911" w:rsidP="00581489">
            <w:pPr>
              <w:keepNext/>
              <w:keepLines/>
              <w:tabs>
                <w:tab w:val="left" w:pos="-1440"/>
                <w:tab w:val="left" w:pos="-720"/>
              </w:tabs>
              <w:rPr>
                <w:sz w:val="20"/>
                <w:szCs w:val="20"/>
              </w:rPr>
            </w:pPr>
            <w:r w:rsidRPr="004E3634">
              <w:rPr>
                <w:sz w:val="20"/>
                <w:szCs w:val="20"/>
              </w:rPr>
              <w:tab/>
            </w:r>
            <w:r w:rsidR="00A01888">
              <w:rPr>
                <w:sz w:val="20"/>
                <w:szCs w:val="20"/>
              </w:rPr>
              <w:t>Darlene Willcott</w:t>
            </w:r>
          </w:p>
          <w:p w:rsidR="00A20911" w:rsidRPr="004E3634" w:rsidRDefault="00A20911" w:rsidP="00581489">
            <w:pPr>
              <w:keepNext/>
              <w:keepLines/>
              <w:tabs>
                <w:tab w:val="left" w:pos="-1440"/>
                <w:tab w:val="left" w:pos="-720"/>
              </w:tabs>
              <w:rPr>
                <w:sz w:val="20"/>
                <w:szCs w:val="20"/>
              </w:rPr>
            </w:pPr>
            <w:r w:rsidRPr="004E3634">
              <w:rPr>
                <w:sz w:val="20"/>
                <w:szCs w:val="20"/>
              </w:rPr>
              <w:tab/>
            </w:r>
            <w:r w:rsidR="00A01888">
              <w:rPr>
                <w:sz w:val="20"/>
                <w:szCs w:val="20"/>
              </w:rPr>
              <w:t>A.G. of Nova Scotia</w:t>
            </w:r>
          </w:p>
          <w:p w:rsidR="00A20911" w:rsidRPr="004E3634" w:rsidRDefault="00A20911" w:rsidP="00581489">
            <w:pPr>
              <w:keepNext/>
              <w:keepLines/>
              <w:tabs>
                <w:tab w:val="left" w:pos="-1440"/>
                <w:tab w:val="left" w:pos="-720"/>
              </w:tabs>
              <w:rPr>
                <w:sz w:val="20"/>
                <w:szCs w:val="20"/>
              </w:rPr>
            </w:pPr>
          </w:p>
          <w:p w:rsidR="00A20911" w:rsidRPr="00A935AA" w:rsidRDefault="00A20911" w:rsidP="00A01888">
            <w:pPr>
              <w:rPr>
                <w:sz w:val="20"/>
                <w:szCs w:val="20"/>
              </w:rPr>
            </w:pPr>
            <w:r w:rsidRPr="00A935AA">
              <w:rPr>
                <w:sz w:val="20"/>
                <w:szCs w:val="20"/>
              </w:rPr>
              <w:t xml:space="preserve">FILING DATE: </w:t>
            </w:r>
            <w:r>
              <w:rPr>
                <w:sz w:val="20"/>
                <w:szCs w:val="20"/>
              </w:rPr>
              <w:t>1</w:t>
            </w:r>
            <w:r w:rsidR="00A01888">
              <w:rPr>
                <w:sz w:val="20"/>
                <w:szCs w:val="20"/>
              </w:rPr>
              <w:t>8</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7" style="width:108pt;height:1pt" o:hrpct="0" o:hralign="center" o:hrstd="t" o:hrnoshade="t" o:hr="t" fillcolor="black [3213]" stroked="f"/>
              </w:pict>
            </w:r>
          </w:p>
        </w:tc>
      </w:tr>
      <w:tr w:rsidR="00A20911" w:rsidRPr="00A935AA" w:rsidTr="00A20911">
        <w:trPr>
          <w:cantSplit/>
        </w:trPr>
        <w:tc>
          <w:tcPr>
            <w:tcW w:w="4320" w:type="dxa"/>
            <w:shd w:val="clear" w:color="auto" w:fill="auto"/>
          </w:tcPr>
          <w:p w:rsidR="00A20911" w:rsidRPr="00A935AA" w:rsidRDefault="00A01888" w:rsidP="00A20911">
            <w:pPr>
              <w:rPr>
                <w:b/>
                <w:sz w:val="20"/>
                <w:szCs w:val="20"/>
              </w:rPr>
            </w:pPr>
            <w:r>
              <w:rPr>
                <w:b/>
                <w:sz w:val="20"/>
                <w:szCs w:val="20"/>
              </w:rPr>
              <w:t>James Symington</w:t>
            </w:r>
          </w:p>
          <w:p w:rsidR="00A20911" w:rsidRPr="00A935AA" w:rsidRDefault="00A20911" w:rsidP="00A20911">
            <w:pPr>
              <w:tabs>
                <w:tab w:val="left" w:pos="-1440"/>
                <w:tab w:val="left" w:pos="-720"/>
              </w:tabs>
              <w:rPr>
                <w:sz w:val="20"/>
                <w:szCs w:val="20"/>
              </w:rPr>
            </w:pPr>
            <w:r w:rsidRPr="00A935AA">
              <w:rPr>
                <w:sz w:val="20"/>
                <w:szCs w:val="20"/>
              </w:rPr>
              <w:tab/>
            </w:r>
            <w:r w:rsidR="00A01888">
              <w:rPr>
                <w:sz w:val="20"/>
                <w:szCs w:val="20"/>
              </w:rPr>
              <w:t>Michael Wright</w:t>
            </w:r>
          </w:p>
          <w:p w:rsidR="00A20911" w:rsidRPr="00A935AA" w:rsidRDefault="00A20911" w:rsidP="00A20911">
            <w:pPr>
              <w:tabs>
                <w:tab w:val="left" w:pos="-1440"/>
                <w:tab w:val="left" w:pos="-720"/>
              </w:tabs>
              <w:rPr>
                <w:sz w:val="20"/>
                <w:szCs w:val="20"/>
              </w:rPr>
            </w:pPr>
            <w:r w:rsidRPr="00A935AA">
              <w:rPr>
                <w:sz w:val="20"/>
                <w:szCs w:val="20"/>
              </w:rPr>
              <w:tab/>
            </w:r>
            <w:r w:rsidR="00A01888">
              <w:rPr>
                <w:sz w:val="20"/>
                <w:szCs w:val="20"/>
              </w:rPr>
              <w:t xml:space="preserve">Cavalluzzo Shilton McIntyre Cornish </w:t>
            </w:r>
            <w:r w:rsidR="00A01888">
              <w:rPr>
                <w:sz w:val="20"/>
                <w:szCs w:val="20"/>
              </w:rPr>
              <w:tab/>
              <w:t>LLP</w:t>
            </w:r>
          </w:p>
          <w:p w:rsidR="00A20911" w:rsidRPr="00A935AA" w:rsidRDefault="00A20911" w:rsidP="00A20911">
            <w:pPr>
              <w:tabs>
                <w:tab w:val="left" w:pos="-1440"/>
                <w:tab w:val="left" w:pos="-720"/>
              </w:tabs>
              <w:rPr>
                <w:sz w:val="20"/>
                <w:szCs w:val="20"/>
              </w:rPr>
            </w:pPr>
          </w:p>
          <w:p w:rsidR="00A20911" w:rsidRPr="00A935AA" w:rsidRDefault="00A20911" w:rsidP="00A20911">
            <w:pPr>
              <w:tabs>
                <w:tab w:val="left" w:pos="-1440"/>
                <w:tab w:val="left" w:pos="-720"/>
              </w:tabs>
              <w:rPr>
                <w:sz w:val="20"/>
                <w:szCs w:val="20"/>
              </w:rPr>
            </w:pPr>
            <w:r w:rsidRPr="00A935AA">
              <w:rPr>
                <w:sz w:val="20"/>
                <w:szCs w:val="20"/>
              </w:rPr>
              <w:tab/>
              <w:t>v. (3</w:t>
            </w:r>
            <w:r>
              <w:rPr>
                <w:sz w:val="20"/>
                <w:szCs w:val="20"/>
              </w:rPr>
              <w:t>5</w:t>
            </w:r>
            <w:r w:rsidR="00A01888">
              <w:rPr>
                <w:sz w:val="20"/>
                <w:szCs w:val="20"/>
              </w:rPr>
              <w:t>735</w:t>
            </w:r>
            <w:r w:rsidRPr="00A935AA">
              <w:rPr>
                <w:sz w:val="20"/>
                <w:szCs w:val="20"/>
              </w:rPr>
              <w:t>)</w:t>
            </w:r>
          </w:p>
          <w:p w:rsidR="00A20911" w:rsidRPr="00A935AA" w:rsidRDefault="00A20911" w:rsidP="00A20911">
            <w:pPr>
              <w:tabs>
                <w:tab w:val="left" w:pos="-1440"/>
                <w:tab w:val="left" w:pos="-720"/>
              </w:tabs>
              <w:rPr>
                <w:sz w:val="20"/>
                <w:szCs w:val="20"/>
              </w:rPr>
            </w:pPr>
          </w:p>
          <w:p w:rsidR="00A20911" w:rsidRPr="00A935AA" w:rsidRDefault="00A01888" w:rsidP="00A20911">
            <w:pPr>
              <w:tabs>
                <w:tab w:val="left" w:pos="-1440"/>
                <w:tab w:val="left" w:pos="-720"/>
              </w:tabs>
              <w:rPr>
                <w:b/>
                <w:sz w:val="20"/>
                <w:szCs w:val="20"/>
              </w:rPr>
            </w:pPr>
            <w:r>
              <w:rPr>
                <w:b/>
                <w:sz w:val="20"/>
                <w:szCs w:val="20"/>
              </w:rPr>
              <w:t xml:space="preserve">Halifax Regional Municipality et al. </w:t>
            </w:r>
            <w:r w:rsidR="00A20911" w:rsidRPr="00A935AA">
              <w:rPr>
                <w:b/>
                <w:sz w:val="20"/>
                <w:szCs w:val="20"/>
              </w:rPr>
              <w:t>(</w:t>
            </w:r>
            <w:r>
              <w:rPr>
                <w:b/>
                <w:sz w:val="20"/>
                <w:szCs w:val="20"/>
              </w:rPr>
              <w:t>N.S</w:t>
            </w:r>
            <w:r w:rsidR="00A20911" w:rsidRPr="00A935AA">
              <w:rPr>
                <w:b/>
                <w:sz w:val="20"/>
                <w:szCs w:val="20"/>
              </w:rPr>
              <w:t>.)</w:t>
            </w:r>
          </w:p>
          <w:p w:rsidR="00A20911" w:rsidRPr="00A935AA" w:rsidRDefault="00A20911" w:rsidP="00A20911">
            <w:pPr>
              <w:tabs>
                <w:tab w:val="left" w:pos="-1440"/>
                <w:tab w:val="left" w:pos="-720"/>
              </w:tabs>
              <w:rPr>
                <w:sz w:val="20"/>
                <w:szCs w:val="20"/>
              </w:rPr>
            </w:pPr>
            <w:r w:rsidRPr="00A935AA">
              <w:rPr>
                <w:sz w:val="20"/>
                <w:szCs w:val="20"/>
              </w:rPr>
              <w:tab/>
            </w:r>
            <w:r w:rsidR="00A01888">
              <w:rPr>
                <w:sz w:val="20"/>
                <w:szCs w:val="20"/>
              </w:rPr>
              <w:t>Daniel W. Ingersoll</w:t>
            </w:r>
          </w:p>
          <w:p w:rsidR="00A20911" w:rsidRPr="00A935AA" w:rsidRDefault="00A20911" w:rsidP="00A20911">
            <w:pPr>
              <w:tabs>
                <w:tab w:val="left" w:pos="-1440"/>
                <w:tab w:val="left" w:pos="-720"/>
              </w:tabs>
              <w:rPr>
                <w:sz w:val="20"/>
                <w:szCs w:val="20"/>
              </w:rPr>
            </w:pPr>
            <w:r w:rsidRPr="00A935AA">
              <w:rPr>
                <w:sz w:val="20"/>
                <w:szCs w:val="20"/>
              </w:rPr>
              <w:tab/>
            </w:r>
            <w:r w:rsidR="00A01888">
              <w:rPr>
                <w:sz w:val="20"/>
                <w:szCs w:val="20"/>
              </w:rPr>
              <w:t>Cox &amp; Palmer</w:t>
            </w:r>
          </w:p>
          <w:p w:rsidR="00A20911" w:rsidRPr="00A935AA" w:rsidRDefault="00A20911" w:rsidP="00A20911">
            <w:pPr>
              <w:tabs>
                <w:tab w:val="left" w:pos="-1440"/>
                <w:tab w:val="left" w:pos="-720"/>
              </w:tabs>
              <w:rPr>
                <w:sz w:val="20"/>
                <w:szCs w:val="20"/>
              </w:rPr>
            </w:pPr>
          </w:p>
          <w:p w:rsidR="00A20911" w:rsidRPr="00A935AA" w:rsidRDefault="00A20911" w:rsidP="00A01888">
            <w:pPr>
              <w:rPr>
                <w:sz w:val="20"/>
                <w:szCs w:val="20"/>
              </w:rPr>
            </w:pPr>
            <w:r w:rsidRPr="00A935AA">
              <w:rPr>
                <w:sz w:val="20"/>
                <w:szCs w:val="20"/>
              </w:rPr>
              <w:t xml:space="preserve">FILING DATE: </w:t>
            </w:r>
            <w:r>
              <w:rPr>
                <w:sz w:val="20"/>
                <w:szCs w:val="20"/>
              </w:rPr>
              <w:t>1</w:t>
            </w:r>
            <w:r w:rsidR="00A01888">
              <w:rPr>
                <w:sz w:val="20"/>
                <w:szCs w:val="20"/>
              </w:rPr>
              <w:t>8</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8" style="width:108pt;height:1pt" o:hrpct="0" o:hralign="center" o:hrstd="t" o:hrnoshade="t" o:hr="t" fillcolor="black [3213]" stroked="f"/>
              </w:pict>
            </w:r>
          </w:p>
        </w:tc>
        <w:tc>
          <w:tcPr>
            <w:tcW w:w="1181" w:type="dxa"/>
            <w:shd w:val="clear" w:color="auto" w:fill="auto"/>
          </w:tcPr>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Default="00A20911" w:rsidP="00242AEE">
            <w:pPr>
              <w:jc w:val="center"/>
              <w:rPr>
                <w:sz w:val="20"/>
                <w:szCs w:val="20"/>
              </w:rPr>
            </w:pPr>
          </w:p>
          <w:p w:rsidR="00A20911" w:rsidRPr="00A935AA" w:rsidRDefault="00A20911" w:rsidP="00242AEE">
            <w:pPr>
              <w:jc w:val="center"/>
              <w:rPr>
                <w:sz w:val="20"/>
                <w:szCs w:val="20"/>
              </w:rPr>
            </w:pPr>
          </w:p>
        </w:tc>
        <w:tc>
          <w:tcPr>
            <w:tcW w:w="4320" w:type="dxa"/>
            <w:shd w:val="clear" w:color="auto" w:fill="auto"/>
          </w:tcPr>
          <w:p w:rsidR="00A20911" w:rsidRDefault="00A20911" w:rsidP="00A20911">
            <w:pPr>
              <w:keepNext/>
              <w:keepLines/>
              <w:tabs>
                <w:tab w:val="left" w:pos="-1440"/>
                <w:tab w:val="left" w:pos="-720"/>
              </w:tabs>
              <w:rPr>
                <w:b/>
                <w:sz w:val="20"/>
                <w:szCs w:val="20"/>
              </w:rPr>
            </w:pPr>
          </w:p>
          <w:p w:rsidR="00A01888" w:rsidRPr="00A935AA" w:rsidRDefault="00A01888" w:rsidP="00A20911">
            <w:pPr>
              <w:keepNext/>
              <w:keepLines/>
              <w:tabs>
                <w:tab w:val="left" w:pos="-1440"/>
                <w:tab w:val="left" w:pos="-720"/>
              </w:tabs>
              <w:rPr>
                <w:b/>
                <w:sz w:val="20"/>
                <w:szCs w:val="20"/>
              </w:rPr>
            </w:pPr>
            <w:r>
              <w:rPr>
                <w:b/>
                <w:sz w:val="20"/>
                <w:szCs w:val="20"/>
              </w:rPr>
              <w:t>Ade Olumide</w:t>
            </w:r>
          </w:p>
          <w:p w:rsidR="00A20911" w:rsidRPr="00A935AA" w:rsidRDefault="00A20911" w:rsidP="00A20911">
            <w:pPr>
              <w:keepNext/>
              <w:keepLines/>
              <w:tabs>
                <w:tab w:val="left" w:pos="-1440"/>
                <w:tab w:val="left" w:pos="-720"/>
              </w:tabs>
              <w:rPr>
                <w:sz w:val="20"/>
                <w:szCs w:val="20"/>
              </w:rPr>
            </w:pPr>
            <w:r w:rsidRPr="00A935AA">
              <w:rPr>
                <w:sz w:val="20"/>
                <w:szCs w:val="20"/>
              </w:rPr>
              <w:tab/>
            </w:r>
            <w:r w:rsidR="00A01888">
              <w:rPr>
                <w:sz w:val="20"/>
                <w:szCs w:val="20"/>
              </w:rPr>
              <w:t>Ade Olumide</w:t>
            </w:r>
          </w:p>
          <w:p w:rsidR="00A20911" w:rsidRPr="00A935AA" w:rsidRDefault="00A20911" w:rsidP="00A20911">
            <w:pPr>
              <w:keepNext/>
              <w:keepLines/>
              <w:tabs>
                <w:tab w:val="left" w:pos="-1440"/>
                <w:tab w:val="left" w:pos="-720"/>
              </w:tabs>
              <w:rPr>
                <w:sz w:val="20"/>
                <w:szCs w:val="20"/>
              </w:rPr>
            </w:pPr>
          </w:p>
          <w:p w:rsidR="00A20911" w:rsidRPr="00A01888" w:rsidRDefault="00A20911" w:rsidP="00A20911">
            <w:pPr>
              <w:keepNext/>
              <w:keepLines/>
              <w:tabs>
                <w:tab w:val="left" w:pos="-1440"/>
                <w:tab w:val="left" w:pos="-720"/>
              </w:tabs>
              <w:rPr>
                <w:sz w:val="20"/>
                <w:szCs w:val="20"/>
              </w:rPr>
            </w:pPr>
            <w:r w:rsidRPr="00A935AA">
              <w:rPr>
                <w:sz w:val="20"/>
                <w:szCs w:val="20"/>
              </w:rPr>
              <w:tab/>
            </w:r>
            <w:r w:rsidRPr="00A01888">
              <w:rPr>
                <w:sz w:val="20"/>
                <w:szCs w:val="20"/>
              </w:rPr>
              <w:t>v. (35</w:t>
            </w:r>
            <w:r w:rsidR="00A01888">
              <w:rPr>
                <w:sz w:val="20"/>
                <w:szCs w:val="20"/>
              </w:rPr>
              <w:t>743</w:t>
            </w:r>
            <w:r w:rsidRPr="00A01888">
              <w:rPr>
                <w:sz w:val="20"/>
                <w:szCs w:val="20"/>
              </w:rPr>
              <w:t>)</w:t>
            </w:r>
          </w:p>
          <w:p w:rsidR="00A20911" w:rsidRPr="00A01888" w:rsidRDefault="00A20911" w:rsidP="00A20911">
            <w:pPr>
              <w:keepNext/>
              <w:keepLines/>
              <w:tabs>
                <w:tab w:val="left" w:pos="-1440"/>
                <w:tab w:val="left" w:pos="-720"/>
              </w:tabs>
              <w:rPr>
                <w:sz w:val="20"/>
                <w:szCs w:val="20"/>
              </w:rPr>
            </w:pPr>
          </w:p>
          <w:p w:rsidR="00A20911" w:rsidRPr="00A01888" w:rsidRDefault="00A01888" w:rsidP="00A20911">
            <w:pPr>
              <w:keepNext/>
              <w:keepLines/>
              <w:tabs>
                <w:tab w:val="left" w:pos="-1440"/>
                <w:tab w:val="left" w:pos="-720"/>
              </w:tabs>
              <w:rPr>
                <w:b/>
                <w:sz w:val="20"/>
                <w:szCs w:val="20"/>
              </w:rPr>
            </w:pPr>
            <w:r>
              <w:rPr>
                <w:b/>
                <w:sz w:val="20"/>
                <w:szCs w:val="20"/>
              </w:rPr>
              <w:t xml:space="preserve">Her Majesty the Queen in Right of Canada </w:t>
            </w:r>
            <w:r w:rsidR="00A20911" w:rsidRPr="00A01888">
              <w:rPr>
                <w:b/>
                <w:sz w:val="20"/>
                <w:szCs w:val="20"/>
              </w:rPr>
              <w:t>(</w:t>
            </w:r>
            <w:r>
              <w:rPr>
                <w:b/>
                <w:sz w:val="20"/>
                <w:szCs w:val="20"/>
              </w:rPr>
              <w:t>F.C</w:t>
            </w:r>
            <w:r w:rsidR="00A20911" w:rsidRPr="00A01888">
              <w:rPr>
                <w:b/>
                <w:sz w:val="20"/>
                <w:szCs w:val="20"/>
              </w:rPr>
              <w:t>.)</w:t>
            </w:r>
          </w:p>
          <w:p w:rsidR="00A20911" w:rsidRPr="00A01888" w:rsidRDefault="00A20911" w:rsidP="00A20911">
            <w:pPr>
              <w:keepNext/>
              <w:keepLines/>
              <w:tabs>
                <w:tab w:val="left" w:pos="-1440"/>
                <w:tab w:val="left" w:pos="-720"/>
              </w:tabs>
              <w:rPr>
                <w:sz w:val="20"/>
                <w:szCs w:val="20"/>
              </w:rPr>
            </w:pPr>
            <w:r w:rsidRPr="00A01888">
              <w:rPr>
                <w:sz w:val="20"/>
                <w:szCs w:val="20"/>
              </w:rPr>
              <w:tab/>
            </w:r>
            <w:r w:rsidR="00A01888">
              <w:rPr>
                <w:sz w:val="20"/>
                <w:szCs w:val="20"/>
              </w:rPr>
              <w:t>Joanna Hill</w:t>
            </w:r>
          </w:p>
          <w:p w:rsidR="00A20911" w:rsidRPr="00A01888" w:rsidRDefault="00A20911" w:rsidP="00A20911">
            <w:pPr>
              <w:keepNext/>
              <w:keepLines/>
              <w:tabs>
                <w:tab w:val="left" w:pos="-1440"/>
                <w:tab w:val="left" w:pos="-720"/>
              </w:tabs>
              <w:rPr>
                <w:sz w:val="20"/>
                <w:szCs w:val="20"/>
              </w:rPr>
            </w:pPr>
            <w:r w:rsidRPr="00A01888">
              <w:rPr>
                <w:sz w:val="20"/>
                <w:szCs w:val="20"/>
              </w:rPr>
              <w:tab/>
            </w:r>
            <w:r w:rsidR="00A01888">
              <w:rPr>
                <w:sz w:val="20"/>
                <w:szCs w:val="20"/>
              </w:rPr>
              <w:t>A.G. of Canada</w:t>
            </w:r>
          </w:p>
          <w:p w:rsidR="00A20911" w:rsidRPr="00A01888" w:rsidRDefault="00A20911" w:rsidP="00A20911">
            <w:pPr>
              <w:keepNext/>
              <w:keepLines/>
              <w:tabs>
                <w:tab w:val="left" w:pos="-1440"/>
                <w:tab w:val="left" w:pos="-720"/>
              </w:tabs>
              <w:rPr>
                <w:sz w:val="20"/>
                <w:szCs w:val="20"/>
              </w:rPr>
            </w:pPr>
          </w:p>
          <w:p w:rsidR="00A20911" w:rsidRPr="00A935AA" w:rsidRDefault="00A20911" w:rsidP="00A01888">
            <w:pPr>
              <w:rPr>
                <w:sz w:val="20"/>
                <w:szCs w:val="20"/>
              </w:rPr>
            </w:pPr>
            <w:r w:rsidRPr="00A935AA">
              <w:rPr>
                <w:sz w:val="20"/>
                <w:szCs w:val="20"/>
              </w:rPr>
              <w:t xml:space="preserve">FILING DATE: </w:t>
            </w:r>
            <w:r>
              <w:rPr>
                <w:sz w:val="20"/>
                <w:szCs w:val="20"/>
              </w:rPr>
              <w:t>1</w:t>
            </w:r>
            <w:r w:rsidR="00A01888">
              <w:rPr>
                <w:sz w:val="20"/>
                <w:szCs w:val="20"/>
              </w:rPr>
              <w:t>9</w:t>
            </w:r>
            <w:r w:rsidRPr="00A935AA">
              <w:rPr>
                <w:sz w:val="20"/>
                <w:szCs w:val="20"/>
              </w:rPr>
              <w:t>.0</w:t>
            </w:r>
            <w:r>
              <w:rPr>
                <w:sz w:val="20"/>
                <w:szCs w:val="20"/>
              </w:rPr>
              <w:t>2</w:t>
            </w:r>
            <w:r w:rsidRPr="00A935AA">
              <w:rPr>
                <w:sz w:val="20"/>
                <w:szCs w:val="20"/>
              </w:rPr>
              <w:t>.201</w:t>
            </w:r>
            <w:r>
              <w:rPr>
                <w:sz w:val="20"/>
                <w:szCs w:val="20"/>
              </w:rPr>
              <w:t>4</w:t>
            </w:r>
            <w:r w:rsidR="000C68D7">
              <w:rPr>
                <w:sz w:val="20"/>
                <w:szCs w:val="20"/>
                <w:lang w:val="fr-CA"/>
              </w:rPr>
              <w:pict>
                <v:rect id="_x0000_i1039" style="width:108pt;height:1pt" o:hrpct="0" o:hralign="center" o:hrstd="t" o:hrnoshade="t" o:hr="t" fillcolor="black [3213]" stroked="f"/>
              </w:pict>
            </w:r>
          </w:p>
        </w:tc>
      </w:tr>
    </w:tbl>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A2ECB">
          <w:headerReference w:type="default" r:id="rId17"/>
          <w:footerReference w:type="default" r:id="rId18"/>
          <w:headerReference w:type="first" r:id="rId19"/>
          <w:footerReference w:type="first" r:id="rId20"/>
          <w:pgSz w:w="12240" w:h="15840"/>
          <w:pgMar w:top="720" w:right="965" w:bottom="1080" w:left="1656" w:header="706" w:footer="706" w:gutter="0"/>
          <w:pgNumType w:start="38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C68D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M</w:t>
      </w:r>
      <w:r w:rsidR="00DA1FC5">
        <w:rPr>
          <w:b/>
          <w:sz w:val="20"/>
          <w:szCs w:val="20"/>
        </w:rPr>
        <w:t>A</w:t>
      </w:r>
      <w:r>
        <w:rPr>
          <w:b/>
          <w:sz w:val="20"/>
          <w:szCs w:val="20"/>
        </w:rPr>
        <w:t>R</w:t>
      </w:r>
      <w:r w:rsidR="00DA1FC5">
        <w:rPr>
          <w:b/>
          <w:sz w:val="20"/>
          <w:szCs w:val="20"/>
        </w:rPr>
        <w:t>CH</w:t>
      </w:r>
      <w:r w:rsidR="00F761A3">
        <w:rPr>
          <w:b/>
          <w:sz w:val="20"/>
          <w:szCs w:val="20"/>
        </w:rPr>
        <w:t xml:space="preserve"> </w:t>
      </w:r>
      <w:r>
        <w:rPr>
          <w:b/>
          <w:sz w:val="20"/>
          <w:szCs w:val="20"/>
        </w:rPr>
        <w:t>3</w:t>
      </w:r>
      <w:r w:rsidR="004B7F60" w:rsidRPr="00C50A5C">
        <w:rPr>
          <w:b/>
          <w:sz w:val="20"/>
          <w:szCs w:val="20"/>
        </w:rPr>
        <w:t>, 201</w:t>
      </w:r>
      <w:r w:rsidR="00DA1FC5">
        <w:rPr>
          <w:b/>
          <w:sz w:val="20"/>
          <w:szCs w:val="20"/>
        </w:rPr>
        <w:t>4</w:t>
      </w:r>
      <w:r w:rsidR="004B7F60" w:rsidRPr="00C50A5C">
        <w:rPr>
          <w:b/>
          <w:sz w:val="20"/>
          <w:szCs w:val="20"/>
        </w:rPr>
        <w:t xml:space="preserve"> / LE </w:t>
      </w:r>
      <w:r>
        <w:rPr>
          <w:b/>
          <w:sz w:val="20"/>
          <w:szCs w:val="20"/>
        </w:rPr>
        <w:t>3</w:t>
      </w:r>
      <w:r w:rsidR="004B7F60">
        <w:rPr>
          <w:b/>
          <w:sz w:val="20"/>
          <w:szCs w:val="20"/>
        </w:rPr>
        <w:t xml:space="preserve"> </w:t>
      </w:r>
      <w:r>
        <w:rPr>
          <w:b/>
          <w:sz w:val="20"/>
          <w:szCs w:val="20"/>
        </w:rPr>
        <w:t>M</w:t>
      </w:r>
      <w:r w:rsidR="00DA1FC5">
        <w:rPr>
          <w:b/>
          <w:sz w:val="20"/>
          <w:szCs w:val="20"/>
        </w:rPr>
        <w:t>A</w:t>
      </w:r>
      <w:r w:rsidR="004B7F60">
        <w:rPr>
          <w:b/>
          <w:sz w:val="20"/>
          <w:szCs w:val="20"/>
        </w:rPr>
        <w:t>R</w:t>
      </w:r>
      <w:r w:rsidR="00DA1FC5">
        <w:rPr>
          <w:b/>
          <w:sz w:val="20"/>
          <w:szCs w:val="20"/>
        </w:rPr>
        <w:t>S</w:t>
      </w:r>
      <w:r w:rsidR="004B7F60" w:rsidRPr="00C50A5C">
        <w:rPr>
          <w:b/>
          <w:sz w:val="20"/>
          <w:szCs w:val="20"/>
        </w:rPr>
        <w:t xml:space="preserve"> 201</w:t>
      </w:r>
      <w:r w:rsidR="00DA1FC5">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9C033E" w:rsidP="004B7F60">
      <w:pPr>
        <w:pStyle w:val="ListParagraph"/>
        <w:widowControl w:val="0"/>
        <w:numPr>
          <w:ilvl w:val="0"/>
          <w:numId w:val="1"/>
        </w:numPr>
        <w:ind w:hanging="720"/>
        <w:jc w:val="both"/>
        <w:rPr>
          <w:sz w:val="20"/>
          <w:szCs w:val="20"/>
        </w:rPr>
      </w:pPr>
      <w:r w:rsidRPr="009C033E">
        <w:rPr>
          <w:i/>
          <w:sz w:val="20"/>
          <w:szCs w:val="20"/>
        </w:rPr>
        <w:t>Her Majesty the Queen v. Davey Mato Butorac</w:t>
      </w:r>
      <w:r w:rsidRPr="009C033E">
        <w:rPr>
          <w:sz w:val="20"/>
          <w:szCs w:val="20"/>
        </w:rPr>
        <w:t xml:space="preserve"> (B.C.) (Crim.) (By Leave)</w:t>
      </w:r>
      <w:r w:rsidRPr="00C50A5C">
        <w:rPr>
          <w:sz w:val="20"/>
          <w:szCs w:val="20"/>
        </w:rPr>
        <w:t xml:space="preserve"> </w:t>
      </w:r>
      <w:r w:rsidR="004B7F60" w:rsidRPr="00C50A5C">
        <w:rPr>
          <w:sz w:val="20"/>
          <w:szCs w:val="20"/>
        </w:rPr>
        <w:t>(3</w:t>
      </w:r>
      <w:r>
        <w:rPr>
          <w:sz w:val="20"/>
          <w:szCs w:val="20"/>
        </w:rPr>
        <w:t>5638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C033E" w:rsidP="004B7F60">
      <w:pPr>
        <w:pStyle w:val="ListParagraph"/>
        <w:widowControl w:val="0"/>
        <w:numPr>
          <w:ilvl w:val="0"/>
          <w:numId w:val="1"/>
        </w:numPr>
        <w:ind w:hanging="720"/>
        <w:jc w:val="both"/>
        <w:rPr>
          <w:sz w:val="20"/>
          <w:szCs w:val="20"/>
        </w:rPr>
      </w:pPr>
      <w:r w:rsidRPr="009C033E">
        <w:rPr>
          <w:i/>
          <w:sz w:val="20"/>
          <w:szCs w:val="20"/>
        </w:rPr>
        <w:t>Boleslaw Tadeusz Szocik v. Attorney General of England and Wales</w:t>
      </w:r>
      <w:r w:rsidRPr="009C033E">
        <w:rPr>
          <w:sz w:val="20"/>
          <w:szCs w:val="20"/>
        </w:rPr>
        <w:t xml:space="preserve"> (B.C.) (Civil) (By Leave)</w:t>
      </w:r>
      <w:r w:rsidRPr="00C612D0">
        <w:rPr>
          <w:sz w:val="20"/>
          <w:szCs w:val="20"/>
        </w:rPr>
        <w:t xml:space="preserve"> </w:t>
      </w:r>
      <w:r w:rsidR="004B7F60" w:rsidRPr="00C612D0">
        <w:rPr>
          <w:sz w:val="20"/>
          <w:szCs w:val="20"/>
        </w:rPr>
        <w:t>(3</w:t>
      </w:r>
      <w:r>
        <w:rPr>
          <w:sz w:val="20"/>
          <w:szCs w:val="20"/>
        </w:rPr>
        <w:t>5645</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9C033E" w:rsidP="004B7F60">
      <w:pPr>
        <w:pStyle w:val="ListParagraph"/>
        <w:widowControl w:val="0"/>
        <w:numPr>
          <w:ilvl w:val="0"/>
          <w:numId w:val="1"/>
        </w:numPr>
        <w:ind w:hanging="720"/>
        <w:jc w:val="both"/>
        <w:rPr>
          <w:sz w:val="20"/>
          <w:szCs w:val="20"/>
        </w:rPr>
      </w:pPr>
      <w:r w:rsidRPr="009C033E">
        <w:rPr>
          <w:i/>
          <w:sz w:val="20"/>
          <w:szCs w:val="20"/>
        </w:rPr>
        <w:t>Scott Philip Lower v. William Hay</w:t>
      </w:r>
      <w:r w:rsidRPr="009C033E">
        <w:rPr>
          <w:sz w:val="20"/>
          <w:szCs w:val="20"/>
        </w:rPr>
        <w:t xml:space="preserve"> (B.C.) (Civil) (By Leave)</w:t>
      </w:r>
      <w:r w:rsidRPr="00940CAD">
        <w:rPr>
          <w:sz w:val="20"/>
          <w:szCs w:val="20"/>
        </w:rPr>
        <w:t xml:space="preserve"> </w:t>
      </w:r>
      <w:r w:rsidR="004B7F60" w:rsidRPr="00940CAD">
        <w:rPr>
          <w:sz w:val="20"/>
          <w:szCs w:val="20"/>
        </w:rPr>
        <w:t>(3</w:t>
      </w:r>
      <w:r>
        <w:rPr>
          <w:sz w:val="20"/>
          <w:szCs w:val="20"/>
        </w:rPr>
        <w:t>5</w:t>
      </w:r>
      <w:r w:rsidR="004B7F60" w:rsidRPr="00940CAD">
        <w:rPr>
          <w:sz w:val="20"/>
          <w:szCs w:val="20"/>
        </w:rPr>
        <w:t>6</w:t>
      </w:r>
      <w:r>
        <w:rPr>
          <w:sz w:val="20"/>
          <w:szCs w:val="20"/>
        </w:rPr>
        <w:t>04</w:t>
      </w:r>
      <w:r w:rsidR="004B7F60" w:rsidRPr="00940CAD">
        <w:rPr>
          <w:sz w:val="20"/>
          <w:szCs w:val="20"/>
        </w:rPr>
        <w:t>)</w:t>
      </w:r>
    </w:p>
    <w:p w:rsidR="004B7F60" w:rsidRDefault="004B7F60" w:rsidP="004B7F60">
      <w:pPr>
        <w:widowControl w:val="0"/>
        <w:rPr>
          <w:sz w:val="20"/>
          <w:szCs w:val="20"/>
        </w:rPr>
      </w:pPr>
    </w:p>
    <w:p w:rsidR="003363B3" w:rsidRDefault="003363B3" w:rsidP="004B7F60">
      <w:pPr>
        <w:widowControl w:val="0"/>
        <w:rPr>
          <w:sz w:val="20"/>
          <w:szCs w:val="20"/>
        </w:rPr>
      </w:pPr>
    </w:p>
    <w:p w:rsidR="003363B3" w:rsidRPr="00C50A5C" w:rsidRDefault="003363B3" w:rsidP="003363B3">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3363B3" w:rsidRPr="00C50A5C" w:rsidRDefault="003363B3" w:rsidP="003363B3">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3363B3" w:rsidRPr="003363B3" w:rsidRDefault="003363B3" w:rsidP="004B7F60">
      <w:pPr>
        <w:widowControl w:val="0"/>
        <w:rPr>
          <w:sz w:val="20"/>
          <w:szCs w:val="20"/>
          <w:lang w:val="fr-CA"/>
        </w:rPr>
      </w:pPr>
    </w:p>
    <w:p w:rsidR="004B7F60" w:rsidRPr="009C033E" w:rsidRDefault="009C033E" w:rsidP="004B7F60">
      <w:pPr>
        <w:pStyle w:val="ListParagraph"/>
        <w:widowControl w:val="0"/>
        <w:numPr>
          <w:ilvl w:val="0"/>
          <w:numId w:val="1"/>
        </w:numPr>
        <w:ind w:hanging="720"/>
        <w:jc w:val="both"/>
        <w:rPr>
          <w:sz w:val="20"/>
          <w:szCs w:val="20"/>
          <w:lang w:val="fr-CA"/>
        </w:rPr>
      </w:pPr>
      <w:r w:rsidRPr="009C033E">
        <w:rPr>
          <w:i/>
          <w:sz w:val="20"/>
          <w:szCs w:val="20"/>
          <w:lang w:val="fr-CA"/>
        </w:rPr>
        <w:t>Guy Turcotte c. Sa Majesté la Reine</w:t>
      </w:r>
      <w:r w:rsidRPr="009C033E">
        <w:rPr>
          <w:sz w:val="20"/>
          <w:szCs w:val="20"/>
          <w:lang w:val="fr-CA"/>
        </w:rPr>
        <w:t xml:space="preserve"> (Qc) (Crim.) (Autorisation) </w:t>
      </w:r>
      <w:r w:rsidR="004B7F60" w:rsidRPr="009C033E">
        <w:rPr>
          <w:sz w:val="20"/>
          <w:szCs w:val="20"/>
          <w:lang w:val="fr-CA"/>
        </w:rPr>
        <w:t>(3</w:t>
      </w:r>
      <w:r w:rsidRPr="009C033E">
        <w:rPr>
          <w:sz w:val="20"/>
          <w:szCs w:val="20"/>
          <w:lang w:val="fr-CA"/>
        </w:rPr>
        <w:t>5</w:t>
      </w:r>
      <w:r w:rsidR="004B7F60" w:rsidRPr="009C033E">
        <w:rPr>
          <w:sz w:val="20"/>
          <w:szCs w:val="20"/>
          <w:lang w:val="fr-CA"/>
        </w:rPr>
        <w:t>6</w:t>
      </w:r>
      <w:r w:rsidRPr="009C033E">
        <w:rPr>
          <w:sz w:val="20"/>
          <w:szCs w:val="20"/>
          <w:lang w:val="fr-CA"/>
        </w:rPr>
        <w:t>75</w:t>
      </w:r>
      <w:r w:rsidR="004B7F60" w:rsidRPr="009C033E">
        <w:rPr>
          <w:sz w:val="20"/>
          <w:szCs w:val="20"/>
          <w:lang w:val="fr-CA"/>
        </w:rPr>
        <w:t>)</w:t>
      </w:r>
    </w:p>
    <w:p w:rsidR="004B7F60" w:rsidRPr="00C16CB3" w:rsidRDefault="004B7F60" w:rsidP="004B7F60">
      <w:pPr>
        <w:widowControl w:val="0"/>
        <w:jc w:val="both"/>
        <w:rPr>
          <w:sz w:val="20"/>
          <w:szCs w:val="20"/>
          <w:lang w:val="fr-CA"/>
        </w:rPr>
      </w:pPr>
    </w:p>
    <w:p w:rsidR="004B7F60" w:rsidRPr="009C033E" w:rsidRDefault="009C033E" w:rsidP="004B7F60">
      <w:pPr>
        <w:pStyle w:val="ListParagraph"/>
        <w:widowControl w:val="0"/>
        <w:numPr>
          <w:ilvl w:val="0"/>
          <w:numId w:val="1"/>
        </w:numPr>
        <w:ind w:hanging="720"/>
        <w:jc w:val="both"/>
        <w:rPr>
          <w:sz w:val="20"/>
          <w:szCs w:val="20"/>
        </w:rPr>
      </w:pPr>
      <w:r w:rsidRPr="009C033E">
        <w:rPr>
          <w:i/>
          <w:sz w:val="20"/>
          <w:szCs w:val="20"/>
        </w:rPr>
        <w:t>Attorney General of Canada v. Anthony Barnaby</w:t>
      </w:r>
      <w:r w:rsidRPr="009C033E">
        <w:rPr>
          <w:sz w:val="20"/>
          <w:szCs w:val="20"/>
        </w:rPr>
        <w:t xml:space="preserve"> (Que.) (Crim.) (By Leave) </w:t>
      </w:r>
      <w:r w:rsidR="004B7F60" w:rsidRPr="009C033E">
        <w:rPr>
          <w:sz w:val="20"/>
          <w:szCs w:val="20"/>
        </w:rPr>
        <w:t>(3</w:t>
      </w:r>
      <w:r w:rsidRPr="009C033E">
        <w:rPr>
          <w:sz w:val="20"/>
          <w:szCs w:val="20"/>
        </w:rPr>
        <w:t>55</w:t>
      </w:r>
      <w:r w:rsidR="004B7F60" w:rsidRPr="009C033E">
        <w:rPr>
          <w:sz w:val="20"/>
          <w:szCs w:val="20"/>
        </w:rPr>
        <w:t>4</w:t>
      </w:r>
      <w:r w:rsidRPr="009C033E">
        <w:rPr>
          <w:sz w:val="20"/>
          <w:szCs w:val="20"/>
        </w:rPr>
        <w:t>8</w:t>
      </w:r>
      <w:r w:rsidR="004B7F60" w:rsidRPr="009C033E">
        <w:rPr>
          <w:sz w:val="20"/>
          <w:szCs w:val="20"/>
        </w:rPr>
        <w:t>)</w:t>
      </w:r>
    </w:p>
    <w:p w:rsidR="004B7F60" w:rsidRPr="009C033E" w:rsidRDefault="004B7F60" w:rsidP="004B7F60">
      <w:pPr>
        <w:widowControl w:val="0"/>
        <w:rPr>
          <w:i/>
          <w:sz w:val="20"/>
          <w:szCs w:val="20"/>
        </w:rPr>
      </w:pPr>
    </w:p>
    <w:p w:rsidR="004B7F60" w:rsidRPr="00115C9E" w:rsidRDefault="009C033E" w:rsidP="004B7F60">
      <w:pPr>
        <w:pStyle w:val="ListParagraph"/>
        <w:widowControl w:val="0"/>
        <w:numPr>
          <w:ilvl w:val="0"/>
          <w:numId w:val="1"/>
        </w:numPr>
        <w:ind w:hanging="720"/>
        <w:jc w:val="both"/>
        <w:rPr>
          <w:sz w:val="20"/>
          <w:szCs w:val="20"/>
          <w:lang w:val="fr-CA"/>
        </w:rPr>
      </w:pPr>
      <w:r w:rsidRPr="009C033E">
        <w:rPr>
          <w:i/>
          <w:sz w:val="20"/>
          <w:szCs w:val="20"/>
          <w:lang w:val="fr-CA"/>
        </w:rPr>
        <w:t>L</w:t>
      </w:r>
      <w:r>
        <w:rPr>
          <w:i/>
          <w:sz w:val="20"/>
          <w:szCs w:val="20"/>
          <w:lang w:val="fr-CA"/>
        </w:rPr>
        <w:t>’</w:t>
      </w:r>
      <w:r w:rsidRPr="009C033E">
        <w:rPr>
          <w:i/>
          <w:sz w:val="20"/>
          <w:szCs w:val="20"/>
          <w:lang w:val="fr-CA"/>
        </w:rPr>
        <w:t>Association des parents de l</w:t>
      </w:r>
      <w:r>
        <w:rPr>
          <w:i/>
          <w:sz w:val="20"/>
          <w:szCs w:val="20"/>
          <w:lang w:val="fr-CA"/>
        </w:rPr>
        <w:t>’</w:t>
      </w:r>
      <w:r w:rsidRPr="009C033E">
        <w:rPr>
          <w:i/>
          <w:sz w:val="20"/>
          <w:szCs w:val="20"/>
          <w:lang w:val="fr-CA"/>
        </w:rPr>
        <w:t>école Rose-des-vents et autres c. Ministère de l</w:t>
      </w:r>
      <w:r>
        <w:rPr>
          <w:i/>
          <w:sz w:val="20"/>
          <w:szCs w:val="20"/>
          <w:lang w:val="fr-CA"/>
        </w:rPr>
        <w:t>’</w:t>
      </w:r>
      <w:r w:rsidRPr="009C033E">
        <w:rPr>
          <w:i/>
          <w:sz w:val="20"/>
          <w:szCs w:val="20"/>
          <w:lang w:val="fr-CA"/>
        </w:rPr>
        <w:t xml:space="preserve">Éducation de la province de la Colombie-Britannique et autres </w:t>
      </w:r>
      <w:r w:rsidRPr="009C033E">
        <w:rPr>
          <w:sz w:val="20"/>
          <w:szCs w:val="20"/>
          <w:lang w:val="fr-CA"/>
        </w:rPr>
        <w:t>(C.-B.) (Civile) (Autorisation)</w:t>
      </w:r>
      <w:r w:rsidRPr="00115C9E">
        <w:rPr>
          <w:sz w:val="20"/>
          <w:szCs w:val="20"/>
          <w:lang w:val="fr-CA"/>
        </w:rPr>
        <w:t xml:space="preserve"> </w:t>
      </w:r>
      <w:r w:rsidR="004B7F60" w:rsidRPr="00115C9E">
        <w:rPr>
          <w:sz w:val="20"/>
          <w:szCs w:val="20"/>
          <w:lang w:val="fr-CA"/>
        </w:rPr>
        <w:t>(35</w:t>
      </w:r>
      <w:r>
        <w:rPr>
          <w:sz w:val="20"/>
          <w:szCs w:val="20"/>
          <w:lang w:val="fr-CA"/>
        </w:rPr>
        <w:t>619</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9C033E" w:rsidP="004B7F60">
      <w:pPr>
        <w:pStyle w:val="ListParagraph"/>
        <w:widowControl w:val="0"/>
        <w:numPr>
          <w:ilvl w:val="0"/>
          <w:numId w:val="1"/>
        </w:numPr>
        <w:ind w:hanging="720"/>
        <w:jc w:val="both"/>
        <w:rPr>
          <w:sz w:val="20"/>
          <w:szCs w:val="20"/>
          <w:lang w:val="fr-CA"/>
        </w:rPr>
      </w:pPr>
      <w:r w:rsidRPr="009C033E">
        <w:rPr>
          <w:i/>
          <w:sz w:val="20"/>
          <w:szCs w:val="20"/>
          <w:lang w:val="fr-CA"/>
        </w:rPr>
        <w:t>Yves Leroy c. Fédération compagnie d</w:t>
      </w:r>
      <w:r w:rsidR="00C9292F">
        <w:rPr>
          <w:i/>
          <w:sz w:val="20"/>
          <w:szCs w:val="20"/>
          <w:lang w:val="fr-CA"/>
        </w:rPr>
        <w:t>’</w:t>
      </w:r>
      <w:r w:rsidRPr="009C033E">
        <w:rPr>
          <w:i/>
          <w:sz w:val="20"/>
          <w:szCs w:val="20"/>
          <w:lang w:val="fr-CA"/>
        </w:rPr>
        <w:t>assurance du Canada</w:t>
      </w:r>
      <w:r w:rsidRPr="009C033E">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721</w:t>
      </w:r>
      <w:r w:rsidR="004B7F60" w:rsidRPr="00115C9E">
        <w:rPr>
          <w:sz w:val="20"/>
          <w:szCs w:val="20"/>
          <w:lang w:val="fr-CA"/>
        </w:rPr>
        <w:t>)</w:t>
      </w:r>
    </w:p>
    <w:p w:rsidR="004B7F60" w:rsidRDefault="004B7F60" w:rsidP="004B7F60">
      <w:pPr>
        <w:widowControl w:val="0"/>
        <w:jc w:val="both"/>
        <w:rPr>
          <w:sz w:val="20"/>
          <w:szCs w:val="20"/>
          <w:lang w:val="fr-CA"/>
        </w:rPr>
      </w:pPr>
    </w:p>
    <w:p w:rsidR="003363B3" w:rsidRDefault="003363B3" w:rsidP="004B7F60">
      <w:pPr>
        <w:widowControl w:val="0"/>
        <w:jc w:val="both"/>
        <w:rPr>
          <w:sz w:val="20"/>
          <w:szCs w:val="20"/>
          <w:lang w:val="fr-CA"/>
        </w:rPr>
      </w:pPr>
    </w:p>
    <w:p w:rsidR="003363B3" w:rsidRPr="00C50A5C" w:rsidRDefault="003363B3" w:rsidP="003363B3">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3363B3" w:rsidRPr="00C50A5C" w:rsidRDefault="003363B3" w:rsidP="003363B3">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3363B3" w:rsidRPr="00115C9E" w:rsidRDefault="003363B3" w:rsidP="004B7F60">
      <w:pPr>
        <w:widowControl w:val="0"/>
        <w:jc w:val="both"/>
        <w:rPr>
          <w:sz w:val="20"/>
          <w:szCs w:val="20"/>
          <w:lang w:val="fr-CA"/>
        </w:rPr>
      </w:pPr>
    </w:p>
    <w:p w:rsidR="004B7F60" w:rsidRPr="009C033E" w:rsidRDefault="009C033E" w:rsidP="004B7F60">
      <w:pPr>
        <w:pStyle w:val="ListParagraph"/>
        <w:widowControl w:val="0"/>
        <w:numPr>
          <w:ilvl w:val="0"/>
          <w:numId w:val="1"/>
        </w:numPr>
        <w:ind w:hanging="720"/>
        <w:jc w:val="both"/>
        <w:rPr>
          <w:sz w:val="20"/>
          <w:szCs w:val="20"/>
        </w:rPr>
      </w:pPr>
      <w:r w:rsidRPr="009C033E">
        <w:rPr>
          <w:i/>
          <w:sz w:val="20"/>
          <w:szCs w:val="20"/>
        </w:rPr>
        <w:t>MUR Shipping BV v. Byatt International S.A. et al.</w:t>
      </w:r>
      <w:r w:rsidRPr="009C033E">
        <w:rPr>
          <w:sz w:val="20"/>
          <w:szCs w:val="20"/>
        </w:rPr>
        <w:t xml:space="preserve"> (B.C.) (Civil) (By Leave) </w:t>
      </w:r>
      <w:r w:rsidR="004B7F60" w:rsidRPr="009C033E">
        <w:rPr>
          <w:sz w:val="20"/>
          <w:szCs w:val="20"/>
        </w:rPr>
        <w:t>(3</w:t>
      </w:r>
      <w:r w:rsidRPr="009C033E">
        <w:rPr>
          <w:sz w:val="20"/>
          <w:szCs w:val="20"/>
        </w:rPr>
        <w:t>56</w:t>
      </w:r>
      <w:r w:rsidR="004B7F60" w:rsidRPr="009C033E">
        <w:rPr>
          <w:sz w:val="20"/>
          <w:szCs w:val="20"/>
        </w:rPr>
        <w:t>41)</w:t>
      </w:r>
    </w:p>
    <w:p w:rsidR="004B7F60" w:rsidRPr="009C033E" w:rsidRDefault="004B7F60" w:rsidP="004B7F60">
      <w:pPr>
        <w:widowControl w:val="0"/>
        <w:rPr>
          <w:sz w:val="20"/>
          <w:szCs w:val="20"/>
        </w:rPr>
      </w:pPr>
    </w:p>
    <w:p w:rsidR="004B7F60" w:rsidRPr="009C033E" w:rsidRDefault="009C033E" w:rsidP="004B7F60">
      <w:pPr>
        <w:pStyle w:val="ListParagraph"/>
        <w:widowControl w:val="0"/>
        <w:numPr>
          <w:ilvl w:val="0"/>
          <w:numId w:val="1"/>
        </w:numPr>
        <w:ind w:hanging="720"/>
        <w:jc w:val="both"/>
        <w:rPr>
          <w:sz w:val="20"/>
          <w:szCs w:val="20"/>
        </w:rPr>
      </w:pPr>
      <w:r w:rsidRPr="009C033E">
        <w:rPr>
          <w:i/>
          <w:sz w:val="20"/>
          <w:szCs w:val="20"/>
        </w:rPr>
        <w:t>Helen Laidman v. Estate of Melba Burnet</w:t>
      </w:r>
      <w:r w:rsidRPr="009C033E">
        <w:rPr>
          <w:sz w:val="20"/>
          <w:szCs w:val="20"/>
        </w:rPr>
        <w:t xml:space="preserve"> (Ont.) (Civil) (By Leave) </w:t>
      </w:r>
      <w:r w:rsidR="004B7F60" w:rsidRPr="009C033E">
        <w:rPr>
          <w:sz w:val="20"/>
          <w:szCs w:val="20"/>
        </w:rPr>
        <w:t>(3</w:t>
      </w:r>
      <w:r w:rsidRPr="009C033E">
        <w:rPr>
          <w:sz w:val="20"/>
          <w:szCs w:val="20"/>
        </w:rPr>
        <w:t>569</w:t>
      </w:r>
      <w:r w:rsidR="004B7F60" w:rsidRPr="009C033E">
        <w:rPr>
          <w:sz w:val="20"/>
          <w:szCs w:val="20"/>
        </w:rPr>
        <w:t>4)</w:t>
      </w:r>
    </w:p>
    <w:p w:rsidR="004B7F60" w:rsidRPr="009C033E" w:rsidRDefault="004B7F60" w:rsidP="004B7F60">
      <w:pPr>
        <w:widowControl w:val="0"/>
        <w:jc w:val="both"/>
        <w:rPr>
          <w:sz w:val="20"/>
          <w:szCs w:val="20"/>
        </w:rPr>
      </w:pPr>
    </w:p>
    <w:p w:rsidR="004B7F60" w:rsidRPr="00115C9E" w:rsidRDefault="009C033E" w:rsidP="004B7F60">
      <w:pPr>
        <w:pStyle w:val="ListParagraph"/>
        <w:widowControl w:val="0"/>
        <w:numPr>
          <w:ilvl w:val="0"/>
          <w:numId w:val="1"/>
        </w:numPr>
        <w:ind w:hanging="720"/>
        <w:jc w:val="both"/>
        <w:rPr>
          <w:sz w:val="20"/>
          <w:szCs w:val="20"/>
        </w:rPr>
      </w:pPr>
      <w:r w:rsidRPr="009C033E">
        <w:rPr>
          <w:i/>
          <w:sz w:val="20"/>
          <w:szCs w:val="20"/>
        </w:rPr>
        <w:t>Derek Wyatt Crowther et al. v. Her Majesty the Queen</w:t>
      </w:r>
      <w:r w:rsidRPr="009C033E">
        <w:rPr>
          <w:sz w:val="20"/>
          <w:szCs w:val="20"/>
        </w:rPr>
        <w:t xml:space="preserve"> (B.C.) (Crim.) (By Leave)</w:t>
      </w:r>
      <w:r w:rsidRPr="00115C9E">
        <w:rPr>
          <w:sz w:val="20"/>
          <w:szCs w:val="20"/>
        </w:rPr>
        <w:t xml:space="preserve"> </w:t>
      </w:r>
      <w:r w:rsidR="004B7F60" w:rsidRPr="00115C9E">
        <w:rPr>
          <w:sz w:val="20"/>
          <w:szCs w:val="20"/>
        </w:rPr>
        <w:t>(3</w:t>
      </w:r>
      <w:r>
        <w:rPr>
          <w:sz w:val="20"/>
          <w:szCs w:val="20"/>
        </w:rPr>
        <w:t>566</w:t>
      </w:r>
      <w:r w:rsidR="004B7F60" w:rsidRPr="00115C9E">
        <w:rPr>
          <w:sz w:val="20"/>
          <w:szCs w:val="20"/>
        </w:rPr>
        <w:t>0)</w:t>
      </w:r>
    </w:p>
    <w:p w:rsidR="002E2327" w:rsidRPr="009C033E" w:rsidRDefault="002E2327" w:rsidP="002E2327">
      <w:pPr>
        <w:widowControl w:val="0"/>
        <w:rPr>
          <w:sz w:val="20"/>
          <w:szCs w:val="20"/>
        </w:rPr>
      </w:pPr>
    </w:p>
    <w:p w:rsidR="002E2327" w:rsidRDefault="000C68D7" w:rsidP="002E2327">
      <w:pPr>
        <w:widowControl w:val="0"/>
        <w:rPr>
          <w:sz w:val="20"/>
          <w:szCs w:val="20"/>
        </w:rPr>
      </w:pPr>
      <w:r>
        <w:rPr>
          <w:sz w:val="20"/>
          <w:szCs w:val="20"/>
        </w:rPr>
        <w:pict>
          <v:rect id="_x0000_i1042" style="width:2in;height:1pt" o:hrpct="0" o:hralign="center" o:hrstd="t" o:hrnoshade="t" o:hr="t" fillcolor="black [3213]" stroked="f"/>
        </w:pict>
      </w:r>
    </w:p>
    <w:p w:rsidR="00D94028" w:rsidRDefault="00D94028" w:rsidP="002E2327">
      <w:pPr>
        <w:widowControl w:val="0"/>
        <w:rPr>
          <w:sz w:val="20"/>
          <w:szCs w:val="20"/>
        </w:rPr>
      </w:pPr>
    </w:p>
    <w:p w:rsidR="009C033E" w:rsidRPr="009C033E" w:rsidRDefault="009C033E" w:rsidP="009C033E">
      <w:pPr>
        <w:widowControl w:val="0"/>
        <w:rPr>
          <w:sz w:val="20"/>
          <w:szCs w:val="20"/>
          <w:lang w:val="fr-CA"/>
        </w:rPr>
      </w:pPr>
    </w:p>
    <w:p w:rsidR="00D94028" w:rsidRDefault="00D94028" w:rsidP="009C033E">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C68D7"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Pr>
          <w:b/>
          <w:sz w:val="20"/>
          <w:szCs w:val="20"/>
        </w:rPr>
        <w:t>M</w:t>
      </w:r>
      <w:r w:rsidRPr="00C50A5C">
        <w:rPr>
          <w:b/>
          <w:sz w:val="20"/>
          <w:szCs w:val="20"/>
        </w:rPr>
        <w:t>A</w:t>
      </w:r>
      <w:r w:rsidR="00346867">
        <w:rPr>
          <w:b/>
          <w:sz w:val="20"/>
          <w:szCs w:val="20"/>
        </w:rPr>
        <w:t>RCH</w:t>
      </w:r>
      <w:r w:rsidRPr="00C50A5C">
        <w:rPr>
          <w:b/>
          <w:sz w:val="20"/>
          <w:szCs w:val="20"/>
        </w:rPr>
        <w:t xml:space="preserve"> </w:t>
      </w:r>
      <w:r w:rsidR="00346867">
        <w:rPr>
          <w:b/>
          <w:sz w:val="20"/>
          <w:szCs w:val="20"/>
        </w:rPr>
        <w:t>6</w:t>
      </w:r>
      <w:r w:rsidRPr="00C50A5C">
        <w:rPr>
          <w:b/>
          <w:sz w:val="20"/>
          <w:szCs w:val="20"/>
        </w:rPr>
        <w:t>, 201</w:t>
      </w:r>
      <w:r w:rsidR="00346867">
        <w:rPr>
          <w:b/>
          <w:sz w:val="20"/>
          <w:szCs w:val="20"/>
        </w:rPr>
        <w:t>4</w:t>
      </w:r>
      <w:r w:rsidRPr="00C50A5C">
        <w:rPr>
          <w:b/>
          <w:sz w:val="20"/>
          <w:szCs w:val="20"/>
        </w:rPr>
        <w:t xml:space="preserve"> / LE </w:t>
      </w:r>
      <w:r w:rsidR="00346867">
        <w:rPr>
          <w:b/>
          <w:sz w:val="20"/>
          <w:szCs w:val="20"/>
        </w:rPr>
        <w:t>6</w:t>
      </w:r>
      <w:r w:rsidRPr="00C50A5C">
        <w:rPr>
          <w:b/>
          <w:sz w:val="20"/>
          <w:szCs w:val="20"/>
        </w:rPr>
        <w:t xml:space="preserve"> </w:t>
      </w:r>
      <w:r>
        <w:rPr>
          <w:b/>
          <w:sz w:val="20"/>
          <w:szCs w:val="20"/>
        </w:rPr>
        <w:t>M</w:t>
      </w:r>
      <w:r w:rsidRPr="00C50A5C">
        <w:rPr>
          <w:b/>
          <w:sz w:val="20"/>
          <w:szCs w:val="20"/>
        </w:rPr>
        <w:t>A</w:t>
      </w:r>
      <w:r w:rsidR="00346867">
        <w:rPr>
          <w:b/>
          <w:sz w:val="20"/>
          <w:szCs w:val="20"/>
        </w:rPr>
        <w:t>RS</w:t>
      </w:r>
      <w:r w:rsidRPr="00C50A5C">
        <w:rPr>
          <w:b/>
          <w:sz w:val="20"/>
          <w:szCs w:val="20"/>
        </w:rPr>
        <w:t xml:space="preserve"> 201</w:t>
      </w:r>
      <w:r w:rsidR="00346867">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C7FCC" w:rsidRPr="00D1119A" w:rsidTr="00C5390A">
        <w:trPr>
          <w:cantSplit/>
        </w:trPr>
        <w:tc>
          <w:tcPr>
            <w:tcW w:w="1458" w:type="dxa"/>
          </w:tcPr>
          <w:p w:rsidR="001C7FCC" w:rsidRPr="00D1119A" w:rsidRDefault="001C7FCC" w:rsidP="00C5390A">
            <w:pPr>
              <w:rPr>
                <w:sz w:val="20"/>
                <w:szCs w:val="20"/>
              </w:rPr>
            </w:pPr>
            <w:r w:rsidRPr="00D1119A">
              <w:rPr>
                <w:rStyle w:val="SCCFileNumberChar"/>
                <w:sz w:val="20"/>
                <w:szCs w:val="20"/>
              </w:rPr>
              <w:t>35605</w:t>
            </w:r>
          </w:p>
          <w:p w:rsidR="001C7FCC" w:rsidRPr="00D1119A" w:rsidRDefault="001C7FCC" w:rsidP="00C5390A">
            <w:pPr>
              <w:rPr>
                <w:b/>
                <w:sz w:val="20"/>
                <w:szCs w:val="20"/>
                <w:lang w:val="fr-CA"/>
              </w:rPr>
            </w:pPr>
          </w:p>
        </w:tc>
        <w:tc>
          <w:tcPr>
            <w:tcW w:w="8118" w:type="dxa"/>
          </w:tcPr>
          <w:p w:rsidR="001C7FCC" w:rsidRPr="00D1119A" w:rsidRDefault="001C7FCC" w:rsidP="00C5390A">
            <w:pPr>
              <w:jc w:val="both"/>
              <w:rPr>
                <w:sz w:val="20"/>
                <w:szCs w:val="20"/>
              </w:rPr>
            </w:pPr>
            <w:r w:rsidRPr="001C7FCC">
              <w:rPr>
                <w:rStyle w:val="SCCLsocChar"/>
                <w:sz w:val="20"/>
                <w:szCs w:val="20"/>
                <w:lang w:val="en-CA"/>
              </w:rPr>
              <w:t>Jameel Mohammed v. Richard Goodship and Canmills Consultants Ltd.</w:t>
            </w:r>
            <w:r w:rsidRPr="00D1119A">
              <w:rPr>
                <w:sz w:val="20"/>
                <w:szCs w:val="20"/>
              </w:rPr>
              <w:t xml:space="preserve"> (Ont.) (Civil) (By Leave)</w:t>
            </w:r>
          </w:p>
          <w:p w:rsidR="001C7FCC" w:rsidRPr="00D1119A" w:rsidRDefault="001C7FCC" w:rsidP="00C5390A">
            <w:pPr>
              <w:jc w:val="both"/>
              <w:rPr>
                <w:sz w:val="20"/>
                <w:szCs w:val="20"/>
              </w:rPr>
            </w:pPr>
          </w:p>
        </w:tc>
      </w:tr>
      <w:tr w:rsidR="001C7FCC" w:rsidRPr="00D1119A" w:rsidTr="00C5390A">
        <w:trPr>
          <w:cantSplit/>
        </w:trPr>
        <w:tc>
          <w:tcPr>
            <w:tcW w:w="1458" w:type="dxa"/>
          </w:tcPr>
          <w:p w:rsidR="001C7FCC" w:rsidRPr="00D1119A" w:rsidRDefault="001C7FCC" w:rsidP="00C5390A">
            <w:pPr>
              <w:rPr>
                <w:sz w:val="20"/>
                <w:szCs w:val="20"/>
              </w:rPr>
            </w:pPr>
            <w:r w:rsidRPr="00D1119A">
              <w:rPr>
                <w:sz w:val="20"/>
                <w:szCs w:val="20"/>
              </w:rPr>
              <w:t>Coram :</w:t>
            </w:r>
          </w:p>
        </w:tc>
        <w:tc>
          <w:tcPr>
            <w:tcW w:w="8118" w:type="dxa"/>
          </w:tcPr>
          <w:p w:rsidR="001C7FCC" w:rsidRPr="00D1119A" w:rsidRDefault="001C7FCC" w:rsidP="00C5390A">
            <w:pPr>
              <w:rPr>
                <w:sz w:val="20"/>
                <w:szCs w:val="20"/>
              </w:rPr>
            </w:pPr>
            <w:r w:rsidRPr="001C7FCC">
              <w:rPr>
                <w:rStyle w:val="SCCCoramChar"/>
                <w:sz w:val="20"/>
                <w:szCs w:val="20"/>
                <w:lang w:val="en-CA"/>
              </w:rPr>
              <w:t>Abella, Rothstein and Moldaver JJ.</w:t>
            </w:r>
          </w:p>
          <w:p w:rsidR="001C7FCC" w:rsidRPr="00D1119A" w:rsidRDefault="001C7FCC" w:rsidP="00C5390A">
            <w:pPr>
              <w:rPr>
                <w:sz w:val="20"/>
                <w:szCs w:val="20"/>
                <w:u w:val="single"/>
              </w:rPr>
            </w:pPr>
          </w:p>
        </w:tc>
      </w:tr>
      <w:tr w:rsidR="001C7FCC" w:rsidRPr="000C68D7" w:rsidTr="00C5390A">
        <w:trPr>
          <w:cantSplit/>
        </w:trPr>
        <w:tc>
          <w:tcPr>
            <w:tcW w:w="9576" w:type="dxa"/>
            <w:gridSpan w:val="2"/>
          </w:tcPr>
          <w:p w:rsidR="001C7FCC" w:rsidRPr="00D1119A" w:rsidRDefault="001C7FCC" w:rsidP="00C5390A">
            <w:pPr>
              <w:pStyle w:val="SCCShortJudgment"/>
              <w:rPr>
                <w:szCs w:val="20"/>
              </w:rPr>
            </w:pPr>
            <w:r w:rsidRPr="00D1119A">
              <w:rPr>
                <w:szCs w:val="20"/>
              </w:rPr>
              <w:t>The motion for an extension of time to serve and file the application for leave to appeal is dismissed with costs.  In any event, had such motion been granted, the application for leave to appeal from the judgment of the Court of Appeal for Ontario, Number C55171, dated April 18, 2013, would have been dismissed.</w:t>
            </w:r>
          </w:p>
          <w:p w:rsidR="001C7FCC" w:rsidRPr="00D1119A" w:rsidRDefault="001C7FCC" w:rsidP="00C5390A">
            <w:pPr>
              <w:pStyle w:val="SCCShortJudgment"/>
              <w:ind w:firstLine="0"/>
              <w:rPr>
                <w:szCs w:val="20"/>
              </w:rPr>
            </w:pPr>
          </w:p>
          <w:p w:rsidR="001C7FCC" w:rsidRPr="00D1119A" w:rsidRDefault="001C7FCC" w:rsidP="00C5390A">
            <w:pPr>
              <w:pStyle w:val="SCCShortJudgment"/>
              <w:rPr>
                <w:szCs w:val="20"/>
                <w:lang w:val="fr-CA"/>
              </w:rPr>
            </w:pPr>
            <w:r w:rsidRPr="00D1119A">
              <w:rPr>
                <w:szCs w:val="20"/>
                <w:lang w:val="fr-CA"/>
              </w:rPr>
              <w:t>La requête en prorogation du délai de signification et de dépôt de la demande d’autorisation d’appel est rejetée avec dépens.  Quoi qu’il en soit, même si la requête avait été accueillie, la demande d’autorisation d’appel de l’arrêt de la Cour d’appel de l’Ontario, numéro C55171, daté du 18 avril 2013, aurait été rejetée.</w:t>
            </w:r>
          </w:p>
        </w:tc>
      </w:tr>
    </w:tbl>
    <w:p w:rsidR="00346867" w:rsidRPr="001C7FCC" w:rsidRDefault="00346867" w:rsidP="000E2959">
      <w:pPr>
        <w:rPr>
          <w:sz w:val="20"/>
          <w:szCs w:val="20"/>
          <w:lang w:val="fr-CA"/>
        </w:rPr>
      </w:pPr>
    </w:p>
    <w:p w:rsidR="00346867" w:rsidRPr="001B157C" w:rsidRDefault="00346867" w:rsidP="00346867">
      <w:pPr>
        <w:rPr>
          <w:sz w:val="20"/>
          <w:szCs w:val="20"/>
          <w:u w:val="single"/>
        </w:rPr>
      </w:pPr>
      <w:r w:rsidRPr="001B157C">
        <w:rPr>
          <w:sz w:val="20"/>
          <w:szCs w:val="20"/>
          <w:u w:val="single"/>
        </w:rPr>
        <w:t>CASE SUMMARY</w:t>
      </w:r>
    </w:p>
    <w:p w:rsidR="00346867" w:rsidRDefault="00346867" w:rsidP="0034686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CF167D" w:rsidTr="00A20911">
        <w:tc>
          <w:tcPr>
            <w:tcW w:w="5000" w:type="pct"/>
            <w:gridSpan w:val="3"/>
          </w:tcPr>
          <w:p w:rsidR="00A918CE" w:rsidRPr="00CF167D" w:rsidRDefault="00A918CE" w:rsidP="00A20911">
            <w:pPr>
              <w:jc w:val="both"/>
              <w:rPr>
                <w:rFonts w:eastAsia="Calibri"/>
                <w:sz w:val="20"/>
                <w:szCs w:val="20"/>
              </w:rPr>
            </w:pPr>
            <w:r w:rsidRPr="00CF167D">
              <w:rPr>
                <w:rFonts w:eastAsia="Calibri"/>
                <w:i/>
                <w:sz w:val="20"/>
                <w:szCs w:val="20"/>
              </w:rPr>
              <w:t>Charter of Rights</w:t>
            </w:r>
            <w:r w:rsidRPr="00CF167D">
              <w:rPr>
                <w:rFonts w:eastAsia="Calibri"/>
                <w:sz w:val="20"/>
                <w:szCs w:val="20"/>
              </w:rPr>
              <w:t xml:space="preserve"> – Cruel and unusual treatment or punishment – Judgments and orders – Declaratory judgments – Applicant declared vexatious litigant pursuant to s. 140 of the </w:t>
            </w:r>
            <w:r w:rsidRPr="00CF167D">
              <w:rPr>
                <w:rFonts w:eastAsia="Calibri"/>
                <w:i/>
                <w:sz w:val="20"/>
                <w:szCs w:val="20"/>
              </w:rPr>
              <w:t>Court of Justice Act</w:t>
            </w:r>
            <w:r w:rsidRPr="00CF167D">
              <w:rPr>
                <w:rFonts w:eastAsia="Calibri"/>
                <w:sz w:val="20"/>
                <w:szCs w:val="20"/>
              </w:rPr>
              <w:t xml:space="preserve">, R.S.O. 1990, c. C.43 after commencing several actions, motions and appeals – Court order precluding applicant from bringing subsequent proceedings without leave – Whether endorsement was unreasonable and unjust, and amounted to a miscarriage of justice –  Whether endorsement violated rights under ss. 7 and 12 of the </w:t>
            </w:r>
            <w:r w:rsidRPr="00CF167D">
              <w:rPr>
                <w:rFonts w:eastAsia="Calibri"/>
                <w:i/>
                <w:sz w:val="20"/>
                <w:szCs w:val="20"/>
              </w:rPr>
              <w:t>Charter.</w:t>
            </w:r>
          </w:p>
        </w:tc>
      </w:tr>
      <w:tr w:rsidR="00A918CE" w:rsidRPr="00CF167D" w:rsidTr="00A20911">
        <w:tc>
          <w:tcPr>
            <w:tcW w:w="5000" w:type="pct"/>
            <w:gridSpan w:val="3"/>
          </w:tcPr>
          <w:p w:rsidR="00A918CE" w:rsidRPr="00CF167D" w:rsidRDefault="00A918CE" w:rsidP="00A20911">
            <w:pPr>
              <w:jc w:val="both"/>
              <w:rPr>
                <w:rFonts w:eastAsia="Calibri"/>
                <w:sz w:val="20"/>
                <w:szCs w:val="20"/>
              </w:rPr>
            </w:pPr>
          </w:p>
        </w:tc>
      </w:tr>
      <w:tr w:rsidR="00A918CE" w:rsidRPr="00CF167D" w:rsidTr="00A20911">
        <w:tc>
          <w:tcPr>
            <w:tcW w:w="5000" w:type="pct"/>
            <w:gridSpan w:val="3"/>
          </w:tcPr>
          <w:p w:rsidR="00A918CE" w:rsidRPr="00CF167D" w:rsidRDefault="00A918CE" w:rsidP="00A20911">
            <w:pPr>
              <w:jc w:val="both"/>
              <w:rPr>
                <w:rFonts w:eastAsia="Calibri"/>
                <w:sz w:val="20"/>
                <w:szCs w:val="20"/>
              </w:rPr>
            </w:pPr>
            <w:r w:rsidRPr="00CF167D">
              <w:rPr>
                <w:rFonts w:eastAsia="Calibri"/>
                <w:sz w:val="20"/>
                <w:szCs w:val="20"/>
              </w:rPr>
              <w:t>In 2004, Mr. Mohammed commenced an action against the respondents, who investigated the circumstances of fire that occurred in his home.  In other related proceedings, he was declared a vexatious litigant and was precluded from bringing any legal action without leave of the court. Despite this order, the matter against the respondents went to trial before a jury.  The applicant lost his case.  He brought several unsuccessful applications seeking leave to appeal the jury verdict.</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July 25, 2013</w:t>
            </w:r>
          </w:p>
          <w:p w:rsidR="00A918CE" w:rsidRPr="00CF167D" w:rsidRDefault="00A918CE" w:rsidP="00A20911">
            <w:pPr>
              <w:jc w:val="both"/>
              <w:rPr>
                <w:rFonts w:eastAsia="Calibri"/>
                <w:sz w:val="20"/>
                <w:szCs w:val="20"/>
              </w:rPr>
            </w:pPr>
            <w:r w:rsidRPr="00CF167D">
              <w:rPr>
                <w:rFonts w:eastAsia="Calibri"/>
                <w:sz w:val="20"/>
                <w:szCs w:val="20"/>
              </w:rPr>
              <w:t>Superior Court of Justice for Ontario</w:t>
            </w:r>
          </w:p>
          <w:p w:rsidR="00A918CE" w:rsidRPr="00CF167D" w:rsidRDefault="00A918CE" w:rsidP="00A20911">
            <w:pPr>
              <w:jc w:val="both"/>
              <w:rPr>
                <w:rFonts w:eastAsia="Calibri"/>
                <w:sz w:val="20"/>
                <w:szCs w:val="20"/>
              </w:rPr>
            </w:pPr>
            <w:r w:rsidRPr="00CF167D">
              <w:rPr>
                <w:rFonts w:eastAsia="Calibri"/>
                <w:sz w:val="20"/>
                <w:szCs w:val="20"/>
              </w:rPr>
              <w:t>(Wilson J.)</w:t>
            </w:r>
          </w:p>
          <w:p w:rsidR="00A918CE" w:rsidRPr="00CF167D" w:rsidRDefault="00A918CE" w:rsidP="00A20911">
            <w:pPr>
              <w:jc w:val="both"/>
              <w:rPr>
                <w:rFonts w:eastAsia="Calibri"/>
                <w:sz w:val="20"/>
                <w:szCs w:val="20"/>
              </w:rPr>
            </w:pPr>
            <w:r w:rsidRPr="00CF167D">
              <w:rPr>
                <w:rFonts w:eastAsia="Calibri"/>
                <w:sz w:val="20"/>
                <w:szCs w:val="20"/>
              </w:rPr>
              <w:t>2013 ONSC 4942</w:t>
            </w:r>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 xml:space="preserve">Applicant denied leave to proceed with appeal of jury verdict. Order barring applicant from instituting new proceedings or continuing existing actions without leave of court. </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April 18, 2013</w:t>
            </w:r>
          </w:p>
          <w:p w:rsidR="00A918CE" w:rsidRPr="00CF167D" w:rsidRDefault="00A918CE" w:rsidP="00A20911">
            <w:pPr>
              <w:jc w:val="both"/>
              <w:rPr>
                <w:rFonts w:eastAsia="Calibri"/>
                <w:sz w:val="20"/>
                <w:szCs w:val="20"/>
              </w:rPr>
            </w:pPr>
            <w:r w:rsidRPr="00CF167D">
              <w:rPr>
                <w:rFonts w:eastAsia="Calibri"/>
                <w:sz w:val="20"/>
                <w:szCs w:val="20"/>
              </w:rPr>
              <w:t>Court of Appeal for Ontario</w:t>
            </w:r>
          </w:p>
          <w:p w:rsidR="00A918CE" w:rsidRPr="00CF167D" w:rsidRDefault="00A918CE" w:rsidP="00A20911">
            <w:pPr>
              <w:jc w:val="both"/>
              <w:rPr>
                <w:rFonts w:eastAsia="Calibri"/>
                <w:sz w:val="20"/>
                <w:szCs w:val="20"/>
              </w:rPr>
            </w:pPr>
            <w:r w:rsidRPr="00CF167D">
              <w:rPr>
                <w:rFonts w:eastAsia="Calibri"/>
                <w:sz w:val="20"/>
                <w:szCs w:val="20"/>
              </w:rPr>
              <w:t>(Doherty J.)</w:t>
            </w:r>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Applicant’s motion to extend time for perfecting appeal dismissed.</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October 11, 2013</w:t>
            </w:r>
          </w:p>
          <w:p w:rsidR="00A918CE" w:rsidRPr="00CF167D" w:rsidRDefault="00A918CE" w:rsidP="00A20911">
            <w:pPr>
              <w:jc w:val="both"/>
              <w:rPr>
                <w:rFonts w:eastAsia="Calibri"/>
                <w:sz w:val="20"/>
                <w:szCs w:val="20"/>
              </w:rPr>
            </w:pPr>
            <w:r w:rsidRPr="00CF167D">
              <w:rPr>
                <w:rFonts w:eastAsia="Calibri"/>
                <w:sz w:val="20"/>
                <w:szCs w:val="20"/>
              </w:rPr>
              <w:t>Supreme Court of Canada</w:t>
            </w: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Motion for extension of time in which to serve and file application for leave to appeal and application for leave to appeal filed.</w:t>
            </w:r>
          </w:p>
        </w:tc>
      </w:tr>
    </w:tbl>
    <w:p w:rsidR="00346867" w:rsidRDefault="00346867" w:rsidP="000E2959">
      <w:pPr>
        <w:rPr>
          <w:sz w:val="20"/>
          <w:szCs w:val="20"/>
        </w:rPr>
      </w:pPr>
    </w:p>
    <w:p w:rsidR="00346867" w:rsidRPr="00C50A5C" w:rsidRDefault="000C68D7" w:rsidP="00346867">
      <w:pPr>
        <w:rPr>
          <w:sz w:val="20"/>
          <w:szCs w:val="20"/>
        </w:rPr>
      </w:pPr>
      <w:r>
        <w:rPr>
          <w:sz w:val="20"/>
          <w:szCs w:val="20"/>
          <w:lang w:val="fr-CA"/>
        </w:rPr>
        <w:pict>
          <v:rect id="_x0000_i1045" style="width:2in;height:1pt" o:hrpct="0" o:hralign="center" o:hrstd="t" o:hrnoshade="t" o:hr="t" fillcolor="black [3213]" stroked="f"/>
        </w:pict>
      </w:r>
    </w:p>
    <w:p w:rsidR="00346867" w:rsidRDefault="00346867" w:rsidP="00346867">
      <w:pPr>
        <w:rPr>
          <w:sz w:val="20"/>
          <w:szCs w:val="20"/>
        </w:rPr>
      </w:pPr>
    </w:p>
    <w:p w:rsidR="00346867" w:rsidRPr="001B157C" w:rsidRDefault="00346867" w:rsidP="00346867">
      <w:pPr>
        <w:rPr>
          <w:sz w:val="20"/>
          <w:szCs w:val="20"/>
          <w:u w:val="single"/>
          <w:lang w:val="fr-CA"/>
        </w:rPr>
      </w:pPr>
      <w:r w:rsidRPr="001B157C">
        <w:rPr>
          <w:sz w:val="20"/>
          <w:szCs w:val="20"/>
          <w:u w:val="single"/>
          <w:lang w:val="fr-CA"/>
        </w:rPr>
        <w:t>RÉSUMÉ DE L’AFFAIRE</w:t>
      </w:r>
    </w:p>
    <w:p w:rsidR="00346867" w:rsidRDefault="00346867"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0C68D7" w:rsidTr="00A20911">
        <w:tc>
          <w:tcPr>
            <w:tcW w:w="5000" w:type="pct"/>
            <w:gridSpan w:val="3"/>
          </w:tcPr>
          <w:p w:rsidR="00A918CE" w:rsidRPr="00CF167D" w:rsidRDefault="00A918CE" w:rsidP="00A20911">
            <w:pPr>
              <w:jc w:val="both"/>
              <w:rPr>
                <w:rFonts w:eastAsia="Calibri"/>
                <w:sz w:val="20"/>
                <w:szCs w:val="20"/>
                <w:lang w:val="fr-CA"/>
              </w:rPr>
            </w:pPr>
            <w:r w:rsidRPr="00CF167D">
              <w:rPr>
                <w:rFonts w:eastAsia="Calibri"/>
                <w:i/>
                <w:sz w:val="20"/>
                <w:szCs w:val="20"/>
                <w:lang w:val="fr-CA"/>
              </w:rPr>
              <w:t xml:space="preserve">Charte des droits </w:t>
            </w:r>
            <w:r w:rsidRPr="00CF167D">
              <w:rPr>
                <w:rFonts w:eastAsia="Calibri"/>
                <w:sz w:val="20"/>
                <w:szCs w:val="20"/>
                <w:lang w:val="fr-CA"/>
              </w:rPr>
              <w:t>– Traitements et peines cruels et inusités – Jugements et ordonnances – Jugements déclaratoires – Le demandeur a été déclaré plaideur quérulent en application de l</w:t>
            </w:r>
            <w:r w:rsidRPr="00CF167D">
              <w:rPr>
                <w:rFonts w:eastAsia="Calibri"/>
                <w:smallCaps/>
                <w:sz w:val="20"/>
                <w:szCs w:val="20"/>
                <w:lang w:val="fr-CA"/>
              </w:rPr>
              <w:t>’</w:t>
            </w:r>
            <w:r w:rsidRPr="00CF167D">
              <w:rPr>
                <w:rFonts w:eastAsia="Calibri"/>
                <w:sz w:val="20"/>
                <w:szCs w:val="20"/>
                <w:lang w:val="fr-CA"/>
              </w:rPr>
              <w:t>art. 140 de la</w:t>
            </w:r>
            <w:r w:rsidRPr="00CF167D">
              <w:rPr>
                <w:rFonts w:eastAsia="Calibri"/>
                <w:i/>
                <w:sz w:val="20"/>
                <w:szCs w:val="20"/>
                <w:lang w:val="fr-CA"/>
              </w:rPr>
              <w:t xml:space="preserve"> Loi sur les tribunaux judiciaires</w:t>
            </w:r>
            <w:r w:rsidRPr="00CF167D">
              <w:rPr>
                <w:rFonts w:eastAsia="Calibri"/>
                <w:sz w:val="20"/>
                <w:szCs w:val="20"/>
                <w:lang w:val="fr-CA"/>
              </w:rPr>
              <w:t xml:space="preserve">, L.R.O. </w:t>
            </w:r>
            <w:r w:rsidRPr="00CF167D">
              <w:rPr>
                <w:rFonts w:eastAsia="Calibri"/>
                <w:sz w:val="20"/>
                <w:szCs w:val="20"/>
                <w:lang w:val="fr-CA"/>
              </w:rPr>
              <w:lastRenderedPageBreak/>
              <w:t>1990, ch. C.43 après avoir introduit plusieurs actions, motions et appels – Une ordonnance judiciaire empêche le demandeur d</w:t>
            </w:r>
            <w:r w:rsidRPr="00CF167D">
              <w:rPr>
                <w:rFonts w:eastAsia="Calibri"/>
                <w:smallCaps/>
                <w:sz w:val="20"/>
                <w:szCs w:val="20"/>
                <w:lang w:val="fr-CA"/>
              </w:rPr>
              <w:t>’</w:t>
            </w:r>
            <w:r w:rsidRPr="00CF167D">
              <w:rPr>
                <w:rFonts w:eastAsia="Calibri"/>
                <w:sz w:val="20"/>
                <w:szCs w:val="20"/>
                <w:lang w:val="fr-CA"/>
              </w:rPr>
              <w:t>introduire des instances subséquentes sans autorisation – L</w:t>
            </w:r>
            <w:r w:rsidRPr="00CF167D">
              <w:rPr>
                <w:rFonts w:eastAsia="Calibri"/>
                <w:smallCaps/>
                <w:sz w:val="20"/>
                <w:szCs w:val="20"/>
                <w:lang w:val="fr-CA"/>
              </w:rPr>
              <w:t>’</w:t>
            </w:r>
            <w:r w:rsidRPr="00CF167D">
              <w:rPr>
                <w:rFonts w:eastAsia="Calibri"/>
                <w:sz w:val="20"/>
                <w:szCs w:val="20"/>
                <w:lang w:val="fr-CA"/>
              </w:rPr>
              <w:t>ordonnance était-elle déraisonnable et injuste et équivaut-t-elle à une erreur judiciaire? – L</w:t>
            </w:r>
            <w:r w:rsidRPr="00CF167D">
              <w:rPr>
                <w:rFonts w:eastAsia="Calibri"/>
                <w:smallCaps/>
                <w:sz w:val="20"/>
                <w:szCs w:val="20"/>
                <w:lang w:val="fr-CA"/>
              </w:rPr>
              <w:t>’</w:t>
            </w:r>
            <w:r w:rsidRPr="00CF167D">
              <w:rPr>
                <w:rFonts w:eastAsia="Calibri"/>
                <w:sz w:val="20"/>
                <w:szCs w:val="20"/>
                <w:lang w:val="fr-CA"/>
              </w:rPr>
              <w:t xml:space="preserve">ordonnance a-t-elle violé les droits garantis par les art. 7 et 12 de la </w:t>
            </w:r>
            <w:r w:rsidRPr="00CF167D">
              <w:rPr>
                <w:rFonts w:eastAsia="Calibri"/>
                <w:i/>
                <w:sz w:val="20"/>
                <w:szCs w:val="20"/>
                <w:lang w:val="fr-CA"/>
              </w:rPr>
              <w:t>Charte</w:t>
            </w:r>
            <w:r w:rsidRPr="00CF167D">
              <w:rPr>
                <w:rFonts w:eastAsia="Calibri"/>
                <w:sz w:val="20"/>
                <w:szCs w:val="20"/>
                <w:lang w:val="fr-CA"/>
              </w:rPr>
              <w:t>?</w:t>
            </w:r>
          </w:p>
        </w:tc>
      </w:tr>
      <w:tr w:rsidR="00A918CE" w:rsidRPr="000C68D7" w:rsidTr="00A20911">
        <w:tc>
          <w:tcPr>
            <w:tcW w:w="5000" w:type="pct"/>
            <w:gridSpan w:val="3"/>
          </w:tcPr>
          <w:p w:rsidR="00A918CE" w:rsidRPr="00CF167D" w:rsidRDefault="00A918CE" w:rsidP="00A20911">
            <w:pPr>
              <w:jc w:val="both"/>
              <w:rPr>
                <w:rFonts w:eastAsia="Calibri"/>
                <w:sz w:val="20"/>
                <w:szCs w:val="20"/>
                <w:lang w:val="fr-CA"/>
              </w:rPr>
            </w:pPr>
          </w:p>
        </w:tc>
      </w:tr>
      <w:tr w:rsidR="00A918CE" w:rsidRPr="000C68D7" w:rsidTr="00A20911">
        <w:tc>
          <w:tcPr>
            <w:tcW w:w="5000" w:type="pct"/>
            <w:gridSpan w:val="3"/>
          </w:tcPr>
          <w:p w:rsidR="00A918CE" w:rsidRPr="00CF167D" w:rsidRDefault="00A918CE" w:rsidP="00A20911">
            <w:pPr>
              <w:jc w:val="both"/>
              <w:rPr>
                <w:rFonts w:eastAsia="Calibri"/>
                <w:sz w:val="20"/>
                <w:szCs w:val="20"/>
                <w:lang w:val="fr-CA"/>
              </w:rPr>
            </w:pPr>
            <w:r w:rsidRPr="00CF167D">
              <w:rPr>
                <w:rFonts w:eastAsia="Calibri"/>
                <w:sz w:val="20"/>
                <w:szCs w:val="20"/>
                <w:lang w:val="fr-CA"/>
              </w:rPr>
              <w:t>En 2004, M. Mohammed a intenté une action contre les intimés, qui avaient enquêté sur les circonstances d</w:t>
            </w:r>
            <w:r w:rsidRPr="00CF167D">
              <w:rPr>
                <w:rFonts w:eastAsia="Calibri"/>
                <w:smallCaps/>
                <w:sz w:val="20"/>
                <w:szCs w:val="20"/>
                <w:lang w:val="fr-CA"/>
              </w:rPr>
              <w:t>’</w:t>
            </w:r>
            <w:r w:rsidRPr="00CF167D">
              <w:rPr>
                <w:rFonts w:eastAsia="Calibri"/>
                <w:sz w:val="20"/>
                <w:szCs w:val="20"/>
                <w:lang w:val="fr-CA"/>
              </w:rPr>
              <w:t>un incendie qui avait eu lieu à son domicile.  Dans une instance connexe, il a été déclaré plaideur quérulent et il a été empêché d</w:t>
            </w:r>
            <w:r w:rsidRPr="00CF167D">
              <w:rPr>
                <w:rFonts w:eastAsia="Calibri"/>
                <w:smallCaps/>
                <w:sz w:val="20"/>
                <w:szCs w:val="20"/>
                <w:lang w:val="fr-CA"/>
              </w:rPr>
              <w:t>’</w:t>
            </w:r>
            <w:r w:rsidRPr="00CF167D">
              <w:rPr>
                <w:rFonts w:eastAsia="Calibri"/>
                <w:sz w:val="20"/>
                <w:szCs w:val="20"/>
                <w:lang w:val="fr-CA"/>
              </w:rPr>
              <w:t>introduire toute action en justice sans l</w:t>
            </w:r>
            <w:r w:rsidRPr="00CF167D">
              <w:rPr>
                <w:rFonts w:eastAsia="Calibri"/>
                <w:smallCaps/>
                <w:sz w:val="20"/>
                <w:szCs w:val="20"/>
                <w:lang w:val="fr-CA"/>
              </w:rPr>
              <w:t>’</w:t>
            </w:r>
            <w:r w:rsidRPr="00CF167D">
              <w:rPr>
                <w:rFonts w:eastAsia="Calibri"/>
                <w:sz w:val="20"/>
                <w:szCs w:val="20"/>
                <w:lang w:val="fr-CA"/>
              </w:rPr>
              <w:t>autorisation de la cour.  Malgré cette ordonnance, la demande contre les intimés a été instruite devant un jury.  Le demandeur a été débouté.  Il a présenté sans succès plusieurs demandes d</w:t>
            </w:r>
            <w:r w:rsidRPr="00CF167D">
              <w:rPr>
                <w:rFonts w:eastAsia="Calibri"/>
                <w:smallCaps/>
                <w:sz w:val="20"/>
                <w:szCs w:val="20"/>
                <w:lang w:val="fr-CA"/>
              </w:rPr>
              <w:t>’</w:t>
            </w:r>
            <w:r w:rsidRPr="00CF167D">
              <w:rPr>
                <w:rFonts w:eastAsia="Calibri"/>
                <w:sz w:val="20"/>
                <w:szCs w:val="20"/>
                <w:lang w:val="fr-CA"/>
              </w:rPr>
              <w:t>autorisation d</w:t>
            </w:r>
            <w:r w:rsidRPr="00CF167D">
              <w:rPr>
                <w:rFonts w:eastAsia="Calibri"/>
                <w:smallCaps/>
                <w:sz w:val="20"/>
                <w:szCs w:val="20"/>
                <w:lang w:val="fr-CA"/>
              </w:rPr>
              <w:t>’</w:t>
            </w:r>
            <w:r w:rsidRPr="00CF167D">
              <w:rPr>
                <w:rFonts w:eastAsia="Calibri"/>
                <w:sz w:val="20"/>
                <w:szCs w:val="20"/>
                <w:lang w:val="fr-CA"/>
              </w:rPr>
              <w:t>appel du verdict rendu par le jury.</w:t>
            </w:r>
          </w:p>
          <w:p w:rsidR="00A918CE" w:rsidRPr="00CF167D" w:rsidRDefault="00A918CE" w:rsidP="00A20911">
            <w:pPr>
              <w:jc w:val="both"/>
              <w:rPr>
                <w:rFonts w:eastAsia="Calibri"/>
                <w:sz w:val="20"/>
                <w:szCs w:val="20"/>
                <w:lang w:val="fr-CA"/>
              </w:rPr>
            </w:pP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 xml:space="preserve">25 juillet 2013 </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supérieure de justice de l</w:t>
            </w:r>
            <w:r w:rsidRPr="00CF167D">
              <w:rPr>
                <w:rFonts w:eastAsia="Calibri"/>
                <w:smallCaps/>
                <w:sz w:val="20"/>
                <w:szCs w:val="20"/>
                <w:lang w:val="fr-CA"/>
              </w:rPr>
              <w:t>’</w:t>
            </w:r>
            <w:r w:rsidRPr="00CF167D">
              <w:rPr>
                <w:rFonts w:eastAsia="Calibri"/>
                <w:sz w:val="20"/>
                <w:szCs w:val="20"/>
                <w:lang w:val="fr-CA"/>
              </w:rPr>
              <w:t>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(Juge Wilson)</w:t>
            </w:r>
          </w:p>
          <w:p w:rsidR="00A918CE" w:rsidRPr="00CF167D" w:rsidRDefault="00A918CE" w:rsidP="00A20911">
            <w:pPr>
              <w:jc w:val="both"/>
              <w:rPr>
                <w:rFonts w:eastAsia="Calibri"/>
                <w:sz w:val="20"/>
                <w:szCs w:val="20"/>
                <w:lang w:val="fr-CA"/>
              </w:rPr>
            </w:pPr>
            <w:r w:rsidRPr="00CF167D">
              <w:rPr>
                <w:rFonts w:eastAsia="Calibri"/>
                <w:sz w:val="20"/>
                <w:szCs w:val="20"/>
                <w:lang w:val="fr-CA"/>
              </w:rPr>
              <w:t>2013 ONSC 4942</w:t>
            </w:r>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Demandeur débouté dans sa demande d</w:t>
            </w:r>
            <w:r w:rsidRPr="00CF167D">
              <w:rPr>
                <w:rFonts w:eastAsia="Calibri"/>
                <w:smallCaps/>
                <w:sz w:val="20"/>
                <w:szCs w:val="20"/>
                <w:lang w:val="fr-CA"/>
              </w:rPr>
              <w:t>’</w:t>
            </w:r>
            <w:r w:rsidRPr="00CF167D">
              <w:rPr>
                <w:rFonts w:eastAsia="Calibri"/>
                <w:sz w:val="20"/>
                <w:szCs w:val="20"/>
                <w:lang w:val="fr-CA"/>
              </w:rPr>
              <w:t>autorisation d</w:t>
            </w:r>
            <w:r w:rsidRPr="00CF167D">
              <w:rPr>
                <w:rFonts w:eastAsia="Calibri"/>
                <w:smallCaps/>
                <w:sz w:val="20"/>
                <w:szCs w:val="20"/>
                <w:lang w:val="fr-CA"/>
              </w:rPr>
              <w:t>’</w:t>
            </w:r>
            <w:r w:rsidRPr="00CF167D">
              <w:rPr>
                <w:rFonts w:eastAsia="Calibri"/>
                <w:sz w:val="20"/>
                <w:szCs w:val="20"/>
                <w:lang w:val="fr-CA"/>
              </w:rPr>
              <w:t>appel du verdict rendu par un jury. Ordonnance interdisant au demandeur d</w:t>
            </w:r>
            <w:r w:rsidRPr="00CF167D">
              <w:rPr>
                <w:rFonts w:eastAsia="Calibri"/>
                <w:smallCaps/>
                <w:sz w:val="20"/>
                <w:szCs w:val="20"/>
                <w:lang w:val="fr-CA"/>
              </w:rPr>
              <w:t>’</w:t>
            </w:r>
            <w:r w:rsidRPr="00CF167D">
              <w:rPr>
                <w:rFonts w:eastAsia="Calibri"/>
                <w:sz w:val="20"/>
                <w:szCs w:val="20"/>
                <w:lang w:val="fr-CA"/>
              </w:rPr>
              <w:t>introduire de nouvelles instances ou de poursuivre des actions en instance sans l</w:t>
            </w:r>
            <w:r w:rsidRPr="00CF167D">
              <w:rPr>
                <w:rFonts w:eastAsia="Calibri"/>
                <w:smallCaps/>
                <w:sz w:val="20"/>
                <w:szCs w:val="20"/>
                <w:lang w:val="fr-CA"/>
              </w:rPr>
              <w:t>’</w:t>
            </w:r>
            <w:r w:rsidRPr="00CF167D">
              <w:rPr>
                <w:rFonts w:eastAsia="Calibri"/>
                <w:sz w:val="20"/>
                <w:szCs w:val="20"/>
                <w:lang w:val="fr-CA"/>
              </w:rPr>
              <w:t xml:space="preserve">autorisation de la cour. </w:t>
            </w:r>
          </w:p>
          <w:p w:rsidR="00A918CE" w:rsidRPr="00CF167D" w:rsidRDefault="00A918CE" w:rsidP="00A20911">
            <w:pPr>
              <w:jc w:val="both"/>
              <w:rPr>
                <w:rFonts w:eastAsia="Calibri"/>
                <w:sz w:val="20"/>
                <w:szCs w:val="20"/>
                <w:lang w:val="fr-CA"/>
              </w:rPr>
            </w:pP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18 avril 2013</w:t>
            </w:r>
          </w:p>
          <w:p w:rsidR="00A918CE" w:rsidRPr="00CF167D" w:rsidRDefault="00A918CE" w:rsidP="00A20911">
            <w:pPr>
              <w:jc w:val="both"/>
              <w:rPr>
                <w:rFonts w:eastAsia="Calibri"/>
                <w:sz w:val="20"/>
                <w:szCs w:val="20"/>
                <w:lang w:val="fr-CA"/>
              </w:rPr>
            </w:pPr>
            <w:r w:rsidRPr="00CF167D">
              <w:rPr>
                <w:rFonts w:eastAsia="Calibri"/>
                <w:sz w:val="20"/>
                <w:szCs w:val="20"/>
                <w:lang w:val="fr-CA"/>
              </w:rPr>
              <w:t>Cour d</w:t>
            </w:r>
            <w:r w:rsidRPr="00CF167D">
              <w:rPr>
                <w:rFonts w:eastAsia="Calibri"/>
                <w:smallCaps/>
                <w:sz w:val="20"/>
                <w:szCs w:val="20"/>
                <w:lang w:val="fr-CA"/>
              </w:rPr>
              <w:t>’</w:t>
            </w:r>
            <w:r w:rsidRPr="00CF167D">
              <w:rPr>
                <w:rFonts w:eastAsia="Calibri"/>
                <w:sz w:val="20"/>
                <w:szCs w:val="20"/>
                <w:lang w:val="fr-CA"/>
              </w:rPr>
              <w:t>appel de l</w:t>
            </w:r>
            <w:r w:rsidRPr="00CF167D">
              <w:rPr>
                <w:rFonts w:eastAsia="Calibri"/>
                <w:smallCaps/>
                <w:sz w:val="20"/>
                <w:szCs w:val="20"/>
                <w:lang w:val="fr-CA"/>
              </w:rPr>
              <w:t>’</w:t>
            </w:r>
            <w:r w:rsidRPr="00CF167D">
              <w:rPr>
                <w:rFonts w:eastAsia="Calibri"/>
                <w:sz w:val="20"/>
                <w:szCs w:val="20"/>
                <w:lang w:val="fr-CA"/>
              </w:rPr>
              <w:t>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(Juge Doherty)</w:t>
            </w:r>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Motion du demandeur en prorogation du délai pour mettre l</w:t>
            </w:r>
            <w:r w:rsidRPr="00CF167D">
              <w:rPr>
                <w:rFonts w:eastAsia="Calibri"/>
                <w:smallCaps/>
                <w:sz w:val="20"/>
                <w:szCs w:val="20"/>
                <w:lang w:val="fr-CA"/>
              </w:rPr>
              <w:t>’</w:t>
            </w:r>
            <w:r w:rsidRPr="00CF167D">
              <w:rPr>
                <w:rFonts w:eastAsia="Calibri"/>
                <w:sz w:val="20"/>
                <w:szCs w:val="20"/>
                <w:lang w:val="fr-CA"/>
              </w:rPr>
              <w:t>appel en état, rejetée.</w:t>
            </w:r>
          </w:p>
          <w:p w:rsidR="00A918CE" w:rsidRPr="00CF167D" w:rsidRDefault="00A918CE" w:rsidP="00A20911">
            <w:pPr>
              <w:jc w:val="both"/>
              <w:rPr>
                <w:rFonts w:eastAsia="Calibri"/>
                <w:sz w:val="20"/>
                <w:szCs w:val="20"/>
                <w:lang w:val="fr-CA"/>
              </w:rPr>
            </w:pP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11 octobre 2013</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suprême du Canada</w:t>
            </w: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Requête en prorogation du délai de signification et de dépôt de la demande d</w:t>
            </w:r>
            <w:r w:rsidRPr="00CF167D">
              <w:rPr>
                <w:rFonts w:eastAsia="Calibri"/>
                <w:smallCaps/>
                <w:sz w:val="20"/>
                <w:szCs w:val="20"/>
                <w:lang w:val="fr-CA"/>
              </w:rPr>
              <w:t>’</w:t>
            </w:r>
            <w:r w:rsidRPr="00CF167D">
              <w:rPr>
                <w:rFonts w:eastAsia="Calibri"/>
                <w:sz w:val="20"/>
                <w:szCs w:val="20"/>
                <w:lang w:val="fr-CA"/>
              </w:rPr>
              <w:t>autorisation d</w:t>
            </w:r>
            <w:r w:rsidRPr="00CF167D">
              <w:rPr>
                <w:rFonts w:eastAsia="Calibri"/>
                <w:smallCaps/>
                <w:sz w:val="20"/>
                <w:szCs w:val="20"/>
                <w:lang w:val="fr-CA"/>
              </w:rPr>
              <w:t>’</w:t>
            </w:r>
            <w:r w:rsidRPr="00CF167D">
              <w:rPr>
                <w:rFonts w:eastAsia="Calibri"/>
                <w:sz w:val="20"/>
                <w:szCs w:val="20"/>
                <w:lang w:val="fr-CA"/>
              </w:rPr>
              <w:t>appel et demande d</w:t>
            </w:r>
            <w:r w:rsidRPr="00CF167D">
              <w:rPr>
                <w:rFonts w:eastAsia="Calibri"/>
                <w:smallCaps/>
                <w:sz w:val="20"/>
                <w:szCs w:val="20"/>
                <w:lang w:val="fr-CA"/>
              </w:rPr>
              <w:t>’</w:t>
            </w:r>
            <w:r w:rsidRPr="00CF167D">
              <w:rPr>
                <w:rFonts w:eastAsia="Calibri"/>
                <w:sz w:val="20"/>
                <w:szCs w:val="20"/>
                <w:lang w:val="fr-CA"/>
              </w:rPr>
              <w:t>autorisation d</w:t>
            </w:r>
            <w:r w:rsidRPr="00CF167D">
              <w:rPr>
                <w:rFonts w:eastAsia="Calibri"/>
                <w:smallCaps/>
                <w:sz w:val="20"/>
                <w:szCs w:val="20"/>
                <w:lang w:val="fr-CA"/>
              </w:rPr>
              <w:t>’</w:t>
            </w:r>
            <w:r w:rsidRPr="00CF167D">
              <w:rPr>
                <w:rFonts w:eastAsia="Calibri"/>
                <w:sz w:val="20"/>
                <w:szCs w:val="20"/>
                <w:lang w:val="fr-CA"/>
              </w:rPr>
              <w:t>appel, déposées.</w:t>
            </w:r>
          </w:p>
        </w:tc>
      </w:tr>
    </w:tbl>
    <w:p w:rsidR="00346867" w:rsidRPr="00A918CE" w:rsidRDefault="00346867" w:rsidP="000E2959">
      <w:pPr>
        <w:rPr>
          <w:sz w:val="20"/>
          <w:szCs w:val="20"/>
          <w:lang w:val="fr-CA"/>
        </w:rPr>
      </w:pPr>
    </w:p>
    <w:p w:rsidR="00346867" w:rsidRDefault="000C68D7" w:rsidP="00346867">
      <w:pPr>
        <w:rPr>
          <w:sz w:val="20"/>
          <w:szCs w:val="20"/>
        </w:rPr>
      </w:pPr>
      <w:r>
        <w:rPr>
          <w:sz w:val="20"/>
          <w:szCs w:val="20"/>
          <w:lang w:val="fr-CA"/>
        </w:rPr>
        <w:pict>
          <v:rect id="_x0000_i1046" style="width:2in;height:1pt" o:hrpct="0" o:hralign="center" o:hrstd="t" o:hrnoshade="t" o:hr="t" fillcolor="black [3213]" stroked="f"/>
        </w:pict>
      </w:r>
    </w:p>
    <w:p w:rsidR="00346867" w:rsidRDefault="00346867" w:rsidP="0034686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C56B1" w:rsidRPr="00D1119A" w:rsidTr="00C5390A">
        <w:trPr>
          <w:cantSplit/>
        </w:trPr>
        <w:tc>
          <w:tcPr>
            <w:tcW w:w="1458" w:type="dxa"/>
          </w:tcPr>
          <w:p w:rsidR="00BC56B1" w:rsidRPr="00D1119A" w:rsidRDefault="00BC56B1" w:rsidP="00C5390A">
            <w:pPr>
              <w:rPr>
                <w:sz w:val="20"/>
                <w:szCs w:val="20"/>
              </w:rPr>
            </w:pPr>
            <w:r w:rsidRPr="00D1119A">
              <w:rPr>
                <w:rStyle w:val="SCCFileNumberChar"/>
                <w:sz w:val="20"/>
                <w:szCs w:val="20"/>
              </w:rPr>
              <w:t>35648</w:t>
            </w:r>
          </w:p>
          <w:p w:rsidR="00BC56B1" w:rsidRPr="00D1119A" w:rsidRDefault="00BC56B1" w:rsidP="00C5390A">
            <w:pPr>
              <w:rPr>
                <w:b/>
                <w:sz w:val="20"/>
                <w:szCs w:val="20"/>
                <w:lang w:val="fr-CA"/>
              </w:rPr>
            </w:pPr>
          </w:p>
        </w:tc>
        <w:tc>
          <w:tcPr>
            <w:tcW w:w="8118" w:type="dxa"/>
          </w:tcPr>
          <w:p w:rsidR="00BC56B1" w:rsidRPr="00D1119A" w:rsidRDefault="00BC56B1" w:rsidP="00C5390A">
            <w:pPr>
              <w:jc w:val="both"/>
              <w:rPr>
                <w:sz w:val="20"/>
                <w:szCs w:val="20"/>
              </w:rPr>
            </w:pPr>
            <w:r w:rsidRPr="00BC56B1">
              <w:rPr>
                <w:rStyle w:val="SCCLsocChar"/>
                <w:sz w:val="20"/>
                <w:szCs w:val="20"/>
                <w:lang w:val="en-CA"/>
              </w:rPr>
              <w:t>Springdale Pizza Depot Ltd., Ranjit Singh Mahil and Dilaware Singh Khakh v. 2189205 Ontario Inc., Parminder Mutti and Navjot Kaur Chandi</w:t>
            </w:r>
            <w:r w:rsidRPr="00D1119A">
              <w:rPr>
                <w:sz w:val="20"/>
                <w:szCs w:val="20"/>
              </w:rPr>
              <w:t xml:space="preserve"> (Ont.) (Civil) (By Leave)</w:t>
            </w:r>
          </w:p>
          <w:p w:rsidR="00BC56B1" w:rsidRPr="00D1119A" w:rsidRDefault="00BC56B1" w:rsidP="00C5390A">
            <w:pPr>
              <w:jc w:val="both"/>
              <w:rPr>
                <w:sz w:val="20"/>
                <w:szCs w:val="20"/>
              </w:rPr>
            </w:pPr>
          </w:p>
        </w:tc>
      </w:tr>
      <w:tr w:rsidR="00BC56B1" w:rsidRPr="00D1119A" w:rsidTr="00C5390A">
        <w:trPr>
          <w:cantSplit/>
        </w:trPr>
        <w:tc>
          <w:tcPr>
            <w:tcW w:w="1458" w:type="dxa"/>
          </w:tcPr>
          <w:p w:rsidR="00BC56B1" w:rsidRPr="00D1119A" w:rsidRDefault="00BC56B1" w:rsidP="00C5390A">
            <w:pPr>
              <w:rPr>
                <w:sz w:val="20"/>
                <w:szCs w:val="20"/>
              </w:rPr>
            </w:pPr>
            <w:r w:rsidRPr="00D1119A">
              <w:rPr>
                <w:sz w:val="20"/>
                <w:szCs w:val="20"/>
              </w:rPr>
              <w:t>Coram :</w:t>
            </w:r>
          </w:p>
        </w:tc>
        <w:tc>
          <w:tcPr>
            <w:tcW w:w="8118" w:type="dxa"/>
          </w:tcPr>
          <w:p w:rsidR="00BC56B1" w:rsidRPr="00D1119A" w:rsidRDefault="00BC56B1" w:rsidP="00C5390A">
            <w:pPr>
              <w:rPr>
                <w:sz w:val="20"/>
                <w:szCs w:val="20"/>
              </w:rPr>
            </w:pPr>
            <w:r w:rsidRPr="00BC56B1">
              <w:rPr>
                <w:rStyle w:val="SCCCoramChar"/>
                <w:sz w:val="20"/>
                <w:szCs w:val="20"/>
                <w:lang w:val="en-CA"/>
              </w:rPr>
              <w:t>Abella, Rothstein and Moldaver JJ.</w:t>
            </w:r>
          </w:p>
          <w:p w:rsidR="00BC56B1" w:rsidRPr="00D1119A" w:rsidRDefault="00BC56B1" w:rsidP="00C5390A">
            <w:pPr>
              <w:rPr>
                <w:sz w:val="20"/>
                <w:szCs w:val="20"/>
                <w:u w:val="single"/>
              </w:rPr>
            </w:pPr>
          </w:p>
        </w:tc>
      </w:tr>
      <w:tr w:rsidR="00BC56B1" w:rsidRPr="000C68D7" w:rsidTr="00C5390A">
        <w:trPr>
          <w:cantSplit/>
        </w:trPr>
        <w:tc>
          <w:tcPr>
            <w:tcW w:w="9576" w:type="dxa"/>
            <w:gridSpan w:val="2"/>
          </w:tcPr>
          <w:p w:rsidR="00BC56B1" w:rsidRPr="00D1119A" w:rsidRDefault="00BC56B1" w:rsidP="00C5390A">
            <w:pPr>
              <w:pStyle w:val="SCCShortJudgment"/>
              <w:rPr>
                <w:szCs w:val="20"/>
              </w:rPr>
            </w:pPr>
            <w:r w:rsidRPr="00D1119A">
              <w:rPr>
                <w:szCs w:val="20"/>
              </w:rPr>
              <w:t>The motion for an extension of time to serve and file the application for leave to appeal is granted.  The application for leave to appeal from the judgment of the Court of Appeal for Ontario, Numbers C56822 and C56833, 2013 ONCA 626, dated October 7, 2013, is dismissed with costs.</w:t>
            </w:r>
          </w:p>
          <w:p w:rsidR="00BC56B1" w:rsidRPr="00D1119A" w:rsidRDefault="00BC56B1" w:rsidP="00C5390A">
            <w:pPr>
              <w:pStyle w:val="SCCShortJudgment"/>
              <w:ind w:firstLine="0"/>
              <w:rPr>
                <w:szCs w:val="20"/>
              </w:rPr>
            </w:pPr>
          </w:p>
          <w:p w:rsidR="00BC56B1" w:rsidRPr="00D1119A" w:rsidRDefault="00BC56B1" w:rsidP="00C5390A">
            <w:pPr>
              <w:pStyle w:val="SCCShortJudgment"/>
              <w:rPr>
                <w:szCs w:val="20"/>
                <w:lang w:val="fr-CA"/>
              </w:rPr>
            </w:pPr>
            <w:r w:rsidRPr="00D1119A">
              <w:rPr>
                <w:szCs w:val="20"/>
                <w:lang w:val="fr-CA"/>
              </w:rPr>
              <w:t>La requête en prorogation du délai de signification et de dépôt de la demande d’autorisation d’appel est accueillie.  La demande d’autorisation d’appel de l’arrêt de la Cour d’appel de l’Ontario, numéros C56822 et C56833, 2013 ONCA 626, daté du 7 octobre 2013, est rejetée avec dépens.</w:t>
            </w:r>
          </w:p>
        </w:tc>
      </w:tr>
    </w:tbl>
    <w:p w:rsidR="00A918CE" w:rsidRPr="00BC56B1" w:rsidRDefault="00A918CE" w:rsidP="00A918CE">
      <w:pPr>
        <w:rPr>
          <w:sz w:val="20"/>
          <w:szCs w:val="20"/>
          <w:lang w:val="fr-CA"/>
        </w:rPr>
      </w:pPr>
    </w:p>
    <w:p w:rsidR="00A918CE" w:rsidRPr="001B157C" w:rsidRDefault="00A918CE" w:rsidP="00A918CE">
      <w:pPr>
        <w:rPr>
          <w:sz w:val="20"/>
          <w:szCs w:val="20"/>
          <w:u w:val="single"/>
        </w:rPr>
      </w:pPr>
      <w:r w:rsidRPr="001B157C">
        <w:rPr>
          <w:sz w:val="20"/>
          <w:szCs w:val="20"/>
          <w:u w:val="single"/>
        </w:rPr>
        <w:t>CASE SUMMARY</w:t>
      </w:r>
    </w:p>
    <w:p w:rsidR="00A918CE" w:rsidRDefault="00A918CE" w:rsidP="00A918C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CF167D" w:rsidTr="00A20911">
        <w:tc>
          <w:tcPr>
            <w:tcW w:w="5000" w:type="pct"/>
            <w:gridSpan w:val="3"/>
          </w:tcPr>
          <w:p w:rsidR="00A918CE" w:rsidRPr="00CF167D" w:rsidRDefault="00A918CE" w:rsidP="00A20911">
            <w:pPr>
              <w:jc w:val="both"/>
              <w:rPr>
                <w:rFonts w:eastAsia="Calibri"/>
                <w:sz w:val="20"/>
                <w:szCs w:val="20"/>
              </w:rPr>
            </w:pPr>
            <w:r w:rsidRPr="00CF167D">
              <w:rPr>
                <w:rFonts w:eastAsia="Calibri"/>
                <w:sz w:val="20"/>
                <w:szCs w:val="20"/>
              </w:rPr>
              <w:t xml:space="preserve">Commercial law – Franchises – Respondent franchisees exercising statutory right of rescission for applicant franchisors’ failure to provide required disclosure – Franchisees obtaining partial summary judgment pursuant to s. 6(6) of </w:t>
            </w:r>
            <w:r w:rsidRPr="00CF167D">
              <w:rPr>
                <w:rFonts w:eastAsia="Calibri"/>
                <w:i/>
                <w:sz w:val="20"/>
                <w:szCs w:val="20"/>
              </w:rPr>
              <w:t>Arthur Wishart Act, 2000</w:t>
            </w:r>
            <w:r w:rsidRPr="00CF167D">
              <w:rPr>
                <w:rFonts w:eastAsia="Calibri"/>
                <w:sz w:val="20"/>
                <w:szCs w:val="20"/>
              </w:rPr>
              <w:t xml:space="preserve">, S.O. 2000, c. 3 – Franchisors obtaining order to amend pleadings to include claim for equitable set-off, but not against damages ordered under s. 6(6) – Whether Court of Appeal decision should be permitted to stand – Whether purpose and scope of rescission remedy in </w:t>
            </w:r>
            <w:r w:rsidRPr="00CF167D">
              <w:rPr>
                <w:rFonts w:eastAsia="Calibri"/>
                <w:i/>
                <w:sz w:val="20"/>
                <w:szCs w:val="20"/>
              </w:rPr>
              <w:t>Wishart Act</w:t>
            </w:r>
            <w:r w:rsidRPr="00CF167D">
              <w:rPr>
                <w:rFonts w:eastAsia="Calibri"/>
                <w:sz w:val="20"/>
                <w:szCs w:val="20"/>
              </w:rPr>
              <w:t xml:space="preserve"> is purely restitutionary – Whether franchisee’s net profits earned in operating franchise should be off-set against any award of damages franchisor required to pay – Whether applicants can amend its pleadings to assert defence of equitable set-off against respondents’ entire claim. </w:t>
            </w:r>
          </w:p>
        </w:tc>
      </w:tr>
      <w:tr w:rsidR="00A918CE" w:rsidRPr="00CF167D" w:rsidTr="00A20911">
        <w:tc>
          <w:tcPr>
            <w:tcW w:w="5000" w:type="pct"/>
            <w:gridSpan w:val="3"/>
          </w:tcPr>
          <w:p w:rsidR="00A918CE" w:rsidRPr="00CF167D" w:rsidRDefault="00A918CE" w:rsidP="00A20911">
            <w:pPr>
              <w:jc w:val="both"/>
              <w:rPr>
                <w:rFonts w:eastAsia="Calibri"/>
                <w:sz w:val="20"/>
                <w:szCs w:val="20"/>
              </w:rPr>
            </w:pPr>
          </w:p>
        </w:tc>
      </w:tr>
      <w:tr w:rsidR="00A918CE" w:rsidRPr="00CF167D" w:rsidTr="00A20911">
        <w:tc>
          <w:tcPr>
            <w:tcW w:w="5000" w:type="pct"/>
            <w:gridSpan w:val="3"/>
          </w:tcPr>
          <w:p w:rsidR="00A918CE" w:rsidRPr="00CF167D" w:rsidRDefault="00A918CE" w:rsidP="00A20911">
            <w:pPr>
              <w:jc w:val="both"/>
              <w:rPr>
                <w:rFonts w:eastAsia="Calibri"/>
                <w:sz w:val="20"/>
                <w:szCs w:val="20"/>
              </w:rPr>
            </w:pPr>
            <w:r w:rsidRPr="00CF167D">
              <w:rPr>
                <w:rFonts w:eastAsia="Calibri"/>
                <w:sz w:val="20"/>
                <w:szCs w:val="20"/>
              </w:rPr>
              <w:t xml:space="preserve">The respondents are former franchisees of Pizza Depot, a franchise pizza chain owned and operated by the applicants (collectively, “Springdale”).  Upon purchasing their franchise, the respondents did not receive from Springdale the disclosure required under the </w:t>
            </w:r>
            <w:r w:rsidRPr="00CF167D">
              <w:rPr>
                <w:rFonts w:eastAsia="Calibri"/>
                <w:i/>
                <w:sz w:val="20"/>
                <w:szCs w:val="20"/>
              </w:rPr>
              <w:t>Wishart Act</w:t>
            </w:r>
            <w:r w:rsidRPr="00CF167D">
              <w:rPr>
                <w:rFonts w:eastAsia="Calibri"/>
                <w:sz w:val="20"/>
                <w:szCs w:val="20"/>
              </w:rPr>
              <w:t xml:space="preserve">.  The respondents exercised their statutory right under the Act to rescind the agreement and made a demand for the payments due to them under s. 6(6).  When Springdale refused, the respondents commenced an action seeking a declaration that they had validly rescinded the franchise agreement and claiming the s. 6(6) statutory payments to which they were entitled and damages pursuant to s. 7 of the </w:t>
            </w:r>
            <w:r w:rsidRPr="00CF167D">
              <w:rPr>
                <w:rFonts w:eastAsia="Calibri"/>
                <w:i/>
                <w:sz w:val="20"/>
                <w:szCs w:val="20"/>
              </w:rPr>
              <w:t>Wishart Act</w:t>
            </w:r>
            <w:r w:rsidRPr="00CF167D">
              <w:rPr>
                <w:rFonts w:eastAsia="Calibri"/>
                <w:sz w:val="20"/>
                <w:szCs w:val="20"/>
              </w:rPr>
              <w:t xml:space="preserve">.  The respondents also removed equipment and leaseholds from the franchise, allegedly causing damage in the process.  On June 29, 2010, the respondents brought a motion for partial summary judgment. </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June 26, 2010</w:t>
            </w:r>
          </w:p>
          <w:p w:rsidR="00A918CE" w:rsidRPr="00CF167D" w:rsidRDefault="00A918CE" w:rsidP="00A20911">
            <w:pPr>
              <w:jc w:val="both"/>
              <w:rPr>
                <w:rFonts w:eastAsia="Calibri"/>
                <w:sz w:val="20"/>
                <w:szCs w:val="20"/>
              </w:rPr>
            </w:pPr>
            <w:r w:rsidRPr="00CF167D">
              <w:rPr>
                <w:rFonts w:eastAsia="Calibri"/>
                <w:sz w:val="20"/>
                <w:szCs w:val="20"/>
              </w:rPr>
              <w:t xml:space="preserve">Ontario Superior Court of Justice </w:t>
            </w:r>
          </w:p>
          <w:p w:rsidR="00A918CE" w:rsidRPr="00CF167D" w:rsidRDefault="00A918CE" w:rsidP="00A20911">
            <w:pPr>
              <w:jc w:val="both"/>
              <w:rPr>
                <w:rFonts w:eastAsia="Calibri"/>
                <w:sz w:val="20"/>
                <w:szCs w:val="20"/>
              </w:rPr>
            </w:pPr>
            <w:r w:rsidRPr="00CF167D">
              <w:rPr>
                <w:rFonts w:eastAsia="Calibri"/>
                <w:sz w:val="20"/>
                <w:szCs w:val="20"/>
              </w:rPr>
              <w:t>(Wilson J.)</w:t>
            </w:r>
          </w:p>
          <w:p w:rsidR="00A918CE" w:rsidRPr="00CF167D" w:rsidRDefault="000C68D7" w:rsidP="00A20911">
            <w:pPr>
              <w:jc w:val="both"/>
              <w:rPr>
                <w:rFonts w:eastAsia="Calibri"/>
                <w:sz w:val="20"/>
                <w:szCs w:val="20"/>
              </w:rPr>
            </w:pPr>
            <w:hyperlink r:id="rId25" w:history="1">
              <w:r w:rsidR="00A918CE" w:rsidRPr="00CF167D">
                <w:rPr>
                  <w:rFonts w:eastAsia="Calibri"/>
                  <w:color w:val="0000FF"/>
                  <w:sz w:val="20"/>
                  <w:szCs w:val="20"/>
                  <w:u w:val="single"/>
                </w:rPr>
                <w:t>2010 ONSC 3695</w:t>
              </w:r>
            </w:hyperlink>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 xml:space="preserve">Respondents’ motion for partial summary judgment granted; declaration franchise agreement validly rescinded; Applicants to pay respondents amounts required by s. 6(6) of </w:t>
            </w:r>
            <w:r w:rsidRPr="00CF167D">
              <w:rPr>
                <w:rFonts w:eastAsia="Calibri"/>
                <w:i/>
                <w:sz w:val="20"/>
                <w:szCs w:val="20"/>
              </w:rPr>
              <w:t>Wishart Act</w:t>
            </w:r>
            <w:r w:rsidRPr="00CF167D">
              <w:rPr>
                <w:rFonts w:eastAsia="Calibri"/>
                <w:sz w:val="20"/>
                <w:szCs w:val="20"/>
              </w:rPr>
              <w:t>; amounts to be determined by reference.</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June 22, 2011</w:t>
            </w:r>
          </w:p>
          <w:p w:rsidR="00A918CE" w:rsidRPr="00CF167D" w:rsidRDefault="00A918CE" w:rsidP="00A20911">
            <w:pPr>
              <w:jc w:val="both"/>
              <w:rPr>
                <w:rFonts w:eastAsia="Calibri"/>
                <w:sz w:val="20"/>
                <w:szCs w:val="20"/>
              </w:rPr>
            </w:pPr>
            <w:r w:rsidRPr="00CF167D">
              <w:rPr>
                <w:rFonts w:eastAsia="Calibri"/>
                <w:sz w:val="20"/>
                <w:szCs w:val="20"/>
              </w:rPr>
              <w:t>Court of Appeal for Ontario</w:t>
            </w:r>
          </w:p>
          <w:p w:rsidR="00A918CE" w:rsidRPr="00CF167D" w:rsidRDefault="00A918CE" w:rsidP="00A20911">
            <w:pPr>
              <w:jc w:val="both"/>
              <w:rPr>
                <w:rFonts w:eastAsia="Calibri"/>
                <w:sz w:val="20"/>
                <w:szCs w:val="20"/>
              </w:rPr>
            </w:pPr>
            <w:r w:rsidRPr="00CF167D">
              <w:rPr>
                <w:rFonts w:eastAsia="Calibri"/>
                <w:sz w:val="20"/>
                <w:szCs w:val="20"/>
              </w:rPr>
              <w:t>(Sharpe, Gillese and Karakatsanis JJ.A.)</w:t>
            </w:r>
          </w:p>
          <w:p w:rsidR="00A918CE" w:rsidRPr="00CF167D" w:rsidRDefault="000C68D7" w:rsidP="00A20911">
            <w:pPr>
              <w:jc w:val="both"/>
              <w:rPr>
                <w:rFonts w:eastAsia="Calibri"/>
                <w:sz w:val="20"/>
                <w:szCs w:val="20"/>
              </w:rPr>
            </w:pPr>
            <w:hyperlink r:id="rId26" w:history="1">
              <w:r w:rsidR="00A918CE" w:rsidRPr="00CF167D">
                <w:rPr>
                  <w:rFonts w:eastAsia="Calibri"/>
                  <w:color w:val="0000FF"/>
                  <w:sz w:val="20"/>
                  <w:szCs w:val="20"/>
                  <w:u w:val="single"/>
                </w:rPr>
                <w:t>2011 ONCA 467</w:t>
              </w:r>
            </w:hyperlink>
            <w:r w:rsidR="00A918CE" w:rsidRPr="00CF167D">
              <w:rPr>
                <w:rFonts w:eastAsia="Calibri"/>
                <w:sz w:val="20"/>
                <w:szCs w:val="20"/>
              </w:rPr>
              <w:t xml:space="preserve"> </w:t>
            </w:r>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Applicants’ appeal dismissed.</w:t>
            </w: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June 11, 2012</w:t>
            </w:r>
          </w:p>
          <w:p w:rsidR="00A918CE" w:rsidRPr="00CF167D" w:rsidRDefault="00A918CE" w:rsidP="00A20911">
            <w:pPr>
              <w:jc w:val="both"/>
              <w:rPr>
                <w:rFonts w:eastAsia="Calibri"/>
                <w:sz w:val="20"/>
                <w:szCs w:val="20"/>
              </w:rPr>
            </w:pPr>
            <w:r w:rsidRPr="00CF167D">
              <w:rPr>
                <w:rFonts w:eastAsia="Calibri"/>
                <w:sz w:val="20"/>
                <w:szCs w:val="20"/>
              </w:rPr>
              <w:t>Ontario Superior Court of Justice</w:t>
            </w:r>
          </w:p>
          <w:p w:rsidR="00A918CE" w:rsidRPr="00CF167D" w:rsidRDefault="00A918CE" w:rsidP="00A20911">
            <w:pPr>
              <w:jc w:val="both"/>
              <w:rPr>
                <w:rFonts w:eastAsia="Calibri"/>
                <w:sz w:val="20"/>
                <w:szCs w:val="20"/>
              </w:rPr>
            </w:pPr>
            <w:r w:rsidRPr="00CF167D">
              <w:rPr>
                <w:rFonts w:eastAsia="Calibri"/>
                <w:sz w:val="20"/>
                <w:szCs w:val="20"/>
              </w:rPr>
              <w:t>(Muir, Master)</w:t>
            </w:r>
          </w:p>
          <w:p w:rsidR="00A918CE" w:rsidRPr="00CF167D" w:rsidRDefault="000C68D7" w:rsidP="00A20911">
            <w:pPr>
              <w:jc w:val="both"/>
              <w:rPr>
                <w:rFonts w:eastAsia="Calibri"/>
                <w:sz w:val="20"/>
                <w:szCs w:val="20"/>
              </w:rPr>
            </w:pPr>
            <w:hyperlink r:id="rId27" w:history="1">
              <w:r w:rsidR="00A918CE" w:rsidRPr="00CF167D">
                <w:rPr>
                  <w:rFonts w:eastAsia="Calibri"/>
                  <w:color w:val="0000FF"/>
                  <w:sz w:val="20"/>
                  <w:szCs w:val="20"/>
                  <w:u w:val="single"/>
                </w:rPr>
                <w:t>2012 ONSC 3344</w:t>
              </w:r>
            </w:hyperlink>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Applicants ordered to pay respondents $290,830.72 pursuant to s. 6(6) plus pre and post judgment interest and costs of $25,000.</w:t>
            </w: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October 24, 2012</w:t>
            </w:r>
          </w:p>
          <w:p w:rsidR="00A918CE" w:rsidRPr="00CF167D" w:rsidRDefault="00A918CE" w:rsidP="00A20911">
            <w:pPr>
              <w:jc w:val="both"/>
              <w:rPr>
                <w:rFonts w:eastAsia="Calibri"/>
                <w:sz w:val="20"/>
                <w:szCs w:val="20"/>
              </w:rPr>
            </w:pPr>
            <w:r w:rsidRPr="00CF167D">
              <w:rPr>
                <w:rFonts w:eastAsia="Calibri"/>
                <w:sz w:val="20"/>
                <w:szCs w:val="20"/>
              </w:rPr>
              <w:t>Ontario Superior Court of Justice</w:t>
            </w:r>
          </w:p>
          <w:p w:rsidR="00A918CE" w:rsidRPr="00CF167D" w:rsidRDefault="00A918CE" w:rsidP="00A20911">
            <w:pPr>
              <w:jc w:val="both"/>
              <w:rPr>
                <w:rFonts w:eastAsia="Calibri"/>
                <w:sz w:val="20"/>
                <w:szCs w:val="20"/>
              </w:rPr>
            </w:pPr>
            <w:r w:rsidRPr="00CF167D">
              <w:rPr>
                <w:rFonts w:eastAsia="Calibri"/>
                <w:sz w:val="20"/>
                <w:szCs w:val="20"/>
              </w:rPr>
              <w:t>(Muir, Master)</w:t>
            </w:r>
          </w:p>
          <w:p w:rsidR="00A918CE" w:rsidRPr="00CF167D" w:rsidRDefault="000C68D7" w:rsidP="00A20911">
            <w:pPr>
              <w:jc w:val="both"/>
              <w:rPr>
                <w:rFonts w:eastAsia="Calibri"/>
                <w:sz w:val="20"/>
                <w:szCs w:val="20"/>
              </w:rPr>
            </w:pPr>
            <w:hyperlink r:id="rId28" w:history="1">
              <w:r w:rsidR="00A918CE" w:rsidRPr="00CF167D">
                <w:rPr>
                  <w:rFonts w:eastAsia="Calibri"/>
                  <w:color w:val="0000FF"/>
                  <w:sz w:val="20"/>
                  <w:szCs w:val="20"/>
                  <w:u w:val="single"/>
                </w:rPr>
                <w:t>2012 ONSC 6000</w:t>
              </w:r>
            </w:hyperlink>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Applicants granted leave to amend statement of defence to include claim for equitable set-off.</w:t>
            </w: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February 26, 2013</w:t>
            </w:r>
          </w:p>
          <w:p w:rsidR="00A918CE" w:rsidRPr="00CF167D" w:rsidRDefault="00A918CE" w:rsidP="00A20911">
            <w:pPr>
              <w:jc w:val="both"/>
              <w:rPr>
                <w:rFonts w:eastAsia="Calibri"/>
                <w:sz w:val="20"/>
                <w:szCs w:val="20"/>
              </w:rPr>
            </w:pPr>
            <w:r w:rsidRPr="00CF167D">
              <w:rPr>
                <w:rFonts w:eastAsia="Calibri"/>
                <w:sz w:val="20"/>
                <w:szCs w:val="20"/>
              </w:rPr>
              <w:t>Ontario Superior Court of Justice</w:t>
            </w:r>
          </w:p>
          <w:p w:rsidR="00A918CE" w:rsidRPr="00CF167D" w:rsidRDefault="00A918CE" w:rsidP="00A20911">
            <w:pPr>
              <w:jc w:val="both"/>
              <w:rPr>
                <w:rFonts w:eastAsia="Calibri"/>
                <w:sz w:val="20"/>
                <w:szCs w:val="20"/>
              </w:rPr>
            </w:pPr>
            <w:r w:rsidRPr="00CF167D">
              <w:rPr>
                <w:rFonts w:eastAsia="Calibri"/>
                <w:sz w:val="20"/>
                <w:szCs w:val="20"/>
              </w:rPr>
              <w:t>(Morgan J.)</w:t>
            </w:r>
          </w:p>
          <w:p w:rsidR="00A918CE" w:rsidRPr="00CF167D" w:rsidRDefault="000C68D7" w:rsidP="00A20911">
            <w:pPr>
              <w:jc w:val="both"/>
              <w:rPr>
                <w:rFonts w:eastAsia="Calibri"/>
                <w:sz w:val="20"/>
                <w:szCs w:val="20"/>
              </w:rPr>
            </w:pPr>
            <w:hyperlink r:id="rId29" w:history="1">
              <w:r w:rsidR="00A918CE" w:rsidRPr="00CF167D">
                <w:rPr>
                  <w:rFonts w:eastAsia="Calibri"/>
                  <w:color w:val="0000FF"/>
                  <w:sz w:val="20"/>
                  <w:szCs w:val="20"/>
                  <w:u w:val="single"/>
                </w:rPr>
                <w:t>2013 ONSC 1251</w:t>
              </w:r>
            </w:hyperlink>
            <w:r w:rsidR="00A918CE" w:rsidRPr="00CF167D">
              <w:rPr>
                <w:rFonts w:eastAsia="Calibri"/>
                <w:sz w:val="20"/>
                <w:szCs w:val="20"/>
              </w:rPr>
              <w:t xml:space="preserve"> </w:t>
            </w:r>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 xml:space="preserve">Respondents’ appeal from Master’s amendment order allowed in part.  Amendment allowed to stand but only applicable against potential damages to be awarded pursuant to s. 7 of </w:t>
            </w:r>
            <w:r w:rsidRPr="00CF167D">
              <w:rPr>
                <w:rFonts w:eastAsia="Calibri"/>
                <w:i/>
                <w:sz w:val="20"/>
                <w:szCs w:val="20"/>
              </w:rPr>
              <w:t>Wishart Act.</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March 1, 2013</w:t>
            </w:r>
          </w:p>
          <w:p w:rsidR="00A918CE" w:rsidRPr="00CF167D" w:rsidRDefault="00A918CE" w:rsidP="00A20911">
            <w:pPr>
              <w:jc w:val="both"/>
              <w:rPr>
                <w:rFonts w:eastAsia="Calibri"/>
                <w:sz w:val="20"/>
                <w:szCs w:val="20"/>
              </w:rPr>
            </w:pPr>
            <w:r w:rsidRPr="00CF167D">
              <w:rPr>
                <w:rFonts w:eastAsia="Calibri"/>
                <w:sz w:val="20"/>
                <w:szCs w:val="20"/>
              </w:rPr>
              <w:t>Ontario Superior Court of Justice</w:t>
            </w:r>
          </w:p>
          <w:p w:rsidR="00A918CE" w:rsidRPr="00CF167D" w:rsidRDefault="00A918CE" w:rsidP="00A20911">
            <w:pPr>
              <w:jc w:val="both"/>
              <w:rPr>
                <w:rFonts w:eastAsia="Calibri"/>
                <w:sz w:val="20"/>
                <w:szCs w:val="20"/>
              </w:rPr>
            </w:pPr>
            <w:r w:rsidRPr="00CF167D">
              <w:rPr>
                <w:rFonts w:eastAsia="Calibri"/>
                <w:sz w:val="20"/>
                <w:szCs w:val="20"/>
              </w:rPr>
              <w:t>(Lederman J.)</w:t>
            </w:r>
          </w:p>
          <w:p w:rsidR="00A918CE" w:rsidRPr="00CF167D" w:rsidRDefault="000C68D7" w:rsidP="00A20911">
            <w:pPr>
              <w:jc w:val="both"/>
              <w:rPr>
                <w:rFonts w:eastAsia="Calibri"/>
                <w:sz w:val="20"/>
                <w:szCs w:val="20"/>
              </w:rPr>
            </w:pPr>
            <w:hyperlink r:id="rId30" w:history="1">
              <w:r w:rsidR="00A918CE" w:rsidRPr="00CF167D">
                <w:rPr>
                  <w:rFonts w:eastAsia="Calibri"/>
                  <w:color w:val="0000FF"/>
                  <w:sz w:val="20"/>
                  <w:szCs w:val="20"/>
                  <w:u w:val="single"/>
                </w:rPr>
                <w:t>2013 ONSC 1232</w:t>
              </w:r>
            </w:hyperlink>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Applicants’ motion to oppose confirmation of Master’s Report on Reference, for variation of his findings and his award of costs dismissed.</w:t>
            </w: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lastRenderedPageBreak/>
              <w:t xml:space="preserve">October </w:t>
            </w:r>
            <w:r w:rsidR="00AA17FA">
              <w:rPr>
                <w:rFonts w:eastAsia="Calibri"/>
                <w:sz w:val="20"/>
                <w:szCs w:val="20"/>
              </w:rPr>
              <w:t>7</w:t>
            </w:r>
            <w:r w:rsidRPr="00CF167D">
              <w:rPr>
                <w:rFonts w:eastAsia="Calibri"/>
                <w:sz w:val="20"/>
                <w:szCs w:val="20"/>
              </w:rPr>
              <w:t>, 2013</w:t>
            </w:r>
          </w:p>
          <w:p w:rsidR="00A918CE" w:rsidRPr="00CF167D" w:rsidRDefault="00A918CE" w:rsidP="00A20911">
            <w:pPr>
              <w:jc w:val="both"/>
              <w:rPr>
                <w:rFonts w:eastAsia="Calibri"/>
                <w:sz w:val="20"/>
                <w:szCs w:val="20"/>
              </w:rPr>
            </w:pPr>
            <w:r w:rsidRPr="00CF167D">
              <w:rPr>
                <w:rFonts w:eastAsia="Calibri"/>
                <w:sz w:val="20"/>
                <w:szCs w:val="20"/>
              </w:rPr>
              <w:t>Court of Appeal for Ontario</w:t>
            </w:r>
          </w:p>
          <w:p w:rsidR="00A918CE" w:rsidRPr="00CF167D" w:rsidRDefault="00A918CE" w:rsidP="00A20911">
            <w:pPr>
              <w:jc w:val="both"/>
              <w:rPr>
                <w:rFonts w:eastAsia="Calibri"/>
                <w:sz w:val="20"/>
                <w:szCs w:val="20"/>
              </w:rPr>
            </w:pPr>
            <w:r w:rsidRPr="00CF167D">
              <w:rPr>
                <w:rFonts w:eastAsia="Calibri"/>
                <w:sz w:val="20"/>
                <w:szCs w:val="20"/>
              </w:rPr>
              <w:t>(MacPherson, Watt and Pepall (</w:t>
            </w:r>
            <w:r w:rsidRPr="00CF167D">
              <w:rPr>
                <w:rFonts w:eastAsia="Calibri"/>
                <w:i/>
                <w:sz w:val="20"/>
                <w:szCs w:val="20"/>
              </w:rPr>
              <w:t>ad hoc</w:t>
            </w:r>
            <w:r w:rsidRPr="00CF167D">
              <w:rPr>
                <w:rFonts w:eastAsia="Calibri"/>
                <w:sz w:val="20"/>
                <w:szCs w:val="20"/>
              </w:rPr>
              <w:t>) JJ.A.)</w:t>
            </w:r>
          </w:p>
          <w:p w:rsidR="00A918CE" w:rsidRPr="00CF167D" w:rsidRDefault="000C68D7" w:rsidP="00A20911">
            <w:pPr>
              <w:jc w:val="both"/>
              <w:rPr>
                <w:rFonts w:eastAsia="Calibri"/>
                <w:sz w:val="20"/>
                <w:szCs w:val="20"/>
              </w:rPr>
            </w:pPr>
            <w:hyperlink r:id="rId31" w:history="1">
              <w:r w:rsidR="00A918CE" w:rsidRPr="00CF167D">
                <w:rPr>
                  <w:rFonts w:eastAsia="Calibri"/>
                  <w:color w:val="0000FF"/>
                  <w:sz w:val="20"/>
                  <w:szCs w:val="20"/>
                  <w:u w:val="single"/>
                </w:rPr>
                <w:t>2013 ONCA 626</w:t>
              </w:r>
            </w:hyperlink>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Applicants’ appeals dismissed.</w:t>
            </w:r>
          </w:p>
          <w:p w:rsidR="00A918CE" w:rsidRPr="00CF167D" w:rsidRDefault="00A918CE" w:rsidP="00A20911">
            <w:pPr>
              <w:jc w:val="both"/>
              <w:rPr>
                <w:rFonts w:eastAsia="Calibri"/>
                <w:sz w:val="20"/>
                <w:szCs w:val="20"/>
              </w:rPr>
            </w:pPr>
          </w:p>
        </w:tc>
      </w:tr>
    </w:tbl>
    <w:p w:rsidR="00BC56B1" w:rsidRDefault="00BC56B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CF167D" w:rsidTr="00BC56B1">
        <w:trPr>
          <w:cantSplit/>
        </w:trPr>
        <w:tc>
          <w:tcPr>
            <w:tcW w:w="2427" w:type="pct"/>
          </w:tcPr>
          <w:p w:rsidR="00A918CE" w:rsidRPr="00CF167D" w:rsidRDefault="00A918CE" w:rsidP="00A20911">
            <w:pPr>
              <w:jc w:val="both"/>
              <w:rPr>
                <w:rFonts w:eastAsia="Calibri"/>
                <w:sz w:val="20"/>
                <w:szCs w:val="20"/>
              </w:rPr>
            </w:pPr>
            <w:r w:rsidRPr="00CF167D">
              <w:rPr>
                <w:rFonts w:eastAsia="Calibri"/>
                <w:sz w:val="20"/>
                <w:szCs w:val="20"/>
              </w:rPr>
              <w:lastRenderedPageBreak/>
              <w:t>December 9, 2013</w:t>
            </w:r>
          </w:p>
          <w:p w:rsidR="00A918CE" w:rsidRPr="00CF167D" w:rsidRDefault="00A918CE" w:rsidP="00A20911">
            <w:pPr>
              <w:jc w:val="both"/>
              <w:rPr>
                <w:rFonts w:eastAsia="Calibri"/>
                <w:sz w:val="20"/>
                <w:szCs w:val="20"/>
              </w:rPr>
            </w:pPr>
            <w:r w:rsidRPr="00CF167D">
              <w:rPr>
                <w:rFonts w:eastAsia="Calibri"/>
                <w:sz w:val="20"/>
                <w:szCs w:val="20"/>
              </w:rPr>
              <w:t>Supreme Court of Canada</w:t>
            </w: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Motion for extension of time to serve and file application for leave to appeal and application for leave to appeal filed.</w:t>
            </w:r>
          </w:p>
        </w:tc>
      </w:tr>
    </w:tbl>
    <w:p w:rsidR="00A918CE" w:rsidRDefault="00A918CE" w:rsidP="00A918CE">
      <w:pPr>
        <w:rPr>
          <w:sz w:val="20"/>
          <w:szCs w:val="20"/>
        </w:rPr>
      </w:pPr>
    </w:p>
    <w:p w:rsidR="00A918CE" w:rsidRPr="00C50A5C" w:rsidRDefault="000C68D7" w:rsidP="00A918CE">
      <w:pPr>
        <w:rPr>
          <w:sz w:val="20"/>
          <w:szCs w:val="20"/>
        </w:rPr>
      </w:pPr>
      <w:r>
        <w:rPr>
          <w:sz w:val="20"/>
          <w:szCs w:val="20"/>
          <w:lang w:val="fr-CA"/>
        </w:rPr>
        <w:pict>
          <v:rect id="_x0000_i1047" style="width:2in;height:1pt" o:hrpct="0" o:hralign="center" o:hrstd="t" o:hrnoshade="t" o:hr="t" fillcolor="black [3213]" stroked="f"/>
        </w:pict>
      </w:r>
    </w:p>
    <w:p w:rsidR="00A918CE" w:rsidRDefault="00A918CE" w:rsidP="00A918CE">
      <w:pPr>
        <w:rPr>
          <w:sz w:val="20"/>
          <w:szCs w:val="20"/>
        </w:rPr>
      </w:pPr>
    </w:p>
    <w:p w:rsidR="00A918CE" w:rsidRPr="001B157C" w:rsidRDefault="00A918CE" w:rsidP="00A918CE">
      <w:pPr>
        <w:rPr>
          <w:sz w:val="20"/>
          <w:szCs w:val="20"/>
          <w:u w:val="single"/>
          <w:lang w:val="fr-CA"/>
        </w:rPr>
      </w:pPr>
      <w:r w:rsidRPr="001B157C">
        <w:rPr>
          <w:sz w:val="20"/>
          <w:szCs w:val="20"/>
          <w:u w:val="single"/>
          <w:lang w:val="fr-CA"/>
        </w:rPr>
        <w:t>RÉSUMÉ DE L’AFFAIRE</w:t>
      </w:r>
    </w:p>
    <w:p w:rsidR="00A918CE" w:rsidRDefault="00A918CE" w:rsidP="00A918C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0C68D7" w:rsidTr="00A20911">
        <w:tc>
          <w:tcPr>
            <w:tcW w:w="5000" w:type="pct"/>
            <w:gridSpan w:val="3"/>
          </w:tcPr>
          <w:p w:rsidR="00A918CE" w:rsidRPr="00CF167D" w:rsidRDefault="00A918CE" w:rsidP="00A20911">
            <w:pPr>
              <w:jc w:val="both"/>
              <w:rPr>
                <w:rFonts w:eastAsia="Calibri"/>
                <w:sz w:val="20"/>
                <w:szCs w:val="20"/>
                <w:lang w:val="fr-CA"/>
              </w:rPr>
            </w:pPr>
            <w:r w:rsidRPr="00CF167D">
              <w:rPr>
                <w:rFonts w:eastAsia="Calibri"/>
                <w:sz w:val="20"/>
                <w:szCs w:val="20"/>
                <w:lang w:val="fr-CA"/>
              </w:rPr>
              <w:t xml:space="preserve">Droit commercial – Franchises – Exercice par les franchisés intimés du droit de résolution que leur confère la loi parce que les franchiseurs demandeurs ont omis de faire la divulgation requise – Obtention par les franchisés d’un jugement sommaire partiel fondé sur le par. 6(6) de la </w:t>
            </w:r>
            <w:r w:rsidRPr="00CF167D">
              <w:rPr>
                <w:rFonts w:eastAsia="Calibri"/>
                <w:i/>
                <w:sz w:val="20"/>
                <w:szCs w:val="20"/>
                <w:lang w:val="fr-CA"/>
              </w:rPr>
              <w:t>Loi Arthur Wishart de 2000</w:t>
            </w:r>
            <w:r w:rsidRPr="00CF167D">
              <w:rPr>
                <w:rFonts w:eastAsia="Calibri"/>
                <w:sz w:val="20"/>
                <w:szCs w:val="20"/>
                <w:lang w:val="fr-CA"/>
              </w:rPr>
              <w:t xml:space="preserve">, L.O. 2000, ch. 3 – Obtention par les franchiseurs d’une ordonnance de modification des actes de procédure visant à inclure une demande de compensation en </w:t>
            </w:r>
            <w:r w:rsidRPr="00CF167D">
              <w:rPr>
                <w:rFonts w:eastAsia="Calibri"/>
                <w:i/>
                <w:sz w:val="20"/>
                <w:szCs w:val="20"/>
                <w:lang w:val="fr-CA"/>
              </w:rPr>
              <w:t>equity</w:t>
            </w:r>
            <w:r w:rsidRPr="00CF167D">
              <w:rPr>
                <w:rFonts w:eastAsia="Calibri"/>
                <w:sz w:val="20"/>
                <w:szCs w:val="20"/>
                <w:lang w:val="fr-CA"/>
              </w:rPr>
              <w:t>, mais non pas en ce qui concerne les dommages</w:t>
            </w:r>
            <w:r w:rsidRPr="00CF167D">
              <w:rPr>
                <w:rFonts w:eastAsia="Calibri"/>
                <w:sz w:val="20"/>
                <w:szCs w:val="20"/>
                <w:lang w:val="fr-CA"/>
              </w:rPr>
              <w:noBreakHyphen/>
              <w:t>intérêts ordonnés en application du par. 6(6) – La décision de la Cour d’appel devrait</w:t>
            </w:r>
            <w:r w:rsidRPr="00CF167D">
              <w:rPr>
                <w:rFonts w:eastAsia="Calibri"/>
                <w:sz w:val="20"/>
                <w:szCs w:val="20"/>
                <w:lang w:val="fr-CA"/>
              </w:rPr>
              <w:noBreakHyphen/>
              <w:t xml:space="preserve">elle être maintenue? – La résolution réparatoire prévue par la </w:t>
            </w:r>
            <w:r w:rsidRPr="00CF167D">
              <w:rPr>
                <w:rFonts w:eastAsia="Calibri"/>
                <w:i/>
                <w:sz w:val="20"/>
                <w:szCs w:val="20"/>
                <w:lang w:val="fr-CA"/>
              </w:rPr>
              <w:t>Loi Wishart</w:t>
            </w:r>
            <w:r w:rsidRPr="00CF167D">
              <w:rPr>
                <w:rFonts w:eastAsia="Calibri"/>
                <w:sz w:val="20"/>
                <w:szCs w:val="20"/>
                <w:lang w:val="fr-CA"/>
              </w:rPr>
              <w:t xml:space="preserve"> a</w:t>
            </w:r>
            <w:r w:rsidRPr="00CF167D">
              <w:rPr>
                <w:rFonts w:eastAsia="Calibri"/>
                <w:sz w:val="20"/>
                <w:szCs w:val="20"/>
                <w:lang w:val="fr-CA"/>
              </w:rPr>
              <w:noBreakHyphen/>
              <w:t>t</w:t>
            </w:r>
            <w:r w:rsidRPr="00CF167D">
              <w:rPr>
                <w:rFonts w:eastAsia="Calibri"/>
                <w:sz w:val="20"/>
                <w:szCs w:val="20"/>
                <w:lang w:val="fr-CA"/>
              </w:rPr>
              <w:noBreakHyphen/>
              <w:t>elle un objectif et une portée purement restitutoires? – Les bénéfices nets réalisés par les franchisés dans l’exploitation de leur franchise devraient</w:t>
            </w:r>
            <w:r w:rsidRPr="00CF167D">
              <w:rPr>
                <w:rFonts w:eastAsia="Calibri"/>
                <w:sz w:val="20"/>
                <w:szCs w:val="20"/>
                <w:lang w:val="fr-CA"/>
              </w:rPr>
              <w:noBreakHyphen/>
              <w:t>ils être déduits de toute somme devant leur verser les franchiseurs à titre de dommages</w:t>
            </w:r>
            <w:r w:rsidRPr="00CF167D">
              <w:rPr>
                <w:rFonts w:eastAsia="Calibri"/>
                <w:sz w:val="20"/>
                <w:szCs w:val="20"/>
                <w:lang w:val="fr-CA"/>
              </w:rPr>
              <w:noBreakHyphen/>
              <w:t>intérêts? – Les demandeurs peuvent</w:t>
            </w:r>
            <w:r w:rsidRPr="00CF167D">
              <w:rPr>
                <w:rFonts w:eastAsia="Calibri"/>
                <w:sz w:val="20"/>
                <w:szCs w:val="20"/>
                <w:lang w:val="fr-CA"/>
              </w:rPr>
              <w:noBreakHyphen/>
              <w:t xml:space="preserve">ils modifier leurs actes de procédure pour faire valoir une défense de compensation en </w:t>
            </w:r>
            <w:r w:rsidRPr="00CF167D">
              <w:rPr>
                <w:rFonts w:eastAsia="Calibri"/>
                <w:i/>
                <w:sz w:val="20"/>
                <w:szCs w:val="20"/>
                <w:lang w:val="fr-CA"/>
              </w:rPr>
              <w:t>equity</w:t>
            </w:r>
            <w:r w:rsidRPr="00CF167D">
              <w:rPr>
                <w:rFonts w:eastAsia="Calibri"/>
                <w:sz w:val="20"/>
                <w:szCs w:val="20"/>
                <w:lang w:val="fr-CA"/>
              </w:rPr>
              <w:t xml:space="preserve"> visant l’ensemble de la demande des intimés? </w:t>
            </w:r>
          </w:p>
        </w:tc>
      </w:tr>
      <w:tr w:rsidR="00A918CE" w:rsidRPr="000C68D7" w:rsidTr="00A20911">
        <w:tc>
          <w:tcPr>
            <w:tcW w:w="5000" w:type="pct"/>
            <w:gridSpan w:val="3"/>
          </w:tcPr>
          <w:p w:rsidR="00A918CE" w:rsidRPr="00CF167D" w:rsidRDefault="00A918CE" w:rsidP="00A20911">
            <w:pPr>
              <w:jc w:val="both"/>
              <w:rPr>
                <w:rFonts w:eastAsia="Calibri"/>
                <w:sz w:val="20"/>
                <w:szCs w:val="20"/>
                <w:lang w:val="fr-CA"/>
              </w:rPr>
            </w:pPr>
          </w:p>
        </w:tc>
      </w:tr>
      <w:tr w:rsidR="00A918CE" w:rsidRPr="000C68D7" w:rsidTr="00A20911">
        <w:tc>
          <w:tcPr>
            <w:tcW w:w="5000" w:type="pct"/>
            <w:gridSpan w:val="3"/>
          </w:tcPr>
          <w:p w:rsidR="00A918CE" w:rsidRPr="00CF167D" w:rsidRDefault="00A918CE" w:rsidP="00A20911">
            <w:pPr>
              <w:jc w:val="both"/>
              <w:rPr>
                <w:rFonts w:eastAsia="Calibri"/>
                <w:sz w:val="20"/>
                <w:szCs w:val="20"/>
                <w:lang w:val="fr-CA"/>
              </w:rPr>
            </w:pPr>
            <w:r w:rsidRPr="00CF167D">
              <w:rPr>
                <w:rFonts w:eastAsia="Calibri"/>
                <w:sz w:val="20"/>
                <w:szCs w:val="20"/>
                <w:lang w:val="fr-CA"/>
              </w:rPr>
              <w:t>Les intimés sont d’anciens franchisés de Pizza Depot, une chaîne de pizzerias franchisée appartenant aux demandeurs (collectivement « Springdale ») et exploitée par ceux</w:t>
            </w:r>
            <w:r w:rsidRPr="00CF167D">
              <w:rPr>
                <w:rFonts w:eastAsia="Calibri"/>
                <w:sz w:val="20"/>
                <w:szCs w:val="20"/>
                <w:lang w:val="fr-CA"/>
              </w:rPr>
              <w:noBreakHyphen/>
              <w:t xml:space="preserve">ci.  Lorsqu’elle a vendu sa franchise aux intimés, Sprindale ne leur a pas fait la divulgation requise par la </w:t>
            </w:r>
            <w:r w:rsidRPr="00CF167D">
              <w:rPr>
                <w:rFonts w:eastAsia="Calibri"/>
                <w:i/>
                <w:sz w:val="20"/>
                <w:szCs w:val="20"/>
                <w:lang w:val="fr-CA"/>
              </w:rPr>
              <w:t>Loi Wishart</w:t>
            </w:r>
            <w:r w:rsidRPr="00CF167D">
              <w:rPr>
                <w:rFonts w:eastAsia="Calibri"/>
                <w:sz w:val="20"/>
                <w:szCs w:val="20"/>
                <w:lang w:val="fr-CA"/>
              </w:rPr>
              <w:t xml:space="preserve">.  Les intimés ont alors exercé leur droit conféré par la loi de résoudre le contrat et exigé le paiement des sommes qui leur étaient dues en application du par. 6(6).  Quand Springdale a refusé de payer, les intimés ont intenté une action en vue d’obtenir : un jugement déclaratoire selon lequel ils avaient validement résolu le contrat de franchisage, le versement des sommes auxquelles ils avaient droit suivant le par. 6(6) </w:t>
            </w:r>
            <w:r w:rsidRPr="00CF167D">
              <w:rPr>
                <w:rFonts w:eastAsia="Calibri"/>
                <w:i/>
                <w:sz w:val="20"/>
                <w:szCs w:val="20"/>
                <w:lang w:val="fr-CA"/>
              </w:rPr>
              <w:t>Loi Wishart</w:t>
            </w:r>
            <w:r w:rsidRPr="00CF167D">
              <w:rPr>
                <w:rFonts w:eastAsia="Calibri"/>
                <w:sz w:val="20"/>
                <w:szCs w:val="20"/>
                <w:lang w:val="fr-CA"/>
              </w:rPr>
              <w:t xml:space="preserve"> et des dommages</w:t>
            </w:r>
            <w:r w:rsidRPr="00CF167D">
              <w:rPr>
                <w:rFonts w:eastAsia="Calibri"/>
                <w:sz w:val="20"/>
                <w:szCs w:val="20"/>
                <w:lang w:val="fr-CA"/>
              </w:rPr>
              <w:noBreakHyphen/>
              <w:t xml:space="preserve">intérêts en application de l’art. 7 de cette loi.  Les intimés ont également retiré l’équipement et les tenures à bail qui se trouvaient dans les locaux de la franchise, et causé à cette occasion des dommages.  Le 29 juin 2010, les intimés ont déposé une motion en jugement sommaire partiel. </w:t>
            </w:r>
          </w:p>
          <w:p w:rsidR="00A918CE" w:rsidRPr="00CF167D" w:rsidRDefault="00A918CE" w:rsidP="00A20911">
            <w:pPr>
              <w:jc w:val="both"/>
              <w:rPr>
                <w:rFonts w:eastAsia="Calibri"/>
                <w:sz w:val="20"/>
                <w:szCs w:val="20"/>
                <w:lang w:val="fr-CA"/>
              </w:rPr>
            </w:pP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26 juin 2010</w:t>
            </w:r>
          </w:p>
          <w:p w:rsidR="00A918CE" w:rsidRPr="00CF167D" w:rsidRDefault="00A918CE" w:rsidP="00A20911">
            <w:pPr>
              <w:jc w:val="both"/>
              <w:rPr>
                <w:rFonts w:eastAsia="Calibri"/>
                <w:sz w:val="20"/>
                <w:szCs w:val="20"/>
                <w:lang w:val="fr-CA"/>
              </w:rPr>
            </w:pPr>
            <w:r w:rsidRPr="00CF167D">
              <w:rPr>
                <w:rFonts w:eastAsia="Calibri"/>
                <w:sz w:val="20"/>
                <w:szCs w:val="20"/>
                <w:lang w:val="fr-CA"/>
              </w:rPr>
              <w:t xml:space="preserve">Cour supérieure de justice de l’Ontario </w:t>
            </w:r>
          </w:p>
          <w:p w:rsidR="00A918CE" w:rsidRPr="00CF167D" w:rsidRDefault="00A918CE" w:rsidP="00A20911">
            <w:pPr>
              <w:jc w:val="both"/>
              <w:rPr>
                <w:rFonts w:eastAsia="Calibri"/>
                <w:sz w:val="20"/>
                <w:szCs w:val="20"/>
                <w:lang w:val="fr-CA"/>
              </w:rPr>
            </w:pPr>
            <w:r w:rsidRPr="00CF167D">
              <w:rPr>
                <w:rFonts w:eastAsia="Calibri"/>
                <w:sz w:val="20"/>
                <w:szCs w:val="20"/>
                <w:lang w:val="fr-CA"/>
              </w:rPr>
              <w:t>(Juge Wilson)</w:t>
            </w:r>
          </w:p>
          <w:p w:rsidR="00A918CE" w:rsidRPr="00CF167D" w:rsidRDefault="000C68D7" w:rsidP="00A20911">
            <w:pPr>
              <w:jc w:val="both"/>
              <w:rPr>
                <w:rFonts w:eastAsia="Calibri"/>
                <w:sz w:val="20"/>
                <w:szCs w:val="20"/>
                <w:lang w:val="fr-CA"/>
              </w:rPr>
            </w:pPr>
            <w:hyperlink r:id="rId32" w:history="1">
              <w:r w:rsidR="00A918CE" w:rsidRPr="00CF167D">
                <w:rPr>
                  <w:rFonts w:eastAsia="Calibri"/>
                  <w:color w:val="0000FF"/>
                  <w:sz w:val="20"/>
                  <w:szCs w:val="20"/>
                  <w:u w:val="single"/>
                  <w:lang w:val="fr-CA"/>
                </w:rPr>
                <w:t>2010 ONSC 3695</w:t>
              </w:r>
            </w:hyperlink>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 xml:space="preserve">Motion des intimés en vue d’obtenir un jugement sommaire partiel accueillie; jugement déclaratoire selon lequel le contrat de franchisage a validement été résolu; demandeurs condamnés à payer aux intimés les sommes qui leur sont dues en application du par. 6(6) de la </w:t>
            </w:r>
            <w:r w:rsidRPr="00CF167D">
              <w:rPr>
                <w:rFonts w:eastAsia="Calibri"/>
                <w:i/>
                <w:sz w:val="20"/>
                <w:szCs w:val="20"/>
                <w:lang w:val="fr-CA"/>
              </w:rPr>
              <w:t>Loi Wishart</w:t>
            </w:r>
            <w:r w:rsidRPr="00CF167D">
              <w:rPr>
                <w:rFonts w:eastAsia="Calibri"/>
                <w:sz w:val="20"/>
                <w:szCs w:val="20"/>
                <w:lang w:val="fr-CA"/>
              </w:rPr>
              <w:t>; les sommes à payer doivent être déterminées par renvoi.</w:t>
            </w:r>
          </w:p>
          <w:p w:rsidR="00A918CE" w:rsidRPr="00CF167D" w:rsidRDefault="00A918CE" w:rsidP="00A20911">
            <w:pPr>
              <w:jc w:val="both"/>
              <w:rPr>
                <w:rFonts w:eastAsia="Calibri"/>
                <w:sz w:val="20"/>
                <w:szCs w:val="20"/>
                <w:lang w:val="fr-CA"/>
              </w:rPr>
            </w:pPr>
          </w:p>
        </w:tc>
      </w:tr>
      <w:tr w:rsidR="00A918CE" w:rsidRPr="00CF167D"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22 juin 2011</w:t>
            </w:r>
          </w:p>
          <w:p w:rsidR="00A918CE" w:rsidRPr="00CF167D" w:rsidRDefault="00A918CE" w:rsidP="00A20911">
            <w:pPr>
              <w:jc w:val="both"/>
              <w:rPr>
                <w:rFonts w:eastAsia="Calibri"/>
                <w:sz w:val="20"/>
                <w:szCs w:val="20"/>
                <w:lang w:val="fr-CA"/>
              </w:rPr>
            </w:pPr>
            <w:r w:rsidRPr="00CF167D">
              <w:rPr>
                <w:rFonts w:eastAsia="Calibri"/>
                <w:sz w:val="20"/>
                <w:szCs w:val="20"/>
                <w:lang w:val="fr-CA"/>
              </w:rPr>
              <w:t>Cour d’appel de l’Ontario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(Juges Sharpe, Gillese et Karakatsanis)</w:t>
            </w:r>
          </w:p>
          <w:p w:rsidR="00A918CE" w:rsidRPr="00CF167D" w:rsidRDefault="000C68D7" w:rsidP="00A20911">
            <w:pPr>
              <w:jc w:val="both"/>
              <w:rPr>
                <w:rFonts w:eastAsia="Calibri"/>
                <w:sz w:val="20"/>
                <w:szCs w:val="20"/>
                <w:lang w:val="fr-CA"/>
              </w:rPr>
            </w:pPr>
            <w:hyperlink r:id="rId33" w:history="1">
              <w:r w:rsidR="00A918CE" w:rsidRPr="00CF167D">
                <w:rPr>
                  <w:rFonts w:eastAsia="Calibri"/>
                  <w:color w:val="0000FF"/>
                  <w:sz w:val="20"/>
                  <w:szCs w:val="20"/>
                  <w:u w:val="single"/>
                  <w:lang w:val="fr-CA"/>
                </w:rPr>
                <w:t>2011 ONCA 467</w:t>
              </w:r>
            </w:hyperlink>
            <w:r w:rsidR="00A918CE" w:rsidRPr="00CF167D">
              <w:rPr>
                <w:rFonts w:eastAsia="Calibri"/>
                <w:sz w:val="20"/>
                <w:szCs w:val="20"/>
                <w:lang w:val="fr-CA"/>
              </w:rPr>
              <w:t xml:space="preserve"> </w:t>
            </w:r>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Appel des demandeurs rejeté.</w:t>
            </w: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11 juin 2012</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supérieure de justice de l’Ontario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(Protonotaire Muir)</w:t>
            </w:r>
          </w:p>
          <w:p w:rsidR="00A918CE" w:rsidRPr="00CF167D" w:rsidRDefault="000C68D7" w:rsidP="00A20911">
            <w:pPr>
              <w:jc w:val="both"/>
              <w:rPr>
                <w:rFonts w:eastAsia="Calibri"/>
                <w:sz w:val="20"/>
                <w:szCs w:val="20"/>
                <w:lang w:val="fr-CA"/>
              </w:rPr>
            </w:pPr>
            <w:hyperlink r:id="rId34" w:history="1">
              <w:r w:rsidR="00A918CE" w:rsidRPr="00CF167D">
                <w:rPr>
                  <w:rFonts w:eastAsia="Calibri"/>
                  <w:color w:val="0000FF"/>
                  <w:sz w:val="20"/>
                  <w:szCs w:val="20"/>
                  <w:u w:val="single"/>
                  <w:lang w:val="fr-CA"/>
                </w:rPr>
                <w:t>2012 ONSC 3344</w:t>
              </w:r>
            </w:hyperlink>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Ordonnance intimant aux demandeurs de verser aux intimés 290 830,72 $ en application du par. 6(6) ainsi que des intérêts avant et après jugement et des dépens s’élevant à 25 000 $.</w:t>
            </w: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lastRenderedPageBreak/>
              <w:t>24 octobre 2012</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supérieure de justice de l’Ontario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(Protonotaire Muir)</w:t>
            </w:r>
          </w:p>
          <w:p w:rsidR="00A918CE" w:rsidRPr="00CF167D" w:rsidRDefault="000C68D7" w:rsidP="00A20911">
            <w:pPr>
              <w:jc w:val="both"/>
              <w:rPr>
                <w:rFonts w:eastAsia="Calibri"/>
                <w:sz w:val="20"/>
                <w:szCs w:val="20"/>
                <w:lang w:val="fr-CA"/>
              </w:rPr>
            </w:pPr>
            <w:hyperlink r:id="rId35" w:history="1">
              <w:r w:rsidR="00A918CE" w:rsidRPr="00CF167D">
                <w:rPr>
                  <w:rFonts w:eastAsia="Calibri"/>
                  <w:color w:val="0000FF"/>
                  <w:sz w:val="20"/>
                  <w:szCs w:val="20"/>
                  <w:u w:val="single"/>
                  <w:lang w:val="fr-CA"/>
                </w:rPr>
                <w:t>2012 ONSC 6000</w:t>
              </w:r>
            </w:hyperlink>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 xml:space="preserve">Demandeurs autorisés à modifier leur défense pour y inclure une demande de compensation en </w:t>
            </w:r>
            <w:r w:rsidRPr="00CF167D">
              <w:rPr>
                <w:rFonts w:eastAsia="Calibri"/>
                <w:i/>
                <w:sz w:val="20"/>
                <w:szCs w:val="20"/>
                <w:lang w:val="fr-CA"/>
              </w:rPr>
              <w:t>equity</w:t>
            </w:r>
            <w:r w:rsidRPr="00CF167D">
              <w:rPr>
                <w:rFonts w:eastAsia="Calibri"/>
                <w:sz w:val="20"/>
                <w:szCs w:val="20"/>
                <w:lang w:val="fr-CA"/>
              </w:rPr>
              <w:t>.</w:t>
            </w: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26 février 2013</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supérieure de justice de l’Ontario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(Juge Morgan)</w:t>
            </w:r>
          </w:p>
          <w:p w:rsidR="00A918CE" w:rsidRPr="00CF167D" w:rsidRDefault="000C68D7" w:rsidP="00A20911">
            <w:pPr>
              <w:jc w:val="both"/>
              <w:rPr>
                <w:rFonts w:eastAsia="Calibri"/>
                <w:sz w:val="20"/>
                <w:szCs w:val="20"/>
                <w:lang w:val="fr-CA"/>
              </w:rPr>
            </w:pPr>
            <w:hyperlink r:id="rId36" w:history="1">
              <w:r w:rsidR="00A918CE" w:rsidRPr="00CF167D">
                <w:rPr>
                  <w:rFonts w:eastAsia="Calibri"/>
                  <w:color w:val="0000FF"/>
                  <w:sz w:val="20"/>
                  <w:szCs w:val="20"/>
                  <w:u w:val="single"/>
                  <w:lang w:val="fr-CA"/>
                </w:rPr>
                <w:t>2013 ONSC 1251</w:t>
              </w:r>
            </w:hyperlink>
            <w:r w:rsidR="00A918CE" w:rsidRPr="00CF167D">
              <w:rPr>
                <w:rFonts w:eastAsia="Calibri"/>
                <w:sz w:val="20"/>
                <w:szCs w:val="20"/>
                <w:lang w:val="fr-CA"/>
              </w:rPr>
              <w:t xml:space="preserve"> </w:t>
            </w:r>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Appel des intimés contre l’ordonnance de modification du protonotaire accueilli en partie.  Modification confirmée, mais applicable uniquement aux dommages</w:t>
            </w:r>
            <w:r w:rsidRPr="00CF167D">
              <w:rPr>
                <w:rFonts w:eastAsia="Calibri"/>
                <w:sz w:val="20"/>
                <w:szCs w:val="20"/>
                <w:lang w:val="fr-CA"/>
              </w:rPr>
              <w:noBreakHyphen/>
              <w:t xml:space="preserve">intérêts susceptibles d’être accordés suivant l’art. 7 de la </w:t>
            </w:r>
            <w:r w:rsidRPr="00CF167D">
              <w:rPr>
                <w:rFonts w:eastAsia="Calibri"/>
                <w:i/>
                <w:sz w:val="20"/>
                <w:szCs w:val="20"/>
                <w:lang w:val="fr-CA"/>
              </w:rPr>
              <w:t>Loi Wishart</w:t>
            </w:r>
            <w:r w:rsidRPr="00CF167D">
              <w:rPr>
                <w:rFonts w:eastAsia="Calibri"/>
                <w:sz w:val="20"/>
                <w:szCs w:val="20"/>
                <w:lang w:val="fr-CA"/>
              </w:rPr>
              <w:t>.</w:t>
            </w:r>
          </w:p>
          <w:p w:rsidR="00A918CE" w:rsidRPr="00CF167D" w:rsidRDefault="00A918CE" w:rsidP="00A20911">
            <w:pPr>
              <w:jc w:val="both"/>
              <w:rPr>
                <w:rFonts w:eastAsia="Calibri"/>
                <w:sz w:val="20"/>
                <w:szCs w:val="20"/>
                <w:lang w:val="fr-CA"/>
              </w:rPr>
            </w:pP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1</w:t>
            </w:r>
            <w:r w:rsidRPr="00CF167D">
              <w:rPr>
                <w:rFonts w:eastAsia="Calibri"/>
                <w:sz w:val="20"/>
                <w:szCs w:val="20"/>
                <w:vertAlign w:val="superscript"/>
                <w:lang w:val="fr-CA"/>
              </w:rPr>
              <w:t>er</w:t>
            </w:r>
            <w:r w:rsidRPr="00CF167D">
              <w:rPr>
                <w:rFonts w:eastAsia="Calibri"/>
                <w:sz w:val="20"/>
                <w:szCs w:val="20"/>
                <w:lang w:val="fr-CA"/>
              </w:rPr>
              <w:t xml:space="preserve"> mars 2013</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supérieure de justice de l’Ontario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(Juge Lederman)</w:t>
            </w:r>
          </w:p>
          <w:p w:rsidR="00A918CE" w:rsidRPr="00CF167D" w:rsidRDefault="000C68D7" w:rsidP="00A20911">
            <w:pPr>
              <w:jc w:val="both"/>
              <w:rPr>
                <w:rFonts w:eastAsia="Calibri"/>
                <w:sz w:val="20"/>
                <w:szCs w:val="20"/>
                <w:lang w:val="fr-CA"/>
              </w:rPr>
            </w:pPr>
            <w:hyperlink r:id="rId37" w:history="1">
              <w:r w:rsidR="00A918CE" w:rsidRPr="00CF167D">
                <w:rPr>
                  <w:rFonts w:eastAsia="Calibri"/>
                  <w:color w:val="0000FF"/>
                  <w:sz w:val="20"/>
                  <w:szCs w:val="20"/>
                  <w:u w:val="single"/>
                  <w:lang w:val="fr-CA"/>
                </w:rPr>
                <w:t>2013 ONSC 1232</w:t>
              </w:r>
            </w:hyperlink>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Motion présentée par les demandeurs en opposition de la confirmation du rapport sur le renvoi établi par le protonotaire, et pour que soient modifiées ses conclusions et son ordonnance relative aux dépens, rejetée.</w:t>
            </w:r>
          </w:p>
          <w:p w:rsidR="00A918CE" w:rsidRPr="00CF167D" w:rsidRDefault="00A918CE" w:rsidP="00A20911">
            <w:pPr>
              <w:jc w:val="both"/>
              <w:rPr>
                <w:rFonts w:eastAsia="Calibri"/>
                <w:sz w:val="20"/>
                <w:szCs w:val="20"/>
                <w:lang w:val="fr-CA"/>
              </w:rPr>
            </w:pPr>
          </w:p>
        </w:tc>
      </w:tr>
      <w:tr w:rsidR="00A918CE" w:rsidRPr="00CF167D" w:rsidTr="00A20911">
        <w:tc>
          <w:tcPr>
            <w:tcW w:w="2427" w:type="pct"/>
          </w:tcPr>
          <w:p w:rsidR="00A918CE" w:rsidRPr="00CF167D" w:rsidRDefault="00AA17FA" w:rsidP="00A20911">
            <w:pPr>
              <w:jc w:val="both"/>
              <w:rPr>
                <w:rFonts w:eastAsia="Calibri"/>
                <w:sz w:val="20"/>
                <w:szCs w:val="20"/>
                <w:lang w:val="fr-CA"/>
              </w:rPr>
            </w:pPr>
            <w:r>
              <w:rPr>
                <w:rFonts w:eastAsia="Calibri"/>
                <w:sz w:val="20"/>
                <w:szCs w:val="20"/>
                <w:lang w:val="fr-CA"/>
              </w:rPr>
              <w:t>7</w:t>
            </w:r>
            <w:r w:rsidR="00A918CE" w:rsidRPr="00CF167D">
              <w:rPr>
                <w:rFonts w:eastAsia="Calibri"/>
                <w:sz w:val="20"/>
                <w:szCs w:val="20"/>
                <w:lang w:val="fr-CA"/>
              </w:rPr>
              <w:t xml:space="preserve"> octobre 2013</w:t>
            </w:r>
          </w:p>
          <w:p w:rsidR="00A918CE" w:rsidRPr="00CF167D" w:rsidRDefault="00A918CE" w:rsidP="00A20911">
            <w:pPr>
              <w:jc w:val="both"/>
              <w:rPr>
                <w:rFonts w:eastAsia="Calibri"/>
                <w:sz w:val="20"/>
                <w:szCs w:val="20"/>
                <w:lang w:val="fr-CA"/>
              </w:rPr>
            </w:pPr>
            <w:r w:rsidRPr="00CF167D">
              <w:rPr>
                <w:rFonts w:eastAsia="Calibri"/>
                <w:sz w:val="20"/>
                <w:szCs w:val="20"/>
                <w:lang w:val="fr-CA"/>
              </w:rPr>
              <w:t>Cour d’appel de l’Ontario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(Juges MacPherson, Watt et Pepall (</w:t>
            </w:r>
            <w:r w:rsidRPr="00CF167D">
              <w:rPr>
                <w:rFonts w:eastAsia="Calibri"/>
                <w:i/>
                <w:sz w:val="20"/>
                <w:szCs w:val="20"/>
                <w:lang w:val="fr-CA"/>
              </w:rPr>
              <w:t>ad hoc</w:t>
            </w:r>
            <w:r w:rsidRPr="00CF167D">
              <w:rPr>
                <w:rFonts w:eastAsia="Calibri"/>
                <w:sz w:val="20"/>
                <w:szCs w:val="20"/>
                <w:lang w:val="fr-CA"/>
              </w:rPr>
              <w:t>))</w:t>
            </w:r>
          </w:p>
          <w:p w:rsidR="00A918CE" w:rsidRPr="00CF167D" w:rsidRDefault="000C68D7" w:rsidP="00A20911">
            <w:pPr>
              <w:jc w:val="both"/>
              <w:rPr>
                <w:rFonts w:eastAsia="Calibri"/>
                <w:sz w:val="20"/>
                <w:szCs w:val="20"/>
                <w:lang w:val="fr-CA"/>
              </w:rPr>
            </w:pPr>
            <w:hyperlink r:id="rId38" w:history="1">
              <w:r w:rsidR="00A918CE" w:rsidRPr="00CF167D">
                <w:rPr>
                  <w:rFonts w:eastAsia="Calibri"/>
                  <w:color w:val="0000FF"/>
                  <w:sz w:val="20"/>
                  <w:szCs w:val="20"/>
                  <w:u w:val="single"/>
                  <w:lang w:val="fr-CA"/>
                </w:rPr>
                <w:t>2013 ONCA 626</w:t>
              </w:r>
            </w:hyperlink>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Appels des demandeurs rejetés.</w:t>
            </w:r>
          </w:p>
          <w:p w:rsidR="00A918CE" w:rsidRPr="00CF167D" w:rsidRDefault="00A918CE" w:rsidP="00A20911">
            <w:pPr>
              <w:jc w:val="both"/>
              <w:rPr>
                <w:rFonts w:eastAsia="Calibri"/>
                <w:sz w:val="20"/>
                <w:szCs w:val="20"/>
                <w:lang w:val="fr-CA"/>
              </w:rPr>
            </w:pP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9 décembre 2013</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suprême du Canada</w:t>
            </w: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Requête en prorogation du délai de signification et de dépôt de la demande d’autorisation d’appel et demande d’autorisation d’appel, déposées.</w:t>
            </w:r>
          </w:p>
        </w:tc>
      </w:tr>
    </w:tbl>
    <w:p w:rsidR="00A918CE" w:rsidRPr="00A918CE" w:rsidRDefault="00A918CE" w:rsidP="00A918CE">
      <w:pPr>
        <w:rPr>
          <w:sz w:val="20"/>
          <w:szCs w:val="20"/>
          <w:lang w:val="fr-CA"/>
        </w:rPr>
      </w:pPr>
    </w:p>
    <w:p w:rsidR="00A918CE" w:rsidRDefault="000C68D7" w:rsidP="00A918CE">
      <w:pPr>
        <w:rPr>
          <w:sz w:val="20"/>
          <w:szCs w:val="20"/>
        </w:rPr>
      </w:pPr>
      <w:r>
        <w:rPr>
          <w:sz w:val="20"/>
          <w:szCs w:val="20"/>
          <w:lang w:val="fr-CA"/>
        </w:rPr>
        <w:pict>
          <v:rect id="_x0000_i1048" style="width:2in;height:1pt" o:hrpct="0" o:hralign="center" o:hrstd="t" o:hrnoshade="t" o:hr="t" fillcolor="black [3213]" stroked="f"/>
        </w:pict>
      </w:r>
    </w:p>
    <w:p w:rsidR="00A918CE" w:rsidRDefault="00A918CE" w:rsidP="00A918C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C56B1" w:rsidRPr="00D1119A" w:rsidTr="00C5390A">
        <w:trPr>
          <w:cantSplit/>
        </w:trPr>
        <w:tc>
          <w:tcPr>
            <w:tcW w:w="1458" w:type="dxa"/>
          </w:tcPr>
          <w:p w:rsidR="00BC56B1" w:rsidRPr="00D1119A" w:rsidRDefault="00BC56B1" w:rsidP="00C5390A">
            <w:pPr>
              <w:rPr>
                <w:sz w:val="20"/>
                <w:szCs w:val="20"/>
              </w:rPr>
            </w:pPr>
            <w:r w:rsidRPr="00D1119A">
              <w:rPr>
                <w:rStyle w:val="SCCFileNumberChar"/>
                <w:sz w:val="20"/>
                <w:szCs w:val="20"/>
              </w:rPr>
              <w:t>35666</w:t>
            </w:r>
          </w:p>
          <w:p w:rsidR="00BC56B1" w:rsidRPr="00D1119A" w:rsidRDefault="00BC56B1" w:rsidP="00C5390A">
            <w:pPr>
              <w:rPr>
                <w:b/>
                <w:sz w:val="20"/>
                <w:szCs w:val="20"/>
                <w:lang w:val="fr-CA"/>
              </w:rPr>
            </w:pPr>
          </w:p>
        </w:tc>
        <w:tc>
          <w:tcPr>
            <w:tcW w:w="8118" w:type="dxa"/>
          </w:tcPr>
          <w:p w:rsidR="00BC56B1" w:rsidRPr="00D1119A" w:rsidRDefault="00BC56B1" w:rsidP="00C5390A">
            <w:pPr>
              <w:rPr>
                <w:sz w:val="20"/>
                <w:szCs w:val="20"/>
              </w:rPr>
            </w:pPr>
            <w:r w:rsidRPr="00BC56B1">
              <w:rPr>
                <w:rStyle w:val="SCCLsocChar"/>
                <w:sz w:val="20"/>
                <w:szCs w:val="20"/>
                <w:lang w:val="en-CA"/>
              </w:rPr>
              <w:t>Nicola Puddicombe v. Her Majesty the Queen</w:t>
            </w:r>
            <w:r w:rsidRPr="00D1119A">
              <w:rPr>
                <w:sz w:val="20"/>
                <w:szCs w:val="20"/>
              </w:rPr>
              <w:t xml:space="preserve"> (Ont.) (Criminal) (By Leave)</w:t>
            </w:r>
          </w:p>
          <w:p w:rsidR="00BC56B1" w:rsidRPr="00D1119A" w:rsidRDefault="00BC56B1" w:rsidP="00C5390A">
            <w:pPr>
              <w:rPr>
                <w:sz w:val="20"/>
                <w:szCs w:val="20"/>
              </w:rPr>
            </w:pPr>
          </w:p>
        </w:tc>
      </w:tr>
      <w:tr w:rsidR="00BC56B1" w:rsidRPr="00D1119A" w:rsidTr="00C5390A">
        <w:trPr>
          <w:cantSplit/>
        </w:trPr>
        <w:tc>
          <w:tcPr>
            <w:tcW w:w="1458" w:type="dxa"/>
          </w:tcPr>
          <w:p w:rsidR="00BC56B1" w:rsidRPr="00D1119A" w:rsidRDefault="00BC56B1" w:rsidP="00C5390A">
            <w:pPr>
              <w:rPr>
                <w:sz w:val="20"/>
                <w:szCs w:val="20"/>
              </w:rPr>
            </w:pPr>
            <w:r w:rsidRPr="00D1119A">
              <w:rPr>
                <w:sz w:val="20"/>
                <w:szCs w:val="20"/>
              </w:rPr>
              <w:t>Coram :</w:t>
            </w:r>
          </w:p>
        </w:tc>
        <w:tc>
          <w:tcPr>
            <w:tcW w:w="8118" w:type="dxa"/>
          </w:tcPr>
          <w:p w:rsidR="00BC56B1" w:rsidRPr="00D1119A" w:rsidRDefault="00BC56B1" w:rsidP="00C5390A">
            <w:pPr>
              <w:rPr>
                <w:sz w:val="20"/>
                <w:szCs w:val="20"/>
              </w:rPr>
            </w:pPr>
            <w:r w:rsidRPr="00BC56B1">
              <w:rPr>
                <w:rStyle w:val="SCCCoramChar"/>
                <w:sz w:val="20"/>
                <w:szCs w:val="20"/>
                <w:lang w:val="en-CA"/>
              </w:rPr>
              <w:t>Abella, Rothstein and Moldaver JJ.</w:t>
            </w:r>
          </w:p>
          <w:p w:rsidR="00BC56B1" w:rsidRPr="00D1119A" w:rsidRDefault="00BC56B1" w:rsidP="00C5390A">
            <w:pPr>
              <w:rPr>
                <w:sz w:val="20"/>
                <w:szCs w:val="20"/>
                <w:u w:val="single"/>
              </w:rPr>
            </w:pPr>
          </w:p>
        </w:tc>
      </w:tr>
      <w:tr w:rsidR="00BC56B1" w:rsidRPr="000C68D7" w:rsidTr="00C5390A">
        <w:trPr>
          <w:cantSplit/>
        </w:trPr>
        <w:tc>
          <w:tcPr>
            <w:tcW w:w="9576" w:type="dxa"/>
            <w:gridSpan w:val="2"/>
          </w:tcPr>
          <w:p w:rsidR="00BC56B1" w:rsidRPr="00D1119A" w:rsidRDefault="00BC56B1" w:rsidP="00C5390A">
            <w:pPr>
              <w:pStyle w:val="SCCShortJudgment"/>
              <w:rPr>
                <w:szCs w:val="20"/>
              </w:rPr>
            </w:pPr>
            <w:r w:rsidRPr="00D1119A">
              <w:rPr>
                <w:szCs w:val="20"/>
              </w:rPr>
              <w:t>The motion for an extension of time to serve and file the application for leave to appeal is granted.  The application for leave to appeal from the judgment of the Court of Appeal for Ontario, Number C52286, 2013 ONCA 506, dated August 7, 2013, is dismissed without costs.</w:t>
            </w:r>
          </w:p>
          <w:p w:rsidR="00BC56B1" w:rsidRPr="00D1119A" w:rsidRDefault="00BC56B1" w:rsidP="00C5390A">
            <w:pPr>
              <w:pStyle w:val="SCCShortJudgment"/>
              <w:ind w:firstLine="0"/>
              <w:rPr>
                <w:szCs w:val="20"/>
              </w:rPr>
            </w:pPr>
          </w:p>
          <w:p w:rsidR="00BC56B1" w:rsidRPr="00D1119A" w:rsidRDefault="00BC56B1" w:rsidP="00C5390A">
            <w:pPr>
              <w:pStyle w:val="SCCShortJudgment"/>
              <w:rPr>
                <w:szCs w:val="20"/>
                <w:lang w:val="fr-CA"/>
              </w:rPr>
            </w:pPr>
            <w:r w:rsidRPr="00D1119A">
              <w:rPr>
                <w:szCs w:val="20"/>
                <w:lang w:val="fr-CA"/>
              </w:rPr>
              <w:t>La requête en prorogation du délai de signification et de dépôt de la demande d’autorisation d’appel est accueillie.  La demande d’autorisation d’appel de l’arrêt de la Cour d’appel de l’Ontario, numéro C52286, 2013 ONCA 506, daté du 7 août 2013, est rejetée sans dépens.</w:t>
            </w:r>
          </w:p>
        </w:tc>
      </w:tr>
    </w:tbl>
    <w:p w:rsidR="00A918CE" w:rsidRPr="00BC56B1" w:rsidRDefault="00A918CE" w:rsidP="00A918CE">
      <w:pPr>
        <w:rPr>
          <w:sz w:val="20"/>
          <w:szCs w:val="20"/>
          <w:lang w:val="fr-CA"/>
        </w:rPr>
      </w:pPr>
    </w:p>
    <w:p w:rsidR="00A918CE" w:rsidRPr="001B157C" w:rsidRDefault="00A918CE" w:rsidP="00A918CE">
      <w:pPr>
        <w:rPr>
          <w:sz w:val="20"/>
          <w:szCs w:val="20"/>
          <w:u w:val="single"/>
        </w:rPr>
      </w:pPr>
      <w:r w:rsidRPr="001B157C">
        <w:rPr>
          <w:sz w:val="20"/>
          <w:szCs w:val="20"/>
          <w:u w:val="single"/>
        </w:rPr>
        <w:t>CASE SUMMARY</w:t>
      </w:r>
    </w:p>
    <w:p w:rsidR="00A918CE" w:rsidRDefault="00A918CE" w:rsidP="00A918C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CF167D" w:rsidTr="00A20911">
        <w:tc>
          <w:tcPr>
            <w:tcW w:w="5000" w:type="pct"/>
            <w:gridSpan w:val="3"/>
          </w:tcPr>
          <w:p w:rsidR="00A918CE" w:rsidRPr="00CF167D" w:rsidRDefault="00A918CE" w:rsidP="00A20911">
            <w:pPr>
              <w:jc w:val="both"/>
              <w:rPr>
                <w:rFonts w:eastAsia="Calibri"/>
                <w:sz w:val="20"/>
                <w:szCs w:val="20"/>
              </w:rPr>
            </w:pPr>
            <w:r w:rsidRPr="00CF167D">
              <w:rPr>
                <w:rFonts w:eastAsia="Calibri"/>
                <w:sz w:val="20"/>
                <w:szCs w:val="20"/>
              </w:rPr>
              <w:t xml:space="preserve">Criminal law — Evidence of conspiracy — Applicant convicted by jury of first degree murder — Crown alleged applicant and her girlfriend conspired to murder applicant’s boyfriend — Boyfriend was beaten to death with axe while sleeping — Girlfriend testified applicant had devised plan whereby girlfriend would murder victim and applicant would mislead police — Trial judge gave jury </w:t>
            </w:r>
            <w:r w:rsidRPr="00CF167D">
              <w:rPr>
                <w:rFonts w:eastAsia="Calibri"/>
                <w:i/>
                <w:sz w:val="20"/>
                <w:szCs w:val="20"/>
              </w:rPr>
              <w:t>Carter</w:t>
            </w:r>
            <w:r w:rsidRPr="00CF167D">
              <w:rPr>
                <w:rFonts w:eastAsia="Calibri"/>
                <w:sz w:val="20"/>
                <w:szCs w:val="20"/>
              </w:rPr>
              <w:t xml:space="preserve"> instruction on use of girlfriend’s evidence against applicant — Whether </w:t>
            </w:r>
            <w:r w:rsidRPr="00CF167D">
              <w:rPr>
                <w:rFonts w:eastAsia="Calibri"/>
                <w:i/>
                <w:sz w:val="20"/>
                <w:szCs w:val="20"/>
              </w:rPr>
              <w:t>Carter</w:t>
            </w:r>
            <w:r w:rsidRPr="00CF167D">
              <w:rPr>
                <w:rFonts w:eastAsia="Calibri"/>
                <w:sz w:val="20"/>
                <w:szCs w:val="20"/>
              </w:rPr>
              <w:t xml:space="preserve"> instruction can be given in cases involving alleged two-person conspiracy?</w:t>
            </w:r>
          </w:p>
        </w:tc>
      </w:tr>
      <w:tr w:rsidR="00A918CE" w:rsidRPr="00CF167D" w:rsidTr="00A20911">
        <w:tc>
          <w:tcPr>
            <w:tcW w:w="5000" w:type="pct"/>
            <w:gridSpan w:val="3"/>
          </w:tcPr>
          <w:p w:rsidR="00A918CE" w:rsidRPr="00CF167D" w:rsidRDefault="00A918CE" w:rsidP="00A20911">
            <w:pPr>
              <w:jc w:val="both"/>
              <w:rPr>
                <w:rFonts w:eastAsia="Calibri"/>
                <w:sz w:val="20"/>
                <w:szCs w:val="20"/>
              </w:rPr>
            </w:pPr>
          </w:p>
        </w:tc>
      </w:tr>
      <w:tr w:rsidR="00A918CE" w:rsidRPr="00CF167D" w:rsidTr="00A20911">
        <w:tc>
          <w:tcPr>
            <w:tcW w:w="5000" w:type="pct"/>
            <w:gridSpan w:val="3"/>
          </w:tcPr>
          <w:p w:rsidR="00A918CE" w:rsidRPr="00CF167D" w:rsidRDefault="00A918CE" w:rsidP="00A20911">
            <w:pPr>
              <w:jc w:val="both"/>
              <w:rPr>
                <w:rFonts w:eastAsia="Calibri"/>
                <w:sz w:val="20"/>
                <w:szCs w:val="20"/>
              </w:rPr>
            </w:pPr>
            <w:r w:rsidRPr="00CF167D">
              <w:rPr>
                <w:rFonts w:eastAsia="Calibri"/>
                <w:sz w:val="20"/>
                <w:szCs w:val="20"/>
              </w:rPr>
              <w:t xml:space="preserve">The applicant, Ms. Puddicombe, was convicted of first degree murder. Her boyfriend, Mr. Hoy, was beaten to death with the blunt end of an axe while he lay asleep in bed.  Ms. Puddicombe’s girlfriend, Ms. Pechaluk, confessed to the murder after lengthy questioning by police. Ms. Pechaluk stated that Ms. Puddicombe had nothing to do with the murder.  Police later charged Ms. Puddicombe and later still, she and Ms. Pechaluk ended their relationship. Ms. Pechaluk was tried separately and acquitted after her confession was excluded from evidence.  At Ms. Puddicombe’s trial, the Crown alleged that she and Ms. Pechaluk devised a plan to murder Mr. Hoy and that Ms. Pechaluk committed the murder pursuant to that plan.  The Crown further alleged that Ms. Puddicombe was liable as an aider, abettor or counsellor.  Ms. Pechaluk testified that Ms. Puddicombe devised a plan for Ms. Pechaluk to murder Mr. Hoy and Ms. Puddicombe to mislead police.  Ms. Pechaluk also testified that she could not go through with the plan and that Ms. Puddicombe committed the murder.  The defence’s theory was that Ms. Puddicombe devised the plan and committed the murder.  The trial judge gave the jury a </w:t>
            </w:r>
            <w:r w:rsidRPr="00CF167D">
              <w:rPr>
                <w:rFonts w:eastAsia="Calibri"/>
                <w:i/>
                <w:sz w:val="20"/>
                <w:szCs w:val="20"/>
              </w:rPr>
              <w:t>Carter</w:t>
            </w:r>
            <w:r w:rsidRPr="00CF167D">
              <w:rPr>
                <w:rFonts w:eastAsia="Calibri"/>
                <w:sz w:val="20"/>
                <w:szCs w:val="20"/>
              </w:rPr>
              <w:t xml:space="preserve"> instruction, explaining how and when acts and declarations of one party to an agreement to commit a crime could be used against another party to that agreement.  The jury convicted Ms. Puddicombe of first degree murder.  She appealed her conviction on the basis that the trial judge’s </w:t>
            </w:r>
            <w:r w:rsidRPr="00CF167D">
              <w:rPr>
                <w:rFonts w:eastAsia="Calibri"/>
                <w:i/>
                <w:sz w:val="20"/>
                <w:szCs w:val="20"/>
              </w:rPr>
              <w:t>Carter</w:t>
            </w:r>
            <w:r w:rsidRPr="00CF167D">
              <w:rPr>
                <w:rFonts w:eastAsia="Calibri"/>
                <w:sz w:val="20"/>
                <w:szCs w:val="20"/>
              </w:rPr>
              <w:t xml:space="preserve"> instruction was deficient and that the law should not permit such an instruction in cases involving a two-person agreement to commit a crime.  The Court of Appeal, however, dismissed the appeal.</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December 3, 2009</w:t>
            </w:r>
          </w:p>
          <w:p w:rsidR="00A918CE" w:rsidRPr="00CF167D" w:rsidRDefault="00A918CE" w:rsidP="00A20911">
            <w:pPr>
              <w:jc w:val="both"/>
              <w:rPr>
                <w:rFonts w:eastAsia="Calibri"/>
                <w:sz w:val="20"/>
                <w:szCs w:val="20"/>
              </w:rPr>
            </w:pPr>
            <w:r w:rsidRPr="00CF167D">
              <w:rPr>
                <w:rFonts w:eastAsia="Calibri"/>
                <w:sz w:val="20"/>
                <w:szCs w:val="20"/>
              </w:rPr>
              <w:t>Ontario Superior Court of Justice</w:t>
            </w:r>
          </w:p>
          <w:p w:rsidR="00A918CE" w:rsidRPr="00CF167D" w:rsidRDefault="00A918CE" w:rsidP="00A20911">
            <w:pPr>
              <w:jc w:val="both"/>
              <w:rPr>
                <w:rFonts w:eastAsia="Calibri"/>
                <w:sz w:val="20"/>
                <w:szCs w:val="20"/>
              </w:rPr>
            </w:pPr>
            <w:r w:rsidRPr="00CF167D">
              <w:rPr>
                <w:rFonts w:eastAsia="Calibri"/>
                <w:sz w:val="20"/>
                <w:szCs w:val="20"/>
              </w:rPr>
              <w:t>(Benotto J.)</w:t>
            </w:r>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Applicant convicted by jury of first degree murder.</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August 7, 2013</w:t>
            </w:r>
          </w:p>
          <w:p w:rsidR="00A918CE" w:rsidRPr="00CF167D" w:rsidRDefault="00A918CE" w:rsidP="00A20911">
            <w:pPr>
              <w:jc w:val="both"/>
              <w:rPr>
                <w:rFonts w:eastAsia="Calibri"/>
                <w:sz w:val="20"/>
                <w:szCs w:val="20"/>
              </w:rPr>
            </w:pPr>
            <w:r w:rsidRPr="00CF167D">
              <w:rPr>
                <w:rFonts w:eastAsia="Calibri"/>
                <w:sz w:val="20"/>
                <w:szCs w:val="20"/>
              </w:rPr>
              <w:t>Court of Appeal for Ontario</w:t>
            </w:r>
          </w:p>
          <w:p w:rsidR="00A918CE" w:rsidRPr="00CF167D" w:rsidRDefault="00A918CE" w:rsidP="00A20911">
            <w:pPr>
              <w:jc w:val="both"/>
              <w:rPr>
                <w:rFonts w:eastAsia="Calibri"/>
                <w:sz w:val="20"/>
                <w:szCs w:val="20"/>
              </w:rPr>
            </w:pPr>
            <w:r w:rsidRPr="00CF167D">
              <w:rPr>
                <w:rFonts w:eastAsia="Calibri"/>
                <w:sz w:val="20"/>
                <w:szCs w:val="20"/>
              </w:rPr>
              <w:t>(Doherty, Rosenberg, Simmons, Armstrong* and Tulloch JJ.A.)</w:t>
            </w:r>
          </w:p>
          <w:p w:rsidR="00A918CE" w:rsidRPr="00CF167D" w:rsidRDefault="000C68D7" w:rsidP="00A20911">
            <w:pPr>
              <w:jc w:val="both"/>
              <w:rPr>
                <w:rFonts w:eastAsia="Calibri"/>
                <w:sz w:val="20"/>
                <w:szCs w:val="20"/>
              </w:rPr>
            </w:pPr>
            <w:hyperlink r:id="rId39" w:history="1">
              <w:r w:rsidR="00A918CE" w:rsidRPr="00CF167D">
                <w:rPr>
                  <w:rFonts w:eastAsia="Calibri"/>
                  <w:color w:val="0000FF"/>
                  <w:sz w:val="20"/>
                  <w:szCs w:val="20"/>
                  <w:u w:val="single"/>
                </w:rPr>
                <w:t>2013 ONCA 506</w:t>
              </w:r>
            </w:hyperlink>
          </w:p>
          <w:p w:rsidR="00A918CE" w:rsidRPr="00CF167D" w:rsidRDefault="00A918CE" w:rsidP="00A20911">
            <w:pPr>
              <w:jc w:val="both"/>
              <w:rPr>
                <w:rFonts w:eastAsia="Calibri"/>
                <w:sz w:val="20"/>
                <w:szCs w:val="20"/>
              </w:rPr>
            </w:pPr>
          </w:p>
          <w:p w:rsidR="00A918CE" w:rsidRPr="00CF167D" w:rsidRDefault="00A918CE" w:rsidP="00A20911">
            <w:pPr>
              <w:jc w:val="both"/>
              <w:rPr>
                <w:rFonts w:eastAsia="Calibri"/>
                <w:sz w:val="20"/>
                <w:szCs w:val="20"/>
              </w:rPr>
            </w:pPr>
            <w:r w:rsidRPr="00CF167D">
              <w:rPr>
                <w:rFonts w:eastAsia="Calibri"/>
                <w:sz w:val="20"/>
                <w:szCs w:val="20"/>
              </w:rPr>
              <w:t>* Armstrong J.A. did not participate in the decision.</w:t>
            </w:r>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Appeal dismissed.</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December 30, 2013</w:t>
            </w:r>
          </w:p>
          <w:p w:rsidR="00A918CE" w:rsidRPr="00CF167D" w:rsidRDefault="00A918CE" w:rsidP="00A20911">
            <w:pPr>
              <w:jc w:val="both"/>
              <w:rPr>
                <w:rFonts w:eastAsia="Calibri"/>
                <w:sz w:val="20"/>
                <w:szCs w:val="20"/>
              </w:rPr>
            </w:pPr>
            <w:r w:rsidRPr="00CF167D">
              <w:rPr>
                <w:rFonts w:eastAsia="Calibri"/>
                <w:sz w:val="20"/>
                <w:szCs w:val="20"/>
              </w:rPr>
              <w:t>Supreme Court of Canada</w:t>
            </w: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Application for leave to appeal filed together with motion for extension of time to serve and file application itself.</w:t>
            </w:r>
          </w:p>
        </w:tc>
      </w:tr>
    </w:tbl>
    <w:p w:rsidR="00A918CE" w:rsidRDefault="00A918CE" w:rsidP="00A918CE">
      <w:pPr>
        <w:rPr>
          <w:sz w:val="20"/>
          <w:szCs w:val="20"/>
        </w:rPr>
      </w:pPr>
    </w:p>
    <w:p w:rsidR="00A918CE" w:rsidRPr="00C50A5C" w:rsidRDefault="000C68D7" w:rsidP="00A918CE">
      <w:pPr>
        <w:rPr>
          <w:sz w:val="20"/>
          <w:szCs w:val="20"/>
        </w:rPr>
      </w:pPr>
      <w:r>
        <w:rPr>
          <w:sz w:val="20"/>
          <w:szCs w:val="20"/>
          <w:lang w:val="fr-CA"/>
        </w:rPr>
        <w:pict>
          <v:rect id="_x0000_i1049" style="width:2in;height:1pt" o:hrpct="0" o:hralign="center" o:hrstd="t" o:hrnoshade="t" o:hr="t" fillcolor="black [3213]" stroked="f"/>
        </w:pict>
      </w:r>
    </w:p>
    <w:p w:rsidR="00A918CE" w:rsidRDefault="00A918CE" w:rsidP="00A918CE">
      <w:pPr>
        <w:rPr>
          <w:sz w:val="20"/>
          <w:szCs w:val="20"/>
        </w:rPr>
      </w:pPr>
    </w:p>
    <w:p w:rsidR="00A918CE" w:rsidRPr="001B157C" w:rsidRDefault="00A918CE" w:rsidP="00A918CE">
      <w:pPr>
        <w:rPr>
          <w:sz w:val="20"/>
          <w:szCs w:val="20"/>
          <w:u w:val="single"/>
          <w:lang w:val="fr-CA"/>
        </w:rPr>
      </w:pPr>
      <w:r w:rsidRPr="001B157C">
        <w:rPr>
          <w:sz w:val="20"/>
          <w:szCs w:val="20"/>
          <w:u w:val="single"/>
          <w:lang w:val="fr-CA"/>
        </w:rPr>
        <w:t>RÉSUMÉ DE L’AFFAIRE</w:t>
      </w:r>
    </w:p>
    <w:p w:rsidR="00A918CE" w:rsidRDefault="00A918CE" w:rsidP="00A918C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0C68D7" w:rsidTr="00A20911">
        <w:tc>
          <w:tcPr>
            <w:tcW w:w="5000" w:type="pct"/>
            <w:gridSpan w:val="3"/>
          </w:tcPr>
          <w:p w:rsidR="00A918CE" w:rsidRPr="00CF167D" w:rsidRDefault="00A918CE" w:rsidP="00A20911">
            <w:pPr>
              <w:jc w:val="both"/>
              <w:rPr>
                <w:rFonts w:eastAsia="Calibri"/>
                <w:sz w:val="20"/>
                <w:szCs w:val="20"/>
                <w:lang w:val="fr-CA"/>
              </w:rPr>
            </w:pPr>
            <w:r w:rsidRPr="00CF167D">
              <w:rPr>
                <w:rFonts w:eastAsia="Calibri"/>
                <w:sz w:val="20"/>
                <w:szCs w:val="20"/>
                <w:lang w:val="fr-CA"/>
              </w:rPr>
              <w:t xml:space="preserve">Droit criminel — Preuve de complot — La demanderesse a été déclarée coupable par un jury de meurtre au premier degré — Selon le ministère public, la demanderesse et sa petite amie auraient comploté en vue de tuer le petit ami de la demanderesse — Le petit ami a été battu à mort avec une hache pendant son sommeil — La petite amie a affirmé </w:t>
            </w:r>
            <w:r w:rsidRPr="00CF167D">
              <w:rPr>
                <w:rFonts w:eastAsia="Calibri"/>
                <w:sz w:val="20"/>
                <w:szCs w:val="20"/>
                <w:lang w:val="fr-CA"/>
              </w:rPr>
              <w:lastRenderedPageBreak/>
              <w:t xml:space="preserve">dans son témoignage que la demanderesse avait élaboré un plan selon lequel la petite amie allait tuer la victime et la demanderesse allait induire la police en erreur — Le juge du procès a servi au jury une directive de type </w:t>
            </w:r>
            <w:r w:rsidRPr="00CF167D">
              <w:rPr>
                <w:rFonts w:eastAsia="Calibri"/>
                <w:i/>
                <w:sz w:val="20"/>
                <w:szCs w:val="20"/>
                <w:lang w:val="fr-CA"/>
              </w:rPr>
              <w:t>Carter</w:t>
            </w:r>
            <w:r w:rsidRPr="00CF167D">
              <w:rPr>
                <w:rFonts w:eastAsia="Calibri"/>
                <w:sz w:val="20"/>
                <w:szCs w:val="20"/>
                <w:lang w:val="fr-CA"/>
              </w:rPr>
              <w:t xml:space="preserve"> sur l'utilisation du témoignage de la petite amie contre la demanderesse — La directive de type </w:t>
            </w:r>
            <w:r w:rsidRPr="00CF167D">
              <w:rPr>
                <w:rFonts w:eastAsia="Calibri"/>
                <w:i/>
                <w:sz w:val="20"/>
                <w:szCs w:val="20"/>
                <w:lang w:val="fr-CA"/>
              </w:rPr>
              <w:t>Carter</w:t>
            </w:r>
            <w:r w:rsidRPr="00CF167D">
              <w:rPr>
                <w:rFonts w:eastAsia="Calibri"/>
                <w:sz w:val="20"/>
                <w:szCs w:val="20"/>
                <w:lang w:val="fr-CA"/>
              </w:rPr>
              <w:t xml:space="preserve"> peut-elle être donnée dans les cas où il est allégué que deux personnes auraient comploté?</w:t>
            </w:r>
          </w:p>
        </w:tc>
      </w:tr>
      <w:tr w:rsidR="00A918CE" w:rsidRPr="000C68D7" w:rsidTr="00A20911">
        <w:tc>
          <w:tcPr>
            <w:tcW w:w="5000" w:type="pct"/>
            <w:gridSpan w:val="3"/>
          </w:tcPr>
          <w:p w:rsidR="00A918CE" w:rsidRPr="00CF167D" w:rsidRDefault="00A918CE" w:rsidP="00A20911">
            <w:pPr>
              <w:jc w:val="both"/>
              <w:rPr>
                <w:rFonts w:eastAsia="Calibri"/>
                <w:sz w:val="20"/>
                <w:szCs w:val="20"/>
                <w:lang w:val="fr-CA"/>
              </w:rPr>
            </w:pPr>
          </w:p>
        </w:tc>
      </w:tr>
      <w:tr w:rsidR="00A918CE" w:rsidRPr="00CF167D" w:rsidTr="00A20911">
        <w:tc>
          <w:tcPr>
            <w:tcW w:w="5000" w:type="pct"/>
            <w:gridSpan w:val="3"/>
          </w:tcPr>
          <w:p w:rsidR="00A918CE" w:rsidRPr="00CF167D" w:rsidRDefault="00A918CE" w:rsidP="00A20911">
            <w:pPr>
              <w:jc w:val="both"/>
              <w:rPr>
                <w:rFonts w:eastAsia="Calibri"/>
                <w:sz w:val="20"/>
                <w:szCs w:val="20"/>
                <w:lang w:val="fr-CA"/>
              </w:rPr>
            </w:pPr>
            <w:r w:rsidRPr="00CF167D">
              <w:rPr>
                <w:rFonts w:eastAsia="Calibri"/>
                <w:sz w:val="20"/>
                <w:szCs w:val="20"/>
                <w:lang w:val="fr-CA"/>
              </w:rPr>
              <w:t>La demanderesse, Mme Puddicombe, a été déclarée coupable de meurtre au premier degré.  Son petit ami, M. Hoy, a été battu à mort avec le côté contondant d'une hache pendant qu’il dormait au lit.  La petite amie de Mme Puddicombe, Mme Pechaluk, a avoué avoir commis le meurtre après avoir été longuement interrogée par la police.  Madame Pechaluk a affirmé que Mme Puddicombe n'avait rien à voir avec le meurtre.  La police a porté des accusations contre Mme Puddicombe par la suite et, plus tard encore, elle et Mme Pechaluk ont mis fin à leur relation.  Madame Pechaluk a subi son procès séparément et a été acquittée après que sa confession a été exclue de la preuve.  Au procès de Mme</w:t>
            </w:r>
            <w:r w:rsidRPr="00CF167D">
              <w:rPr>
                <w:rFonts w:eastAsia="Calibri"/>
                <w:smallCaps/>
                <w:sz w:val="20"/>
                <w:szCs w:val="20"/>
                <w:lang w:val="fr-CA"/>
              </w:rPr>
              <w:t> </w:t>
            </w:r>
            <w:r w:rsidRPr="00CF167D">
              <w:rPr>
                <w:rFonts w:eastAsia="Calibri"/>
                <w:sz w:val="20"/>
                <w:szCs w:val="20"/>
                <w:lang w:val="fr-CA"/>
              </w:rPr>
              <w:t>Puddicombe, le ministère public a allégué que cette dernière et Mme</w:t>
            </w:r>
            <w:r w:rsidRPr="00CF167D">
              <w:rPr>
                <w:rFonts w:eastAsia="Calibri"/>
                <w:smallCaps/>
                <w:sz w:val="20"/>
                <w:szCs w:val="20"/>
                <w:lang w:val="fr-CA"/>
              </w:rPr>
              <w:t> </w:t>
            </w:r>
            <w:r w:rsidRPr="00CF167D">
              <w:rPr>
                <w:rFonts w:eastAsia="Calibri"/>
                <w:sz w:val="20"/>
                <w:szCs w:val="20"/>
                <w:lang w:val="fr-CA"/>
              </w:rPr>
              <w:t>Pechaluk avaient élaboré un plan pour tuer M. Hoy et que Mme Pechaluk avait commis le meurtre conformément à ce plan.  Le ministère public a allégué en outre que Mme</w:t>
            </w:r>
            <w:r w:rsidRPr="00CF167D">
              <w:rPr>
                <w:rFonts w:eastAsia="Calibri"/>
                <w:smallCaps/>
                <w:sz w:val="20"/>
                <w:szCs w:val="20"/>
                <w:lang w:val="fr-CA"/>
              </w:rPr>
              <w:t> </w:t>
            </w:r>
            <w:r w:rsidRPr="00CF167D">
              <w:rPr>
                <w:rFonts w:eastAsia="Calibri"/>
                <w:sz w:val="20"/>
                <w:szCs w:val="20"/>
                <w:lang w:val="fr-CA"/>
              </w:rPr>
              <w:t xml:space="preserve">Puddicombe avait aidé, encouragé ou conseillé Mme Pechaluk.  Dans son témoignage, Mme Pechaluk a affirmé que </w:t>
            </w:r>
            <w:r w:rsidRPr="00CF167D">
              <w:rPr>
                <w:rFonts w:eastAsia="Calibri"/>
                <w:smallCaps/>
                <w:sz w:val="20"/>
                <w:szCs w:val="20"/>
                <w:lang w:val="fr-CA"/>
              </w:rPr>
              <w:t>M</w:t>
            </w:r>
            <w:r w:rsidRPr="00CF167D">
              <w:rPr>
                <w:rFonts w:eastAsia="Calibri"/>
                <w:sz w:val="20"/>
                <w:szCs w:val="20"/>
                <w:lang w:val="fr-CA"/>
              </w:rPr>
              <w:t>me</w:t>
            </w:r>
            <w:r w:rsidRPr="00CF167D">
              <w:rPr>
                <w:rFonts w:eastAsia="Calibri"/>
                <w:smallCaps/>
                <w:sz w:val="20"/>
                <w:szCs w:val="20"/>
                <w:lang w:val="fr-CA"/>
              </w:rPr>
              <w:t> </w:t>
            </w:r>
            <w:r w:rsidRPr="00CF167D">
              <w:rPr>
                <w:rFonts w:eastAsia="Calibri"/>
                <w:sz w:val="20"/>
                <w:szCs w:val="20"/>
                <w:lang w:val="fr-CA"/>
              </w:rPr>
              <w:t>Puddicombe avait élaboré un plan selon lequel Mme Pechaluk devait tuer M. Hoy et Mme</w:t>
            </w:r>
            <w:r w:rsidRPr="00CF167D">
              <w:rPr>
                <w:rFonts w:eastAsia="Calibri"/>
                <w:smallCaps/>
                <w:sz w:val="20"/>
                <w:szCs w:val="20"/>
                <w:lang w:val="fr-CA"/>
              </w:rPr>
              <w:t> </w:t>
            </w:r>
            <w:r w:rsidRPr="00CF167D">
              <w:rPr>
                <w:rFonts w:eastAsia="Calibri"/>
                <w:sz w:val="20"/>
                <w:szCs w:val="20"/>
                <w:lang w:val="fr-CA"/>
              </w:rPr>
              <w:t xml:space="preserve">Puddicombe devait induire la police en erreur. Madame Pechaluk a également affirmé qu'elle n’avait pas pu mettre le plan à exécution et que Mme Puddicombe avait commis le meurtre.  La thèse de la défense était que Mme Puddicombe avait élaboré le plan et commis le meurtre.  Le juge du procès a donné au jury une directive de type </w:t>
            </w:r>
            <w:r w:rsidRPr="00CF167D">
              <w:rPr>
                <w:rFonts w:eastAsia="Calibri"/>
                <w:i/>
                <w:sz w:val="20"/>
                <w:szCs w:val="20"/>
                <w:lang w:val="fr-CA"/>
              </w:rPr>
              <w:t>Carter</w:t>
            </w:r>
            <w:r w:rsidRPr="00CF167D">
              <w:rPr>
                <w:rFonts w:eastAsia="Calibri"/>
                <w:sz w:val="20"/>
                <w:szCs w:val="20"/>
                <w:lang w:val="fr-CA"/>
              </w:rPr>
              <w:t xml:space="preserve"> expliquant comment les actes et les déclarations d'une partie à une entente en vue de commettre un crime peuvent être utilisés contre l'autre partie à cet accord.  Le jury a déclaré Mme Puddicombe coupable de meurtre au premier degré.  Elle a interjeté appel de sa condamnation, plaidant que la directive de type </w:t>
            </w:r>
            <w:r w:rsidRPr="00CF167D">
              <w:rPr>
                <w:rFonts w:eastAsia="Calibri"/>
                <w:i/>
                <w:sz w:val="20"/>
                <w:szCs w:val="20"/>
                <w:lang w:val="fr-CA"/>
              </w:rPr>
              <w:t>Carter</w:t>
            </w:r>
            <w:r w:rsidRPr="00CF167D">
              <w:rPr>
                <w:rFonts w:eastAsia="Calibri"/>
                <w:sz w:val="20"/>
                <w:szCs w:val="20"/>
                <w:lang w:val="fr-CA"/>
              </w:rPr>
              <w:t xml:space="preserve"> donnée par le juge était déficiente et qu'une telle directive était contraire au droit dans les cas impliquant une entente entre deux personnes en vue de commettre un crime.  La Cour d'appel a rejeté l'appel.</w:t>
            </w:r>
          </w:p>
          <w:p w:rsidR="00A918CE" w:rsidRPr="00CF167D" w:rsidRDefault="00A918CE" w:rsidP="00A20911">
            <w:pPr>
              <w:jc w:val="both"/>
              <w:rPr>
                <w:rFonts w:eastAsia="Calibri"/>
                <w:sz w:val="20"/>
                <w:szCs w:val="20"/>
                <w:lang w:val="fr-CA"/>
              </w:rPr>
            </w:pP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3 décembre 2009</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supérieure de justice de l'Ontario</w:t>
            </w:r>
          </w:p>
          <w:p w:rsidR="00A918CE" w:rsidRPr="00CF167D" w:rsidRDefault="00A918CE" w:rsidP="00A20911">
            <w:pPr>
              <w:jc w:val="both"/>
              <w:rPr>
                <w:rFonts w:eastAsia="Calibri"/>
                <w:sz w:val="20"/>
                <w:szCs w:val="20"/>
                <w:lang w:val="fr-CA"/>
              </w:rPr>
            </w:pPr>
            <w:r w:rsidRPr="00CF167D">
              <w:rPr>
                <w:rFonts w:eastAsia="Calibri"/>
                <w:sz w:val="20"/>
                <w:szCs w:val="20"/>
                <w:lang w:val="fr-CA"/>
              </w:rPr>
              <w:t>(Juge Benotto)</w:t>
            </w:r>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Demanderesse déclarée coupable par un jury de meurtre au premier degré.</w:t>
            </w:r>
          </w:p>
          <w:p w:rsidR="00A918CE" w:rsidRPr="00CF167D" w:rsidRDefault="00A918CE" w:rsidP="00A20911">
            <w:pPr>
              <w:jc w:val="both"/>
              <w:rPr>
                <w:rFonts w:eastAsia="Calibri"/>
                <w:sz w:val="20"/>
                <w:szCs w:val="20"/>
                <w:lang w:val="fr-CA"/>
              </w:rPr>
            </w:pPr>
          </w:p>
        </w:tc>
      </w:tr>
      <w:tr w:rsidR="00A918CE" w:rsidRPr="00CF167D"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7 août 2013</w:t>
            </w:r>
          </w:p>
          <w:p w:rsidR="00A918CE" w:rsidRPr="00CF167D" w:rsidRDefault="00A918CE" w:rsidP="00A20911">
            <w:pPr>
              <w:jc w:val="both"/>
              <w:rPr>
                <w:rFonts w:eastAsia="Calibri"/>
                <w:sz w:val="20"/>
                <w:szCs w:val="20"/>
                <w:lang w:val="fr-CA"/>
              </w:rPr>
            </w:pPr>
            <w:r w:rsidRPr="00CF167D">
              <w:rPr>
                <w:rFonts w:eastAsia="Calibri"/>
                <w:sz w:val="20"/>
                <w:szCs w:val="20"/>
                <w:lang w:val="fr-CA"/>
              </w:rPr>
              <w:t xml:space="preserve">Cour d'appel de l'Ontario </w:t>
            </w:r>
          </w:p>
          <w:p w:rsidR="00A918CE" w:rsidRPr="00CF167D" w:rsidRDefault="00A918CE" w:rsidP="00A20911">
            <w:pPr>
              <w:jc w:val="both"/>
              <w:rPr>
                <w:rFonts w:eastAsia="Calibri"/>
                <w:sz w:val="20"/>
                <w:szCs w:val="20"/>
                <w:lang w:val="fr-CA"/>
              </w:rPr>
            </w:pPr>
            <w:r w:rsidRPr="00CF167D">
              <w:rPr>
                <w:rFonts w:eastAsia="Calibri"/>
                <w:sz w:val="20"/>
                <w:szCs w:val="20"/>
                <w:lang w:val="fr-CA"/>
              </w:rPr>
              <w:t>(Juges Doherty, Rosenberg, Simmons, Armstrong* et Tulloch)</w:t>
            </w:r>
          </w:p>
          <w:p w:rsidR="00A918CE" w:rsidRPr="00CF167D" w:rsidRDefault="000C68D7" w:rsidP="00A20911">
            <w:pPr>
              <w:jc w:val="both"/>
              <w:rPr>
                <w:rFonts w:eastAsia="Calibri"/>
                <w:sz w:val="20"/>
                <w:szCs w:val="20"/>
                <w:lang w:val="fr-CA"/>
              </w:rPr>
            </w:pPr>
            <w:hyperlink r:id="rId40" w:history="1">
              <w:r w:rsidR="00A918CE" w:rsidRPr="00CF167D">
                <w:rPr>
                  <w:rFonts w:eastAsia="Calibri"/>
                  <w:color w:val="0000FF"/>
                  <w:sz w:val="20"/>
                  <w:szCs w:val="20"/>
                  <w:u w:val="single"/>
                  <w:lang w:val="fr-CA"/>
                </w:rPr>
                <w:t>2013 ONCA 506</w:t>
              </w:r>
            </w:hyperlink>
          </w:p>
          <w:p w:rsidR="00A918CE" w:rsidRPr="00CF167D" w:rsidRDefault="00A918CE" w:rsidP="00A20911">
            <w:pPr>
              <w:jc w:val="both"/>
              <w:rPr>
                <w:rFonts w:eastAsia="Calibri"/>
                <w:sz w:val="20"/>
                <w:szCs w:val="20"/>
                <w:lang w:val="fr-CA"/>
              </w:rPr>
            </w:pPr>
          </w:p>
          <w:p w:rsidR="00A918CE" w:rsidRPr="00CF167D" w:rsidRDefault="00A918CE" w:rsidP="00A20911">
            <w:pPr>
              <w:jc w:val="both"/>
              <w:rPr>
                <w:rFonts w:eastAsia="Calibri"/>
                <w:sz w:val="20"/>
                <w:szCs w:val="20"/>
                <w:lang w:val="fr-CA"/>
              </w:rPr>
            </w:pPr>
            <w:r w:rsidRPr="00CF167D">
              <w:rPr>
                <w:rFonts w:eastAsia="Calibri"/>
                <w:sz w:val="20"/>
                <w:szCs w:val="20"/>
                <w:lang w:val="fr-CA"/>
              </w:rPr>
              <w:t>* Le juge Armstrong n'a pas participé à la décision.</w:t>
            </w:r>
          </w:p>
          <w:p w:rsidR="00A918CE" w:rsidRPr="00CF167D" w:rsidRDefault="00A918CE" w:rsidP="00A20911">
            <w:pPr>
              <w:jc w:val="both"/>
              <w:rPr>
                <w:rFonts w:eastAsia="Calibri"/>
                <w:sz w:val="20"/>
                <w:szCs w:val="20"/>
                <w:lang w:val="fr-CA"/>
              </w:rPr>
            </w:pP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Appel rejeté.</w:t>
            </w:r>
          </w:p>
          <w:p w:rsidR="00A918CE" w:rsidRPr="00CF167D" w:rsidRDefault="00A918CE" w:rsidP="00A20911">
            <w:pPr>
              <w:jc w:val="both"/>
              <w:rPr>
                <w:rFonts w:eastAsia="Calibri"/>
                <w:sz w:val="20"/>
                <w:szCs w:val="20"/>
                <w:lang w:val="fr-CA"/>
              </w:rPr>
            </w:pPr>
          </w:p>
        </w:tc>
      </w:tr>
      <w:tr w:rsidR="00A918CE" w:rsidRPr="000C68D7" w:rsidTr="00A20911">
        <w:tc>
          <w:tcPr>
            <w:tcW w:w="2427"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30 décembre 2013</w:t>
            </w:r>
          </w:p>
          <w:p w:rsidR="00A918CE" w:rsidRPr="00CF167D" w:rsidRDefault="00A918CE" w:rsidP="00A20911">
            <w:pPr>
              <w:jc w:val="both"/>
              <w:rPr>
                <w:rFonts w:eastAsia="Calibri"/>
                <w:sz w:val="20"/>
                <w:szCs w:val="20"/>
                <w:lang w:val="fr-CA"/>
              </w:rPr>
            </w:pPr>
            <w:r w:rsidRPr="00CF167D">
              <w:rPr>
                <w:rFonts w:eastAsia="Calibri"/>
                <w:sz w:val="20"/>
                <w:szCs w:val="20"/>
                <w:lang w:val="fr-CA"/>
              </w:rPr>
              <w:t>Cour suprême du Canada</w:t>
            </w:r>
          </w:p>
        </w:tc>
        <w:tc>
          <w:tcPr>
            <w:tcW w:w="243" w:type="pct"/>
          </w:tcPr>
          <w:p w:rsidR="00A918CE" w:rsidRPr="00CF167D" w:rsidRDefault="00A918CE" w:rsidP="00A20911">
            <w:pPr>
              <w:jc w:val="both"/>
              <w:rPr>
                <w:rFonts w:eastAsia="Calibri"/>
                <w:sz w:val="20"/>
                <w:szCs w:val="20"/>
                <w:lang w:val="fr-CA"/>
              </w:rPr>
            </w:pPr>
          </w:p>
        </w:tc>
        <w:tc>
          <w:tcPr>
            <w:tcW w:w="2330" w:type="pct"/>
          </w:tcPr>
          <w:p w:rsidR="00A918CE" w:rsidRPr="00CF167D" w:rsidRDefault="00A918CE" w:rsidP="00A20911">
            <w:pPr>
              <w:jc w:val="both"/>
              <w:rPr>
                <w:rFonts w:eastAsia="Calibri"/>
                <w:sz w:val="20"/>
                <w:szCs w:val="20"/>
                <w:lang w:val="fr-CA"/>
              </w:rPr>
            </w:pPr>
            <w:r w:rsidRPr="00CF167D">
              <w:rPr>
                <w:rFonts w:eastAsia="Calibri"/>
                <w:sz w:val="20"/>
                <w:szCs w:val="20"/>
                <w:lang w:val="fr-CA"/>
              </w:rPr>
              <w:t>Demande d'autorisation d'appel déposée avec une requête en prorogation du délai de signification et de dépôt de la demande elle-même.</w:t>
            </w:r>
          </w:p>
        </w:tc>
      </w:tr>
    </w:tbl>
    <w:p w:rsidR="00A918CE" w:rsidRPr="00A918CE" w:rsidRDefault="00A918CE" w:rsidP="00A918CE">
      <w:pPr>
        <w:rPr>
          <w:sz w:val="20"/>
          <w:szCs w:val="20"/>
          <w:lang w:val="fr-CA"/>
        </w:rPr>
      </w:pPr>
    </w:p>
    <w:p w:rsidR="00A918CE" w:rsidRDefault="000C68D7" w:rsidP="00A918CE">
      <w:pPr>
        <w:rPr>
          <w:sz w:val="20"/>
          <w:szCs w:val="20"/>
        </w:rPr>
      </w:pPr>
      <w:r>
        <w:rPr>
          <w:sz w:val="20"/>
          <w:szCs w:val="20"/>
          <w:lang w:val="fr-CA"/>
        </w:rPr>
        <w:pict>
          <v:rect id="_x0000_i1050" style="width:2in;height:1pt" o:hrpct="0" o:hralign="center" o:hrstd="t" o:hrnoshade="t" o:hr="t" fillcolor="black [3213]" stroked="f"/>
        </w:pict>
      </w:r>
    </w:p>
    <w:p w:rsidR="00A918CE" w:rsidRDefault="00A918CE" w:rsidP="00A918C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C56B1" w:rsidRPr="00D1119A" w:rsidTr="00C5390A">
        <w:trPr>
          <w:cantSplit/>
        </w:trPr>
        <w:tc>
          <w:tcPr>
            <w:tcW w:w="1458" w:type="dxa"/>
          </w:tcPr>
          <w:p w:rsidR="00BC56B1" w:rsidRPr="00D1119A" w:rsidRDefault="00BC56B1" w:rsidP="00C5390A">
            <w:pPr>
              <w:rPr>
                <w:sz w:val="20"/>
                <w:szCs w:val="20"/>
              </w:rPr>
            </w:pPr>
            <w:r w:rsidRPr="00D1119A">
              <w:rPr>
                <w:rStyle w:val="SCCFileNumberChar"/>
                <w:sz w:val="20"/>
                <w:szCs w:val="20"/>
              </w:rPr>
              <w:t>35676</w:t>
            </w:r>
          </w:p>
          <w:p w:rsidR="00BC56B1" w:rsidRPr="00D1119A" w:rsidRDefault="00BC56B1" w:rsidP="00C5390A">
            <w:pPr>
              <w:rPr>
                <w:b/>
                <w:sz w:val="20"/>
                <w:szCs w:val="20"/>
                <w:lang w:val="fr-CA"/>
              </w:rPr>
            </w:pPr>
          </w:p>
        </w:tc>
        <w:tc>
          <w:tcPr>
            <w:tcW w:w="8118" w:type="dxa"/>
          </w:tcPr>
          <w:p w:rsidR="00BC56B1" w:rsidRPr="00D1119A" w:rsidRDefault="00BC56B1" w:rsidP="00C5390A">
            <w:pPr>
              <w:rPr>
                <w:sz w:val="20"/>
                <w:szCs w:val="20"/>
              </w:rPr>
            </w:pPr>
            <w:r w:rsidRPr="00BC56B1">
              <w:rPr>
                <w:rStyle w:val="SCCLsocChar"/>
                <w:sz w:val="20"/>
                <w:szCs w:val="20"/>
                <w:lang w:val="en-CA"/>
              </w:rPr>
              <w:t>Denis Rancourt v. Joanne St. Lewis and University of Ottawa</w:t>
            </w:r>
            <w:r w:rsidRPr="00D1119A">
              <w:rPr>
                <w:sz w:val="20"/>
                <w:szCs w:val="20"/>
              </w:rPr>
              <w:t xml:space="preserve"> (Ont.) (Civil) (By Leave)</w:t>
            </w:r>
          </w:p>
          <w:p w:rsidR="00BC56B1" w:rsidRPr="00D1119A" w:rsidRDefault="00BC56B1" w:rsidP="00C5390A">
            <w:pPr>
              <w:rPr>
                <w:sz w:val="20"/>
                <w:szCs w:val="20"/>
              </w:rPr>
            </w:pPr>
          </w:p>
        </w:tc>
      </w:tr>
      <w:tr w:rsidR="00BC56B1" w:rsidRPr="00D1119A" w:rsidTr="00C5390A">
        <w:trPr>
          <w:cantSplit/>
        </w:trPr>
        <w:tc>
          <w:tcPr>
            <w:tcW w:w="1458" w:type="dxa"/>
          </w:tcPr>
          <w:p w:rsidR="00BC56B1" w:rsidRPr="00D1119A" w:rsidRDefault="00BC56B1" w:rsidP="00C5390A">
            <w:pPr>
              <w:rPr>
                <w:sz w:val="20"/>
                <w:szCs w:val="20"/>
              </w:rPr>
            </w:pPr>
            <w:r w:rsidRPr="00D1119A">
              <w:rPr>
                <w:sz w:val="20"/>
                <w:szCs w:val="20"/>
              </w:rPr>
              <w:t>Coram :</w:t>
            </w:r>
          </w:p>
        </w:tc>
        <w:tc>
          <w:tcPr>
            <w:tcW w:w="8118" w:type="dxa"/>
          </w:tcPr>
          <w:p w:rsidR="00BC56B1" w:rsidRPr="00D1119A" w:rsidRDefault="00BC56B1" w:rsidP="00C5390A">
            <w:pPr>
              <w:rPr>
                <w:sz w:val="20"/>
                <w:szCs w:val="20"/>
              </w:rPr>
            </w:pPr>
            <w:r w:rsidRPr="00BC56B1">
              <w:rPr>
                <w:rStyle w:val="SCCCoramChar"/>
                <w:sz w:val="20"/>
                <w:szCs w:val="20"/>
                <w:lang w:val="en-CA"/>
              </w:rPr>
              <w:t>Rothstein, Moldaver and Karakatsanis JJ.</w:t>
            </w:r>
          </w:p>
          <w:p w:rsidR="00BC56B1" w:rsidRPr="00D1119A" w:rsidRDefault="00BC56B1" w:rsidP="00C5390A">
            <w:pPr>
              <w:rPr>
                <w:sz w:val="20"/>
                <w:szCs w:val="20"/>
                <w:u w:val="single"/>
              </w:rPr>
            </w:pPr>
          </w:p>
        </w:tc>
      </w:tr>
      <w:tr w:rsidR="00BC56B1" w:rsidRPr="000C68D7" w:rsidTr="00C5390A">
        <w:trPr>
          <w:cantSplit/>
        </w:trPr>
        <w:tc>
          <w:tcPr>
            <w:tcW w:w="9576" w:type="dxa"/>
            <w:gridSpan w:val="2"/>
          </w:tcPr>
          <w:p w:rsidR="00BC56B1" w:rsidRPr="00D1119A" w:rsidRDefault="00BC56B1" w:rsidP="00C5390A">
            <w:pPr>
              <w:pStyle w:val="SCCShortJudgment"/>
              <w:rPr>
                <w:szCs w:val="20"/>
              </w:rPr>
            </w:pPr>
            <w:r w:rsidRPr="00D1119A">
              <w:rPr>
                <w:szCs w:val="20"/>
              </w:rPr>
              <w:lastRenderedPageBreak/>
              <w:t>The motion for leave to intervene by the Ontario Civil Liberties Association is dismissed with costs on a solicitor and client basis to the respondent Joanne St. Lewis and with costs on a party and party basis to the respondent University of Ottawa. The application for leave to appeal from the judgment of the Court of Appeal for Ontario, Number C56905, 2013 ONCA 701, dated November 8, 2013, is dismissed with costs on a solicitor and client basis to the respondent Joanne St. Lewis and with costs on a party and party basis to the respondent University of Ottawa.</w:t>
            </w:r>
          </w:p>
          <w:p w:rsidR="00BC56B1" w:rsidRPr="00D1119A" w:rsidRDefault="00BC56B1" w:rsidP="00C5390A">
            <w:pPr>
              <w:pStyle w:val="SCCShortJudgment"/>
              <w:ind w:firstLine="0"/>
              <w:rPr>
                <w:szCs w:val="20"/>
              </w:rPr>
            </w:pPr>
          </w:p>
          <w:p w:rsidR="00BC56B1" w:rsidRPr="00D1119A" w:rsidRDefault="00BC56B1" w:rsidP="00C5390A">
            <w:pPr>
              <w:pStyle w:val="SCCShortJudgment"/>
              <w:rPr>
                <w:szCs w:val="20"/>
                <w:lang w:val="fr-CA"/>
              </w:rPr>
            </w:pPr>
            <w:r w:rsidRPr="00D1119A">
              <w:rPr>
                <w:szCs w:val="20"/>
                <w:lang w:val="fr-CA"/>
              </w:rPr>
              <w:t>La requête en autorisation d’intervenir de l’Ontario Civil Liberties Association est rejetée avec dépens sur la base procureur-client en faveur de l’intimée Joanne St. Lewis et avec dépens entre parties en faveur de l’intimée Université d’Ottawa. La demande d’autorisation d’appel de l’arrêt de la Cour d’appel de l’Ontario, numéro C56905, 2013 ONCA 701, daté du 8 novembre 2013, est rejetée avec dépens sur la base procureur-client en faveur de l’intimée Joanne St. Lewis et avec dépens entre parties en faveur de l’intimée Université d’Ottawa.</w:t>
            </w:r>
          </w:p>
        </w:tc>
      </w:tr>
    </w:tbl>
    <w:p w:rsidR="00A918CE" w:rsidRPr="00BC56B1" w:rsidRDefault="00A918CE" w:rsidP="00A918CE">
      <w:pPr>
        <w:rPr>
          <w:sz w:val="20"/>
          <w:szCs w:val="20"/>
          <w:lang w:val="fr-CA"/>
        </w:rPr>
      </w:pPr>
    </w:p>
    <w:p w:rsidR="00A918CE" w:rsidRPr="001B157C" w:rsidRDefault="00A918CE" w:rsidP="00A918CE">
      <w:pPr>
        <w:rPr>
          <w:sz w:val="20"/>
          <w:szCs w:val="20"/>
          <w:u w:val="single"/>
        </w:rPr>
      </w:pPr>
      <w:r w:rsidRPr="001B157C">
        <w:rPr>
          <w:sz w:val="20"/>
          <w:szCs w:val="20"/>
          <w:u w:val="single"/>
        </w:rPr>
        <w:t>CASE SUMMARY</w:t>
      </w:r>
    </w:p>
    <w:p w:rsidR="00A918CE" w:rsidRDefault="00A918CE" w:rsidP="00A918C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CF167D" w:rsidTr="00A20911">
        <w:tc>
          <w:tcPr>
            <w:tcW w:w="5000" w:type="pct"/>
            <w:gridSpan w:val="3"/>
          </w:tcPr>
          <w:p w:rsidR="00A918CE" w:rsidRPr="00CF167D" w:rsidRDefault="00A918CE" w:rsidP="00A20911">
            <w:pPr>
              <w:jc w:val="both"/>
              <w:rPr>
                <w:rFonts w:eastAsia="Calibri"/>
                <w:sz w:val="20"/>
                <w:szCs w:val="20"/>
              </w:rPr>
            </w:pPr>
            <w:r w:rsidRPr="00CF167D">
              <w:rPr>
                <w:rFonts w:eastAsia="Calibri"/>
                <w:i/>
                <w:sz w:val="20"/>
                <w:szCs w:val="20"/>
              </w:rPr>
              <w:t>Charter of Rights</w:t>
            </w:r>
            <w:r w:rsidRPr="00CF167D">
              <w:rPr>
                <w:rFonts w:eastAsia="Calibri"/>
                <w:sz w:val="20"/>
                <w:szCs w:val="20"/>
              </w:rPr>
              <w:t xml:space="preserve"> – Right to a fair hearing – Do ss. 7, 11(d), and/or 15(1) of the </w:t>
            </w:r>
            <w:r w:rsidRPr="00CF167D">
              <w:rPr>
                <w:rFonts w:eastAsia="Calibri"/>
                <w:i/>
                <w:sz w:val="20"/>
                <w:szCs w:val="20"/>
              </w:rPr>
              <w:t>Charter</w:t>
            </w:r>
            <w:r w:rsidRPr="00CF167D">
              <w:rPr>
                <w:rFonts w:eastAsia="Calibri"/>
                <w:sz w:val="20"/>
                <w:szCs w:val="20"/>
              </w:rPr>
              <w:t xml:space="preserve"> encompass a right for every individual civil litigant to an impartial process, both real and apparent? – If there is such a right, consistent with </w:t>
            </w:r>
            <w:r w:rsidRPr="00CF167D">
              <w:rPr>
                <w:rFonts w:eastAsia="Calibri"/>
                <w:i/>
                <w:sz w:val="20"/>
                <w:szCs w:val="20"/>
              </w:rPr>
              <w:t>Charter</w:t>
            </w:r>
            <w:r w:rsidRPr="00CF167D">
              <w:rPr>
                <w:rFonts w:eastAsia="Calibri"/>
                <w:sz w:val="20"/>
                <w:szCs w:val="20"/>
              </w:rPr>
              <w:t xml:space="preserve"> principles, what form does it take in judicial practice?</w:t>
            </w:r>
          </w:p>
        </w:tc>
      </w:tr>
      <w:tr w:rsidR="00A918CE" w:rsidRPr="00CF167D" w:rsidTr="00A20911">
        <w:tc>
          <w:tcPr>
            <w:tcW w:w="5000" w:type="pct"/>
            <w:gridSpan w:val="3"/>
          </w:tcPr>
          <w:p w:rsidR="00A918CE" w:rsidRPr="00CF167D" w:rsidRDefault="00A918CE" w:rsidP="00A20911">
            <w:pPr>
              <w:jc w:val="both"/>
              <w:rPr>
                <w:rFonts w:eastAsia="Calibri"/>
                <w:sz w:val="20"/>
                <w:szCs w:val="20"/>
              </w:rPr>
            </w:pPr>
          </w:p>
        </w:tc>
      </w:tr>
      <w:tr w:rsidR="00A918CE" w:rsidRPr="00CF167D" w:rsidTr="00A20911">
        <w:tc>
          <w:tcPr>
            <w:tcW w:w="5000" w:type="pct"/>
            <w:gridSpan w:val="3"/>
          </w:tcPr>
          <w:p w:rsidR="00A918CE" w:rsidRPr="00CF167D" w:rsidRDefault="00A918CE" w:rsidP="00A20911">
            <w:pPr>
              <w:jc w:val="both"/>
              <w:rPr>
                <w:rFonts w:eastAsia="Calibri"/>
                <w:sz w:val="20"/>
                <w:szCs w:val="20"/>
              </w:rPr>
            </w:pPr>
            <w:r w:rsidRPr="00CF167D">
              <w:rPr>
                <w:rFonts w:eastAsia="Calibri"/>
                <w:sz w:val="20"/>
                <w:szCs w:val="20"/>
              </w:rPr>
              <w:t xml:space="preserve">Mr. Rancourt sought an order dismissing or staying Ms. St. Lewis’ defamation action against him as an abuse of process on the ground that the University of Ottawa’s agreement to pay for her legal fees constituted champerty and maintenance.  </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March 13, 2013</w:t>
            </w:r>
          </w:p>
          <w:p w:rsidR="00A918CE" w:rsidRPr="00CF167D" w:rsidRDefault="00A918CE" w:rsidP="00A20911">
            <w:pPr>
              <w:jc w:val="both"/>
              <w:rPr>
                <w:rFonts w:eastAsia="Calibri"/>
                <w:sz w:val="20"/>
                <w:szCs w:val="20"/>
              </w:rPr>
            </w:pPr>
            <w:r w:rsidRPr="00CF167D">
              <w:rPr>
                <w:rFonts w:eastAsia="Calibri"/>
                <w:sz w:val="20"/>
                <w:szCs w:val="20"/>
              </w:rPr>
              <w:t>Ontario Superior Court of Justice</w:t>
            </w:r>
          </w:p>
          <w:p w:rsidR="00A918CE" w:rsidRPr="00CF167D" w:rsidRDefault="00A918CE" w:rsidP="00A20911">
            <w:pPr>
              <w:jc w:val="both"/>
              <w:rPr>
                <w:rFonts w:eastAsia="Calibri"/>
                <w:sz w:val="20"/>
                <w:szCs w:val="20"/>
              </w:rPr>
            </w:pPr>
            <w:r w:rsidRPr="00CF167D">
              <w:rPr>
                <w:rFonts w:eastAsia="Calibri"/>
                <w:sz w:val="20"/>
                <w:szCs w:val="20"/>
              </w:rPr>
              <w:t>(Smith J.)</w:t>
            </w:r>
          </w:p>
          <w:p w:rsidR="00A918CE" w:rsidRPr="00CF167D" w:rsidRDefault="00A918CE" w:rsidP="00A20911">
            <w:pPr>
              <w:jc w:val="both"/>
              <w:rPr>
                <w:rFonts w:eastAsia="Calibri"/>
                <w:sz w:val="20"/>
                <w:szCs w:val="20"/>
              </w:rPr>
            </w:pPr>
            <w:r w:rsidRPr="00CF167D">
              <w:rPr>
                <w:rFonts w:eastAsia="Calibri"/>
                <w:sz w:val="20"/>
                <w:szCs w:val="20"/>
              </w:rPr>
              <w:t>2013 ONSC 1564</w:t>
            </w:r>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Applicant’s motion to have respondent’s libel action dismissed</w:t>
            </w:r>
          </w:p>
          <w:p w:rsidR="00A918CE" w:rsidRPr="00CF167D" w:rsidRDefault="00A918CE" w:rsidP="00A20911">
            <w:pPr>
              <w:jc w:val="both"/>
              <w:rPr>
                <w:rFonts w:eastAsia="Calibri"/>
                <w:sz w:val="20"/>
                <w:szCs w:val="20"/>
              </w:rPr>
            </w:pP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November 8, 2013</w:t>
            </w:r>
          </w:p>
          <w:p w:rsidR="00A918CE" w:rsidRPr="00CF167D" w:rsidRDefault="00A918CE" w:rsidP="00A20911">
            <w:pPr>
              <w:jc w:val="both"/>
              <w:rPr>
                <w:rFonts w:eastAsia="Calibri"/>
                <w:sz w:val="20"/>
                <w:szCs w:val="20"/>
              </w:rPr>
            </w:pPr>
            <w:r w:rsidRPr="00CF167D">
              <w:rPr>
                <w:rFonts w:eastAsia="Calibri"/>
                <w:sz w:val="20"/>
                <w:szCs w:val="20"/>
              </w:rPr>
              <w:t>Court of Appeal for Ontario</w:t>
            </w:r>
          </w:p>
          <w:p w:rsidR="00A918CE" w:rsidRPr="00CF167D" w:rsidRDefault="00A918CE" w:rsidP="00A20911">
            <w:pPr>
              <w:jc w:val="both"/>
              <w:rPr>
                <w:rFonts w:eastAsia="Calibri"/>
                <w:sz w:val="20"/>
                <w:szCs w:val="20"/>
              </w:rPr>
            </w:pPr>
            <w:r w:rsidRPr="00CF167D">
              <w:rPr>
                <w:rFonts w:eastAsia="Calibri"/>
                <w:sz w:val="20"/>
                <w:szCs w:val="20"/>
              </w:rPr>
              <w:t>(Hoy, Sharpe and Blair JJ. A.)</w:t>
            </w:r>
          </w:p>
          <w:p w:rsidR="00A918CE" w:rsidRPr="00CF167D" w:rsidRDefault="00A918CE" w:rsidP="00A20911">
            <w:pPr>
              <w:jc w:val="both"/>
              <w:rPr>
                <w:rFonts w:eastAsia="Calibri"/>
                <w:sz w:val="20"/>
                <w:szCs w:val="20"/>
              </w:rPr>
            </w:pPr>
            <w:r w:rsidRPr="00CF167D">
              <w:rPr>
                <w:rFonts w:eastAsia="Calibri"/>
                <w:sz w:val="20"/>
                <w:szCs w:val="20"/>
              </w:rPr>
              <w:t>2013 ONCA 701</w:t>
            </w:r>
          </w:p>
          <w:p w:rsidR="00A918CE" w:rsidRPr="00CF167D" w:rsidRDefault="00A918CE" w:rsidP="00A20911">
            <w:pPr>
              <w:jc w:val="both"/>
              <w:rPr>
                <w:rFonts w:eastAsia="Calibri"/>
                <w:sz w:val="20"/>
                <w:szCs w:val="20"/>
              </w:rPr>
            </w:pP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Appeal dismissed</w:t>
            </w:r>
          </w:p>
          <w:p w:rsidR="00A918CE" w:rsidRPr="00CF167D" w:rsidRDefault="00A918CE" w:rsidP="00A20911">
            <w:pPr>
              <w:jc w:val="both"/>
              <w:rPr>
                <w:rFonts w:eastAsia="Calibri"/>
                <w:sz w:val="20"/>
                <w:szCs w:val="20"/>
              </w:rPr>
            </w:pPr>
          </w:p>
        </w:tc>
      </w:tr>
      <w:tr w:rsidR="00A918CE" w:rsidRPr="00CF167D" w:rsidTr="00A20911">
        <w:tc>
          <w:tcPr>
            <w:tcW w:w="2427" w:type="pct"/>
          </w:tcPr>
          <w:p w:rsidR="00A918CE" w:rsidRPr="00CF167D" w:rsidRDefault="00A918CE" w:rsidP="00A20911">
            <w:pPr>
              <w:jc w:val="both"/>
              <w:rPr>
                <w:rFonts w:eastAsia="Calibri"/>
                <w:sz w:val="20"/>
                <w:szCs w:val="20"/>
              </w:rPr>
            </w:pPr>
            <w:r w:rsidRPr="00CF167D">
              <w:rPr>
                <w:rFonts w:eastAsia="Calibri"/>
                <w:sz w:val="20"/>
                <w:szCs w:val="20"/>
              </w:rPr>
              <w:t>January 7, 2014</w:t>
            </w:r>
          </w:p>
          <w:p w:rsidR="00A918CE" w:rsidRPr="00CF167D" w:rsidRDefault="00A918CE" w:rsidP="00A20911">
            <w:pPr>
              <w:jc w:val="both"/>
              <w:rPr>
                <w:rFonts w:eastAsia="Calibri"/>
                <w:sz w:val="20"/>
                <w:szCs w:val="20"/>
              </w:rPr>
            </w:pPr>
            <w:r w:rsidRPr="00CF167D">
              <w:rPr>
                <w:rFonts w:eastAsia="Calibri"/>
                <w:sz w:val="20"/>
                <w:szCs w:val="20"/>
              </w:rPr>
              <w:t>Supreme Court of Canada</w:t>
            </w:r>
          </w:p>
        </w:tc>
        <w:tc>
          <w:tcPr>
            <w:tcW w:w="243" w:type="pct"/>
          </w:tcPr>
          <w:p w:rsidR="00A918CE" w:rsidRPr="00CF167D" w:rsidRDefault="00A918CE" w:rsidP="00A20911">
            <w:pPr>
              <w:jc w:val="both"/>
              <w:rPr>
                <w:rFonts w:eastAsia="Calibri"/>
                <w:sz w:val="20"/>
                <w:szCs w:val="20"/>
              </w:rPr>
            </w:pPr>
          </w:p>
        </w:tc>
        <w:tc>
          <w:tcPr>
            <w:tcW w:w="2330" w:type="pct"/>
          </w:tcPr>
          <w:p w:rsidR="00A918CE" w:rsidRPr="00CF167D" w:rsidRDefault="00A918CE" w:rsidP="00A20911">
            <w:pPr>
              <w:jc w:val="both"/>
              <w:rPr>
                <w:rFonts w:eastAsia="Calibri"/>
                <w:sz w:val="20"/>
                <w:szCs w:val="20"/>
              </w:rPr>
            </w:pPr>
            <w:r w:rsidRPr="00CF167D">
              <w:rPr>
                <w:rFonts w:eastAsia="Calibri"/>
                <w:sz w:val="20"/>
                <w:szCs w:val="20"/>
              </w:rPr>
              <w:t>Application for leave to appeal filed</w:t>
            </w:r>
          </w:p>
          <w:p w:rsidR="00A918CE" w:rsidRPr="00CF167D" w:rsidRDefault="00A918CE" w:rsidP="00A20911">
            <w:pPr>
              <w:jc w:val="both"/>
              <w:rPr>
                <w:rFonts w:eastAsia="Calibri"/>
                <w:sz w:val="20"/>
                <w:szCs w:val="20"/>
              </w:rPr>
            </w:pPr>
          </w:p>
        </w:tc>
      </w:tr>
    </w:tbl>
    <w:p w:rsidR="00A918CE" w:rsidRDefault="00A918CE" w:rsidP="00A918CE">
      <w:pPr>
        <w:rPr>
          <w:sz w:val="20"/>
          <w:szCs w:val="20"/>
        </w:rPr>
      </w:pPr>
    </w:p>
    <w:p w:rsidR="00A918CE" w:rsidRPr="00C50A5C" w:rsidRDefault="000C68D7" w:rsidP="00A918CE">
      <w:pPr>
        <w:rPr>
          <w:sz w:val="20"/>
          <w:szCs w:val="20"/>
        </w:rPr>
      </w:pPr>
      <w:r>
        <w:rPr>
          <w:sz w:val="20"/>
          <w:szCs w:val="20"/>
          <w:lang w:val="fr-CA"/>
        </w:rPr>
        <w:pict>
          <v:rect id="_x0000_i1051" style="width:2in;height:1pt" o:hrpct="0" o:hralign="center" o:hrstd="t" o:hrnoshade="t" o:hr="t" fillcolor="black [3213]" stroked="f"/>
        </w:pict>
      </w:r>
    </w:p>
    <w:p w:rsidR="00A918CE" w:rsidRDefault="00A918CE" w:rsidP="00A918CE">
      <w:pPr>
        <w:rPr>
          <w:sz w:val="20"/>
          <w:szCs w:val="20"/>
        </w:rPr>
      </w:pPr>
    </w:p>
    <w:p w:rsidR="00A918CE" w:rsidRPr="001B157C" w:rsidRDefault="00A918CE" w:rsidP="00A918CE">
      <w:pPr>
        <w:rPr>
          <w:sz w:val="20"/>
          <w:szCs w:val="20"/>
          <w:u w:val="single"/>
          <w:lang w:val="fr-CA"/>
        </w:rPr>
      </w:pPr>
      <w:r w:rsidRPr="001B157C">
        <w:rPr>
          <w:sz w:val="20"/>
          <w:szCs w:val="20"/>
          <w:u w:val="single"/>
          <w:lang w:val="fr-CA"/>
        </w:rPr>
        <w:t>RÉSUMÉ DE L’AFFAIRE</w:t>
      </w:r>
    </w:p>
    <w:p w:rsidR="00A918CE" w:rsidRDefault="00A918CE" w:rsidP="00A918C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8CE" w:rsidRPr="000C68D7" w:rsidTr="00A20911">
        <w:tc>
          <w:tcPr>
            <w:tcW w:w="5000" w:type="pct"/>
            <w:gridSpan w:val="3"/>
          </w:tcPr>
          <w:p w:rsidR="00A918CE" w:rsidRPr="00CF167D" w:rsidRDefault="00A918CE" w:rsidP="00A20911">
            <w:pPr>
              <w:jc w:val="both"/>
              <w:rPr>
                <w:sz w:val="20"/>
                <w:szCs w:val="20"/>
                <w:lang w:val="fr-CA"/>
              </w:rPr>
            </w:pPr>
            <w:r w:rsidRPr="00CF167D">
              <w:rPr>
                <w:i/>
                <w:sz w:val="20"/>
                <w:szCs w:val="20"/>
                <w:lang w:val="fr-CA"/>
              </w:rPr>
              <w:t xml:space="preserve">Charte des droits </w:t>
            </w:r>
            <w:r w:rsidRPr="00CF167D">
              <w:rPr>
                <w:sz w:val="20"/>
                <w:szCs w:val="20"/>
                <w:lang w:val="fr-CA"/>
              </w:rPr>
              <w:t>– Droit à une audition équitable – Les art. 7, 11</w:t>
            </w:r>
            <w:r w:rsidRPr="00CF167D">
              <w:rPr>
                <w:i/>
                <w:sz w:val="20"/>
                <w:szCs w:val="20"/>
                <w:lang w:val="fr-CA"/>
              </w:rPr>
              <w:t>d</w:t>
            </w:r>
            <w:r w:rsidRPr="00CF167D">
              <w:rPr>
                <w:sz w:val="20"/>
                <w:szCs w:val="20"/>
                <w:lang w:val="fr-CA"/>
              </w:rPr>
              <w:t xml:space="preserve">) et 15(1) de la </w:t>
            </w:r>
            <w:r w:rsidRPr="00CF167D">
              <w:rPr>
                <w:i/>
                <w:sz w:val="20"/>
                <w:szCs w:val="20"/>
                <w:lang w:val="fr-CA"/>
              </w:rPr>
              <w:t>Charte</w:t>
            </w:r>
            <w:r w:rsidRPr="00CF167D">
              <w:rPr>
                <w:sz w:val="20"/>
                <w:szCs w:val="20"/>
                <w:lang w:val="fr-CA"/>
              </w:rPr>
              <w:t xml:space="preserve"> confèrent-ils à tout justiciable civil le droit à un processus impartial, dans les faits et en apparence? – Si un tel droit existe, conformément aux principes consacrés par la </w:t>
            </w:r>
            <w:r w:rsidRPr="00CF167D">
              <w:rPr>
                <w:i/>
                <w:sz w:val="20"/>
                <w:szCs w:val="20"/>
                <w:lang w:val="fr-CA"/>
              </w:rPr>
              <w:t>Charte</w:t>
            </w:r>
            <w:r w:rsidRPr="00CF167D">
              <w:rPr>
                <w:sz w:val="20"/>
                <w:szCs w:val="20"/>
                <w:lang w:val="fr-CA"/>
              </w:rPr>
              <w:t>, quelle forme prend ce droit en pratique devant les tribunaux?</w:t>
            </w:r>
          </w:p>
        </w:tc>
      </w:tr>
      <w:tr w:rsidR="00A918CE" w:rsidRPr="000C68D7" w:rsidTr="00A20911">
        <w:tc>
          <w:tcPr>
            <w:tcW w:w="5000" w:type="pct"/>
            <w:gridSpan w:val="3"/>
          </w:tcPr>
          <w:p w:rsidR="00A918CE" w:rsidRPr="00CF167D" w:rsidRDefault="00A918CE" w:rsidP="00A20911">
            <w:pPr>
              <w:jc w:val="both"/>
              <w:rPr>
                <w:sz w:val="20"/>
                <w:szCs w:val="20"/>
                <w:lang w:val="fr-CA"/>
              </w:rPr>
            </w:pPr>
          </w:p>
        </w:tc>
      </w:tr>
      <w:tr w:rsidR="00A918CE" w:rsidRPr="000C68D7" w:rsidTr="00A20911">
        <w:tc>
          <w:tcPr>
            <w:tcW w:w="5000" w:type="pct"/>
            <w:gridSpan w:val="3"/>
          </w:tcPr>
          <w:p w:rsidR="00A918CE" w:rsidRPr="00CF167D" w:rsidRDefault="00A918CE" w:rsidP="00A20911">
            <w:pPr>
              <w:jc w:val="both"/>
              <w:rPr>
                <w:sz w:val="20"/>
                <w:szCs w:val="20"/>
                <w:lang w:val="fr-CA"/>
              </w:rPr>
            </w:pPr>
            <w:r w:rsidRPr="00CF167D">
              <w:rPr>
                <w:sz w:val="20"/>
                <w:szCs w:val="20"/>
                <w:lang w:val="fr-CA"/>
              </w:rPr>
              <w:t xml:space="preserve">Monsieur Rancourt a sollicité une ordonnance de rejet ou de suspension de l'action en diffamation intentée contre lui par Mme St. Lewis en tant qu'abus de procédure, au motif que l’acceptation par l’Université d’Ottawa d'acquitter ses frais de justice constituait une champartie et un soutien abusif.  </w:t>
            </w:r>
          </w:p>
          <w:p w:rsidR="00A918CE" w:rsidRPr="00CF167D" w:rsidRDefault="00A918CE" w:rsidP="00A20911">
            <w:pPr>
              <w:jc w:val="both"/>
              <w:rPr>
                <w:sz w:val="20"/>
                <w:szCs w:val="20"/>
                <w:lang w:val="fr-CA"/>
              </w:rPr>
            </w:pPr>
          </w:p>
        </w:tc>
      </w:tr>
      <w:tr w:rsidR="00A918CE" w:rsidRPr="000C68D7" w:rsidTr="00A20911">
        <w:tc>
          <w:tcPr>
            <w:tcW w:w="2427" w:type="pct"/>
          </w:tcPr>
          <w:p w:rsidR="00A918CE" w:rsidRPr="00CF167D" w:rsidRDefault="00A918CE" w:rsidP="00A20911">
            <w:pPr>
              <w:jc w:val="both"/>
              <w:rPr>
                <w:sz w:val="20"/>
                <w:szCs w:val="20"/>
                <w:lang w:val="fr-CA"/>
              </w:rPr>
            </w:pPr>
            <w:r w:rsidRPr="00CF167D">
              <w:rPr>
                <w:sz w:val="20"/>
                <w:szCs w:val="20"/>
                <w:lang w:val="fr-CA"/>
              </w:rPr>
              <w:t>13 mars 2013</w:t>
            </w:r>
          </w:p>
          <w:p w:rsidR="00A918CE" w:rsidRPr="00CF167D" w:rsidRDefault="00A918CE" w:rsidP="00A20911">
            <w:pPr>
              <w:jc w:val="both"/>
              <w:rPr>
                <w:sz w:val="20"/>
                <w:szCs w:val="20"/>
                <w:lang w:val="fr-CA"/>
              </w:rPr>
            </w:pPr>
            <w:r w:rsidRPr="00CF167D">
              <w:rPr>
                <w:sz w:val="20"/>
                <w:szCs w:val="20"/>
                <w:lang w:val="fr-CA"/>
              </w:rPr>
              <w:t>Cour supérieure de justice de l'Ontario</w:t>
            </w:r>
          </w:p>
          <w:p w:rsidR="00A918CE" w:rsidRPr="00CF167D" w:rsidRDefault="00A918CE" w:rsidP="00A20911">
            <w:pPr>
              <w:jc w:val="both"/>
              <w:rPr>
                <w:sz w:val="20"/>
                <w:szCs w:val="20"/>
                <w:lang w:val="fr-CA"/>
              </w:rPr>
            </w:pPr>
            <w:r w:rsidRPr="00CF167D">
              <w:rPr>
                <w:sz w:val="20"/>
                <w:szCs w:val="20"/>
                <w:lang w:val="fr-CA"/>
              </w:rPr>
              <w:lastRenderedPageBreak/>
              <w:t>(Juge Smith)</w:t>
            </w:r>
          </w:p>
          <w:p w:rsidR="00A918CE" w:rsidRPr="00CF167D" w:rsidRDefault="00A918CE" w:rsidP="00A20911">
            <w:pPr>
              <w:jc w:val="both"/>
              <w:rPr>
                <w:sz w:val="20"/>
                <w:szCs w:val="20"/>
                <w:lang w:val="fr-CA"/>
              </w:rPr>
            </w:pPr>
            <w:r w:rsidRPr="00CF167D">
              <w:rPr>
                <w:sz w:val="20"/>
                <w:szCs w:val="20"/>
                <w:lang w:val="fr-CA"/>
              </w:rPr>
              <w:t>2013 ONSC 1564</w:t>
            </w:r>
          </w:p>
          <w:p w:rsidR="00A918CE" w:rsidRPr="00CF167D" w:rsidRDefault="00A918CE" w:rsidP="00A20911">
            <w:pPr>
              <w:jc w:val="both"/>
              <w:rPr>
                <w:sz w:val="20"/>
                <w:szCs w:val="20"/>
                <w:lang w:val="fr-CA"/>
              </w:rPr>
            </w:pPr>
          </w:p>
        </w:tc>
        <w:tc>
          <w:tcPr>
            <w:tcW w:w="243" w:type="pct"/>
          </w:tcPr>
          <w:p w:rsidR="00A918CE" w:rsidRPr="00CF167D" w:rsidRDefault="00A918CE" w:rsidP="00A20911">
            <w:pPr>
              <w:jc w:val="both"/>
              <w:rPr>
                <w:sz w:val="20"/>
                <w:szCs w:val="20"/>
                <w:lang w:val="fr-CA"/>
              </w:rPr>
            </w:pPr>
          </w:p>
        </w:tc>
        <w:tc>
          <w:tcPr>
            <w:tcW w:w="2330" w:type="pct"/>
          </w:tcPr>
          <w:p w:rsidR="00A918CE" w:rsidRPr="00CF167D" w:rsidRDefault="00A918CE" w:rsidP="00A20911">
            <w:pPr>
              <w:jc w:val="both"/>
              <w:rPr>
                <w:sz w:val="20"/>
                <w:szCs w:val="20"/>
                <w:lang w:val="fr-CA"/>
              </w:rPr>
            </w:pPr>
            <w:r w:rsidRPr="00CF167D">
              <w:rPr>
                <w:sz w:val="20"/>
                <w:szCs w:val="20"/>
                <w:lang w:val="fr-CA"/>
              </w:rPr>
              <w:t>Motion du demandeur en rejet de l'action en diffamation de l'intimée</w:t>
            </w:r>
          </w:p>
          <w:p w:rsidR="00A918CE" w:rsidRPr="00CF167D" w:rsidRDefault="00A918CE" w:rsidP="00A20911">
            <w:pPr>
              <w:jc w:val="both"/>
              <w:rPr>
                <w:sz w:val="20"/>
                <w:szCs w:val="20"/>
                <w:lang w:val="fr-CA"/>
              </w:rPr>
            </w:pPr>
          </w:p>
          <w:p w:rsidR="00A918CE" w:rsidRPr="00CF167D" w:rsidRDefault="00A918CE" w:rsidP="00A20911">
            <w:pPr>
              <w:jc w:val="both"/>
              <w:rPr>
                <w:sz w:val="20"/>
                <w:szCs w:val="20"/>
                <w:lang w:val="fr-CA"/>
              </w:rPr>
            </w:pPr>
          </w:p>
        </w:tc>
      </w:tr>
      <w:tr w:rsidR="00A918CE" w:rsidRPr="00CF167D" w:rsidTr="00A20911">
        <w:tc>
          <w:tcPr>
            <w:tcW w:w="2427" w:type="pct"/>
          </w:tcPr>
          <w:p w:rsidR="00A918CE" w:rsidRPr="00CF167D" w:rsidRDefault="00A918CE" w:rsidP="00A20911">
            <w:pPr>
              <w:jc w:val="both"/>
              <w:rPr>
                <w:sz w:val="20"/>
                <w:szCs w:val="20"/>
                <w:lang w:val="fr-CA"/>
              </w:rPr>
            </w:pPr>
            <w:r w:rsidRPr="00CF167D">
              <w:rPr>
                <w:sz w:val="20"/>
                <w:szCs w:val="20"/>
                <w:lang w:val="fr-CA"/>
              </w:rPr>
              <w:lastRenderedPageBreak/>
              <w:t>8 novembre 2013</w:t>
            </w:r>
          </w:p>
          <w:p w:rsidR="00A918CE" w:rsidRPr="00CF167D" w:rsidRDefault="00A918CE" w:rsidP="00A20911">
            <w:pPr>
              <w:jc w:val="both"/>
              <w:rPr>
                <w:sz w:val="20"/>
                <w:szCs w:val="20"/>
                <w:lang w:val="fr-CA"/>
              </w:rPr>
            </w:pPr>
            <w:r w:rsidRPr="00CF167D">
              <w:rPr>
                <w:sz w:val="20"/>
                <w:szCs w:val="20"/>
                <w:lang w:val="fr-CA"/>
              </w:rPr>
              <w:t>Cour d'appel de l'Ontario</w:t>
            </w:r>
          </w:p>
          <w:p w:rsidR="00A918CE" w:rsidRPr="00CF167D" w:rsidRDefault="00A918CE" w:rsidP="00A20911">
            <w:pPr>
              <w:jc w:val="both"/>
              <w:rPr>
                <w:sz w:val="20"/>
                <w:szCs w:val="20"/>
                <w:lang w:val="fr-CA"/>
              </w:rPr>
            </w:pPr>
            <w:r w:rsidRPr="00CF167D">
              <w:rPr>
                <w:sz w:val="20"/>
                <w:szCs w:val="20"/>
                <w:lang w:val="fr-CA"/>
              </w:rPr>
              <w:t>(Juges Hoy, Sharpe et Blair)</w:t>
            </w:r>
          </w:p>
          <w:p w:rsidR="00A918CE" w:rsidRPr="00CF167D" w:rsidRDefault="00A918CE" w:rsidP="00A20911">
            <w:pPr>
              <w:jc w:val="both"/>
              <w:rPr>
                <w:sz w:val="20"/>
                <w:szCs w:val="20"/>
                <w:lang w:val="fr-CA"/>
              </w:rPr>
            </w:pPr>
            <w:r w:rsidRPr="00CF167D">
              <w:rPr>
                <w:sz w:val="20"/>
                <w:szCs w:val="20"/>
                <w:lang w:val="fr-CA"/>
              </w:rPr>
              <w:t>2013 ONCA 701</w:t>
            </w:r>
          </w:p>
          <w:p w:rsidR="00A918CE" w:rsidRPr="00CF167D" w:rsidRDefault="00A918CE" w:rsidP="00A20911">
            <w:pPr>
              <w:jc w:val="both"/>
              <w:rPr>
                <w:sz w:val="20"/>
                <w:szCs w:val="20"/>
                <w:lang w:val="fr-CA"/>
              </w:rPr>
            </w:pPr>
          </w:p>
        </w:tc>
        <w:tc>
          <w:tcPr>
            <w:tcW w:w="243" w:type="pct"/>
          </w:tcPr>
          <w:p w:rsidR="00A918CE" w:rsidRPr="00CF167D" w:rsidRDefault="00A918CE" w:rsidP="00A20911">
            <w:pPr>
              <w:jc w:val="both"/>
              <w:rPr>
                <w:sz w:val="20"/>
                <w:szCs w:val="20"/>
                <w:lang w:val="fr-CA"/>
              </w:rPr>
            </w:pPr>
          </w:p>
        </w:tc>
        <w:tc>
          <w:tcPr>
            <w:tcW w:w="2330" w:type="pct"/>
          </w:tcPr>
          <w:p w:rsidR="00A918CE" w:rsidRPr="00CF167D" w:rsidRDefault="00A918CE" w:rsidP="00A20911">
            <w:pPr>
              <w:jc w:val="both"/>
              <w:rPr>
                <w:sz w:val="20"/>
                <w:szCs w:val="20"/>
                <w:lang w:val="fr-CA"/>
              </w:rPr>
            </w:pPr>
            <w:r w:rsidRPr="00CF167D">
              <w:rPr>
                <w:sz w:val="20"/>
                <w:szCs w:val="20"/>
                <w:lang w:val="fr-CA"/>
              </w:rPr>
              <w:t>Appel rejeté</w:t>
            </w:r>
          </w:p>
          <w:p w:rsidR="00A918CE" w:rsidRPr="00CF167D" w:rsidRDefault="00A918CE" w:rsidP="00A20911">
            <w:pPr>
              <w:jc w:val="both"/>
              <w:rPr>
                <w:sz w:val="20"/>
                <w:szCs w:val="20"/>
                <w:lang w:val="fr-CA"/>
              </w:rPr>
            </w:pPr>
          </w:p>
        </w:tc>
      </w:tr>
      <w:tr w:rsidR="00A918CE" w:rsidRPr="00CF167D" w:rsidTr="00A20911">
        <w:tc>
          <w:tcPr>
            <w:tcW w:w="2427" w:type="pct"/>
          </w:tcPr>
          <w:p w:rsidR="00A918CE" w:rsidRPr="00CF167D" w:rsidRDefault="00A918CE" w:rsidP="00A20911">
            <w:pPr>
              <w:jc w:val="both"/>
              <w:rPr>
                <w:sz w:val="20"/>
                <w:szCs w:val="20"/>
                <w:lang w:val="fr-CA"/>
              </w:rPr>
            </w:pPr>
            <w:r w:rsidRPr="00CF167D">
              <w:rPr>
                <w:sz w:val="20"/>
                <w:szCs w:val="20"/>
                <w:lang w:val="fr-CA"/>
              </w:rPr>
              <w:t>7 janvier 2014</w:t>
            </w:r>
          </w:p>
          <w:p w:rsidR="00A918CE" w:rsidRPr="00CF167D" w:rsidRDefault="00A918CE" w:rsidP="00A20911">
            <w:pPr>
              <w:jc w:val="both"/>
              <w:rPr>
                <w:sz w:val="20"/>
                <w:szCs w:val="20"/>
                <w:lang w:val="fr-CA"/>
              </w:rPr>
            </w:pPr>
            <w:r w:rsidRPr="00CF167D">
              <w:rPr>
                <w:sz w:val="20"/>
                <w:szCs w:val="20"/>
                <w:lang w:val="fr-CA"/>
              </w:rPr>
              <w:t>Cour suprême du Canada</w:t>
            </w:r>
          </w:p>
        </w:tc>
        <w:tc>
          <w:tcPr>
            <w:tcW w:w="243" w:type="pct"/>
          </w:tcPr>
          <w:p w:rsidR="00A918CE" w:rsidRPr="00CF167D" w:rsidRDefault="00A918CE" w:rsidP="00A20911">
            <w:pPr>
              <w:jc w:val="both"/>
              <w:rPr>
                <w:sz w:val="20"/>
                <w:szCs w:val="20"/>
                <w:lang w:val="fr-CA"/>
              </w:rPr>
            </w:pPr>
          </w:p>
        </w:tc>
        <w:tc>
          <w:tcPr>
            <w:tcW w:w="2330" w:type="pct"/>
          </w:tcPr>
          <w:p w:rsidR="00A918CE" w:rsidRPr="00CF167D" w:rsidRDefault="00A918CE" w:rsidP="00A20911">
            <w:pPr>
              <w:jc w:val="both"/>
              <w:rPr>
                <w:sz w:val="20"/>
                <w:szCs w:val="20"/>
                <w:lang w:val="fr-CA"/>
              </w:rPr>
            </w:pPr>
            <w:r w:rsidRPr="00CF167D">
              <w:rPr>
                <w:sz w:val="20"/>
                <w:szCs w:val="20"/>
                <w:lang w:val="fr-CA"/>
              </w:rPr>
              <w:t>Demande d'autorisation d'appel, déposée</w:t>
            </w:r>
          </w:p>
          <w:p w:rsidR="00A918CE" w:rsidRPr="00CF167D" w:rsidRDefault="00A918CE" w:rsidP="00A20911">
            <w:pPr>
              <w:jc w:val="both"/>
              <w:rPr>
                <w:sz w:val="20"/>
                <w:szCs w:val="20"/>
                <w:lang w:val="fr-CA"/>
              </w:rPr>
            </w:pPr>
          </w:p>
        </w:tc>
      </w:tr>
    </w:tbl>
    <w:p w:rsidR="00A918CE" w:rsidRDefault="00A918CE" w:rsidP="00A918CE">
      <w:pPr>
        <w:rPr>
          <w:sz w:val="20"/>
          <w:szCs w:val="20"/>
        </w:rPr>
      </w:pPr>
    </w:p>
    <w:p w:rsidR="00A918CE" w:rsidRDefault="000C68D7" w:rsidP="00A918CE">
      <w:pPr>
        <w:rPr>
          <w:sz w:val="20"/>
          <w:szCs w:val="20"/>
        </w:rPr>
      </w:pPr>
      <w:r>
        <w:rPr>
          <w:sz w:val="20"/>
          <w:szCs w:val="20"/>
          <w:lang w:val="fr-CA"/>
        </w:rPr>
        <w:pict>
          <v:rect id="_x0000_i1052" style="width:2in;height:1pt" o:hrpct="0" o:hralign="center" o:hrstd="t" o:hrnoshade="t" o:hr="t" fillcolor="black [3213]" stroked="f"/>
        </w:pict>
      </w:r>
    </w:p>
    <w:p w:rsidR="00A918CE" w:rsidRDefault="00A918CE" w:rsidP="00A918CE">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074E3" w:rsidRPr="009074E3" w:rsidRDefault="009074E3" w:rsidP="009074E3">
      <w:pPr>
        <w:tabs>
          <w:tab w:val="left" w:pos="-1440"/>
          <w:tab w:val="left" w:pos="-720"/>
        </w:tabs>
        <w:jc w:val="both"/>
        <w:rPr>
          <w:rFonts w:eastAsia="Times New Roman" w:cs="Times New Roman"/>
          <w:sz w:val="20"/>
          <w:szCs w:val="20"/>
          <w:lang w:val="fr-CA" w:eastAsia="en-CA"/>
        </w:rPr>
      </w:pPr>
      <w:r w:rsidRPr="009074E3">
        <w:rPr>
          <w:rFonts w:eastAsia="Times New Roman" w:cs="Times New Roman"/>
          <w:sz w:val="20"/>
          <w:szCs w:val="20"/>
          <w:lang w:val="fr-CA" w:eastAsia="en-CA"/>
        </w:rPr>
        <w:t>26.02.2014</w:t>
      </w: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9074E3" w:rsidP="009074E3">
      <w:pPr>
        <w:tabs>
          <w:tab w:val="left" w:pos="-1440"/>
          <w:tab w:val="left" w:pos="-720"/>
        </w:tabs>
        <w:jc w:val="both"/>
        <w:rPr>
          <w:rFonts w:eastAsia="Times New Roman" w:cs="Times New Roman"/>
          <w:sz w:val="20"/>
          <w:szCs w:val="20"/>
          <w:lang w:eastAsia="en-CA"/>
        </w:rPr>
      </w:pPr>
      <w:r w:rsidRPr="009074E3">
        <w:rPr>
          <w:rFonts w:eastAsia="Times New Roman" w:cs="Times New Roman"/>
          <w:sz w:val="20"/>
          <w:szCs w:val="20"/>
          <w:lang w:eastAsia="en-CA"/>
        </w:rPr>
        <w:t xml:space="preserve">Before / </w:t>
      </w:r>
      <w:r w:rsidRPr="009074E3">
        <w:rPr>
          <w:rFonts w:eastAsia="Times New Roman" w:cs="Times New Roman"/>
          <w:sz w:val="20"/>
          <w:szCs w:val="20"/>
          <w:lang w:val="fr-CA" w:eastAsia="en-CA"/>
        </w:rPr>
        <w:t>Devant</w:t>
      </w:r>
      <w:r w:rsidRPr="009074E3">
        <w:rPr>
          <w:rFonts w:eastAsia="Times New Roman" w:cs="Times New Roman"/>
          <w:sz w:val="20"/>
          <w:szCs w:val="20"/>
          <w:lang w:eastAsia="en-CA"/>
        </w:rPr>
        <w:t xml:space="preserve"> :   THE DEPUTY REGISTRAR / LA REGISTRAIRE ADJOINTE</w:t>
      </w:r>
    </w:p>
    <w:p w:rsidR="009074E3" w:rsidRPr="009074E3" w:rsidRDefault="009074E3" w:rsidP="009074E3">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074E3" w:rsidRPr="000C68D7" w:rsidTr="00A20911">
        <w:tc>
          <w:tcPr>
            <w:tcW w:w="4338" w:type="dxa"/>
          </w:tcPr>
          <w:p w:rsidR="009074E3" w:rsidRPr="009074E3" w:rsidRDefault="007359BF" w:rsidP="009074E3">
            <w:pPr>
              <w:tabs>
                <w:tab w:val="left" w:pos="-1440"/>
                <w:tab w:val="left" w:pos="-720"/>
              </w:tabs>
              <w:jc w:val="both"/>
              <w:rPr>
                <w:b/>
              </w:rPr>
            </w:pPr>
            <w:r w:rsidRPr="009074E3">
              <w:rPr>
                <w:szCs w:val="24"/>
                <w:lang w:val="en-US"/>
              </w:rPr>
              <w:fldChar w:fldCharType="begin"/>
            </w:r>
            <w:r w:rsidR="009074E3" w:rsidRPr="009074E3">
              <w:rPr>
                <w:szCs w:val="24"/>
                <w:lang w:val="en-US"/>
              </w:rPr>
              <w:instrText xml:space="preserve"> SEQ CHAPTER \h \r 1</w:instrText>
            </w:r>
            <w:r w:rsidRPr="009074E3">
              <w:rPr>
                <w:szCs w:val="24"/>
                <w:lang w:val="en-US"/>
              </w:rPr>
              <w:fldChar w:fldCharType="end"/>
            </w:r>
            <w:r w:rsidR="009074E3" w:rsidRPr="009074E3">
              <w:rPr>
                <w:b/>
                <w:bCs/>
                <w:lang w:val="en-US"/>
              </w:rPr>
              <w:t>Motion to dispense with printing</w:t>
            </w:r>
          </w:p>
        </w:tc>
        <w:tc>
          <w:tcPr>
            <w:tcW w:w="1170" w:type="dxa"/>
          </w:tcPr>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p>
        </w:tc>
        <w:tc>
          <w:tcPr>
            <w:tcW w:w="4327" w:type="dxa"/>
          </w:tcPr>
          <w:p w:rsidR="009074E3" w:rsidRPr="009074E3" w:rsidRDefault="007359BF" w:rsidP="009074E3">
            <w:pPr>
              <w:tabs>
                <w:tab w:val="left" w:pos="-1440"/>
                <w:tab w:val="left" w:pos="-720"/>
              </w:tabs>
              <w:jc w:val="both"/>
              <w:rPr>
                <w:lang w:val="fr-CA"/>
              </w:rPr>
            </w:pPr>
            <w:r w:rsidRPr="009074E3">
              <w:rPr>
                <w:szCs w:val="24"/>
                <w:lang w:val="en-US"/>
              </w:rPr>
              <w:fldChar w:fldCharType="begin"/>
            </w:r>
            <w:r w:rsidR="009074E3" w:rsidRPr="009074E3">
              <w:rPr>
                <w:szCs w:val="24"/>
                <w:lang w:val="fr-CA"/>
              </w:rPr>
              <w:instrText xml:space="preserve"> SEQ CHAPTER \h \r 1</w:instrText>
            </w:r>
            <w:r w:rsidRPr="009074E3">
              <w:rPr>
                <w:szCs w:val="24"/>
                <w:lang w:val="en-US"/>
              </w:rPr>
              <w:fldChar w:fldCharType="end"/>
            </w:r>
            <w:r w:rsidR="009074E3" w:rsidRPr="009074E3">
              <w:rPr>
                <w:b/>
                <w:bCs/>
                <w:lang w:val="fr-CA"/>
              </w:rPr>
              <w:t xml:space="preserve">Requête visant à être dispensé d’imprimer certaines copies d’une partie du dossier </w:t>
            </w:r>
            <w:r w:rsidRPr="009074E3">
              <w:rPr>
                <w:szCs w:val="24"/>
                <w:lang w:val="en-US"/>
              </w:rPr>
              <w:fldChar w:fldCharType="begin"/>
            </w:r>
            <w:r w:rsidR="009074E3" w:rsidRPr="009074E3">
              <w:rPr>
                <w:szCs w:val="24"/>
                <w:lang w:val="fr-CA"/>
              </w:rPr>
              <w:instrText xml:space="preserve"> SEQ CHAPTER \h \r 1</w:instrText>
            </w:r>
            <w:r w:rsidRPr="009074E3">
              <w:rPr>
                <w:szCs w:val="24"/>
                <w:lang w:val="en-US"/>
              </w:rPr>
              <w:fldChar w:fldCharType="end"/>
            </w:r>
            <w:r w:rsidRPr="009074E3">
              <w:rPr>
                <w:szCs w:val="24"/>
                <w:lang w:val="en-US"/>
              </w:rPr>
              <w:fldChar w:fldCharType="begin"/>
            </w:r>
            <w:r w:rsidR="009074E3" w:rsidRPr="009074E3">
              <w:rPr>
                <w:szCs w:val="24"/>
                <w:lang w:val="fr-CA"/>
              </w:rPr>
              <w:instrText xml:space="preserve"> SEQ CHAPTER \h \r 1</w:instrText>
            </w:r>
            <w:r w:rsidRPr="009074E3">
              <w:rPr>
                <w:szCs w:val="24"/>
                <w:lang w:val="en-US"/>
              </w:rPr>
              <w:fldChar w:fldCharType="end"/>
            </w:r>
          </w:p>
        </w:tc>
      </w:tr>
      <w:tr w:rsidR="009074E3" w:rsidRPr="009074E3" w:rsidTr="00A20911">
        <w:tc>
          <w:tcPr>
            <w:tcW w:w="4338" w:type="dxa"/>
          </w:tcPr>
          <w:p w:rsidR="009074E3" w:rsidRPr="009074E3" w:rsidRDefault="009074E3" w:rsidP="009074E3">
            <w:pPr>
              <w:tabs>
                <w:tab w:val="left" w:pos="-1440"/>
                <w:tab w:val="left" w:pos="-720"/>
              </w:tabs>
              <w:jc w:val="both"/>
            </w:pPr>
            <w:r w:rsidRPr="009074E3">
              <w:t>Attorney General of Canada</w:t>
            </w:r>
          </w:p>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r w:rsidRPr="009074E3">
              <w:tab/>
              <w:t>v. (35399)</w:t>
            </w:r>
          </w:p>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r w:rsidRPr="009074E3">
              <w:t>Federation of Law Societies of Canada (B.C.)</w:t>
            </w:r>
          </w:p>
        </w:tc>
        <w:tc>
          <w:tcPr>
            <w:tcW w:w="1170" w:type="dxa"/>
          </w:tcPr>
          <w:p w:rsidR="009074E3" w:rsidRPr="009074E3" w:rsidRDefault="009074E3" w:rsidP="009074E3">
            <w:pPr>
              <w:tabs>
                <w:tab w:val="left" w:pos="-1440"/>
                <w:tab w:val="left" w:pos="-720"/>
              </w:tabs>
              <w:jc w:val="both"/>
            </w:pPr>
          </w:p>
        </w:tc>
        <w:tc>
          <w:tcPr>
            <w:tcW w:w="4327" w:type="dxa"/>
          </w:tcPr>
          <w:p w:rsidR="009074E3" w:rsidRPr="009074E3" w:rsidRDefault="009074E3" w:rsidP="009074E3">
            <w:pPr>
              <w:tabs>
                <w:tab w:val="left" w:pos="-1440"/>
                <w:tab w:val="left" w:pos="-720"/>
              </w:tabs>
              <w:jc w:val="both"/>
            </w:pPr>
          </w:p>
        </w:tc>
      </w:tr>
    </w:tbl>
    <w:p w:rsidR="009074E3" w:rsidRPr="009074E3" w:rsidRDefault="009074E3" w:rsidP="009074E3">
      <w:pPr>
        <w:tabs>
          <w:tab w:val="left" w:pos="-1440"/>
          <w:tab w:val="left" w:pos="-720"/>
        </w:tabs>
        <w:jc w:val="both"/>
        <w:rPr>
          <w:rFonts w:eastAsia="Times New Roman" w:cs="Times New Roman"/>
          <w:sz w:val="20"/>
          <w:szCs w:val="20"/>
          <w:lang w:eastAsia="en-CA"/>
        </w:rPr>
      </w:pPr>
    </w:p>
    <w:p w:rsidR="009074E3" w:rsidRPr="009074E3" w:rsidRDefault="009074E3" w:rsidP="009074E3">
      <w:pPr>
        <w:tabs>
          <w:tab w:val="left" w:pos="-1440"/>
          <w:tab w:val="left" w:pos="-720"/>
        </w:tabs>
        <w:jc w:val="both"/>
        <w:rPr>
          <w:rFonts w:eastAsia="Times New Roman" w:cs="Times New Roman"/>
          <w:b/>
          <w:sz w:val="20"/>
          <w:szCs w:val="20"/>
          <w:lang w:eastAsia="en-CA"/>
        </w:rPr>
      </w:pPr>
      <w:r w:rsidRPr="009074E3">
        <w:rPr>
          <w:rFonts w:eastAsia="Times New Roman" w:cs="Times New Roman"/>
          <w:b/>
          <w:sz w:val="20"/>
          <w:szCs w:val="20"/>
          <w:lang w:eastAsia="en-CA"/>
        </w:rPr>
        <w:t>GRANTED / ACCORDÉE</w:t>
      </w:r>
    </w:p>
    <w:p w:rsidR="009074E3" w:rsidRPr="009074E3" w:rsidRDefault="009074E3" w:rsidP="009074E3">
      <w:pPr>
        <w:tabs>
          <w:tab w:val="left" w:pos="-1440"/>
          <w:tab w:val="left" w:pos="-720"/>
        </w:tabs>
        <w:jc w:val="both"/>
        <w:rPr>
          <w:rFonts w:eastAsia="Times New Roman" w:cs="Times New Roman"/>
          <w:sz w:val="20"/>
          <w:szCs w:val="20"/>
          <w:lang w:eastAsia="en-CA"/>
        </w:rPr>
      </w:pPr>
    </w:p>
    <w:p w:rsidR="009074E3" w:rsidRPr="009074E3" w:rsidRDefault="009074E3" w:rsidP="009074E3">
      <w:pPr>
        <w:jc w:val="both"/>
        <w:rPr>
          <w:rFonts w:eastAsia="Times New Roman" w:cs="Times New Roman"/>
          <w:sz w:val="20"/>
          <w:szCs w:val="20"/>
          <w:lang w:val="en-US" w:eastAsia="en-CA"/>
        </w:rPr>
      </w:pPr>
      <w:r w:rsidRPr="009074E3">
        <w:rPr>
          <w:rFonts w:eastAsia="Times New Roman" w:cs="Times New Roman"/>
          <w:b/>
          <w:sz w:val="20"/>
          <w:szCs w:val="20"/>
          <w:lang w:val="en-US" w:eastAsia="en-CA"/>
        </w:rPr>
        <w:t>UPON APPLICATION</w:t>
      </w:r>
      <w:r w:rsidRPr="009074E3">
        <w:rPr>
          <w:rFonts w:eastAsia="Times New Roman" w:cs="Times New Roman"/>
          <w:sz w:val="20"/>
          <w:szCs w:val="20"/>
          <w:lang w:val="en-US" w:eastAsia="en-CA"/>
        </w:rPr>
        <w:t xml:space="preserve"> by the appellant for an order reducing the number of copies of Part III of the appellant’s record to be filed with this Court from eleven to two; </w:t>
      </w:r>
    </w:p>
    <w:p w:rsidR="009074E3" w:rsidRPr="009074E3" w:rsidRDefault="009074E3" w:rsidP="009074E3">
      <w:pPr>
        <w:jc w:val="both"/>
        <w:rPr>
          <w:rFonts w:eastAsia="Times New Roman" w:cs="Times New Roman"/>
          <w:sz w:val="20"/>
          <w:szCs w:val="20"/>
          <w:lang w:val="en-US" w:eastAsia="en-CA"/>
        </w:rPr>
      </w:pPr>
    </w:p>
    <w:p w:rsidR="009074E3" w:rsidRPr="009074E3" w:rsidRDefault="009074E3" w:rsidP="009074E3">
      <w:pPr>
        <w:jc w:val="both"/>
        <w:rPr>
          <w:rFonts w:eastAsia="Times New Roman" w:cs="Times New Roman"/>
          <w:sz w:val="20"/>
          <w:szCs w:val="20"/>
          <w:lang w:val="en-US" w:eastAsia="en-CA"/>
        </w:rPr>
      </w:pPr>
      <w:r w:rsidRPr="009074E3">
        <w:rPr>
          <w:rFonts w:eastAsia="Times New Roman" w:cs="Times New Roman"/>
          <w:b/>
          <w:sz w:val="20"/>
          <w:szCs w:val="20"/>
          <w:lang w:val="en-US" w:eastAsia="en-CA"/>
        </w:rPr>
        <w:t>AND UPON THE CONSENT</w:t>
      </w:r>
      <w:r w:rsidRPr="009074E3">
        <w:rPr>
          <w:rFonts w:eastAsia="Times New Roman" w:cs="Times New Roman"/>
          <w:sz w:val="20"/>
          <w:szCs w:val="20"/>
          <w:lang w:val="en-US" w:eastAsia="en-CA"/>
        </w:rPr>
        <w:t xml:space="preserve"> of the respondent;</w:t>
      </w:r>
    </w:p>
    <w:p w:rsidR="009074E3" w:rsidRPr="009074E3" w:rsidRDefault="009074E3" w:rsidP="009074E3">
      <w:pPr>
        <w:jc w:val="both"/>
        <w:rPr>
          <w:rFonts w:eastAsia="Times New Roman" w:cs="Times New Roman"/>
          <w:sz w:val="20"/>
          <w:szCs w:val="20"/>
          <w:lang w:val="en-US" w:eastAsia="en-CA"/>
        </w:rPr>
      </w:pPr>
    </w:p>
    <w:p w:rsidR="009074E3" w:rsidRPr="009074E3" w:rsidRDefault="009074E3" w:rsidP="009074E3">
      <w:pPr>
        <w:jc w:val="both"/>
        <w:rPr>
          <w:rFonts w:eastAsia="Times New Roman" w:cs="Times New Roman"/>
          <w:sz w:val="20"/>
          <w:szCs w:val="20"/>
          <w:lang w:val="en-US" w:eastAsia="en-CA"/>
        </w:rPr>
      </w:pPr>
      <w:r w:rsidRPr="009074E3">
        <w:rPr>
          <w:rFonts w:eastAsia="Times New Roman" w:cs="Times New Roman"/>
          <w:b/>
          <w:sz w:val="20"/>
          <w:szCs w:val="20"/>
          <w:lang w:val="en-US" w:eastAsia="en-CA"/>
        </w:rPr>
        <w:t>IT IS HEREBY ORDERED THAT</w:t>
      </w:r>
      <w:r w:rsidRPr="009074E3">
        <w:rPr>
          <w:rFonts w:eastAsia="Times New Roman" w:cs="Times New Roman"/>
          <w:sz w:val="20"/>
          <w:szCs w:val="20"/>
          <w:lang w:val="en-US" w:eastAsia="en-CA"/>
        </w:rPr>
        <w:t>:</w:t>
      </w:r>
    </w:p>
    <w:p w:rsidR="009074E3" w:rsidRPr="009074E3" w:rsidRDefault="009074E3" w:rsidP="009074E3">
      <w:pPr>
        <w:jc w:val="both"/>
        <w:rPr>
          <w:rFonts w:eastAsia="Times New Roman" w:cs="Times New Roman"/>
          <w:sz w:val="20"/>
          <w:szCs w:val="20"/>
          <w:lang w:val="en-US" w:eastAsia="en-CA"/>
        </w:rPr>
      </w:pPr>
    </w:p>
    <w:p w:rsidR="009074E3" w:rsidRPr="009074E3" w:rsidRDefault="009074E3" w:rsidP="009074E3">
      <w:pPr>
        <w:jc w:val="both"/>
        <w:rPr>
          <w:rFonts w:eastAsia="Times New Roman" w:cs="Times New Roman"/>
          <w:sz w:val="20"/>
          <w:szCs w:val="20"/>
          <w:lang w:val="fr-CA" w:eastAsia="en-CA"/>
        </w:rPr>
      </w:pPr>
      <w:r w:rsidRPr="009074E3">
        <w:rPr>
          <w:rFonts w:eastAsia="Times New Roman" w:cs="Times New Roman"/>
          <w:sz w:val="20"/>
          <w:szCs w:val="20"/>
          <w:lang w:val="fr-CA" w:eastAsia="en-CA"/>
        </w:rPr>
        <w:t xml:space="preserve">The motion </w:t>
      </w:r>
      <w:r w:rsidRPr="00BF2942">
        <w:rPr>
          <w:rFonts w:eastAsia="Times New Roman" w:cs="Times New Roman"/>
          <w:sz w:val="20"/>
          <w:szCs w:val="20"/>
          <w:lang w:val="fr-CA" w:eastAsia="en-CA"/>
        </w:rPr>
        <w:t>is granted.</w:t>
      </w:r>
      <w:r w:rsidRPr="009074E3">
        <w:rPr>
          <w:rFonts w:eastAsia="Times New Roman" w:cs="Times New Roman"/>
          <w:sz w:val="20"/>
          <w:szCs w:val="20"/>
          <w:lang w:val="fr-CA" w:eastAsia="en-CA"/>
        </w:rPr>
        <w:t xml:space="preserve"> </w:t>
      </w: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9074E3" w:rsidP="009074E3">
      <w:pPr>
        <w:jc w:val="both"/>
        <w:rPr>
          <w:rFonts w:eastAsia="Times New Roman" w:cs="Times New Roman"/>
          <w:sz w:val="20"/>
          <w:szCs w:val="20"/>
          <w:lang w:val="fr-CA" w:eastAsia="en-CA"/>
        </w:rPr>
      </w:pPr>
      <w:r w:rsidRPr="009074E3">
        <w:rPr>
          <w:rFonts w:eastAsia="Times New Roman" w:cs="Times New Roman"/>
          <w:b/>
          <w:sz w:val="20"/>
          <w:szCs w:val="20"/>
          <w:lang w:val="fr-CA" w:eastAsia="en-CA"/>
        </w:rPr>
        <w:t>À LA SUITE DE LA DEMANDE</w:t>
      </w:r>
      <w:r w:rsidRPr="009074E3">
        <w:rPr>
          <w:rFonts w:eastAsia="Times New Roman" w:cs="Times New Roman"/>
          <w:sz w:val="20"/>
          <w:szCs w:val="20"/>
          <w:lang w:val="fr-CA" w:eastAsia="en-CA"/>
        </w:rPr>
        <w:t xml:space="preserve"> présentée par l’appelant en vue d’obtenir l’autorisation de déposer deux copies de la partie III du dossier de l’appelant auprès de la Cour plutôt qu’onze; </w:t>
      </w:r>
    </w:p>
    <w:p w:rsidR="009074E3" w:rsidRPr="009074E3" w:rsidRDefault="009074E3" w:rsidP="009074E3">
      <w:pPr>
        <w:jc w:val="both"/>
        <w:rPr>
          <w:rFonts w:eastAsia="Times New Roman" w:cs="Times New Roman"/>
          <w:sz w:val="20"/>
          <w:szCs w:val="20"/>
          <w:lang w:val="fr-CA" w:eastAsia="en-CA"/>
        </w:rPr>
      </w:pPr>
    </w:p>
    <w:p w:rsidR="009074E3" w:rsidRPr="009074E3" w:rsidRDefault="009074E3" w:rsidP="009074E3">
      <w:pPr>
        <w:jc w:val="both"/>
        <w:rPr>
          <w:rFonts w:eastAsia="Times New Roman" w:cs="Times New Roman"/>
          <w:sz w:val="20"/>
          <w:szCs w:val="20"/>
          <w:lang w:val="fr-CA" w:eastAsia="en-CA"/>
        </w:rPr>
      </w:pPr>
      <w:r w:rsidRPr="009074E3">
        <w:rPr>
          <w:rFonts w:eastAsia="Times New Roman" w:cs="Times New Roman"/>
          <w:b/>
          <w:sz w:val="20"/>
          <w:szCs w:val="20"/>
          <w:lang w:val="fr-CA" w:eastAsia="en-CA"/>
        </w:rPr>
        <w:t xml:space="preserve">ET AVEC LE CONSENTEMENT </w:t>
      </w:r>
      <w:r w:rsidRPr="009074E3">
        <w:rPr>
          <w:rFonts w:eastAsia="Times New Roman" w:cs="Times New Roman"/>
          <w:sz w:val="20"/>
          <w:szCs w:val="20"/>
          <w:lang w:val="fr-CA" w:eastAsia="en-CA"/>
        </w:rPr>
        <w:t>de l’intimée;</w:t>
      </w:r>
    </w:p>
    <w:p w:rsidR="009074E3" w:rsidRPr="009074E3" w:rsidRDefault="009074E3" w:rsidP="009074E3">
      <w:pPr>
        <w:jc w:val="both"/>
        <w:rPr>
          <w:rFonts w:eastAsia="Times New Roman" w:cs="Times New Roman"/>
          <w:sz w:val="20"/>
          <w:szCs w:val="20"/>
          <w:lang w:val="fr-CA" w:eastAsia="en-CA"/>
        </w:rPr>
      </w:pPr>
    </w:p>
    <w:p w:rsidR="009074E3" w:rsidRPr="009074E3" w:rsidRDefault="009074E3" w:rsidP="009074E3">
      <w:pPr>
        <w:jc w:val="both"/>
        <w:rPr>
          <w:rFonts w:eastAsia="Times New Roman" w:cs="Times New Roman"/>
          <w:sz w:val="20"/>
          <w:szCs w:val="20"/>
          <w:lang w:val="fr-CA" w:eastAsia="en-CA"/>
        </w:rPr>
      </w:pPr>
      <w:r w:rsidRPr="009074E3">
        <w:rPr>
          <w:rFonts w:eastAsia="Times New Roman" w:cs="Times New Roman"/>
          <w:b/>
          <w:sz w:val="20"/>
          <w:szCs w:val="20"/>
          <w:lang w:val="fr-CA" w:eastAsia="en-CA"/>
        </w:rPr>
        <w:t>IL EST AINSI ORDONNÉ CE QUI SUIT </w:t>
      </w:r>
      <w:r w:rsidRPr="009074E3">
        <w:rPr>
          <w:rFonts w:eastAsia="Times New Roman" w:cs="Times New Roman"/>
          <w:sz w:val="20"/>
          <w:szCs w:val="20"/>
          <w:lang w:val="fr-CA" w:eastAsia="en-CA"/>
        </w:rPr>
        <w:t>:</w:t>
      </w:r>
    </w:p>
    <w:p w:rsidR="009074E3" w:rsidRPr="009074E3" w:rsidRDefault="009074E3" w:rsidP="009074E3">
      <w:pPr>
        <w:jc w:val="both"/>
        <w:rPr>
          <w:rFonts w:eastAsia="Times New Roman" w:cs="Times New Roman"/>
          <w:sz w:val="20"/>
          <w:szCs w:val="20"/>
          <w:lang w:val="fr-CA" w:eastAsia="en-CA"/>
        </w:rPr>
      </w:pPr>
    </w:p>
    <w:p w:rsidR="009074E3" w:rsidRPr="009074E3" w:rsidRDefault="009074E3" w:rsidP="009074E3">
      <w:pPr>
        <w:jc w:val="both"/>
        <w:rPr>
          <w:rFonts w:eastAsia="Times New Roman" w:cs="Times New Roman"/>
          <w:sz w:val="20"/>
          <w:szCs w:val="20"/>
          <w:lang w:val="fr-CA" w:eastAsia="en-CA"/>
        </w:rPr>
      </w:pPr>
      <w:r w:rsidRPr="009074E3">
        <w:rPr>
          <w:rFonts w:eastAsia="Times New Roman" w:cs="Times New Roman"/>
          <w:sz w:val="20"/>
          <w:szCs w:val="20"/>
          <w:lang w:val="fr-CA" w:eastAsia="en-CA"/>
        </w:rPr>
        <w:t xml:space="preserve">La requête est accueillie. </w:t>
      </w: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0C68D7" w:rsidP="009074E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9074E3" w:rsidRPr="009074E3" w:rsidRDefault="009074E3" w:rsidP="009074E3">
      <w:pPr>
        <w:rPr>
          <w:rFonts w:eastAsia="Times New Roman" w:cs="Times New Roman"/>
          <w:sz w:val="20"/>
          <w:szCs w:val="20"/>
          <w:lang w:val="fr-CA" w:eastAsia="en-CA"/>
        </w:rPr>
      </w:pPr>
    </w:p>
    <w:p w:rsidR="009074E3" w:rsidRPr="009074E3" w:rsidRDefault="009074E3" w:rsidP="009074E3">
      <w:pPr>
        <w:tabs>
          <w:tab w:val="left" w:pos="-1440"/>
          <w:tab w:val="left" w:pos="-720"/>
        </w:tabs>
        <w:jc w:val="both"/>
        <w:rPr>
          <w:rFonts w:eastAsia="Times New Roman" w:cs="Times New Roman"/>
          <w:sz w:val="20"/>
          <w:szCs w:val="20"/>
          <w:lang w:val="fr-CA" w:eastAsia="en-CA"/>
        </w:rPr>
      </w:pPr>
      <w:r w:rsidRPr="009074E3">
        <w:rPr>
          <w:rFonts w:eastAsia="Times New Roman" w:cs="Times New Roman"/>
          <w:sz w:val="20"/>
          <w:szCs w:val="20"/>
          <w:lang w:val="fr-CA" w:eastAsia="en-CA"/>
        </w:rPr>
        <w:t>26.02.2014</w:t>
      </w: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9074E3" w:rsidP="009074E3">
      <w:pPr>
        <w:tabs>
          <w:tab w:val="left" w:pos="-1440"/>
          <w:tab w:val="left" w:pos="-720"/>
        </w:tabs>
        <w:jc w:val="both"/>
        <w:rPr>
          <w:rFonts w:eastAsia="Times New Roman" w:cs="Times New Roman"/>
          <w:sz w:val="20"/>
          <w:szCs w:val="20"/>
          <w:lang w:val="fr-CA" w:eastAsia="en-CA"/>
        </w:rPr>
      </w:pPr>
      <w:r w:rsidRPr="009074E3">
        <w:rPr>
          <w:rFonts w:eastAsia="Times New Roman" w:cs="Times New Roman"/>
          <w:sz w:val="20"/>
          <w:szCs w:val="20"/>
          <w:lang w:val="fr-CA" w:eastAsia="en-CA"/>
        </w:rPr>
        <w:t>Before / Devant :   CROMWELL J. / LE JUGE CROMWELL</w:t>
      </w:r>
    </w:p>
    <w:p w:rsidR="009074E3" w:rsidRPr="009074E3" w:rsidRDefault="009074E3" w:rsidP="009074E3">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074E3" w:rsidRPr="000C68D7" w:rsidTr="00A20911">
        <w:tc>
          <w:tcPr>
            <w:tcW w:w="4338" w:type="dxa"/>
          </w:tcPr>
          <w:p w:rsidR="009074E3" w:rsidRPr="009074E3" w:rsidRDefault="007359BF" w:rsidP="009074E3">
            <w:pPr>
              <w:tabs>
                <w:tab w:val="left" w:pos="-1440"/>
                <w:tab w:val="left" w:pos="-720"/>
              </w:tabs>
              <w:jc w:val="both"/>
              <w:rPr>
                <w:b/>
              </w:rPr>
            </w:pPr>
            <w:r w:rsidRPr="009074E3">
              <w:rPr>
                <w:szCs w:val="24"/>
                <w:lang w:val="en-US"/>
              </w:rPr>
              <w:fldChar w:fldCharType="begin"/>
            </w:r>
            <w:r w:rsidR="009074E3" w:rsidRPr="009074E3">
              <w:rPr>
                <w:szCs w:val="24"/>
                <w:lang w:val="en-US"/>
              </w:rPr>
              <w:instrText xml:space="preserve"> SEQ CHAPTER \h \r 1</w:instrText>
            </w:r>
            <w:r w:rsidRPr="009074E3">
              <w:rPr>
                <w:szCs w:val="24"/>
                <w:lang w:val="en-US"/>
              </w:rPr>
              <w:fldChar w:fldCharType="end"/>
            </w:r>
            <w:r w:rsidRPr="009074E3">
              <w:rPr>
                <w:szCs w:val="24"/>
                <w:lang w:val="en-US"/>
              </w:rPr>
              <w:fldChar w:fldCharType="begin"/>
            </w:r>
            <w:r w:rsidR="009074E3" w:rsidRPr="009074E3">
              <w:rPr>
                <w:szCs w:val="24"/>
                <w:lang w:val="en-US"/>
              </w:rPr>
              <w:instrText xml:space="preserve"> SEQ CHAPTER \h \r 1</w:instrText>
            </w:r>
            <w:r w:rsidRPr="009074E3">
              <w:rPr>
                <w:szCs w:val="24"/>
                <w:lang w:val="en-US"/>
              </w:rPr>
              <w:fldChar w:fldCharType="end"/>
            </w:r>
            <w:r w:rsidR="009074E3" w:rsidRPr="009074E3">
              <w:rPr>
                <w:b/>
                <w:bCs/>
                <w:lang w:val="en-US"/>
              </w:rPr>
              <w:t xml:space="preserve">Motion </w:t>
            </w:r>
            <w:r w:rsidR="009074E3" w:rsidRPr="009074E3">
              <w:rPr>
                <w:b/>
                <w:bCs/>
                <w:color w:val="000000"/>
                <w:lang w:val="en-GB"/>
              </w:rPr>
              <w:t>for a stay of execution and m</w:t>
            </w:r>
            <w:r w:rsidR="009074E3" w:rsidRPr="009074E3">
              <w:rPr>
                <w:b/>
                <w:bCs/>
                <w:lang w:val="en-GB"/>
              </w:rPr>
              <w:t>otion to expedite the application for leave to appeal</w:t>
            </w:r>
            <w:r w:rsidR="009074E3" w:rsidRPr="009074E3">
              <w:rPr>
                <w:b/>
                <w:bCs/>
                <w:lang w:val="en-US"/>
              </w:rPr>
              <w:t xml:space="preserve"> </w:t>
            </w:r>
          </w:p>
        </w:tc>
        <w:tc>
          <w:tcPr>
            <w:tcW w:w="1170" w:type="dxa"/>
          </w:tcPr>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p>
        </w:tc>
        <w:tc>
          <w:tcPr>
            <w:tcW w:w="4327" w:type="dxa"/>
          </w:tcPr>
          <w:p w:rsidR="009074E3" w:rsidRPr="009074E3" w:rsidRDefault="007359BF" w:rsidP="009074E3">
            <w:pPr>
              <w:tabs>
                <w:tab w:val="left" w:pos="-1440"/>
                <w:tab w:val="left" w:pos="-720"/>
              </w:tabs>
              <w:jc w:val="both"/>
              <w:rPr>
                <w:lang w:val="fr-CA"/>
              </w:rPr>
            </w:pPr>
            <w:r w:rsidRPr="009074E3">
              <w:rPr>
                <w:szCs w:val="24"/>
                <w:lang w:val="en-US"/>
              </w:rPr>
              <w:fldChar w:fldCharType="begin"/>
            </w:r>
            <w:r w:rsidR="009074E3" w:rsidRPr="009074E3">
              <w:rPr>
                <w:szCs w:val="24"/>
                <w:lang w:val="fr-CA"/>
              </w:rPr>
              <w:instrText xml:space="preserve"> SEQ CHAPTER \h \r 1</w:instrText>
            </w:r>
            <w:r w:rsidRPr="009074E3">
              <w:rPr>
                <w:szCs w:val="24"/>
                <w:lang w:val="en-US"/>
              </w:rPr>
              <w:fldChar w:fldCharType="end"/>
            </w:r>
            <w:r w:rsidRPr="009074E3">
              <w:rPr>
                <w:szCs w:val="24"/>
                <w:lang w:val="en-US"/>
              </w:rPr>
              <w:fldChar w:fldCharType="begin"/>
            </w:r>
            <w:r w:rsidR="009074E3" w:rsidRPr="009074E3">
              <w:rPr>
                <w:szCs w:val="24"/>
                <w:lang w:val="fr-CA"/>
              </w:rPr>
              <w:instrText xml:space="preserve"> SEQ CHAPTER \h \r 1</w:instrText>
            </w:r>
            <w:r w:rsidRPr="009074E3">
              <w:rPr>
                <w:szCs w:val="24"/>
                <w:lang w:val="en-US"/>
              </w:rPr>
              <w:fldChar w:fldCharType="end"/>
            </w:r>
            <w:r w:rsidR="009074E3" w:rsidRPr="009074E3">
              <w:rPr>
                <w:b/>
                <w:bCs/>
                <w:lang w:val="fr-CA"/>
              </w:rPr>
              <w:t xml:space="preserve">Requête </w:t>
            </w:r>
            <w:r w:rsidR="009074E3" w:rsidRPr="009074E3">
              <w:rPr>
                <w:b/>
                <w:bCs/>
                <w:color w:val="000000"/>
                <w:lang w:val="fr-CA"/>
              </w:rPr>
              <w:t>en sursis à l’exécution et r</w:t>
            </w:r>
            <w:r w:rsidR="009074E3" w:rsidRPr="009074E3">
              <w:rPr>
                <w:b/>
                <w:bCs/>
                <w:lang w:val="fr-CA"/>
              </w:rPr>
              <w:t xml:space="preserve">equête visant à accélérer la procédure de demande d’autorisation d’appel </w:t>
            </w:r>
            <w:r w:rsidRPr="009074E3">
              <w:rPr>
                <w:szCs w:val="24"/>
                <w:lang w:val="en-US"/>
              </w:rPr>
              <w:fldChar w:fldCharType="begin"/>
            </w:r>
            <w:r w:rsidR="009074E3" w:rsidRPr="009074E3">
              <w:rPr>
                <w:szCs w:val="24"/>
                <w:lang w:val="fr-CA"/>
              </w:rPr>
              <w:instrText xml:space="preserve"> SEQ CHAPTER \h \r 1</w:instrText>
            </w:r>
            <w:r w:rsidRPr="009074E3">
              <w:rPr>
                <w:szCs w:val="24"/>
                <w:lang w:val="en-US"/>
              </w:rPr>
              <w:fldChar w:fldCharType="end"/>
            </w:r>
          </w:p>
        </w:tc>
      </w:tr>
      <w:tr w:rsidR="009074E3" w:rsidRPr="000C68D7" w:rsidTr="00A20911">
        <w:tc>
          <w:tcPr>
            <w:tcW w:w="4338" w:type="dxa"/>
          </w:tcPr>
          <w:p w:rsidR="009074E3" w:rsidRPr="009074E3" w:rsidRDefault="009074E3" w:rsidP="009074E3">
            <w:pPr>
              <w:tabs>
                <w:tab w:val="left" w:pos="-1440"/>
                <w:tab w:val="left" w:pos="-720"/>
              </w:tabs>
              <w:jc w:val="both"/>
              <w:rPr>
                <w:lang w:val="fr-CA"/>
              </w:rPr>
            </w:pPr>
            <w:r w:rsidRPr="009074E3">
              <w:rPr>
                <w:lang w:val="fr-CA"/>
              </w:rPr>
              <w:t>Antonio Accurso</w:t>
            </w:r>
          </w:p>
          <w:p w:rsidR="009074E3" w:rsidRPr="009074E3" w:rsidRDefault="009074E3" w:rsidP="009074E3">
            <w:pPr>
              <w:tabs>
                <w:tab w:val="left" w:pos="-1440"/>
                <w:tab w:val="left" w:pos="-720"/>
              </w:tabs>
              <w:jc w:val="both"/>
              <w:rPr>
                <w:lang w:val="fr-CA"/>
              </w:rPr>
            </w:pPr>
          </w:p>
          <w:p w:rsidR="009074E3" w:rsidRPr="009074E3" w:rsidRDefault="009074E3" w:rsidP="009074E3">
            <w:pPr>
              <w:tabs>
                <w:tab w:val="left" w:pos="-1440"/>
                <w:tab w:val="left" w:pos="-720"/>
              </w:tabs>
              <w:jc w:val="both"/>
              <w:rPr>
                <w:lang w:val="fr-CA"/>
              </w:rPr>
            </w:pPr>
            <w:r w:rsidRPr="009074E3">
              <w:rPr>
                <w:lang w:val="fr-CA"/>
              </w:rPr>
              <w:tab/>
              <w:t>c. (35748)</w:t>
            </w:r>
          </w:p>
          <w:p w:rsidR="009074E3" w:rsidRPr="009074E3" w:rsidRDefault="009074E3" w:rsidP="009074E3">
            <w:pPr>
              <w:tabs>
                <w:tab w:val="left" w:pos="-1440"/>
                <w:tab w:val="left" w:pos="-720"/>
              </w:tabs>
              <w:jc w:val="both"/>
              <w:rPr>
                <w:lang w:val="fr-CA"/>
              </w:rPr>
            </w:pPr>
          </w:p>
          <w:p w:rsidR="009074E3" w:rsidRPr="009074E3" w:rsidRDefault="009074E3" w:rsidP="009074E3">
            <w:pPr>
              <w:tabs>
                <w:tab w:val="left" w:pos="-1440"/>
                <w:tab w:val="left" w:pos="-720"/>
              </w:tabs>
              <w:jc w:val="both"/>
              <w:rPr>
                <w:lang w:val="fr-CA"/>
              </w:rPr>
            </w:pPr>
            <w:r w:rsidRPr="009074E3">
              <w:rPr>
                <w:lang w:val="fr-CA"/>
              </w:rPr>
              <w:t>France Charbonneau, ès qualités de commissaire et présidente de la Commission d’enquête sur l’octroi et la gestion des contrats publics dans l’industrie de la construction et autres (Qc)</w:t>
            </w:r>
          </w:p>
        </w:tc>
        <w:tc>
          <w:tcPr>
            <w:tcW w:w="1170" w:type="dxa"/>
          </w:tcPr>
          <w:p w:rsidR="009074E3" w:rsidRPr="009074E3" w:rsidRDefault="009074E3" w:rsidP="009074E3">
            <w:pPr>
              <w:tabs>
                <w:tab w:val="left" w:pos="-1440"/>
                <w:tab w:val="left" w:pos="-720"/>
              </w:tabs>
              <w:jc w:val="both"/>
              <w:rPr>
                <w:lang w:val="fr-CA"/>
              </w:rPr>
            </w:pPr>
          </w:p>
        </w:tc>
        <w:tc>
          <w:tcPr>
            <w:tcW w:w="4327" w:type="dxa"/>
          </w:tcPr>
          <w:p w:rsidR="009074E3" w:rsidRPr="009074E3" w:rsidRDefault="009074E3" w:rsidP="009074E3">
            <w:pPr>
              <w:tabs>
                <w:tab w:val="left" w:pos="-1440"/>
                <w:tab w:val="left" w:pos="-720"/>
              </w:tabs>
              <w:jc w:val="both"/>
              <w:rPr>
                <w:lang w:val="fr-CA"/>
              </w:rPr>
            </w:pPr>
          </w:p>
        </w:tc>
      </w:tr>
    </w:tbl>
    <w:p w:rsidR="009074E3" w:rsidRPr="009074E3" w:rsidRDefault="009074E3" w:rsidP="009074E3">
      <w:pPr>
        <w:rPr>
          <w:rFonts w:eastAsia="Times New Roman" w:cs="Times New Roman"/>
          <w:b/>
          <w:bCs/>
          <w:sz w:val="20"/>
          <w:szCs w:val="20"/>
          <w:lang w:val="fr-CA" w:eastAsia="en-CA"/>
        </w:rPr>
      </w:pPr>
    </w:p>
    <w:p w:rsidR="009074E3" w:rsidRPr="009074E3" w:rsidRDefault="009074E3" w:rsidP="009074E3">
      <w:pPr>
        <w:spacing w:line="233" w:lineRule="auto"/>
        <w:jc w:val="both"/>
        <w:rPr>
          <w:rFonts w:eastAsia="Times New Roman" w:cs="Times New Roman"/>
          <w:bCs/>
          <w:sz w:val="20"/>
          <w:szCs w:val="20"/>
          <w:lang w:eastAsia="en-CA"/>
        </w:rPr>
      </w:pPr>
      <w:r w:rsidRPr="009074E3">
        <w:rPr>
          <w:rFonts w:eastAsia="Times New Roman" w:cs="Times New Roman"/>
          <w:b/>
          <w:bCs/>
          <w:sz w:val="20"/>
          <w:szCs w:val="20"/>
          <w:lang w:eastAsia="en-CA"/>
        </w:rPr>
        <w:t>UPON A MOTION</w:t>
      </w:r>
      <w:r w:rsidRPr="009074E3">
        <w:rPr>
          <w:rFonts w:eastAsia="Times New Roman" w:cs="Times New Roman"/>
          <w:bCs/>
          <w:sz w:val="20"/>
          <w:szCs w:val="20"/>
          <w:lang w:eastAsia="en-CA"/>
        </w:rPr>
        <w:t xml:space="preserve"> by the applicant for an order staying the proceedings at first instance in file No. 500-17-078622-134 of the Quebec Superior Court, an order staying execution of the summons issued to the applicant by the </w:t>
      </w:r>
      <w:r w:rsidRPr="009074E3">
        <w:rPr>
          <w:rFonts w:eastAsia="Times New Roman" w:cs="Times New Roman"/>
          <w:bCs/>
          <w:sz w:val="20"/>
          <w:szCs w:val="20"/>
          <w:lang w:val="en-US" w:eastAsia="en-CA"/>
        </w:rPr>
        <w:t>Commission of Inquiry on the Awarding and Management of Public Contracts in the Construction Industry</w:t>
      </w:r>
      <w:r w:rsidRPr="009074E3">
        <w:rPr>
          <w:rFonts w:eastAsia="Times New Roman" w:cs="Times New Roman"/>
          <w:bCs/>
          <w:sz w:val="20"/>
          <w:szCs w:val="20"/>
          <w:lang w:eastAsia="en-CA"/>
        </w:rPr>
        <w:t>, an order safeguarding the rights of the parties and an order abridging the time for filing the responses to this motion of the respondents and the intervener;</w:t>
      </w:r>
    </w:p>
    <w:p w:rsidR="009074E3" w:rsidRPr="009074E3" w:rsidRDefault="009074E3" w:rsidP="009074E3">
      <w:pPr>
        <w:spacing w:line="233" w:lineRule="auto"/>
        <w:jc w:val="both"/>
        <w:rPr>
          <w:rFonts w:eastAsia="Times New Roman" w:cs="Times New Roman"/>
          <w:bCs/>
          <w:sz w:val="20"/>
          <w:szCs w:val="20"/>
          <w:lang w:eastAsia="en-CA"/>
        </w:rPr>
      </w:pPr>
    </w:p>
    <w:p w:rsidR="009074E3" w:rsidRPr="009074E3" w:rsidRDefault="009074E3" w:rsidP="009074E3">
      <w:pPr>
        <w:spacing w:line="233" w:lineRule="auto"/>
        <w:jc w:val="both"/>
        <w:rPr>
          <w:rFonts w:eastAsia="Times New Roman" w:cs="Times New Roman"/>
          <w:bCs/>
          <w:sz w:val="20"/>
          <w:szCs w:val="20"/>
          <w:lang w:eastAsia="en-CA"/>
        </w:rPr>
      </w:pPr>
      <w:r w:rsidRPr="009074E3">
        <w:rPr>
          <w:rFonts w:eastAsia="Times New Roman" w:cs="Times New Roman"/>
          <w:b/>
          <w:bCs/>
          <w:sz w:val="20"/>
          <w:szCs w:val="20"/>
          <w:lang w:eastAsia="en-CA"/>
        </w:rPr>
        <w:t>AND UPON A MOTION</w:t>
      </w:r>
      <w:r w:rsidRPr="009074E3">
        <w:rPr>
          <w:rFonts w:eastAsia="Times New Roman" w:cs="Times New Roman"/>
          <w:bCs/>
          <w:sz w:val="20"/>
          <w:szCs w:val="20"/>
          <w:lang w:eastAsia="en-CA"/>
        </w:rPr>
        <w:t xml:space="preserve"> by the applicant for an expedited decision on this application for leave to appeal from the judgment of the Honourable Manon Savard, J.A., dated February 17, 2014;  </w:t>
      </w:r>
    </w:p>
    <w:p w:rsidR="009074E3" w:rsidRPr="009074E3" w:rsidRDefault="009074E3" w:rsidP="009074E3">
      <w:pPr>
        <w:spacing w:line="233" w:lineRule="auto"/>
        <w:jc w:val="both"/>
        <w:rPr>
          <w:rFonts w:eastAsia="Times New Roman" w:cs="Times New Roman"/>
          <w:b/>
          <w:bCs/>
          <w:sz w:val="20"/>
          <w:szCs w:val="20"/>
          <w:lang w:eastAsia="en-CA"/>
        </w:rPr>
      </w:pPr>
    </w:p>
    <w:p w:rsidR="009074E3" w:rsidRPr="009074E3" w:rsidRDefault="009074E3" w:rsidP="009074E3">
      <w:pPr>
        <w:spacing w:line="233" w:lineRule="auto"/>
        <w:jc w:val="both"/>
        <w:rPr>
          <w:rFonts w:eastAsia="Times New Roman" w:cs="Times New Roman"/>
          <w:b/>
          <w:sz w:val="20"/>
          <w:szCs w:val="20"/>
          <w:lang w:eastAsia="en-CA"/>
        </w:rPr>
      </w:pPr>
      <w:r w:rsidRPr="009074E3">
        <w:rPr>
          <w:rFonts w:eastAsia="Times New Roman" w:cs="Times New Roman"/>
          <w:b/>
          <w:bCs/>
          <w:sz w:val="20"/>
          <w:szCs w:val="20"/>
          <w:lang w:eastAsia="en-CA"/>
        </w:rPr>
        <w:t>IT IS HEREBY ORDERED THAT:</w:t>
      </w:r>
    </w:p>
    <w:p w:rsidR="009074E3" w:rsidRPr="009074E3" w:rsidRDefault="009074E3" w:rsidP="009074E3">
      <w:pPr>
        <w:spacing w:line="233" w:lineRule="auto"/>
        <w:jc w:val="both"/>
        <w:rPr>
          <w:rFonts w:eastAsia="Times New Roman" w:cs="Times New Roman"/>
          <w:sz w:val="20"/>
          <w:szCs w:val="20"/>
          <w:lang w:eastAsia="en-CA"/>
        </w:rPr>
      </w:pPr>
    </w:p>
    <w:p w:rsidR="009074E3" w:rsidRPr="009074E3" w:rsidRDefault="009074E3" w:rsidP="009074E3">
      <w:pPr>
        <w:jc w:val="both"/>
        <w:rPr>
          <w:rFonts w:eastAsia="Times New Roman" w:cs="Times New Roman"/>
          <w:sz w:val="20"/>
          <w:szCs w:val="20"/>
          <w:lang w:eastAsia="en-CA"/>
        </w:rPr>
      </w:pPr>
      <w:r w:rsidRPr="009074E3">
        <w:rPr>
          <w:rFonts w:eastAsia="Times New Roman" w:cs="Times New Roman"/>
          <w:sz w:val="20"/>
          <w:szCs w:val="20"/>
          <w:lang w:eastAsia="en-CA"/>
        </w:rPr>
        <w:t>The first motion is dismissed.</w:t>
      </w:r>
    </w:p>
    <w:p w:rsidR="009074E3" w:rsidRPr="009074E3" w:rsidRDefault="009074E3" w:rsidP="009074E3">
      <w:pPr>
        <w:jc w:val="both"/>
        <w:rPr>
          <w:rFonts w:eastAsia="Times New Roman" w:cs="Times New Roman"/>
          <w:sz w:val="20"/>
          <w:szCs w:val="20"/>
          <w:lang w:eastAsia="en-CA"/>
        </w:rPr>
      </w:pPr>
    </w:p>
    <w:p w:rsidR="009074E3" w:rsidRPr="009074E3" w:rsidRDefault="009074E3" w:rsidP="009074E3">
      <w:pPr>
        <w:jc w:val="both"/>
        <w:rPr>
          <w:rFonts w:eastAsia="Times New Roman" w:cs="Times New Roman"/>
          <w:sz w:val="20"/>
          <w:szCs w:val="20"/>
          <w:lang w:eastAsia="en-CA"/>
        </w:rPr>
      </w:pPr>
      <w:r w:rsidRPr="009074E3">
        <w:rPr>
          <w:rFonts w:eastAsia="Times New Roman" w:cs="Times New Roman"/>
          <w:sz w:val="20"/>
          <w:szCs w:val="20"/>
          <w:lang w:eastAsia="en-CA"/>
        </w:rPr>
        <w:t xml:space="preserve">The second motion is referred to the panel of three judges that will decide the application for leave to appeal.  </w:t>
      </w:r>
    </w:p>
    <w:p w:rsidR="009074E3" w:rsidRPr="009074E3" w:rsidRDefault="009074E3" w:rsidP="009074E3">
      <w:pPr>
        <w:tabs>
          <w:tab w:val="left" w:pos="-1440"/>
          <w:tab w:val="left" w:pos="-720"/>
        </w:tabs>
        <w:jc w:val="both"/>
        <w:rPr>
          <w:rFonts w:eastAsia="Times New Roman" w:cs="Times New Roman"/>
          <w:sz w:val="20"/>
          <w:szCs w:val="20"/>
          <w:lang w:eastAsia="en-CA"/>
        </w:rPr>
      </w:pPr>
    </w:p>
    <w:p w:rsidR="009074E3" w:rsidRPr="009074E3" w:rsidRDefault="009074E3" w:rsidP="009074E3">
      <w:pPr>
        <w:tabs>
          <w:tab w:val="left" w:pos="-1440"/>
          <w:tab w:val="left" w:pos="-720"/>
        </w:tabs>
        <w:jc w:val="both"/>
        <w:rPr>
          <w:rFonts w:eastAsia="Times New Roman" w:cs="Times New Roman"/>
          <w:sz w:val="20"/>
          <w:szCs w:val="20"/>
          <w:lang w:eastAsia="en-CA"/>
        </w:rPr>
      </w:pPr>
    </w:p>
    <w:p w:rsidR="009074E3" w:rsidRPr="009074E3" w:rsidRDefault="009074E3" w:rsidP="009074E3">
      <w:pPr>
        <w:tabs>
          <w:tab w:val="left" w:pos="-1440"/>
          <w:tab w:val="left" w:pos="-720"/>
        </w:tabs>
        <w:jc w:val="both"/>
        <w:rPr>
          <w:rFonts w:eastAsia="Times New Roman" w:cs="Times New Roman"/>
          <w:sz w:val="20"/>
          <w:szCs w:val="20"/>
          <w:lang w:eastAsia="en-CA"/>
        </w:rPr>
      </w:pPr>
    </w:p>
    <w:p w:rsidR="009074E3" w:rsidRPr="009074E3" w:rsidRDefault="009074E3" w:rsidP="009074E3">
      <w:pPr>
        <w:spacing w:line="233" w:lineRule="auto"/>
        <w:jc w:val="both"/>
        <w:rPr>
          <w:rFonts w:eastAsia="Times New Roman" w:cs="Times New Roman"/>
          <w:bCs/>
          <w:sz w:val="20"/>
          <w:szCs w:val="20"/>
          <w:lang w:val="fr-CA" w:eastAsia="en-CA"/>
        </w:rPr>
      </w:pPr>
      <w:r w:rsidRPr="009074E3">
        <w:rPr>
          <w:rFonts w:eastAsia="Times New Roman" w:cs="Times New Roman"/>
          <w:b/>
          <w:bCs/>
          <w:sz w:val="20"/>
          <w:szCs w:val="20"/>
          <w:lang w:val="fr-CA" w:eastAsia="en-CA"/>
        </w:rPr>
        <w:t>À LA SUITE DE LA REQUÊTE</w:t>
      </w:r>
      <w:r w:rsidRPr="009074E3">
        <w:rPr>
          <w:rFonts w:eastAsia="Times New Roman" w:cs="Times New Roman"/>
          <w:bCs/>
          <w:sz w:val="20"/>
          <w:szCs w:val="20"/>
          <w:lang w:val="fr-CA" w:eastAsia="en-CA"/>
        </w:rPr>
        <w:t xml:space="preserve"> présentée par le demandeur en vue d’obtenir une ordonnance de suspension des procédures en première instance dans le dossier de la Cour supérieure du Québec portant le numéro 500-17-078622-134, d’une ordonnance de sursis d’exécution de l’assignation à comparaitre du demandeur émise par la Commission d’enquête sur l’octroi et la gestion des contrats publics dans l’industrie de la construction à l’encontre du demandeur, d’une ordonnance de sauvegarde et d’une ordonnance visant à abréger le délai de présentation de la réponse des intimés et de l’intervenant à la présente requête;</w:t>
      </w:r>
    </w:p>
    <w:p w:rsidR="009074E3" w:rsidRPr="009074E3" w:rsidRDefault="009074E3" w:rsidP="009074E3">
      <w:pPr>
        <w:spacing w:line="233" w:lineRule="auto"/>
        <w:jc w:val="both"/>
        <w:rPr>
          <w:rFonts w:eastAsia="Times New Roman" w:cs="Times New Roman"/>
          <w:bCs/>
          <w:sz w:val="20"/>
          <w:szCs w:val="20"/>
          <w:lang w:val="fr-CA" w:eastAsia="en-CA"/>
        </w:rPr>
      </w:pPr>
    </w:p>
    <w:p w:rsidR="009074E3" w:rsidRPr="009074E3" w:rsidRDefault="009074E3" w:rsidP="009074E3">
      <w:pPr>
        <w:spacing w:line="233" w:lineRule="auto"/>
        <w:jc w:val="both"/>
        <w:rPr>
          <w:rFonts w:eastAsia="Times New Roman" w:cs="Times New Roman"/>
          <w:bCs/>
          <w:sz w:val="20"/>
          <w:szCs w:val="20"/>
          <w:lang w:val="fr-CA" w:eastAsia="en-CA"/>
        </w:rPr>
      </w:pPr>
      <w:r w:rsidRPr="009074E3">
        <w:rPr>
          <w:rFonts w:eastAsia="Times New Roman" w:cs="Times New Roman"/>
          <w:b/>
          <w:bCs/>
          <w:sz w:val="20"/>
          <w:szCs w:val="20"/>
          <w:lang w:val="fr-CA" w:eastAsia="en-CA"/>
        </w:rPr>
        <w:t>ET À LA SUITE DE LA REQUÊTE</w:t>
      </w:r>
      <w:r w:rsidRPr="009074E3">
        <w:rPr>
          <w:rFonts w:eastAsia="Times New Roman" w:cs="Times New Roman"/>
          <w:bCs/>
          <w:sz w:val="20"/>
          <w:szCs w:val="20"/>
          <w:lang w:val="fr-CA" w:eastAsia="en-CA"/>
        </w:rPr>
        <w:t xml:space="preserve"> présentée par le demandeur en vue d’obtenir une décision d’urgence sur la présente demande d’autorisation d’appel du jugement rendu par l’honorable Manon Savard, J.C.A., le 17 février 2014;</w:t>
      </w:r>
    </w:p>
    <w:p w:rsidR="009074E3" w:rsidRPr="009074E3" w:rsidRDefault="009074E3" w:rsidP="009074E3">
      <w:pPr>
        <w:spacing w:line="233" w:lineRule="auto"/>
        <w:jc w:val="both"/>
        <w:rPr>
          <w:rFonts w:eastAsia="Times New Roman" w:cs="Times New Roman"/>
          <w:b/>
          <w:bCs/>
          <w:sz w:val="20"/>
          <w:szCs w:val="20"/>
          <w:lang w:val="fr-CA" w:eastAsia="en-CA"/>
        </w:rPr>
      </w:pPr>
    </w:p>
    <w:p w:rsidR="009074E3" w:rsidRPr="009074E3" w:rsidRDefault="009074E3" w:rsidP="009074E3">
      <w:pPr>
        <w:spacing w:line="233" w:lineRule="auto"/>
        <w:jc w:val="both"/>
        <w:rPr>
          <w:rFonts w:eastAsia="Times New Roman" w:cs="Times New Roman"/>
          <w:b/>
          <w:sz w:val="20"/>
          <w:szCs w:val="20"/>
          <w:lang w:val="fr-CA" w:eastAsia="en-CA"/>
        </w:rPr>
      </w:pPr>
      <w:r w:rsidRPr="009074E3">
        <w:rPr>
          <w:rFonts w:eastAsia="Times New Roman" w:cs="Times New Roman"/>
          <w:b/>
          <w:bCs/>
          <w:sz w:val="20"/>
          <w:szCs w:val="20"/>
          <w:lang w:val="fr-CA" w:eastAsia="en-CA"/>
        </w:rPr>
        <w:t>IL EST PAR LA PRÉSENTE ORDONNÉ CE QUI SUIT :</w:t>
      </w:r>
    </w:p>
    <w:p w:rsidR="009074E3" w:rsidRPr="009074E3" w:rsidRDefault="009074E3" w:rsidP="009074E3">
      <w:pPr>
        <w:spacing w:line="233" w:lineRule="auto"/>
        <w:jc w:val="both"/>
        <w:rPr>
          <w:rFonts w:eastAsia="Times New Roman" w:cs="Times New Roman"/>
          <w:sz w:val="20"/>
          <w:szCs w:val="20"/>
          <w:lang w:val="fr-CA" w:eastAsia="en-CA"/>
        </w:rPr>
      </w:pPr>
    </w:p>
    <w:p w:rsidR="009074E3" w:rsidRPr="009074E3" w:rsidRDefault="009074E3" w:rsidP="009074E3">
      <w:pPr>
        <w:jc w:val="both"/>
        <w:rPr>
          <w:rFonts w:eastAsia="Times New Roman" w:cs="Times New Roman"/>
          <w:sz w:val="20"/>
          <w:szCs w:val="20"/>
          <w:lang w:val="fr-CA" w:eastAsia="en-CA"/>
        </w:rPr>
      </w:pPr>
      <w:r w:rsidRPr="009074E3">
        <w:rPr>
          <w:rFonts w:eastAsia="Times New Roman" w:cs="Times New Roman"/>
          <w:sz w:val="20"/>
          <w:szCs w:val="20"/>
          <w:lang w:val="fr-CA" w:eastAsia="en-CA"/>
        </w:rPr>
        <w:t>La première requête est rejetée.</w:t>
      </w:r>
    </w:p>
    <w:p w:rsidR="009074E3" w:rsidRPr="009074E3" w:rsidRDefault="009074E3" w:rsidP="009074E3">
      <w:pPr>
        <w:jc w:val="both"/>
        <w:rPr>
          <w:rFonts w:eastAsia="Times New Roman" w:cs="Times New Roman"/>
          <w:sz w:val="20"/>
          <w:szCs w:val="20"/>
          <w:lang w:val="fr-CA" w:eastAsia="en-CA"/>
        </w:rPr>
      </w:pPr>
    </w:p>
    <w:p w:rsidR="009074E3" w:rsidRPr="009074E3" w:rsidRDefault="009074E3" w:rsidP="009074E3">
      <w:pPr>
        <w:jc w:val="both"/>
        <w:rPr>
          <w:rFonts w:eastAsia="Times New Roman" w:cs="Times New Roman"/>
          <w:sz w:val="20"/>
          <w:szCs w:val="20"/>
          <w:lang w:val="fr-CA" w:eastAsia="en-CA"/>
        </w:rPr>
      </w:pPr>
      <w:r w:rsidRPr="009074E3">
        <w:rPr>
          <w:rFonts w:eastAsia="Times New Roman" w:cs="Times New Roman"/>
          <w:sz w:val="20"/>
          <w:szCs w:val="20"/>
          <w:lang w:val="fr-CA" w:eastAsia="en-CA"/>
        </w:rPr>
        <w:t xml:space="preserve">La deuxième requête est déférée à la formation de trois juges qui sera chargée de trancher la demande d’autorisation d’appel.  </w:t>
      </w: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0C68D7" w:rsidP="009074E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9074E3" w:rsidRPr="009074E3" w:rsidRDefault="009074E3" w:rsidP="009074E3">
      <w:pPr>
        <w:rPr>
          <w:rFonts w:eastAsia="Times New Roman" w:cs="Times New Roman"/>
          <w:sz w:val="20"/>
          <w:szCs w:val="20"/>
          <w:lang w:eastAsia="en-CA"/>
        </w:rPr>
      </w:pPr>
    </w:p>
    <w:p w:rsidR="009074E3" w:rsidRPr="009074E3" w:rsidRDefault="009074E3" w:rsidP="009074E3">
      <w:pPr>
        <w:tabs>
          <w:tab w:val="left" w:pos="-1440"/>
          <w:tab w:val="left" w:pos="-720"/>
        </w:tabs>
        <w:jc w:val="both"/>
        <w:rPr>
          <w:rFonts w:eastAsia="Times New Roman" w:cs="Times New Roman"/>
          <w:sz w:val="20"/>
          <w:szCs w:val="20"/>
          <w:lang w:eastAsia="en-CA"/>
        </w:rPr>
      </w:pPr>
      <w:r w:rsidRPr="009074E3">
        <w:rPr>
          <w:rFonts w:eastAsia="Times New Roman" w:cs="Times New Roman"/>
          <w:sz w:val="20"/>
          <w:szCs w:val="20"/>
          <w:lang w:eastAsia="en-CA"/>
        </w:rPr>
        <w:t>27.02.2014</w:t>
      </w:r>
    </w:p>
    <w:p w:rsidR="009074E3" w:rsidRPr="009074E3" w:rsidRDefault="009074E3" w:rsidP="009074E3">
      <w:pPr>
        <w:tabs>
          <w:tab w:val="left" w:pos="-1440"/>
          <w:tab w:val="left" w:pos="-720"/>
        </w:tabs>
        <w:jc w:val="both"/>
        <w:rPr>
          <w:rFonts w:eastAsia="Times New Roman" w:cs="Times New Roman"/>
          <w:sz w:val="20"/>
          <w:szCs w:val="20"/>
          <w:lang w:eastAsia="en-CA"/>
        </w:rPr>
      </w:pPr>
    </w:p>
    <w:p w:rsidR="009074E3" w:rsidRPr="009074E3" w:rsidRDefault="009074E3" w:rsidP="009074E3">
      <w:pPr>
        <w:tabs>
          <w:tab w:val="left" w:pos="-1440"/>
          <w:tab w:val="left" w:pos="-720"/>
        </w:tabs>
        <w:jc w:val="both"/>
        <w:rPr>
          <w:rFonts w:eastAsia="Times New Roman" w:cs="Times New Roman"/>
          <w:sz w:val="20"/>
          <w:szCs w:val="20"/>
          <w:lang w:eastAsia="en-CA"/>
        </w:rPr>
      </w:pPr>
      <w:r w:rsidRPr="009074E3">
        <w:rPr>
          <w:rFonts w:eastAsia="Times New Roman" w:cs="Times New Roman"/>
          <w:sz w:val="20"/>
          <w:szCs w:val="20"/>
          <w:lang w:eastAsia="en-CA"/>
        </w:rPr>
        <w:t>Before / Devant :   CROMWELL J. / LE JUGE CROMWELL</w:t>
      </w:r>
    </w:p>
    <w:p w:rsidR="009074E3" w:rsidRPr="009074E3" w:rsidRDefault="009074E3" w:rsidP="009074E3">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074E3" w:rsidRPr="009074E3" w:rsidTr="00A20911">
        <w:trPr>
          <w:trHeight w:val="151"/>
        </w:trPr>
        <w:tc>
          <w:tcPr>
            <w:tcW w:w="4338" w:type="dxa"/>
          </w:tcPr>
          <w:p w:rsidR="009074E3" w:rsidRPr="009074E3" w:rsidRDefault="007359BF" w:rsidP="009074E3">
            <w:pPr>
              <w:tabs>
                <w:tab w:val="left" w:pos="-1440"/>
                <w:tab w:val="left" w:pos="-720"/>
              </w:tabs>
              <w:jc w:val="both"/>
              <w:rPr>
                <w:lang w:val="fr-CA"/>
              </w:rPr>
            </w:pPr>
            <w:r w:rsidRPr="009074E3">
              <w:rPr>
                <w:lang w:val="en-US"/>
              </w:rPr>
              <w:fldChar w:fldCharType="begin"/>
            </w:r>
            <w:r w:rsidR="009074E3" w:rsidRPr="009074E3">
              <w:rPr>
                <w:lang w:val="fr-CA"/>
              </w:rPr>
              <w:instrText xml:space="preserve"> SEQ CHAPTER \h \r 1</w:instrText>
            </w:r>
            <w:r w:rsidRPr="009074E3">
              <w:rPr>
                <w:lang w:val="en-US"/>
              </w:rPr>
              <w:fldChar w:fldCharType="end"/>
            </w:r>
            <w:r w:rsidR="009074E3" w:rsidRPr="009074E3">
              <w:rPr>
                <w:b/>
                <w:bCs/>
                <w:lang w:val="fr-CA"/>
              </w:rPr>
              <w:t>Miscellaneous motion</w:t>
            </w:r>
          </w:p>
          <w:p w:rsidR="009074E3" w:rsidRPr="009074E3" w:rsidRDefault="007359BF" w:rsidP="009074E3">
            <w:pPr>
              <w:tabs>
                <w:tab w:val="left" w:pos="-1440"/>
                <w:tab w:val="left" w:pos="-720"/>
              </w:tabs>
              <w:jc w:val="both"/>
              <w:rPr>
                <w:lang w:val="fr-CA"/>
              </w:rPr>
            </w:pPr>
            <w:r w:rsidRPr="009074E3">
              <w:rPr>
                <w:lang w:val="en-US"/>
              </w:rPr>
              <w:fldChar w:fldCharType="begin"/>
            </w:r>
            <w:r w:rsidR="009074E3" w:rsidRPr="009074E3">
              <w:rPr>
                <w:lang w:val="fr-CA"/>
              </w:rPr>
              <w:instrText xml:space="preserve"> SEQ CHAPTER \h \r 1</w:instrText>
            </w:r>
            <w:r w:rsidRPr="009074E3">
              <w:rPr>
                <w:lang w:val="en-US"/>
              </w:rPr>
              <w:fldChar w:fldCharType="end"/>
            </w:r>
          </w:p>
        </w:tc>
        <w:tc>
          <w:tcPr>
            <w:tcW w:w="1170" w:type="dxa"/>
          </w:tcPr>
          <w:p w:rsidR="009074E3" w:rsidRPr="009074E3" w:rsidRDefault="009074E3" w:rsidP="009074E3">
            <w:pPr>
              <w:jc w:val="both"/>
              <w:rPr>
                <w:lang w:val="fr-CA"/>
              </w:rPr>
            </w:pPr>
          </w:p>
          <w:p w:rsidR="009074E3" w:rsidRPr="009074E3" w:rsidRDefault="009074E3" w:rsidP="009074E3">
            <w:pPr>
              <w:jc w:val="both"/>
              <w:rPr>
                <w:lang w:val="fr-CA"/>
              </w:rPr>
            </w:pPr>
          </w:p>
        </w:tc>
        <w:tc>
          <w:tcPr>
            <w:tcW w:w="4327" w:type="dxa"/>
          </w:tcPr>
          <w:p w:rsidR="009074E3" w:rsidRPr="009074E3" w:rsidRDefault="007359BF" w:rsidP="009074E3">
            <w:pPr>
              <w:jc w:val="both"/>
              <w:rPr>
                <w:b/>
                <w:lang w:val="fr-CA"/>
              </w:rPr>
            </w:pPr>
            <w:r w:rsidRPr="009074E3">
              <w:rPr>
                <w:lang w:val="en-US"/>
              </w:rPr>
              <w:fldChar w:fldCharType="begin"/>
            </w:r>
            <w:r w:rsidR="009074E3" w:rsidRPr="009074E3">
              <w:rPr>
                <w:lang w:val="fr-CA"/>
              </w:rPr>
              <w:instrText xml:space="preserve"> SEQ CHAPTER \h \r 1</w:instrText>
            </w:r>
            <w:r w:rsidRPr="009074E3">
              <w:rPr>
                <w:lang w:val="en-US"/>
              </w:rPr>
              <w:fldChar w:fldCharType="end"/>
            </w:r>
            <w:r w:rsidR="009074E3" w:rsidRPr="009074E3">
              <w:rPr>
                <w:b/>
                <w:bCs/>
                <w:lang w:val="fr-CA"/>
              </w:rPr>
              <w:t>Requête diverse</w:t>
            </w:r>
          </w:p>
          <w:p w:rsidR="009074E3" w:rsidRPr="009074E3" w:rsidRDefault="007359BF" w:rsidP="009074E3">
            <w:pPr>
              <w:jc w:val="both"/>
              <w:rPr>
                <w:b/>
                <w:lang w:val="fr-CA"/>
              </w:rPr>
            </w:pPr>
            <w:r w:rsidRPr="009074E3">
              <w:rPr>
                <w:b/>
                <w:lang w:val="en-US"/>
              </w:rPr>
              <w:fldChar w:fldCharType="begin"/>
            </w:r>
            <w:r w:rsidR="009074E3" w:rsidRPr="009074E3">
              <w:rPr>
                <w:b/>
                <w:lang w:val="fr-CA"/>
              </w:rPr>
              <w:instrText xml:space="preserve"> SEQ CHAPTER \h \r 1</w:instrText>
            </w:r>
            <w:r w:rsidRPr="009074E3">
              <w:rPr>
                <w:b/>
                <w:lang w:val="en-US"/>
              </w:rPr>
              <w:fldChar w:fldCharType="end"/>
            </w:r>
            <w:r w:rsidRPr="009074E3">
              <w:rPr>
                <w:b/>
                <w:lang w:val="en-US"/>
              </w:rPr>
              <w:fldChar w:fldCharType="begin"/>
            </w:r>
            <w:r w:rsidR="009074E3" w:rsidRPr="009074E3">
              <w:rPr>
                <w:b/>
                <w:lang w:val="fr-CA"/>
              </w:rPr>
              <w:instrText xml:space="preserve"> SEQ CHAPTER \h \r 1</w:instrText>
            </w:r>
            <w:r w:rsidRPr="009074E3">
              <w:rPr>
                <w:b/>
                <w:lang w:val="en-US"/>
              </w:rPr>
              <w:fldChar w:fldCharType="end"/>
            </w:r>
          </w:p>
        </w:tc>
      </w:tr>
      <w:tr w:rsidR="009074E3" w:rsidRPr="009074E3" w:rsidTr="00A20911">
        <w:trPr>
          <w:trHeight w:val="150"/>
        </w:trPr>
        <w:tc>
          <w:tcPr>
            <w:tcW w:w="4338" w:type="dxa"/>
          </w:tcPr>
          <w:p w:rsidR="009074E3" w:rsidRPr="009074E3" w:rsidRDefault="009074E3" w:rsidP="009074E3">
            <w:pPr>
              <w:tabs>
                <w:tab w:val="left" w:pos="-1440"/>
                <w:tab w:val="left" w:pos="-720"/>
              </w:tabs>
              <w:jc w:val="both"/>
            </w:pPr>
            <w:r w:rsidRPr="009074E3">
              <w:t>Saskatchewan Federation of Labour (in its own right and on behalf of the unions and workers in the Province of Saskatchewan) et al.</w:t>
            </w:r>
          </w:p>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r w:rsidRPr="009074E3">
              <w:tab/>
              <w:t>v. (35423)</w:t>
            </w:r>
          </w:p>
          <w:p w:rsidR="009074E3" w:rsidRPr="009074E3" w:rsidRDefault="009074E3" w:rsidP="009074E3">
            <w:pPr>
              <w:tabs>
                <w:tab w:val="left" w:pos="-1440"/>
                <w:tab w:val="left" w:pos="-720"/>
              </w:tabs>
              <w:jc w:val="both"/>
            </w:pPr>
          </w:p>
          <w:p w:rsidR="009074E3" w:rsidRPr="009074E3" w:rsidRDefault="009074E3" w:rsidP="009074E3">
            <w:pPr>
              <w:tabs>
                <w:tab w:val="left" w:pos="-1440"/>
                <w:tab w:val="left" w:pos="-720"/>
              </w:tabs>
              <w:jc w:val="both"/>
            </w:pPr>
            <w:r w:rsidRPr="009074E3">
              <w:t>Her Majesty the Queen, in Right of the Province of Saskatchewan (Sask.)</w:t>
            </w:r>
          </w:p>
        </w:tc>
        <w:tc>
          <w:tcPr>
            <w:tcW w:w="1170" w:type="dxa"/>
          </w:tcPr>
          <w:p w:rsidR="009074E3" w:rsidRPr="009074E3" w:rsidRDefault="009074E3" w:rsidP="009074E3">
            <w:pPr>
              <w:jc w:val="both"/>
            </w:pPr>
          </w:p>
        </w:tc>
        <w:tc>
          <w:tcPr>
            <w:tcW w:w="4327" w:type="dxa"/>
          </w:tcPr>
          <w:p w:rsidR="009074E3" w:rsidRPr="009074E3" w:rsidRDefault="009074E3" w:rsidP="009074E3">
            <w:pPr>
              <w:jc w:val="both"/>
            </w:pPr>
          </w:p>
        </w:tc>
      </w:tr>
    </w:tbl>
    <w:p w:rsidR="009074E3" w:rsidRPr="009074E3" w:rsidRDefault="009074E3" w:rsidP="009074E3">
      <w:pPr>
        <w:tabs>
          <w:tab w:val="left" w:pos="-1440"/>
          <w:tab w:val="left" w:pos="-720"/>
        </w:tabs>
        <w:jc w:val="both"/>
        <w:rPr>
          <w:rFonts w:eastAsia="Times New Roman" w:cs="Times New Roman"/>
          <w:sz w:val="20"/>
          <w:szCs w:val="20"/>
          <w:lang w:eastAsia="en-CA"/>
        </w:rPr>
      </w:pPr>
    </w:p>
    <w:p w:rsidR="009074E3" w:rsidRPr="009074E3" w:rsidRDefault="009074E3" w:rsidP="009074E3">
      <w:pPr>
        <w:tabs>
          <w:tab w:val="left" w:pos="-1440"/>
          <w:tab w:val="left" w:pos="-720"/>
        </w:tabs>
        <w:jc w:val="both"/>
        <w:rPr>
          <w:rFonts w:eastAsia="Times New Roman" w:cs="Times New Roman"/>
          <w:sz w:val="20"/>
          <w:szCs w:val="20"/>
          <w:lang w:val="fr-CA" w:eastAsia="en-CA"/>
        </w:rPr>
      </w:pPr>
      <w:r w:rsidRPr="009074E3">
        <w:rPr>
          <w:rFonts w:eastAsia="Times New Roman" w:cs="Times New Roman"/>
          <w:b/>
          <w:sz w:val="20"/>
          <w:szCs w:val="20"/>
          <w:lang w:val="fr-CA" w:eastAsia="en-CA"/>
        </w:rPr>
        <w:t>GRANTED IN PART / ACCORDÉE EN PARTIE</w:t>
      </w: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9074E3" w:rsidP="009074E3">
      <w:pPr>
        <w:rPr>
          <w:rFonts w:eastAsia="Times New Roman" w:cs="Times New Roman"/>
          <w:sz w:val="20"/>
          <w:szCs w:val="20"/>
          <w:lang w:eastAsia="en-CA"/>
        </w:rPr>
      </w:pPr>
      <w:r w:rsidRPr="009074E3">
        <w:rPr>
          <w:rFonts w:eastAsia="Times New Roman" w:cs="Times New Roman"/>
          <w:b/>
          <w:bCs/>
          <w:sz w:val="20"/>
          <w:szCs w:val="20"/>
          <w:lang w:eastAsia="en-CA"/>
        </w:rPr>
        <w:lastRenderedPageBreak/>
        <w:t>UPON APPLICATION</w:t>
      </w:r>
      <w:r w:rsidRPr="009074E3">
        <w:rPr>
          <w:rFonts w:eastAsia="Times New Roman" w:cs="Times New Roman"/>
          <w:sz w:val="20"/>
          <w:szCs w:val="20"/>
          <w:lang w:eastAsia="en-CA"/>
        </w:rPr>
        <w:t xml:space="preserve"> by the appellants </w:t>
      </w:r>
      <w:r w:rsidR="007359BF" w:rsidRPr="009074E3">
        <w:rPr>
          <w:rFonts w:eastAsia="Times New Roman" w:cs="Times New Roman"/>
          <w:sz w:val="20"/>
          <w:szCs w:val="20"/>
          <w:lang w:eastAsia="en-CA"/>
        </w:rPr>
        <w:fldChar w:fldCharType="begin"/>
      </w:r>
      <w:r w:rsidRPr="009074E3">
        <w:rPr>
          <w:rFonts w:eastAsia="Times New Roman" w:cs="Times New Roman"/>
          <w:sz w:val="20"/>
          <w:szCs w:val="20"/>
          <w:lang w:eastAsia="en-CA"/>
        </w:rPr>
        <w:instrText xml:space="preserve"> SEQ CHAPTER \h \r 1</w:instrText>
      </w:r>
      <w:r w:rsidR="007359BF" w:rsidRPr="009074E3">
        <w:rPr>
          <w:rFonts w:eastAsia="Times New Roman" w:cs="Times New Roman"/>
          <w:sz w:val="20"/>
          <w:szCs w:val="20"/>
          <w:lang w:eastAsia="en-CA"/>
        </w:rPr>
        <w:fldChar w:fldCharType="end"/>
      </w:r>
      <w:r w:rsidRPr="009074E3">
        <w:rPr>
          <w:rFonts w:eastAsia="Times New Roman" w:cs="Times New Roman"/>
          <w:sz w:val="20"/>
          <w:szCs w:val="20"/>
          <w:lang w:eastAsia="en-CA"/>
        </w:rPr>
        <w:t>for an extension of time to serve and file a printed version of the appellants’ record and for an order granting permission to dispense with the printing of documents forming part of a record;</w:t>
      </w:r>
    </w:p>
    <w:p w:rsidR="009074E3" w:rsidRPr="009074E3" w:rsidRDefault="009074E3" w:rsidP="009074E3">
      <w:pPr>
        <w:rPr>
          <w:rFonts w:eastAsia="Times New Roman" w:cs="Times New Roman"/>
          <w:sz w:val="20"/>
          <w:szCs w:val="20"/>
          <w:lang w:eastAsia="en-CA"/>
        </w:rPr>
      </w:pPr>
    </w:p>
    <w:p w:rsidR="009074E3" w:rsidRPr="009074E3" w:rsidRDefault="009074E3" w:rsidP="009074E3">
      <w:pPr>
        <w:rPr>
          <w:rFonts w:eastAsia="Times New Roman" w:cs="Times New Roman"/>
          <w:sz w:val="20"/>
          <w:szCs w:val="20"/>
          <w:lang w:eastAsia="en-CA"/>
        </w:rPr>
      </w:pPr>
      <w:r w:rsidRPr="009074E3">
        <w:rPr>
          <w:rFonts w:eastAsia="Times New Roman" w:cs="Times New Roman"/>
          <w:b/>
          <w:bCs/>
          <w:sz w:val="20"/>
          <w:szCs w:val="20"/>
          <w:lang w:eastAsia="en-CA"/>
        </w:rPr>
        <w:t xml:space="preserve">AND UPON </w:t>
      </w:r>
      <w:r w:rsidRPr="009074E3">
        <w:rPr>
          <w:rFonts w:eastAsia="Times New Roman" w:cs="Times New Roman"/>
          <w:bCs/>
          <w:sz w:val="20"/>
          <w:szCs w:val="20"/>
          <w:lang w:eastAsia="en-CA"/>
        </w:rPr>
        <w:t>the consent of the respondent</w:t>
      </w:r>
      <w:r w:rsidRPr="009074E3">
        <w:rPr>
          <w:rFonts w:eastAsia="Times New Roman" w:cs="Times New Roman"/>
          <w:sz w:val="20"/>
          <w:szCs w:val="20"/>
          <w:lang w:eastAsia="en-CA"/>
        </w:rPr>
        <w:t>;</w:t>
      </w:r>
    </w:p>
    <w:p w:rsidR="009074E3" w:rsidRPr="009074E3" w:rsidRDefault="009074E3" w:rsidP="009074E3">
      <w:pPr>
        <w:rPr>
          <w:rFonts w:eastAsia="Times New Roman" w:cs="Times New Roman"/>
          <w:b/>
          <w:sz w:val="20"/>
          <w:szCs w:val="20"/>
          <w:lang w:eastAsia="en-CA"/>
        </w:rPr>
      </w:pPr>
    </w:p>
    <w:p w:rsidR="009074E3" w:rsidRPr="009074E3" w:rsidRDefault="009074E3" w:rsidP="009074E3">
      <w:pPr>
        <w:rPr>
          <w:rFonts w:eastAsia="Times New Roman" w:cs="Times New Roman"/>
          <w:sz w:val="20"/>
          <w:szCs w:val="20"/>
          <w:lang w:eastAsia="en-CA"/>
        </w:rPr>
      </w:pPr>
      <w:r w:rsidRPr="009074E3">
        <w:rPr>
          <w:rFonts w:eastAsia="Times New Roman" w:cs="Times New Roman"/>
          <w:b/>
          <w:sz w:val="20"/>
          <w:szCs w:val="20"/>
          <w:lang w:eastAsia="en-CA"/>
        </w:rPr>
        <w:t xml:space="preserve">IT IS HEREBY ORDERED THAT: </w:t>
      </w:r>
    </w:p>
    <w:p w:rsidR="009074E3" w:rsidRPr="009074E3" w:rsidRDefault="009074E3" w:rsidP="009074E3">
      <w:pPr>
        <w:ind w:left="1080"/>
        <w:contextualSpacing/>
        <w:rPr>
          <w:rFonts w:cs="Times New Roman"/>
          <w:sz w:val="20"/>
          <w:szCs w:val="20"/>
        </w:rPr>
      </w:pPr>
    </w:p>
    <w:p w:rsidR="009074E3" w:rsidRPr="009074E3" w:rsidRDefault="009074E3" w:rsidP="009074E3">
      <w:pPr>
        <w:numPr>
          <w:ilvl w:val="0"/>
          <w:numId w:val="7"/>
        </w:numPr>
        <w:autoSpaceDE w:val="0"/>
        <w:autoSpaceDN w:val="0"/>
        <w:adjustRightInd w:val="0"/>
        <w:contextualSpacing/>
        <w:jc w:val="both"/>
        <w:rPr>
          <w:rFonts w:cs="Times New Roman"/>
          <w:sz w:val="20"/>
          <w:szCs w:val="20"/>
        </w:rPr>
      </w:pPr>
      <w:r w:rsidRPr="009074E3">
        <w:rPr>
          <w:rFonts w:cs="Times New Roman"/>
          <w:sz w:val="20"/>
          <w:szCs w:val="20"/>
        </w:rPr>
        <w:t xml:space="preserve">The appellants shall file two paper copies of the full record on or before March 4, 2014. The appellants are excused from filing the remaining copies of the full record. The appellants shall also file 1 original and 20 copies of the record containing only the portions of the record that are referred to in their factum on or before March 11, 2014.   </w:t>
      </w:r>
    </w:p>
    <w:p w:rsidR="009074E3" w:rsidRPr="009074E3" w:rsidRDefault="009074E3" w:rsidP="009074E3">
      <w:pPr>
        <w:rPr>
          <w:rFonts w:eastAsia="Times New Roman" w:cs="Times New Roman"/>
          <w:sz w:val="20"/>
          <w:szCs w:val="20"/>
          <w:lang w:eastAsia="en-CA"/>
        </w:rPr>
      </w:pPr>
    </w:p>
    <w:p w:rsidR="009074E3" w:rsidRPr="009074E3" w:rsidRDefault="009074E3" w:rsidP="009074E3">
      <w:pPr>
        <w:numPr>
          <w:ilvl w:val="0"/>
          <w:numId w:val="7"/>
        </w:numPr>
        <w:autoSpaceDE w:val="0"/>
        <w:autoSpaceDN w:val="0"/>
        <w:adjustRightInd w:val="0"/>
        <w:contextualSpacing/>
        <w:jc w:val="both"/>
        <w:rPr>
          <w:rFonts w:cs="Times New Roman"/>
          <w:sz w:val="20"/>
          <w:szCs w:val="20"/>
        </w:rPr>
      </w:pPr>
      <w:r w:rsidRPr="009074E3">
        <w:rPr>
          <w:rFonts w:cs="Times New Roman"/>
          <w:sz w:val="20"/>
          <w:szCs w:val="20"/>
        </w:rPr>
        <w:t>The respondent shall file two paper copies of the full record and is excused from filing the remaining copies of the full record. The respondent shall also file 1 original and 20 copies of the record containing only the portions of the record that are referred to in their factum.</w:t>
      </w:r>
    </w:p>
    <w:p w:rsidR="009074E3" w:rsidRPr="009074E3" w:rsidRDefault="009074E3" w:rsidP="009074E3">
      <w:pPr>
        <w:rPr>
          <w:rFonts w:eastAsia="Times New Roman" w:cs="Times New Roman"/>
          <w:sz w:val="20"/>
          <w:szCs w:val="20"/>
          <w:lang w:eastAsia="en-CA"/>
        </w:rPr>
      </w:pPr>
    </w:p>
    <w:p w:rsidR="009074E3" w:rsidRPr="009074E3" w:rsidRDefault="009074E3" w:rsidP="009074E3">
      <w:pPr>
        <w:numPr>
          <w:ilvl w:val="0"/>
          <w:numId w:val="7"/>
        </w:numPr>
        <w:contextualSpacing/>
        <w:jc w:val="both"/>
        <w:rPr>
          <w:rFonts w:cs="Times New Roman"/>
          <w:sz w:val="20"/>
          <w:szCs w:val="20"/>
        </w:rPr>
      </w:pPr>
      <w:r w:rsidRPr="009074E3">
        <w:rPr>
          <w:rFonts w:cs="Times New Roman"/>
          <w:sz w:val="20"/>
          <w:szCs w:val="20"/>
        </w:rPr>
        <w:t xml:space="preserve">Unless otherwise ordered herein, all other service and filing requirements set out in the </w:t>
      </w:r>
      <w:r w:rsidRPr="009074E3">
        <w:rPr>
          <w:rFonts w:cs="Times New Roman"/>
          <w:i/>
          <w:sz w:val="20"/>
          <w:szCs w:val="20"/>
        </w:rPr>
        <w:t>Rules of the Supreme Court of Canada</w:t>
      </w:r>
      <w:r w:rsidRPr="009074E3">
        <w:rPr>
          <w:rFonts w:cs="Times New Roman"/>
          <w:sz w:val="20"/>
          <w:szCs w:val="20"/>
        </w:rPr>
        <w:t xml:space="preserve"> continue to apply to these proceedings.</w:t>
      </w:r>
    </w:p>
    <w:p w:rsidR="009074E3" w:rsidRPr="009074E3" w:rsidRDefault="009074E3" w:rsidP="009074E3">
      <w:pPr>
        <w:ind w:left="720"/>
        <w:contextualSpacing/>
        <w:rPr>
          <w:rFonts w:cs="Times New Roman"/>
          <w:sz w:val="20"/>
          <w:szCs w:val="20"/>
        </w:rPr>
      </w:pPr>
    </w:p>
    <w:p w:rsidR="009074E3" w:rsidRPr="009074E3" w:rsidRDefault="009074E3" w:rsidP="009074E3">
      <w:pPr>
        <w:rPr>
          <w:rFonts w:eastAsia="Times New Roman" w:cs="Times New Roman"/>
          <w:sz w:val="20"/>
          <w:szCs w:val="20"/>
          <w:lang w:val="en-US" w:eastAsia="en-CA"/>
        </w:rPr>
      </w:pPr>
    </w:p>
    <w:p w:rsidR="009074E3" w:rsidRPr="009074E3" w:rsidRDefault="009074E3" w:rsidP="009074E3">
      <w:pPr>
        <w:rPr>
          <w:rFonts w:eastAsia="Times New Roman" w:cs="Times New Roman"/>
          <w:sz w:val="20"/>
          <w:szCs w:val="20"/>
          <w:lang w:eastAsia="en-CA"/>
        </w:rPr>
      </w:pPr>
    </w:p>
    <w:p w:rsidR="009074E3" w:rsidRPr="009074E3" w:rsidRDefault="009074E3" w:rsidP="009074E3">
      <w:pPr>
        <w:rPr>
          <w:rFonts w:eastAsia="Times New Roman" w:cs="Times New Roman"/>
          <w:sz w:val="20"/>
          <w:szCs w:val="20"/>
          <w:lang w:val="fr-CA" w:eastAsia="en-CA"/>
        </w:rPr>
      </w:pPr>
      <w:r w:rsidRPr="009074E3">
        <w:rPr>
          <w:rFonts w:eastAsia="Times New Roman" w:cs="Times New Roman"/>
          <w:b/>
          <w:bCs/>
          <w:sz w:val="20"/>
          <w:szCs w:val="20"/>
          <w:lang w:val="fr-CA" w:eastAsia="en-CA"/>
        </w:rPr>
        <w:t>À LA SUITE DE LA DEMANDE</w:t>
      </w:r>
      <w:r w:rsidRPr="009074E3">
        <w:rPr>
          <w:rFonts w:eastAsia="Times New Roman" w:cs="Times New Roman"/>
          <w:sz w:val="20"/>
          <w:szCs w:val="20"/>
          <w:lang w:val="fr-CA" w:eastAsia="en-CA"/>
        </w:rPr>
        <w:t xml:space="preserve"> présentée par les appelants en vue d’obtenir la prorogation du délai de dépôt et de signification d’une copie de la version imprimée du dossier des appelants et en vue d’être dispensés de l’impression des documents faisant partie du dossier;</w:t>
      </w:r>
    </w:p>
    <w:p w:rsidR="009074E3" w:rsidRPr="009074E3" w:rsidRDefault="009074E3" w:rsidP="009074E3">
      <w:pPr>
        <w:rPr>
          <w:rFonts w:eastAsia="Times New Roman" w:cs="Times New Roman"/>
          <w:sz w:val="20"/>
          <w:szCs w:val="20"/>
          <w:lang w:val="fr-CA" w:eastAsia="en-CA"/>
        </w:rPr>
      </w:pPr>
    </w:p>
    <w:p w:rsidR="009074E3" w:rsidRPr="009074E3" w:rsidRDefault="009074E3" w:rsidP="009074E3">
      <w:pPr>
        <w:rPr>
          <w:rFonts w:eastAsia="Times New Roman" w:cs="Times New Roman"/>
          <w:sz w:val="20"/>
          <w:szCs w:val="20"/>
          <w:lang w:val="fr-CA" w:eastAsia="en-CA"/>
        </w:rPr>
      </w:pPr>
      <w:r w:rsidRPr="009074E3">
        <w:rPr>
          <w:rFonts w:eastAsia="Times New Roman" w:cs="Times New Roman"/>
          <w:b/>
          <w:bCs/>
          <w:sz w:val="20"/>
          <w:szCs w:val="20"/>
          <w:lang w:val="fr-CA" w:eastAsia="en-CA"/>
        </w:rPr>
        <w:t xml:space="preserve">ET AVEC </w:t>
      </w:r>
      <w:r w:rsidRPr="009074E3">
        <w:rPr>
          <w:rFonts w:eastAsia="Times New Roman" w:cs="Times New Roman"/>
          <w:bCs/>
          <w:sz w:val="20"/>
          <w:szCs w:val="20"/>
          <w:lang w:val="fr-CA" w:eastAsia="en-CA"/>
        </w:rPr>
        <w:t>le consentement de l’intimée</w:t>
      </w:r>
      <w:r w:rsidRPr="009074E3">
        <w:rPr>
          <w:rFonts w:eastAsia="Times New Roman" w:cs="Times New Roman"/>
          <w:sz w:val="20"/>
          <w:szCs w:val="20"/>
          <w:lang w:val="fr-CA" w:eastAsia="en-CA"/>
        </w:rPr>
        <w:t>;</w:t>
      </w:r>
    </w:p>
    <w:p w:rsidR="009074E3" w:rsidRPr="009074E3" w:rsidRDefault="009074E3" w:rsidP="009074E3">
      <w:pPr>
        <w:rPr>
          <w:rFonts w:eastAsia="Times New Roman" w:cs="Times New Roman"/>
          <w:sz w:val="20"/>
          <w:szCs w:val="20"/>
          <w:lang w:val="fr-CA" w:eastAsia="en-CA"/>
        </w:rPr>
      </w:pPr>
    </w:p>
    <w:p w:rsidR="009074E3" w:rsidRPr="009074E3" w:rsidRDefault="009074E3" w:rsidP="009074E3">
      <w:pPr>
        <w:rPr>
          <w:rFonts w:eastAsia="Times New Roman" w:cs="Times New Roman"/>
          <w:sz w:val="20"/>
          <w:szCs w:val="20"/>
          <w:lang w:val="fr-CA" w:eastAsia="en-CA"/>
        </w:rPr>
      </w:pPr>
      <w:r w:rsidRPr="009074E3">
        <w:rPr>
          <w:rFonts w:eastAsia="Times New Roman" w:cs="Times New Roman"/>
          <w:b/>
          <w:sz w:val="20"/>
          <w:szCs w:val="20"/>
          <w:lang w:val="fr-CA" w:eastAsia="en-CA"/>
        </w:rPr>
        <w:t xml:space="preserve">IL EST ORDONNÉ CE QUI SUIT : </w:t>
      </w:r>
    </w:p>
    <w:p w:rsidR="009074E3" w:rsidRPr="009074E3" w:rsidRDefault="009074E3" w:rsidP="009074E3">
      <w:pPr>
        <w:ind w:left="1080"/>
        <w:contextualSpacing/>
        <w:rPr>
          <w:rFonts w:cs="Times New Roman"/>
          <w:sz w:val="20"/>
          <w:szCs w:val="20"/>
          <w:lang w:val="fr-CA"/>
        </w:rPr>
      </w:pPr>
    </w:p>
    <w:p w:rsidR="009074E3" w:rsidRPr="009074E3" w:rsidRDefault="009074E3" w:rsidP="009074E3">
      <w:pPr>
        <w:numPr>
          <w:ilvl w:val="0"/>
          <w:numId w:val="8"/>
        </w:numPr>
        <w:autoSpaceDE w:val="0"/>
        <w:autoSpaceDN w:val="0"/>
        <w:adjustRightInd w:val="0"/>
        <w:contextualSpacing/>
        <w:jc w:val="both"/>
        <w:rPr>
          <w:rFonts w:cs="Times New Roman"/>
          <w:sz w:val="20"/>
          <w:szCs w:val="20"/>
          <w:lang w:val="fr-CA"/>
        </w:rPr>
      </w:pPr>
      <w:r w:rsidRPr="009074E3">
        <w:rPr>
          <w:rFonts w:cs="Times New Roman"/>
          <w:sz w:val="20"/>
          <w:szCs w:val="20"/>
          <w:lang w:val="fr-CA"/>
        </w:rPr>
        <w:t xml:space="preserve">Les appelants déposeront deux copies de la version imprimée de tout le dossier au plus tard le 4 mars 2014.  Les appelants sont dispensés du dépôt des autres copies de tout le dossier.  Les appelants déposeront également l’original et 20 copies des extraits du dossier auxquels renvoie leur mémoire au plus tard le 11 mars 2014.     </w:t>
      </w:r>
    </w:p>
    <w:p w:rsidR="009074E3" w:rsidRPr="009074E3" w:rsidRDefault="009074E3" w:rsidP="009074E3">
      <w:pPr>
        <w:rPr>
          <w:rFonts w:eastAsia="Times New Roman" w:cs="Times New Roman"/>
          <w:sz w:val="20"/>
          <w:szCs w:val="20"/>
          <w:lang w:val="fr-CA" w:eastAsia="en-CA"/>
        </w:rPr>
      </w:pPr>
    </w:p>
    <w:p w:rsidR="009074E3" w:rsidRPr="009074E3" w:rsidRDefault="009074E3" w:rsidP="009074E3">
      <w:pPr>
        <w:numPr>
          <w:ilvl w:val="0"/>
          <w:numId w:val="8"/>
        </w:numPr>
        <w:autoSpaceDE w:val="0"/>
        <w:autoSpaceDN w:val="0"/>
        <w:adjustRightInd w:val="0"/>
        <w:contextualSpacing/>
        <w:jc w:val="both"/>
        <w:rPr>
          <w:rFonts w:cs="Times New Roman"/>
          <w:sz w:val="20"/>
          <w:szCs w:val="20"/>
          <w:lang w:val="fr-CA"/>
        </w:rPr>
      </w:pPr>
      <w:r w:rsidRPr="009074E3">
        <w:rPr>
          <w:rFonts w:cs="Times New Roman"/>
          <w:sz w:val="20"/>
          <w:szCs w:val="20"/>
          <w:lang w:val="fr-CA"/>
        </w:rPr>
        <w:t xml:space="preserve">L’intimée déposera deux copies de la version imprimée de tout le dossier et elle est dispensée du dépôt des autres copies de tout le dossier. L’intimée déposera également l’original et 20 copies des extraits du dossier auxquels renvoie son mémoire.  </w:t>
      </w:r>
    </w:p>
    <w:p w:rsidR="009074E3" w:rsidRPr="009074E3" w:rsidRDefault="009074E3" w:rsidP="009074E3">
      <w:pPr>
        <w:rPr>
          <w:rFonts w:eastAsia="Times New Roman" w:cs="Times New Roman"/>
          <w:sz w:val="20"/>
          <w:szCs w:val="20"/>
          <w:lang w:val="fr-CA" w:eastAsia="en-CA"/>
        </w:rPr>
      </w:pPr>
    </w:p>
    <w:p w:rsidR="009074E3" w:rsidRPr="009074E3" w:rsidRDefault="009074E3" w:rsidP="009074E3">
      <w:pPr>
        <w:numPr>
          <w:ilvl w:val="0"/>
          <w:numId w:val="8"/>
        </w:numPr>
        <w:contextualSpacing/>
        <w:jc w:val="both"/>
        <w:rPr>
          <w:rFonts w:cs="Times New Roman"/>
          <w:sz w:val="20"/>
          <w:szCs w:val="20"/>
          <w:lang w:val="fr-CA"/>
        </w:rPr>
      </w:pPr>
      <w:r w:rsidRPr="009074E3">
        <w:rPr>
          <w:rFonts w:cs="Times New Roman"/>
          <w:sz w:val="20"/>
          <w:szCs w:val="20"/>
          <w:lang w:val="fr-CA"/>
        </w:rPr>
        <w:t xml:space="preserve">Sauf disposition contraire de la présente ordonnance, toutes les autres exigences de signification et de dépôt prévues aux </w:t>
      </w:r>
      <w:r w:rsidRPr="009074E3">
        <w:rPr>
          <w:rFonts w:cs="Times New Roman"/>
          <w:i/>
          <w:sz w:val="20"/>
          <w:szCs w:val="20"/>
          <w:lang w:val="fr-CA"/>
        </w:rPr>
        <w:t>Règles de la Cour suprême du Canada</w:t>
      </w:r>
      <w:r w:rsidRPr="009074E3">
        <w:rPr>
          <w:rFonts w:cs="Times New Roman"/>
          <w:sz w:val="20"/>
          <w:szCs w:val="20"/>
          <w:lang w:val="fr-CA"/>
        </w:rPr>
        <w:t xml:space="preserve"> continuent de s’appliquer en l’espèce.</w:t>
      </w:r>
    </w:p>
    <w:p w:rsidR="009074E3" w:rsidRPr="009074E3" w:rsidRDefault="009074E3" w:rsidP="009074E3">
      <w:pPr>
        <w:tabs>
          <w:tab w:val="left" w:pos="-1440"/>
          <w:tab w:val="left" w:pos="-720"/>
        </w:tabs>
        <w:jc w:val="both"/>
        <w:rPr>
          <w:rFonts w:eastAsia="Times New Roman" w:cs="Times New Roman"/>
          <w:sz w:val="20"/>
          <w:szCs w:val="20"/>
          <w:lang w:val="fr-CA" w:eastAsia="en-CA"/>
        </w:rPr>
      </w:pPr>
    </w:p>
    <w:p w:rsidR="009074E3" w:rsidRPr="009074E3" w:rsidRDefault="000C68D7" w:rsidP="009074E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9074E3" w:rsidRPr="009074E3" w:rsidRDefault="009074E3" w:rsidP="009074E3">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C68D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B177E4" w:rsidP="00AF1715">
      <w:pPr>
        <w:rPr>
          <w:b/>
          <w:sz w:val="20"/>
          <w:szCs w:val="20"/>
        </w:rPr>
      </w:pPr>
      <w:r>
        <w:rPr>
          <w:b/>
          <w:sz w:val="20"/>
          <w:szCs w:val="20"/>
        </w:rPr>
        <w:t>MA</w:t>
      </w:r>
      <w:r w:rsidR="00AF1715" w:rsidRPr="003B3977">
        <w:rPr>
          <w:b/>
          <w:sz w:val="20"/>
          <w:szCs w:val="20"/>
        </w:rPr>
        <w:t>R</w:t>
      </w:r>
      <w:r>
        <w:rPr>
          <w:b/>
          <w:sz w:val="20"/>
          <w:szCs w:val="20"/>
        </w:rPr>
        <w:t>CH</w:t>
      </w:r>
      <w:r w:rsidR="00AF1715" w:rsidRPr="003B3977">
        <w:rPr>
          <w:b/>
          <w:sz w:val="20"/>
          <w:szCs w:val="20"/>
        </w:rPr>
        <w:t xml:space="preserve"> </w:t>
      </w:r>
      <w:r w:rsidR="0057702F">
        <w:rPr>
          <w:b/>
          <w:sz w:val="20"/>
          <w:szCs w:val="20"/>
        </w:rPr>
        <w:t>7</w:t>
      </w:r>
      <w:r w:rsidR="00AF1715" w:rsidRPr="003B3977">
        <w:rPr>
          <w:b/>
          <w:sz w:val="20"/>
          <w:szCs w:val="20"/>
        </w:rPr>
        <w:t>, 201</w:t>
      </w:r>
      <w:r>
        <w:rPr>
          <w:b/>
          <w:sz w:val="20"/>
          <w:szCs w:val="20"/>
        </w:rPr>
        <w:t>4</w:t>
      </w:r>
      <w:r w:rsidR="00AF1715" w:rsidRPr="003B3977">
        <w:rPr>
          <w:b/>
          <w:sz w:val="20"/>
          <w:szCs w:val="20"/>
        </w:rPr>
        <w:t xml:space="preserve"> / LE </w:t>
      </w:r>
      <w:r w:rsidR="0057702F">
        <w:rPr>
          <w:b/>
          <w:sz w:val="20"/>
          <w:szCs w:val="20"/>
        </w:rPr>
        <w:t>7</w:t>
      </w:r>
      <w:r>
        <w:rPr>
          <w:b/>
          <w:sz w:val="20"/>
          <w:szCs w:val="20"/>
        </w:rPr>
        <w:t xml:space="preserve"> MA</w:t>
      </w:r>
      <w:r w:rsidR="00AF1715" w:rsidRPr="003B3977">
        <w:rPr>
          <w:b/>
          <w:sz w:val="20"/>
          <w:szCs w:val="20"/>
        </w:rPr>
        <w:t>R</w:t>
      </w:r>
      <w:r>
        <w:rPr>
          <w:b/>
          <w:sz w:val="20"/>
          <w:szCs w:val="20"/>
        </w:rPr>
        <w:t>S</w:t>
      </w:r>
      <w:r w:rsidR="00AF1715" w:rsidRPr="003B3977">
        <w:rPr>
          <w:b/>
          <w:sz w:val="20"/>
          <w:szCs w:val="20"/>
        </w:rPr>
        <w:t xml:space="preserve"> 201</w:t>
      </w:r>
      <w:r>
        <w:rPr>
          <w:b/>
          <w:sz w:val="20"/>
          <w:szCs w:val="20"/>
        </w:rPr>
        <w:t>4</w:t>
      </w:r>
    </w:p>
    <w:p w:rsidR="00AF1715" w:rsidRDefault="00AF1715" w:rsidP="00AF1715">
      <w:pPr>
        <w:rPr>
          <w:sz w:val="20"/>
          <w:szCs w:val="20"/>
        </w:rPr>
      </w:pPr>
    </w:p>
    <w:p w:rsidR="0057702F" w:rsidRPr="009C4B38" w:rsidRDefault="0057702F" w:rsidP="0057702F">
      <w:pPr>
        <w:ind w:left="1440" w:hanging="1440"/>
        <w:jc w:val="both"/>
        <w:rPr>
          <w:sz w:val="20"/>
          <w:szCs w:val="20"/>
        </w:rPr>
      </w:pPr>
      <w:r w:rsidRPr="009C4B38">
        <w:rPr>
          <w:b/>
          <w:sz w:val="20"/>
          <w:szCs w:val="20"/>
        </w:rPr>
        <w:fldChar w:fldCharType="begin"/>
      </w:r>
      <w:r w:rsidRPr="009C4B38">
        <w:rPr>
          <w:b/>
          <w:sz w:val="20"/>
          <w:szCs w:val="20"/>
        </w:rPr>
        <w:instrText xml:space="preserve"> SEQ CHAPTER \h \r 1</w:instrText>
      </w:r>
      <w:r w:rsidRPr="009C4B38">
        <w:rPr>
          <w:b/>
          <w:sz w:val="20"/>
          <w:szCs w:val="20"/>
        </w:rPr>
        <w:fldChar w:fldCharType="end"/>
      </w:r>
      <w:r w:rsidRPr="009C4B38">
        <w:rPr>
          <w:b/>
          <w:sz w:val="20"/>
          <w:szCs w:val="20"/>
        </w:rPr>
        <w:t>35176</w:t>
      </w:r>
      <w:r w:rsidRPr="009C4B38">
        <w:rPr>
          <w:sz w:val="20"/>
          <w:szCs w:val="20"/>
        </w:rPr>
        <w:tab/>
      </w:r>
      <w:r w:rsidRPr="009C4B38">
        <w:rPr>
          <w:b/>
          <w:sz w:val="20"/>
          <w:szCs w:val="20"/>
          <w:u w:val="single"/>
        </w:rPr>
        <w:t>Craig Jaret Hutchinson v. Her Majesty the Queen – and – Canadian HIV/AIDS Legal Network and HIV &amp; AIDS Legal Clinic Ontario</w:t>
      </w:r>
      <w:r w:rsidRPr="009C4B38">
        <w:rPr>
          <w:b/>
          <w:sz w:val="20"/>
          <w:szCs w:val="20"/>
        </w:rPr>
        <w:t xml:space="preserve"> </w:t>
      </w:r>
      <w:r w:rsidRPr="009C4B38">
        <w:rPr>
          <w:sz w:val="20"/>
          <w:szCs w:val="20"/>
        </w:rPr>
        <w:t>(N.S.)</w:t>
      </w:r>
    </w:p>
    <w:p w:rsidR="0057702F" w:rsidRPr="009C4B38" w:rsidRDefault="0057702F" w:rsidP="0057702F">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9C4B38">
        <w:rPr>
          <w:b/>
          <w:sz w:val="20"/>
          <w:szCs w:val="20"/>
        </w:rPr>
        <w:t>2014 SCC 19 / 2014 CSC 19</w:t>
      </w:r>
    </w:p>
    <w:p w:rsidR="0057702F" w:rsidRPr="009C4B38" w:rsidRDefault="0057702F" w:rsidP="0057702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7702F" w:rsidRPr="009C4B38" w:rsidRDefault="0057702F" w:rsidP="0057702F">
      <w:pPr>
        <w:ind w:left="1440" w:hanging="1440"/>
        <w:rPr>
          <w:sz w:val="20"/>
          <w:szCs w:val="20"/>
          <w:u w:val="single"/>
        </w:rPr>
      </w:pPr>
      <w:r w:rsidRPr="009C4B38">
        <w:rPr>
          <w:sz w:val="20"/>
          <w:szCs w:val="20"/>
        </w:rPr>
        <w:t>Coram:</w:t>
      </w:r>
      <w:r w:rsidRPr="009C4B38">
        <w:rPr>
          <w:sz w:val="20"/>
          <w:szCs w:val="20"/>
        </w:rPr>
        <w:tab/>
      </w:r>
      <w:r w:rsidRPr="009C4B38">
        <w:rPr>
          <w:sz w:val="20"/>
          <w:szCs w:val="20"/>
          <w:u w:val="single"/>
        </w:rPr>
        <w:t xml:space="preserve">McLachlin C.J. and Abella, Rothstein, Cromwell, Moldaver, Karakatsanis and Wagner JJ. </w:t>
      </w:r>
    </w:p>
    <w:p w:rsidR="0057702F" w:rsidRPr="009C4B38" w:rsidRDefault="0057702F" w:rsidP="0057702F">
      <w:pPr>
        <w:ind w:left="1440" w:hanging="1440"/>
        <w:jc w:val="both"/>
        <w:rPr>
          <w:sz w:val="20"/>
          <w:szCs w:val="20"/>
          <w:u w:val="single"/>
        </w:rPr>
      </w:pPr>
    </w:p>
    <w:p w:rsidR="0057702F" w:rsidRPr="009C4B38" w:rsidRDefault="0057702F" w:rsidP="0057702F">
      <w:pPr>
        <w:jc w:val="both"/>
        <w:rPr>
          <w:rFonts w:eastAsia="Calibri"/>
          <w:sz w:val="20"/>
          <w:szCs w:val="20"/>
        </w:rPr>
      </w:pPr>
      <w:r w:rsidRPr="009C4B38">
        <w:rPr>
          <w:rFonts w:eastAsia="Calibri"/>
          <w:sz w:val="20"/>
          <w:szCs w:val="20"/>
        </w:rPr>
        <w:t>The appeal from the judgment of the Nova Scotia Court of Appeal, Number CAC 370497, 2013 NSCA 1, dated January 3, 2013, heard on November 8, 2013, is dismissed.</w:t>
      </w:r>
    </w:p>
    <w:p w:rsidR="0057702F" w:rsidRPr="009C4B38" w:rsidRDefault="0057702F" w:rsidP="0057702F">
      <w:pPr>
        <w:jc w:val="both"/>
        <w:rPr>
          <w:rFonts w:eastAsia="Calibri"/>
          <w:sz w:val="20"/>
          <w:szCs w:val="20"/>
        </w:rPr>
      </w:pPr>
    </w:p>
    <w:p w:rsidR="0057702F" w:rsidRPr="009C4B38" w:rsidRDefault="0057702F" w:rsidP="0057702F">
      <w:pPr>
        <w:jc w:val="both"/>
        <w:rPr>
          <w:rFonts w:eastAsia="Calibri"/>
          <w:sz w:val="20"/>
          <w:szCs w:val="20"/>
          <w:lang w:val="fr-CA"/>
        </w:rPr>
      </w:pPr>
      <w:r w:rsidRPr="009C4B38">
        <w:rPr>
          <w:rFonts w:eastAsia="Calibri"/>
          <w:sz w:val="20"/>
          <w:szCs w:val="20"/>
          <w:lang w:val="fr-CA"/>
        </w:rPr>
        <w:t>L’appel interjeté contre l’arrêt de la Cour d’appel de la Nouvelle-Écosse, numéro CAC 370497, 2013 NSCA 1, en date du 3 janvier 2013, entendu le 8 novembre 2013, est rejeté.</w:t>
      </w:r>
    </w:p>
    <w:p w:rsidR="0057702F" w:rsidRPr="0057702F" w:rsidRDefault="0057702F" w:rsidP="00AF1715">
      <w:pPr>
        <w:rPr>
          <w:sz w:val="20"/>
          <w:szCs w:val="20"/>
          <w:lang w:val="fr-CA"/>
        </w:rPr>
      </w:pPr>
    </w:p>
    <w:p w:rsidR="00AF1715" w:rsidRPr="003B3977" w:rsidRDefault="000C68D7" w:rsidP="00AF1715">
      <w:pPr>
        <w:spacing w:line="0" w:lineRule="atLeast"/>
        <w:rPr>
          <w:sz w:val="20"/>
          <w:szCs w:val="20"/>
        </w:rPr>
      </w:pPr>
      <w:r>
        <w:rPr>
          <w:b/>
          <w:sz w:val="20"/>
          <w:szCs w:val="20"/>
        </w:rPr>
        <w:pict>
          <v:rect id="_x0000_i1060"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022328" w:rsidRPr="000C68D7" w:rsidRDefault="00022328" w:rsidP="00022328">
      <w:pPr>
        <w:ind w:left="720" w:hanging="720"/>
        <w:rPr>
          <w:sz w:val="20"/>
          <w:szCs w:val="20"/>
          <w:lang w:val="fr-CA"/>
        </w:rPr>
      </w:pPr>
      <w:r w:rsidRPr="003E52FA">
        <w:rPr>
          <w:i/>
          <w:sz w:val="20"/>
          <w:szCs w:val="20"/>
        </w:rPr>
        <w:t>Craig Jaret Hutchinson v. Her Majesty the</w:t>
      </w:r>
      <w:r w:rsidRPr="003E52FA">
        <w:rPr>
          <w:sz w:val="20"/>
          <w:szCs w:val="20"/>
        </w:rPr>
        <w:t xml:space="preserve"> </w:t>
      </w:r>
      <w:r w:rsidRPr="003E52FA">
        <w:rPr>
          <w:i/>
          <w:sz w:val="20"/>
          <w:szCs w:val="20"/>
        </w:rPr>
        <w:t>Queen</w:t>
      </w:r>
      <w:r w:rsidRPr="003E52FA">
        <w:rPr>
          <w:sz w:val="20"/>
          <w:szCs w:val="20"/>
        </w:rPr>
        <w:t xml:space="preserve"> (N.S.) </w:t>
      </w:r>
      <w:r w:rsidRPr="000C68D7">
        <w:rPr>
          <w:sz w:val="20"/>
          <w:szCs w:val="20"/>
          <w:lang w:val="fr-CA"/>
        </w:rPr>
        <w:t>(</w:t>
      </w:r>
      <w:hyperlink r:id="rId59" w:history="1">
        <w:r w:rsidRPr="000C68D7">
          <w:rPr>
            <w:rStyle w:val="Hyperlink"/>
            <w:sz w:val="20"/>
            <w:szCs w:val="20"/>
            <w:lang w:val="fr-CA"/>
          </w:rPr>
          <w:t>35176</w:t>
        </w:r>
      </w:hyperlink>
      <w:r w:rsidRPr="000C68D7">
        <w:rPr>
          <w:sz w:val="20"/>
          <w:szCs w:val="20"/>
          <w:lang w:val="fr-CA"/>
        </w:rPr>
        <w:t>)</w:t>
      </w:r>
    </w:p>
    <w:p w:rsidR="009856BE" w:rsidRPr="00BE78E2" w:rsidRDefault="009856BE" w:rsidP="009856BE">
      <w:pPr>
        <w:pStyle w:val="SCCLsocLastPartyInRole"/>
        <w:spacing w:after="0"/>
        <w:rPr>
          <w:sz w:val="20"/>
          <w:lang w:val="fr-CA"/>
        </w:rPr>
      </w:pPr>
      <w:r w:rsidRPr="009856BE">
        <w:rPr>
          <w:sz w:val="20"/>
          <w:lang w:val="fr-CA"/>
        </w:rPr>
        <w:t xml:space="preserve">Indexed as:  R. </w:t>
      </w:r>
      <w:r w:rsidRPr="009856BE">
        <w:rPr>
          <w:i/>
          <w:sz w:val="20"/>
          <w:lang w:val="fr-CA"/>
        </w:rPr>
        <w:t>v.</w:t>
      </w:r>
      <w:r w:rsidRPr="009856BE">
        <w:rPr>
          <w:sz w:val="20"/>
          <w:lang w:val="fr-CA"/>
        </w:rPr>
        <w:t xml:space="preserve"> Hutchinson</w:t>
      </w:r>
      <w:r w:rsidRPr="009856BE">
        <w:rPr>
          <w:b w:val="0"/>
          <w:sz w:val="20"/>
          <w:lang w:val="fr-CA"/>
        </w:rPr>
        <w:t xml:space="preserve"> / </w:t>
      </w:r>
      <w:r w:rsidRPr="00BE78E2">
        <w:rPr>
          <w:sz w:val="20"/>
          <w:lang w:val="fr-CA"/>
        </w:rPr>
        <w:t xml:space="preserve">Répertorié : R. </w:t>
      </w:r>
      <w:r w:rsidRPr="00BE78E2">
        <w:rPr>
          <w:i/>
          <w:sz w:val="20"/>
          <w:lang w:val="fr-CA"/>
        </w:rPr>
        <w:t>c.</w:t>
      </w:r>
      <w:r w:rsidRPr="00BE78E2">
        <w:rPr>
          <w:sz w:val="20"/>
          <w:lang w:val="fr-CA"/>
        </w:rPr>
        <w:t xml:space="preserve"> Hutchinson</w:t>
      </w:r>
    </w:p>
    <w:p w:rsidR="005C6840" w:rsidRPr="003B3977" w:rsidRDefault="005C6840" w:rsidP="005C6840">
      <w:pPr>
        <w:pStyle w:val="SCCSystemYear"/>
        <w:jc w:val="both"/>
        <w:rPr>
          <w:sz w:val="20"/>
        </w:rPr>
      </w:pPr>
      <w:r w:rsidRPr="003B3977">
        <w:rPr>
          <w:sz w:val="20"/>
        </w:rPr>
        <w:t>Neutral citation:  201</w:t>
      </w:r>
      <w:r w:rsidR="00B46D87">
        <w:rPr>
          <w:sz w:val="20"/>
        </w:rPr>
        <w:t>4</w:t>
      </w:r>
      <w:r w:rsidRPr="003B3977">
        <w:rPr>
          <w:sz w:val="20"/>
        </w:rPr>
        <w:t xml:space="preserve"> SCC </w:t>
      </w:r>
      <w:r w:rsidR="007F387B">
        <w:rPr>
          <w:sz w:val="20"/>
        </w:rPr>
        <w:t>1</w:t>
      </w:r>
      <w:r w:rsidR="00B46D87">
        <w:rPr>
          <w:sz w:val="20"/>
        </w:rPr>
        <w:t>9</w:t>
      </w:r>
      <w:r w:rsidRPr="003B3977">
        <w:rPr>
          <w:sz w:val="20"/>
        </w:rPr>
        <w:t xml:space="preserve"> / Référence neutre : 201</w:t>
      </w:r>
      <w:r w:rsidR="00022328">
        <w:rPr>
          <w:sz w:val="20"/>
        </w:rPr>
        <w:t>4</w:t>
      </w:r>
      <w:r w:rsidRPr="003B3977">
        <w:rPr>
          <w:sz w:val="20"/>
        </w:rPr>
        <w:t xml:space="preserve"> CSC </w:t>
      </w:r>
      <w:r w:rsidR="007F387B">
        <w:rPr>
          <w:sz w:val="20"/>
        </w:rPr>
        <w:t>1</w:t>
      </w:r>
      <w:r w:rsidR="00022328">
        <w:rPr>
          <w:sz w:val="20"/>
        </w:rPr>
        <w:t>9</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9856BE">
        <w:rPr>
          <w:rFonts w:cs="Times New Roman"/>
          <w:sz w:val="20"/>
          <w:szCs w:val="20"/>
          <w:lang w:val="fr-CA"/>
        </w:rPr>
        <w:t>Novem</w:t>
      </w:r>
      <w:r w:rsidRPr="003B3977">
        <w:rPr>
          <w:rFonts w:cs="Times New Roman"/>
          <w:sz w:val="20"/>
          <w:szCs w:val="20"/>
          <w:lang w:val="fr-CA"/>
        </w:rPr>
        <w:t>ber 8, 201</w:t>
      </w:r>
      <w:r w:rsidR="009856BE">
        <w:rPr>
          <w:rFonts w:cs="Times New Roman"/>
          <w:sz w:val="20"/>
          <w:szCs w:val="20"/>
          <w:lang w:val="fr-CA"/>
        </w:rPr>
        <w:t>3</w:t>
      </w:r>
      <w:r w:rsidRPr="003B3977">
        <w:rPr>
          <w:rFonts w:cs="Times New Roman"/>
          <w:sz w:val="20"/>
          <w:szCs w:val="20"/>
          <w:lang w:val="fr-CA"/>
        </w:rPr>
        <w:t xml:space="preserve"> / Judgment:  </w:t>
      </w:r>
      <w:r w:rsidR="00022328">
        <w:rPr>
          <w:rFonts w:cs="Times New Roman"/>
          <w:sz w:val="20"/>
          <w:szCs w:val="20"/>
          <w:lang w:val="fr-CA"/>
        </w:rPr>
        <w:t>March</w:t>
      </w:r>
      <w:r w:rsidRPr="003B3977">
        <w:rPr>
          <w:rFonts w:cs="Times New Roman"/>
          <w:sz w:val="20"/>
          <w:szCs w:val="20"/>
          <w:lang w:val="fr-CA"/>
        </w:rPr>
        <w:t xml:space="preserve"> </w:t>
      </w:r>
      <w:r w:rsidR="009856BE">
        <w:rPr>
          <w:rFonts w:cs="Times New Roman"/>
          <w:sz w:val="20"/>
          <w:szCs w:val="20"/>
          <w:lang w:val="fr-CA"/>
        </w:rPr>
        <w:t>7</w:t>
      </w:r>
      <w:r w:rsidRPr="003B3977">
        <w:rPr>
          <w:rFonts w:cs="Times New Roman"/>
          <w:sz w:val="20"/>
          <w:szCs w:val="20"/>
          <w:lang w:val="fr-CA"/>
        </w:rPr>
        <w:t>, 201</w:t>
      </w:r>
      <w:r w:rsidR="00022328">
        <w:rPr>
          <w:rFonts w:cs="Times New Roman"/>
          <w:sz w:val="20"/>
          <w:szCs w:val="20"/>
          <w:lang w:val="fr-CA"/>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8 </w:t>
      </w:r>
      <w:r w:rsidR="009856BE">
        <w:rPr>
          <w:rFonts w:cs="Times New Roman"/>
          <w:sz w:val="20"/>
          <w:szCs w:val="20"/>
          <w:lang w:val="fr-CA"/>
        </w:rPr>
        <w:t>n</w:t>
      </w:r>
      <w:r w:rsidRPr="003B3977">
        <w:rPr>
          <w:rFonts w:cs="Times New Roman"/>
          <w:sz w:val="20"/>
          <w:szCs w:val="20"/>
          <w:lang w:val="fr-CA"/>
        </w:rPr>
        <w:t>o</w:t>
      </w:r>
      <w:r w:rsidR="009856BE">
        <w:rPr>
          <w:rFonts w:cs="Times New Roman"/>
          <w:sz w:val="20"/>
          <w:szCs w:val="20"/>
          <w:lang w:val="fr-CA"/>
        </w:rPr>
        <w:t>vem</w:t>
      </w:r>
      <w:r w:rsidRPr="003B3977">
        <w:rPr>
          <w:rFonts w:cs="Times New Roman"/>
          <w:sz w:val="20"/>
          <w:szCs w:val="20"/>
          <w:lang w:val="fr-CA"/>
        </w:rPr>
        <w:t>bre 201</w:t>
      </w:r>
      <w:r w:rsidR="009856BE">
        <w:rPr>
          <w:rFonts w:cs="Times New Roman"/>
          <w:sz w:val="20"/>
          <w:szCs w:val="20"/>
          <w:lang w:val="fr-CA"/>
        </w:rPr>
        <w:t>3</w:t>
      </w:r>
      <w:r w:rsidRPr="003B3977">
        <w:rPr>
          <w:rFonts w:cs="Times New Roman"/>
          <w:sz w:val="20"/>
          <w:szCs w:val="20"/>
          <w:lang w:val="fr-CA"/>
        </w:rPr>
        <w:t xml:space="preserve"> / Jugement : Le </w:t>
      </w:r>
      <w:r w:rsidR="009856BE">
        <w:rPr>
          <w:rFonts w:cs="Times New Roman"/>
          <w:sz w:val="20"/>
          <w:szCs w:val="20"/>
          <w:lang w:val="fr-CA"/>
        </w:rPr>
        <w:t>7</w:t>
      </w:r>
      <w:r w:rsidR="00022328">
        <w:rPr>
          <w:rFonts w:cs="Times New Roman"/>
          <w:sz w:val="20"/>
          <w:szCs w:val="20"/>
          <w:lang w:val="fr-CA"/>
        </w:rPr>
        <w:t xml:space="preserve"> ma</w:t>
      </w:r>
      <w:r w:rsidRPr="003B3977">
        <w:rPr>
          <w:rFonts w:cs="Times New Roman"/>
          <w:sz w:val="20"/>
          <w:szCs w:val="20"/>
          <w:lang w:val="fr-CA"/>
        </w:rPr>
        <w:t>r</w:t>
      </w:r>
      <w:r w:rsidR="00022328">
        <w:rPr>
          <w:rFonts w:cs="Times New Roman"/>
          <w:sz w:val="20"/>
          <w:szCs w:val="20"/>
          <w:lang w:val="fr-CA"/>
        </w:rPr>
        <w:t>s</w:t>
      </w:r>
      <w:r w:rsidRPr="003B3977">
        <w:rPr>
          <w:rFonts w:cs="Times New Roman"/>
          <w:sz w:val="20"/>
          <w:szCs w:val="20"/>
          <w:lang w:val="fr-CA"/>
        </w:rPr>
        <w:t xml:space="preserve"> 201</w:t>
      </w:r>
      <w:r w:rsidR="00022328">
        <w:rPr>
          <w:rFonts w:cs="Times New Roman"/>
          <w:sz w:val="20"/>
          <w:szCs w:val="20"/>
          <w:lang w:val="fr-CA"/>
        </w:rPr>
        <w:t>4</w:t>
      </w:r>
    </w:p>
    <w:p w:rsidR="005C6840" w:rsidRPr="003B3977" w:rsidRDefault="000C68D7" w:rsidP="005C6840">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856BE" w:rsidRPr="00F34837" w:rsidRDefault="009856BE" w:rsidP="009856BE">
      <w:pPr>
        <w:pStyle w:val="SCCLsocOtherPartySeparator"/>
        <w:spacing w:after="0"/>
        <w:jc w:val="both"/>
        <w:rPr>
          <w:sz w:val="20"/>
        </w:rPr>
      </w:pPr>
      <w:r w:rsidRPr="00F34837">
        <w:rPr>
          <w:sz w:val="20"/>
        </w:rPr>
        <w:t>Present:  McLachlin C.J. and Abella, Rothstein, Cromwell, Moldaver, Karakatsanis and Wagner JJ.</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i/>
          <w:sz w:val="20"/>
        </w:rPr>
      </w:pPr>
      <w:r w:rsidRPr="00F34837">
        <w:rPr>
          <w:sz w:val="20"/>
        </w:rPr>
        <w:tab/>
      </w:r>
      <w:r w:rsidRPr="00F34837">
        <w:rPr>
          <w:i/>
          <w:sz w:val="20"/>
        </w:rPr>
        <w:t>Criminal law — Offences — Sexual assault — Consent — Complainant consenting to sexual activity with male partner unaware that he had sabotaged condom — Whether evidence establishing that there was no voluntary agreement of the complainant to engage in the sexual activity in question or whether complainant’s apparent consent was vitiated by fraud — Criminal Code, R.S.C. 1985, c. C-46, ss. 265(3)(c), 273.1(1).</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sz w:val="20"/>
        </w:rPr>
      </w:pPr>
      <w:r w:rsidRPr="00F34837">
        <w:rPr>
          <w:sz w:val="20"/>
        </w:rPr>
        <w:tab/>
        <w:t>The complainant agreed to sexual activity with her partner, H, insisting that he use a condom in order to prevent conception.  Unknown to her, H had poked holes in the condom and the complainant became pregnant.  H was charged with aggravated sexual assault.  The trial judge found that the complainant had not consented to unprotected sex and convicted H of sexual assault.  On appeal, the majority upheld the conviction on the basis that condom protection was an “essential feature” of the sexual activity, and therefore the complainant did not consent to the “sexual activity in question”.  The dissenting judge held that there was consent to the “sexual activity in question”, but that a new trial was required to determine whether consent was vitiated by fraud.</w:t>
      </w:r>
    </w:p>
    <w:p w:rsidR="009856BE" w:rsidRDefault="009856BE" w:rsidP="009856BE">
      <w:pPr>
        <w:pStyle w:val="SCCNormalDoubleSpacing"/>
        <w:spacing w:line="240" w:lineRule="auto"/>
        <w:rPr>
          <w:i/>
          <w:sz w:val="20"/>
        </w:rPr>
      </w:pPr>
    </w:p>
    <w:p w:rsidR="009856BE" w:rsidRPr="00F34837" w:rsidRDefault="009856BE" w:rsidP="009856BE">
      <w:pPr>
        <w:pStyle w:val="SCCNormalDoubleSpacing"/>
        <w:spacing w:line="240" w:lineRule="auto"/>
        <w:rPr>
          <w:sz w:val="20"/>
        </w:rPr>
      </w:pPr>
      <w:r w:rsidRPr="00F34837">
        <w:rPr>
          <w:i/>
          <w:sz w:val="20"/>
        </w:rPr>
        <w:tab/>
        <w:t>Held</w:t>
      </w:r>
      <w:r w:rsidRPr="00F34837">
        <w:rPr>
          <w:sz w:val="20"/>
        </w:rPr>
        <w:t>:  The appeal should be dismissed.</w:t>
      </w:r>
    </w:p>
    <w:p w:rsidR="009856BE" w:rsidRDefault="009856BE" w:rsidP="009856BE">
      <w:pPr>
        <w:pStyle w:val="SCCNormalDoubleSpacing"/>
        <w:spacing w:line="240" w:lineRule="auto"/>
        <w:rPr>
          <w:i/>
          <w:sz w:val="20"/>
        </w:rPr>
      </w:pPr>
    </w:p>
    <w:p w:rsidR="009856BE" w:rsidRPr="00F34837" w:rsidRDefault="009856BE" w:rsidP="009856BE">
      <w:pPr>
        <w:pStyle w:val="SCCNormalDoubleSpacing"/>
        <w:spacing w:line="240" w:lineRule="auto"/>
        <w:rPr>
          <w:sz w:val="20"/>
        </w:rPr>
      </w:pPr>
      <w:r w:rsidRPr="00F34837">
        <w:rPr>
          <w:i/>
          <w:sz w:val="20"/>
        </w:rPr>
        <w:tab/>
        <w:t>Per</w:t>
      </w:r>
      <w:r w:rsidRPr="00F34837">
        <w:rPr>
          <w:sz w:val="20"/>
        </w:rPr>
        <w:t xml:space="preserve"> </w:t>
      </w:r>
      <w:r w:rsidRPr="00F34837">
        <w:rPr>
          <w:b/>
          <w:sz w:val="20"/>
        </w:rPr>
        <w:t>McLachlin C.J.</w:t>
      </w:r>
      <w:r w:rsidRPr="00F34837">
        <w:rPr>
          <w:sz w:val="20"/>
        </w:rPr>
        <w:t xml:space="preserve"> and Rothstein, </w:t>
      </w:r>
      <w:r w:rsidRPr="00F34837">
        <w:rPr>
          <w:b/>
          <w:sz w:val="20"/>
        </w:rPr>
        <w:t>Cromwell</w:t>
      </w:r>
      <w:r w:rsidRPr="00F34837">
        <w:rPr>
          <w:sz w:val="20"/>
        </w:rPr>
        <w:t xml:space="preserve"> and Wagner JJ.:  The </w:t>
      </w:r>
      <w:r w:rsidRPr="00F34837">
        <w:rPr>
          <w:i/>
          <w:sz w:val="20"/>
        </w:rPr>
        <w:t xml:space="preserve">Criminal Code </w:t>
      </w:r>
      <w:r w:rsidRPr="00F34837">
        <w:rPr>
          <w:sz w:val="20"/>
        </w:rPr>
        <w:t>sets out a two-step process for analyzing consent to sexual activity. The first step is to determine whether the evidence establishes that there was no “voluntary agreement of the complainant to engage in the sexual activity in question” under s. 273.1(1) and it requires proof that the complainant did not voluntarily agree to the touching, its sexual nature, or the identity of the partner. If the complainant consented, or her conduct raises a reasonable doubt about the lack of voluntary agreement to the sexual activity in question, the second step is to consider under ss. 265(3) and 273.1(2) whether there are any circumstances that may vitiate the complainant’s ostensible consent or participation.  In this case, the main issue is whether condom sabotage resulted in there being no “voluntary agreement by the complainant to engage in the sexual activity in question” under s. 273.1(1)</w:t>
      </w:r>
      <w:r w:rsidRPr="00F34837">
        <w:rPr>
          <w:i/>
          <w:sz w:val="20"/>
        </w:rPr>
        <w:t xml:space="preserve"> </w:t>
      </w:r>
      <w:r w:rsidRPr="00F34837">
        <w:rPr>
          <w:sz w:val="20"/>
        </w:rPr>
        <w:t>or whether the condom sabotage constituted fraud under s. 265(3)(c), with the result that no consent was obtained. Resolving this issue requires the Court to determine the meaning of the “sexual activity in question” in s. 273.1(1)</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sz w:val="20"/>
        </w:rPr>
      </w:pPr>
      <w:r w:rsidRPr="00F34837">
        <w:rPr>
          <w:sz w:val="20"/>
        </w:rPr>
        <w:tab/>
        <w:t xml:space="preserve">There are essentially two approaches to determining the meaning of what constitutes voluntary agreement to the sexual activity in question and the role of mistake or deception in determining whether such agreement existed.  The first approach defines the “sexual activity in question” as extending beyond the basic sexual activity the complainant thought she was consenting to at the time to conditions and qualities of the act or risks and consequences flowing from it, provided these conditions are “essential features” of the sexual activity or go to “how” the physical touching was carried out.  The second approach defines “the sexual activity in question” more narrowly as the basic physical act agreed to at the time, its sexual nature, and the identity of the partner.  If the complainant subjectively agreed to the partner’s touching and its sexual nature, voluntary agreement is established under s. 273.1(1).  That voluntary agreement, however, may not be legally effective. </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sz w:val="20"/>
        </w:rPr>
      </w:pPr>
      <w:r w:rsidRPr="00F34837">
        <w:rPr>
          <w:sz w:val="20"/>
        </w:rPr>
        <w:tab/>
        <w:t>The primary tools of statutory construction including the plain words of the provisions, the scheme of the provisions and the legislative history support a narrow interpretation of the basic definition of consent in s. 273.1(1). The jurisprudence and the provisions also support this interpretation. This Court has interpreted the fraud provision in s. 265(3)(</w:t>
      </w:r>
      <w:r w:rsidRPr="00F34837">
        <w:rPr>
          <w:i/>
          <w:sz w:val="20"/>
        </w:rPr>
        <w:t>c</w:t>
      </w:r>
      <w:r w:rsidRPr="00F34837">
        <w:rPr>
          <w:sz w:val="20"/>
        </w:rPr>
        <w:t xml:space="preserve">) of the </w:t>
      </w:r>
      <w:r w:rsidRPr="00F34837">
        <w:rPr>
          <w:i/>
          <w:sz w:val="20"/>
        </w:rPr>
        <w:t>Criminal Code</w:t>
      </w:r>
      <w:r w:rsidRPr="00F34837">
        <w:rPr>
          <w:sz w:val="20"/>
        </w:rPr>
        <w:t xml:space="preserve"> in the context of HIV non</w:t>
      </w:r>
      <w:r w:rsidRPr="00F34837">
        <w:rPr>
          <w:sz w:val="20"/>
        </w:rPr>
        <w:noBreakHyphen/>
        <w:t xml:space="preserve">disclosure cases: </w:t>
      </w:r>
      <w:r w:rsidRPr="00F34837">
        <w:rPr>
          <w:i/>
          <w:sz w:val="20"/>
        </w:rPr>
        <w:t>Cuerrier</w:t>
      </w:r>
      <w:r w:rsidRPr="00F34837">
        <w:rPr>
          <w:sz w:val="20"/>
        </w:rPr>
        <w:t xml:space="preserve">, </w:t>
      </w:r>
      <w:r w:rsidRPr="00F34837">
        <w:rPr>
          <w:i/>
          <w:sz w:val="20"/>
        </w:rPr>
        <w:t>Mabior</w:t>
      </w:r>
      <w:r w:rsidRPr="00F34837">
        <w:rPr>
          <w:sz w:val="20"/>
        </w:rPr>
        <w:t xml:space="preserve">.  The adoption of the “essential features”/“how the act was carried out” approach would be inconsistent with the approach adopted in </w:t>
      </w:r>
      <w:r w:rsidRPr="00F34837">
        <w:rPr>
          <w:i/>
          <w:sz w:val="20"/>
        </w:rPr>
        <w:t>Cuerrier</w:t>
      </w:r>
      <w:r w:rsidRPr="00F34837">
        <w:rPr>
          <w:sz w:val="20"/>
        </w:rPr>
        <w:t xml:space="preserve"> and </w:t>
      </w:r>
      <w:r w:rsidRPr="00F34837">
        <w:rPr>
          <w:i/>
          <w:sz w:val="20"/>
        </w:rPr>
        <w:t>Mabior</w:t>
      </w:r>
      <w:r w:rsidRPr="00F34837">
        <w:rPr>
          <w:sz w:val="20"/>
        </w:rPr>
        <w:t xml:space="preserve"> and would put the outcome in those cases in question.  Under the “essential features”/“how the act </w:t>
      </w:r>
      <w:r w:rsidRPr="00F34837">
        <w:rPr>
          <w:sz w:val="20"/>
        </w:rPr>
        <w:lastRenderedPageBreak/>
        <w:t xml:space="preserve">was carried out” approach, mistakes — they need not be deceptions — about conditions and qualities of the physical act will result in a finding of no consent under s. 273.1(1) even in the absence of risk of harm.  For example, there would be no consent found under s. 273.1(1) in cases involving deception about HIV status, even where the accused had a low viral load and condom protection was used.  Finally, adopting the “essential features” or “how the physical act was carried out” approach would re-introduce a vague and unclear test for consent, and could also criminalize conduct that lacks the necessary reprehensible character, casting the net of the criminal law too broadly. </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sz w:val="20"/>
        </w:rPr>
      </w:pPr>
      <w:r w:rsidRPr="00F34837">
        <w:rPr>
          <w:sz w:val="20"/>
        </w:rPr>
        <w:tab/>
        <w:t xml:space="preserve">Properly interpreted, voluntary agreement to the sexual activity in question in s. 273.1(1) means that the complainant must subjectively agree to the </w:t>
      </w:r>
      <w:r w:rsidRPr="00F34837">
        <w:rPr>
          <w:i/>
          <w:sz w:val="20"/>
        </w:rPr>
        <w:t xml:space="preserve">specific </w:t>
      </w:r>
      <w:r w:rsidRPr="00F34837">
        <w:rPr>
          <w:sz w:val="20"/>
        </w:rPr>
        <w:t>physical act itself, its sexual nature and the specific identity of the partner. The “sexual activity in question” does not include conditions or qualities of the physical act, such as birth control measures or the presence of sexually transmitted diseases.  Here, the “sexual activity in question” was sexual intercourse and the complainant voluntarily agreed to it.  On the question of whether her agreement to the “sexual activity in question” was vitiated by fraud, the dishonesty is evident and admitted.  The only remaining issue is whether there was a sufficient deprivation to establish fraud.  Where a complainant has chosen not to become pregnant, deceptions that expose her to an increased risk of becoming pregnant may constitute a sufficiently serious deprivation to vitiate consent under s. 265(3)(</w:t>
      </w:r>
      <w:r w:rsidRPr="00F34837">
        <w:rPr>
          <w:i/>
          <w:sz w:val="20"/>
        </w:rPr>
        <w:t>c</w:t>
      </w:r>
      <w:r w:rsidRPr="00F34837">
        <w:rPr>
          <w:sz w:val="20"/>
        </w:rPr>
        <w:t>).  This application of “fraud” under s. 265(3)(</w:t>
      </w:r>
      <w:r w:rsidRPr="00F34837">
        <w:rPr>
          <w:i/>
          <w:sz w:val="20"/>
        </w:rPr>
        <w:t>c</w:t>
      </w:r>
      <w:r w:rsidRPr="00F34837">
        <w:rPr>
          <w:sz w:val="20"/>
        </w:rPr>
        <w:t>) is consistent with</w:t>
      </w:r>
      <w:r w:rsidRPr="00F34837">
        <w:rPr>
          <w:i/>
          <w:sz w:val="20"/>
        </w:rPr>
        <w:t xml:space="preserve"> Charter</w:t>
      </w:r>
      <w:r w:rsidRPr="00F34837">
        <w:rPr>
          <w:sz w:val="20"/>
        </w:rPr>
        <w:t xml:space="preserve"> values of equality and autonomy, while recognizing that not every deception that induces consent should be criminalized. In this case, there was no consent by reason of fraud, pursuant to s. 265(3)(</w:t>
      </w:r>
      <w:r w:rsidRPr="00F34837">
        <w:rPr>
          <w:i/>
          <w:sz w:val="20"/>
        </w:rPr>
        <w:t>c</w:t>
      </w:r>
      <w:r w:rsidRPr="00F34837">
        <w:rPr>
          <w:sz w:val="20"/>
        </w:rPr>
        <w:t>).</w:t>
      </w:r>
    </w:p>
    <w:p w:rsidR="009856BE" w:rsidRDefault="009856BE" w:rsidP="009856BE">
      <w:pPr>
        <w:pStyle w:val="SCCNormalDoubleSpacing"/>
        <w:spacing w:line="240" w:lineRule="auto"/>
        <w:rPr>
          <w:i/>
          <w:sz w:val="20"/>
        </w:rPr>
      </w:pPr>
    </w:p>
    <w:p w:rsidR="009856BE" w:rsidRPr="00F34837" w:rsidRDefault="009856BE" w:rsidP="009856BE">
      <w:pPr>
        <w:pStyle w:val="SCCNormalDoubleSpacing"/>
        <w:spacing w:line="240" w:lineRule="auto"/>
        <w:rPr>
          <w:sz w:val="20"/>
        </w:rPr>
      </w:pPr>
      <w:r w:rsidRPr="00F34837">
        <w:rPr>
          <w:i/>
          <w:sz w:val="20"/>
        </w:rPr>
        <w:tab/>
        <w:t>Per</w:t>
      </w:r>
      <w:r w:rsidRPr="00F34837">
        <w:rPr>
          <w:sz w:val="20"/>
        </w:rPr>
        <w:t xml:space="preserve"> </w:t>
      </w:r>
      <w:r w:rsidRPr="00F34837">
        <w:rPr>
          <w:b/>
          <w:sz w:val="20"/>
        </w:rPr>
        <w:t>Abella</w:t>
      </w:r>
      <w:r w:rsidRPr="00F34837">
        <w:rPr>
          <w:sz w:val="20"/>
        </w:rPr>
        <w:t xml:space="preserve">, </w:t>
      </w:r>
      <w:r w:rsidRPr="00F34837">
        <w:rPr>
          <w:b/>
          <w:sz w:val="20"/>
        </w:rPr>
        <w:t>Moldaver</w:t>
      </w:r>
      <w:r w:rsidRPr="00F34837">
        <w:rPr>
          <w:sz w:val="20"/>
        </w:rPr>
        <w:t xml:space="preserve"> and Karakatsanis JJ.:  At its core, this case concerns the right recognized in </w:t>
      </w:r>
      <w:r w:rsidRPr="00F34837">
        <w:rPr>
          <w:i/>
          <w:sz w:val="20"/>
        </w:rPr>
        <w:t>R. v. Ewanchuk</w:t>
      </w:r>
      <w:r w:rsidRPr="00F34837">
        <w:rPr>
          <w:sz w:val="20"/>
        </w:rPr>
        <w:t>, [1999] 1 S.C.R. 330,</w:t>
      </w:r>
      <w:r w:rsidRPr="00F34837">
        <w:rPr>
          <w:i/>
          <w:sz w:val="20"/>
        </w:rPr>
        <w:t xml:space="preserve"> </w:t>
      </w:r>
      <w:r w:rsidRPr="00F34837">
        <w:rPr>
          <w:sz w:val="20"/>
        </w:rPr>
        <w:t xml:space="preserve">to determine how sexual activity will take place.  Society’s commitment to protecting a person’s autonomy and dignity requires that individuals have the right to determine </w:t>
      </w:r>
      <w:r w:rsidRPr="00F34837">
        <w:rPr>
          <w:i/>
          <w:sz w:val="20"/>
        </w:rPr>
        <w:t>who</w:t>
      </w:r>
      <w:r w:rsidRPr="00F34837">
        <w:rPr>
          <w:sz w:val="20"/>
        </w:rPr>
        <w:t xml:space="preserve"> touches their body, and </w:t>
      </w:r>
      <w:r w:rsidRPr="00F34837">
        <w:rPr>
          <w:i/>
          <w:sz w:val="20"/>
        </w:rPr>
        <w:t>how</w:t>
      </w:r>
      <w:r w:rsidRPr="00F34837">
        <w:rPr>
          <w:sz w:val="20"/>
        </w:rPr>
        <w:t xml:space="preserve"> the touching will occur.  This protection underlies the definition of consent set out in s. 273.1(1) as “the voluntary agreement of the complainant to engage in the sexual activity in question”.  Consent to the “sexual activity in question” necessarily means the complainant’s voluntary agreement both to engage in touching of a sexual nature and to the manner in which that touching is carried out.  The starting point for the analysis of consent under the </w:t>
      </w:r>
      <w:r w:rsidRPr="00F34837">
        <w:rPr>
          <w:i/>
          <w:sz w:val="20"/>
        </w:rPr>
        <w:t>actus reus</w:t>
      </w:r>
      <w:r w:rsidRPr="00F34837">
        <w:rPr>
          <w:sz w:val="20"/>
        </w:rPr>
        <w:t xml:space="preserve"> of sexual assault is s. 273.1(1).  When a complainant does not voluntarily agree to the sexual activity which occurred, consent does not exist within the meaning of s. 273.1(1), and the inquiry for the purposes of the </w:t>
      </w:r>
      <w:r w:rsidRPr="00F34837">
        <w:rPr>
          <w:i/>
          <w:sz w:val="20"/>
        </w:rPr>
        <w:t>actus reus</w:t>
      </w:r>
      <w:r w:rsidRPr="00F34837">
        <w:rPr>
          <w:sz w:val="20"/>
        </w:rPr>
        <w:t xml:space="preserve"> of sexual assault is complete.  If there is </w:t>
      </w:r>
      <w:r w:rsidRPr="00F34837">
        <w:rPr>
          <w:i/>
          <w:sz w:val="20"/>
        </w:rPr>
        <w:t>no</w:t>
      </w:r>
      <w:r w:rsidRPr="00F34837">
        <w:rPr>
          <w:sz w:val="20"/>
        </w:rPr>
        <w:t xml:space="preserve"> consent </w:t>
      </w:r>
      <w:r w:rsidRPr="00F34837">
        <w:rPr>
          <w:i/>
          <w:sz w:val="20"/>
        </w:rPr>
        <w:t>ab initio</w:t>
      </w:r>
      <w:r w:rsidRPr="00F34837">
        <w:rPr>
          <w:sz w:val="20"/>
        </w:rPr>
        <w:t>, it is pointless to inquire whether there was fraud under s. 265(3)(</w:t>
      </w:r>
      <w:r w:rsidRPr="00F34837">
        <w:rPr>
          <w:i/>
          <w:sz w:val="20"/>
        </w:rPr>
        <w:t>c</w:t>
      </w:r>
      <w:r w:rsidRPr="00F34837">
        <w:rPr>
          <w:sz w:val="20"/>
        </w:rPr>
        <w:t xml:space="preserve">) which would have vitiated the complainant’s consent.  In other words, without voluntary agreement as to the “how” — the manner in which the sexual activity in question occurred — there is no consent within the meaning of s. 273.1(1). </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sz w:val="20"/>
        </w:rPr>
      </w:pPr>
      <w:r w:rsidRPr="00F34837">
        <w:rPr>
          <w:sz w:val="20"/>
        </w:rPr>
        <w:tab/>
        <w:t>Unlike under s. 265(3)(</w:t>
      </w:r>
      <w:r w:rsidRPr="00F34837">
        <w:rPr>
          <w:i/>
          <w:sz w:val="20"/>
        </w:rPr>
        <w:t>c</w:t>
      </w:r>
      <w:r w:rsidRPr="00F34837">
        <w:rPr>
          <w:sz w:val="20"/>
        </w:rPr>
        <w:t xml:space="preserve">), </w:t>
      </w:r>
      <w:r w:rsidRPr="00F34837">
        <w:rPr>
          <w:sz w:val="20"/>
          <w:lang w:val="en-US"/>
        </w:rPr>
        <w:t xml:space="preserve">which requires both a dishonest act </w:t>
      </w:r>
      <w:r w:rsidRPr="00F34837">
        <w:rPr>
          <w:i/>
          <w:sz w:val="20"/>
          <w:lang w:val="en-US"/>
        </w:rPr>
        <w:t>and</w:t>
      </w:r>
      <w:r w:rsidRPr="00F34837">
        <w:rPr>
          <w:sz w:val="20"/>
          <w:lang w:val="en-US"/>
        </w:rPr>
        <w:t xml:space="preserve"> a deprivation, </w:t>
      </w:r>
      <w:r w:rsidRPr="00F34837">
        <w:rPr>
          <w:sz w:val="20"/>
        </w:rPr>
        <w:t>consent under s. 273.1(1) has never required an analysis of the risks or consequences caused by unwanted sexual touching.  It is the unwanted nature of non-consensual sexual activity that violates the complainant’s sexual integrity and gives rise to culpability under the criminal law, not just the risk of further harm that the sexual touching may create.  Requiring an analysis of the risks or consequences of non-consensual touching by applying s. 265(3)(</w:t>
      </w:r>
      <w:r w:rsidRPr="00F34837">
        <w:rPr>
          <w:i/>
          <w:sz w:val="20"/>
        </w:rPr>
        <w:t>c</w:t>
      </w:r>
      <w:r w:rsidRPr="00F34837">
        <w:rPr>
          <w:sz w:val="20"/>
        </w:rPr>
        <w:t xml:space="preserve">) whenever deception is later discovered, adds a barrier to the simple ability to demonstrate whether the activity which occurred was agreed to </w:t>
      </w:r>
      <w:r w:rsidRPr="00F34837">
        <w:rPr>
          <w:i/>
          <w:sz w:val="20"/>
        </w:rPr>
        <w:t>when it occurred</w:t>
      </w:r>
      <w:r w:rsidRPr="00F34837">
        <w:rPr>
          <w:sz w:val="20"/>
        </w:rPr>
        <w:t>.  It thereby undermines the values of personal autonomy and physical integrity sought to be protected by making sexual assault an offence.</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sz w:val="20"/>
        </w:rPr>
      </w:pPr>
      <w:r w:rsidRPr="00F34837">
        <w:rPr>
          <w:sz w:val="20"/>
        </w:rPr>
        <w:tab/>
        <w:t>It does not follow that because a condom is a form of birth control, it is not also part of the sexual activity.  Removing the use of a condom from the meaning of sexual activity in s. 273.1(1) because the condom may have been intended for contraceptive purposes, means that an individual has no right to require the use of a condom during intercourse where pregnancy is not at issue.  All individuals must have an equal right to determine how they are touched, regardless of gender, sexual orientation, reproductive capacity, or the type of sexual activity they choose to engage in.  By any definition, when someone uses a condom, it is part of the sexual activity.  It is therefore part of what is — or is not — consented to.  When individuals agree to sexual activity with a condom, they mean an intact condom.  They are</w:t>
      </w:r>
      <w:r w:rsidRPr="00F34837">
        <w:rPr>
          <w:b/>
          <w:sz w:val="20"/>
        </w:rPr>
        <w:t xml:space="preserve"> </w:t>
      </w:r>
      <w:r w:rsidRPr="00F34837">
        <w:rPr>
          <w:sz w:val="20"/>
        </w:rPr>
        <w:t>not merely agreeing to a sexual activity, they are</w:t>
      </w:r>
      <w:r w:rsidRPr="00F34837">
        <w:rPr>
          <w:b/>
          <w:sz w:val="20"/>
        </w:rPr>
        <w:t xml:space="preserve"> </w:t>
      </w:r>
      <w:r w:rsidRPr="00F34837">
        <w:rPr>
          <w:sz w:val="20"/>
        </w:rPr>
        <w:t xml:space="preserve">agreeing to how it should take place.  That is what s. 273.1(1) was intended to protect. </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sz w:val="20"/>
        </w:rPr>
      </w:pPr>
      <w:r w:rsidRPr="00F34837">
        <w:rPr>
          <w:sz w:val="20"/>
        </w:rPr>
        <w:tab/>
        <w:t xml:space="preserve">A person consents to </w:t>
      </w:r>
      <w:r w:rsidRPr="00F34837">
        <w:rPr>
          <w:i/>
          <w:sz w:val="20"/>
        </w:rPr>
        <w:t xml:space="preserve">how </w:t>
      </w:r>
      <w:r w:rsidRPr="00F34837">
        <w:rPr>
          <w:sz w:val="20"/>
        </w:rPr>
        <w:t>she will be touched, and</w:t>
      </w:r>
      <w:r w:rsidRPr="00F34837">
        <w:rPr>
          <w:b/>
          <w:sz w:val="20"/>
        </w:rPr>
        <w:t xml:space="preserve"> </w:t>
      </w:r>
      <w:r w:rsidRPr="00F34837">
        <w:rPr>
          <w:sz w:val="20"/>
        </w:rPr>
        <w:t xml:space="preserve">she is entitled to decide what sexual activity she agrees to engage in for whatever reason she wishes. The fact that some of the consequences of her motives are more serious than others, such as pregnancy, does not in the slightest undermine her right to decide how the sexual activity she chooses to engage in is carried out.  It is neither her partner’s business nor the state’s.  The complainant’s voluntary agreement to </w:t>
      </w:r>
      <w:r w:rsidRPr="00F34837">
        <w:rPr>
          <w:sz w:val="20"/>
        </w:rPr>
        <w:lastRenderedPageBreak/>
        <w:t xml:space="preserve">the manner in which the sexual touching is carried out, requires the complainant’s consent to where on her body she was touched and with what.  It does not, however, require consent to the consequences of that touching, or the characteristics of the sexual partner, such as age, wealth, marital status, or health.  These consequences or characteristics, while undoubtedly potentially significant, are not part of the actual physical activity that is agreed to.  </w:t>
      </w:r>
    </w:p>
    <w:p w:rsidR="009856BE" w:rsidRDefault="009856BE" w:rsidP="009856BE">
      <w:pPr>
        <w:pStyle w:val="SCCNormalDoubleSpacing"/>
        <w:spacing w:line="240" w:lineRule="auto"/>
        <w:rPr>
          <w:sz w:val="20"/>
        </w:rPr>
      </w:pPr>
    </w:p>
    <w:p w:rsidR="009856BE" w:rsidRDefault="009856BE" w:rsidP="009856BE">
      <w:pPr>
        <w:pStyle w:val="SCCNormalDoubleSpacing"/>
        <w:spacing w:line="240" w:lineRule="auto"/>
        <w:rPr>
          <w:sz w:val="20"/>
        </w:rPr>
      </w:pPr>
      <w:r w:rsidRPr="00F34837">
        <w:rPr>
          <w:sz w:val="20"/>
        </w:rPr>
        <w:tab/>
        <w:t>In this case, the question is not whether consent was vitiated by fraud.  It is whether there was consent to the sexual activity in the first place.  The complainant agreed to engage in sexual activity in a certain manner, that is, sexual intercourse with an intact condom.  H deliberately sabotaged the condom without her knowledge or agreement.  The fact that she only learned of the deliberate sabotaging after the sexual activity took place, is of no relevance.  What is relevant is what sexual activity she agreed to engage in with H and whether he stuck to the bargain.  In this case, he did not.  Since the complainant did not agree to how she was touched at the time it occurred, consent within the meaning of s. 273.1(1) did not exist.</w:t>
      </w:r>
    </w:p>
    <w:p w:rsidR="009856BE" w:rsidRDefault="009856BE" w:rsidP="009856BE">
      <w:pPr>
        <w:pStyle w:val="SCCNormalDoubleSpacing"/>
        <w:spacing w:line="240" w:lineRule="auto"/>
        <w:rPr>
          <w:sz w:val="20"/>
        </w:rPr>
      </w:pPr>
    </w:p>
    <w:p w:rsidR="009856BE" w:rsidRPr="00F34837" w:rsidRDefault="009856BE" w:rsidP="009856BE">
      <w:pPr>
        <w:pStyle w:val="SCCNormalDoubleSpacing"/>
        <w:spacing w:line="240" w:lineRule="auto"/>
        <w:rPr>
          <w:sz w:val="20"/>
        </w:rPr>
      </w:pPr>
      <w:r w:rsidRPr="00F34837">
        <w:rPr>
          <w:sz w:val="20"/>
        </w:rPr>
        <w:tab/>
        <w:t>APPEAL from a judgment of the Nova Scotia Court of Appeal (MacDonald C.J.N.S. and Oland, Hamilton, Fichaud and Farrar JJ.A.), 2013 NSCA 1, 325 N.S.R. (2d) 95, 1031 A.P.R. 95, 296 C.C.C. (3d) 22, 1 C.R. (7th) 1, 274 C.R.R. (2d) 254, [2013] N.S.J. No. 1 (QL), 2013 CarswellNS 22, affirming the conviction for sexual assault entered by Coughlan J., 2011 NSSC 361, 311 N.S.R. (2d) 1, 985 A.P.R. 1, [2011] N.S.J. No. 723 (QL), 2011 CarswellNS 935.  Appeal dismissed.</w:t>
      </w:r>
    </w:p>
    <w:p w:rsidR="009856BE" w:rsidRDefault="009856BE" w:rsidP="009856BE">
      <w:pPr>
        <w:pStyle w:val="SCCNormalDoubleSpacing"/>
        <w:spacing w:line="240" w:lineRule="auto"/>
        <w:rPr>
          <w:i/>
          <w:sz w:val="20"/>
        </w:rPr>
      </w:pPr>
    </w:p>
    <w:p w:rsidR="009856BE" w:rsidRPr="00F34837" w:rsidRDefault="009856BE" w:rsidP="009856BE">
      <w:pPr>
        <w:pStyle w:val="SCCNormalDoubleSpacing"/>
        <w:spacing w:line="240" w:lineRule="auto"/>
        <w:rPr>
          <w:sz w:val="20"/>
        </w:rPr>
      </w:pPr>
      <w:r w:rsidRPr="00F34837">
        <w:rPr>
          <w:i/>
          <w:sz w:val="20"/>
        </w:rPr>
        <w:tab/>
        <w:t>Luke A. Craggs</w:t>
      </w:r>
      <w:r w:rsidRPr="00F34837">
        <w:rPr>
          <w:sz w:val="20"/>
        </w:rPr>
        <w:t>, for the appellant.</w:t>
      </w:r>
    </w:p>
    <w:p w:rsidR="009856BE" w:rsidRDefault="009856BE" w:rsidP="009856BE">
      <w:pPr>
        <w:pStyle w:val="SCCNormalDoubleSpacing"/>
        <w:spacing w:line="240" w:lineRule="auto"/>
        <w:rPr>
          <w:i/>
          <w:sz w:val="20"/>
        </w:rPr>
      </w:pPr>
    </w:p>
    <w:p w:rsidR="009856BE" w:rsidRPr="00F34837" w:rsidRDefault="009856BE" w:rsidP="009856BE">
      <w:pPr>
        <w:pStyle w:val="SCCNormalDoubleSpacing"/>
        <w:spacing w:line="240" w:lineRule="auto"/>
        <w:rPr>
          <w:sz w:val="20"/>
        </w:rPr>
      </w:pPr>
      <w:r w:rsidRPr="00F34837">
        <w:rPr>
          <w:i/>
          <w:sz w:val="20"/>
        </w:rPr>
        <w:tab/>
        <w:t>James A. Gumpert</w:t>
      </w:r>
      <w:r w:rsidRPr="00F34837">
        <w:rPr>
          <w:sz w:val="20"/>
        </w:rPr>
        <w:t xml:space="preserve">, </w:t>
      </w:r>
      <w:r w:rsidRPr="00F34837">
        <w:rPr>
          <w:i/>
          <w:sz w:val="20"/>
        </w:rPr>
        <w:t>Q.C.</w:t>
      </w:r>
      <w:r w:rsidRPr="00F34837">
        <w:rPr>
          <w:sz w:val="20"/>
        </w:rPr>
        <w:t>,</w:t>
      </w:r>
      <w:r w:rsidRPr="00F34837">
        <w:rPr>
          <w:i/>
          <w:sz w:val="20"/>
        </w:rPr>
        <w:t xml:space="preserve"> </w:t>
      </w:r>
      <w:r w:rsidRPr="00F34837">
        <w:rPr>
          <w:sz w:val="20"/>
        </w:rPr>
        <w:t xml:space="preserve">and </w:t>
      </w:r>
      <w:r w:rsidRPr="00F34837">
        <w:rPr>
          <w:i/>
          <w:sz w:val="20"/>
        </w:rPr>
        <w:t>Timothy S. O’Leary</w:t>
      </w:r>
      <w:r w:rsidRPr="00F34837">
        <w:rPr>
          <w:sz w:val="20"/>
        </w:rPr>
        <w:t>, for the respondent.</w:t>
      </w:r>
    </w:p>
    <w:p w:rsidR="009856BE" w:rsidRDefault="009856BE" w:rsidP="009856BE">
      <w:pPr>
        <w:pStyle w:val="SCCNormalDoubleSpacing"/>
        <w:spacing w:line="240" w:lineRule="auto"/>
        <w:rPr>
          <w:i/>
          <w:sz w:val="20"/>
        </w:rPr>
      </w:pPr>
    </w:p>
    <w:p w:rsidR="009856BE" w:rsidRPr="00F34837" w:rsidRDefault="009856BE" w:rsidP="009856BE">
      <w:pPr>
        <w:pStyle w:val="SCCNormalDoubleSpacing"/>
        <w:spacing w:line="240" w:lineRule="auto"/>
        <w:rPr>
          <w:sz w:val="20"/>
        </w:rPr>
      </w:pPr>
      <w:r w:rsidRPr="00F34837">
        <w:rPr>
          <w:i/>
          <w:sz w:val="20"/>
        </w:rPr>
        <w:tab/>
        <w:t>Jonathan A. Shime</w:t>
      </w:r>
      <w:r w:rsidRPr="00F34837">
        <w:rPr>
          <w:sz w:val="20"/>
        </w:rPr>
        <w:t xml:space="preserve">, </w:t>
      </w:r>
      <w:r w:rsidRPr="00F34837">
        <w:rPr>
          <w:i/>
          <w:sz w:val="20"/>
        </w:rPr>
        <w:t>Wayne Cunningham</w:t>
      </w:r>
      <w:r w:rsidRPr="00F34837">
        <w:rPr>
          <w:sz w:val="20"/>
        </w:rPr>
        <w:t xml:space="preserve"> and </w:t>
      </w:r>
      <w:r w:rsidRPr="00F34837">
        <w:rPr>
          <w:i/>
          <w:sz w:val="20"/>
        </w:rPr>
        <w:t>Ryan Peck</w:t>
      </w:r>
      <w:r w:rsidRPr="00F34837">
        <w:rPr>
          <w:sz w:val="20"/>
        </w:rPr>
        <w:t>, for the interveners.</w:t>
      </w:r>
    </w:p>
    <w:p w:rsidR="009856BE" w:rsidRDefault="009856BE" w:rsidP="009856BE">
      <w:pPr>
        <w:pStyle w:val="SCCLawFirm"/>
        <w:spacing w:line="240" w:lineRule="auto"/>
        <w:rPr>
          <w:sz w:val="20"/>
        </w:rPr>
      </w:pPr>
    </w:p>
    <w:p w:rsidR="009856BE" w:rsidRPr="00F34837" w:rsidRDefault="009856BE" w:rsidP="009856BE">
      <w:pPr>
        <w:pStyle w:val="SCCLawFirm"/>
        <w:spacing w:line="240" w:lineRule="auto"/>
        <w:rPr>
          <w:sz w:val="20"/>
        </w:rPr>
      </w:pPr>
      <w:r w:rsidRPr="00F34837">
        <w:rPr>
          <w:sz w:val="20"/>
        </w:rPr>
        <w:tab/>
        <w:t>Solicitors for the appellant:  Burke Thompson, Halifax.</w:t>
      </w:r>
    </w:p>
    <w:p w:rsidR="009856BE" w:rsidRDefault="009856BE" w:rsidP="009856BE">
      <w:pPr>
        <w:pStyle w:val="SCCLawFirm"/>
        <w:spacing w:line="240" w:lineRule="auto"/>
        <w:rPr>
          <w:sz w:val="20"/>
        </w:rPr>
      </w:pPr>
    </w:p>
    <w:p w:rsidR="009856BE" w:rsidRPr="00F34837" w:rsidRDefault="009856BE" w:rsidP="009856BE">
      <w:pPr>
        <w:pStyle w:val="SCCLawFirm"/>
        <w:spacing w:line="240" w:lineRule="auto"/>
        <w:rPr>
          <w:sz w:val="20"/>
        </w:rPr>
      </w:pPr>
      <w:r w:rsidRPr="00F34837">
        <w:rPr>
          <w:sz w:val="20"/>
        </w:rPr>
        <w:tab/>
        <w:t>Solicitor for the respondent:  Public Prosecution Service of Nova Scotia, Halifax.</w:t>
      </w:r>
    </w:p>
    <w:p w:rsidR="009856BE" w:rsidRDefault="009856BE" w:rsidP="009856BE">
      <w:pPr>
        <w:pStyle w:val="SCCLawFirm"/>
        <w:spacing w:line="240" w:lineRule="auto"/>
        <w:rPr>
          <w:sz w:val="20"/>
        </w:rPr>
      </w:pPr>
    </w:p>
    <w:p w:rsidR="009856BE" w:rsidRDefault="009856BE" w:rsidP="009856BE">
      <w:pPr>
        <w:pStyle w:val="SCCLawFirm"/>
        <w:spacing w:line="240" w:lineRule="auto"/>
        <w:rPr>
          <w:sz w:val="20"/>
        </w:rPr>
      </w:pPr>
      <w:r w:rsidRPr="00F34837">
        <w:rPr>
          <w:sz w:val="20"/>
        </w:rPr>
        <w:tab/>
        <w:t>Solicitors for the interveners:  Cooper, Sandler, Shime &amp; Bergman, Toronto; HIV &amp; AIDS Legal Clinic Ontario, Toronto.</w:t>
      </w:r>
    </w:p>
    <w:p w:rsidR="003B3977" w:rsidRPr="009856BE" w:rsidRDefault="003B3977" w:rsidP="005C6840">
      <w:pPr>
        <w:rPr>
          <w:rFonts w:cs="Times New Roman"/>
          <w:sz w:val="20"/>
          <w:szCs w:val="20"/>
        </w:rPr>
      </w:pPr>
    </w:p>
    <w:p w:rsidR="00603FD6" w:rsidRDefault="000C68D7" w:rsidP="005C6840">
      <w:pPr>
        <w:rPr>
          <w:rFonts w:cs="Times New Roman"/>
          <w:sz w:val="20"/>
          <w:szCs w:val="20"/>
          <w:lang w:val="fr-CA"/>
        </w:rPr>
      </w:pPr>
      <w:r>
        <w:rPr>
          <w:rFonts w:cs="Times New Roman"/>
          <w:sz w:val="20"/>
          <w:szCs w:val="20"/>
          <w:lang w:val="fr-CA"/>
        </w:rPr>
        <w:pict>
          <v:rect id="_x0000_i1064" style="width:144.3pt;height:1pt" o:hrpct="300" o:hralign="center" o:hrstd="t" o:hrnoshade="t" o:hr="t" fillcolor="black [3213]" stroked="f"/>
        </w:pict>
      </w:r>
    </w:p>
    <w:p w:rsidR="00603FD6" w:rsidRDefault="00603FD6" w:rsidP="005C6840">
      <w:pPr>
        <w:rPr>
          <w:rFonts w:cs="Times New Roman"/>
          <w:sz w:val="20"/>
          <w:szCs w:val="20"/>
          <w:lang w:val="fr-CA"/>
        </w:rPr>
      </w:pPr>
    </w:p>
    <w:p w:rsidR="00603FD6" w:rsidRPr="00BE78E2" w:rsidRDefault="00603FD6" w:rsidP="00603FD6">
      <w:pPr>
        <w:pStyle w:val="SCCLsocOtherPartySeparator"/>
        <w:spacing w:after="0"/>
        <w:jc w:val="both"/>
        <w:rPr>
          <w:sz w:val="20"/>
          <w:lang w:val="fr-CA"/>
        </w:rPr>
      </w:pPr>
      <w:r w:rsidRPr="00BE78E2">
        <w:rPr>
          <w:sz w:val="20"/>
          <w:lang w:val="fr-CA"/>
        </w:rPr>
        <w:t>Présents : La juge en chef McLachlin et les juges Abella, Rothstein, Cromwell, Moldaver, Karakatsanis et Wagner.</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i/>
          <w:sz w:val="20"/>
          <w:lang w:val="fr-CA"/>
        </w:rPr>
      </w:pPr>
      <w:r w:rsidRPr="00BE78E2">
        <w:rPr>
          <w:sz w:val="20"/>
          <w:lang w:val="fr-CA"/>
        </w:rPr>
        <w:tab/>
      </w:r>
      <w:r w:rsidRPr="00BE78E2">
        <w:rPr>
          <w:i/>
          <w:sz w:val="20"/>
          <w:lang w:val="fr-CA"/>
        </w:rPr>
        <w:t>Droit criminel — Infractions — Agression sexuelle — Consentement — Consentement de la plaignante à une activité sexuelle avec un partenaire masculin sans savoir qu’il avait saboté le condom — La preuve établit</w:t>
      </w:r>
      <w:r w:rsidRPr="00BE78E2">
        <w:rPr>
          <w:i/>
          <w:sz w:val="20"/>
          <w:lang w:val="fr-CA"/>
        </w:rPr>
        <w:noBreakHyphen/>
        <w:t>elle l’absence de l’accord volontaire de la plaignante à l’activité sexuelle ou l’accord apparent de la plaignante a</w:t>
      </w:r>
      <w:r w:rsidRPr="00BE78E2">
        <w:rPr>
          <w:i/>
          <w:sz w:val="20"/>
          <w:lang w:val="fr-CA"/>
        </w:rPr>
        <w:noBreakHyphen/>
        <w:t>t</w:t>
      </w:r>
      <w:r w:rsidRPr="00BE78E2">
        <w:rPr>
          <w:i/>
          <w:sz w:val="20"/>
          <w:lang w:val="fr-CA"/>
        </w:rPr>
        <w:noBreakHyphen/>
        <w:t>il été vicié par la fraude? — Code criminel, L.R.C. 1985, ch. C-46, art. 265(3)c), 273.1(1).</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CA"/>
        </w:rPr>
      </w:pPr>
      <w:r w:rsidRPr="00BE78E2">
        <w:rPr>
          <w:sz w:val="20"/>
          <w:lang w:val="fr-CA"/>
        </w:rPr>
        <w:tab/>
        <w:t>La plaignante a consenti à une activité sexuelle avec son partenaire, H, en insistant pour qu’il utilise un condom afin de prévenir une grossesse.  À son insu, H a percé des trous dans le condom et la plaignante est tombée enceinte.  H a été accusé d’agression sexuelle grave.  Le juge du procès a conclu que la plaignante n’avait pas consenti à des rapports sexuels non protégés et a déclaré H coupable d’agression sexuelle.  En appel, les juges majoritaires ont maintenu la déclaration de culpabilité au motif que l’utilisation du condom constituait une « caractéristique essentielle » de l’activité sexuelle et que, pour cette raison, la plaignante n’y avait pas consenti.  Le juge dissident a conclu qu’il y avait eu consentement à l’activité sexuelle, mais qu’un nouveau procès était nécessaire pour déterminer si ce consentement avait été vicié par la fraude.</w:t>
      </w:r>
    </w:p>
    <w:p w:rsidR="00603FD6" w:rsidRDefault="00603FD6" w:rsidP="00603FD6">
      <w:pPr>
        <w:pStyle w:val="SCCNormalDoubleSpacing"/>
        <w:spacing w:line="240" w:lineRule="auto"/>
        <w:rPr>
          <w:i/>
          <w:sz w:val="20"/>
          <w:lang w:val="fr-CA"/>
        </w:rPr>
      </w:pPr>
    </w:p>
    <w:p w:rsidR="00603FD6" w:rsidRPr="00BE78E2" w:rsidRDefault="00603FD6" w:rsidP="00603FD6">
      <w:pPr>
        <w:pStyle w:val="SCCNormalDoubleSpacing"/>
        <w:spacing w:line="240" w:lineRule="auto"/>
        <w:rPr>
          <w:sz w:val="20"/>
          <w:lang w:val="fr-CA"/>
        </w:rPr>
      </w:pPr>
      <w:r w:rsidRPr="00BE78E2">
        <w:rPr>
          <w:i/>
          <w:sz w:val="20"/>
          <w:lang w:val="fr-CA"/>
        </w:rPr>
        <w:tab/>
        <w:t>Arrêt</w:t>
      </w:r>
      <w:r w:rsidRPr="00BE78E2">
        <w:rPr>
          <w:sz w:val="20"/>
          <w:lang w:val="fr-CA"/>
        </w:rPr>
        <w:t> : Le pourvoi est rejeté.</w:t>
      </w:r>
    </w:p>
    <w:p w:rsidR="00603FD6" w:rsidRDefault="00603FD6" w:rsidP="00603FD6">
      <w:pPr>
        <w:pStyle w:val="SCCNormalDoubleSpacing"/>
        <w:spacing w:line="240" w:lineRule="auto"/>
        <w:rPr>
          <w:i/>
          <w:sz w:val="20"/>
          <w:lang w:val="fr-CA"/>
        </w:rPr>
      </w:pPr>
    </w:p>
    <w:p w:rsidR="00603FD6" w:rsidRPr="00BE78E2" w:rsidRDefault="00603FD6" w:rsidP="00603FD6">
      <w:pPr>
        <w:pStyle w:val="SCCNormalDoubleSpacing"/>
        <w:spacing w:line="240" w:lineRule="auto"/>
        <w:rPr>
          <w:sz w:val="20"/>
          <w:lang w:val="fr-CA"/>
        </w:rPr>
      </w:pPr>
      <w:r w:rsidRPr="00BE78E2">
        <w:rPr>
          <w:i/>
          <w:sz w:val="20"/>
          <w:lang w:val="fr-CA"/>
        </w:rPr>
        <w:tab/>
        <w:t>La</w:t>
      </w:r>
      <w:r w:rsidRPr="00BE78E2">
        <w:rPr>
          <w:sz w:val="20"/>
          <w:lang w:val="fr-CA"/>
        </w:rPr>
        <w:t xml:space="preserve"> juge en chef </w:t>
      </w:r>
      <w:r w:rsidRPr="00BE78E2">
        <w:rPr>
          <w:b/>
          <w:sz w:val="20"/>
          <w:lang w:val="fr-CA"/>
        </w:rPr>
        <w:t>McLachlin</w:t>
      </w:r>
      <w:r w:rsidRPr="00BE78E2">
        <w:rPr>
          <w:sz w:val="20"/>
          <w:lang w:val="fr-CA"/>
        </w:rPr>
        <w:t xml:space="preserve"> et les juges Rothstein, </w:t>
      </w:r>
      <w:r w:rsidRPr="00BE78E2">
        <w:rPr>
          <w:b/>
          <w:sz w:val="20"/>
          <w:lang w:val="fr-CA"/>
        </w:rPr>
        <w:t>Cromwell</w:t>
      </w:r>
      <w:r w:rsidRPr="00BE78E2">
        <w:rPr>
          <w:sz w:val="20"/>
          <w:lang w:val="fr-CA"/>
        </w:rPr>
        <w:t xml:space="preserve"> et Wagner : Le </w:t>
      </w:r>
      <w:r w:rsidRPr="00BE78E2">
        <w:rPr>
          <w:i/>
          <w:sz w:val="20"/>
          <w:lang w:val="fr-CA"/>
        </w:rPr>
        <w:t xml:space="preserve">Code criminel </w:t>
      </w:r>
      <w:r w:rsidRPr="00BE78E2">
        <w:rPr>
          <w:sz w:val="20"/>
          <w:lang w:val="fr-CA"/>
        </w:rPr>
        <w:t xml:space="preserve">établit une analyse en deux étapes pour décider s’il y a eu consentement à une activité sexuelle.  La première étape consiste à déterminer si la preuve démontre l’absence d’« accord volontaire du plaignant à l’activité sexuelle » aux termes du par. 273.1(1) et </w:t>
      </w:r>
      <w:r w:rsidRPr="00BE78E2">
        <w:rPr>
          <w:sz w:val="20"/>
          <w:lang w:val="fr-CA"/>
        </w:rPr>
        <w:lastRenderedPageBreak/>
        <w:t>exige la preuve que le plaignant n’ait pas donné son accord volontaire aux contacts, à leur nature sexuelle ou à l’identité du partenaire.  Si le plaignant a consenti, ou encore si son comportement fait naître un doute raisonnable quant à l’absence de consentement à l’activité sexuelle, il faut passer à la seconde étape et se demander, en application des par. 265(3) et 273.1(2), s’il existe des circonstances ayant pu vicier le consentement apparent du plaignant ou sa participation.  En l’espèce, la principale question à trancher est celle de savoir si le sabotage du condom a eu pour effet d’entraîner une absence d’« accord volontaire de la plaignante à l’activité sexuelle » aux termes du par. 273.1(1) ou si ce sabotage a constitué une fraude au regard de la disposition prévue à l’al. 265(3)</w:t>
      </w:r>
      <w:r w:rsidRPr="00BE78E2">
        <w:rPr>
          <w:i/>
          <w:sz w:val="20"/>
          <w:lang w:val="fr-CA"/>
        </w:rPr>
        <w:t>c</w:t>
      </w:r>
      <w:r w:rsidRPr="00BE78E2">
        <w:rPr>
          <w:sz w:val="20"/>
          <w:lang w:val="fr-CA"/>
        </w:rPr>
        <w:t>), avec pour résultat qu’il n’y a pas eu consentement.  Pour répondre à cette question, la Cour doit dégager le sens de l’expression « l’activité sexuelle » au par. 273.1(1).</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CA"/>
        </w:rPr>
      </w:pPr>
      <w:r w:rsidRPr="00BE78E2">
        <w:rPr>
          <w:sz w:val="20"/>
          <w:lang w:val="fr-CA"/>
        </w:rPr>
        <w:tab/>
        <w:t xml:space="preserve">Il existe essentiellement deux approches pour déterminer ce que signifie un accord volontaire à l’activité sexuelle et le rôle que joue l’erreur ou la tromperie lorsqu’il s’agit de déterminer si un tel accord a été donné.  Dans le cadre de la première approche, la définition de l’expression « l’activité sexuelle » n’englobe pas que la seule activité sexuelle à laquelle la plaignante croyait consentir au moment pertinent, mais également les conditions et les caractéristiques de l’acte ou encore les risques et les conséquences en découlant, pourvu que ces conditions constituent des « caractéristiques essentielles » de l’activité sexuelle ou concernent la « façon » dont les contacts physiques se sont déroulés.  La deuxième approche définit plus étroitement « l’activité sexuelle » comme étant essentiellement l’acte physique dont il a été convenu au moment pertinent, la nature sexuelle de cet acte et l’identité du partenaire.  Si la plaignante a subjectivement consenti à ce que son partenaire la touche ainsi qu’à la nature sexuelle de ces contacts, l’accord volontaire est établi pour l’application du par. 273.1(1).  Toutefois, cet accord volontaire peut être sans effet en droit. </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CA"/>
        </w:rPr>
      </w:pPr>
      <w:r w:rsidRPr="00BE78E2">
        <w:rPr>
          <w:sz w:val="20"/>
          <w:lang w:val="fr-CA"/>
        </w:rPr>
        <w:tab/>
        <w:t>Les principales méthodes d’interprétation législatives, y compris celles fondées sur le sens ordinaire des mots utilisés par le législateur, sur l’économie de la loi et sur l’historique législatif militent en faveur d’une interprétation étroite de la définition générale du terme consentement au par. 273.1(1).  La jurisprudence et les dispositions législatives pertinentes appuient aussi cette interprétation.  La Cour a interprété la disposition relative à la fraude énoncée à l’al. 265(3)</w:t>
      </w:r>
      <w:r w:rsidRPr="00BE78E2">
        <w:rPr>
          <w:i/>
          <w:sz w:val="20"/>
          <w:lang w:val="fr-CA"/>
        </w:rPr>
        <w:t>c</w:t>
      </w:r>
      <w:r w:rsidRPr="00BE78E2">
        <w:rPr>
          <w:sz w:val="20"/>
          <w:lang w:val="fr-CA"/>
        </w:rPr>
        <w:t xml:space="preserve">) du </w:t>
      </w:r>
      <w:r w:rsidRPr="00BE78E2">
        <w:rPr>
          <w:i/>
          <w:sz w:val="20"/>
          <w:lang w:val="fr-CA"/>
        </w:rPr>
        <w:t>Code criminel</w:t>
      </w:r>
      <w:r w:rsidRPr="00BE78E2">
        <w:rPr>
          <w:sz w:val="20"/>
          <w:lang w:val="fr-CA"/>
        </w:rPr>
        <w:t xml:space="preserve"> dans des affaires où l’accusé n’avait pas dévoilé sa séropositivité : </w:t>
      </w:r>
      <w:r w:rsidRPr="00BE78E2">
        <w:rPr>
          <w:i/>
          <w:iCs/>
          <w:sz w:val="20"/>
          <w:lang w:val="fr-CA"/>
        </w:rPr>
        <w:t>Cuerrier</w:t>
      </w:r>
      <w:r w:rsidRPr="00BE78E2">
        <w:rPr>
          <w:sz w:val="20"/>
          <w:lang w:val="fr-CA"/>
        </w:rPr>
        <w:t xml:space="preserve">; </w:t>
      </w:r>
      <w:r w:rsidRPr="00BE78E2">
        <w:rPr>
          <w:i/>
          <w:iCs/>
          <w:sz w:val="20"/>
          <w:lang w:val="fr-CA"/>
        </w:rPr>
        <w:t>Mabior</w:t>
      </w:r>
      <w:r w:rsidRPr="00BE78E2">
        <w:rPr>
          <w:sz w:val="20"/>
          <w:lang w:val="fr-CA"/>
        </w:rPr>
        <w:t xml:space="preserve">.  L’adoption de l’approche fondée sur les  « caractéristiques essentielles » ou de celle basée sur la « façon dont l’acte s’est déroulé » serait incompatible avec celle retenue dans </w:t>
      </w:r>
      <w:r w:rsidRPr="00BE78E2">
        <w:rPr>
          <w:i/>
          <w:sz w:val="20"/>
          <w:lang w:val="fr-CA"/>
        </w:rPr>
        <w:t>Cuerrier</w:t>
      </w:r>
      <w:r w:rsidRPr="00BE78E2">
        <w:rPr>
          <w:sz w:val="20"/>
          <w:lang w:val="fr-CA"/>
        </w:rPr>
        <w:t xml:space="preserve"> et </w:t>
      </w:r>
      <w:r w:rsidRPr="00BE78E2">
        <w:rPr>
          <w:i/>
          <w:sz w:val="20"/>
          <w:lang w:val="fr-CA"/>
        </w:rPr>
        <w:t>Mabior</w:t>
      </w:r>
      <w:r w:rsidRPr="00BE78E2">
        <w:rPr>
          <w:sz w:val="20"/>
          <w:lang w:val="fr-CA"/>
        </w:rPr>
        <w:t xml:space="preserve"> et remettrait en question l’issue de ces affaires.  Selon l’approche fondée sur les « caractéristiques essentielles » ou celle basée sur la « façon dont l’acte s’est déroulé », des erreurs — qui n’ont pas à résulter de tromperies — portant sur les conditions et caractéristiques de l’acte physique amèneront les tribunaux à conclure qu’il n’y a pas eu consentement au sens du par. 273.1(1), et ce, même en l’absence de risque de préjudice.  Par exemple, les tromperies liées à la séropositivité pourraient amener le tribunal à conclure à l’absence de consentement au sens du par. 273.1(1), même lorsque la charge virale de l’accusé était faible au moment des faits et qu’un condom a été utilisé.  Finalement, adopter l’approche fondée sur les  « caractéristiques essentielles » ou de celle basée sur la « façon dont l’acte s’est déroulé » réintroduirait une analyse vague et obscure en matière de consentement et pourrait, en outre, criminaliser des comportements ne présentant pas le caractère répréhensible nécessaire, et d’étendre trop largement la portée du droit criminel.</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CA"/>
        </w:rPr>
      </w:pPr>
      <w:r w:rsidRPr="00BE78E2">
        <w:rPr>
          <w:sz w:val="20"/>
          <w:lang w:val="fr-CA"/>
        </w:rPr>
        <w:tab/>
        <w:t xml:space="preserve">Interprété correctement, l’accord volontaire à l’activité sexuelle prévu au par. 273.1(1) signifie que le plaignant doit consentir subjectivement à l’acte physique </w:t>
      </w:r>
      <w:r w:rsidRPr="00BE78E2">
        <w:rPr>
          <w:i/>
          <w:sz w:val="20"/>
          <w:lang w:val="fr-CA"/>
        </w:rPr>
        <w:t>précis</w:t>
      </w:r>
      <w:r w:rsidRPr="00BE78E2">
        <w:rPr>
          <w:sz w:val="20"/>
          <w:lang w:val="fr-CA"/>
        </w:rPr>
        <w:t>, à sa nature sexuelle et à l’identité précise du partenaire.  L’expression « l’activité sexuelle » ne vise pas les conditions ou les caractéristiques de l’acte physique, telles les mesures contraceptives qui sont prises ou la présence de maladies transmissibles sexuellement.  En l’espèce, « l’activité sexuelle » consistait en des rapports sexuels et la plaignante y a consenti volontairement.  Quant à la question de savoir si son accord à « l’activité sexuelle » a été vicié par la fraude, la malhonnêteté est évidente et admise.  La seule question qu’il reste à trancher est celle de savoir s’il y a eu privation suffisante pour établir l’existence d’une fraude.  Dans les cas où une plaignante a choisi de ne pas devenir enceinte, les tromperies qui l’exposent à un risque accru de grossesse peuvent constituer une privation suffisamment grave pour représenter une fraude viciant le consentement suivant l’al. 265(3)</w:t>
      </w:r>
      <w:r w:rsidRPr="00BE78E2">
        <w:rPr>
          <w:i/>
          <w:sz w:val="20"/>
          <w:lang w:val="fr-CA"/>
        </w:rPr>
        <w:t>c</w:t>
      </w:r>
      <w:r w:rsidRPr="00BE78E2">
        <w:rPr>
          <w:sz w:val="20"/>
          <w:lang w:val="fr-CA"/>
        </w:rPr>
        <w:t>).  Cette interprétation de la « fraude » visée à l’al. 265(3)</w:t>
      </w:r>
      <w:r w:rsidRPr="00BE78E2">
        <w:rPr>
          <w:i/>
          <w:sz w:val="20"/>
          <w:lang w:val="fr-CA"/>
        </w:rPr>
        <w:t>c</w:t>
      </w:r>
      <w:r w:rsidRPr="00BE78E2">
        <w:rPr>
          <w:sz w:val="20"/>
          <w:lang w:val="fr-CA"/>
        </w:rPr>
        <w:t xml:space="preserve">) est compatible avec les valeurs d’égalité et d’autonomie consacrées par la </w:t>
      </w:r>
      <w:r w:rsidRPr="00BE78E2">
        <w:rPr>
          <w:i/>
          <w:sz w:val="20"/>
          <w:lang w:val="fr-CA"/>
        </w:rPr>
        <w:t>Charte</w:t>
      </w:r>
      <w:r w:rsidRPr="00BE78E2">
        <w:rPr>
          <w:sz w:val="20"/>
          <w:lang w:val="fr-CA"/>
        </w:rPr>
        <w:t xml:space="preserve"> tout en reconnaissant du même coup qu’il n’y a pas lieu de criminaliser toute tromperie qui incite une personne à donner son consentement.  En l’espèce, il n’y pas eu consentement en raison d’une fraude visée à l’al. 265(3)</w:t>
      </w:r>
      <w:r w:rsidRPr="00BE78E2">
        <w:rPr>
          <w:i/>
          <w:sz w:val="20"/>
          <w:lang w:val="fr-CA"/>
        </w:rPr>
        <w:t>c</w:t>
      </w:r>
      <w:r w:rsidRPr="00BE78E2">
        <w:rPr>
          <w:sz w:val="20"/>
          <w:lang w:val="fr-CA"/>
        </w:rPr>
        <w:t>).</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CA"/>
        </w:rPr>
      </w:pPr>
      <w:r w:rsidRPr="00BE78E2">
        <w:rPr>
          <w:sz w:val="20"/>
          <w:lang w:val="fr-CA"/>
        </w:rPr>
        <w:tab/>
      </w:r>
      <w:r w:rsidRPr="00BE78E2">
        <w:rPr>
          <w:i/>
          <w:sz w:val="20"/>
          <w:lang w:val="fr-CA"/>
        </w:rPr>
        <w:t xml:space="preserve">Les </w:t>
      </w:r>
      <w:r w:rsidRPr="00BE78E2">
        <w:rPr>
          <w:sz w:val="20"/>
          <w:lang w:val="fr-CA"/>
        </w:rPr>
        <w:t xml:space="preserve">juges </w:t>
      </w:r>
      <w:r w:rsidRPr="00BE78E2">
        <w:rPr>
          <w:b/>
          <w:sz w:val="20"/>
          <w:lang w:val="fr-CA"/>
        </w:rPr>
        <w:t>Abella</w:t>
      </w:r>
      <w:r w:rsidRPr="00BE78E2">
        <w:rPr>
          <w:sz w:val="20"/>
          <w:lang w:val="fr-CA"/>
        </w:rPr>
        <w:t xml:space="preserve">, </w:t>
      </w:r>
      <w:r w:rsidRPr="00BE78E2">
        <w:rPr>
          <w:b/>
          <w:sz w:val="20"/>
          <w:lang w:val="fr-CA"/>
        </w:rPr>
        <w:t>Moldaver</w:t>
      </w:r>
      <w:r w:rsidRPr="00BE78E2">
        <w:rPr>
          <w:sz w:val="20"/>
          <w:lang w:val="fr-CA"/>
        </w:rPr>
        <w:t xml:space="preserve"> et Karakatsanis : Essentiellement, la présente espèce concerne le droit, reconnu dans </w:t>
      </w:r>
      <w:r w:rsidRPr="00BE78E2">
        <w:rPr>
          <w:i/>
          <w:sz w:val="20"/>
          <w:lang w:val="fr-CA"/>
        </w:rPr>
        <w:t>R. c. Ewanchuk</w:t>
      </w:r>
      <w:r w:rsidRPr="00BE78E2">
        <w:rPr>
          <w:sz w:val="20"/>
          <w:lang w:val="fr-CA"/>
        </w:rPr>
        <w:t xml:space="preserve">, [1999] 1 R.C.S. 330, de décider de la façon dont se dérouleront les contacts sexuels.  Parce que la </w:t>
      </w:r>
      <w:r w:rsidRPr="00BE78E2">
        <w:rPr>
          <w:sz w:val="20"/>
          <w:lang w:val="fr-CA"/>
        </w:rPr>
        <w:lastRenderedPageBreak/>
        <w:t>société est déterminée à protéger l’autonomie et la dignité de la personne, il faut que celle</w:t>
      </w:r>
      <w:r w:rsidRPr="00BE78E2">
        <w:rPr>
          <w:sz w:val="20"/>
          <w:lang w:val="fr-CA"/>
        </w:rPr>
        <w:noBreakHyphen/>
        <w:t xml:space="preserve">ci ait le droit de décider </w:t>
      </w:r>
      <w:r w:rsidRPr="00BE78E2">
        <w:rPr>
          <w:i/>
          <w:sz w:val="20"/>
          <w:lang w:val="fr-CA"/>
        </w:rPr>
        <w:t>qui</w:t>
      </w:r>
      <w:r w:rsidRPr="00BE78E2">
        <w:rPr>
          <w:sz w:val="20"/>
          <w:lang w:val="fr-CA"/>
        </w:rPr>
        <w:t xml:space="preserve"> touchera son corps et la </w:t>
      </w:r>
      <w:r w:rsidRPr="00BE78E2">
        <w:rPr>
          <w:i/>
          <w:sz w:val="20"/>
          <w:lang w:val="fr-CA"/>
        </w:rPr>
        <w:t>façon</w:t>
      </w:r>
      <w:r w:rsidRPr="00BE78E2">
        <w:rPr>
          <w:sz w:val="20"/>
          <w:lang w:val="fr-CA"/>
        </w:rPr>
        <w:t xml:space="preserve"> dont se dérouleront les contacts sexuels.  Cette protection est à la base de la définition du mot « consentement » énoncée au par. 273.1(1), à savoir « l’accord volontaire du plaignant à l’activité sexuelle ».  Le consentement à « l’activité sexuelle » s’entend nécessairement de l’accord volontaire du plaignant à la fois aux contacts de nature sexuelle et à la manière dont ces contacts se déroulent.  Le par. 273.1(1) constitue le point de départ de l’analyse du consentement eu égard à l’</w:t>
      </w:r>
      <w:r w:rsidRPr="00BE78E2">
        <w:rPr>
          <w:i/>
          <w:sz w:val="20"/>
          <w:lang w:val="fr-CA"/>
        </w:rPr>
        <w:t>actus reus</w:t>
      </w:r>
      <w:r w:rsidRPr="00BE78E2">
        <w:rPr>
          <w:sz w:val="20"/>
          <w:lang w:val="fr-CA"/>
        </w:rPr>
        <w:t xml:space="preserve"> de l’agression sexuelle. Lorsque le plaignant n’a pas donné son accord volontaire à l’activité sexuelle qui s’est déroulée, il n’y a pas eu consentement au sens du par. 273.1(1) et l’analyse relative à l’</w:t>
      </w:r>
      <w:r w:rsidRPr="00BE78E2">
        <w:rPr>
          <w:i/>
          <w:sz w:val="20"/>
          <w:lang w:val="fr-CA"/>
        </w:rPr>
        <w:t>actus reus</w:t>
      </w:r>
      <w:r w:rsidRPr="00BE78E2">
        <w:rPr>
          <w:sz w:val="20"/>
          <w:lang w:val="fr-CA"/>
        </w:rPr>
        <w:t xml:space="preserve"> de l’agression sexuelle est complète.  S’il n’y a pas eu dès le départ consentement à l’activité sexuelle, il est inutile de se demander si le consentement a été vicié par une fraude visée à l’al. 265(3)</w:t>
      </w:r>
      <w:r w:rsidRPr="00BE78E2">
        <w:rPr>
          <w:i/>
          <w:sz w:val="20"/>
          <w:lang w:val="fr-CA"/>
        </w:rPr>
        <w:t>c</w:t>
      </w:r>
      <w:r w:rsidRPr="00BE78E2">
        <w:rPr>
          <w:sz w:val="20"/>
          <w:lang w:val="fr-CA"/>
        </w:rPr>
        <w:t>). En d’autres mots, en l’absence d’accord volontaire quant à la « façon » — c’est</w:t>
      </w:r>
      <w:r w:rsidRPr="00BE78E2">
        <w:rPr>
          <w:sz w:val="20"/>
          <w:lang w:val="fr-CA"/>
        </w:rPr>
        <w:noBreakHyphen/>
        <w:t>à</w:t>
      </w:r>
      <w:r w:rsidRPr="00BE78E2">
        <w:rPr>
          <w:sz w:val="20"/>
          <w:lang w:val="fr-CA"/>
        </w:rPr>
        <w:noBreakHyphen/>
        <w:t>dire la manière dont s’est déroulée l’activité sexuelle — il n’y a pas eu consentement au sens du par. 273.1(1).</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CA"/>
        </w:rPr>
      </w:pPr>
      <w:r w:rsidRPr="00BE78E2">
        <w:rPr>
          <w:sz w:val="20"/>
          <w:lang w:val="fr-CA"/>
        </w:rPr>
        <w:tab/>
        <w:t>À la différence de l’analyse requise pour l’application de l’al. 265(3)</w:t>
      </w:r>
      <w:r w:rsidRPr="00BE78E2">
        <w:rPr>
          <w:i/>
          <w:sz w:val="20"/>
          <w:lang w:val="fr-CA"/>
        </w:rPr>
        <w:t>c</w:t>
      </w:r>
      <w:r w:rsidRPr="00BE78E2">
        <w:rPr>
          <w:sz w:val="20"/>
          <w:lang w:val="fr-CA"/>
        </w:rPr>
        <w:t xml:space="preserve">), qui requiert à la fois un acte malhonnête </w:t>
      </w:r>
      <w:r w:rsidRPr="00BE78E2">
        <w:rPr>
          <w:i/>
          <w:sz w:val="20"/>
          <w:lang w:val="fr-CA"/>
        </w:rPr>
        <w:t>et</w:t>
      </w:r>
      <w:r w:rsidRPr="00BE78E2">
        <w:rPr>
          <w:sz w:val="20"/>
          <w:lang w:val="fr-CA"/>
        </w:rPr>
        <w:t xml:space="preserve"> une privation, l’analyse relative au consentement visé au par. 273.1(1) n’a jamais exigé la prise en compte des risques ou conséquences causés par des contacts sexuels non souhaités.  C’est la nature non souhaitée</w:t>
      </w:r>
      <w:r w:rsidRPr="00BE78E2">
        <w:rPr>
          <w:i/>
          <w:sz w:val="20"/>
          <w:lang w:val="fr-CA"/>
        </w:rPr>
        <w:t xml:space="preserve"> </w:t>
      </w:r>
      <w:r w:rsidRPr="00BE78E2">
        <w:rPr>
          <w:sz w:val="20"/>
          <w:lang w:val="fr-CA"/>
        </w:rPr>
        <w:t>des contacts sexuels non consensuels qui viole l’intégrité sexuelle du plaignant et qui entraîne la culpabilité en droit criminel, pas seulement le risque de préjudice additionnel que peuvent engendrer les contacts sexuels.  Exiger l’analyse des risques ou conséquences de contacts sexuels non consensuels en application de l’al. 265(3)</w:t>
      </w:r>
      <w:r w:rsidRPr="00BE78E2">
        <w:rPr>
          <w:i/>
          <w:sz w:val="20"/>
          <w:lang w:val="fr-CA"/>
        </w:rPr>
        <w:t>c</w:t>
      </w:r>
      <w:r w:rsidRPr="00BE78E2">
        <w:rPr>
          <w:sz w:val="20"/>
          <w:lang w:val="fr-CA"/>
        </w:rPr>
        <w:t xml:space="preserve">), si l’existence d’une tromperie est découverte après coup ajoute une barrière supplémentaire à la simple capacité de démontrer s’il y a eu ou non consentement à l’activité </w:t>
      </w:r>
      <w:r w:rsidRPr="00BE78E2">
        <w:rPr>
          <w:i/>
          <w:sz w:val="20"/>
          <w:lang w:val="fr-CA"/>
        </w:rPr>
        <w:t>au moment où elle s’est déroulée</w:t>
      </w:r>
      <w:r w:rsidRPr="00BE78E2">
        <w:rPr>
          <w:sz w:val="20"/>
          <w:lang w:val="fr-CA"/>
        </w:rPr>
        <w:t>.  Par conséquent,</w:t>
      </w:r>
      <w:r w:rsidRPr="00BE78E2">
        <w:rPr>
          <w:i/>
          <w:sz w:val="20"/>
          <w:lang w:val="fr-CA"/>
        </w:rPr>
        <w:t xml:space="preserve"> </w:t>
      </w:r>
      <w:r w:rsidRPr="00BE78E2">
        <w:rPr>
          <w:sz w:val="20"/>
          <w:lang w:val="fr-CA"/>
        </w:rPr>
        <w:t>cette exigence porte atteinte aux valeurs d’autonomie personnelle et d’intégrité physique que le législateur cherchait à protéger en créant l’infraction d’agression sexuelle.</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CA"/>
        </w:rPr>
      </w:pPr>
      <w:r w:rsidRPr="00BE78E2">
        <w:rPr>
          <w:sz w:val="20"/>
          <w:lang w:val="fr-CA"/>
        </w:rPr>
        <w:tab/>
        <w:t>Le fait qu’un condom constitue un moyen de contraception ne signifie pas pour autant qu’il ne fait pas également partie de l’activité sexuelle.  Exclure le port du condom de ce qui est visé par l’activité sexuelle au par. 273.1(1) parce qu’il peut dans certains cas être utilisé à des fins contraceptives signifie qu’une personne ne pourrait en exiger l’usage au cours de rapports sexuels lorsque la question de la grossesse ne se pose pas.  Toute personne doit disposer d’un droit égal de décider de la manière dont elle est touchée, indépendamment de son sexe, de son orientation sexuelle, de sa capacité de reproduction ou de l’activité sexuelle à laquelle elle choisit de participer.  Nous ne voyons pas comment le condom peut être considéré comme autre chose qu’un aspect de la façon dont se déroulent les contacts sexuels.  Il s’agit donc d’un aspect auquel il est — ou n’est pas — consenti.  La personne qui consent à une activité sexuelle avec condom comprend qu’il s’agira d’un condom intact.  Elle ne donne pas seulement son accord à une activité sexuelle, elle convient également de la façon dont celle</w:t>
      </w:r>
      <w:r w:rsidRPr="00BE78E2">
        <w:rPr>
          <w:sz w:val="20"/>
          <w:lang w:val="fr-CA"/>
        </w:rPr>
        <w:noBreakHyphen/>
        <w:t xml:space="preserve">ci doit se dérouler.  C’est ce que le par. 273.1(1) visait à protéger.  </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CA"/>
        </w:rPr>
      </w:pPr>
      <w:r w:rsidRPr="00BE78E2">
        <w:rPr>
          <w:sz w:val="20"/>
          <w:lang w:val="fr-CA"/>
        </w:rPr>
        <w:tab/>
        <w:t xml:space="preserve">Une personne consent à la </w:t>
      </w:r>
      <w:r w:rsidRPr="00BE78E2">
        <w:rPr>
          <w:i/>
          <w:sz w:val="20"/>
          <w:lang w:val="fr-CA"/>
        </w:rPr>
        <w:t xml:space="preserve">façon </w:t>
      </w:r>
      <w:r w:rsidRPr="00BE78E2">
        <w:rPr>
          <w:sz w:val="20"/>
          <w:lang w:val="fr-CA"/>
        </w:rPr>
        <w:t xml:space="preserve">dont elle sera touchée, et elle a le droit de choisir l’activité sexuelle à laquelle elle consent à participer, et ce, pour les raisons qui lui plaisent.  Le fait que certaines conséquences des raisons qui la motivent soient plus graves que d’autres, la grossesse par exemple, n’affecte d’absolument aucune façon son droit de décider de la manière dont se déroulera l’activité sexuelle à laquelle elle veut participer.  Cela ne regarde ni son partenaire ni l’État.  Pour qu’il y ait eu accord volontaire de la plaignante à la façon dont se sont déroulés les contacts sexuels, il faut qu’elle ait consenti à être touchée là où elle l’a été et à ce avec quoi elle l’a été.  Il n’est toutefois pas nécessaire qu’elle ait consenti aux conséquences de ces contacts ou aux caractéristiques du partenaire sexuel, par exemple son âge, sa fortune, son état matrimonial ou son état de santé.  Bien que sans aucun doute potentiellement importantes, ces conséquences ou caractéristiques ne font pas partie de l’activité sexuelle à l’égard de laquelle l’accord a été donné.  </w:t>
      </w:r>
    </w:p>
    <w:p w:rsidR="00603FD6" w:rsidRDefault="00603FD6" w:rsidP="00603FD6">
      <w:pPr>
        <w:pStyle w:val="SCCNormalDoubleSpacing"/>
        <w:spacing w:line="240" w:lineRule="auto"/>
        <w:rPr>
          <w:sz w:val="20"/>
          <w:lang w:val="fr-CA"/>
        </w:rPr>
      </w:pPr>
    </w:p>
    <w:p w:rsidR="00603FD6" w:rsidRDefault="00603FD6" w:rsidP="00603FD6">
      <w:pPr>
        <w:pStyle w:val="SCCNormalDoubleSpacing"/>
        <w:spacing w:line="240" w:lineRule="auto"/>
        <w:rPr>
          <w:sz w:val="20"/>
          <w:lang w:val="fr-CA"/>
        </w:rPr>
      </w:pPr>
      <w:r w:rsidRPr="00BE78E2">
        <w:rPr>
          <w:sz w:val="20"/>
          <w:lang w:val="fr-CA"/>
        </w:rPr>
        <w:tab/>
        <w:t>En l’espèce, la question à trancher n’est pas celle de savoir si le consentement a été vicié par la fraude, il s’agit de savoir s’il y a eu au départ consentement à l’activité sexuelle.  La plaignante a consenti à participer d’une certaine manière à une activité sexuelle, à savoir des rapports sexuels avec un condom intact.  H a délibérément saboté le condom sans que la plaignante le sache ou y consente.  Le fait qu’elle n’ait appris le sabotage délibéré du condom qu’après l’activité sexuelle n’a aucune pertinence.  Ce qui est pertinent, c’est l’activité sexuelle à laquelle elle avait accepté de se livrer avec H et si celui</w:t>
      </w:r>
      <w:r w:rsidRPr="00BE78E2">
        <w:rPr>
          <w:sz w:val="20"/>
          <w:lang w:val="fr-CA"/>
        </w:rPr>
        <w:noBreakHyphen/>
        <w:t>ci a respecté l’accord à cet égard.  Or, en l’espèce, il ne l’a pas fait.  Comme la plaignante n’a pas donné son accord à la façon dont elle a été touchée au moment où elle l’a été, il n’y a pas eu consentement au sens du par. 273.1(1).</w:t>
      </w:r>
    </w:p>
    <w:p w:rsidR="00603FD6" w:rsidRDefault="00603FD6" w:rsidP="00603FD6">
      <w:pPr>
        <w:pStyle w:val="SCCNormalDoubleSpacing"/>
        <w:spacing w:line="240" w:lineRule="auto"/>
        <w:rPr>
          <w:sz w:val="20"/>
          <w:lang w:val="fr-CA"/>
        </w:rPr>
      </w:pPr>
    </w:p>
    <w:p w:rsidR="00603FD6" w:rsidRPr="00BE78E2" w:rsidRDefault="00603FD6" w:rsidP="00603FD6">
      <w:pPr>
        <w:pStyle w:val="SCCNormalDoubleSpacing"/>
        <w:spacing w:line="240" w:lineRule="auto"/>
        <w:rPr>
          <w:sz w:val="20"/>
          <w:lang w:val="fr-FR" w:eastAsia="en-US"/>
        </w:rPr>
      </w:pPr>
      <w:r w:rsidRPr="00BE78E2">
        <w:rPr>
          <w:sz w:val="20"/>
          <w:lang w:val="fr-CA"/>
        </w:rPr>
        <w:lastRenderedPageBreak/>
        <w:tab/>
        <w:t>POURVOI contre un arrêt de la Cour d’appel de la Nouvelle</w:t>
      </w:r>
      <w:r w:rsidRPr="00BE78E2">
        <w:rPr>
          <w:sz w:val="20"/>
          <w:lang w:val="fr-CA"/>
        </w:rPr>
        <w:noBreakHyphen/>
        <w:t xml:space="preserve">Écosse (le juge en chef MacDonald et les juges Oland, Hamilton, Fichaud et Farrar), 2013 NSCA 1, 325 N.S.R. (2d) 95, 1031 A.P.R. 95, 296 C.C.C. (3d) 22, 1 C.R. (7th) 1, 274 C.R.R. (2d) 254, [2013] N.S.J. No. 1 (QL), 2013 CarswellNS 22, </w:t>
      </w:r>
      <w:r w:rsidRPr="00BE78E2">
        <w:rPr>
          <w:spacing w:val="-3"/>
          <w:sz w:val="20"/>
          <w:lang w:val="fr-CA" w:eastAsia="en-US"/>
        </w:rPr>
        <w:t xml:space="preserve">qui a confirmé la déclaration de culpabilité d’agression sexuelle inscrite par le juge </w:t>
      </w:r>
      <w:r w:rsidRPr="00BE78E2">
        <w:rPr>
          <w:sz w:val="20"/>
          <w:lang w:val="fr-CA"/>
        </w:rPr>
        <w:t>Coughlan, 2011 NSSC 361, 311 N.S.R. (2d) 1, 985 A.P.R. 1, [2011] N.S.J. No. 723 (QL), 2011 CarswellNS 935.  Pourvoi rejeté.</w:t>
      </w:r>
    </w:p>
    <w:p w:rsidR="00603FD6" w:rsidRDefault="00603FD6" w:rsidP="00603FD6">
      <w:pPr>
        <w:pStyle w:val="SCCNormalDoubleSpacing"/>
        <w:spacing w:line="240" w:lineRule="auto"/>
        <w:rPr>
          <w:i/>
          <w:sz w:val="20"/>
          <w:lang w:val="fr-CA"/>
        </w:rPr>
      </w:pPr>
    </w:p>
    <w:p w:rsidR="00603FD6" w:rsidRPr="00BE78E2" w:rsidRDefault="00603FD6" w:rsidP="00603FD6">
      <w:pPr>
        <w:pStyle w:val="SCCNormalDoubleSpacing"/>
        <w:spacing w:line="240" w:lineRule="auto"/>
        <w:rPr>
          <w:sz w:val="20"/>
          <w:lang w:val="fr-CA"/>
        </w:rPr>
      </w:pPr>
      <w:r w:rsidRPr="00BE78E2">
        <w:rPr>
          <w:i/>
          <w:sz w:val="20"/>
          <w:lang w:val="fr-CA"/>
        </w:rPr>
        <w:tab/>
        <w:t>Luke A. Craggs</w:t>
      </w:r>
      <w:r w:rsidRPr="00BE78E2">
        <w:rPr>
          <w:sz w:val="20"/>
          <w:lang w:val="fr-CA"/>
        </w:rPr>
        <w:t>, pour l’appelant.</w:t>
      </w:r>
    </w:p>
    <w:p w:rsidR="00603FD6" w:rsidRDefault="00603FD6" w:rsidP="00603FD6">
      <w:pPr>
        <w:pStyle w:val="SCCNormalDoubleSpacing"/>
        <w:spacing w:line="240" w:lineRule="auto"/>
        <w:rPr>
          <w:i/>
          <w:sz w:val="20"/>
          <w:lang w:val="fr-CA"/>
        </w:rPr>
      </w:pPr>
    </w:p>
    <w:p w:rsidR="00603FD6" w:rsidRPr="00BE78E2" w:rsidRDefault="00603FD6" w:rsidP="00603FD6">
      <w:pPr>
        <w:pStyle w:val="SCCNormalDoubleSpacing"/>
        <w:spacing w:line="240" w:lineRule="auto"/>
        <w:rPr>
          <w:sz w:val="20"/>
          <w:lang w:val="fr-CA"/>
        </w:rPr>
      </w:pPr>
      <w:r w:rsidRPr="00BE78E2">
        <w:rPr>
          <w:i/>
          <w:sz w:val="20"/>
          <w:lang w:val="fr-CA"/>
        </w:rPr>
        <w:tab/>
        <w:t>James A. Gumpert</w:t>
      </w:r>
      <w:r w:rsidRPr="00BE78E2">
        <w:rPr>
          <w:sz w:val="20"/>
          <w:lang w:val="fr-CA"/>
        </w:rPr>
        <w:t xml:space="preserve">, </w:t>
      </w:r>
      <w:r w:rsidRPr="00BE78E2">
        <w:rPr>
          <w:i/>
          <w:sz w:val="20"/>
          <w:lang w:val="fr-CA"/>
        </w:rPr>
        <w:t>c.r.</w:t>
      </w:r>
      <w:r w:rsidRPr="00BE78E2">
        <w:rPr>
          <w:sz w:val="20"/>
          <w:lang w:val="fr-CA"/>
        </w:rPr>
        <w:t xml:space="preserve">, et </w:t>
      </w:r>
      <w:r w:rsidRPr="00BE78E2">
        <w:rPr>
          <w:i/>
          <w:sz w:val="20"/>
          <w:lang w:val="fr-CA"/>
        </w:rPr>
        <w:t>Timothy S. O’Leary</w:t>
      </w:r>
      <w:r w:rsidRPr="00BE78E2">
        <w:rPr>
          <w:sz w:val="20"/>
          <w:lang w:val="fr-CA"/>
        </w:rPr>
        <w:t>, pour l’intimée.</w:t>
      </w:r>
    </w:p>
    <w:p w:rsidR="00603FD6" w:rsidRDefault="00603FD6" w:rsidP="00603FD6">
      <w:pPr>
        <w:pStyle w:val="SCCNormalDoubleSpacing"/>
        <w:spacing w:line="240" w:lineRule="auto"/>
        <w:rPr>
          <w:i/>
          <w:sz w:val="20"/>
          <w:lang w:val="fr-CA"/>
        </w:rPr>
      </w:pPr>
    </w:p>
    <w:p w:rsidR="00603FD6" w:rsidRPr="00BE78E2" w:rsidRDefault="00603FD6" w:rsidP="00603FD6">
      <w:pPr>
        <w:pStyle w:val="SCCNormalDoubleSpacing"/>
        <w:spacing w:line="240" w:lineRule="auto"/>
        <w:rPr>
          <w:sz w:val="20"/>
          <w:lang w:val="fr-CA"/>
        </w:rPr>
      </w:pPr>
      <w:r w:rsidRPr="00BE78E2">
        <w:rPr>
          <w:i/>
          <w:sz w:val="20"/>
          <w:lang w:val="fr-CA"/>
        </w:rPr>
        <w:tab/>
        <w:t>Jonathan A. Shime</w:t>
      </w:r>
      <w:r w:rsidRPr="00BE78E2">
        <w:rPr>
          <w:sz w:val="20"/>
          <w:lang w:val="fr-CA"/>
        </w:rPr>
        <w:t xml:space="preserve">, </w:t>
      </w:r>
      <w:r w:rsidRPr="00BE78E2">
        <w:rPr>
          <w:i/>
          <w:sz w:val="20"/>
          <w:lang w:val="fr-CA"/>
        </w:rPr>
        <w:t>Wayne Cunningham</w:t>
      </w:r>
      <w:r w:rsidRPr="00BE78E2">
        <w:rPr>
          <w:sz w:val="20"/>
          <w:lang w:val="fr-CA"/>
        </w:rPr>
        <w:t xml:space="preserve"> et </w:t>
      </w:r>
      <w:r w:rsidRPr="00BE78E2">
        <w:rPr>
          <w:i/>
          <w:sz w:val="20"/>
          <w:lang w:val="fr-CA"/>
        </w:rPr>
        <w:t>Ryan Peck</w:t>
      </w:r>
      <w:r w:rsidRPr="00BE78E2">
        <w:rPr>
          <w:sz w:val="20"/>
          <w:lang w:val="fr-CA"/>
        </w:rPr>
        <w:t>, pour les intervenants.</w:t>
      </w:r>
    </w:p>
    <w:p w:rsidR="00603FD6" w:rsidRDefault="00603FD6" w:rsidP="00603FD6">
      <w:pPr>
        <w:pStyle w:val="SCCLawFirm"/>
        <w:spacing w:line="240" w:lineRule="auto"/>
        <w:rPr>
          <w:sz w:val="20"/>
          <w:lang w:val="fr-CA"/>
        </w:rPr>
      </w:pPr>
    </w:p>
    <w:p w:rsidR="00603FD6" w:rsidRPr="00BE78E2" w:rsidRDefault="00603FD6" w:rsidP="00603FD6">
      <w:pPr>
        <w:pStyle w:val="SCCLawFirm"/>
        <w:spacing w:line="240" w:lineRule="auto"/>
        <w:rPr>
          <w:sz w:val="20"/>
          <w:lang w:val="fr-CA"/>
        </w:rPr>
      </w:pPr>
      <w:r w:rsidRPr="00BE78E2">
        <w:rPr>
          <w:sz w:val="20"/>
          <w:lang w:val="fr-CA"/>
        </w:rPr>
        <w:tab/>
        <w:t>Procureurs de l’appelant : Burke Thompson, Halifax.</w:t>
      </w:r>
    </w:p>
    <w:p w:rsidR="00603FD6" w:rsidRDefault="00603FD6" w:rsidP="00603FD6">
      <w:pPr>
        <w:pStyle w:val="SCCLawFirm"/>
        <w:spacing w:line="240" w:lineRule="auto"/>
        <w:rPr>
          <w:sz w:val="20"/>
          <w:lang w:val="fr-CA"/>
        </w:rPr>
      </w:pPr>
    </w:p>
    <w:p w:rsidR="00603FD6" w:rsidRPr="00BE78E2" w:rsidRDefault="00603FD6" w:rsidP="00603FD6">
      <w:pPr>
        <w:pStyle w:val="SCCLawFirm"/>
        <w:spacing w:line="240" w:lineRule="auto"/>
        <w:rPr>
          <w:sz w:val="20"/>
          <w:lang w:val="fr-CA"/>
        </w:rPr>
      </w:pPr>
      <w:r w:rsidRPr="00BE78E2">
        <w:rPr>
          <w:sz w:val="20"/>
          <w:lang w:val="fr-CA"/>
        </w:rPr>
        <w:tab/>
        <w:t>Procureur de l’intimée : Public Prosecution Service of Nova Scotia, Halifax.</w:t>
      </w:r>
    </w:p>
    <w:p w:rsidR="00603FD6" w:rsidRDefault="00603FD6" w:rsidP="00603FD6">
      <w:pPr>
        <w:pStyle w:val="SCCLawFirm"/>
        <w:spacing w:line="240" w:lineRule="auto"/>
        <w:rPr>
          <w:sz w:val="20"/>
          <w:lang w:val="fr-CA"/>
        </w:rPr>
      </w:pPr>
    </w:p>
    <w:p w:rsidR="00603FD6" w:rsidRDefault="00603FD6" w:rsidP="00603FD6">
      <w:pPr>
        <w:pStyle w:val="SCCLawFirm"/>
        <w:spacing w:line="240" w:lineRule="auto"/>
        <w:rPr>
          <w:sz w:val="20"/>
          <w:lang w:val="fr-CA"/>
        </w:rPr>
      </w:pPr>
      <w:r w:rsidRPr="00BE78E2">
        <w:rPr>
          <w:sz w:val="20"/>
          <w:lang w:val="fr-CA"/>
        </w:rPr>
        <w:tab/>
        <w:t>Procureurs des intervenants : Cooper, Sandler, Shime &amp; Bergman, Toronto; HIV &amp; AIDS Legal Clinic Ontario, Toronto.</w:t>
      </w:r>
    </w:p>
    <w:p w:rsidR="00603FD6" w:rsidRDefault="00603FD6" w:rsidP="005C6840">
      <w:pPr>
        <w:rPr>
          <w:rFonts w:cs="Times New Roman"/>
          <w:sz w:val="20"/>
          <w:szCs w:val="20"/>
          <w:lang w:val="fr-CA"/>
        </w:rPr>
      </w:pPr>
    </w:p>
    <w:p w:rsidR="00603FD6" w:rsidRDefault="000C68D7" w:rsidP="00603FD6">
      <w:pPr>
        <w:rPr>
          <w:rFonts w:cs="Times New Roman"/>
          <w:sz w:val="20"/>
          <w:szCs w:val="20"/>
          <w:lang w:val="fr-CA"/>
        </w:rPr>
      </w:pPr>
      <w:r>
        <w:rPr>
          <w:rFonts w:cs="Times New Roman"/>
          <w:sz w:val="20"/>
          <w:szCs w:val="20"/>
          <w:lang w:val="fr-CA"/>
        </w:rPr>
        <w:pict>
          <v:rect id="_x0000_i1065" style="width:144.3pt;height:1pt" o:hrpct="300" o:hralign="center" o:hrstd="t" o:hrnoshade="t" o:hr="t" fillcolor="black [3213]" stroked="f"/>
        </w:pict>
      </w:r>
    </w:p>
    <w:p w:rsidR="00603FD6" w:rsidRPr="003F4721" w:rsidRDefault="00603FD6" w:rsidP="00603FD6">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5E0C53">
            <w:pPr>
              <w:keepNext/>
              <w:keepLines/>
              <w:rPr>
                <w:b/>
                <w:szCs w:val="24"/>
              </w:rPr>
            </w:pPr>
            <w:r w:rsidRPr="00C50A5C">
              <w:rPr>
                <w:b/>
                <w:szCs w:val="24"/>
              </w:rPr>
              <w:lastRenderedPageBreak/>
              <w:t xml:space="preserve">AGENDA FOR </w:t>
            </w:r>
            <w:r w:rsidR="005E0C53">
              <w:rPr>
                <w:b/>
                <w:szCs w:val="24"/>
              </w:rPr>
              <w:t>MA</w:t>
            </w:r>
            <w:r w:rsidRPr="00C50A5C">
              <w:rPr>
                <w:b/>
                <w:szCs w:val="24"/>
              </w:rPr>
              <w:t>R</w:t>
            </w:r>
            <w:r w:rsidR="005E0C53">
              <w:rPr>
                <w:b/>
                <w:szCs w:val="24"/>
              </w:rPr>
              <w:t>CH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5E0C53">
            <w:pPr>
              <w:keepNext/>
              <w:keepLines/>
              <w:rPr>
                <w:b/>
                <w:szCs w:val="24"/>
                <w:lang w:val="fr-CA"/>
              </w:rPr>
            </w:pPr>
            <w:r w:rsidRPr="00C50A5C">
              <w:rPr>
                <w:b/>
                <w:szCs w:val="24"/>
                <w:lang w:val="fr-CA"/>
              </w:rPr>
              <w:t xml:space="preserve">CALENDRIER DE </w:t>
            </w:r>
            <w:r w:rsidR="005E0C53">
              <w:rPr>
                <w:b/>
                <w:szCs w:val="24"/>
                <w:lang w:val="fr-CA"/>
              </w:rPr>
              <w:t>MA</w:t>
            </w:r>
            <w:r w:rsidRPr="00C50A5C">
              <w:rPr>
                <w:b/>
                <w:szCs w:val="24"/>
                <w:lang w:val="fr-CA"/>
              </w:rPr>
              <w:t>R</w:t>
            </w:r>
            <w:r w:rsidR="005E0C53">
              <w:rPr>
                <w:b/>
                <w:szCs w:val="24"/>
                <w:lang w:val="fr-CA"/>
              </w:rPr>
              <w:t>S</w:t>
            </w:r>
            <w:r w:rsidRPr="00C50A5C">
              <w:rPr>
                <w:b/>
                <w:szCs w:val="24"/>
                <w:lang w:val="fr-CA"/>
              </w:rPr>
              <w:t xml:space="preserve"> </w:t>
            </w:r>
            <w:r w:rsidR="005E0C53">
              <w:rPr>
                <w:b/>
                <w:szCs w:val="24"/>
                <w:lang w:val="fr-CA"/>
              </w:rPr>
              <w:t>2014</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5E0C53">
        <w:rPr>
          <w:b/>
          <w:sz w:val="20"/>
          <w:szCs w:val="20"/>
        </w:rPr>
        <w:t>March 17</w:t>
      </w:r>
      <w:r w:rsidRPr="00DD0B49">
        <w:rPr>
          <w:b/>
          <w:sz w:val="20"/>
          <w:szCs w:val="20"/>
        </w:rPr>
        <w:t xml:space="preserve"> and </w:t>
      </w:r>
      <w:r w:rsidR="005E0C53">
        <w:rPr>
          <w:b/>
          <w:sz w:val="20"/>
          <w:szCs w:val="20"/>
        </w:rPr>
        <w:t>24</w:t>
      </w:r>
      <w:r w:rsidRPr="00DD0B49">
        <w:rPr>
          <w:b/>
          <w:sz w:val="20"/>
          <w:szCs w:val="20"/>
        </w:rPr>
        <w:t>, 201</w:t>
      </w:r>
      <w:r w:rsidR="005E0C53">
        <w:rPr>
          <w:b/>
          <w:sz w:val="20"/>
          <w:szCs w:val="20"/>
        </w:rPr>
        <w:t>4</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5E0C53">
        <w:rPr>
          <w:b/>
          <w:sz w:val="20"/>
          <w:szCs w:val="20"/>
          <w:lang w:val="fr-CA"/>
        </w:rPr>
        <w:t xml:space="preserve">7 </w:t>
      </w:r>
      <w:r w:rsidRPr="00DD0B49">
        <w:rPr>
          <w:b/>
          <w:sz w:val="20"/>
          <w:szCs w:val="20"/>
          <w:lang w:val="fr-CA"/>
        </w:rPr>
        <w:t>m</w:t>
      </w:r>
      <w:r w:rsidR="005E0C53">
        <w:rPr>
          <w:b/>
          <w:sz w:val="20"/>
          <w:szCs w:val="20"/>
          <w:lang w:val="fr-CA"/>
        </w:rPr>
        <w:t>a</w:t>
      </w:r>
      <w:r w:rsidRPr="00DD0B49">
        <w:rPr>
          <w:b/>
          <w:sz w:val="20"/>
          <w:szCs w:val="20"/>
          <w:lang w:val="fr-CA"/>
        </w:rPr>
        <w:t>r</w:t>
      </w:r>
      <w:r w:rsidR="005E0C53">
        <w:rPr>
          <w:b/>
          <w:sz w:val="20"/>
          <w:szCs w:val="20"/>
          <w:lang w:val="fr-CA"/>
        </w:rPr>
        <w:t>s</w:t>
      </w:r>
      <w:r w:rsidRPr="00DD0B49">
        <w:rPr>
          <w:b/>
          <w:sz w:val="20"/>
          <w:szCs w:val="20"/>
          <w:lang w:val="fr-CA"/>
        </w:rPr>
        <w:t xml:space="preserve"> et celle du </w:t>
      </w:r>
      <w:r w:rsidR="005E0C53">
        <w:rPr>
          <w:b/>
          <w:sz w:val="20"/>
          <w:szCs w:val="20"/>
          <w:lang w:val="fr-CA"/>
        </w:rPr>
        <w:t>24</w:t>
      </w:r>
      <w:r w:rsidRPr="00DD0B49">
        <w:rPr>
          <w:b/>
          <w:sz w:val="20"/>
          <w:szCs w:val="20"/>
          <w:lang w:val="fr-CA"/>
        </w:rPr>
        <w:t xml:space="preserve"> m</w:t>
      </w:r>
      <w:r w:rsidR="005E0C53">
        <w:rPr>
          <w:b/>
          <w:sz w:val="20"/>
          <w:szCs w:val="20"/>
          <w:lang w:val="fr-CA"/>
        </w:rPr>
        <w:t>a</w:t>
      </w:r>
      <w:r w:rsidRPr="00DD0B49">
        <w:rPr>
          <w:b/>
          <w:sz w:val="20"/>
          <w:szCs w:val="20"/>
          <w:lang w:val="fr-CA"/>
        </w:rPr>
        <w:t>r</w:t>
      </w:r>
      <w:r w:rsidR="005E0C53">
        <w:rPr>
          <w:b/>
          <w:sz w:val="20"/>
          <w:szCs w:val="20"/>
          <w:lang w:val="fr-CA"/>
        </w:rPr>
        <w:t>s</w:t>
      </w:r>
      <w:r w:rsidRPr="00DD0B49">
        <w:rPr>
          <w:b/>
          <w:sz w:val="20"/>
          <w:szCs w:val="20"/>
          <w:lang w:val="fr-CA"/>
        </w:rPr>
        <w:t xml:space="preserve"> 201</w:t>
      </w:r>
      <w:r w:rsidR="005E0C53">
        <w:rPr>
          <w:b/>
          <w:sz w:val="20"/>
          <w:szCs w:val="20"/>
          <w:lang w:val="fr-CA"/>
        </w:rPr>
        <w:t>4</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5E0C53">
        <w:rPr>
          <w:sz w:val="20"/>
          <w:szCs w:val="20"/>
        </w:rPr>
        <w:t>March</w:t>
      </w:r>
      <w:r w:rsidRPr="00DD0B49">
        <w:rPr>
          <w:sz w:val="20"/>
          <w:szCs w:val="20"/>
        </w:rPr>
        <w:t xml:space="preserve"> </w:t>
      </w:r>
      <w:r w:rsidR="005E0C53">
        <w:rPr>
          <w:sz w:val="20"/>
          <w:szCs w:val="20"/>
        </w:rPr>
        <w:t>3</w:t>
      </w:r>
      <w:r w:rsidRPr="00DD0B49">
        <w:rPr>
          <w:sz w:val="20"/>
          <w:szCs w:val="20"/>
        </w:rPr>
        <w:t xml:space="preserve">, </w:t>
      </w:r>
      <w:r w:rsidR="005E0C53">
        <w:rPr>
          <w:sz w:val="20"/>
          <w:szCs w:val="20"/>
        </w:rPr>
        <w:t>10</w:t>
      </w:r>
      <w:r w:rsidRPr="00DD0B49">
        <w:rPr>
          <w:sz w:val="20"/>
          <w:szCs w:val="20"/>
        </w:rPr>
        <w:t xml:space="preserve"> and </w:t>
      </w:r>
      <w:r w:rsidR="005E0C53">
        <w:rPr>
          <w:sz w:val="20"/>
          <w:szCs w:val="20"/>
        </w:rPr>
        <w:t>31</w:t>
      </w:r>
      <w:r w:rsidRPr="00DD0B49">
        <w:rPr>
          <w:sz w:val="20"/>
          <w:szCs w:val="20"/>
        </w:rPr>
        <w:t>, 201</w:t>
      </w:r>
      <w:r w:rsidR="005E0C53">
        <w:rPr>
          <w:sz w:val="20"/>
          <w:szCs w:val="20"/>
        </w:rPr>
        <w:t>4</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5E0C53">
        <w:rPr>
          <w:sz w:val="20"/>
          <w:szCs w:val="20"/>
          <w:lang w:val="fr-CA"/>
        </w:rPr>
        <w:t>3</w:t>
      </w:r>
      <w:r w:rsidRPr="00DD0B49">
        <w:rPr>
          <w:sz w:val="20"/>
          <w:szCs w:val="20"/>
          <w:lang w:val="fr-CA"/>
        </w:rPr>
        <w:t xml:space="preserve">, </w:t>
      </w:r>
      <w:r w:rsidR="005E0C53">
        <w:rPr>
          <w:sz w:val="20"/>
          <w:szCs w:val="20"/>
          <w:lang w:val="fr-CA"/>
        </w:rPr>
        <w:t>10</w:t>
      </w:r>
      <w:r w:rsidRPr="00DD0B49">
        <w:rPr>
          <w:sz w:val="20"/>
          <w:szCs w:val="20"/>
          <w:lang w:val="fr-CA"/>
        </w:rPr>
        <w:t xml:space="preserve"> et du </w:t>
      </w:r>
      <w:r w:rsidR="005E0C53">
        <w:rPr>
          <w:sz w:val="20"/>
          <w:szCs w:val="20"/>
          <w:lang w:val="fr-CA"/>
        </w:rPr>
        <w:t>31</w:t>
      </w:r>
      <w:r w:rsidRPr="00DD0B49">
        <w:rPr>
          <w:sz w:val="20"/>
          <w:szCs w:val="20"/>
          <w:lang w:val="fr-CA"/>
        </w:rPr>
        <w:t xml:space="preserve"> m</w:t>
      </w:r>
      <w:r w:rsidR="005E0C53">
        <w:rPr>
          <w:sz w:val="20"/>
          <w:szCs w:val="20"/>
          <w:lang w:val="fr-CA"/>
        </w:rPr>
        <w:t>a</w:t>
      </w:r>
      <w:r w:rsidRPr="00DD0B49">
        <w:rPr>
          <w:sz w:val="20"/>
          <w:szCs w:val="20"/>
          <w:lang w:val="fr-CA"/>
        </w:rPr>
        <w:t>r</w:t>
      </w:r>
      <w:r w:rsidR="005E0C53">
        <w:rPr>
          <w:sz w:val="20"/>
          <w:szCs w:val="20"/>
          <w:lang w:val="fr-CA"/>
        </w:rPr>
        <w:t>s</w:t>
      </w:r>
      <w:r w:rsidRPr="00DD0B49">
        <w:rPr>
          <w:sz w:val="20"/>
          <w:szCs w:val="20"/>
          <w:lang w:val="fr-CA"/>
        </w:rPr>
        <w:t xml:space="preserve"> 201</w:t>
      </w:r>
      <w:r w:rsidR="005E0C53">
        <w:rPr>
          <w:sz w:val="20"/>
          <w:szCs w:val="20"/>
          <w:lang w:val="fr-CA"/>
        </w:rPr>
        <w:t>4</w:t>
      </w:r>
      <w:r w:rsidRPr="00DD0B49">
        <w:rPr>
          <w:sz w:val="20"/>
          <w:szCs w:val="20"/>
          <w:lang w:val="fr-CA"/>
        </w:rPr>
        <w:t>.</w:t>
      </w:r>
    </w:p>
    <w:p w:rsidR="004B66B4" w:rsidRPr="00DD0B49" w:rsidRDefault="000C68D7" w:rsidP="004B66B4">
      <w:pPr>
        <w:rPr>
          <w:sz w:val="20"/>
          <w:szCs w:val="20"/>
        </w:rPr>
      </w:pPr>
      <w:r>
        <w:rPr>
          <w:sz w:val="20"/>
          <w:szCs w:val="20"/>
        </w:rPr>
        <w:pict>
          <v:rect id="_x0000_i1068"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4E1E0A" w:rsidRPr="000C68D7" w:rsidTr="00581489">
        <w:trPr>
          <w:cantSplit/>
        </w:trPr>
        <w:tc>
          <w:tcPr>
            <w:tcW w:w="2398" w:type="dxa"/>
          </w:tcPr>
          <w:p w:rsidR="004E1E0A" w:rsidRPr="003A74F5" w:rsidRDefault="004E1E0A" w:rsidP="00581489">
            <w:pPr>
              <w:rPr>
                <w:rFonts w:eastAsia="Calibri" w:cs="Times New Roman"/>
                <w:sz w:val="20"/>
                <w:szCs w:val="20"/>
              </w:rPr>
            </w:pPr>
            <w:r w:rsidRPr="003A74F5">
              <w:rPr>
                <w:rFonts w:eastAsia="Calibri" w:cs="Times New Roman"/>
                <w:sz w:val="20"/>
                <w:szCs w:val="20"/>
              </w:rPr>
              <w:t>DATE OF HEARING /</w:t>
            </w:r>
          </w:p>
          <w:p w:rsidR="004E1E0A" w:rsidRPr="003A74F5" w:rsidRDefault="004E1E0A" w:rsidP="00581489">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581489">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581489">
            <w:pPr>
              <w:rPr>
                <w:sz w:val="20"/>
                <w:szCs w:val="20"/>
                <w:lang w:val="fr-CA"/>
              </w:rPr>
            </w:pPr>
            <w:r w:rsidRPr="003A74F5">
              <w:rPr>
                <w:rFonts w:eastAsia="Calibri" w:cs="Times New Roman"/>
                <w:sz w:val="20"/>
                <w:szCs w:val="20"/>
                <w:lang w:val="fr-CA"/>
              </w:rPr>
              <w:t>NOM DE LA CAUSE ET NUMÉRO</w:t>
            </w:r>
          </w:p>
          <w:p w:rsidR="004E1E0A" w:rsidRPr="003A74F5" w:rsidRDefault="004E1E0A" w:rsidP="00581489">
            <w:pPr>
              <w:rPr>
                <w:rFonts w:eastAsia="Calibri" w:cs="Times New Roman"/>
                <w:sz w:val="20"/>
                <w:szCs w:val="20"/>
                <w:lang w:val="fr-CA"/>
              </w:rPr>
            </w:pPr>
          </w:p>
        </w:tc>
      </w:tr>
      <w:tr w:rsidR="004E1E0A" w:rsidRPr="003A74F5" w:rsidTr="00936208">
        <w:trPr>
          <w:cantSplit/>
          <w:trHeight w:hRule="exact" w:val="648"/>
        </w:trPr>
        <w:tc>
          <w:tcPr>
            <w:tcW w:w="2398" w:type="dxa"/>
          </w:tcPr>
          <w:p w:rsidR="004E1E0A" w:rsidRPr="003A74F5" w:rsidRDefault="004E1E0A" w:rsidP="005E0C53">
            <w:pPr>
              <w:rPr>
                <w:rFonts w:eastAsia="Calibri" w:cs="Times New Roman"/>
                <w:sz w:val="20"/>
                <w:szCs w:val="20"/>
              </w:rPr>
            </w:pPr>
            <w:r w:rsidRPr="003A74F5">
              <w:rPr>
                <w:rFonts w:eastAsia="Calibri" w:cs="Times New Roman"/>
                <w:sz w:val="20"/>
                <w:szCs w:val="20"/>
              </w:rPr>
              <w:t>201</w:t>
            </w:r>
            <w:r w:rsidR="005E0C53">
              <w:rPr>
                <w:rFonts w:eastAsia="Calibri" w:cs="Times New Roman"/>
                <w:sz w:val="20"/>
                <w:szCs w:val="20"/>
              </w:rPr>
              <w:t>4</w:t>
            </w:r>
            <w:r w:rsidRPr="003A74F5">
              <w:rPr>
                <w:rFonts w:eastAsia="Calibri" w:cs="Times New Roman"/>
                <w:sz w:val="20"/>
                <w:szCs w:val="20"/>
              </w:rPr>
              <w:t>-</w:t>
            </w:r>
            <w:r w:rsidR="005E0C53">
              <w:rPr>
                <w:rFonts w:eastAsia="Calibri" w:cs="Times New Roman"/>
                <w:sz w:val="20"/>
                <w:szCs w:val="20"/>
              </w:rPr>
              <w:t>03</w:t>
            </w:r>
            <w:r w:rsidRPr="003A74F5">
              <w:rPr>
                <w:rFonts w:eastAsia="Calibri" w:cs="Times New Roman"/>
                <w:sz w:val="20"/>
                <w:szCs w:val="20"/>
              </w:rPr>
              <w:t>-</w:t>
            </w:r>
            <w:r w:rsidR="005E0C53">
              <w:rPr>
                <w:rFonts w:eastAsia="Calibri" w:cs="Times New Roman"/>
                <w:sz w:val="20"/>
                <w:szCs w:val="20"/>
              </w:rPr>
              <w:t>18</w:t>
            </w:r>
          </w:p>
        </w:tc>
        <w:tc>
          <w:tcPr>
            <w:tcW w:w="7178" w:type="dxa"/>
          </w:tcPr>
          <w:p w:rsidR="004E1E0A" w:rsidRDefault="006E2BA5" w:rsidP="00581489">
            <w:pPr>
              <w:jc w:val="both"/>
              <w:rPr>
                <w:rFonts w:eastAsia="Calibri" w:cs="Times New Roman"/>
                <w:sz w:val="20"/>
                <w:szCs w:val="20"/>
              </w:rPr>
            </w:pPr>
            <w:r>
              <w:rPr>
                <w:rFonts w:eastAsia="Calibri" w:cs="Times New Roman"/>
                <w:i/>
                <w:sz w:val="20"/>
                <w:szCs w:val="20"/>
              </w:rPr>
              <w:t>Estat</w:t>
            </w:r>
            <w:r w:rsidR="004E1E0A">
              <w:rPr>
                <w:rFonts w:eastAsia="Calibri" w:cs="Times New Roman"/>
                <w:i/>
                <w:sz w:val="20"/>
                <w:szCs w:val="20"/>
              </w:rPr>
              <w:t>e</w:t>
            </w:r>
            <w:r>
              <w:rPr>
                <w:rFonts w:eastAsia="Calibri" w:cs="Times New Roman"/>
                <w:i/>
                <w:sz w:val="20"/>
                <w:szCs w:val="20"/>
              </w:rPr>
              <w:t xml:space="preserve"> of the Late Z</w:t>
            </w:r>
            <w:r w:rsidR="004E1E0A">
              <w:rPr>
                <w:rFonts w:eastAsia="Calibri" w:cs="Times New Roman"/>
                <w:i/>
                <w:sz w:val="20"/>
                <w:szCs w:val="20"/>
              </w:rPr>
              <w:t>a</w:t>
            </w:r>
            <w:r>
              <w:rPr>
                <w:rFonts w:eastAsia="Calibri" w:cs="Times New Roman"/>
                <w:i/>
                <w:sz w:val="20"/>
                <w:szCs w:val="20"/>
              </w:rPr>
              <w:t>hra (Zib</w:t>
            </w:r>
            <w:r w:rsidR="004E1E0A">
              <w:rPr>
                <w:rFonts w:eastAsia="Calibri" w:cs="Times New Roman"/>
                <w:i/>
                <w:sz w:val="20"/>
                <w:szCs w:val="20"/>
              </w:rPr>
              <w:t>a</w:t>
            </w:r>
            <w:r>
              <w:rPr>
                <w:rFonts w:eastAsia="Calibri" w:cs="Times New Roman"/>
                <w:i/>
                <w:sz w:val="20"/>
                <w:szCs w:val="20"/>
              </w:rPr>
              <w:t>) K</w:t>
            </w:r>
            <w:r w:rsidR="004E1E0A">
              <w:rPr>
                <w:rFonts w:eastAsia="Calibri" w:cs="Times New Roman"/>
                <w:i/>
                <w:sz w:val="20"/>
                <w:szCs w:val="20"/>
              </w:rPr>
              <w:t>a</w:t>
            </w:r>
            <w:r>
              <w:rPr>
                <w:rFonts w:eastAsia="Calibri" w:cs="Times New Roman"/>
                <w:i/>
                <w:sz w:val="20"/>
                <w:szCs w:val="20"/>
              </w:rPr>
              <w:t xml:space="preserve">zemi et </w:t>
            </w:r>
            <w:r w:rsidR="004E1E0A">
              <w:rPr>
                <w:rFonts w:eastAsia="Calibri" w:cs="Times New Roman"/>
                <w:i/>
                <w:sz w:val="20"/>
                <w:szCs w:val="20"/>
              </w:rPr>
              <w:t>a</w:t>
            </w:r>
            <w:r>
              <w:rPr>
                <w:rFonts w:eastAsia="Calibri" w:cs="Times New Roman"/>
                <w:i/>
                <w:sz w:val="20"/>
                <w:szCs w:val="20"/>
              </w:rPr>
              <w:t>l.</w:t>
            </w:r>
            <w:r w:rsidR="004E1E0A">
              <w:rPr>
                <w:rFonts w:eastAsia="Calibri" w:cs="Times New Roman"/>
                <w:i/>
                <w:sz w:val="20"/>
                <w:szCs w:val="20"/>
              </w:rPr>
              <w:t xml:space="preserve"> </w:t>
            </w:r>
            <w:r w:rsidR="004E1E0A" w:rsidRPr="003A74F5">
              <w:rPr>
                <w:rFonts w:eastAsia="Calibri" w:cs="Times New Roman"/>
                <w:i/>
                <w:sz w:val="20"/>
                <w:szCs w:val="20"/>
              </w:rPr>
              <w:t xml:space="preserve">v. </w:t>
            </w:r>
            <w:r>
              <w:rPr>
                <w:rFonts w:eastAsia="Calibri" w:cs="Times New Roman"/>
                <w:i/>
                <w:sz w:val="20"/>
                <w:szCs w:val="20"/>
              </w:rPr>
              <w:t xml:space="preserve">Islamic </w:t>
            </w:r>
            <w:r w:rsidR="004E1E0A">
              <w:rPr>
                <w:rFonts w:eastAsia="Calibri" w:cs="Times New Roman"/>
                <w:i/>
                <w:sz w:val="20"/>
                <w:szCs w:val="20"/>
              </w:rPr>
              <w:t>Re</w:t>
            </w:r>
            <w:r>
              <w:rPr>
                <w:rFonts w:eastAsia="Calibri" w:cs="Times New Roman"/>
                <w:i/>
                <w:sz w:val="20"/>
                <w:szCs w:val="20"/>
              </w:rPr>
              <w:t>public of Ir</w:t>
            </w:r>
            <w:r w:rsidR="004E1E0A" w:rsidRPr="003A74F5">
              <w:rPr>
                <w:rFonts w:eastAsia="Calibri" w:cs="Times New Roman"/>
                <w:i/>
                <w:sz w:val="20"/>
                <w:szCs w:val="20"/>
              </w:rPr>
              <w:t>a</w:t>
            </w:r>
            <w:r w:rsidR="004E1E0A">
              <w:rPr>
                <w:rFonts w:eastAsia="Calibri" w:cs="Times New Roman"/>
                <w:i/>
                <w:sz w:val="20"/>
                <w:szCs w:val="20"/>
              </w:rPr>
              <w:t>n</w:t>
            </w:r>
            <w:r>
              <w:rPr>
                <w:rFonts w:eastAsia="Calibri" w:cs="Times New Roman"/>
                <w:i/>
                <w:sz w:val="20"/>
                <w:szCs w:val="20"/>
              </w:rPr>
              <w:t xml:space="preserve"> </w:t>
            </w:r>
            <w:r w:rsidR="004E1E0A" w:rsidRPr="003A74F5">
              <w:rPr>
                <w:rFonts w:eastAsia="Calibri" w:cs="Times New Roman"/>
                <w:i/>
                <w:sz w:val="20"/>
                <w:szCs w:val="20"/>
              </w:rPr>
              <w:t>e</w:t>
            </w:r>
            <w:r>
              <w:rPr>
                <w:rFonts w:eastAsia="Calibri" w:cs="Times New Roman"/>
                <w:i/>
                <w:sz w:val="20"/>
                <w:szCs w:val="20"/>
              </w:rPr>
              <w:t>t al.</w:t>
            </w:r>
            <w:r w:rsidR="004E1E0A">
              <w:rPr>
                <w:rFonts w:eastAsia="Calibri" w:cs="Times New Roman"/>
                <w:i/>
                <w:sz w:val="20"/>
                <w:szCs w:val="20"/>
              </w:rPr>
              <w:t xml:space="preserve"> </w:t>
            </w:r>
            <w:r w:rsidR="004E1E0A" w:rsidRPr="003A74F5">
              <w:rPr>
                <w:rFonts w:eastAsia="Calibri" w:cs="Times New Roman"/>
                <w:sz w:val="20"/>
                <w:szCs w:val="20"/>
              </w:rPr>
              <w:t>(</w:t>
            </w:r>
            <w:r>
              <w:rPr>
                <w:rFonts w:eastAsia="Calibri" w:cs="Times New Roman"/>
                <w:sz w:val="20"/>
                <w:szCs w:val="20"/>
              </w:rPr>
              <w:t>Que</w:t>
            </w:r>
            <w:r w:rsidR="004E1E0A" w:rsidRPr="003A74F5">
              <w:rPr>
                <w:rFonts w:eastAsia="Calibri" w:cs="Times New Roman"/>
                <w:sz w:val="20"/>
                <w:szCs w:val="20"/>
              </w:rPr>
              <w:t>.) (Ci</w:t>
            </w:r>
            <w:r w:rsidR="004E1E0A">
              <w:rPr>
                <w:rFonts w:eastAsia="Calibri" w:cs="Times New Roman"/>
                <w:sz w:val="20"/>
                <w:szCs w:val="20"/>
              </w:rPr>
              <w:t>v</w:t>
            </w:r>
            <w:r w:rsidR="004E1E0A" w:rsidRPr="003A74F5">
              <w:rPr>
                <w:rFonts w:eastAsia="Calibri" w:cs="Times New Roman"/>
                <w:sz w:val="20"/>
                <w:szCs w:val="20"/>
              </w:rPr>
              <w:t>il) (By Leave) (3</w:t>
            </w:r>
            <w:r>
              <w:rPr>
                <w:rFonts w:eastAsia="Calibri" w:cs="Times New Roman"/>
                <w:sz w:val="20"/>
                <w:szCs w:val="20"/>
              </w:rPr>
              <w:t>503</w:t>
            </w:r>
            <w:r w:rsidR="004E1E0A" w:rsidRPr="003A74F5">
              <w:rPr>
                <w:rFonts w:eastAsia="Calibri" w:cs="Times New Roman"/>
                <w:sz w:val="20"/>
                <w:szCs w:val="20"/>
              </w:rPr>
              <w:t>4)</w:t>
            </w:r>
          </w:p>
          <w:p w:rsidR="004E1E0A" w:rsidRPr="003A74F5" w:rsidRDefault="004E1E0A" w:rsidP="006E2BA5">
            <w:pPr>
              <w:jc w:val="both"/>
              <w:rPr>
                <w:rFonts w:eastAsia="Calibri" w:cs="Times New Roman"/>
                <w:sz w:val="20"/>
                <w:szCs w:val="20"/>
              </w:rPr>
            </w:pPr>
          </w:p>
        </w:tc>
      </w:tr>
      <w:tr w:rsidR="004E1E0A" w:rsidRPr="003A74F5" w:rsidTr="00936208">
        <w:trPr>
          <w:cantSplit/>
          <w:trHeight w:hRule="exact" w:val="432"/>
        </w:trPr>
        <w:tc>
          <w:tcPr>
            <w:tcW w:w="2398" w:type="dxa"/>
          </w:tcPr>
          <w:p w:rsidR="004E1E0A" w:rsidRPr="003A74F5" w:rsidRDefault="004E1E0A" w:rsidP="005E0C53">
            <w:pPr>
              <w:rPr>
                <w:rFonts w:eastAsia="Calibri" w:cs="Times New Roman"/>
                <w:sz w:val="20"/>
                <w:szCs w:val="20"/>
              </w:rPr>
            </w:pPr>
            <w:r w:rsidRPr="003A74F5">
              <w:rPr>
                <w:rFonts w:eastAsia="Calibri" w:cs="Times New Roman"/>
                <w:sz w:val="20"/>
                <w:szCs w:val="20"/>
              </w:rPr>
              <w:t>201</w:t>
            </w:r>
            <w:r w:rsidR="005E0C53">
              <w:rPr>
                <w:rFonts w:eastAsia="Calibri" w:cs="Times New Roman"/>
                <w:sz w:val="20"/>
                <w:szCs w:val="20"/>
              </w:rPr>
              <w:t>4</w:t>
            </w:r>
            <w:r w:rsidRPr="003A74F5">
              <w:rPr>
                <w:rFonts w:eastAsia="Calibri" w:cs="Times New Roman"/>
                <w:sz w:val="20"/>
                <w:szCs w:val="20"/>
              </w:rPr>
              <w:t>-</w:t>
            </w:r>
            <w:r w:rsidR="005E0C53">
              <w:rPr>
                <w:rFonts w:eastAsia="Calibri" w:cs="Times New Roman"/>
                <w:sz w:val="20"/>
                <w:szCs w:val="20"/>
              </w:rPr>
              <w:t>03</w:t>
            </w:r>
            <w:r w:rsidRPr="003A74F5">
              <w:rPr>
                <w:rFonts w:eastAsia="Calibri" w:cs="Times New Roman"/>
                <w:sz w:val="20"/>
                <w:szCs w:val="20"/>
              </w:rPr>
              <w:t>-</w:t>
            </w:r>
            <w:r w:rsidR="005E0C53">
              <w:rPr>
                <w:rFonts w:eastAsia="Calibri" w:cs="Times New Roman"/>
                <w:sz w:val="20"/>
                <w:szCs w:val="20"/>
              </w:rPr>
              <w:t>19</w:t>
            </w:r>
          </w:p>
        </w:tc>
        <w:tc>
          <w:tcPr>
            <w:tcW w:w="7178" w:type="dxa"/>
          </w:tcPr>
          <w:p w:rsidR="004E1E0A" w:rsidRDefault="004E1E0A" w:rsidP="00581489">
            <w:pPr>
              <w:jc w:val="both"/>
              <w:rPr>
                <w:rFonts w:eastAsia="Calibri" w:cs="Times New Roman"/>
                <w:sz w:val="20"/>
                <w:szCs w:val="20"/>
              </w:rPr>
            </w:pPr>
            <w:r w:rsidRPr="003A74F5">
              <w:rPr>
                <w:rFonts w:eastAsia="Calibri" w:cs="Times New Roman"/>
                <w:i/>
                <w:sz w:val="20"/>
                <w:szCs w:val="20"/>
              </w:rPr>
              <w:t xml:space="preserve">Her Majesty the Queen v. </w:t>
            </w:r>
            <w:r w:rsidR="006E2BA5">
              <w:rPr>
                <w:rFonts w:eastAsia="Calibri" w:cs="Times New Roman"/>
                <w:i/>
                <w:sz w:val="20"/>
                <w:szCs w:val="20"/>
              </w:rPr>
              <w:t>F</w:t>
            </w:r>
            <w:r>
              <w:rPr>
                <w:rFonts w:eastAsia="Calibri" w:cs="Times New Roman"/>
                <w:i/>
                <w:sz w:val="20"/>
                <w:szCs w:val="20"/>
              </w:rPr>
              <w:t>r</w:t>
            </w:r>
            <w:r w:rsidR="006E2BA5">
              <w:rPr>
                <w:rFonts w:eastAsia="Calibri" w:cs="Times New Roman"/>
                <w:i/>
                <w:sz w:val="20"/>
                <w:szCs w:val="20"/>
              </w:rPr>
              <w:t>ed</w:t>
            </w:r>
            <w:r>
              <w:rPr>
                <w:rFonts w:eastAsia="Calibri" w:cs="Times New Roman"/>
                <w:i/>
                <w:sz w:val="20"/>
                <w:szCs w:val="20"/>
              </w:rPr>
              <w:t>er</w:t>
            </w:r>
            <w:r w:rsidR="006E2BA5">
              <w:rPr>
                <w:rFonts w:eastAsia="Calibri" w:cs="Times New Roman"/>
                <w:i/>
                <w:sz w:val="20"/>
                <w:szCs w:val="20"/>
              </w:rPr>
              <w:t>ick An</w:t>
            </w:r>
            <w:r>
              <w:rPr>
                <w:rFonts w:eastAsia="Calibri" w:cs="Times New Roman"/>
                <w:i/>
                <w:sz w:val="20"/>
                <w:szCs w:val="20"/>
              </w:rPr>
              <w:t>d</w:t>
            </w:r>
            <w:r w:rsidR="006E2BA5">
              <w:rPr>
                <w:rFonts w:eastAsia="Calibri" w:cs="Times New Roman"/>
                <w:i/>
                <w:sz w:val="20"/>
                <w:szCs w:val="20"/>
              </w:rPr>
              <w:t>e</w:t>
            </w:r>
            <w:r>
              <w:rPr>
                <w:rFonts w:eastAsia="Calibri" w:cs="Times New Roman"/>
                <w:i/>
                <w:sz w:val="20"/>
                <w:szCs w:val="20"/>
              </w:rPr>
              <w:t>r</w:t>
            </w:r>
            <w:r w:rsidR="006E2BA5">
              <w:rPr>
                <w:rFonts w:eastAsia="Calibri" w:cs="Times New Roman"/>
                <w:i/>
                <w:sz w:val="20"/>
                <w:szCs w:val="20"/>
              </w:rPr>
              <w:t>son</w:t>
            </w:r>
            <w:r w:rsidRPr="003A74F5">
              <w:rPr>
                <w:rFonts w:eastAsia="Calibri" w:cs="Times New Roman"/>
                <w:sz w:val="20"/>
                <w:szCs w:val="20"/>
              </w:rPr>
              <w:t xml:space="preserve"> (</w:t>
            </w:r>
            <w:r w:rsidR="006E2BA5">
              <w:rPr>
                <w:rFonts w:eastAsia="Calibri" w:cs="Times New Roman"/>
                <w:sz w:val="20"/>
                <w:szCs w:val="20"/>
              </w:rPr>
              <w:t>N.L</w:t>
            </w:r>
            <w:r w:rsidRPr="003A74F5">
              <w:rPr>
                <w:rFonts w:eastAsia="Calibri" w:cs="Times New Roman"/>
                <w:sz w:val="20"/>
                <w:szCs w:val="20"/>
              </w:rPr>
              <w:t>.) (Criminal) (</w:t>
            </w:r>
            <w:r w:rsidR="006E2BA5" w:rsidRPr="003A74F5">
              <w:rPr>
                <w:rFonts w:eastAsia="Calibri" w:cs="Times New Roman"/>
                <w:sz w:val="20"/>
                <w:szCs w:val="20"/>
              </w:rPr>
              <w:t>By Leave</w:t>
            </w:r>
            <w:r w:rsidRPr="003A74F5">
              <w:rPr>
                <w:rFonts w:eastAsia="Calibri" w:cs="Times New Roman"/>
                <w:sz w:val="20"/>
                <w:szCs w:val="20"/>
              </w:rPr>
              <w:t>) (3</w:t>
            </w:r>
            <w:r w:rsidR="006E2BA5">
              <w:rPr>
                <w:rFonts w:eastAsia="Calibri" w:cs="Times New Roman"/>
                <w:sz w:val="20"/>
                <w:szCs w:val="20"/>
              </w:rPr>
              <w:t>52</w:t>
            </w:r>
            <w:r>
              <w:rPr>
                <w:rFonts w:eastAsia="Calibri" w:cs="Times New Roman"/>
                <w:sz w:val="20"/>
                <w:szCs w:val="20"/>
              </w:rPr>
              <w:t>4</w:t>
            </w:r>
            <w:r w:rsidR="006E2BA5">
              <w:rPr>
                <w:rFonts w:eastAsia="Calibri" w:cs="Times New Roman"/>
                <w:sz w:val="20"/>
                <w:szCs w:val="20"/>
              </w:rPr>
              <w:t>6</w:t>
            </w:r>
            <w:r w:rsidRPr="003A74F5">
              <w:rPr>
                <w:rFonts w:eastAsia="Calibri" w:cs="Times New Roman"/>
                <w:sz w:val="20"/>
                <w:szCs w:val="20"/>
              </w:rPr>
              <w:t>)</w:t>
            </w:r>
          </w:p>
          <w:p w:rsidR="004E1E0A" w:rsidRPr="003A74F5" w:rsidRDefault="004E1E0A" w:rsidP="006E2BA5">
            <w:pPr>
              <w:jc w:val="both"/>
              <w:rPr>
                <w:rFonts w:eastAsia="Calibri" w:cs="Times New Roman"/>
                <w:sz w:val="20"/>
                <w:szCs w:val="20"/>
              </w:rPr>
            </w:pPr>
          </w:p>
        </w:tc>
      </w:tr>
      <w:tr w:rsidR="004E1E0A" w:rsidRPr="006E2BA5" w:rsidTr="00936208">
        <w:trPr>
          <w:cantSplit/>
          <w:trHeight w:hRule="exact" w:val="432"/>
        </w:trPr>
        <w:tc>
          <w:tcPr>
            <w:tcW w:w="2398" w:type="dxa"/>
          </w:tcPr>
          <w:p w:rsidR="004E1E0A" w:rsidRPr="003A74F5" w:rsidRDefault="005E0C53" w:rsidP="005E0C53">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20</w:t>
            </w:r>
          </w:p>
        </w:tc>
        <w:tc>
          <w:tcPr>
            <w:tcW w:w="7178" w:type="dxa"/>
          </w:tcPr>
          <w:p w:rsidR="004E1E0A" w:rsidRPr="00422920" w:rsidRDefault="006E2BA5" w:rsidP="00581489">
            <w:pPr>
              <w:jc w:val="both"/>
              <w:rPr>
                <w:rFonts w:eastAsia="Calibri" w:cs="Times New Roman"/>
                <w:sz w:val="20"/>
                <w:szCs w:val="20"/>
              </w:rPr>
            </w:pPr>
            <w:r w:rsidRPr="00422920">
              <w:rPr>
                <w:rFonts w:eastAsia="Calibri" w:cs="Times New Roman"/>
                <w:i/>
                <w:sz w:val="20"/>
                <w:szCs w:val="20"/>
              </w:rPr>
              <w:t>Her Majesty the Queen v. Vincent Quesnelle</w:t>
            </w:r>
            <w:r w:rsidRPr="00422920">
              <w:rPr>
                <w:rFonts w:eastAsia="Calibri" w:cs="Times New Roman"/>
                <w:sz w:val="20"/>
                <w:szCs w:val="20"/>
              </w:rPr>
              <w:t xml:space="preserve"> </w:t>
            </w:r>
            <w:r w:rsidR="004E1E0A" w:rsidRPr="00422920">
              <w:rPr>
                <w:rFonts w:eastAsia="Calibri" w:cs="Times New Roman"/>
                <w:sz w:val="20"/>
                <w:szCs w:val="20"/>
              </w:rPr>
              <w:t>(</w:t>
            </w:r>
            <w:r w:rsidRPr="00422920">
              <w:rPr>
                <w:rFonts w:eastAsia="Calibri" w:cs="Times New Roman"/>
                <w:sz w:val="20"/>
                <w:szCs w:val="20"/>
              </w:rPr>
              <w:t>Ont.</w:t>
            </w:r>
            <w:r w:rsidR="004E1E0A" w:rsidRPr="00422920">
              <w:rPr>
                <w:rFonts w:eastAsia="Calibri" w:cs="Times New Roman"/>
                <w:sz w:val="20"/>
                <w:szCs w:val="20"/>
              </w:rPr>
              <w:t>) (C</w:t>
            </w:r>
            <w:r w:rsidRPr="00422920">
              <w:rPr>
                <w:rFonts w:eastAsia="Calibri" w:cs="Times New Roman"/>
                <w:sz w:val="20"/>
                <w:szCs w:val="20"/>
              </w:rPr>
              <w:t>r</w:t>
            </w:r>
            <w:r w:rsidR="004E1E0A" w:rsidRPr="00422920">
              <w:rPr>
                <w:rFonts w:eastAsia="Calibri" w:cs="Times New Roman"/>
                <w:sz w:val="20"/>
                <w:szCs w:val="20"/>
              </w:rPr>
              <w:t>i</w:t>
            </w:r>
            <w:r w:rsidRPr="00422920">
              <w:rPr>
                <w:rFonts w:eastAsia="Calibri" w:cs="Times New Roman"/>
                <w:sz w:val="20"/>
                <w:szCs w:val="20"/>
              </w:rPr>
              <w:t>m</w:t>
            </w:r>
            <w:r w:rsidR="004E1E0A" w:rsidRPr="00422920">
              <w:rPr>
                <w:rFonts w:eastAsia="Calibri" w:cs="Times New Roman"/>
                <w:sz w:val="20"/>
                <w:szCs w:val="20"/>
              </w:rPr>
              <w:t>i</w:t>
            </w:r>
            <w:r w:rsidRPr="00422920">
              <w:rPr>
                <w:rFonts w:eastAsia="Calibri" w:cs="Times New Roman"/>
                <w:sz w:val="20"/>
                <w:szCs w:val="20"/>
              </w:rPr>
              <w:t>na</w:t>
            </w:r>
            <w:r w:rsidR="004E1E0A" w:rsidRPr="00422920">
              <w:rPr>
                <w:rFonts w:eastAsia="Calibri" w:cs="Times New Roman"/>
                <w:sz w:val="20"/>
                <w:szCs w:val="20"/>
              </w:rPr>
              <w:t>l) (</w:t>
            </w:r>
            <w:r w:rsidRPr="003A74F5">
              <w:rPr>
                <w:rFonts w:eastAsia="Calibri" w:cs="Times New Roman"/>
                <w:sz w:val="20"/>
                <w:szCs w:val="20"/>
              </w:rPr>
              <w:t>By Leave</w:t>
            </w:r>
            <w:r w:rsidR="004E1E0A" w:rsidRPr="00422920">
              <w:rPr>
                <w:rFonts w:eastAsia="Calibri" w:cs="Times New Roman"/>
                <w:sz w:val="20"/>
                <w:szCs w:val="20"/>
              </w:rPr>
              <w:t>) (35</w:t>
            </w:r>
            <w:r w:rsidRPr="00422920">
              <w:rPr>
                <w:rFonts w:eastAsia="Calibri" w:cs="Times New Roman"/>
                <w:sz w:val="20"/>
                <w:szCs w:val="20"/>
              </w:rPr>
              <w:t>390</w:t>
            </w:r>
            <w:r w:rsidR="004E1E0A" w:rsidRPr="00422920">
              <w:rPr>
                <w:rFonts w:eastAsia="Calibri" w:cs="Times New Roman"/>
                <w:sz w:val="20"/>
                <w:szCs w:val="20"/>
              </w:rPr>
              <w:t>)</w:t>
            </w:r>
          </w:p>
          <w:p w:rsidR="004E1E0A" w:rsidRPr="00422920" w:rsidRDefault="004E1E0A" w:rsidP="00581489">
            <w:pPr>
              <w:jc w:val="both"/>
              <w:rPr>
                <w:rFonts w:eastAsia="Calibri" w:cs="Times New Roman"/>
                <w:sz w:val="20"/>
                <w:szCs w:val="20"/>
              </w:rPr>
            </w:pPr>
          </w:p>
        </w:tc>
      </w:tr>
      <w:tr w:rsidR="004E1E0A" w:rsidRPr="006E2BA5" w:rsidTr="00936208">
        <w:trPr>
          <w:cantSplit/>
          <w:trHeight w:hRule="exact" w:val="432"/>
        </w:trPr>
        <w:tc>
          <w:tcPr>
            <w:tcW w:w="2398" w:type="dxa"/>
          </w:tcPr>
          <w:p w:rsidR="004E1E0A" w:rsidRPr="00216AEB" w:rsidRDefault="005E0C53" w:rsidP="005E0C53">
            <w:pPr>
              <w:rPr>
                <w:rFonts w:eastAsia="Calibri" w:cs="Times New Roman"/>
                <w:sz w:val="20"/>
                <w:szCs w:val="20"/>
                <w:lang w:val="fr-CA"/>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21</w:t>
            </w:r>
          </w:p>
        </w:tc>
        <w:tc>
          <w:tcPr>
            <w:tcW w:w="7178" w:type="dxa"/>
          </w:tcPr>
          <w:p w:rsidR="004E1E0A" w:rsidRPr="006E2BA5" w:rsidRDefault="006E2BA5" w:rsidP="00581489">
            <w:pPr>
              <w:jc w:val="both"/>
              <w:rPr>
                <w:rFonts w:eastAsia="Calibri" w:cs="Times New Roman"/>
                <w:sz w:val="20"/>
                <w:szCs w:val="20"/>
              </w:rPr>
            </w:pPr>
            <w:r w:rsidRPr="006E2BA5">
              <w:rPr>
                <w:rFonts w:eastAsia="Calibri" w:cs="Times New Roman"/>
                <w:i/>
                <w:sz w:val="20"/>
                <w:szCs w:val="20"/>
              </w:rPr>
              <w:t>Eric Vokurka v</w:t>
            </w:r>
            <w:r w:rsidR="004E1E0A" w:rsidRPr="006E2BA5">
              <w:rPr>
                <w:rFonts w:eastAsia="Calibri" w:cs="Times New Roman"/>
                <w:i/>
                <w:sz w:val="20"/>
                <w:szCs w:val="20"/>
              </w:rPr>
              <w:t xml:space="preserve">. </w:t>
            </w:r>
            <w:r w:rsidRPr="006E2BA5">
              <w:rPr>
                <w:rFonts w:eastAsia="Calibri" w:cs="Times New Roman"/>
                <w:i/>
                <w:sz w:val="20"/>
                <w:szCs w:val="20"/>
              </w:rPr>
              <w:t xml:space="preserve">Her Majesty the Queen </w:t>
            </w:r>
            <w:r w:rsidRPr="0085047E">
              <w:rPr>
                <w:rFonts w:eastAsia="Calibri" w:cs="Times New Roman"/>
                <w:sz w:val="20"/>
                <w:szCs w:val="20"/>
              </w:rPr>
              <w:t>(</w:t>
            </w:r>
            <w:r>
              <w:rPr>
                <w:rFonts w:eastAsia="Calibri" w:cs="Times New Roman"/>
                <w:sz w:val="20"/>
                <w:szCs w:val="20"/>
              </w:rPr>
              <w:t>N.L</w:t>
            </w:r>
            <w:r w:rsidRPr="0085047E">
              <w:rPr>
                <w:rFonts w:eastAsia="Calibri" w:cs="Times New Roman"/>
                <w:sz w:val="20"/>
                <w:szCs w:val="20"/>
              </w:rPr>
              <w:t xml:space="preserve">.) </w:t>
            </w:r>
            <w:r w:rsidRPr="003A74F5">
              <w:rPr>
                <w:rFonts w:eastAsia="Calibri" w:cs="Times New Roman"/>
                <w:sz w:val="20"/>
                <w:szCs w:val="20"/>
                <w:lang w:val="fr-CA"/>
              </w:rPr>
              <w:t>(Crimin</w:t>
            </w:r>
            <w:r>
              <w:rPr>
                <w:rFonts w:eastAsia="Calibri" w:cs="Times New Roman"/>
                <w:sz w:val="20"/>
                <w:szCs w:val="20"/>
                <w:lang w:val="fr-CA"/>
              </w:rPr>
              <w:t>a</w:t>
            </w:r>
            <w:r w:rsidRPr="003A74F5">
              <w:rPr>
                <w:rFonts w:eastAsia="Calibri" w:cs="Times New Roman"/>
                <w:sz w:val="20"/>
                <w:szCs w:val="20"/>
                <w:lang w:val="fr-CA"/>
              </w:rPr>
              <w:t>l) (A</w:t>
            </w:r>
            <w:r>
              <w:rPr>
                <w:rFonts w:eastAsia="Calibri" w:cs="Times New Roman"/>
                <w:sz w:val="20"/>
                <w:szCs w:val="20"/>
                <w:lang w:val="fr-CA"/>
              </w:rPr>
              <w:t xml:space="preserve">s </w:t>
            </w:r>
            <w:r w:rsidRPr="003A74F5">
              <w:rPr>
                <w:rFonts w:eastAsia="Calibri" w:cs="Times New Roman"/>
                <w:sz w:val="20"/>
                <w:szCs w:val="20"/>
                <w:lang w:val="fr-CA"/>
              </w:rPr>
              <w:t>o</w:t>
            </w:r>
            <w:r>
              <w:rPr>
                <w:rFonts w:eastAsia="Calibri" w:cs="Times New Roman"/>
                <w:sz w:val="20"/>
                <w:szCs w:val="20"/>
                <w:lang w:val="fr-CA"/>
              </w:rPr>
              <w:t>f R</w:t>
            </w:r>
            <w:r w:rsidRPr="003A74F5">
              <w:rPr>
                <w:rFonts w:eastAsia="Calibri" w:cs="Times New Roman"/>
                <w:sz w:val="20"/>
                <w:szCs w:val="20"/>
                <w:lang w:val="fr-CA"/>
              </w:rPr>
              <w:t>i</w:t>
            </w:r>
            <w:r>
              <w:rPr>
                <w:rFonts w:eastAsia="Calibri" w:cs="Times New Roman"/>
                <w:sz w:val="20"/>
                <w:szCs w:val="20"/>
                <w:lang w:val="fr-CA"/>
              </w:rPr>
              <w:t>gh</w:t>
            </w:r>
            <w:r w:rsidRPr="003A74F5">
              <w:rPr>
                <w:rFonts w:eastAsia="Calibri" w:cs="Times New Roman"/>
                <w:sz w:val="20"/>
                <w:szCs w:val="20"/>
                <w:lang w:val="fr-CA"/>
              </w:rPr>
              <w:t xml:space="preserve">t) </w:t>
            </w:r>
            <w:r w:rsidR="004E1E0A" w:rsidRPr="006E2BA5">
              <w:rPr>
                <w:rFonts w:eastAsia="Calibri" w:cs="Times New Roman"/>
                <w:sz w:val="20"/>
                <w:szCs w:val="20"/>
              </w:rPr>
              <w:t xml:space="preserve"> (3</w:t>
            </w:r>
            <w:r>
              <w:rPr>
                <w:rFonts w:eastAsia="Calibri" w:cs="Times New Roman"/>
                <w:sz w:val="20"/>
                <w:szCs w:val="20"/>
              </w:rPr>
              <w:t>5510</w:t>
            </w:r>
            <w:r w:rsidR="004E1E0A" w:rsidRPr="006E2BA5">
              <w:rPr>
                <w:rFonts w:eastAsia="Calibri" w:cs="Times New Roman"/>
                <w:sz w:val="20"/>
                <w:szCs w:val="20"/>
              </w:rPr>
              <w:t>)</w:t>
            </w:r>
          </w:p>
          <w:p w:rsidR="004E1E0A" w:rsidRPr="006E2BA5" w:rsidRDefault="004E1E0A" w:rsidP="00581489">
            <w:pPr>
              <w:jc w:val="both"/>
              <w:rPr>
                <w:rFonts w:eastAsia="Calibri" w:cs="Times New Roman"/>
                <w:sz w:val="20"/>
                <w:szCs w:val="20"/>
              </w:rPr>
            </w:pPr>
          </w:p>
        </w:tc>
      </w:tr>
      <w:tr w:rsidR="004E1E0A" w:rsidRPr="00216AEB" w:rsidTr="00936208">
        <w:trPr>
          <w:cantSplit/>
          <w:trHeight w:hRule="exact" w:val="432"/>
        </w:trPr>
        <w:tc>
          <w:tcPr>
            <w:tcW w:w="2398" w:type="dxa"/>
          </w:tcPr>
          <w:p w:rsidR="004E1E0A" w:rsidRPr="00216AEB" w:rsidRDefault="005E0C53" w:rsidP="005E0C53">
            <w:pPr>
              <w:rPr>
                <w:rFonts w:eastAsia="Calibri" w:cs="Times New Roman"/>
                <w:sz w:val="20"/>
                <w:szCs w:val="20"/>
                <w:lang w:val="fr-CA"/>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21</w:t>
            </w:r>
          </w:p>
        </w:tc>
        <w:tc>
          <w:tcPr>
            <w:tcW w:w="7178" w:type="dxa"/>
          </w:tcPr>
          <w:p w:rsidR="004E1E0A" w:rsidRPr="00581489" w:rsidRDefault="00581489" w:rsidP="00581489">
            <w:pPr>
              <w:jc w:val="both"/>
              <w:rPr>
                <w:rFonts w:eastAsia="Calibri" w:cs="Times New Roman"/>
                <w:sz w:val="20"/>
                <w:szCs w:val="20"/>
              </w:rPr>
            </w:pPr>
            <w:r w:rsidRPr="003A74F5">
              <w:rPr>
                <w:rFonts w:eastAsia="Calibri" w:cs="Times New Roman"/>
                <w:i/>
                <w:sz w:val="20"/>
                <w:szCs w:val="20"/>
              </w:rPr>
              <w:t xml:space="preserve">Her Majesty the Queen v. </w:t>
            </w:r>
            <w:r>
              <w:rPr>
                <w:rFonts w:eastAsia="Calibri" w:cs="Times New Roman"/>
                <w:i/>
                <w:sz w:val="20"/>
                <w:szCs w:val="20"/>
              </w:rPr>
              <w:t>J</w:t>
            </w:r>
            <w:r w:rsidR="004E1E0A" w:rsidRPr="0085047E">
              <w:rPr>
                <w:rFonts w:eastAsia="Calibri" w:cs="Times New Roman"/>
                <w:i/>
                <w:sz w:val="20"/>
                <w:szCs w:val="20"/>
              </w:rPr>
              <w:t>e</w:t>
            </w:r>
            <w:r>
              <w:rPr>
                <w:rFonts w:eastAsia="Calibri" w:cs="Times New Roman"/>
                <w:i/>
                <w:sz w:val="20"/>
                <w:szCs w:val="20"/>
              </w:rPr>
              <w:t>ff</w:t>
            </w:r>
            <w:r w:rsidR="004E1E0A" w:rsidRPr="0085047E">
              <w:rPr>
                <w:rFonts w:eastAsia="Calibri" w:cs="Times New Roman"/>
                <w:i/>
                <w:sz w:val="20"/>
                <w:szCs w:val="20"/>
              </w:rPr>
              <w:t>r</w:t>
            </w:r>
            <w:r>
              <w:rPr>
                <w:rFonts w:eastAsia="Calibri" w:cs="Times New Roman"/>
                <w:i/>
                <w:sz w:val="20"/>
                <w:szCs w:val="20"/>
              </w:rPr>
              <w:t>ey Kevin L</w:t>
            </w:r>
            <w:r w:rsidR="004E1E0A" w:rsidRPr="0085047E">
              <w:rPr>
                <w:rFonts w:eastAsia="Calibri" w:cs="Times New Roman"/>
                <w:i/>
                <w:sz w:val="20"/>
                <w:szCs w:val="20"/>
              </w:rPr>
              <w:t>e</w:t>
            </w:r>
            <w:r>
              <w:rPr>
                <w:rFonts w:eastAsia="Calibri" w:cs="Times New Roman"/>
                <w:i/>
                <w:sz w:val="20"/>
                <w:szCs w:val="20"/>
              </w:rPr>
              <w:t>in</w:t>
            </w:r>
            <w:r w:rsidR="004E1E0A" w:rsidRPr="0085047E">
              <w:rPr>
                <w:rFonts w:eastAsia="Calibri" w:cs="Times New Roman"/>
                <w:i/>
                <w:sz w:val="20"/>
                <w:szCs w:val="20"/>
              </w:rPr>
              <w:t>en</w:t>
            </w:r>
            <w:r w:rsidR="004E1E0A" w:rsidRPr="0085047E">
              <w:rPr>
                <w:rFonts w:eastAsia="Calibri" w:cs="Times New Roman"/>
                <w:sz w:val="20"/>
                <w:szCs w:val="20"/>
              </w:rPr>
              <w:t xml:space="preserve"> (Alta.) </w:t>
            </w:r>
            <w:r w:rsidR="004E1E0A" w:rsidRPr="00581489">
              <w:rPr>
                <w:rFonts w:eastAsia="Calibri" w:cs="Times New Roman"/>
                <w:sz w:val="20"/>
                <w:szCs w:val="20"/>
              </w:rPr>
              <w:t>(Criminal) (As of Right) (3</w:t>
            </w:r>
            <w:r>
              <w:rPr>
                <w:rFonts w:eastAsia="Calibri" w:cs="Times New Roman"/>
                <w:sz w:val="20"/>
                <w:szCs w:val="20"/>
              </w:rPr>
              <w:t>5531</w:t>
            </w:r>
            <w:r w:rsidR="004E1E0A" w:rsidRPr="00581489">
              <w:rPr>
                <w:rFonts w:eastAsia="Calibri" w:cs="Times New Roman"/>
                <w:sz w:val="20"/>
                <w:szCs w:val="20"/>
              </w:rPr>
              <w:t>)</w:t>
            </w:r>
          </w:p>
          <w:p w:rsidR="004E1E0A" w:rsidRPr="00581489" w:rsidRDefault="004E1E0A" w:rsidP="00581489">
            <w:pPr>
              <w:jc w:val="both"/>
              <w:rPr>
                <w:rFonts w:eastAsia="Calibri" w:cs="Times New Roman"/>
                <w:sz w:val="20"/>
                <w:szCs w:val="20"/>
              </w:rPr>
            </w:pPr>
          </w:p>
        </w:tc>
      </w:tr>
      <w:tr w:rsidR="004E1E0A" w:rsidRPr="003A74F5" w:rsidTr="00936208">
        <w:trPr>
          <w:cantSplit/>
          <w:trHeight w:hRule="exact" w:val="648"/>
        </w:trPr>
        <w:tc>
          <w:tcPr>
            <w:tcW w:w="2398" w:type="dxa"/>
          </w:tcPr>
          <w:p w:rsidR="004E1E0A" w:rsidRPr="003A74F5" w:rsidRDefault="005E0C53" w:rsidP="00581489">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24</w:t>
            </w:r>
          </w:p>
        </w:tc>
        <w:tc>
          <w:tcPr>
            <w:tcW w:w="7178" w:type="dxa"/>
          </w:tcPr>
          <w:p w:rsidR="004E1E0A" w:rsidRDefault="00581489" w:rsidP="00581489">
            <w:pPr>
              <w:jc w:val="both"/>
              <w:rPr>
                <w:rFonts w:eastAsia="Calibri" w:cs="Times New Roman"/>
                <w:sz w:val="20"/>
                <w:szCs w:val="20"/>
              </w:rPr>
            </w:pPr>
            <w:r>
              <w:rPr>
                <w:rFonts w:eastAsia="Calibri" w:cs="Times New Roman"/>
                <w:i/>
                <w:sz w:val="20"/>
                <w:szCs w:val="20"/>
              </w:rPr>
              <w:t>Loyol</w:t>
            </w:r>
            <w:r w:rsidR="004E1E0A" w:rsidRPr="0085047E">
              <w:rPr>
                <w:rFonts w:eastAsia="Calibri" w:cs="Times New Roman"/>
                <w:i/>
                <w:sz w:val="20"/>
                <w:szCs w:val="20"/>
              </w:rPr>
              <w:t>a</w:t>
            </w:r>
            <w:r>
              <w:rPr>
                <w:rFonts w:eastAsia="Calibri" w:cs="Times New Roman"/>
                <w:i/>
                <w:sz w:val="20"/>
                <w:szCs w:val="20"/>
              </w:rPr>
              <w:t xml:space="preserve"> H</w:t>
            </w:r>
            <w:r w:rsidR="004E1E0A" w:rsidRPr="0085047E">
              <w:rPr>
                <w:rFonts w:eastAsia="Calibri" w:cs="Times New Roman"/>
                <w:i/>
                <w:sz w:val="20"/>
                <w:szCs w:val="20"/>
              </w:rPr>
              <w:t>i</w:t>
            </w:r>
            <w:r>
              <w:rPr>
                <w:rFonts w:eastAsia="Calibri" w:cs="Times New Roman"/>
                <w:i/>
                <w:sz w:val="20"/>
                <w:szCs w:val="20"/>
              </w:rPr>
              <w:t xml:space="preserve">gh School </w:t>
            </w:r>
            <w:r w:rsidR="004E1E0A" w:rsidRPr="0085047E">
              <w:rPr>
                <w:rFonts w:eastAsia="Calibri" w:cs="Times New Roman"/>
                <w:i/>
                <w:sz w:val="20"/>
                <w:szCs w:val="20"/>
              </w:rPr>
              <w:t xml:space="preserve">et al. v. </w:t>
            </w:r>
            <w:r>
              <w:rPr>
                <w:rFonts w:eastAsia="Calibri" w:cs="Times New Roman"/>
                <w:i/>
                <w:sz w:val="20"/>
                <w:szCs w:val="20"/>
              </w:rPr>
              <w:t>Atto</w:t>
            </w:r>
            <w:r w:rsidR="004E1E0A">
              <w:rPr>
                <w:rFonts w:eastAsia="Calibri" w:cs="Times New Roman"/>
                <w:i/>
                <w:sz w:val="20"/>
                <w:szCs w:val="20"/>
              </w:rPr>
              <w:t>r</w:t>
            </w:r>
            <w:r w:rsidR="004E1E0A" w:rsidRPr="0085047E">
              <w:rPr>
                <w:rFonts w:eastAsia="Calibri" w:cs="Times New Roman"/>
                <w:i/>
                <w:sz w:val="20"/>
                <w:szCs w:val="20"/>
              </w:rPr>
              <w:t>n</w:t>
            </w:r>
            <w:r>
              <w:rPr>
                <w:rFonts w:eastAsia="Calibri" w:cs="Times New Roman"/>
                <w:i/>
                <w:sz w:val="20"/>
                <w:szCs w:val="20"/>
              </w:rPr>
              <w:t>ey Ge</w:t>
            </w:r>
            <w:r w:rsidR="004E1E0A">
              <w:rPr>
                <w:rFonts w:eastAsia="Calibri" w:cs="Times New Roman"/>
                <w:i/>
                <w:sz w:val="20"/>
                <w:szCs w:val="20"/>
              </w:rPr>
              <w:t>ne</w:t>
            </w:r>
            <w:r>
              <w:rPr>
                <w:rFonts w:eastAsia="Calibri" w:cs="Times New Roman"/>
                <w:i/>
                <w:sz w:val="20"/>
                <w:szCs w:val="20"/>
              </w:rPr>
              <w:t>r</w:t>
            </w:r>
            <w:r w:rsidR="004E1E0A">
              <w:rPr>
                <w:rFonts w:eastAsia="Calibri" w:cs="Times New Roman"/>
                <w:i/>
                <w:sz w:val="20"/>
                <w:szCs w:val="20"/>
              </w:rPr>
              <w:t>al</w:t>
            </w:r>
            <w:r>
              <w:rPr>
                <w:rFonts w:eastAsia="Calibri" w:cs="Times New Roman"/>
                <w:i/>
                <w:sz w:val="20"/>
                <w:szCs w:val="20"/>
              </w:rPr>
              <w:t xml:space="preserve"> of Qu</w:t>
            </w:r>
            <w:r w:rsidR="004E1E0A">
              <w:rPr>
                <w:rFonts w:eastAsia="Calibri" w:cs="Times New Roman"/>
                <w:i/>
                <w:sz w:val="20"/>
                <w:szCs w:val="20"/>
              </w:rPr>
              <w:t>e</w:t>
            </w:r>
            <w:r>
              <w:rPr>
                <w:rFonts w:eastAsia="Calibri" w:cs="Times New Roman"/>
                <w:i/>
                <w:sz w:val="20"/>
                <w:szCs w:val="20"/>
              </w:rPr>
              <w:t>b</w:t>
            </w:r>
            <w:r w:rsidR="004E1E0A">
              <w:rPr>
                <w:rFonts w:eastAsia="Calibri" w:cs="Times New Roman"/>
                <w:i/>
                <w:sz w:val="20"/>
                <w:szCs w:val="20"/>
              </w:rPr>
              <w:t>e</w:t>
            </w:r>
            <w:r>
              <w:rPr>
                <w:rFonts w:eastAsia="Calibri" w:cs="Times New Roman"/>
                <w:i/>
                <w:sz w:val="20"/>
                <w:szCs w:val="20"/>
              </w:rPr>
              <w:t>c</w:t>
            </w:r>
            <w:r w:rsidR="004E1E0A" w:rsidRPr="0085047E">
              <w:rPr>
                <w:rFonts w:eastAsia="Calibri" w:cs="Times New Roman"/>
                <w:sz w:val="20"/>
                <w:szCs w:val="20"/>
              </w:rPr>
              <w:t xml:space="preserve"> </w:t>
            </w:r>
            <w:r w:rsidR="004E1E0A" w:rsidRPr="003A74F5">
              <w:rPr>
                <w:rFonts w:eastAsia="Calibri" w:cs="Times New Roman"/>
                <w:sz w:val="20"/>
                <w:szCs w:val="20"/>
              </w:rPr>
              <w:t>(</w:t>
            </w:r>
            <w:r>
              <w:rPr>
                <w:rFonts w:eastAsia="Calibri" w:cs="Times New Roman"/>
                <w:sz w:val="20"/>
                <w:szCs w:val="20"/>
              </w:rPr>
              <w:t>Que</w:t>
            </w:r>
            <w:r w:rsidR="004E1E0A" w:rsidRPr="003A74F5">
              <w:rPr>
                <w:rFonts w:eastAsia="Calibri" w:cs="Times New Roman"/>
                <w:sz w:val="20"/>
                <w:szCs w:val="20"/>
              </w:rPr>
              <w:t>.) (Civil) (By Leave) (3</w:t>
            </w:r>
            <w:r>
              <w:rPr>
                <w:rFonts w:eastAsia="Calibri" w:cs="Times New Roman"/>
                <w:sz w:val="20"/>
                <w:szCs w:val="20"/>
              </w:rPr>
              <w:t>5201</w:t>
            </w:r>
            <w:r w:rsidR="004E1E0A" w:rsidRPr="003A74F5">
              <w:rPr>
                <w:rFonts w:eastAsia="Calibri" w:cs="Times New Roman"/>
                <w:sz w:val="20"/>
                <w:szCs w:val="20"/>
              </w:rPr>
              <w:t>)</w:t>
            </w:r>
          </w:p>
          <w:p w:rsidR="004E1E0A" w:rsidRPr="003A74F5" w:rsidRDefault="004E1E0A" w:rsidP="00581489">
            <w:pPr>
              <w:jc w:val="both"/>
              <w:rPr>
                <w:rFonts w:eastAsia="Calibri" w:cs="Times New Roman"/>
                <w:sz w:val="20"/>
                <w:szCs w:val="20"/>
              </w:rPr>
            </w:pPr>
          </w:p>
        </w:tc>
      </w:tr>
      <w:tr w:rsidR="004E1E0A" w:rsidRPr="003A74F5" w:rsidTr="00936208">
        <w:trPr>
          <w:cantSplit/>
          <w:trHeight w:hRule="exact" w:val="648"/>
        </w:trPr>
        <w:tc>
          <w:tcPr>
            <w:tcW w:w="2398" w:type="dxa"/>
          </w:tcPr>
          <w:p w:rsidR="004E1E0A" w:rsidRPr="003A74F5" w:rsidRDefault="005E0C53" w:rsidP="00581489">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25</w:t>
            </w:r>
          </w:p>
        </w:tc>
        <w:tc>
          <w:tcPr>
            <w:tcW w:w="7178" w:type="dxa"/>
          </w:tcPr>
          <w:p w:rsidR="004E1E0A" w:rsidRPr="001C0139" w:rsidRDefault="00581489" w:rsidP="00581489">
            <w:pPr>
              <w:jc w:val="both"/>
              <w:rPr>
                <w:rFonts w:eastAsia="Calibri" w:cs="Times New Roman"/>
                <w:sz w:val="20"/>
                <w:szCs w:val="20"/>
              </w:rPr>
            </w:pPr>
            <w:r>
              <w:rPr>
                <w:rFonts w:eastAsia="Calibri" w:cs="Times New Roman"/>
                <w:i/>
                <w:sz w:val="20"/>
                <w:szCs w:val="20"/>
              </w:rPr>
              <w:t>Lu</w:t>
            </w:r>
            <w:r w:rsidR="004E1E0A" w:rsidRPr="00202908">
              <w:rPr>
                <w:rFonts w:eastAsia="Calibri" w:cs="Times New Roman"/>
                <w:i/>
                <w:sz w:val="20"/>
                <w:szCs w:val="20"/>
              </w:rPr>
              <w:t>i</w:t>
            </w:r>
            <w:r>
              <w:rPr>
                <w:rFonts w:eastAsia="Calibri" w:cs="Times New Roman"/>
                <w:i/>
                <w:sz w:val="20"/>
                <w:szCs w:val="20"/>
              </w:rPr>
              <w:t>s Albe</w:t>
            </w:r>
            <w:r w:rsidR="004E1E0A" w:rsidRPr="00202908">
              <w:rPr>
                <w:rFonts w:eastAsia="Calibri" w:cs="Times New Roman"/>
                <w:i/>
                <w:sz w:val="20"/>
                <w:szCs w:val="20"/>
              </w:rPr>
              <w:t>rt</w:t>
            </w:r>
            <w:r>
              <w:rPr>
                <w:rFonts w:eastAsia="Calibri" w:cs="Times New Roman"/>
                <w:i/>
                <w:sz w:val="20"/>
                <w:szCs w:val="20"/>
              </w:rPr>
              <w:t>o Hernan</w:t>
            </w:r>
            <w:r w:rsidR="004E1E0A" w:rsidRPr="00202908">
              <w:rPr>
                <w:rFonts w:eastAsia="Calibri" w:cs="Times New Roman"/>
                <w:i/>
                <w:sz w:val="20"/>
                <w:szCs w:val="20"/>
              </w:rPr>
              <w:t>d</w:t>
            </w:r>
            <w:r>
              <w:rPr>
                <w:rFonts w:eastAsia="Calibri" w:cs="Times New Roman"/>
                <w:i/>
                <w:sz w:val="20"/>
                <w:szCs w:val="20"/>
              </w:rPr>
              <w:t>ez Febles</w:t>
            </w:r>
            <w:r w:rsidR="004E1E0A" w:rsidRPr="00202908">
              <w:rPr>
                <w:rFonts w:eastAsia="Calibri" w:cs="Times New Roman"/>
                <w:i/>
                <w:sz w:val="20"/>
                <w:szCs w:val="20"/>
              </w:rPr>
              <w:t xml:space="preserve"> v. </w:t>
            </w:r>
            <w:r>
              <w:rPr>
                <w:rFonts w:eastAsia="Calibri" w:cs="Times New Roman"/>
                <w:i/>
                <w:sz w:val="20"/>
                <w:szCs w:val="20"/>
              </w:rPr>
              <w:t>Minist</w:t>
            </w:r>
            <w:r w:rsidR="004E1E0A" w:rsidRPr="00202908">
              <w:rPr>
                <w:rFonts w:eastAsia="Calibri" w:cs="Times New Roman"/>
                <w:i/>
                <w:sz w:val="20"/>
                <w:szCs w:val="20"/>
              </w:rPr>
              <w:t xml:space="preserve">er </w:t>
            </w:r>
            <w:r>
              <w:rPr>
                <w:rFonts w:eastAsia="Calibri" w:cs="Times New Roman"/>
                <w:i/>
                <w:sz w:val="20"/>
                <w:szCs w:val="20"/>
              </w:rPr>
              <w:t>of Ci</w:t>
            </w:r>
            <w:r w:rsidR="004E1E0A" w:rsidRPr="00202908">
              <w:rPr>
                <w:rFonts w:eastAsia="Calibri" w:cs="Times New Roman"/>
                <w:i/>
                <w:sz w:val="20"/>
                <w:szCs w:val="20"/>
              </w:rPr>
              <w:t>t</w:t>
            </w:r>
            <w:r>
              <w:rPr>
                <w:rFonts w:eastAsia="Calibri" w:cs="Times New Roman"/>
                <w:i/>
                <w:sz w:val="20"/>
                <w:szCs w:val="20"/>
              </w:rPr>
              <w:t>izenship and Immigration</w:t>
            </w:r>
            <w:r w:rsidR="004E1E0A">
              <w:rPr>
                <w:rFonts w:eastAsia="Calibri" w:cs="Times New Roman"/>
                <w:i/>
                <w:sz w:val="20"/>
                <w:szCs w:val="20"/>
              </w:rPr>
              <w:t xml:space="preserve"> </w:t>
            </w:r>
            <w:r w:rsidR="004E1E0A" w:rsidRPr="00202908">
              <w:rPr>
                <w:rFonts w:eastAsia="Calibri" w:cs="Times New Roman"/>
                <w:sz w:val="20"/>
                <w:szCs w:val="20"/>
              </w:rPr>
              <w:t>(</w:t>
            </w:r>
            <w:r>
              <w:rPr>
                <w:rFonts w:eastAsia="Calibri" w:cs="Times New Roman"/>
                <w:sz w:val="20"/>
                <w:szCs w:val="20"/>
              </w:rPr>
              <w:t>F.C</w:t>
            </w:r>
            <w:r w:rsidR="004E1E0A" w:rsidRPr="00202908">
              <w:rPr>
                <w:rFonts w:eastAsia="Calibri" w:cs="Times New Roman"/>
                <w:sz w:val="20"/>
                <w:szCs w:val="20"/>
              </w:rPr>
              <w:t xml:space="preserve">.) </w:t>
            </w:r>
            <w:r w:rsidR="004E1E0A" w:rsidRPr="00581489">
              <w:rPr>
                <w:rFonts w:eastAsia="Calibri" w:cs="Times New Roman"/>
                <w:sz w:val="20"/>
                <w:szCs w:val="20"/>
              </w:rPr>
              <w:t>(Civil) (By Leave) (3</w:t>
            </w:r>
            <w:r>
              <w:rPr>
                <w:rFonts w:eastAsia="Calibri" w:cs="Times New Roman"/>
                <w:sz w:val="20"/>
                <w:szCs w:val="20"/>
              </w:rPr>
              <w:t>52</w:t>
            </w:r>
            <w:r w:rsidR="004E1E0A" w:rsidRPr="00581489">
              <w:rPr>
                <w:rFonts w:eastAsia="Calibri" w:cs="Times New Roman"/>
                <w:sz w:val="20"/>
                <w:szCs w:val="20"/>
              </w:rPr>
              <w:t>1</w:t>
            </w:r>
            <w:r>
              <w:rPr>
                <w:rFonts w:eastAsia="Calibri" w:cs="Times New Roman"/>
                <w:sz w:val="20"/>
                <w:szCs w:val="20"/>
              </w:rPr>
              <w:t>5</w:t>
            </w:r>
            <w:r w:rsidR="004E1E0A" w:rsidRPr="00581489">
              <w:rPr>
                <w:rFonts w:eastAsia="Calibri" w:cs="Times New Roman"/>
                <w:sz w:val="20"/>
                <w:szCs w:val="20"/>
              </w:rPr>
              <w:t>)</w:t>
            </w:r>
          </w:p>
          <w:p w:rsidR="004E1E0A" w:rsidRPr="003A74F5" w:rsidRDefault="004E1E0A" w:rsidP="00581489">
            <w:pPr>
              <w:jc w:val="both"/>
              <w:rPr>
                <w:rFonts w:eastAsia="Calibri" w:cs="Times New Roman"/>
                <w:sz w:val="20"/>
                <w:szCs w:val="20"/>
              </w:rPr>
            </w:pPr>
          </w:p>
        </w:tc>
      </w:tr>
      <w:tr w:rsidR="004E1E0A" w:rsidRPr="0085047E" w:rsidTr="00936208">
        <w:trPr>
          <w:cantSplit/>
          <w:trHeight w:hRule="exact" w:val="648"/>
        </w:trPr>
        <w:tc>
          <w:tcPr>
            <w:tcW w:w="2398" w:type="dxa"/>
          </w:tcPr>
          <w:p w:rsidR="004E1E0A" w:rsidRPr="003A74F5" w:rsidRDefault="005E0C53" w:rsidP="00581489">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26</w:t>
            </w:r>
          </w:p>
        </w:tc>
        <w:tc>
          <w:tcPr>
            <w:tcW w:w="7178" w:type="dxa"/>
          </w:tcPr>
          <w:p w:rsidR="004E1E0A" w:rsidRDefault="00581489" w:rsidP="00581489">
            <w:pPr>
              <w:jc w:val="both"/>
              <w:rPr>
                <w:rFonts w:eastAsia="Calibri" w:cs="Times New Roman"/>
                <w:sz w:val="20"/>
                <w:szCs w:val="20"/>
                <w:lang w:val="fr-CA"/>
              </w:rPr>
            </w:pPr>
            <w:r>
              <w:rPr>
                <w:rFonts w:eastAsia="Calibri" w:cs="Times New Roman"/>
                <w:i/>
                <w:sz w:val="20"/>
                <w:szCs w:val="20"/>
                <w:lang w:val="fr-CA"/>
              </w:rPr>
              <w:t>Michel Thibodeau et autres</w:t>
            </w:r>
            <w:r w:rsidR="004E1E0A">
              <w:rPr>
                <w:rFonts w:eastAsia="Calibri" w:cs="Times New Roman"/>
                <w:i/>
                <w:sz w:val="20"/>
                <w:szCs w:val="20"/>
                <w:lang w:val="fr-CA"/>
              </w:rPr>
              <w:t xml:space="preserve"> </w:t>
            </w:r>
            <w:r>
              <w:rPr>
                <w:rFonts w:eastAsia="Calibri" w:cs="Times New Roman"/>
                <w:i/>
                <w:sz w:val="20"/>
                <w:szCs w:val="20"/>
                <w:lang w:val="fr-CA"/>
              </w:rPr>
              <w:t>c</w:t>
            </w:r>
            <w:r w:rsidR="004E1E0A" w:rsidRPr="003A74F5">
              <w:rPr>
                <w:rFonts w:eastAsia="Calibri" w:cs="Times New Roman"/>
                <w:i/>
                <w:sz w:val="20"/>
                <w:szCs w:val="20"/>
                <w:lang w:val="fr-CA"/>
              </w:rPr>
              <w:t xml:space="preserve">. </w:t>
            </w:r>
            <w:r>
              <w:rPr>
                <w:rFonts w:eastAsia="Calibri" w:cs="Times New Roman"/>
                <w:i/>
                <w:sz w:val="20"/>
                <w:szCs w:val="20"/>
                <w:lang w:val="fr-CA"/>
              </w:rPr>
              <w:t>A</w:t>
            </w:r>
            <w:r w:rsidR="004E1E0A">
              <w:rPr>
                <w:rFonts w:eastAsia="Calibri" w:cs="Times New Roman"/>
                <w:i/>
                <w:sz w:val="20"/>
                <w:szCs w:val="20"/>
                <w:lang w:val="fr-CA"/>
              </w:rPr>
              <w:t>ir</w:t>
            </w:r>
            <w:r>
              <w:rPr>
                <w:rFonts w:eastAsia="Calibri" w:cs="Times New Roman"/>
                <w:i/>
                <w:sz w:val="20"/>
                <w:szCs w:val="20"/>
                <w:lang w:val="fr-CA"/>
              </w:rPr>
              <w:t xml:space="preserve"> Ca</w:t>
            </w:r>
            <w:r w:rsidR="004E1E0A" w:rsidRPr="003A74F5">
              <w:rPr>
                <w:rFonts w:eastAsia="Calibri" w:cs="Times New Roman"/>
                <w:i/>
                <w:sz w:val="20"/>
                <w:szCs w:val="20"/>
                <w:lang w:val="fr-CA"/>
              </w:rPr>
              <w:t>n</w:t>
            </w:r>
            <w:r>
              <w:rPr>
                <w:rFonts w:eastAsia="Calibri" w:cs="Times New Roman"/>
                <w:i/>
                <w:sz w:val="20"/>
                <w:szCs w:val="20"/>
                <w:lang w:val="fr-CA"/>
              </w:rPr>
              <w:t>ada</w:t>
            </w:r>
            <w:r w:rsidR="004E1E0A">
              <w:rPr>
                <w:rFonts w:eastAsia="Calibri" w:cs="Times New Roman"/>
                <w:i/>
                <w:sz w:val="20"/>
                <w:szCs w:val="20"/>
                <w:lang w:val="fr-CA"/>
              </w:rPr>
              <w:t xml:space="preserve"> </w:t>
            </w:r>
            <w:r w:rsidR="004E1E0A" w:rsidRPr="003A74F5">
              <w:rPr>
                <w:rFonts w:eastAsia="Calibri" w:cs="Times New Roman"/>
                <w:i/>
                <w:sz w:val="20"/>
                <w:szCs w:val="20"/>
                <w:lang w:val="fr-CA"/>
              </w:rPr>
              <w:t>e</w:t>
            </w:r>
            <w:r w:rsidR="004E1E0A">
              <w:rPr>
                <w:rFonts w:eastAsia="Calibri" w:cs="Times New Roman"/>
                <w:i/>
                <w:sz w:val="20"/>
                <w:szCs w:val="20"/>
                <w:lang w:val="fr-CA"/>
              </w:rPr>
              <w:t>t a</w:t>
            </w:r>
            <w:r>
              <w:rPr>
                <w:rFonts w:eastAsia="Calibri" w:cs="Times New Roman"/>
                <w:i/>
                <w:sz w:val="20"/>
                <w:szCs w:val="20"/>
                <w:lang w:val="fr-CA"/>
              </w:rPr>
              <w:t>utre</w:t>
            </w:r>
            <w:r w:rsidR="004E1E0A" w:rsidRPr="003A74F5">
              <w:rPr>
                <w:rFonts w:eastAsia="Calibri" w:cs="Times New Roman"/>
                <w:sz w:val="20"/>
                <w:szCs w:val="20"/>
                <w:lang w:val="fr-CA"/>
              </w:rPr>
              <w:t xml:space="preserve"> (</w:t>
            </w:r>
            <w:r>
              <w:rPr>
                <w:rFonts w:eastAsia="Calibri" w:cs="Times New Roman"/>
                <w:sz w:val="20"/>
                <w:szCs w:val="20"/>
                <w:lang w:val="fr-CA"/>
              </w:rPr>
              <w:t>C.F.</w:t>
            </w:r>
            <w:r w:rsidR="004E1E0A" w:rsidRPr="003A74F5">
              <w:rPr>
                <w:rFonts w:eastAsia="Calibri" w:cs="Times New Roman"/>
                <w:sz w:val="20"/>
                <w:szCs w:val="20"/>
                <w:lang w:val="fr-CA"/>
              </w:rPr>
              <w:t>) (Civil</w:t>
            </w:r>
            <w:r>
              <w:rPr>
                <w:rFonts w:eastAsia="Calibri" w:cs="Times New Roman"/>
                <w:sz w:val="20"/>
                <w:szCs w:val="20"/>
                <w:lang w:val="fr-CA"/>
              </w:rPr>
              <w:t>e</w:t>
            </w:r>
            <w:r w:rsidR="004E1E0A" w:rsidRPr="003A74F5">
              <w:rPr>
                <w:rFonts w:eastAsia="Calibri" w:cs="Times New Roman"/>
                <w:sz w:val="20"/>
                <w:szCs w:val="20"/>
                <w:lang w:val="fr-CA"/>
              </w:rPr>
              <w:t>) (</w:t>
            </w:r>
            <w:r>
              <w:rPr>
                <w:rFonts w:eastAsia="Calibri" w:cs="Times New Roman"/>
                <w:sz w:val="20"/>
                <w:szCs w:val="20"/>
                <w:lang w:val="fr-CA"/>
              </w:rPr>
              <w:t>Autoris</w:t>
            </w:r>
            <w:r w:rsidR="004E1E0A" w:rsidRPr="003A74F5">
              <w:rPr>
                <w:rFonts w:eastAsia="Calibri" w:cs="Times New Roman"/>
                <w:sz w:val="20"/>
                <w:szCs w:val="20"/>
                <w:lang w:val="fr-CA"/>
              </w:rPr>
              <w:t>a</w:t>
            </w:r>
            <w:r>
              <w:rPr>
                <w:rFonts w:eastAsia="Calibri" w:cs="Times New Roman"/>
                <w:sz w:val="20"/>
                <w:szCs w:val="20"/>
                <w:lang w:val="fr-CA"/>
              </w:rPr>
              <w:t>tion</w:t>
            </w:r>
            <w:r w:rsidR="004E1E0A" w:rsidRPr="003A74F5">
              <w:rPr>
                <w:rFonts w:eastAsia="Calibri" w:cs="Times New Roman"/>
                <w:sz w:val="20"/>
                <w:szCs w:val="20"/>
                <w:lang w:val="fr-CA"/>
              </w:rPr>
              <w:t>) (3</w:t>
            </w:r>
            <w:r w:rsidR="004E1E0A">
              <w:rPr>
                <w:rFonts w:eastAsia="Calibri" w:cs="Times New Roman"/>
                <w:sz w:val="20"/>
                <w:szCs w:val="20"/>
                <w:lang w:val="fr-CA"/>
              </w:rPr>
              <w:t>5</w:t>
            </w:r>
            <w:r>
              <w:rPr>
                <w:rFonts w:eastAsia="Calibri" w:cs="Times New Roman"/>
                <w:sz w:val="20"/>
                <w:szCs w:val="20"/>
                <w:lang w:val="fr-CA"/>
              </w:rPr>
              <w:t>100</w:t>
            </w:r>
            <w:r w:rsidR="004E1E0A" w:rsidRPr="003A74F5">
              <w:rPr>
                <w:rFonts w:eastAsia="Calibri" w:cs="Times New Roman"/>
                <w:sz w:val="20"/>
                <w:szCs w:val="20"/>
                <w:lang w:val="fr-CA"/>
              </w:rPr>
              <w:t>)</w:t>
            </w:r>
          </w:p>
          <w:p w:rsidR="00581489" w:rsidRPr="003A74F5" w:rsidRDefault="00581489" w:rsidP="00581489">
            <w:pPr>
              <w:jc w:val="both"/>
              <w:rPr>
                <w:rFonts w:eastAsia="Calibri" w:cs="Times New Roman"/>
                <w:sz w:val="20"/>
                <w:szCs w:val="20"/>
                <w:lang w:val="fr-CA"/>
              </w:rPr>
            </w:pPr>
          </w:p>
        </w:tc>
      </w:tr>
      <w:tr w:rsidR="005E0C53" w:rsidRPr="0085047E" w:rsidTr="00936208">
        <w:trPr>
          <w:cantSplit/>
          <w:trHeight w:hRule="exact" w:val="648"/>
        </w:trPr>
        <w:tc>
          <w:tcPr>
            <w:tcW w:w="2398" w:type="dxa"/>
          </w:tcPr>
          <w:p w:rsidR="005E0C53" w:rsidRPr="003A74F5" w:rsidRDefault="005E0C53" w:rsidP="00581489">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27</w:t>
            </w:r>
          </w:p>
        </w:tc>
        <w:tc>
          <w:tcPr>
            <w:tcW w:w="7178" w:type="dxa"/>
          </w:tcPr>
          <w:p w:rsidR="005E0C53" w:rsidRDefault="00581489" w:rsidP="00581489">
            <w:pPr>
              <w:jc w:val="both"/>
              <w:rPr>
                <w:rFonts w:eastAsia="Calibri" w:cs="Times New Roman"/>
                <w:sz w:val="20"/>
                <w:szCs w:val="20"/>
              </w:rPr>
            </w:pPr>
            <w:r>
              <w:rPr>
                <w:rFonts w:eastAsia="Calibri" w:cs="Times New Roman"/>
                <w:i/>
                <w:sz w:val="20"/>
                <w:szCs w:val="20"/>
              </w:rPr>
              <w:t>Tervita Corporation et al.</w:t>
            </w:r>
            <w:r w:rsidRPr="003A74F5">
              <w:rPr>
                <w:rFonts w:eastAsia="Calibri" w:cs="Times New Roman"/>
                <w:i/>
                <w:sz w:val="20"/>
                <w:szCs w:val="20"/>
              </w:rPr>
              <w:t xml:space="preserve"> v. </w:t>
            </w:r>
            <w:r>
              <w:rPr>
                <w:rFonts w:eastAsia="Calibri" w:cs="Times New Roman"/>
                <w:i/>
                <w:sz w:val="20"/>
                <w:szCs w:val="20"/>
              </w:rPr>
              <w:t>Commission</w:t>
            </w:r>
            <w:r w:rsidRPr="003A74F5">
              <w:rPr>
                <w:rFonts w:eastAsia="Calibri" w:cs="Times New Roman"/>
                <w:i/>
                <w:sz w:val="20"/>
                <w:szCs w:val="20"/>
              </w:rPr>
              <w:t xml:space="preserve">er </w:t>
            </w:r>
            <w:r>
              <w:rPr>
                <w:rFonts w:eastAsia="Calibri" w:cs="Times New Roman"/>
                <w:i/>
                <w:sz w:val="20"/>
                <w:szCs w:val="20"/>
              </w:rPr>
              <w:t xml:space="preserve">of Competition </w:t>
            </w:r>
            <w:r w:rsidRPr="003A74F5">
              <w:rPr>
                <w:rFonts w:eastAsia="Calibri" w:cs="Times New Roman"/>
                <w:sz w:val="20"/>
                <w:szCs w:val="20"/>
              </w:rPr>
              <w:t>(</w:t>
            </w:r>
            <w:r>
              <w:rPr>
                <w:rFonts w:eastAsia="Calibri" w:cs="Times New Roman"/>
                <w:sz w:val="20"/>
                <w:szCs w:val="20"/>
              </w:rPr>
              <w:t>F</w:t>
            </w:r>
            <w:r w:rsidRPr="003A74F5">
              <w:rPr>
                <w:rFonts w:eastAsia="Calibri" w:cs="Times New Roman"/>
                <w:sz w:val="20"/>
                <w:szCs w:val="20"/>
              </w:rPr>
              <w:t>.C.) (Ci</w:t>
            </w:r>
            <w:r>
              <w:rPr>
                <w:rFonts w:eastAsia="Calibri" w:cs="Times New Roman"/>
                <w:sz w:val="20"/>
                <w:szCs w:val="20"/>
              </w:rPr>
              <w:t>v</w:t>
            </w:r>
            <w:r w:rsidRPr="003A74F5">
              <w:rPr>
                <w:rFonts w:eastAsia="Calibri" w:cs="Times New Roman"/>
                <w:sz w:val="20"/>
                <w:szCs w:val="20"/>
              </w:rPr>
              <w:t>il) (</w:t>
            </w:r>
            <w:r>
              <w:rPr>
                <w:rFonts w:eastAsia="Calibri" w:cs="Times New Roman"/>
                <w:sz w:val="20"/>
                <w:szCs w:val="20"/>
              </w:rPr>
              <w:t>By Leave</w:t>
            </w:r>
            <w:r w:rsidRPr="003A74F5">
              <w:rPr>
                <w:rFonts w:eastAsia="Calibri" w:cs="Times New Roman"/>
                <w:sz w:val="20"/>
                <w:szCs w:val="20"/>
              </w:rPr>
              <w:t>) (3</w:t>
            </w:r>
            <w:r>
              <w:rPr>
                <w:rFonts w:eastAsia="Calibri" w:cs="Times New Roman"/>
                <w:sz w:val="20"/>
                <w:szCs w:val="20"/>
              </w:rPr>
              <w:t>531</w:t>
            </w:r>
            <w:r w:rsidRPr="003A74F5">
              <w:rPr>
                <w:rFonts w:eastAsia="Calibri" w:cs="Times New Roman"/>
                <w:sz w:val="20"/>
                <w:szCs w:val="20"/>
              </w:rPr>
              <w:t>4</w:t>
            </w:r>
            <w:r>
              <w:rPr>
                <w:rFonts w:eastAsia="Calibri" w:cs="Times New Roman"/>
                <w:sz w:val="20"/>
                <w:szCs w:val="20"/>
              </w:rPr>
              <w:t>)</w:t>
            </w:r>
          </w:p>
          <w:p w:rsidR="00581489" w:rsidRPr="00581489" w:rsidRDefault="00581489" w:rsidP="00581489">
            <w:pPr>
              <w:jc w:val="both"/>
              <w:rPr>
                <w:rFonts w:eastAsia="Calibri" w:cs="Times New Roman"/>
                <w:i/>
                <w:sz w:val="20"/>
                <w:szCs w:val="20"/>
              </w:rPr>
            </w:pPr>
          </w:p>
        </w:tc>
      </w:tr>
      <w:tr w:rsidR="004E1E0A" w:rsidRPr="00936208" w:rsidTr="00936208">
        <w:trPr>
          <w:cantSplit/>
          <w:trHeight w:hRule="exact" w:val="648"/>
        </w:trPr>
        <w:tc>
          <w:tcPr>
            <w:tcW w:w="2398" w:type="dxa"/>
          </w:tcPr>
          <w:p w:rsidR="004E1E0A" w:rsidRPr="0085047E" w:rsidRDefault="005E0C53" w:rsidP="00581489">
            <w:pPr>
              <w:rPr>
                <w:rFonts w:eastAsia="Calibri" w:cs="Times New Roman"/>
                <w:sz w:val="20"/>
                <w:szCs w:val="20"/>
                <w:lang w:val="fr-CA"/>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03</w:t>
            </w:r>
            <w:r w:rsidRPr="003A74F5">
              <w:rPr>
                <w:rFonts w:eastAsia="Calibri" w:cs="Times New Roman"/>
                <w:sz w:val="20"/>
                <w:szCs w:val="20"/>
              </w:rPr>
              <w:t>-</w:t>
            </w:r>
            <w:r>
              <w:rPr>
                <w:rFonts w:eastAsia="Calibri" w:cs="Times New Roman"/>
                <w:sz w:val="20"/>
                <w:szCs w:val="20"/>
              </w:rPr>
              <w:t>28</w:t>
            </w:r>
          </w:p>
        </w:tc>
        <w:tc>
          <w:tcPr>
            <w:tcW w:w="7178" w:type="dxa"/>
          </w:tcPr>
          <w:p w:rsidR="004E1E0A" w:rsidRPr="00936208" w:rsidRDefault="00581489" w:rsidP="00936208">
            <w:pPr>
              <w:jc w:val="both"/>
              <w:rPr>
                <w:rFonts w:eastAsia="Calibri" w:cs="Times New Roman"/>
                <w:sz w:val="20"/>
                <w:szCs w:val="20"/>
                <w:lang w:val="fr-CA"/>
              </w:rPr>
            </w:pPr>
            <w:r>
              <w:rPr>
                <w:rFonts w:eastAsia="Calibri" w:cs="Times New Roman"/>
                <w:i/>
                <w:sz w:val="20"/>
                <w:szCs w:val="20"/>
                <w:lang w:val="fr-CA"/>
              </w:rPr>
              <w:t>Commission des normes du travail c</w:t>
            </w:r>
            <w:r w:rsidRPr="003A74F5">
              <w:rPr>
                <w:rFonts w:eastAsia="Calibri" w:cs="Times New Roman"/>
                <w:i/>
                <w:sz w:val="20"/>
                <w:szCs w:val="20"/>
                <w:lang w:val="fr-CA"/>
              </w:rPr>
              <w:t xml:space="preserve">. </w:t>
            </w:r>
            <w:r>
              <w:rPr>
                <w:rFonts w:eastAsia="Calibri" w:cs="Times New Roman"/>
                <w:i/>
                <w:sz w:val="20"/>
                <w:szCs w:val="20"/>
                <w:lang w:val="fr-CA"/>
              </w:rPr>
              <w:t>A</w:t>
            </w:r>
            <w:r w:rsidR="00936208">
              <w:rPr>
                <w:rFonts w:eastAsia="Calibri" w:cs="Times New Roman"/>
                <w:i/>
                <w:sz w:val="20"/>
                <w:szCs w:val="20"/>
                <w:lang w:val="fr-CA"/>
              </w:rPr>
              <w:t>sph</w:t>
            </w:r>
            <w:r>
              <w:rPr>
                <w:rFonts w:eastAsia="Calibri" w:cs="Times New Roman"/>
                <w:i/>
                <w:sz w:val="20"/>
                <w:szCs w:val="20"/>
                <w:lang w:val="fr-CA"/>
              </w:rPr>
              <w:t>a</w:t>
            </w:r>
            <w:r w:rsidR="00936208">
              <w:rPr>
                <w:rFonts w:eastAsia="Calibri" w:cs="Times New Roman"/>
                <w:i/>
                <w:sz w:val="20"/>
                <w:szCs w:val="20"/>
                <w:lang w:val="fr-CA"/>
              </w:rPr>
              <w:t>lte Desj</w:t>
            </w:r>
            <w:r>
              <w:rPr>
                <w:rFonts w:eastAsia="Calibri" w:cs="Times New Roman"/>
                <w:i/>
                <w:sz w:val="20"/>
                <w:szCs w:val="20"/>
                <w:lang w:val="fr-CA"/>
              </w:rPr>
              <w:t>a</w:t>
            </w:r>
            <w:r w:rsidR="00936208">
              <w:rPr>
                <w:rFonts w:eastAsia="Calibri" w:cs="Times New Roman"/>
                <w:i/>
                <w:sz w:val="20"/>
                <w:szCs w:val="20"/>
                <w:lang w:val="fr-CA"/>
              </w:rPr>
              <w:t>r</w:t>
            </w:r>
            <w:r>
              <w:rPr>
                <w:rFonts w:eastAsia="Calibri" w:cs="Times New Roman"/>
                <w:i/>
                <w:sz w:val="20"/>
                <w:szCs w:val="20"/>
                <w:lang w:val="fr-CA"/>
              </w:rPr>
              <w:t>d</w:t>
            </w:r>
            <w:r w:rsidR="00936208">
              <w:rPr>
                <w:rFonts w:eastAsia="Calibri" w:cs="Times New Roman"/>
                <w:i/>
                <w:sz w:val="20"/>
                <w:szCs w:val="20"/>
                <w:lang w:val="fr-CA"/>
              </w:rPr>
              <w:t>ins Inc.</w:t>
            </w:r>
            <w:r w:rsidRPr="003A74F5">
              <w:rPr>
                <w:rFonts w:eastAsia="Calibri" w:cs="Times New Roman"/>
                <w:sz w:val="20"/>
                <w:szCs w:val="20"/>
                <w:lang w:val="fr-CA"/>
              </w:rPr>
              <w:t xml:space="preserve"> (</w:t>
            </w:r>
            <w:r w:rsidR="00936208">
              <w:rPr>
                <w:rFonts w:eastAsia="Calibri" w:cs="Times New Roman"/>
                <w:sz w:val="20"/>
                <w:szCs w:val="20"/>
                <w:lang w:val="fr-CA"/>
              </w:rPr>
              <w:t>Qc</w:t>
            </w:r>
            <w:r w:rsidRPr="003A74F5">
              <w:rPr>
                <w:rFonts w:eastAsia="Calibri" w:cs="Times New Roman"/>
                <w:sz w:val="20"/>
                <w:szCs w:val="20"/>
                <w:lang w:val="fr-CA"/>
              </w:rPr>
              <w:t>) (Civil</w:t>
            </w:r>
            <w:r>
              <w:rPr>
                <w:rFonts w:eastAsia="Calibri" w:cs="Times New Roman"/>
                <w:sz w:val="20"/>
                <w:szCs w:val="20"/>
                <w:lang w:val="fr-CA"/>
              </w:rPr>
              <w:t>e</w:t>
            </w:r>
            <w:r w:rsidRPr="003A74F5">
              <w:rPr>
                <w:rFonts w:eastAsia="Calibri" w:cs="Times New Roman"/>
                <w:sz w:val="20"/>
                <w:szCs w:val="20"/>
                <w:lang w:val="fr-CA"/>
              </w:rPr>
              <w:t>) (</w:t>
            </w:r>
            <w:r>
              <w:rPr>
                <w:rFonts w:eastAsia="Calibri" w:cs="Times New Roman"/>
                <w:sz w:val="20"/>
                <w:szCs w:val="20"/>
                <w:lang w:val="fr-CA"/>
              </w:rPr>
              <w:t>Autoris</w:t>
            </w:r>
            <w:r w:rsidRPr="003A74F5">
              <w:rPr>
                <w:rFonts w:eastAsia="Calibri" w:cs="Times New Roman"/>
                <w:sz w:val="20"/>
                <w:szCs w:val="20"/>
                <w:lang w:val="fr-CA"/>
              </w:rPr>
              <w:t>a</w:t>
            </w:r>
            <w:r>
              <w:rPr>
                <w:rFonts w:eastAsia="Calibri" w:cs="Times New Roman"/>
                <w:sz w:val="20"/>
                <w:szCs w:val="20"/>
                <w:lang w:val="fr-CA"/>
              </w:rPr>
              <w:t>tion</w:t>
            </w:r>
            <w:r w:rsidRPr="003A74F5">
              <w:rPr>
                <w:rFonts w:eastAsia="Calibri" w:cs="Times New Roman"/>
                <w:sz w:val="20"/>
                <w:szCs w:val="20"/>
                <w:lang w:val="fr-CA"/>
              </w:rPr>
              <w:t>) (3</w:t>
            </w:r>
            <w:r>
              <w:rPr>
                <w:rFonts w:eastAsia="Calibri" w:cs="Times New Roman"/>
                <w:sz w:val="20"/>
                <w:szCs w:val="20"/>
                <w:lang w:val="fr-CA"/>
              </w:rPr>
              <w:t>5375</w:t>
            </w:r>
            <w:r w:rsidRPr="003A74F5">
              <w:rPr>
                <w:rFonts w:eastAsia="Calibri" w:cs="Times New Roman"/>
                <w:sz w:val="20"/>
                <w:szCs w:val="20"/>
                <w:lang w:val="fr-CA"/>
              </w:rPr>
              <w:t>)</w:t>
            </w:r>
          </w:p>
        </w:tc>
      </w:tr>
    </w:tbl>
    <w:p w:rsidR="004B66B4" w:rsidRPr="00936208" w:rsidRDefault="004B66B4" w:rsidP="004B66B4">
      <w:pPr>
        <w:ind w:left="1890" w:hanging="1890"/>
        <w:jc w:val="both"/>
        <w:rPr>
          <w:sz w:val="20"/>
          <w:szCs w:val="20"/>
          <w:lang w:val="fr-CA"/>
        </w:rPr>
      </w:pPr>
    </w:p>
    <w:p w:rsidR="004B66B4" w:rsidRPr="00DD0B49" w:rsidRDefault="000C68D7" w:rsidP="002868D0">
      <w:pPr>
        <w:jc w:val="both"/>
        <w:rPr>
          <w:sz w:val="20"/>
          <w:szCs w:val="20"/>
        </w:rPr>
      </w:pPr>
      <w:r>
        <w:rPr>
          <w:sz w:val="20"/>
          <w:szCs w:val="20"/>
          <w:lang w:val="fr-CA"/>
        </w:rPr>
        <w:pict>
          <v:rect id="_x0000_i1069"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422920" w:rsidRPr="00C55A6C" w:rsidRDefault="00422920" w:rsidP="00422920">
      <w:pPr>
        <w:widowControl w:val="0"/>
        <w:ind w:left="709" w:hanging="709"/>
        <w:jc w:val="both"/>
        <w:rPr>
          <w:b/>
          <w:i/>
          <w:sz w:val="20"/>
          <w:szCs w:val="20"/>
        </w:rPr>
      </w:pPr>
      <w:r w:rsidRPr="00C55A6C">
        <w:rPr>
          <w:rStyle w:val="SCCFileNumberChar"/>
          <w:sz w:val="20"/>
          <w:szCs w:val="20"/>
        </w:rPr>
        <w:t>35034</w:t>
      </w:r>
      <w:r w:rsidRPr="00C55A6C">
        <w:rPr>
          <w:rStyle w:val="SCCFileNumberChar"/>
          <w:sz w:val="20"/>
          <w:szCs w:val="20"/>
        </w:rPr>
        <w:tab/>
      </w:r>
      <w:r w:rsidR="007359BF" w:rsidRPr="00C55A6C">
        <w:rPr>
          <w:sz w:val="20"/>
          <w:szCs w:val="20"/>
        </w:rPr>
        <w:fldChar w:fldCharType="begin"/>
      </w:r>
      <w:r w:rsidRPr="00C55A6C">
        <w:rPr>
          <w:sz w:val="20"/>
          <w:szCs w:val="20"/>
        </w:rPr>
        <w:instrText xml:space="preserve"> SEQ CHAPTER \h \r 1</w:instrText>
      </w:r>
      <w:r w:rsidR="007359BF" w:rsidRPr="00C55A6C">
        <w:rPr>
          <w:sz w:val="20"/>
          <w:szCs w:val="20"/>
        </w:rPr>
        <w:fldChar w:fldCharType="end"/>
      </w:r>
      <w:bookmarkStart w:id="2" w:name="3"/>
      <w:bookmarkEnd w:id="2"/>
      <w:r w:rsidRPr="00C55A6C">
        <w:rPr>
          <w:b/>
          <w:i/>
          <w:sz w:val="20"/>
          <w:szCs w:val="20"/>
        </w:rPr>
        <w:t xml:space="preserve">Estate of the Late Zahra (Ziba) Kazemi and Stephan (Salman) Hashemi v. Islamic Republic of Iran, Ayatollah Sayyid Ali Khamenei, Saeed Mortazavi, Mohammad Bakhshi, Attorney General of Canada </w:t>
      </w:r>
    </w:p>
    <w:p w:rsidR="00422920" w:rsidRPr="00C55A6C" w:rsidRDefault="00422920" w:rsidP="00422920">
      <w:pPr>
        <w:widowControl w:val="0"/>
        <w:jc w:val="both"/>
        <w:rPr>
          <w:sz w:val="20"/>
          <w:szCs w:val="20"/>
        </w:rPr>
      </w:pPr>
    </w:p>
    <w:p w:rsidR="00422920" w:rsidRPr="00C55A6C" w:rsidRDefault="00422920" w:rsidP="00422920">
      <w:pPr>
        <w:jc w:val="both"/>
        <w:rPr>
          <w:sz w:val="20"/>
          <w:szCs w:val="20"/>
        </w:rPr>
      </w:pPr>
      <w:r w:rsidRPr="00C55A6C">
        <w:rPr>
          <w:i/>
          <w:sz w:val="20"/>
          <w:szCs w:val="20"/>
        </w:rPr>
        <w:t>Canadian Charter of Rights and Freedoms</w:t>
      </w:r>
      <w:r w:rsidRPr="00C55A6C">
        <w:rPr>
          <w:sz w:val="20"/>
          <w:szCs w:val="20"/>
        </w:rPr>
        <w:t xml:space="preserve"> - Public International Law - Jurisdictional immunity - Appellants beginning legal proceedings in Quebec against Iran and Iranian officials in relation to alleged torture and death of Canadian citizen in Iran - Whether appellants’ actions against Iranian respondents are barred by application of </w:t>
      </w:r>
      <w:r w:rsidRPr="00C55A6C">
        <w:rPr>
          <w:i/>
          <w:sz w:val="20"/>
          <w:szCs w:val="20"/>
        </w:rPr>
        <w:t>State Immunity Act</w:t>
      </w:r>
      <w:r w:rsidRPr="00C55A6C">
        <w:rPr>
          <w:sz w:val="20"/>
          <w:szCs w:val="20"/>
        </w:rPr>
        <w:t xml:space="preserve">? - Whether s. 3(1) of the Act is inconsistent with either s. 2(e) of </w:t>
      </w:r>
      <w:r w:rsidRPr="00C55A6C">
        <w:rPr>
          <w:i/>
          <w:sz w:val="20"/>
          <w:szCs w:val="20"/>
        </w:rPr>
        <w:t xml:space="preserve">Bill of Rights </w:t>
      </w:r>
      <w:r w:rsidRPr="00C55A6C">
        <w:rPr>
          <w:sz w:val="20"/>
          <w:szCs w:val="20"/>
        </w:rPr>
        <w:t>or</w:t>
      </w:r>
      <w:r w:rsidRPr="00C55A6C">
        <w:rPr>
          <w:i/>
          <w:sz w:val="20"/>
          <w:szCs w:val="20"/>
        </w:rPr>
        <w:t xml:space="preserve"> </w:t>
      </w:r>
      <w:r w:rsidRPr="00C55A6C">
        <w:rPr>
          <w:sz w:val="20"/>
          <w:szCs w:val="20"/>
        </w:rPr>
        <w:t xml:space="preserve">s. 7 of </w:t>
      </w:r>
      <w:r w:rsidRPr="00C55A6C">
        <w:rPr>
          <w:i/>
          <w:sz w:val="20"/>
          <w:szCs w:val="20"/>
        </w:rPr>
        <w:t>Charter</w:t>
      </w:r>
      <w:r w:rsidRPr="00C55A6C">
        <w:rPr>
          <w:sz w:val="20"/>
          <w:szCs w:val="20"/>
        </w:rPr>
        <w:t xml:space="preserve">? - Whether, in light of Canada’s obligations under U.N. </w:t>
      </w:r>
      <w:r w:rsidRPr="00C55A6C">
        <w:rPr>
          <w:i/>
          <w:sz w:val="20"/>
          <w:szCs w:val="20"/>
        </w:rPr>
        <w:t>Convention against Torture</w:t>
      </w:r>
      <w:r w:rsidRPr="00C55A6C">
        <w:rPr>
          <w:sz w:val="20"/>
          <w:szCs w:val="20"/>
        </w:rPr>
        <w:t>, s. 3(1) of the Act conforms to principles of fundamental justice</w:t>
      </w:r>
      <w:r w:rsidRPr="00C55A6C">
        <w:rPr>
          <w:i/>
          <w:sz w:val="20"/>
          <w:szCs w:val="20"/>
        </w:rPr>
        <w:t>?</w:t>
      </w:r>
      <w:r w:rsidRPr="00C55A6C">
        <w:rPr>
          <w:sz w:val="20"/>
          <w:szCs w:val="20"/>
        </w:rPr>
        <w:t xml:space="preserve"> - Whether foreign public officials, sued in their individual capacity, are immune from jurisdiction of Canadian courts in civil proceedings for acts of torture? - </w:t>
      </w:r>
      <w:r w:rsidRPr="00C55A6C">
        <w:rPr>
          <w:i/>
          <w:sz w:val="20"/>
          <w:szCs w:val="20"/>
        </w:rPr>
        <w:t>State Immunity Act</w:t>
      </w:r>
      <w:r w:rsidRPr="00C55A6C">
        <w:rPr>
          <w:sz w:val="20"/>
          <w:szCs w:val="20"/>
        </w:rPr>
        <w:t>, R.S.C., 1985, c. S-18, s. 3</w:t>
      </w:r>
    </w:p>
    <w:p w:rsidR="00422920" w:rsidRPr="00C55A6C" w:rsidRDefault="00422920" w:rsidP="00422920">
      <w:pPr>
        <w:widowControl w:val="0"/>
        <w:jc w:val="both"/>
        <w:rPr>
          <w:sz w:val="20"/>
          <w:szCs w:val="20"/>
        </w:rPr>
      </w:pPr>
    </w:p>
    <w:p w:rsidR="00422920" w:rsidRPr="00C55A6C" w:rsidRDefault="00422920" w:rsidP="00422920">
      <w:pPr>
        <w:jc w:val="both"/>
        <w:rPr>
          <w:sz w:val="20"/>
          <w:szCs w:val="20"/>
        </w:rPr>
      </w:pPr>
      <w:r w:rsidRPr="00C55A6C">
        <w:rPr>
          <w:sz w:val="20"/>
          <w:szCs w:val="20"/>
        </w:rPr>
        <w:t xml:space="preserve">In 2003, Zahra Kazemi, a Canadian citizen and photographer, was arrested and detained while in Iran.  She was allegedly tortured and sexually assaulted by State authorities in Iran.  She later died of her injuries. </w:t>
      </w:r>
    </w:p>
    <w:p w:rsidR="00422920" w:rsidRPr="00C55A6C" w:rsidRDefault="00422920" w:rsidP="00422920">
      <w:pPr>
        <w:rPr>
          <w:sz w:val="20"/>
          <w:szCs w:val="20"/>
        </w:rPr>
      </w:pPr>
    </w:p>
    <w:p w:rsidR="00422920" w:rsidRPr="00C55A6C" w:rsidRDefault="00422920" w:rsidP="00422920">
      <w:pPr>
        <w:jc w:val="both"/>
        <w:rPr>
          <w:sz w:val="20"/>
          <w:szCs w:val="20"/>
        </w:rPr>
      </w:pPr>
      <w:r w:rsidRPr="00C55A6C">
        <w:rPr>
          <w:sz w:val="20"/>
          <w:szCs w:val="20"/>
        </w:rPr>
        <w:t xml:space="preserve">Mrs. Kazemi’s Estate and her son each filed a civil liability claim in Quebec against Iran, the Iranian Head of State, the Chief Public Prosecutor as well as the former Deputy Chief of Intelligence for the prison in which Mrs. Kazemi was held.  The claims of the Estate were for damages for the pain and suffering of Mrs. Kazemi in relation to her abuse, sexual assault, torture and death.  Her son’s claim sought damages for his own pain and suffering provoked by the arrest, torture and death of his mother.  Exemplary and punitive damages were also sought by both the Estate and the son. </w:t>
      </w:r>
    </w:p>
    <w:p w:rsidR="00422920" w:rsidRPr="00C55A6C" w:rsidRDefault="00422920" w:rsidP="00422920">
      <w:pPr>
        <w:rPr>
          <w:sz w:val="20"/>
          <w:szCs w:val="20"/>
        </w:rPr>
      </w:pPr>
    </w:p>
    <w:p w:rsidR="00422920" w:rsidRPr="00C55A6C" w:rsidRDefault="00422920" w:rsidP="00422920">
      <w:pPr>
        <w:jc w:val="both"/>
        <w:rPr>
          <w:sz w:val="20"/>
          <w:szCs w:val="20"/>
        </w:rPr>
      </w:pPr>
      <w:r w:rsidRPr="00C55A6C">
        <w:rPr>
          <w:sz w:val="20"/>
          <w:szCs w:val="20"/>
        </w:rPr>
        <w:t xml:space="preserve">The Iranian respondents brought a motion to dismiss the actions.  They alleged that the actions were barred by the principle of state immunity, set out at s. 3 of the </w:t>
      </w:r>
      <w:r w:rsidRPr="00C55A6C">
        <w:rPr>
          <w:i/>
          <w:sz w:val="20"/>
          <w:szCs w:val="20"/>
        </w:rPr>
        <w:t>State Immunity Act</w:t>
      </w:r>
      <w:r w:rsidRPr="00C55A6C">
        <w:rPr>
          <w:sz w:val="20"/>
          <w:szCs w:val="20"/>
        </w:rPr>
        <w:t xml:space="preserve">, R.S.C. 1985 c. S-18 (“SIA”).  As a general principle, that Act prohibits lawsuits against foreign states before Canadian courts.  The appellants countered with a constitutional challenge alleging that, if the SIA barred their claims, that Act was contrary to s. 2(e) of the </w:t>
      </w:r>
      <w:r w:rsidRPr="00C55A6C">
        <w:rPr>
          <w:i/>
          <w:sz w:val="20"/>
          <w:szCs w:val="20"/>
        </w:rPr>
        <w:t>Canadian Bill of Rights</w:t>
      </w:r>
      <w:r w:rsidRPr="00C55A6C">
        <w:rPr>
          <w:sz w:val="20"/>
          <w:szCs w:val="20"/>
        </w:rPr>
        <w:t xml:space="preserve"> as well as s. 7 of the </w:t>
      </w:r>
      <w:r w:rsidRPr="00C55A6C">
        <w:rPr>
          <w:i/>
          <w:sz w:val="20"/>
          <w:szCs w:val="20"/>
        </w:rPr>
        <w:t xml:space="preserve">Charter </w:t>
      </w:r>
      <w:r w:rsidRPr="00C55A6C">
        <w:rPr>
          <w:sz w:val="20"/>
          <w:szCs w:val="20"/>
        </w:rPr>
        <w:t xml:space="preserve">insofar as the SIA would deprive them of the right to seek a civil remedy against Iran in Canada.  The Attorney General of Canada participated in the legal proceedings for the sole purpose of defending the constitutional validity of the SIA. </w:t>
      </w:r>
    </w:p>
    <w:p w:rsidR="00422920" w:rsidRPr="00C55A6C" w:rsidRDefault="00422920" w:rsidP="00422920">
      <w:pPr>
        <w:widowControl w:val="0"/>
        <w:jc w:val="both"/>
        <w:rPr>
          <w:sz w:val="20"/>
          <w:szCs w:val="20"/>
        </w:rPr>
      </w:pPr>
    </w:p>
    <w:p w:rsidR="00422920" w:rsidRPr="00C55A6C" w:rsidRDefault="00422920" w:rsidP="00422920">
      <w:pPr>
        <w:widowControl w:val="0"/>
        <w:jc w:val="both"/>
        <w:rPr>
          <w:sz w:val="20"/>
          <w:szCs w:val="20"/>
        </w:rPr>
      </w:pPr>
    </w:p>
    <w:p w:rsidR="00422920" w:rsidRPr="00C55A6C" w:rsidRDefault="00422920" w:rsidP="00422920">
      <w:pPr>
        <w:widowControl w:val="0"/>
        <w:ind w:left="2880" w:hanging="2880"/>
        <w:jc w:val="both"/>
        <w:rPr>
          <w:sz w:val="20"/>
          <w:szCs w:val="20"/>
        </w:rPr>
      </w:pPr>
      <w:r w:rsidRPr="00C55A6C">
        <w:rPr>
          <w:sz w:val="20"/>
          <w:szCs w:val="20"/>
        </w:rPr>
        <w:t>Origin of the case:</w:t>
      </w:r>
      <w:r w:rsidRPr="00C55A6C">
        <w:rPr>
          <w:sz w:val="20"/>
          <w:szCs w:val="20"/>
        </w:rPr>
        <w:tab/>
      </w:r>
      <w:bookmarkStart w:id="3" w:name="4"/>
      <w:bookmarkEnd w:id="3"/>
      <w:r w:rsidRPr="00C55A6C">
        <w:rPr>
          <w:sz w:val="20"/>
          <w:szCs w:val="20"/>
        </w:rPr>
        <w:t>Quebec</w:t>
      </w:r>
    </w:p>
    <w:p w:rsidR="00422920" w:rsidRPr="00C55A6C" w:rsidRDefault="00422920" w:rsidP="00422920">
      <w:pPr>
        <w:widowControl w:val="0"/>
        <w:ind w:left="2880" w:hanging="2880"/>
        <w:jc w:val="both"/>
        <w:rPr>
          <w:sz w:val="20"/>
          <w:szCs w:val="20"/>
        </w:rPr>
      </w:pPr>
    </w:p>
    <w:p w:rsidR="00422920" w:rsidRPr="00C55A6C" w:rsidRDefault="00422920" w:rsidP="00422920">
      <w:pPr>
        <w:widowControl w:val="0"/>
        <w:ind w:left="2880" w:hanging="2880"/>
        <w:jc w:val="both"/>
        <w:rPr>
          <w:sz w:val="20"/>
          <w:szCs w:val="20"/>
        </w:rPr>
      </w:pPr>
      <w:r w:rsidRPr="00C55A6C">
        <w:rPr>
          <w:sz w:val="20"/>
          <w:szCs w:val="20"/>
        </w:rPr>
        <w:t>File No.:</w:t>
      </w:r>
      <w:r w:rsidRPr="00C55A6C">
        <w:rPr>
          <w:sz w:val="20"/>
          <w:szCs w:val="20"/>
        </w:rPr>
        <w:tab/>
      </w:r>
      <w:bookmarkStart w:id="4" w:name="2"/>
      <w:bookmarkEnd w:id="4"/>
      <w:r w:rsidRPr="00C55A6C">
        <w:rPr>
          <w:sz w:val="20"/>
          <w:szCs w:val="20"/>
        </w:rPr>
        <w:t>35034</w:t>
      </w:r>
    </w:p>
    <w:p w:rsidR="00422920" w:rsidRPr="00C55A6C" w:rsidRDefault="00422920" w:rsidP="00422920">
      <w:pPr>
        <w:widowControl w:val="0"/>
        <w:ind w:left="2880" w:hanging="2880"/>
        <w:jc w:val="both"/>
        <w:rPr>
          <w:sz w:val="20"/>
          <w:szCs w:val="20"/>
        </w:rPr>
      </w:pPr>
    </w:p>
    <w:p w:rsidR="00422920" w:rsidRPr="00C55A6C" w:rsidRDefault="00422920" w:rsidP="00422920">
      <w:pPr>
        <w:ind w:left="2880" w:hanging="2880"/>
        <w:rPr>
          <w:sz w:val="20"/>
          <w:szCs w:val="20"/>
        </w:rPr>
      </w:pPr>
      <w:r w:rsidRPr="00C55A6C">
        <w:rPr>
          <w:sz w:val="20"/>
          <w:szCs w:val="20"/>
        </w:rPr>
        <w:t>Judgment of the Court of Appeal:</w:t>
      </w:r>
      <w:r w:rsidRPr="00C55A6C">
        <w:rPr>
          <w:sz w:val="20"/>
          <w:szCs w:val="20"/>
        </w:rPr>
        <w:tab/>
      </w:r>
      <w:bookmarkStart w:id="5" w:name="5"/>
      <w:bookmarkEnd w:id="5"/>
      <w:r w:rsidRPr="00C55A6C">
        <w:rPr>
          <w:sz w:val="20"/>
          <w:szCs w:val="20"/>
        </w:rPr>
        <w:t>August 15, 2012</w:t>
      </w:r>
    </w:p>
    <w:p w:rsidR="00422920" w:rsidRPr="00C55A6C" w:rsidRDefault="00422920" w:rsidP="00422920">
      <w:pPr>
        <w:widowControl w:val="0"/>
        <w:ind w:left="2880" w:hanging="2880"/>
        <w:jc w:val="both"/>
        <w:rPr>
          <w:sz w:val="20"/>
          <w:szCs w:val="20"/>
        </w:rPr>
      </w:pPr>
    </w:p>
    <w:p w:rsidR="00422920" w:rsidRPr="00C55A6C" w:rsidRDefault="00422920" w:rsidP="00422920">
      <w:pPr>
        <w:widowControl w:val="0"/>
        <w:ind w:left="2880" w:hanging="2880"/>
        <w:jc w:val="both"/>
        <w:rPr>
          <w:sz w:val="20"/>
          <w:szCs w:val="20"/>
        </w:rPr>
      </w:pPr>
      <w:r w:rsidRPr="00C55A6C">
        <w:rPr>
          <w:sz w:val="20"/>
          <w:szCs w:val="20"/>
        </w:rPr>
        <w:t>Counsel:</w:t>
      </w:r>
      <w:r w:rsidRPr="00C55A6C">
        <w:rPr>
          <w:sz w:val="20"/>
          <w:szCs w:val="20"/>
        </w:rPr>
        <w:tab/>
      </w:r>
      <w:bookmarkStart w:id="6" w:name="6"/>
      <w:bookmarkEnd w:id="6"/>
      <w:r w:rsidRPr="00C55A6C">
        <w:rPr>
          <w:sz w:val="20"/>
          <w:szCs w:val="20"/>
        </w:rPr>
        <w:t>Kurt A. Johnson, Mathieu Bouchard, Audrey Boctor, David</w:t>
      </w:r>
      <w:r w:rsidR="007D0B2F">
        <w:rPr>
          <w:sz w:val="20"/>
          <w:szCs w:val="20"/>
        </w:rPr>
        <w:t> </w:t>
      </w:r>
      <w:r w:rsidRPr="00C55A6C">
        <w:rPr>
          <w:sz w:val="20"/>
          <w:szCs w:val="20"/>
        </w:rPr>
        <w:t>Grossman</w:t>
      </w:r>
      <w:r w:rsidR="007D0B2F">
        <w:rPr>
          <w:sz w:val="20"/>
          <w:szCs w:val="20"/>
        </w:rPr>
        <w:t> </w:t>
      </w:r>
      <w:r w:rsidRPr="00C55A6C">
        <w:rPr>
          <w:sz w:val="20"/>
          <w:szCs w:val="20"/>
        </w:rPr>
        <w:t>for</w:t>
      </w:r>
      <w:r w:rsidR="007D0B2F">
        <w:rPr>
          <w:sz w:val="20"/>
          <w:szCs w:val="20"/>
        </w:rPr>
        <w:t> </w:t>
      </w:r>
      <w:r w:rsidRPr="00C55A6C">
        <w:rPr>
          <w:sz w:val="20"/>
          <w:szCs w:val="20"/>
        </w:rPr>
        <w:t>the appellants</w:t>
      </w:r>
    </w:p>
    <w:p w:rsidR="00422920" w:rsidRPr="00C55A6C" w:rsidRDefault="00422920" w:rsidP="00422920">
      <w:pPr>
        <w:widowControl w:val="0"/>
        <w:ind w:left="2880" w:hanging="2880"/>
        <w:jc w:val="both"/>
        <w:rPr>
          <w:sz w:val="20"/>
          <w:szCs w:val="20"/>
        </w:rPr>
      </w:pPr>
      <w:r w:rsidRPr="00C55A6C">
        <w:rPr>
          <w:sz w:val="20"/>
          <w:szCs w:val="20"/>
        </w:rPr>
        <w:tab/>
      </w:r>
      <w:bookmarkStart w:id="7" w:name="7"/>
      <w:bookmarkEnd w:id="7"/>
      <w:r w:rsidRPr="00C55A6C">
        <w:rPr>
          <w:sz w:val="20"/>
          <w:szCs w:val="20"/>
        </w:rPr>
        <w:t>Bernard Letarte, René LeBlanc for the respondent</w:t>
      </w:r>
    </w:p>
    <w:p w:rsidR="00422920" w:rsidRPr="00C55A6C" w:rsidRDefault="00422920" w:rsidP="00422920">
      <w:pPr>
        <w:widowControl w:val="0"/>
        <w:ind w:left="2880" w:hanging="2880"/>
        <w:jc w:val="both"/>
        <w:rPr>
          <w:sz w:val="20"/>
          <w:szCs w:val="20"/>
        </w:rPr>
      </w:pPr>
      <w:r w:rsidRPr="00C55A6C">
        <w:rPr>
          <w:sz w:val="20"/>
          <w:szCs w:val="20"/>
        </w:rPr>
        <w:tab/>
        <w:t>Christopher D. Bredt as</w:t>
      </w:r>
      <w:r w:rsidRPr="00C55A6C">
        <w:rPr>
          <w:i/>
          <w:sz w:val="20"/>
          <w:szCs w:val="20"/>
        </w:rPr>
        <w:t xml:space="preserve"> amicus curiae</w:t>
      </w:r>
    </w:p>
    <w:p w:rsidR="000B3C9A" w:rsidRPr="00DD0B49" w:rsidRDefault="000B3C9A" w:rsidP="000B3C9A">
      <w:pPr>
        <w:tabs>
          <w:tab w:val="left" w:pos="-1440"/>
          <w:tab w:val="left" w:pos="-720"/>
        </w:tabs>
        <w:ind w:left="720" w:hanging="720"/>
        <w:jc w:val="both"/>
        <w:rPr>
          <w:sz w:val="20"/>
          <w:szCs w:val="20"/>
        </w:rPr>
      </w:pPr>
    </w:p>
    <w:p w:rsidR="000B3C9A" w:rsidRPr="00DD0B49" w:rsidRDefault="000C68D7" w:rsidP="000B3C9A">
      <w:pPr>
        <w:tabs>
          <w:tab w:val="left" w:pos="-1440"/>
          <w:tab w:val="left" w:pos="-720"/>
        </w:tabs>
        <w:ind w:left="720" w:hanging="720"/>
        <w:jc w:val="both"/>
        <w:rPr>
          <w:sz w:val="20"/>
          <w:szCs w:val="20"/>
        </w:rPr>
      </w:pPr>
      <w:r>
        <w:rPr>
          <w:sz w:val="20"/>
          <w:szCs w:val="20"/>
          <w:lang w:val="fr-CA"/>
        </w:rPr>
        <w:pict>
          <v:rect id="_x0000_i1072" style="width:2in;height:1pt" o:hrpct="0" o:hralign="center" o:hrstd="t" o:hrnoshade="t" o:hr="t" fillcolor="black [3213]" stroked="f"/>
        </w:pict>
      </w:r>
    </w:p>
    <w:p w:rsidR="000B3C9A" w:rsidRPr="0055561A" w:rsidRDefault="000B3C9A" w:rsidP="000B3C9A">
      <w:pPr>
        <w:tabs>
          <w:tab w:val="left" w:pos="-1440"/>
          <w:tab w:val="left" w:pos="-720"/>
        </w:tabs>
        <w:ind w:left="720" w:hanging="720"/>
        <w:jc w:val="both"/>
        <w:rPr>
          <w:sz w:val="20"/>
          <w:szCs w:val="20"/>
        </w:rPr>
      </w:pPr>
    </w:p>
    <w:p w:rsidR="0055561A" w:rsidRDefault="0055561A">
      <w:pPr>
        <w:rPr>
          <w:sz w:val="20"/>
          <w:szCs w:val="20"/>
        </w:rPr>
      </w:pPr>
      <w:r>
        <w:rPr>
          <w:sz w:val="20"/>
          <w:szCs w:val="20"/>
        </w:rPr>
        <w:br w:type="page"/>
      </w:r>
    </w:p>
    <w:p w:rsidR="00A726D7" w:rsidRPr="00A726D7" w:rsidRDefault="00A726D7" w:rsidP="00A726D7">
      <w:pPr>
        <w:widowControl w:val="0"/>
        <w:ind w:left="709" w:hanging="709"/>
        <w:jc w:val="both"/>
        <w:rPr>
          <w:b/>
          <w:i/>
          <w:sz w:val="20"/>
          <w:szCs w:val="20"/>
        </w:rPr>
      </w:pPr>
      <w:r w:rsidRPr="00A726D7">
        <w:rPr>
          <w:rStyle w:val="SCCFileNumberChar"/>
          <w:sz w:val="20"/>
          <w:szCs w:val="20"/>
        </w:rPr>
        <w:lastRenderedPageBreak/>
        <w:t>35034</w:t>
      </w:r>
      <w:r w:rsidRPr="00A726D7">
        <w:rPr>
          <w:rStyle w:val="SCCFileNumberChar"/>
          <w:sz w:val="20"/>
          <w:szCs w:val="20"/>
        </w:rPr>
        <w:tab/>
      </w:r>
      <w:r w:rsidR="007359BF" w:rsidRPr="00C25149">
        <w:rPr>
          <w:sz w:val="20"/>
          <w:szCs w:val="20"/>
          <w:lang w:val="fr-CA"/>
        </w:rPr>
        <w:fldChar w:fldCharType="begin"/>
      </w:r>
      <w:r w:rsidRPr="00A726D7">
        <w:rPr>
          <w:sz w:val="20"/>
          <w:szCs w:val="20"/>
        </w:rPr>
        <w:instrText xml:space="preserve"> SEQ CHAPTER \h \r 1</w:instrText>
      </w:r>
      <w:r w:rsidR="007359BF" w:rsidRPr="00C25149">
        <w:rPr>
          <w:sz w:val="20"/>
          <w:szCs w:val="20"/>
          <w:lang w:val="fr-CA"/>
        </w:rPr>
        <w:fldChar w:fldCharType="end"/>
      </w:r>
      <w:r w:rsidRPr="00A726D7">
        <w:rPr>
          <w:b/>
          <w:i/>
          <w:sz w:val="20"/>
          <w:szCs w:val="20"/>
        </w:rPr>
        <w:t xml:space="preserve">Succession de feu Zahra (Ziba) Kazemi et Stephan (Salman) Hashemi c. République islamique d’Iran, ayatollah Sayyid Ali Khamenei, Saeed Mortazavi, Mohammad Bakhshi, procureur général du Canada </w:t>
      </w:r>
    </w:p>
    <w:p w:rsidR="00A726D7" w:rsidRPr="00A726D7" w:rsidRDefault="00A726D7" w:rsidP="00A726D7">
      <w:pPr>
        <w:widowControl w:val="0"/>
        <w:jc w:val="both"/>
        <w:rPr>
          <w:sz w:val="20"/>
          <w:szCs w:val="20"/>
        </w:rPr>
      </w:pPr>
    </w:p>
    <w:p w:rsidR="00A726D7" w:rsidRPr="00C25149" w:rsidRDefault="00A726D7" w:rsidP="00A726D7">
      <w:pPr>
        <w:jc w:val="both"/>
        <w:rPr>
          <w:sz w:val="20"/>
          <w:szCs w:val="20"/>
          <w:lang w:val="fr-CA"/>
        </w:rPr>
      </w:pPr>
      <w:r w:rsidRPr="00C25149">
        <w:rPr>
          <w:i/>
          <w:sz w:val="20"/>
          <w:szCs w:val="20"/>
          <w:lang w:val="fr-CA"/>
        </w:rPr>
        <w:t>Charte canadienne des droits et libertés</w:t>
      </w:r>
      <w:r w:rsidRPr="00C25149">
        <w:rPr>
          <w:sz w:val="20"/>
          <w:szCs w:val="20"/>
          <w:lang w:val="fr-CA"/>
        </w:rPr>
        <w:t xml:space="preserve"> - Droit international public - Immunité de juridiction - Procédure judiciaire engagée au Québec par les appelants contre l’Iran et des représentants iraniens parce qu’ils auraient torturé et tué une citoyenne canadienne en Iran - Les poursuites des appelants contre les intimés iraniens sont-elles irrecevables par l’application de la </w:t>
      </w:r>
      <w:r w:rsidRPr="00C25149">
        <w:rPr>
          <w:i/>
          <w:sz w:val="20"/>
          <w:szCs w:val="20"/>
          <w:lang w:val="fr-CA"/>
        </w:rPr>
        <w:t>Loi sur l’immunité des États</w:t>
      </w:r>
      <w:r w:rsidRPr="00C25149">
        <w:rPr>
          <w:sz w:val="20"/>
          <w:szCs w:val="20"/>
          <w:lang w:val="fr-CA"/>
        </w:rPr>
        <w:t xml:space="preserve">? - Le par. 3(1) de la </w:t>
      </w:r>
      <w:r w:rsidRPr="00C25149">
        <w:rPr>
          <w:i/>
          <w:sz w:val="20"/>
          <w:szCs w:val="20"/>
          <w:lang w:val="fr-CA"/>
        </w:rPr>
        <w:t xml:space="preserve">Loi </w:t>
      </w:r>
      <w:r w:rsidRPr="00C25149">
        <w:rPr>
          <w:sz w:val="20"/>
          <w:szCs w:val="20"/>
          <w:lang w:val="fr-CA"/>
        </w:rPr>
        <w:t>est-il incompatible avec l’al. 2</w:t>
      </w:r>
      <w:r w:rsidRPr="00C25149">
        <w:rPr>
          <w:i/>
          <w:sz w:val="20"/>
          <w:szCs w:val="20"/>
          <w:lang w:val="fr-CA"/>
        </w:rPr>
        <w:t>e</w:t>
      </w:r>
      <w:r w:rsidRPr="00C25149">
        <w:rPr>
          <w:sz w:val="20"/>
          <w:szCs w:val="20"/>
          <w:lang w:val="fr-CA"/>
        </w:rPr>
        <w:t xml:space="preserve">) de la </w:t>
      </w:r>
      <w:r w:rsidRPr="00C25149">
        <w:rPr>
          <w:i/>
          <w:sz w:val="20"/>
          <w:szCs w:val="20"/>
          <w:lang w:val="fr-CA"/>
        </w:rPr>
        <w:t>Déclaration des droits</w:t>
      </w:r>
      <w:r w:rsidRPr="00C25149">
        <w:rPr>
          <w:sz w:val="20"/>
          <w:szCs w:val="20"/>
          <w:lang w:val="fr-CA"/>
        </w:rPr>
        <w:t xml:space="preserve"> ou l’art. 7 de la </w:t>
      </w:r>
      <w:r w:rsidRPr="00C25149">
        <w:rPr>
          <w:i/>
          <w:sz w:val="20"/>
          <w:szCs w:val="20"/>
          <w:lang w:val="fr-CA"/>
        </w:rPr>
        <w:t>Charte</w:t>
      </w:r>
      <w:r w:rsidRPr="00C25149">
        <w:rPr>
          <w:sz w:val="20"/>
          <w:szCs w:val="20"/>
          <w:lang w:val="fr-CA"/>
        </w:rPr>
        <w:t xml:space="preserve">? - À la lumière des obligations qui incombent au Canada en vertu de la </w:t>
      </w:r>
      <w:r w:rsidRPr="00C25149">
        <w:rPr>
          <w:i/>
          <w:sz w:val="20"/>
          <w:szCs w:val="20"/>
          <w:lang w:val="fr-CA"/>
        </w:rPr>
        <w:t>Convention contre la torture</w:t>
      </w:r>
      <w:r w:rsidRPr="00C25149">
        <w:rPr>
          <w:sz w:val="20"/>
          <w:szCs w:val="20"/>
          <w:lang w:val="fr-CA"/>
        </w:rPr>
        <w:t xml:space="preserve"> de l’ONU, le par. 3(1) de la </w:t>
      </w:r>
      <w:r w:rsidRPr="00C25149">
        <w:rPr>
          <w:i/>
          <w:sz w:val="20"/>
          <w:szCs w:val="20"/>
          <w:lang w:val="fr-CA"/>
        </w:rPr>
        <w:t xml:space="preserve">Loi </w:t>
      </w:r>
      <w:r w:rsidRPr="00C25149">
        <w:rPr>
          <w:sz w:val="20"/>
          <w:szCs w:val="20"/>
          <w:lang w:val="fr-CA"/>
        </w:rPr>
        <w:t xml:space="preserve">est-il conforme aux principes de justice fondamentale? - Les représentants d’un État étranger, poursuivis à titre personnel, jouissent-ils de l’immunité de juridiction devant les tribunaux canadiens dans des instances civiles relativement aux actes de torture? - </w:t>
      </w:r>
      <w:r w:rsidRPr="00C25149">
        <w:rPr>
          <w:i/>
          <w:sz w:val="20"/>
          <w:szCs w:val="20"/>
          <w:lang w:val="fr-CA"/>
        </w:rPr>
        <w:t>Loi sur l’immunité des États</w:t>
      </w:r>
      <w:r w:rsidRPr="00C25149">
        <w:rPr>
          <w:sz w:val="20"/>
          <w:szCs w:val="20"/>
          <w:lang w:val="fr-CA"/>
        </w:rPr>
        <w:t>, L.R.C. 1985, ch. S-18.</w:t>
      </w:r>
    </w:p>
    <w:p w:rsidR="00A726D7" w:rsidRPr="00C25149" w:rsidRDefault="00A726D7" w:rsidP="00A726D7">
      <w:pPr>
        <w:widowControl w:val="0"/>
        <w:jc w:val="both"/>
        <w:rPr>
          <w:sz w:val="20"/>
          <w:szCs w:val="20"/>
          <w:lang w:val="fr-CA"/>
        </w:rPr>
      </w:pPr>
    </w:p>
    <w:p w:rsidR="00A726D7" w:rsidRPr="00C25149" w:rsidRDefault="00A726D7" w:rsidP="00A726D7">
      <w:pPr>
        <w:jc w:val="both"/>
        <w:rPr>
          <w:sz w:val="20"/>
          <w:szCs w:val="20"/>
          <w:lang w:val="fr-CA"/>
        </w:rPr>
      </w:pPr>
      <w:r w:rsidRPr="00C25149">
        <w:rPr>
          <w:sz w:val="20"/>
          <w:szCs w:val="20"/>
          <w:lang w:val="fr-CA"/>
        </w:rPr>
        <w:t xml:space="preserve">En 2003, Zahra Kazemi, une citoyenne et photographe canadienne, a été arrêtée et incarcérée alors qu’elle se trouvait en Iran.  Elle aurait été torturée et agressée sexuellement par les autorités de l’État en Iran.  Elle est décédée de ses blessures par la suite. </w:t>
      </w:r>
    </w:p>
    <w:p w:rsidR="00A726D7" w:rsidRPr="00C25149" w:rsidRDefault="00A726D7" w:rsidP="00A726D7">
      <w:pPr>
        <w:rPr>
          <w:sz w:val="20"/>
          <w:szCs w:val="20"/>
          <w:lang w:val="fr-CA"/>
        </w:rPr>
      </w:pPr>
    </w:p>
    <w:p w:rsidR="00A726D7" w:rsidRPr="00C25149" w:rsidRDefault="00A726D7" w:rsidP="00A726D7">
      <w:pPr>
        <w:jc w:val="both"/>
        <w:rPr>
          <w:sz w:val="20"/>
          <w:szCs w:val="20"/>
          <w:lang w:val="fr-CA"/>
        </w:rPr>
      </w:pPr>
      <w:r w:rsidRPr="00C25149">
        <w:rPr>
          <w:sz w:val="20"/>
          <w:szCs w:val="20"/>
          <w:lang w:val="fr-CA"/>
        </w:rPr>
        <w:t>La succession de Mme Kazemi et son fils ont chacun engagé au Québec une poursuite en responsabilité civile contre l’Iran, le chef de l’État iranien, le procureur en chef des poursuites pénales et l’ancien sous-chef du Renseignement de la prison où M</w:t>
      </w:r>
      <w:r w:rsidRPr="00C25149">
        <w:rPr>
          <w:sz w:val="20"/>
          <w:szCs w:val="20"/>
          <w:vertAlign w:val="superscript"/>
          <w:lang w:val="fr-CA"/>
        </w:rPr>
        <w:t>me </w:t>
      </w:r>
      <w:r w:rsidRPr="00C25149">
        <w:rPr>
          <w:sz w:val="20"/>
          <w:szCs w:val="20"/>
          <w:lang w:val="fr-CA"/>
        </w:rPr>
        <w:t>Kazemi était détenue.  La succession réclamait des dommages-intérêts pour les douleurs et souffrances subies par M</w:t>
      </w:r>
      <w:r w:rsidRPr="00C25149">
        <w:rPr>
          <w:sz w:val="20"/>
          <w:szCs w:val="20"/>
          <w:vertAlign w:val="superscript"/>
          <w:lang w:val="fr-CA"/>
        </w:rPr>
        <w:t>me </w:t>
      </w:r>
      <w:r w:rsidRPr="00C25149">
        <w:rPr>
          <w:sz w:val="20"/>
          <w:szCs w:val="20"/>
          <w:lang w:val="fr-CA"/>
        </w:rPr>
        <w:t xml:space="preserve">Kazemi relativement aux mauvais traitements, à l’agression sexuelle et à la torture qui lui ont été infligés et à sa mort.  La poursuite intentée par son fils visait à obtenir des dommages-intérêts pour le préjudice moral que lui ont causé l’arrestation, la torture et la mort de sa mère.  Le fils et la succession ont aussi demandé des dommages-intérêts exemplaires et punitifs. </w:t>
      </w:r>
    </w:p>
    <w:p w:rsidR="00A726D7" w:rsidRPr="00C25149" w:rsidRDefault="00A726D7" w:rsidP="00A726D7">
      <w:pPr>
        <w:rPr>
          <w:sz w:val="20"/>
          <w:szCs w:val="20"/>
          <w:lang w:val="fr-CA"/>
        </w:rPr>
      </w:pPr>
    </w:p>
    <w:p w:rsidR="00A726D7" w:rsidRPr="00C25149" w:rsidRDefault="00A726D7" w:rsidP="00A726D7">
      <w:pPr>
        <w:jc w:val="both"/>
        <w:rPr>
          <w:sz w:val="20"/>
          <w:szCs w:val="20"/>
          <w:lang w:val="fr-CA"/>
        </w:rPr>
      </w:pPr>
      <w:r w:rsidRPr="00C25149">
        <w:rPr>
          <w:sz w:val="20"/>
          <w:szCs w:val="20"/>
          <w:lang w:val="fr-CA"/>
        </w:rPr>
        <w:t xml:space="preserve">Les intimés iraniens ont déposé une requête en rejet des poursuites.  Selon eux, les poursuites étaient irrecevables par l’application du principe d’immunité des États, énoncé dans l’art. 3 de la </w:t>
      </w:r>
      <w:r w:rsidRPr="00C25149">
        <w:rPr>
          <w:i/>
          <w:sz w:val="20"/>
          <w:szCs w:val="20"/>
          <w:lang w:val="fr-CA"/>
        </w:rPr>
        <w:t>Loi sur l’immunité des États</w:t>
      </w:r>
      <w:r w:rsidRPr="00C25149">
        <w:rPr>
          <w:sz w:val="20"/>
          <w:szCs w:val="20"/>
          <w:lang w:val="fr-CA"/>
        </w:rPr>
        <w:t>, L.R.C. 1985 ch. S-18 (« LIÉ »).  En règle générale, cette loi interdit d’engager des poursuites contre d’autres États devant les tribunaux canadiens.  Les appelants ont répliqué en soulevant une contestation constitutionnelle, prétendant que si la LIÉ fait obstacle à leurs poursuites, elle contrevient à l’al. 2</w:t>
      </w:r>
      <w:r w:rsidRPr="00C25149">
        <w:rPr>
          <w:i/>
          <w:sz w:val="20"/>
          <w:szCs w:val="20"/>
          <w:lang w:val="fr-CA"/>
        </w:rPr>
        <w:t>e</w:t>
      </w:r>
      <w:r w:rsidRPr="00C25149">
        <w:rPr>
          <w:sz w:val="20"/>
          <w:szCs w:val="20"/>
          <w:lang w:val="fr-CA"/>
        </w:rPr>
        <w:t xml:space="preserve">) de la </w:t>
      </w:r>
      <w:r w:rsidRPr="00C25149">
        <w:rPr>
          <w:i/>
          <w:sz w:val="20"/>
          <w:szCs w:val="20"/>
          <w:lang w:val="fr-CA"/>
        </w:rPr>
        <w:t>Déclaration canadienne des droits</w:t>
      </w:r>
      <w:r w:rsidRPr="00C25149">
        <w:rPr>
          <w:sz w:val="20"/>
          <w:szCs w:val="20"/>
          <w:lang w:val="fr-CA"/>
        </w:rPr>
        <w:t xml:space="preserve"> et à l’art. 7 de la </w:t>
      </w:r>
      <w:r w:rsidRPr="00C25149">
        <w:rPr>
          <w:i/>
          <w:sz w:val="20"/>
          <w:szCs w:val="20"/>
          <w:lang w:val="fr-CA"/>
        </w:rPr>
        <w:t xml:space="preserve">Charte </w:t>
      </w:r>
      <w:r w:rsidRPr="00C25149">
        <w:rPr>
          <w:sz w:val="20"/>
          <w:szCs w:val="20"/>
          <w:lang w:val="fr-CA"/>
        </w:rPr>
        <w:t xml:space="preserve">dans la mesure où elle les priverait du droit d’exercer un recours civil au Canada contre l’Iran.  Le procureur général du Canada a participé à l’instance dans le seul but de défendre la validité constitutionnelle de la LIÉ. </w:t>
      </w:r>
    </w:p>
    <w:p w:rsidR="00A726D7" w:rsidRPr="00C25149" w:rsidRDefault="00A726D7" w:rsidP="00A726D7">
      <w:pPr>
        <w:widowControl w:val="0"/>
        <w:jc w:val="both"/>
        <w:rPr>
          <w:sz w:val="20"/>
          <w:szCs w:val="20"/>
          <w:lang w:val="fr-CA"/>
        </w:rPr>
      </w:pPr>
    </w:p>
    <w:p w:rsidR="00A726D7" w:rsidRPr="00C25149" w:rsidRDefault="00A726D7" w:rsidP="00A726D7">
      <w:pPr>
        <w:widowControl w:val="0"/>
        <w:jc w:val="both"/>
        <w:rPr>
          <w:sz w:val="20"/>
          <w:szCs w:val="20"/>
          <w:lang w:val="fr-CA"/>
        </w:rPr>
      </w:pPr>
    </w:p>
    <w:p w:rsidR="00A726D7" w:rsidRPr="00C25149" w:rsidRDefault="00A726D7" w:rsidP="00A726D7">
      <w:pPr>
        <w:widowControl w:val="0"/>
        <w:ind w:left="2880" w:hanging="2880"/>
        <w:jc w:val="both"/>
        <w:rPr>
          <w:sz w:val="20"/>
          <w:szCs w:val="20"/>
          <w:lang w:val="fr-CA"/>
        </w:rPr>
      </w:pPr>
      <w:r w:rsidRPr="00C25149">
        <w:rPr>
          <w:sz w:val="20"/>
          <w:szCs w:val="20"/>
          <w:lang w:val="fr-CA"/>
        </w:rPr>
        <w:t>Origine :</w:t>
      </w:r>
      <w:r w:rsidRPr="00C25149">
        <w:rPr>
          <w:sz w:val="20"/>
          <w:szCs w:val="20"/>
          <w:lang w:val="fr-CA"/>
        </w:rPr>
        <w:tab/>
        <w:t>Québec</w:t>
      </w:r>
    </w:p>
    <w:p w:rsidR="00A726D7" w:rsidRPr="00C25149" w:rsidRDefault="00A726D7" w:rsidP="00A726D7">
      <w:pPr>
        <w:widowControl w:val="0"/>
        <w:ind w:left="2880" w:hanging="2880"/>
        <w:jc w:val="both"/>
        <w:rPr>
          <w:sz w:val="20"/>
          <w:szCs w:val="20"/>
          <w:lang w:val="fr-CA"/>
        </w:rPr>
      </w:pPr>
    </w:p>
    <w:p w:rsidR="00A726D7" w:rsidRPr="00C25149" w:rsidRDefault="00A726D7" w:rsidP="00A726D7">
      <w:pPr>
        <w:widowControl w:val="0"/>
        <w:ind w:left="2880" w:hanging="2880"/>
        <w:jc w:val="both"/>
        <w:rPr>
          <w:sz w:val="20"/>
          <w:szCs w:val="20"/>
          <w:lang w:val="fr-CA"/>
        </w:rPr>
      </w:pPr>
      <w:r w:rsidRPr="00C25149">
        <w:rPr>
          <w:sz w:val="20"/>
          <w:szCs w:val="20"/>
          <w:lang w:val="fr-CA"/>
        </w:rPr>
        <w:t>N</w:t>
      </w:r>
      <w:r w:rsidRPr="00C25149">
        <w:rPr>
          <w:sz w:val="20"/>
          <w:szCs w:val="20"/>
          <w:vertAlign w:val="superscript"/>
          <w:lang w:val="fr-CA"/>
        </w:rPr>
        <w:t>o</w:t>
      </w:r>
      <w:r w:rsidRPr="00C25149">
        <w:rPr>
          <w:sz w:val="20"/>
          <w:szCs w:val="20"/>
          <w:lang w:val="fr-CA"/>
        </w:rPr>
        <w:t xml:space="preserve"> du greffe :</w:t>
      </w:r>
      <w:r w:rsidRPr="00C25149">
        <w:rPr>
          <w:sz w:val="20"/>
          <w:szCs w:val="20"/>
          <w:lang w:val="fr-CA"/>
        </w:rPr>
        <w:tab/>
        <w:t>35034</w:t>
      </w:r>
    </w:p>
    <w:p w:rsidR="00A726D7" w:rsidRPr="00C25149" w:rsidRDefault="00A726D7" w:rsidP="00A726D7">
      <w:pPr>
        <w:widowControl w:val="0"/>
        <w:ind w:left="2880" w:hanging="2880"/>
        <w:jc w:val="both"/>
        <w:rPr>
          <w:sz w:val="20"/>
          <w:szCs w:val="20"/>
          <w:lang w:val="fr-CA"/>
        </w:rPr>
      </w:pPr>
    </w:p>
    <w:p w:rsidR="00A726D7" w:rsidRPr="00C25149" w:rsidRDefault="00A726D7" w:rsidP="00A726D7">
      <w:pPr>
        <w:ind w:left="2880" w:hanging="2880"/>
        <w:rPr>
          <w:sz w:val="20"/>
          <w:szCs w:val="20"/>
          <w:lang w:val="fr-CA"/>
        </w:rPr>
      </w:pPr>
      <w:r w:rsidRPr="00C25149">
        <w:rPr>
          <w:sz w:val="20"/>
          <w:szCs w:val="20"/>
          <w:lang w:val="fr-CA"/>
        </w:rPr>
        <w:t>Arrêt de la Cour d’appel :</w:t>
      </w:r>
      <w:r w:rsidRPr="00C25149">
        <w:rPr>
          <w:sz w:val="20"/>
          <w:szCs w:val="20"/>
          <w:lang w:val="fr-CA"/>
        </w:rPr>
        <w:tab/>
        <w:t>15 août 2012</w:t>
      </w:r>
    </w:p>
    <w:p w:rsidR="00A726D7" w:rsidRPr="00C25149" w:rsidRDefault="00A726D7" w:rsidP="00A726D7">
      <w:pPr>
        <w:widowControl w:val="0"/>
        <w:ind w:left="2880" w:hanging="2880"/>
        <w:jc w:val="both"/>
        <w:rPr>
          <w:sz w:val="20"/>
          <w:szCs w:val="20"/>
          <w:lang w:val="fr-CA"/>
        </w:rPr>
      </w:pPr>
    </w:p>
    <w:p w:rsidR="00A726D7" w:rsidRPr="00C25149" w:rsidRDefault="00A726D7" w:rsidP="00A726D7">
      <w:pPr>
        <w:widowControl w:val="0"/>
        <w:ind w:left="2880" w:hanging="2880"/>
        <w:jc w:val="both"/>
        <w:rPr>
          <w:sz w:val="20"/>
          <w:szCs w:val="20"/>
          <w:lang w:val="fr-CA"/>
        </w:rPr>
      </w:pPr>
      <w:r w:rsidRPr="00C25149">
        <w:rPr>
          <w:sz w:val="20"/>
          <w:szCs w:val="20"/>
          <w:lang w:val="fr-CA"/>
        </w:rPr>
        <w:t>Avocats :</w:t>
      </w:r>
      <w:r w:rsidRPr="00C25149">
        <w:rPr>
          <w:sz w:val="20"/>
          <w:szCs w:val="20"/>
          <w:lang w:val="fr-CA"/>
        </w:rPr>
        <w:tab/>
        <w:t>Kurt A. Johnson, Mathieu Bouchard, Audrey Boctor, David</w:t>
      </w:r>
      <w:r w:rsidR="007D0B2F">
        <w:rPr>
          <w:sz w:val="20"/>
          <w:szCs w:val="20"/>
          <w:lang w:val="fr-CA"/>
        </w:rPr>
        <w:t> </w:t>
      </w:r>
      <w:r w:rsidRPr="00C25149">
        <w:rPr>
          <w:sz w:val="20"/>
          <w:szCs w:val="20"/>
          <w:lang w:val="fr-CA"/>
        </w:rPr>
        <w:t>Grossman</w:t>
      </w:r>
      <w:r w:rsidR="007D0B2F">
        <w:rPr>
          <w:sz w:val="20"/>
          <w:szCs w:val="20"/>
          <w:lang w:val="fr-CA"/>
        </w:rPr>
        <w:t> </w:t>
      </w:r>
      <w:r w:rsidRPr="00C25149">
        <w:rPr>
          <w:sz w:val="20"/>
          <w:szCs w:val="20"/>
          <w:lang w:val="fr-CA"/>
        </w:rPr>
        <w:t>pour</w:t>
      </w:r>
      <w:r w:rsidR="007D0B2F">
        <w:rPr>
          <w:sz w:val="20"/>
          <w:szCs w:val="20"/>
          <w:lang w:val="fr-CA"/>
        </w:rPr>
        <w:t> </w:t>
      </w:r>
      <w:r w:rsidRPr="00C25149">
        <w:rPr>
          <w:sz w:val="20"/>
          <w:szCs w:val="20"/>
          <w:lang w:val="fr-CA"/>
        </w:rPr>
        <w:t>les appelants</w:t>
      </w:r>
    </w:p>
    <w:p w:rsidR="00A726D7" w:rsidRPr="00C25149" w:rsidRDefault="00A726D7" w:rsidP="00A726D7">
      <w:pPr>
        <w:widowControl w:val="0"/>
        <w:ind w:left="2880" w:hanging="2880"/>
        <w:jc w:val="both"/>
        <w:rPr>
          <w:sz w:val="20"/>
          <w:szCs w:val="20"/>
          <w:lang w:val="fr-CA"/>
        </w:rPr>
      </w:pPr>
      <w:r w:rsidRPr="00C25149">
        <w:rPr>
          <w:sz w:val="20"/>
          <w:szCs w:val="20"/>
          <w:lang w:val="fr-CA"/>
        </w:rPr>
        <w:tab/>
        <w:t>Bernard Letarte, René LeBlanc pour l’intimé</w:t>
      </w:r>
    </w:p>
    <w:p w:rsidR="00A726D7" w:rsidRPr="00C25149" w:rsidRDefault="00A726D7" w:rsidP="00A726D7">
      <w:pPr>
        <w:widowControl w:val="0"/>
        <w:ind w:left="2880" w:hanging="2880"/>
        <w:jc w:val="both"/>
        <w:rPr>
          <w:sz w:val="20"/>
          <w:szCs w:val="20"/>
          <w:lang w:val="fr-CA"/>
        </w:rPr>
      </w:pPr>
      <w:r w:rsidRPr="00C25149">
        <w:rPr>
          <w:sz w:val="20"/>
          <w:szCs w:val="20"/>
          <w:lang w:val="fr-CA"/>
        </w:rPr>
        <w:tab/>
        <w:t>Christopher D. Bredt à titre d’</w:t>
      </w:r>
      <w:r w:rsidRPr="00C25149">
        <w:rPr>
          <w:i/>
          <w:sz w:val="20"/>
          <w:szCs w:val="20"/>
          <w:lang w:val="fr-CA"/>
        </w:rPr>
        <w:t>amicus curiae</w:t>
      </w:r>
    </w:p>
    <w:p w:rsidR="0055561A" w:rsidRPr="00A726D7" w:rsidRDefault="0055561A" w:rsidP="000B3C9A">
      <w:pPr>
        <w:tabs>
          <w:tab w:val="left" w:pos="-1440"/>
          <w:tab w:val="left" w:pos="-720"/>
        </w:tabs>
        <w:ind w:left="720" w:hanging="720"/>
        <w:jc w:val="both"/>
        <w:rPr>
          <w:sz w:val="20"/>
          <w:szCs w:val="20"/>
          <w:lang w:val="fr-CA"/>
        </w:rPr>
      </w:pPr>
    </w:p>
    <w:p w:rsidR="000B3C9A" w:rsidRPr="00DD0B49" w:rsidRDefault="000C68D7" w:rsidP="000B3C9A">
      <w:pPr>
        <w:tabs>
          <w:tab w:val="left" w:pos="-1440"/>
          <w:tab w:val="left" w:pos="-720"/>
        </w:tabs>
        <w:ind w:left="720" w:hanging="720"/>
        <w:jc w:val="both"/>
        <w:rPr>
          <w:sz w:val="20"/>
          <w:szCs w:val="20"/>
          <w:lang w:val="fr-CA"/>
        </w:rPr>
      </w:pPr>
      <w:r>
        <w:rPr>
          <w:sz w:val="20"/>
          <w:szCs w:val="20"/>
          <w:lang w:val="fr-CA"/>
        </w:rPr>
        <w:pict>
          <v:rect id="_x0000_i1073"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lang w:val="fr-CA"/>
        </w:rPr>
      </w:pPr>
    </w:p>
    <w:p w:rsidR="0055561A" w:rsidRDefault="0055561A">
      <w:pPr>
        <w:rPr>
          <w:sz w:val="20"/>
          <w:szCs w:val="20"/>
          <w:lang w:val="fr-CA"/>
        </w:rPr>
      </w:pPr>
      <w:r>
        <w:rPr>
          <w:sz w:val="20"/>
          <w:szCs w:val="20"/>
          <w:lang w:val="fr-CA"/>
        </w:rPr>
        <w:br w:type="page"/>
      </w:r>
    </w:p>
    <w:bookmarkStart w:id="8" w:name="1"/>
    <w:bookmarkEnd w:id="8"/>
    <w:p w:rsidR="00442710" w:rsidRPr="00712C17" w:rsidRDefault="007359BF" w:rsidP="00442710">
      <w:pPr>
        <w:widowControl w:val="0"/>
        <w:ind w:left="720" w:hanging="720"/>
        <w:jc w:val="both"/>
        <w:rPr>
          <w:sz w:val="20"/>
          <w:szCs w:val="20"/>
        </w:rPr>
      </w:pPr>
      <w:r w:rsidRPr="00712C17">
        <w:rPr>
          <w:b/>
          <w:sz w:val="20"/>
          <w:szCs w:val="20"/>
        </w:rPr>
        <w:lastRenderedPageBreak/>
        <w:fldChar w:fldCharType="begin"/>
      </w:r>
      <w:r w:rsidR="00442710" w:rsidRPr="00712C17">
        <w:rPr>
          <w:b/>
          <w:sz w:val="20"/>
          <w:szCs w:val="20"/>
        </w:rPr>
        <w:instrText xml:space="preserve"> SEQ CHAPTER \h \r 1</w:instrText>
      </w:r>
      <w:r w:rsidRPr="00712C17">
        <w:rPr>
          <w:b/>
          <w:sz w:val="20"/>
          <w:szCs w:val="20"/>
        </w:rPr>
        <w:fldChar w:fldCharType="end"/>
      </w:r>
      <w:r w:rsidR="00442710" w:rsidRPr="00712C17">
        <w:rPr>
          <w:b/>
          <w:sz w:val="20"/>
          <w:szCs w:val="20"/>
        </w:rPr>
        <w:t>35246</w:t>
      </w:r>
      <w:r w:rsidR="00442710" w:rsidRPr="00712C17">
        <w:rPr>
          <w:sz w:val="20"/>
          <w:szCs w:val="20"/>
        </w:rPr>
        <w:tab/>
      </w:r>
      <w:r w:rsidR="00442710" w:rsidRPr="00712C17">
        <w:rPr>
          <w:b/>
          <w:i/>
          <w:sz w:val="20"/>
          <w:szCs w:val="20"/>
        </w:rPr>
        <w:t>Her Majesty the Queen v. Frederick Anderson</w:t>
      </w:r>
    </w:p>
    <w:p w:rsidR="00442710" w:rsidRPr="00712C17" w:rsidRDefault="00442710" w:rsidP="00442710">
      <w:pPr>
        <w:widowControl w:val="0"/>
        <w:jc w:val="both"/>
        <w:rPr>
          <w:sz w:val="20"/>
          <w:szCs w:val="20"/>
        </w:rPr>
      </w:pPr>
    </w:p>
    <w:p w:rsidR="00442710" w:rsidRPr="00712C17" w:rsidRDefault="00442710" w:rsidP="00442710">
      <w:pPr>
        <w:jc w:val="both"/>
        <w:rPr>
          <w:sz w:val="20"/>
          <w:szCs w:val="20"/>
        </w:rPr>
      </w:pPr>
      <w:r w:rsidRPr="00712C17">
        <w:rPr>
          <w:i/>
          <w:sz w:val="20"/>
          <w:szCs w:val="20"/>
        </w:rPr>
        <w:t>Charter of Rights and Freedoms</w:t>
      </w:r>
      <w:r w:rsidRPr="00712C17">
        <w:rPr>
          <w:sz w:val="20"/>
          <w:szCs w:val="20"/>
        </w:rPr>
        <w:t xml:space="preserve"> - Criminal law - Sentencing - Aboriginal peoples - Fundamental justice - Right to equality - Sentencing regime for repeat offenders for impaired driving offences - Sentencing regime contravenes ss. 7 and 15(1) of the </w:t>
      </w:r>
      <w:r w:rsidRPr="00712C17">
        <w:rPr>
          <w:i/>
          <w:sz w:val="20"/>
          <w:szCs w:val="20"/>
        </w:rPr>
        <w:t>Charter</w:t>
      </w:r>
      <w:r w:rsidRPr="00712C17">
        <w:rPr>
          <w:sz w:val="20"/>
          <w:szCs w:val="20"/>
        </w:rPr>
        <w:t xml:space="preserve"> - Did the Court of Appeal err in law by inferring arbitrariness in the exercise of prosecutorial discretion because the Crown did not explain the reasons for the decision to tender the s. 727 Notice - Did the Court of Appeal err in law by reversing the onus of proof for a </w:t>
      </w:r>
      <w:r w:rsidRPr="00712C17">
        <w:rPr>
          <w:i/>
          <w:sz w:val="20"/>
          <w:szCs w:val="20"/>
        </w:rPr>
        <w:t>Charter</w:t>
      </w:r>
      <w:r w:rsidRPr="00712C17">
        <w:rPr>
          <w:sz w:val="20"/>
          <w:szCs w:val="20"/>
        </w:rPr>
        <w:t xml:space="preserve"> violation - Did the Court of Appeal err in law in its interpretation of the applicable standard for reviewing the exercise of prosecutorial discretion by applying a standard other than abuse of process - Did the Court of Appeal err in law in its interpretation and application of this Court’s decision in </w:t>
      </w:r>
      <w:r w:rsidRPr="00712C17">
        <w:rPr>
          <w:i/>
          <w:sz w:val="20"/>
          <w:szCs w:val="20"/>
        </w:rPr>
        <w:t>Krieger v. The Law Society of Alberta</w:t>
      </w:r>
      <w:r w:rsidRPr="00712C17">
        <w:rPr>
          <w:sz w:val="20"/>
          <w:szCs w:val="20"/>
        </w:rPr>
        <w:t xml:space="preserve">, 2002 SCC 65 by determining that tendering the s. 727 Notice was not a core prosecutorial function - Did the Court of Appeal err in law in its interpretation and application of s. 718.2(e) of the </w:t>
      </w:r>
      <w:r w:rsidRPr="00712C17">
        <w:rPr>
          <w:i/>
          <w:sz w:val="20"/>
          <w:szCs w:val="20"/>
        </w:rPr>
        <w:t>Criminal Code</w:t>
      </w:r>
      <w:r w:rsidRPr="00712C17">
        <w:rPr>
          <w:sz w:val="20"/>
          <w:szCs w:val="20"/>
        </w:rPr>
        <w:t xml:space="preserve"> - Did the Court of Appeal err in law in its application of this Court’s decision in </w:t>
      </w:r>
      <w:r w:rsidRPr="00712C17">
        <w:rPr>
          <w:i/>
          <w:sz w:val="20"/>
          <w:szCs w:val="20"/>
        </w:rPr>
        <w:t>R. v. Nasogaluak</w:t>
      </w:r>
      <w:r w:rsidRPr="00712C17">
        <w:rPr>
          <w:sz w:val="20"/>
          <w:szCs w:val="20"/>
        </w:rPr>
        <w:t>, 2010 SCC 6, [2010] 1 S.C.R. 206.</w:t>
      </w:r>
    </w:p>
    <w:p w:rsidR="00442710" w:rsidRPr="00712C17" w:rsidRDefault="00442710" w:rsidP="00442710">
      <w:pPr>
        <w:widowControl w:val="0"/>
        <w:jc w:val="both"/>
        <w:rPr>
          <w:sz w:val="20"/>
          <w:szCs w:val="20"/>
        </w:rPr>
      </w:pPr>
    </w:p>
    <w:p w:rsidR="00442710" w:rsidRPr="00712C17" w:rsidRDefault="00442710" w:rsidP="00442710">
      <w:pPr>
        <w:jc w:val="both"/>
        <w:rPr>
          <w:sz w:val="20"/>
          <w:szCs w:val="20"/>
        </w:rPr>
      </w:pPr>
      <w:r w:rsidRPr="00712C17">
        <w:rPr>
          <w:sz w:val="20"/>
          <w:szCs w:val="20"/>
        </w:rPr>
        <w:t xml:space="preserve">The respondent was convicted of driving while having a blood alcohol content in excess of .08 contrary to s. 253(1)(b) of the </w:t>
      </w:r>
      <w:r w:rsidRPr="00712C17">
        <w:rPr>
          <w:i/>
          <w:sz w:val="20"/>
          <w:szCs w:val="20"/>
        </w:rPr>
        <w:t>Criminal Code</w:t>
      </w:r>
      <w:r w:rsidRPr="00712C17">
        <w:rPr>
          <w:sz w:val="20"/>
          <w:szCs w:val="20"/>
        </w:rPr>
        <w:t xml:space="preserve">.  The Crown gave him Notice of intention to seek a greater punishment by reason of previous convictions he had for alcohol related driving offences (s. 727(1) of the </w:t>
      </w:r>
      <w:r w:rsidRPr="00712C17">
        <w:rPr>
          <w:i/>
          <w:sz w:val="20"/>
          <w:szCs w:val="20"/>
        </w:rPr>
        <w:t>Code</w:t>
      </w:r>
      <w:r w:rsidRPr="00712C17">
        <w:rPr>
          <w:sz w:val="20"/>
          <w:szCs w:val="20"/>
        </w:rPr>
        <w:t xml:space="preserve">). For that number of convictions, s. 255(1)(a)(iii) of the </w:t>
      </w:r>
      <w:r w:rsidRPr="00712C17">
        <w:rPr>
          <w:i/>
          <w:sz w:val="20"/>
          <w:szCs w:val="20"/>
        </w:rPr>
        <w:t>Code</w:t>
      </w:r>
      <w:r w:rsidRPr="00712C17">
        <w:rPr>
          <w:sz w:val="20"/>
          <w:szCs w:val="20"/>
        </w:rPr>
        <w:t xml:space="preserve"> provides for a minimum sentence of not less than 120 days imprisonment.  Prior to imposing sentence, based on the respondent’s aboriginal status, the trial judge determined that the mandatory minimum sentence contravened ss. 7 and 15(1) of the </w:t>
      </w:r>
      <w:r w:rsidRPr="00712C17">
        <w:rPr>
          <w:i/>
          <w:sz w:val="20"/>
          <w:szCs w:val="20"/>
        </w:rPr>
        <w:t>Charter</w:t>
      </w:r>
      <w:r w:rsidRPr="00712C17">
        <w:rPr>
          <w:sz w:val="20"/>
          <w:szCs w:val="20"/>
        </w:rPr>
        <w:t xml:space="preserve"> and was not saved by s. 1 of the </w:t>
      </w:r>
      <w:r w:rsidRPr="00712C17">
        <w:rPr>
          <w:i/>
          <w:sz w:val="20"/>
          <w:szCs w:val="20"/>
        </w:rPr>
        <w:t>Charter</w:t>
      </w:r>
      <w:r w:rsidRPr="00712C17">
        <w:rPr>
          <w:sz w:val="20"/>
          <w:szCs w:val="20"/>
        </w:rPr>
        <w:t>.  The respondent was sentenced to 90 days imprisonment, to be served intermittently, followed by two years probation and a five year driving prohibition.  A Crown appeal to the Newfoundland and Labrador Court of Appeal was dismissed.</w:t>
      </w:r>
    </w:p>
    <w:p w:rsidR="00442710" w:rsidRPr="00712C17" w:rsidRDefault="00442710" w:rsidP="00442710">
      <w:pPr>
        <w:widowControl w:val="0"/>
        <w:jc w:val="both"/>
        <w:rPr>
          <w:sz w:val="20"/>
          <w:szCs w:val="20"/>
        </w:rPr>
      </w:pPr>
    </w:p>
    <w:p w:rsidR="00442710" w:rsidRPr="00712C17" w:rsidRDefault="00442710" w:rsidP="00442710">
      <w:pPr>
        <w:widowControl w:val="0"/>
        <w:jc w:val="both"/>
        <w:rPr>
          <w:sz w:val="20"/>
          <w:szCs w:val="20"/>
        </w:rPr>
      </w:pPr>
    </w:p>
    <w:p w:rsidR="00442710" w:rsidRPr="00712C17" w:rsidRDefault="00442710" w:rsidP="00442710">
      <w:pPr>
        <w:widowControl w:val="0"/>
        <w:ind w:left="2880" w:hanging="2880"/>
        <w:jc w:val="both"/>
        <w:rPr>
          <w:sz w:val="20"/>
          <w:szCs w:val="20"/>
        </w:rPr>
      </w:pPr>
      <w:r w:rsidRPr="00712C17">
        <w:rPr>
          <w:sz w:val="20"/>
          <w:szCs w:val="20"/>
        </w:rPr>
        <w:t>Origin of the case:</w:t>
      </w:r>
      <w:r w:rsidRPr="00712C17">
        <w:rPr>
          <w:sz w:val="20"/>
          <w:szCs w:val="20"/>
        </w:rPr>
        <w:tab/>
        <w:t>Newfoundland and Labrador</w:t>
      </w:r>
    </w:p>
    <w:p w:rsidR="00442710" w:rsidRPr="00712C17" w:rsidRDefault="00442710" w:rsidP="00442710">
      <w:pPr>
        <w:widowControl w:val="0"/>
        <w:ind w:left="2880" w:hanging="2880"/>
        <w:jc w:val="both"/>
        <w:rPr>
          <w:sz w:val="20"/>
          <w:szCs w:val="20"/>
        </w:rPr>
      </w:pPr>
    </w:p>
    <w:p w:rsidR="00442710" w:rsidRPr="00712C17" w:rsidRDefault="00442710" w:rsidP="00442710">
      <w:pPr>
        <w:widowControl w:val="0"/>
        <w:ind w:left="2880" w:hanging="2880"/>
        <w:jc w:val="both"/>
        <w:rPr>
          <w:sz w:val="20"/>
          <w:szCs w:val="20"/>
        </w:rPr>
      </w:pPr>
      <w:r w:rsidRPr="00712C17">
        <w:rPr>
          <w:sz w:val="20"/>
          <w:szCs w:val="20"/>
        </w:rPr>
        <w:t>File No.:</w:t>
      </w:r>
      <w:r w:rsidRPr="00712C17">
        <w:rPr>
          <w:sz w:val="20"/>
          <w:szCs w:val="20"/>
        </w:rPr>
        <w:tab/>
        <w:t>35246</w:t>
      </w:r>
    </w:p>
    <w:p w:rsidR="00442710" w:rsidRPr="00712C17" w:rsidRDefault="00442710" w:rsidP="00442710">
      <w:pPr>
        <w:widowControl w:val="0"/>
        <w:ind w:left="2880" w:hanging="2880"/>
        <w:jc w:val="both"/>
        <w:rPr>
          <w:sz w:val="20"/>
          <w:szCs w:val="20"/>
        </w:rPr>
      </w:pPr>
    </w:p>
    <w:p w:rsidR="00442710" w:rsidRPr="00712C17" w:rsidRDefault="00442710" w:rsidP="00442710">
      <w:pPr>
        <w:widowControl w:val="0"/>
        <w:ind w:left="2880" w:hanging="2880"/>
        <w:jc w:val="both"/>
        <w:rPr>
          <w:sz w:val="20"/>
          <w:szCs w:val="20"/>
        </w:rPr>
      </w:pPr>
      <w:r w:rsidRPr="00712C17">
        <w:rPr>
          <w:sz w:val="20"/>
          <w:szCs w:val="20"/>
        </w:rPr>
        <w:t>Judgment of the Court of Appeal:</w:t>
      </w:r>
      <w:r w:rsidRPr="00712C17">
        <w:rPr>
          <w:sz w:val="20"/>
          <w:szCs w:val="20"/>
        </w:rPr>
        <w:tab/>
        <w:t>January 10, 2013</w:t>
      </w:r>
    </w:p>
    <w:p w:rsidR="00442710" w:rsidRPr="00712C17" w:rsidRDefault="00442710" w:rsidP="00442710">
      <w:pPr>
        <w:widowControl w:val="0"/>
        <w:ind w:left="2880" w:hanging="2880"/>
        <w:jc w:val="both"/>
        <w:rPr>
          <w:sz w:val="20"/>
          <w:szCs w:val="20"/>
        </w:rPr>
      </w:pPr>
    </w:p>
    <w:p w:rsidR="00442710" w:rsidRPr="00712C17" w:rsidRDefault="00442710" w:rsidP="00442710">
      <w:pPr>
        <w:widowControl w:val="0"/>
        <w:ind w:left="2880" w:hanging="2880"/>
        <w:jc w:val="both"/>
        <w:rPr>
          <w:sz w:val="20"/>
          <w:szCs w:val="20"/>
        </w:rPr>
      </w:pPr>
      <w:r w:rsidRPr="00712C17">
        <w:rPr>
          <w:sz w:val="20"/>
          <w:szCs w:val="20"/>
        </w:rPr>
        <w:t>Counsel:</w:t>
      </w:r>
      <w:r w:rsidRPr="00712C17">
        <w:rPr>
          <w:sz w:val="20"/>
          <w:szCs w:val="20"/>
        </w:rPr>
        <w:tab/>
        <w:t xml:space="preserve">Iain R.W. Hollett for the </w:t>
      </w:r>
      <w:r w:rsidR="00A726D7">
        <w:rPr>
          <w:sz w:val="20"/>
          <w:szCs w:val="20"/>
        </w:rPr>
        <w:t>a</w:t>
      </w:r>
      <w:r w:rsidRPr="00712C17">
        <w:rPr>
          <w:sz w:val="20"/>
          <w:szCs w:val="20"/>
        </w:rPr>
        <w:t>ppellant</w:t>
      </w:r>
    </w:p>
    <w:p w:rsidR="00442710" w:rsidRPr="00712C17" w:rsidRDefault="00442710" w:rsidP="00442710">
      <w:pPr>
        <w:widowControl w:val="0"/>
        <w:ind w:left="2880" w:hanging="2880"/>
        <w:jc w:val="both"/>
        <w:rPr>
          <w:sz w:val="20"/>
          <w:szCs w:val="20"/>
        </w:rPr>
      </w:pPr>
      <w:r w:rsidRPr="00712C17">
        <w:rPr>
          <w:sz w:val="20"/>
          <w:szCs w:val="20"/>
        </w:rPr>
        <w:tab/>
        <w:t xml:space="preserve">Derek Hogan for the </w:t>
      </w:r>
      <w:r w:rsidR="00A726D7">
        <w:rPr>
          <w:sz w:val="20"/>
          <w:szCs w:val="20"/>
        </w:rPr>
        <w:t>r</w:t>
      </w:r>
      <w:r w:rsidRPr="00712C17">
        <w:rPr>
          <w:sz w:val="20"/>
          <w:szCs w:val="20"/>
        </w:rPr>
        <w:t>espondent</w:t>
      </w:r>
    </w:p>
    <w:p w:rsidR="000B3C9A" w:rsidRPr="00DD0B49" w:rsidRDefault="000B3C9A" w:rsidP="000B3C9A">
      <w:pPr>
        <w:tabs>
          <w:tab w:val="left" w:pos="-1440"/>
          <w:tab w:val="left" w:pos="-720"/>
        </w:tabs>
        <w:ind w:left="720" w:hanging="720"/>
        <w:jc w:val="both"/>
        <w:rPr>
          <w:sz w:val="20"/>
          <w:szCs w:val="20"/>
        </w:rPr>
      </w:pPr>
    </w:p>
    <w:p w:rsidR="000B3C9A" w:rsidRPr="00DD0B49" w:rsidRDefault="000C68D7" w:rsidP="000B3C9A">
      <w:pPr>
        <w:tabs>
          <w:tab w:val="left" w:pos="-1440"/>
          <w:tab w:val="left" w:pos="-720"/>
        </w:tabs>
        <w:ind w:left="720" w:hanging="720"/>
        <w:jc w:val="both"/>
        <w:rPr>
          <w:sz w:val="20"/>
          <w:szCs w:val="20"/>
        </w:rPr>
      </w:pPr>
      <w:r>
        <w:rPr>
          <w:sz w:val="20"/>
          <w:szCs w:val="20"/>
          <w:lang w:val="fr-CA"/>
        </w:rPr>
        <w:pict>
          <v:rect id="_x0000_i1074" style="width:2in;height:1pt" o:hrpct="0" o:hralign="center" o:hrstd="t" o:hrnoshade="t" o:hr="t" fillcolor="black [3213]" stroked="f"/>
        </w:pict>
      </w:r>
    </w:p>
    <w:p w:rsidR="000B3C9A" w:rsidRPr="0055561A" w:rsidRDefault="000B3C9A" w:rsidP="000B3C9A">
      <w:pPr>
        <w:tabs>
          <w:tab w:val="left" w:pos="-1440"/>
          <w:tab w:val="left" w:pos="-720"/>
        </w:tabs>
        <w:ind w:left="720" w:hanging="720"/>
        <w:jc w:val="both"/>
        <w:rPr>
          <w:sz w:val="20"/>
          <w:szCs w:val="20"/>
        </w:rPr>
      </w:pPr>
    </w:p>
    <w:p w:rsidR="0055561A" w:rsidRDefault="0055561A">
      <w:pPr>
        <w:rPr>
          <w:sz w:val="20"/>
          <w:szCs w:val="20"/>
          <w:lang w:val="fr-CA"/>
        </w:rPr>
      </w:pPr>
      <w:r>
        <w:rPr>
          <w:sz w:val="20"/>
          <w:szCs w:val="20"/>
          <w:lang w:val="fr-CA"/>
        </w:rPr>
        <w:br w:type="page"/>
      </w:r>
    </w:p>
    <w:p w:rsidR="00442710" w:rsidRPr="004D3C53" w:rsidRDefault="007359BF" w:rsidP="00442710">
      <w:pPr>
        <w:pStyle w:val="SCCLsocParty"/>
        <w:rPr>
          <w:sz w:val="20"/>
          <w:szCs w:val="20"/>
          <w:lang w:val="fr-CA"/>
        </w:rPr>
      </w:pPr>
      <w:r w:rsidRPr="004D3C53">
        <w:rPr>
          <w:b w:val="0"/>
          <w:sz w:val="20"/>
          <w:szCs w:val="20"/>
          <w:lang w:val="fr-CA"/>
        </w:rPr>
        <w:lastRenderedPageBreak/>
        <w:fldChar w:fldCharType="begin"/>
      </w:r>
      <w:r w:rsidR="00442710" w:rsidRPr="004D3C53">
        <w:rPr>
          <w:sz w:val="20"/>
          <w:szCs w:val="20"/>
          <w:lang w:val="fr-CA"/>
        </w:rPr>
        <w:instrText xml:space="preserve"> SEQ CHAPTER \h \r 1</w:instrText>
      </w:r>
      <w:r w:rsidRPr="004D3C53">
        <w:rPr>
          <w:b w:val="0"/>
          <w:sz w:val="20"/>
          <w:szCs w:val="20"/>
          <w:lang w:val="fr-CA"/>
        </w:rPr>
        <w:fldChar w:fldCharType="end"/>
      </w:r>
      <w:r w:rsidR="00442710" w:rsidRPr="004D3C53">
        <w:rPr>
          <w:sz w:val="20"/>
          <w:szCs w:val="20"/>
          <w:lang w:val="fr-CA"/>
        </w:rPr>
        <w:t>35246</w:t>
      </w:r>
      <w:r w:rsidR="00442710" w:rsidRPr="004D3C53">
        <w:rPr>
          <w:sz w:val="20"/>
          <w:szCs w:val="20"/>
          <w:lang w:val="fr-CA"/>
        </w:rPr>
        <w:tab/>
      </w:r>
      <w:r w:rsidR="00442710" w:rsidRPr="004D3C53">
        <w:rPr>
          <w:i/>
          <w:sz w:val="20"/>
          <w:szCs w:val="20"/>
          <w:lang w:val="fr-CA"/>
        </w:rPr>
        <w:t>Sa Majesté la Reine c. Frederick Anderson</w:t>
      </w:r>
    </w:p>
    <w:p w:rsidR="00442710" w:rsidRPr="004D3C53" w:rsidRDefault="00442710" w:rsidP="00442710">
      <w:pPr>
        <w:widowControl w:val="0"/>
        <w:jc w:val="both"/>
        <w:rPr>
          <w:sz w:val="20"/>
          <w:szCs w:val="20"/>
          <w:lang w:val="fr-CA"/>
        </w:rPr>
      </w:pPr>
    </w:p>
    <w:p w:rsidR="00442710" w:rsidRPr="004D3C53" w:rsidRDefault="00442710" w:rsidP="00442710">
      <w:pPr>
        <w:jc w:val="both"/>
        <w:rPr>
          <w:sz w:val="20"/>
          <w:szCs w:val="20"/>
          <w:lang w:val="fr-CA"/>
        </w:rPr>
      </w:pPr>
      <w:r w:rsidRPr="004D3C53">
        <w:rPr>
          <w:i/>
          <w:sz w:val="20"/>
          <w:szCs w:val="20"/>
          <w:lang w:val="fr-CA"/>
        </w:rPr>
        <w:t xml:space="preserve">Charte des droits et libertés </w:t>
      </w:r>
      <w:r w:rsidRPr="004D3C53">
        <w:rPr>
          <w:sz w:val="20"/>
          <w:szCs w:val="20"/>
          <w:lang w:val="fr-CA"/>
        </w:rPr>
        <w:t xml:space="preserve">- Droit criminel - Détermination de la peine - Autochtones - Justice fondamentale - Droit à l’égalité - Régime de détermination de la peine pour les récidivistes déclarés coupables de conduite avec facultés affaiblies - Le régime de détermination de la peine contrevient aux art. 7 et 15(1) de la </w:t>
      </w:r>
      <w:r w:rsidRPr="004D3C53">
        <w:rPr>
          <w:i/>
          <w:sz w:val="20"/>
          <w:szCs w:val="20"/>
          <w:lang w:val="fr-CA"/>
        </w:rPr>
        <w:t>Charte</w:t>
      </w:r>
      <w:r w:rsidRPr="004D3C53">
        <w:rPr>
          <w:sz w:val="20"/>
          <w:szCs w:val="20"/>
          <w:lang w:val="fr-CA"/>
        </w:rPr>
        <w:t xml:space="preserve"> - La Cour d’appel a-t-elle commis une erreur de droit en concluant que l’exercice du pouvoir discrétionnaire en matière de poursuites était arbitraire parce que le ministère public n’avait pas expliqué les motifs de la décision de présenter l’avis en application de l’art. 727 du</w:t>
      </w:r>
      <w:r w:rsidRPr="004D3C53">
        <w:rPr>
          <w:i/>
          <w:sz w:val="20"/>
          <w:szCs w:val="20"/>
          <w:lang w:val="fr-CA"/>
        </w:rPr>
        <w:t xml:space="preserve"> Code criminel</w:t>
      </w:r>
      <w:r w:rsidRPr="004D3C53">
        <w:rPr>
          <w:sz w:val="20"/>
          <w:szCs w:val="20"/>
          <w:lang w:val="fr-CA"/>
        </w:rPr>
        <w:t xml:space="preserve">? - La Cour d’appel a-t-elle commis une erreur de droit en inversant le fardeau de la preuve d’une violation de la </w:t>
      </w:r>
      <w:r w:rsidRPr="004D3C53">
        <w:rPr>
          <w:i/>
          <w:sz w:val="20"/>
          <w:szCs w:val="20"/>
          <w:lang w:val="fr-CA"/>
        </w:rPr>
        <w:t>Charte</w:t>
      </w:r>
      <w:r w:rsidRPr="004D3C53">
        <w:rPr>
          <w:sz w:val="20"/>
          <w:szCs w:val="20"/>
          <w:lang w:val="fr-CA"/>
        </w:rPr>
        <w:t xml:space="preserve">? - La Cour d’appel a-t-elle commis une erreur de droit dans son interprétation de la norme applicable à l’examen de l’exercice du pouvoir discrétionnaire en matière de poursuites en appliquant une autre norme que celle de l’abus de procédure? - La Cour d’appel a-t-elle commis une erreur de droit dans son interprétation et dans son application de l’arrêt </w:t>
      </w:r>
      <w:r w:rsidRPr="004D3C53">
        <w:rPr>
          <w:i/>
          <w:sz w:val="20"/>
          <w:szCs w:val="20"/>
          <w:lang w:val="fr-CA"/>
        </w:rPr>
        <w:t>Krieger c. The Law Society of Alberta</w:t>
      </w:r>
      <w:r w:rsidRPr="004D3C53">
        <w:rPr>
          <w:sz w:val="20"/>
          <w:szCs w:val="20"/>
          <w:lang w:val="fr-CA"/>
        </w:rPr>
        <w:t>, 2002 CSC 65, en statuant que la remise de l’avis donné en application de l’art. 727 du</w:t>
      </w:r>
      <w:r w:rsidRPr="004D3C53">
        <w:rPr>
          <w:i/>
          <w:sz w:val="20"/>
          <w:szCs w:val="20"/>
          <w:lang w:val="fr-CA"/>
        </w:rPr>
        <w:t xml:space="preserve"> Code criminel</w:t>
      </w:r>
      <w:r w:rsidRPr="004D3C53">
        <w:rPr>
          <w:sz w:val="20"/>
          <w:szCs w:val="20"/>
          <w:lang w:val="fr-CA"/>
        </w:rPr>
        <w:t xml:space="preserve"> ne représentait pas une fonction essentielle en matière de poursuites? - La Cour d’appel a-t-elle commis une erreur de droit dans son interprétation et dans son application de l’al. 718.2</w:t>
      </w:r>
      <w:r w:rsidRPr="004D3C53">
        <w:rPr>
          <w:i/>
          <w:sz w:val="20"/>
          <w:szCs w:val="20"/>
          <w:lang w:val="fr-CA"/>
        </w:rPr>
        <w:t>e)</w:t>
      </w:r>
      <w:r w:rsidRPr="004D3C53">
        <w:rPr>
          <w:sz w:val="20"/>
          <w:szCs w:val="20"/>
          <w:lang w:val="fr-CA"/>
        </w:rPr>
        <w:t xml:space="preserve"> du</w:t>
      </w:r>
      <w:r w:rsidRPr="004D3C53">
        <w:rPr>
          <w:i/>
          <w:sz w:val="20"/>
          <w:szCs w:val="20"/>
          <w:lang w:val="fr-CA"/>
        </w:rPr>
        <w:t xml:space="preserve"> Code criminel</w:t>
      </w:r>
      <w:r w:rsidRPr="004D3C53">
        <w:rPr>
          <w:sz w:val="20"/>
          <w:szCs w:val="20"/>
          <w:lang w:val="fr-CA"/>
        </w:rPr>
        <w:t xml:space="preserve">? - La Cour d’appel a-t-elle commis une erreur de droit dans son application de l’arrêt </w:t>
      </w:r>
      <w:r w:rsidRPr="004D3C53">
        <w:rPr>
          <w:i/>
          <w:sz w:val="20"/>
          <w:szCs w:val="20"/>
          <w:lang w:val="fr-CA"/>
        </w:rPr>
        <w:t>R. c. Nasogaluak</w:t>
      </w:r>
      <w:r w:rsidRPr="004D3C53">
        <w:rPr>
          <w:sz w:val="20"/>
          <w:szCs w:val="20"/>
          <w:lang w:val="fr-CA"/>
        </w:rPr>
        <w:t>, 2010 CSC 6, [2010] 1 R.C.S. 206?</w:t>
      </w:r>
    </w:p>
    <w:p w:rsidR="00442710" w:rsidRPr="004D3C53" w:rsidRDefault="00442710" w:rsidP="00442710">
      <w:pPr>
        <w:widowControl w:val="0"/>
        <w:jc w:val="both"/>
        <w:rPr>
          <w:sz w:val="20"/>
          <w:szCs w:val="20"/>
          <w:lang w:val="fr-CA"/>
        </w:rPr>
      </w:pPr>
    </w:p>
    <w:p w:rsidR="00442710" w:rsidRPr="004D3C53" w:rsidRDefault="00442710" w:rsidP="00442710">
      <w:pPr>
        <w:jc w:val="both"/>
        <w:rPr>
          <w:sz w:val="20"/>
          <w:szCs w:val="20"/>
          <w:lang w:val="fr-CA"/>
        </w:rPr>
      </w:pPr>
      <w:r w:rsidRPr="004D3C53">
        <w:rPr>
          <w:sz w:val="20"/>
          <w:szCs w:val="20"/>
          <w:lang w:val="fr-CA"/>
        </w:rPr>
        <w:t>L’intimé a été déclaré coupable de conduite alors que son alcoolémie dépassait 0,08, infraction prévue à l’al. 253(1)</w:t>
      </w:r>
      <w:r w:rsidRPr="004D3C53">
        <w:rPr>
          <w:i/>
          <w:sz w:val="20"/>
          <w:szCs w:val="20"/>
          <w:lang w:val="fr-CA"/>
        </w:rPr>
        <w:t>b)</w:t>
      </w:r>
      <w:r w:rsidRPr="004D3C53">
        <w:rPr>
          <w:sz w:val="20"/>
          <w:szCs w:val="20"/>
          <w:lang w:val="fr-CA"/>
        </w:rPr>
        <w:t xml:space="preserve"> du</w:t>
      </w:r>
      <w:r w:rsidRPr="004D3C53">
        <w:rPr>
          <w:i/>
          <w:sz w:val="20"/>
          <w:szCs w:val="20"/>
          <w:lang w:val="fr-CA"/>
        </w:rPr>
        <w:t xml:space="preserve"> Code criminel</w:t>
      </w:r>
      <w:r w:rsidRPr="004D3C53">
        <w:rPr>
          <w:sz w:val="20"/>
          <w:szCs w:val="20"/>
          <w:lang w:val="fr-CA"/>
        </w:rPr>
        <w:t xml:space="preserve">.  Le ministère public lui a remis un avis de son intention de demander une peine plus sévère en raison de ses condamnations antérieures pour des infractions liées à l’alcool au volant (par. 727(1) du </w:t>
      </w:r>
      <w:r w:rsidRPr="004D3C53">
        <w:rPr>
          <w:i/>
          <w:sz w:val="20"/>
          <w:szCs w:val="20"/>
          <w:lang w:val="fr-CA"/>
        </w:rPr>
        <w:t>Code</w:t>
      </w:r>
      <w:r w:rsidRPr="004D3C53">
        <w:rPr>
          <w:sz w:val="20"/>
          <w:szCs w:val="20"/>
          <w:lang w:val="fr-CA"/>
        </w:rPr>
        <w:t>).  Dans un tel cas, le sous</w:t>
      </w:r>
      <w:r w:rsidRPr="004D3C53">
        <w:rPr>
          <w:sz w:val="20"/>
          <w:szCs w:val="20"/>
          <w:lang w:val="fr-CA"/>
        </w:rPr>
        <w:noBreakHyphen/>
        <w:t>al. 255(1)</w:t>
      </w:r>
      <w:r w:rsidRPr="004D3C53">
        <w:rPr>
          <w:i/>
          <w:sz w:val="20"/>
          <w:szCs w:val="20"/>
          <w:lang w:val="fr-CA"/>
        </w:rPr>
        <w:t>a</w:t>
      </w:r>
      <w:r w:rsidRPr="004D3C53">
        <w:rPr>
          <w:sz w:val="20"/>
          <w:szCs w:val="20"/>
          <w:lang w:val="fr-CA"/>
        </w:rPr>
        <w:t xml:space="preserve">)(iii) du </w:t>
      </w:r>
      <w:r w:rsidRPr="004D3C53">
        <w:rPr>
          <w:i/>
          <w:sz w:val="20"/>
          <w:szCs w:val="20"/>
          <w:lang w:val="fr-CA"/>
        </w:rPr>
        <w:t>Code</w:t>
      </w:r>
      <w:r w:rsidRPr="004D3C53">
        <w:rPr>
          <w:sz w:val="20"/>
          <w:szCs w:val="20"/>
          <w:lang w:val="fr-CA"/>
        </w:rPr>
        <w:t xml:space="preserve"> prévoit un emprisonnement minimal de cent vingt jours.  Avant d’imposer la peine, le juge du procès a, compte tenu du statut d’Autochtone de l’intimé, statué que la peine minimale obligatoire contrevenait aux art. 7 et 15(1) de la </w:t>
      </w:r>
      <w:r w:rsidRPr="004D3C53">
        <w:rPr>
          <w:i/>
          <w:sz w:val="20"/>
          <w:szCs w:val="20"/>
          <w:lang w:val="fr-CA"/>
        </w:rPr>
        <w:t>Charte</w:t>
      </w:r>
      <w:r w:rsidRPr="004D3C53">
        <w:rPr>
          <w:sz w:val="20"/>
          <w:szCs w:val="20"/>
          <w:lang w:val="fr-CA"/>
        </w:rPr>
        <w:t xml:space="preserve"> et n’était pas justifiée au regard de l’article premier de la </w:t>
      </w:r>
      <w:r w:rsidRPr="004D3C53">
        <w:rPr>
          <w:i/>
          <w:sz w:val="20"/>
          <w:szCs w:val="20"/>
          <w:lang w:val="fr-CA"/>
        </w:rPr>
        <w:t>Charte</w:t>
      </w:r>
      <w:r w:rsidRPr="004D3C53">
        <w:rPr>
          <w:sz w:val="20"/>
          <w:szCs w:val="20"/>
          <w:lang w:val="fr-CA"/>
        </w:rPr>
        <w:t>.  L’intimé a été condamné à une peine d’emprisonnement de 90 jours, à purger de façon discontinue, suivie d’une période de probation de deux ans et d’une interdiction de conduire de cinq ans.  L’appel interjeté par le ministère public devant la Cour d’appel de Terre</w:t>
      </w:r>
      <w:r w:rsidRPr="004D3C53">
        <w:rPr>
          <w:sz w:val="20"/>
          <w:szCs w:val="20"/>
          <w:lang w:val="fr-CA"/>
        </w:rPr>
        <w:noBreakHyphen/>
        <w:t>Neuve</w:t>
      </w:r>
      <w:r w:rsidRPr="004D3C53">
        <w:rPr>
          <w:sz w:val="20"/>
          <w:szCs w:val="20"/>
          <w:lang w:val="fr-CA"/>
        </w:rPr>
        <w:noBreakHyphen/>
        <w:t>et</w:t>
      </w:r>
      <w:r w:rsidRPr="004D3C53">
        <w:rPr>
          <w:sz w:val="20"/>
          <w:szCs w:val="20"/>
          <w:lang w:val="fr-CA"/>
        </w:rPr>
        <w:noBreakHyphen/>
        <w:t>Labrador a été rejeté.</w:t>
      </w:r>
    </w:p>
    <w:p w:rsidR="00442710" w:rsidRPr="004D3C53" w:rsidRDefault="00442710" w:rsidP="00442710">
      <w:pPr>
        <w:widowControl w:val="0"/>
        <w:jc w:val="both"/>
        <w:rPr>
          <w:sz w:val="20"/>
          <w:szCs w:val="20"/>
          <w:lang w:val="fr-CA"/>
        </w:rPr>
      </w:pPr>
    </w:p>
    <w:p w:rsidR="00442710" w:rsidRPr="004D3C53" w:rsidRDefault="00442710" w:rsidP="00442710">
      <w:pPr>
        <w:widowControl w:val="0"/>
        <w:jc w:val="both"/>
        <w:rPr>
          <w:sz w:val="20"/>
          <w:szCs w:val="20"/>
          <w:lang w:val="fr-CA"/>
        </w:rPr>
      </w:pPr>
    </w:p>
    <w:p w:rsidR="00442710" w:rsidRPr="004D3C53" w:rsidRDefault="00442710" w:rsidP="00442710">
      <w:pPr>
        <w:widowControl w:val="0"/>
        <w:ind w:left="2880" w:hanging="2880"/>
        <w:jc w:val="both"/>
        <w:rPr>
          <w:sz w:val="20"/>
          <w:szCs w:val="20"/>
          <w:lang w:val="fr-CA"/>
        </w:rPr>
      </w:pPr>
      <w:r w:rsidRPr="004D3C53">
        <w:rPr>
          <w:sz w:val="20"/>
          <w:szCs w:val="20"/>
          <w:lang w:val="fr-CA"/>
        </w:rPr>
        <w:t>Origine :</w:t>
      </w:r>
      <w:r w:rsidRPr="004D3C53">
        <w:rPr>
          <w:sz w:val="20"/>
          <w:szCs w:val="20"/>
          <w:lang w:val="fr-CA"/>
        </w:rPr>
        <w:tab/>
        <w:t>Terre</w:t>
      </w:r>
      <w:r w:rsidRPr="004D3C53">
        <w:rPr>
          <w:sz w:val="20"/>
          <w:szCs w:val="20"/>
          <w:lang w:val="fr-CA"/>
        </w:rPr>
        <w:noBreakHyphen/>
        <w:t>Neuve</w:t>
      </w:r>
      <w:r w:rsidRPr="004D3C53">
        <w:rPr>
          <w:sz w:val="20"/>
          <w:szCs w:val="20"/>
          <w:lang w:val="fr-CA"/>
        </w:rPr>
        <w:noBreakHyphen/>
        <w:t>et</w:t>
      </w:r>
      <w:r w:rsidRPr="004D3C53">
        <w:rPr>
          <w:sz w:val="20"/>
          <w:szCs w:val="20"/>
          <w:lang w:val="fr-CA"/>
        </w:rPr>
        <w:noBreakHyphen/>
        <w:t>Labrador</w:t>
      </w:r>
    </w:p>
    <w:p w:rsidR="00442710" w:rsidRPr="004D3C53" w:rsidRDefault="00442710" w:rsidP="00442710">
      <w:pPr>
        <w:widowControl w:val="0"/>
        <w:ind w:left="2880" w:hanging="2880"/>
        <w:jc w:val="both"/>
        <w:rPr>
          <w:sz w:val="20"/>
          <w:szCs w:val="20"/>
          <w:lang w:val="fr-CA"/>
        </w:rPr>
      </w:pPr>
    </w:p>
    <w:p w:rsidR="00442710" w:rsidRPr="004D3C53" w:rsidRDefault="00442710" w:rsidP="00442710">
      <w:pPr>
        <w:widowControl w:val="0"/>
        <w:ind w:left="2880" w:hanging="2880"/>
        <w:jc w:val="both"/>
        <w:rPr>
          <w:sz w:val="20"/>
          <w:szCs w:val="20"/>
          <w:lang w:val="fr-CA"/>
        </w:rPr>
      </w:pPr>
      <w:r w:rsidRPr="004D3C53">
        <w:rPr>
          <w:sz w:val="20"/>
          <w:szCs w:val="20"/>
          <w:lang w:val="fr-CA"/>
        </w:rPr>
        <w:t>N</w:t>
      </w:r>
      <w:r w:rsidRPr="004D3C53">
        <w:rPr>
          <w:sz w:val="20"/>
          <w:szCs w:val="20"/>
          <w:vertAlign w:val="superscript"/>
          <w:lang w:val="fr-CA"/>
        </w:rPr>
        <w:t>o</w:t>
      </w:r>
      <w:r w:rsidRPr="004D3C53">
        <w:rPr>
          <w:sz w:val="20"/>
          <w:szCs w:val="20"/>
          <w:lang w:val="fr-CA"/>
        </w:rPr>
        <w:t> du greffe :</w:t>
      </w:r>
      <w:r w:rsidRPr="004D3C53">
        <w:rPr>
          <w:sz w:val="20"/>
          <w:szCs w:val="20"/>
          <w:lang w:val="fr-CA"/>
        </w:rPr>
        <w:tab/>
        <w:t>35246</w:t>
      </w:r>
    </w:p>
    <w:p w:rsidR="00442710" w:rsidRPr="004D3C53" w:rsidRDefault="00442710" w:rsidP="00442710">
      <w:pPr>
        <w:widowControl w:val="0"/>
        <w:ind w:left="2880" w:hanging="2880"/>
        <w:jc w:val="both"/>
        <w:rPr>
          <w:sz w:val="20"/>
          <w:szCs w:val="20"/>
          <w:lang w:val="fr-CA"/>
        </w:rPr>
      </w:pPr>
    </w:p>
    <w:p w:rsidR="00442710" w:rsidRPr="004D3C53" w:rsidRDefault="00442710" w:rsidP="00442710">
      <w:pPr>
        <w:widowControl w:val="0"/>
        <w:ind w:left="2880" w:hanging="2880"/>
        <w:jc w:val="both"/>
        <w:rPr>
          <w:sz w:val="20"/>
          <w:szCs w:val="20"/>
          <w:lang w:val="fr-CA"/>
        </w:rPr>
      </w:pPr>
      <w:r w:rsidRPr="004D3C53">
        <w:rPr>
          <w:sz w:val="20"/>
          <w:szCs w:val="20"/>
          <w:lang w:val="fr-CA"/>
        </w:rPr>
        <w:t>Arrêt de la Cour d’appel :</w:t>
      </w:r>
      <w:r w:rsidRPr="004D3C53">
        <w:rPr>
          <w:sz w:val="20"/>
          <w:szCs w:val="20"/>
          <w:lang w:val="fr-CA"/>
        </w:rPr>
        <w:tab/>
        <w:t>10 janvier 2013</w:t>
      </w:r>
    </w:p>
    <w:p w:rsidR="00442710" w:rsidRPr="004D3C53" w:rsidRDefault="00442710" w:rsidP="00442710">
      <w:pPr>
        <w:widowControl w:val="0"/>
        <w:ind w:left="2880" w:hanging="2880"/>
        <w:jc w:val="both"/>
        <w:rPr>
          <w:sz w:val="20"/>
          <w:szCs w:val="20"/>
          <w:lang w:val="fr-CA"/>
        </w:rPr>
      </w:pPr>
    </w:p>
    <w:p w:rsidR="00442710" w:rsidRPr="004D3C53" w:rsidRDefault="00442710" w:rsidP="00442710">
      <w:pPr>
        <w:widowControl w:val="0"/>
        <w:ind w:left="2880" w:hanging="2880"/>
        <w:jc w:val="both"/>
        <w:rPr>
          <w:sz w:val="20"/>
          <w:szCs w:val="20"/>
          <w:lang w:val="fr-CA"/>
        </w:rPr>
      </w:pPr>
      <w:r w:rsidRPr="004D3C53">
        <w:rPr>
          <w:sz w:val="20"/>
          <w:szCs w:val="20"/>
          <w:lang w:val="fr-CA"/>
        </w:rPr>
        <w:t>Avocats :</w:t>
      </w:r>
      <w:r w:rsidRPr="004D3C53">
        <w:rPr>
          <w:sz w:val="20"/>
          <w:szCs w:val="20"/>
          <w:lang w:val="fr-CA"/>
        </w:rPr>
        <w:tab/>
        <w:t>Iain R.W. Hollett pour l’appelante</w:t>
      </w:r>
    </w:p>
    <w:p w:rsidR="00442710" w:rsidRPr="004D3C53" w:rsidRDefault="00442710" w:rsidP="00442710">
      <w:pPr>
        <w:widowControl w:val="0"/>
        <w:ind w:left="2880" w:hanging="2880"/>
        <w:jc w:val="both"/>
        <w:rPr>
          <w:sz w:val="20"/>
          <w:szCs w:val="20"/>
          <w:lang w:val="fr-CA"/>
        </w:rPr>
      </w:pPr>
      <w:r w:rsidRPr="004D3C53">
        <w:rPr>
          <w:sz w:val="20"/>
          <w:szCs w:val="20"/>
          <w:lang w:val="fr-CA"/>
        </w:rPr>
        <w:tab/>
        <w:t>Derek Hogan pour l’intimé</w:t>
      </w:r>
    </w:p>
    <w:p w:rsidR="000B3C9A" w:rsidRPr="00DD0B49" w:rsidRDefault="000B3C9A" w:rsidP="000B3C9A">
      <w:pPr>
        <w:tabs>
          <w:tab w:val="left" w:pos="-1440"/>
          <w:tab w:val="left" w:pos="-720"/>
        </w:tabs>
        <w:ind w:left="720" w:hanging="720"/>
        <w:jc w:val="both"/>
        <w:rPr>
          <w:sz w:val="20"/>
          <w:szCs w:val="20"/>
          <w:lang w:val="fr-CA"/>
        </w:rPr>
      </w:pPr>
    </w:p>
    <w:p w:rsidR="000B3C9A" w:rsidRPr="00DD0B49" w:rsidRDefault="000C68D7" w:rsidP="000B3C9A">
      <w:pPr>
        <w:tabs>
          <w:tab w:val="left" w:pos="-1440"/>
          <w:tab w:val="left" w:pos="-720"/>
        </w:tabs>
        <w:ind w:left="720" w:hanging="720"/>
        <w:jc w:val="both"/>
        <w:rPr>
          <w:sz w:val="20"/>
          <w:szCs w:val="20"/>
          <w:lang w:val="fr-CA"/>
        </w:rPr>
      </w:pPr>
      <w:r>
        <w:rPr>
          <w:sz w:val="20"/>
          <w:szCs w:val="20"/>
          <w:lang w:val="fr-CA"/>
        </w:rPr>
        <w:pict>
          <v:rect id="_x0000_i1075"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01762E" w:rsidRPr="003D425A" w:rsidRDefault="007359BF" w:rsidP="0001762E">
      <w:pPr>
        <w:widowControl w:val="0"/>
        <w:ind w:left="720" w:hanging="720"/>
        <w:jc w:val="both"/>
        <w:rPr>
          <w:sz w:val="20"/>
          <w:szCs w:val="20"/>
        </w:rPr>
      </w:pPr>
      <w:r w:rsidRPr="003D425A">
        <w:rPr>
          <w:b/>
          <w:sz w:val="20"/>
          <w:szCs w:val="20"/>
        </w:rPr>
        <w:lastRenderedPageBreak/>
        <w:fldChar w:fldCharType="begin"/>
      </w:r>
      <w:r w:rsidR="0001762E" w:rsidRPr="003D425A">
        <w:rPr>
          <w:b/>
          <w:sz w:val="20"/>
          <w:szCs w:val="20"/>
        </w:rPr>
        <w:instrText xml:space="preserve"> SEQ CHAPTER \h \r 1</w:instrText>
      </w:r>
      <w:r w:rsidRPr="003D425A">
        <w:rPr>
          <w:b/>
          <w:sz w:val="20"/>
          <w:szCs w:val="20"/>
        </w:rPr>
        <w:fldChar w:fldCharType="end"/>
      </w:r>
      <w:r w:rsidR="0001762E" w:rsidRPr="003D425A">
        <w:rPr>
          <w:b/>
          <w:sz w:val="20"/>
          <w:szCs w:val="20"/>
        </w:rPr>
        <w:t>35390</w:t>
      </w:r>
      <w:r w:rsidR="0001762E" w:rsidRPr="003D425A">
        <w:rPr>
          <w:sz w:val="20"/>
          <w:szCs w:val="20"/>
        </w:rPr>
        <w:tab/>
      </w:r>
      <w:r w:rsidR="0001762E" w:rsidRPr="003D425A">
        <w:rPr>
          <w:b/>
          <w:i/>
          <w:sz w:val="20"/>
          <w:szCs w:val="20"/>
        </w:rPr>
        <w:t>Her Majesty the Queen v. Vincent Quesnelle</w:t>
      </w:r>
    </w:p>
    <w:p w:rsidR="0001762E" w:rsidRPr="003D425A" w:rsidRDefault="0001762E" w:rsidP="0001762E">
      <w:pPr>
        <w:widowControl w:val="0"/>
        <w:jc w:val="both"/>
        <w:rPr>
          <w:sz w:val="20"/>
          <w:szCs w:val="20"/>
        </w:rPr>
      </w:pPr>
    </w:p>
    <w:p w:rsidR="0001762E" w:rsidRPr="00DD0B49" w:rsidRDefault="0001762E" w:rsidP="0001762E">
      <w:pPr>
        <w:tabs>
          <w:tab w:val="left" w:pos="-1440"/>
          <w:tab w:val="left" w:pos="-720"/>
        </w:tabs>
        <w:jc w:val="both"/>
        <w:rPr>
          <w:smallCaps/>
          <w:sz w:val="20"/>
          <w:szCs w:val="20"/>
        </w:rPr>
      </w:pPr>
      <w:r w:rsidRPr="00DD0B49">
        <w:rPr>
          <w:smallCaps/>
          <w:sz w:val="20"/>
          <w:szCs w:val="20"/>
        </w:rPr>
        <w:t xml:space="preserve">(Publication </w:t>
      </w:r>
      <w:r w:rsidR="00E23F29">
        <w:rPr>
          <w:smallCaps/>
          <w:sz w:val="20"/>
          <w:szCs w:val="20"/>
        </w:rPr>
        <w:t>B</w:t>
      </w:r>
      <w:r w:rsidRPr="00DD0B49">
        <w:rPr>
          <w:smallCaps/>
          <w:sz w:val="20"/>
          <w:szCs w:val="20"/>
        </w:rPr>
        <w:t xml:space="preserve">an in </w:t>
      </w:r>
      <w:r w:rsidR="00E23F29">
        <w:rPr>
          <w:smallCaps/>
          <w:sz w:val="20"/>
          <w:szCs w:val="20"/>
        </w:rPr>
        <w:t>C</w:t>
      </w:r>
      <w:r w:rsidRPr="00DD0B49">
        <w:rPr>
          <w:smallCaps/>
          <w:sz w:val="20"/>
          <w:szCs w:val="20"/>
        </w:rPr>
        <w:t>ase)</w:t>
      </w:r>
    </w:p>
    <w:p w:rsidR="0001762E" w:rsidRPr="003D425A" w:rsidRDefault="0001762E" w:rsidP="0001762E">
      <w:pPr>
        <w:widowControl w:val="0"/>
        <w:jc w:val="both"/>
        <w:rPr>
          <w:sz w:val="20"/>
          <w:szCs w:val="20"/>
        </w:rPr>
      </w:pPr>
    </w:p>
    <w:p w:rsidR="0001762E" w:rsidRPr="003D425A" w:rsidRDefault="0001762E" w:rsidP="0001762E">
      <w:pPr>
        <w:widowControl w:val="0"/>
        <w:jc w:val="both"/>
        <w:rPr>
          <w:sz w:val="20"/>
          <w:szCs w:val="20"/>
        </w:rPr>
      </w:pPr>
      <w:r w:rsidRPr="003D425A">
        <w:rPr>
          <w:sz w:val="20"/>
          <w:szCs w:val="20"/>
        </w:rPr>
        <w:t xml:space="preserve">Criminal law - Evidence - Disclosure - Whether the definition of “record” in the statutory regime under ss. 278.1 to 278.91 of the </w:t>
      </w:r>
      <w:r w:rsidRPr="003D425A">
        <w:rPr>
          <w:i/>
          <w:sz w:val="20"/>
          <w:szCs w:val="20"/>
        </w:rPr>
        <w:t>Criminal Code</w:t>
      </w:r>
      <w:r w:rsidRPr="003D425A">
        <w:rPr>
          <w:sz w:val="20"/>
          <w:szCs w:val="20"/>
        </w:rPr>
        <w:t xml:space="preserve"> includes a police “occurrence report” which refers to a witness, but is unrelated to the offence(s) being prosecuted - In cases where the statutory regime is inapplicable, whether the Crown has a duty under </w:t>
      </w:r>
      <w:r w:rsidRPr="003D425A">
        <w:rPr>
          <w:i/>
          <w:sz w:val="20"/>
          <w:szCs w:val="20"/>
        </w:rPr>
        <w:t>Stinchcombe</w:t>
      </w:r>
      <w:r w:rsidRPr="003D425A">
        <w:rPr>
          <w:sz w:val="20"/>
          <w:szCs w:val="20"/>
        </w:rPr>
        <w:t xml:space="preserve"> to obtain and disclose a “police occurrence report” which refers to a witness, but is unrelated to the offence(s) being prosecuted - </w:t>
      </w:r>
      <w:r w:rsidRPr="003D425A">
        <w:rPr>
          <w:i/>
          <w:sz w:val="20"/>
          <w:szCs w:val="20"/>
        </w:rPr>
        <w:t>Criminal Code</w:t>
      </w:r>
      <w:r w:rsidRPr="003D425A">
        <w:rPr>
          <w:sz w:val="20"/>
          <w:szCs w:val="20"/>
        </w:rPr>
        <w:t>, R.S.C. 1985, c. C-41, s. 278</w:t>
      </w:r>
    </w:p>
    <w:p w:rsidR="0001762E" w:rsidRPr="003D425A" w:rsidRDefault="0001762E" w:rsidP="0001762E">
      <w:pPr>
        <w:widowControl w:val="0"/>
        <w:jc w:val="both"/>
        <w:rPr>
          <w:sz w:val="20"/>
          <w:szCs w:val="20"/>
        </w:rPr>
      </w:pPr>
    </w:p>
    <w:p w:rsidR="0001762E" w:rsidRPr="003D425A" w:rsidRDefault="0001762E" w:rsidP="0001762E">
      <w:pPr>
        <w:jc w:val="both"/>
        <w:rPr>
          <w:sz w:val="20"/>
          <w:szCs w:val="20"/>
        </w:rPr>
      </w:pPr>
      <w:r w:rsidRPr="003D425A">
        <w:rPr>
          <w:sz w:val="20"/>
          <w:szCs w:val="20"/>
        </w:rPr>
        <w:t xml:space="preserve">Mr. Quesnelle was charged with assault, sexual assault, sexual assault with a weapon, robbery, threatening to kill, and threatening serious bodily harm.  Mr. Quesnelle denied all charges against him.  The case turned on credibility.  As part of a radio documentary, the complainant and a police detective were interviewed.  In the broadcast, the detective indicated that she reviewed the complainant’s police file in preparation for the trial and referred to a number of other police occurrence reports relating to the complainant.  Mr. Quesnelle sought disclosure of all police occurrence reports reviewed by the police that pertained to the complainant.  The issue in question was whether police-made occurrence reports that are unrelated to the specific offence being prosecuted but involving the same witness ought to be disclosed in accordance with the statutory protections set out in s. 278.2 of the </w:t>
      </w:r>
      <w:r w:rsidRPr="003D425A">
        <w:rPr>
          <w:i/>
          <w:sz w:val="20"/>
          <w:szCs w:val="20"/>
        </w:rPr>
        <w:t xml:space="preserve">Criminal </w:t>
      </w:r>
      <w:r w:rsidRPr="003D425A">
        <w:rPr>
          <w:sz w:val="20"/>
          <w:szCs w:val="20"/>
        </w:rPr>
        <w:t xml:space="preserve">Code or, alternatively, with the lower threshold for disclosure regime set out in </w:t>
      </w:r>
      <w:r w:rsidRPr="003D425A">
        <w:rPr>
          <w:i/>
          <w:sz w:val="20"/>
          <w:szCs w:val="20"/>
        </w:rPr>
        <w:t xml:space="preserve">R. v. </w:t>
      </w:r>
      <w:r w:rsidRPr="003D425A">
        <w:rPr>
          <w:sz w:val="20"/>
          <w:szCs w:val="20"/>
        </w:rPr>
        <w:t xml:space="preserve">Stinchcombe. Section 278.2 of the </w:t>
      </w:r>
      <w:r w:rsidRPr="003D425A">
        <w:rPr>
          <w:i/>
          <w:sz w:val="20"/>
          <w:szCs w:val="20"/>
        </w:rPr>
        <w:t>Criminal Code</w:t>
      </w:r>
      <w:r w:rsidRPr="003D425A">
        <w:rPr>
          <w:sz w:val="20"/>
          <w:szCs w:val="20"/>
        </w:rPr>
        <w:t xml:space="preserve"> governs the production of “records” in offences of a sexual nature and provides that no record relating to a complainant or witness shall be produced to an accused in any proceedings in respect of offences of a sexual nature except in certain circumstances.  The trial judge determined that the application must be brought pursuant to s. 278.2 of the </w:t>
      </w:r>
      <w:r w:rsidRPr="003D425A">
        <w:rPr>
          <w:i/>
          <w:sz w:val="20"/>
          <w:szCs w:val="20"/>
        </w:rPr>
        <w:t>Criminal Code</w:t>
      </w:r>
      <w:r w:rsidRPr="003D425A">
        <w:rPr>
          <w:sz w:val="20"/>
          <w:szCs w:val="20"/>
        </w:rPr>
        <w:t xml:space="preserve"> as there was a reasonable expectation of privacy in those reports and the only exception was for records pertaining to the offence in question.  The request for production of the reports was however ultimately denied as it was found that there was no evidentiary basis upon which to conclude that the documents requested were likely relevant or that their production was necessary in the interest of justice.</w:t>
      </w:r>
    </w:p>
    <w:p w:rsidR="0001762E" w:rsidRPr="003D425A" w:rsidRDefault="0001762E" w:rsidP="0001762E">
      <w:pPr>
        <w:jc w:val="both"/>
        <w:rPr>
          <w:sz w:val="20"/>
          <w:szCs w:val="20"/>
        </w:rPr>
      </w:pPr>
    </w:p>
    <w:p w:rsidR="0001762E" w:rsidRPr="003D425A" w:rsidRDefault="0001762E" w:rsidP="0001762E">
      <w:pPr>
        <w:jc w:val="both"/>
        <w:rPr>
          <w:sz w:val="20"/>
          <w:szCs w:val="20"/>
        </w:rPr>
      </w:pPr>
      <w:r w:rsidRPr="003D425A">
        <w:rPr>
          <w:sz w:val="20"/>
          <w:szCs w:val="20"/>
        </w:rPr>
        <w:t xml:space="preserve">Mr. Quesnelle was convicted by a judge and jury of two charges of simple assault and two charges of sexual assault.  The Court of Appeal found that the police occurrence reports did not qualify as “records” for the purpose of s. 278.2 and that the reports are part of the “fruits of the investigation” and are producible under </w:t>
      </w:r>
      <w:r w:rsidRPr="003D425A">
        <w:rPr>
          <w:i/>
          <w:sz w:val="20"/>
          <w:szCs w:val="20"/>
        </w:rPr>
        <w:t>Stinchcombe</w:t>
      </w:r>
      <w:r w:rsidRPr="003D425A">
        <w:rPr>
          <w:sz w:val="20"/>
          <w:szCs w:val="20"/>
        </w:rPr>
        <w:t xml:space="preserve"> as part of the Crown’s disclosure obligations.  Mr. Quesnelle’s appeal was allowed and a new trial was ordered.</w:t>
      </w:r>
    </w:p>
    <w:p w:rsidR="0001762E" w:rsidRPr="003D425A" w:rsidRDefault="0001762E" w:rsidP="0001762E">
      <w:pPr>
        <w:widowControl w:val="0"/>
        <w:jc w:val="both"/>
        <w:rPr>
          <w:sz w:val="20"/>
          <w:szCs w:val="20"/>
        </w:rPr>
      </w:pPr>
    </w:p>
    <w:p w:rsidR="0001762E" w:rsidRPr="003D425A" w:rsidRDefault="0001762E" w:rsidP="0001762E">
      <w:pPr>
        <w:widowControl w:val="0"/>
        <w:jc w:val="both"/>
        <w:rPr>
          <w:sz w:val="20"/>
          <w:szCs w:val="20"/>
        </w:rPr>
      </w:pPr>
    </w:p>
    <w:p w:rsidR="0001762E" w:rsidRPr="003D425A" w:rsidRDefault="0001762E" w:rsidP="0001762E">
      <w:pPr>
        <w:widowControl w:val="0"/>
        <w:ind w:left="2880" w:hanging="2880"/>
        <w:jc w:val="both"/>
        <w:rPr>
          <w:sz w:val="20"/>
          <w:szCs w:val="20"/>
        </w:rPr>
      </w:pPr>
      <w:r w:rsidRPr="003D425A">
        <w:rPr>
          <w:sz w:val="20"/>
          <w:szCs w:val="20"/>
        </w:rPr>
        <w:t>Origin of the case:</w:t>
      </w:r>
      <w:r w:rsidRPr="003D425A">
        <w:rPr>
          <w:sz w:val="20"/>
          <w:szCs w:val="20"/>
        </w:rPr>
        <w:tab/>
        <w:t xml:space="preserve">Ontario </w:t>
      </w:r>
    </w:p>
    <w:p w:rsidR="0001762E" w:rsidRPr="003D425A" w:rsidRDefault="0001762E" w:rsidP="0001762E">
      <w:pPr>
        <w:widowControl w:val="0"/>
        <w:ind w:left="2880" w:hanging="2880"/>
        <w:jc w:val="both"/>
        <w:rPr>
          <w:sz w:val="20"/>
          <w:szCs w:val="20"/>
        </w:rPr>
      </w:pPr>
    </w:p>
    <w:p w:rsidR="0001762E" w:rsidRPr="003D425A" w:rsidRDefault="0001762E" w:rsidP="0001762E">
      <w:pPr>
        <w:widowControl w:val="0"/>
        <w:ind w:left="2880" w:hanging="2880"/>
        <w:jc w:val="both"/>
        <w:rPr>
          <w:sz w:val="20"/>
          <w:szCs w:val="20"/>
        </w:rPr>
      </w:pPr>
      <w:r w:rsidRPr="003D425A">
        <w:rPr>
          <w:sz w:val="20"/>
          <w:szCs w:val="20"/>
        </w:rPr>
        <w:t>File No.:</w:t>
      </w:r>
      <w:r w:rsidRPr="003D425A">
        <w:rPr>
          <w:sz w:val="20"/>
          <w:szCs w:val="20"/>
        </w:rPr>
        <w:tab/>
        <w:t>35390</w:t>
      </w:r>
    </w:p>
    <w:p w:rsidR="0001762E" w:rsidRPr="003D425A" w:rsidRDefault="0001762E" w:rsidP="0001762E">
      <w:pPr>
        <w:widowControl w:val="0"/>
        <w:ind w:left="2880" w:hanging="2880"/>
        <w:jc w:val="both"/>
        <w:rPr>
          <w:sz w:val="20"/>
          <w:szCs w:val="20"/>
        </w:rPr>
      </w:pPr>
    </w:p>
    <w:p w:rsidR="0001762E" w:rsidRPr="003D425A" w:rsidRDefault="0001762E" w:rsidP="0001762E">
      <w:pPr>
        <w:widowControl w:val="0"/>
        <w:ind w:left="2880" w:hanging="2880"/>
        <w:jc w:val="both"/>
        <w:rPr>
          <w:sz w:val="20"/>
          <w:szCs w:val="20"/>
        </w:rPr>
      </w:pPr>
      <w:r w:rsidRPr="003D425A">
        <w:rPr>
          <w:sz w:val="20"/>
          <w:szCs w:val="20"/>
        </w:rPr>
        <w:t>Judgment of the Court of Appeal:</w:t>
      </w:r>
      <w:r w:rsidRPr="003D425A">
        <w:rPr>
          <w:sz w:val="20"/>
          <w:szCs w:val="20"/>
        </w:rPr>
        <w:tab/>
        <w:t>March 26, 2013</w:t>
      </w:r>
    </w:p>
    <w:p w:rsidR="0001762E" w:rsidRPr="003D425A" w:rsidRDefault="0001762E" w:rsidP="0001762E">
      <w:pPr>
        <w:widowControl w:val="0"/>
        <w:ind w:left="2880" w:hanging="2880"/>
        <w:jc w:val="both"/>
        <w:rPr>
          <w:sz w:val="20"/>
          <w:szCs w:val="20"/>
        </w:rPr>
      </w:pPr>
    </w:p>
    <w:p w:rsidR="0001762E" w:rsidRPr="003D425A" w:rsidRDefault="0001762E" w:rsidP="0001762E">
      <w:pPr>
        <w:widowControl w:val="0"/>
        <w:ind w:left="2880" w:hanging="2880"/>
        <w:jc w:val="both"/>
        <w:rPr>
          <w:sz w:val="20"/>
          <w:szCs w:val="20"/>
        </w:rPr>
      </w:pPr>
      <w:r w:rsidRPr="003D425A">
        <w:rPr>
          <w:sz w:val="20"/>
          <w:szCs w:val="20"/>
        </w:rPr>
        <w:t>Counsel:</w:t>
      </w:r>
      <w:r w:rsidRPr="003D425A">
        <w:rPr>
          <w:sz w:val="20"/>
          <w:szCs w:val="20"/>
        </w:rPr>
        <w:tab/>
        <w:t>Milan Rupic for the appellant</w:t>
      </w:r>
    </w:p>
    <w:p w:rsidR="0001762E" w:rsidRPr="003D425A" w:rsidRDefault="0001762E" w:rsidP="0001762E">
      <w:pPr>
        <w:widowControl w:val="0"/>
        <w:ind w:left="2880" w:hanging="2880"/>
        <w:jc w:val="both"/>
        <w:rPr>
          <w:sz w:val="20"/>
          <w:szCs w:val="20"/>
        </w:rPr>
      </w:pPr>
      <w:r w:rsidRPr="003D425A">
        <w:rPr>
          <w:sz w:val="20"/>
          <w:szCs w:val="20"/>
        </w:rPr>
        <w:tab/>
        <w:t>Najma Jamaldin and Paul Genua for the respondent</w:t>
      </w:r>
    </w:p>
    <w:p w:rsidR="0001762E" w:rsidRPr="0001762E" w:rsidRDefault="0001762E" w:rsidP="000B3C9A">
      <w:pPr>
        <w:tabs>
          <w:tab w:val="left" w:pos="-1440"/>
          <w:tab w:val="left" w:pos="-720"/>
        </w:tabs>
        <w:jc w:val="both"/>
        <w:rPr>
          <w:sz w:val="20"/>
          <w:szCs w:val="20"/>
        </w:rPr>
      </w:pPr>
    </w:p>
    <w:p w:rsidR="000B3C9A" w:rsidRDefault="000C68D7" w:rsidP="000B3C9A">
      <w:pPr>
        <w:tabs>
          <w:tab w:val="left" w:pos="-1440"/>
          <w:tab w:val="left" w:pos="-720"/>
        </w:tabs>
        <w:jc w:val="both"/>
        <w:rPr>
          <w:sz w:val="20"/>
          <w:szCs w:val="20"/>
          <w:lang w:val="fr-CA"/>
        </w:rPr>
      </w:pPr>
      <w:r>
        <w:rPr>
          <w:sz w:val="20"/>
          <w:szCs w:val="20"/>
          <w:lang w:val="fr-CA"/>
        </w:rPr>
        <w:pict>
          <v:rect id="_x0000_i1076" style="width:2in;height:1pt" o:hrpct="0" o:hralign="center" o:hrstd="t" o:hrnoshade="t" o:hr="t" fillcolor="black [3213]" stroked="f"/>
        </w:pict>
      </w:r>
    </w:p>
    <w:p w:rsidR="0055561A" w:rsidRDefault="0055561A" w:rsidP="000B3C9A">
      <w:pPr>
        <w:tabs>
          <w:tab w:val="left" w:pos="-1440"/>
          <w:tab w:val="left" w:pos="-720"/>
        </w:tabs>
        <w:jc w:val="both"/>
        <w:rPr>
          <w:sz w:val="20"/>
          <w:szCs w:val="20"/>
          <w:lang w:val="fr-CA"/>
        </w:rPr>
      </w:pPr>
    </w:p>
    <w:p w:rsidR="0055561A" w:rsidRDefault="0055561A">
      <w:pPr>
        <w:rPr>
          <w:sz w:val="20"/>
          <w:szCs w:val="20"/>
          <w:lang w:val="fr-CA"/>
        </w:rPr>
      </w:pPr>
      <w:r>
        <w:rPr>
          <w:sz w:val="20"/>
          <w:szCs w:val="20"/>
          <w:lang w:val="fr-CA"/>
        </w:rPr>
        <w:br w:type="page"/>
      </w:r>
    </w:p>
    <w:p w:rsidR="0001762E" w:rsidRPr="00BF2942" w:rsidRDefault="0001762E" w:rsidP="0001762E">
      <w:pPr>
        <w:ind w:left="720" w:hanging="720"/>
        <w:jc w:val="both"/>
        <w:rPr>
          <w:b/>
          <w:i/>
          <w:sz w:val="20"/>
          <w:szCs w:val="20"/>
          <w:lang w:val="fr-CA"/>
        </w:rPr>
      </w:pPr>
      <w:r w:rsidRPr="00BF2942">
        <w:rPr>
          <w:rStyle w:val="SCCFileNumberChar"/>
          <w:sz w:val="20"/>
          <w:szCs w:val="20"/>
          <w:lang w:val="fr-CA"/>
        </w:rPr>
        <w:lastRenderedPageBreak/>
        <w:t>35390</w:t>
      </w:r>
      <w:r w:rsidRPr="00BF2942">
        <w:rPr>
          <w:rStyle w:val="SCCFileNumberChar"/>
          <w:b w:val="0"/>
          <w:sz w:val="20"/>
          <w:szCs w:val="20"/>
          <w:lang w:val="fr-CA"/>
        </w:rPr>
        <w:tab/>
      </w:r>
      <w:r w:rsidRPr="00BF2942">
        <w:rPr>
          <w:b/>
          <w:i/>
          <w:sz w:val="20"/>
          <w:szCs w:val="20"/>
          <w:lang w:val="fr-CA"/>
        </w:rPr>
        <w:t>Sa Majesté la Reine c. Vincent Quesnelle</w:t>
      </w:r>
    </w:p>
    <w:p w:rsidR="0001762E" w:rsidRPr="00C22A3D" w:rsidRDefault="0001762E" w:rsidP="0001762E">
      <w:pPr>
        <w:ind w:left="720" w:hanging="720"/>
        <w:jc w:val="both"/>
        <w:rPr>
          <w:i/>
          <w:sz w:val="20"/>
          <w:szCs w:val="20"/>
          <w:lang w:val="fr-CA"/>
        </w:rPr>
      </w:pPr>
    </w:p>
    <w:p w:rsidR="0001762E" w:rsidRPr="00C22A3D" w:rsidRDefault="0001762E" w:rsidP="0001762E">
      <w:pPr>
        <w:pStyle w:val="SCCBanSummary"/>
        <w:rPr>
          <w:sz w:val="20"/>
          <w:szCs w:val="20"/>
          <w:lang w:val="fr-CA"/>
        </w:rPr>
      </w:pPr>
      <w:r w:rsidRPr="00C22A3D">
        <w:rPr>
          <w:sz w:val="20"/>
          <w:szCs w:val="20"/>
          <w:lang w:val="fr-CA"/>
        </w:rPr>
        <w:t>(Ordonnance de non</w:t>
      </w:r>
      <w:r w:rsidRPr="00C22A3D">
        <w:rPr>
          <w:sz w:val="20"/>
          <w:szCs w:val="20"/>
          <w:lang w:val="fr-CA"/>
        </w:rPr>
        <w:noBreakHyphen/>
        <w:t>publication dans le dossier)</w:t>
      </w:r>
    </w:p>
    <w:p w:rsidR="0001762E" w:rsidRPr="00C22A3D" w:rsidRDefault="0001762E" w:rsidP="0001762E">
      <w:pPr>
        <w:ind w:left="720" w:hanging="720"/>
        <w:jc w:val="both"/>
        <w:rPr>
          <w:sz w:val="20"/>
          <w:szCs w:val="20"/>
          <w:lang w:val="fr-CA"/>
        </w:rPr>
      </w:pPr>
    </w:p>
    <w:p w:rsidR="0001762E" w:rsidRPr="00C22A3D" w:rsidRDefault="0001762E" w:rsidP="0001762E">
      <w:pPr>
        <w:jc w:val="both"/>
        <w:rPr>
          <w:sz w:val="20"/>
          <w:szCs w:val="20"/>
          <w:lang w:val="fr-CA"/>
        </w:rPr>
      </w:pPr>
      <w:r w:rsidRPr="00C22A3D">
        <w:rPr>
          <w:sz w:val="20"/>
          <w:szCs w:val="20"/>
          <w:lang w:val="fr-CA"/>
        </w:rPr>
        <w:t>Droit criminel - Preuve - Communication de la preuve - La définition du mot « dossier » dans le régime établi aux art. 278.1 à 278.91 du</w:t>
      </w:r>
      <w:r w:rsidRPr="00C22A3D">
        <w:rPr>
          <w:i/>
          <w:sz w:val="20"/>
          <w:szCs w:val="20"/>
          <w:lang w:val="fr-CA"/>
        </w:rPr>
        <w:t xml:space="preserve"> Code criminel</w:t>
      </w:r>
      <w:r w:rsidRPr="00C22A3D">
        <w:rPr>
          <w:sz w:val="20"/>
          <w:szCs w:val="20"/>
          <w:lang w:val="fr-CA"/>
        </w:rPr>
        <w:t xml:space="preserve"> comprend</w:t>
      </w:r>
      <w:r w:rsidRPr="00C22A3D">
        <w:rPr>
          <w:sz w:val="20"/>
          <w:szCs w:val="20"/>
          <w:lang w:val="fr-CA"/>
        </w:rPr>
        <w:noBreakHyphen/>
        <w:t>t</w:t>
      </w:r>
      <w:r w:rsidRPr="00C22A3D">
        <w:rPr>
          <w:sz w:val="20"/>
          <w:szCs w:val="20"/>
          <w:lang w:val="fr-CA"/>
        </w:rPr>
        <w:noBreakHyphen/>
        <w:t>elle un « rapport d’événement » de la police concernant un témoin, mais qui n’est pas lié à l’affaire en cours d’instance? - Dans les cas où ce régime ne s’applique pas, le ministère public a</w:t>
      </w:r>
      <w:r w:rsidRPr="00C22A3D">
        <w:rPr>
          <w:sz w:val="20"/>
          <w:szCs w:val="20"/>
          <w:lang w:val="fr-CA"/>
        </w:rPr>
        <w:noBreakHyphen/>
        <w:t>t</w:t>
      </w:r>
      <w:r w:rsidRPr="00C22A3D">
        <w:rPr>
          <w:sz w:val="20"/>
          <w:szCs w:val="20"/>
          <w:lang w:val="fr-CA"/>
        </w:rPr>
        <w:noBreakHyphen/>
        <w:t xml:space="preserve">il l’obligation, en application de l’arrêt </w:t>
      </w:r>
      <w:r w:rsidRPr="00C22A3D">
        <w:rPr>
          <w:i/>
          <w:sz w:val="20"/>
          <w:szCs w:val="20"/>
          <w:lang w:val="fr-CA"/>
        </w:rPr>
        <w:t>Stinchcombe</w:t>
      </w:r>
      <w:r w:rsidRPr="00C22A3D">
        <w:rPr>
          <w:sz w:val="20"/>
          <w:szCs w:val="20"/>
          <w:lang w:val="fr-CA"/>
        </w:rPr>
        <w:t xml:space="preserve">, d’obtenir et de communiquer le « rapport d’événement » de la police concernant un témoin, mais qui n’est pas lié à l’affaire en cours d’instance? - </w:t>
      </w:r>
      <w:r w:rsidRPr="00C22A3D">
        <w:rPr>
          <w:i/>
          <w:sz w:val="20"/>
          <w:szCs w:val="20"/>
          <w:lang w:val="fr-CA"/>
        </w:rPr>
        <w:t>Code criminel</w:t>
      </w:r>
      <w:r w:rsidRPr="00C22A3D">
        <w:rPr>
          <w:sz w:val="20"/>
          <w:szCs w:val="20"/>
          <w:lang w:val="fr-CA"/>
        </w:rPr>
        <w:t>, L.R.C. 1985, ch. C.</w:t>
      </w:r>
      <w:r w:rsidRPr="00C22A3D">
        <w:rPr>
          <w:sz w:val="20"/>
          <w:szCs w:val="20"/>
          <w:lang w:val="fr-CA"/>
        </w:rPr>
        <w:noBreakHyphen/>
        <w:t>41, art. 278.</w:t>
      </w:r>
    </w:p>
    <w:p w:rsidR="0001762E" w:rsidRPr="00C22A3D" w:rsidRDefault="0001762E" w:rsidP="0001762E">
      <w:pPr>
        <w:jc w:val="both"/>
        <w:rPr>
          <w:sz w:val="20"/>
          <w:szCs w:val="20"/>
          <w:lang w:val="fr-CA"/>
        </w:rPr>
      </w:pPr>
    </w:p>
    <w:p w:rsidR="0001762E" w:rsidRPr="00C22A3D" w:rsidRDefault="0001762E" w:rsidP="0001762E">
      <w:pPr>
        <w:jc w:val="both"/>
        <w:rPr>
          <w:sz w:val="20"/>
          <w:szCs w:val="20"/>
          <w:lang w:val="fr-CA"/>
        </w:rPr>
      </w:pPr>
      <w:r w:rsidRPr="00C22A3D">
        <w:rPr>
          <w:sz w:val="20"/>
          <w:szCs w:val="20"/>
          <w:lang w:val="fr-CA"/>
        </w:rPr>
        <w:t xml:space="preserve">M. Quesnelle a été accusé de voies de fait, d’agression sexuelle, d’agression sexuelle armée, de vol qualifié, de menaces de mort et de menaces de causer des blessures graves.  Il a nié toutes les accusations portées contre lui.  L’issue de la cause reposait sur la crédibilité.  La plaignante et une enquêteuse de police ont été interviewées dans le cadre d’un documentaire radiodiffusé.  L’enquêteuse a dit qu’avant le procès, elle avait consulté le dossier que la police détenait au sujet du demandeur et a mentionné d’autres rapports d’événements concernant la plaignante. M. Quesnelle a demandé la communication de tous les rapports d’événements de la police examinés par les policiers relativement à la plaignante.  La question en litige était celle de savoir si les rapports d’événements rédigés par les policiers qui ne sont pas liés à l’affaire en cours d’instance, mais concernent le témoin, doivent être communiqués en application des protections prévues à l’art. 278.2 du </w:t>
      </w:r>
      <w:r w:rsidRPr="00C22A3D">
        <w:rPr>
          <w:i/>
          <w:sz w:val="20"/>
          <w:szCs w:val="20"/>
          <w:lang w:val="fr-CA"/>
        </w:rPr>
        <w:t>Code criminel</w:t>
      </w:r>
      <w:r w:rsidRPr="00C22A3D">
        <w:rPr>
          <w:sz w:val="20"/>
          <w:szCs w:val="20"/>
          <w:lang w:val="fr-CA"/>
        </w:rPr>
        <w:t xml:space="preserve"> ou, subsidiairement, du critère moins exigeant énoncé dans l’arrêt </w:t>
      </w:r>
      <w:r w:rsidRPr="00C22A3D">
        <w:rPr>
          <w:i/>
          <w:sz w:val="20"/>
          <w:szCs w:val="20"/>
          <w:lang w:val="fr-CA"/>
        </w:rPr>
        <w:t>R. c.</w:t>
      </w:r>
      <w:r w:rsidRPr="00C22A3D">
        <w:rPr>
          <w:sz w:val="20"/>
          <w:szCs w:val="20"/>
          <w:lang w:val="fr-CA"/>
        </w:rPr>
        <w:t xml:space="preserve"> </w:t>
      </w:r>
      <w:r w:rsidRPr="00C22A3D">
        <w:rPr>
          <w:i/>
          <w:sz w:val="20"/>
          <w:szCs w:val="20"/>
          <w:lang w:val="fr-CA"/>
        </w:rPr>
        <w:t>Stinchcombe</w:t>
      </w:r>
      <w:r w:rsidRPr="00C22A3D">
        <w:rPr>
          <w:sz w:val="20"/>
          <w:szCs w:val="20"/>
          <w:lang w:val="fr-CA"/>
        </w:rPr>
        <w:t xml:space="preserve">.  L’article 278.2 du </w:t>
      </w:r>
      <w:r w:rsidRPr="00C22A3D">
        <w:rPr>
          <w:i/>
          <w:sz w:val="20"/>
          <w:szCs w:val="20"/>
          <w:lang w:val="fr-CA"/>
        </w:rPr>
        <w:t>Code</w:t>
      </w:r>
      <w:r w:rsidRPr="00C22A3D">
        <w:rPr>
          <w:sz w:val="20"/>
          <w:szCs w:val="20"/>
          <w:lang w:val="fr-CA"/>
        </w:rPr>
        <w:t xml:space="preserve"> régit la communication du « dossier » dans les affaires où il y a infraction à caractère sexuel et prévoit qu’</w:t>
      </w:r>
      <w:r w:rsidRPr="00C22A3D">
        <w:rPr>
          <w:sz w:val="20"/>
          <w:szCs w:val="20"/>
          <w:lang w:val="fr-FR"/>
        </w:rPr>
        <w:t xml:space="preserve">un dossier se rapportant à un plaignant ou à un témoin ne peut être communiqué à l’accusé dans le cadre d’une poursuite pour infraction à caractère sexuel, sauf dans certaines circonstances.  </w:t>
      </w:r>
      <w:r w:rsidRPr="00C22A3D">
        <w:rPr>
          <w:sz w:val="20"/>
          <w:szCs w:val="20"/>
          <w:lang w:val="fr-CA"/>
        </w:rPr>
        <w:t>Il a été jugé que la demande devait être présentée en application de l’art. 278.2 du</w:t>
      </w:r>
      <w:r w:rsidRPr="00C22A3D">
        <w:rPr>
          <w:i/>
          <w:sz w:val="20"/>
          <w:szCs w:val="20"/>
          <w:lang w:val="fr-CA"/>
        </w:rPr>
        <w:t xml:space="preserve"> Code criminel,</w:t>
      </w:r>
      <w:r w:rsidRPr="00C22A3D">
        <w:rPr>
          <w:sz w:val="20"/>
          <w:szCs w:val="20"/>
          <w:lang w:val="fr-CA"/>
        </w:rPr>
        <w:t xml:space="preserve"> puisqu’il y avait une attente raisonnable en matière de protection de la vie privée à l’égard de ces rapports d’événements et que la seule exception avait pour objet les documents ayant trait à l’infraction en question.  La demande de production des rapports d’événements a fini par être rejetée, puisqu’il a été jugé qu’aucune preuve ne permettait de conclure que les documents demandés étaient vraisemblablement pertinents ou que leur production servirait les intérêts de la justice.</w:t>
      </w:r>
    </w:p>
    <w:p w:rsidR="0001762E" w:rsidRPr="00C22A3D" w:rsidRDefault="0001762E" w:rsidP="0001762E">
      <w:pPr>
        <w:jc w:val="both"/>
        <w:rPr>
          <w:sz w:val="20"/>
          <w:szCs w:val="20"/>
          <w:lang w:val="fr-CA"/>
        </w:rPr>
      </w:pPr>
    </w:p>
    <w:p w:rsidR="0001762E" w:rsidRPr="00C22A3D" w:rsidRDefault="0001762E" w:rsidP="0001762E">
      <w:pPr>
        <w:jc w:val="both"/>
        <w:rPr>
          <w:sz w:val="20"/>
          <w:szCs w:val="20"/>
          <w:lang w:val="fr-CA"/>
        </w:rPr>
      </w:pPr>
      <w:r w:rsidRPr="00C22A3D">
        <w:rPr>
          <w:sz w:val="20"/>
          <w:szCs w:val="20"/>
          <w:lang w:val="fr-CA"/>
        </w:rPr>
        <w:t xml:space="preserve">M. Quesnelle a été déclaré coupable par un juge et un jury sous deux accusations de voies de fait simples et deux accusations d’agression sexuelle.  La Cour d’appel était d’avis que les rapports d’événements rédigés par la police ne constituaient pas un « dossier » au sens de l’art. 278.2, qu’il s’agissait de « fruits de l’enquête », que le ministère public est contraint de produire suivant l’arrêt </w:t>
      </w:r>
      <w:r w:rsidRPr="00C22A3D">
        <w:rPr>
          <w:i/>
          <w:sz w:val="20"/>
          <w:szCs w:val="20"/>
          <w:lang w:val="fr-CA"/>
        </w:rPr>
        <w:t>Stinchcombe</w:t>
      </w:r>
      <w:r w:rsidRPr="00C22A3D">
        <w:rPr>
          <w:sz w:val="20"/>
          <w:szCs w:val="20"/>
          <w:lang w:val="fr-CA"/>
        </w:rPr>
        <w:t>.  La Cour d’appel a accueilli l’appel et ordonné un nouveau procès.</w:t>
      </w:r>
    </w:p>
    <w:p w:rsidR="0001762E" w:rsidRPr="00C22A3D" w:rsidRDefault="0001762E" w:rsidP="0001762E">
      <w:pPr>
        <w:jc w:val="both"/>
        <w:rPr>
          <w:sz w:val="20"/>
          <w:szCs w:val="20"/>
          <w:lang w:val="fr-CA"/>
        </w:rPr>
      </w:pPr>
    </w:p>
    <w:p w:rsidR="0001762E" w:rsidRPr="00C22A3D" w:rsidRDefault="0001762E" w:rsidP="0001762E">
      <w:pPr>
        <w:jc w:val="both"/>
        <w:rPr>
          <w:sz w:val="20"/>
          <w:szCs w:val="20"/>
          <w:lang w:val="fr-CA"/>
        </w:rPr>
      </w:pPr>
    </w:p>
    <w:p w:rsidR="0001762E" w:rsidRPr="00C22A3D" w:rsidRDefault="0001762E" w:rsidP="0001762E">
      <w:pPr>
        <w:ind w:left="2880" w:hanging="2880"/>
        <w:jc w:val="both"/>
        <w:rPr>
          <w:sz w:val="20"/>
          <w:szCs w:val="20"/>
          <w:lang w:val="fr-CA"/>
        </w:rPr>
      </w:pPr>
      <w:r w:rsidRPr="00C22A3D">
        <w:rPr>
          <w:sz w:val="20"/>
          <w:szCs w:val="20"/>
          <w:lang w:val="fr-CA"/>
        </w:rPr>
        <w:t>Origine :</w:t>
      </w:r>
      <w:r w:rsidRPr="00C22A3D">
        <w:rPr>
          <w:sz w:val="20"/>
          <w:szCs w:val="20"/>
          <w:lang w:val="fr-CA"/>
        </w:rPr>
        <w:tab/>
        <w:t>Ontario</w:t>
      </w:r>
    </w:p>
    <w:p w:rsidR="0001762E" w:rsidRPr="00C22A3D" w:rsidRDefault="0001762E" w:rsidP="0001762E">
      <w:pPr>
        <w:ind w:left="2880" w:hanging="2880"/>
        <w:jc w:val="both"/>
        <w:rPr>
          <w:sz w:val="20"/>
          <w:szCs w:val="20"/>
          <w:lang w:val="fr-CA"/>
        </w:rPr>
      </w:pPr>
    </w:p>
    <w:p w:rsidR="0001762E" w:rsidRPr="00C22A3D" w:rsidRDefault="0001762E" w:rsidP="0001762E">
      <w:pPr>
        <w:ind w:left="2880" w:hanging="2880"/>
        <w:jc w:val="both"/>
        <w:rPr>
          <w:sz w:val="20"/>
          <w:szCs w:val="20"/>
          <w:lang w:val="fr-CA"/>
        </w:rPr>
      </w:pPr>
      <w:r w:rsidRPr="00C22A3D">
        <w:rPr>
          <w:sz w:val="20"/>
          <w:szCs w:val="20"/>
          <w:lang w:val="fr-CA"/>
        </w:rPr>
        <w:t>N</w:t>
      </w:r>
      <w:r w:rsidRPr="00C22A3D">
        <w:rPr>
          <w:sz w:val="20"/>
          <w:szCs w:val="20"/>
          <w:vertAlign w:val="superscript"/>
          <w:lang w:val="fr-CA"/>
        </w:rPr>
        <w:t>o</w:t>
      </w:r>
      <w:r w:rsidRPr="00C22A3D">
        <w:rPr>
          <w:sz w:val="20"/>
          <w:szCs w:val="20"/>
          <w:lang w:val="fr-CA"/>
        </w:rPr>
        <w:t xml:space="preserve"> du greffe :</w:t>
      </w:r>
      <w:r w:rsidRPr="00C22A3D">
        <w:rPr>
          <w:sz w:val="20"/>
          <w:szCs w:val="20"/>
          <w:lang w:val="fr-CA"/>
        </w:rPr>
        <w:tab/>
        <w:t>35390</w:t>
      </w:r>
    </w:p>
    <w:p w:rsidR="0001762E" w:rsidRPr="00C22A3D" w:rsidRDefault="0001762E" w:rsidP="0001762E">
      <w:pPr>
        <w:ind w:left="2880" w:hanging="2880"/>
        <w:jc w:val="both"/>
        <w:rPr>
          <w:sz w:val="20"/>
          <w:szCs w:val="20"/>
          <w:lang w:val="fr-CA"/>
        </w:rPr>
      </w:pPr>
    </w:p>
    <w:p w:rsidR="0001762E" w:rsidRPr="00C22A3D" w:rsidRDefault="0001762E" w:rsidP="0001762E">
      <w:pPr>
        <w:ind w:left="2880" w:hanging="2880"/>
        <w:jc w:val="both"/>
        <w:rPr>
          <w:sz w:val="20"/>
          <w:szCs w:val="20"/>
          <w:lang w:val="fr-CA"/>
        </w:rPr>
      </w:pPr>
      <w:r w:rsidRPr="00C22A3D">
        <w:rPr>
          <w:sz w:val="20"/>
          <w:szCs w:val="20"/>
          <w:lang w:val="fr-CA"/>
        </w:rPr>
        <w:t>Arrêt de la Cour d’appel :</w:t>
      </w:r>
      <w:r w:rsidRPr="00C22A3D">
        <w:rPr>
          <w:sz w:val="20"/>
          <w:szCs w:val="20"/>
          <w:lang w:val="fr-CA"/>
        </w:rPr>
        <w:tab/>
        <w:t>26 mars 2013</w:t>
      </w:r>
    </w:p>
    <w:p w:rsidR="0001762E" w:rsidRPr="00C22A3D" w:rsidRDefault="0001762E" w:rsidP="0001762E">
      <w:pPr>
        <w:ind w:left="2880" w:hanging="2880"/>
        <w:jc w:val="both"/>
        <w:rPr>
          <w:sz w:val="20"/>
          <w:szCs w:val="20"/>
          <w:lang w:val="fr-CA"/>
        </w:rPr>
      </w:pPr>
    </w:p>
    <w:p w:rsidR="0001762E" w:rsidRPr="00C22A3D" w:rsidRDefault="0001762E" w:rsidP="0001762E">
      <w:pPr>
        <w:ind w:left="2880" w:hanging="2880"/>
        <w:jc w:val="both"/>
        <w:rPr>
          <w:sz w:val="20"/>
          <w:szCs w:val="20"/>
          <w:lang w:val="fr-CA"/>
        </w:rPr>
      </w:pPr>
      <w:r w:rsidRPr="00C22A3D">
        <w:rPr>
          <w:sz w:val="20"/>
          <w:szCs w:val="20"/>
          <w:lang w:val="fr-CA"/>
        </w:rPr>
        <w:t>Avocats :</w:t>
      </w:r>
      <w:r w:rsidRPr="00C22A3D">
        <w:rPr>
          <w:sz w:val="20"/>
          <w:szCs w:val="20"/>
          <w:lang w:val="fr-CA"/>
        </w:rPr>
        <w:tab/>
        <w:t>Milan Rupic pour l’appelante</w:t>
      </w:r>
    </w:p>
    <w:p w:rsidR="0001762E" w:rsidRPr="00C22A3D" w:rsidRDefault="0001762E" w:rsidP="0001762E">
      <w:pPr>
        <w:ind w:left="2880" w:hanging="2880"/>
        <w:jc w:val="both"/>
        <w:rPr>
          <w:sz w:val="20"/>
          <w:szCs w:val="20"/>
          <w:lang w:val="fr-CA"/>
        </w:rPr>
      </w:pPr>
      <w:r w:rsidRPr="00C22A3D">
        <w:rPr>
          <w:sz w:val="20"/>
          <w:szCs w:val="20"/>
          <w:lang w:val="fr-CA"/>
        </w:rPr>
        <w:tab/>
        <w:t>Najma Jamaldin et Paul Genua pour l’intimé</w:t>
      </w:r>
    </w:p>
    <w:p w:rsidR="0001762E" w:rsidRPr="00C22A3D" w:rsidRDefault="0001762E" w:rsidP="0001762E">
      <w:pPr>
        <w:tabs>
          <w:tab w:val="left" w:pos="5040"/>
        </w:tabs>
        <w:jc w:val="both"/>
        <w:rPr>
          <w:sz w:val="20"/>
          <w:szCs w:val="20"/>
          <w:lang w:val="fr-CA"/>
        </w:rPr>
      </w:pPr>
    </w:p>
    <w:p w:rsidR="0055561A" w:rsidRDefault="000C68D7" w:rsidP="000B3C9A">
      <w:pPr>
        <w:tabs>
          <w:tab w:val="left" w:pos="-1440"/>
          <w:tab w:val="left" w:pos="-720"/>
        </w:tabs>
        <w:jc w:val="both"/>
        <w:rPr>
          <w:sz w:val="20"/>
          <w:szCs w:val="20"/>
          <w:lang w:val="fr-CA"/>
        </w:rPr>
      </w:pPr>
      <w:r>
        <w:rPr>
          <w:sz w:val="20"/>
          <w:szCs w:val="20"/>
          <w:lang w:val="fr-CA"/>
        </w:rPr>
        <w:pict>
          <v:rect id="_x0000_i1077" style="width:2in;height:1pt" o:hrpct="0" o:hralign="center" o:hrstd="t" o:hrnoshade="t" o:hr="t" fillcolor="black [3213]" stroked="f"/>
        </w:pict>
      </w:r>
    </w:p>
    <w:p w:rsidR="0055561A" w:rsidRDefault="0055561A" w:rsidP="000B3C9A">
      <w:pPr>
        <w:tabs>
          <w:tab w:val="left" w:pos="-1440"/>
          <w:tab w:val="left" w:pos="-720"/>
        </w:tabs>
        <w:jc w:val="both"/>
        <w:rPr>
          <w:sz w:val="20"/>
          <w:szCs w:val="20"/>
          <w:lang w:val="fr-CA"/>
        </w:rPr>
      </w:pPr>
    </w:p>
    <w:p w:rsidR="0055561A" w:rsidRDefault="0055561A">
      <w:pPr>
        <w:rPr>
          <w:sz w:val="20"/>
          <w:szCs w:val="20"/>
          <w:lang w:val="fr-CA"/>
        </w:rPr>
      </w:pPr>
      <w:r>
        <w:rPr>
          <w:sz w:val="20"/>
          <w:szCs w:val="20"/>
          <w:lang w:val="fr-CA"/>
        </w:rPr>
        <w:br w:type="page"/>
      </w:r>
    </w:p>
    <w:p w:rsidR="00EB2EDD" w:rsidRPr="000B6ABC" w:rsidRDefault="007359BF" w:rsidP="00EB2EDD">
      <w:pPr>
        <w:widowControl w:val="0"/>
        <w:ind w:left="720" w:hanging="720"/>
        <w:jc w:val="both"/>
        <w:rPr>
          <w:sz w:val="20"/>
          <w:szCs w:val="20"/>
        </w:rPr>
      </w:pPr>
      <w:r w:rsidRPr="000B6ABC">
        <w:rPr>
          <w:b/>
          <w:sz w:val="20"/>
          <w:szCs w:val="20"/>
        </w:rPr>
        <w:lastRenderedPageBreak/>
        <w:fldChar w:fldCharType="begin"/>
      </w:r>
      <w:r w:rsidR="00EB2EDD" w:rsidRPr="000B6ABC">
        <w:rPr>
          <w:b/>
          <w:sz w:val="20"/>
          <w:szCs w:val="20"/>
        </w:rPr>
        <w:instrText xml:space="preserve"> SEQ CHAPTER \h \r 1</w:instrText>
      </w:r>
      <w:r w:rsidRPr="000B6ABC">
        <w:rPr>
          <w:b/>
          <w:sz w:val="20"/>
          <w:szCs w:val="20"/>
        </w:rPr>
        <w:fldChar w:fldCharType="end"/>
      </w:r>
      <w:r w:rsidR="00EB2EDD" w:rsidRPr="000B6ABC">
        <w:rPr>
          <w:b/>
          <w:sz w:val="20"/>
          <w:szCs w:val="20"/>
        </w:rPr>
        <w:t>35510</w:t>
      </w:r>
      <w:r w:rsidR="00EB2EDD" w:rsidRPr="000B6ABC">
        <w:rPr>
          <w:sz w:val="20"/>
          <w:szCs w:val="20"/>
        </w:rPr>
        <w:tab/>
      </w:r>
      <w:r w:rsidR="00EB2EDD" w:rsidRPr="000B6ABC">
        <w:rPr>
          <w:b/>
          <w:i/>
          <w:sz w:val="20"/>
          <w:szCs w:val="20"/>
        </w:rPr>
        <w:t>Eric Vokurka v. Her Majesty the Queen</w:t>
      </w:r>
    </w:p>
    <w:p w:rsidR="00EB2EDD" w:rsidRPr="000B6ABC" w:rsidRDefault="00EB2EDD" w:rsidP="00EB2EDD">
      <w:pPr>
        <w:widowControl w:val="0"/>
        <w:jc w:val="both"/>
        <w:rPr>
          <w:sz w:val="20"/>
          <w:szCs w:val="20"/>
        </w:rPr>
      </w:pPr>
    </w:p>
    <w:p w:rsidR="00EB2EDD" w:rsidRPr="000B6ABC" w:rsidRDefault="00EB2EDD" w:rsidP="00EB2EDD">
      <w:pPr>
        <w:widowControl w:val="0"/>
        <w:jc w:val="both"/>
        <w:rPr>
          <w:sz w:val="20"/>
          <w:szCs w:val="20"/>
        </w:rPr>
      </w:pPr>
      <w:r w:rsidRPr="000B6ABC">
        <w:rPr>
          <w:sz w:val="20"/>
          <w:szCs w:val="20"/>
        </w:rPr>
        <w:t xml:space="preserve">Criminal law - Aggravated assault - Defence of accident - Misapprehension of evidence - Whether the trial judge erred by failing to explain why inferences supporting the defence of accident were not accepted. </w:t>
      </w:r>
    </w:p>
    <w:p w:rsidR="00EB2EDD" w:rsidRPr="000B6ABC" w:rsidRDefault="00EB2EDD" w:rsidP="00EB2EDD">
      <w:pPr>
        <w:widowControl w:val="0"/>
        <w:jc w:val="both"/>
        <w:rPr>
          <w:sz w:val="20"/>
          <w:szCs w:val="20"/>
        </w:rPr>
      </w:pPr>
    </w:p>
    <w:p w:rsidR="00EB2EDD" w:rsidRPr="000B6ABC" w:rsidRDefault="00EB2EDD" w:rsidP="00EB2EDD">
      <w:pPr>
        <w:widowControl w:val="0"/>
        <w:jc w:val="both"/>
        <w:rPr>
          <w:sz w:val="20"/>
          <w:szCs w:val="20"/>
        </w:rPr>
      </w:pPr>
      <w:r w:rsidRPr="000B6ABC">
        <w:rPr>
          <w:sz w:val="20"/>
          <w:szCs w:val="20"/>
        </w:rPr>
        <w:t xml:space="preserve">The appellant was convicted of aggravated assault.  The trial judge found that he intentionally cut his friend and co-worker’s arm.  The appellant appealed his conviction, arguing that the trial judge misapprehended the evidence respecting his relationship with the complainant and that it proved an absence of motive, that he misapprehended the evidence respecting the appellant’s intoxication by failing to appreciate that it militated in favour of finding that he accidentally cut the complainant, that the trial judge’s inference that the appellant intended to cut the complainant was unreasonable, and that the verdict was unreasonable and unsupported by the evidence.  The majority of the Court of Appeal dismissed the appeal.  Welsh J.A., dissenting, would have allowed the appeal, quashed the conviction and entered an acquittal.  In his view, the trial judge erred by failing to explain why inferences supporting the defence of accident were not accepted. </w:t>
      </w:r>
    </w:p>
    <w:p w:rsidR="00EB2EDD" w:rsidRPr="000B6ABC" w:rsidRDefault="00EB2EDD" w:rsidP="00EB2EDD">
      <w:pPr>
        <w:widowControl w:val="0"/>
        <w:jc w:val="both"/>
        <w:rPr>
          <w:sz w:val="20"/>
          <w:szCs w:val="20"/>
        </w:rPr>
      </w:pPr>
    </w:p>
    <w:p w:rsidR="00EB2EDD" w:rsidRPr="000B6ABC" w:rsidRDefault="00EB2EDD" w:rsidP="00EB2EDD">
      <w:pPr>
        <w:widowControl w:val="0"/>
        <w:jc w:val="both"/>
        <w:rPr>
          <w:sz w:val="20"/>
          <w:szCs w:val="20"/>
        </w:rPr>
      </w:pPr>
    </w:p>
    <w:p w:rsidR="00EB2EDD" w:rsidRPr="000B6ABC" w:rsidRDefault="00EB2EDD" w:rsidP="00EB2EDD">
      <w:pPr>
        <w:widowControl w:val="0"/>
        <w:ind w:left="2880" w:hanging="2880"/>
        <w:jc w:val="both"/>
        <w:rPr>
          <w:sz w:val="20"/>
          <w:szCs w:val="20"/>
        </w:rPr>
      </w:pPr>
      <w:r w:rsidRPr="000B6ABC">
        <w:rPr>
          <w:sz w:val="20"/>
          <w:szCs w:val="20"/>
        </w:rPr>
        <w:t>Origin of the case:</w:t>
      </w:r>
      <w:r w:rsidRPr="000B6ABC">
        <w:rPr>
          <w:sz w:val="20"/>
          <w:szCs w:val="20"/>
        </w:rPr>
        <w:tab/>
        <w:t>Newfoundland and Labrador</w:t>
      </w:r>
    </w:p>
    <w:p w:rsidR="00EB2EDD" w:rsidRPr="000B6ABC" w:rsidRDefault="00EB2EDD" w:rsidP="00EB2EDD">
      <w:pPr>
        <w:widowControl w:val="0"/>
        <w:ind w:left="2880" w:hanging="2880"/>
        <w:jc w:val="both"/>
        <w:rPr>
          <w:sz w:val="20"/>
          <w:szCs w:val="20"/>
        </w:rPr>
      </w:pPr>
    </w:p>
    <w:p w:rsidR="00EB2EDD" w:rsidRPr="000B6ABC" w:rsidRDefault="00EB2EDD" w:rsidP="00EB2EDD">
      <w:pPr>
        <w:widowControl w:val="0"/>
        <w:ind w:left="2880" w:hanging="2880"/>
        <w:jc w:val="both"/>
        <w:rPr>
          <w:sz w:val="20"/>
          <w:szCs w:val="20"/>
        </w:rPr>
      </w:pPr>
      <w:r w:rsidRPr="000B6ABC">
        <w:rPr>
          <w:sz w:val="20"/>
          <w:szCs w:val="20"/>
        </w:rPr>
        <w:t>File No.:</w:t>
      </w:r>
      <w:r w:rsidRPr="000B6ABC">
        <w:rPr>
          <w:sz w:val="20"/>
          <w:szCs w:val="20"/>
        </w:rPr>
        <w:tab/>
        <w:t>35510</w:t>
      </w:r>
    </w:p>
    <w:p w:rsidR="00EB2EDD" w:rsidRPr="000B6ABC" w:rsidRDefault="00EB2EDD" w:rsidP="00EB2EDD">
      <w:pPr>
        <w:widowControl w:val="0"/>
        <w:ind w:left="2880" w:hanging="2880"/>
        <w:jc w:val="both"/>
        <w:rPr>
          <w:sz w:val="20"/>
          <w:szCs w:val="20"/>
        </w:rPr>
      </w:pPr>
    </w:p>
    <w:p w:rsidR="00EB2EDD" w:rsidRPr="000B6ABC" w:rsidRDefault="00EB2EDD" w:rsidP="00EB2EDD">
      <w:pPr>
        <w:widowControl w:val="0"/>
        <w:ind w:left="2880" w:hanging="2880"/>
        <w:jc w:val="both"/>
        <w:rPr>
          <w:sz w:val="20"/>
          <w:szCs w:val="20"/>
        </w:rPr>
      </w:pPr>
      <w:r w:rsidRPr="000B6ABC">
        <w:rPr>
          <w:sz w:val="20"/>
          <w:szCs w:val="20"/>
        </w:rPr>
        <w:t>Judgment of the Court of Appeal:</w:t>
      </w:r>
      <w:r w:rsidRPr="000B6ABC">
        <w:rPr>
          <w:sz w:val="20"/>
          <w:szCs w:val="20"/>
        </w:rPr>
        <w:tab/>
        <w:t>August 5, 2013</w:t>
      </w:r>
    </w:p>
    <w:p w:rsidR="00EB2EDD" w:rsidRPr="000B6ABC" w:rsidRDefault="00EB2EDD" w:rsidP="00EB2EDD">
      <w:pPr>
        <w:widowControl w:val="0"/>
        <w:ind w:left="2880" w:hanging="2880"/>
        <w:jc w:val="both"/>
        <w:rPr>
          <w:sz w:val="20"/>
          <w:szCs w:val="20"/>
        </w:rPr>
      </w:pPr>
    </w:p>
    <w:p w:rsidR="00EB2EDD" w:rsidRPr="000B6ABC" w:rsidRDefault="00EB2EDD" w:rsidP="00EB2EDD">
      <w:pPr>
        <w:widowControl w:val="0"/>
        <w:ind w:left="2880" w:hanging="2880"/>
        <w:jc w:val="both"/>
        <w:rPr>
          <w:sz w:val="20"/>
          <w:szCs w:val="20"/>
        </w:rPr>
      </w:pPr>
      <w:r w:rsidRPr="000B6ABC">
        <w:rPr>
          <w:sz w:val="20"/>
          <w:szCs w:val="20"/>
        </w:rPr>
        <w:t>Counsel:</w:t>
      </w:r>
      <w:r w:rsidRPr="000B6ABC">
        <w:rPr>
          <w:sz w:val="20"/>
          <w:szCs w:val="20"/>
        </w:rPr>
        <w:tab/>
        <w:t>Michael Ralph for the appellant</w:t>
      </w:r>
    </w:p>
    <w:p w:rsidR="00EB2EDD" w:rsidRPr="000B6ABC" w:rsidRDefault="00EB2EDD" w:rsidP="00EB2EDD">
      <w:pPr>
        <w:widowControl w:val="0"/>
        <w:ind w:left="2880" w:hanging="2880"/>
        <w:jc w:val="both"/>
        <w:rPr>
          <w:sz w:val="20"/>
          <w:szCs w:val="20"/>
        </w:rPr>
      </w:pPr>
      <w:r w:rsidRPr="000B6ABC">
        <w:rPr>
          <w:sz w:val="20"/>
          <w:szCs w:val="20"/>
        </w:rPr>
        <w:tab/>
        <w:t>Iain R. W. Hollett for the respondent</w:t>
      </w:r>
    </w:p>
    <w:p w:rsidR="0055561A" w:rsidRPr="00EB2EDD" w:rsidRDefault="0055561A" w:rsidP="000B3C9A">
      <w:pPr>
        <w:tabs>
          <w:tab w:val="left" w:pos="-1440"/>
          <w:tab w:val="left" w:pos="-720"/>
        </w:tabs>
        <w:jc w:val="both"/>
        <w:rPr>
          <w:sz w:val="20"/>
          <w:szCs w:val="20"/>
        </w:rPr>
      </w:pPr>
    </w:p>
    <w:p w:rsidR="0055561A" w:rsidRDefault="000C68D7" w:rsidP="000B3C9A">
      <w:pPr>
        <w:tabs>
          <w:tab w:val="left" w:pos="-1440"/>
          <w:tab w:val="left" w:pos="-720"/>
        </w:tabs>
        <w:jc w:val="both"/>
        <w:rPr>
          <w:sz w:val="20"/>
          <w:szCs w:val="20"/>
          <w:lang w:val="fr-CA"/>
        </w:rPr>
      </w:pPr>
      <w:r>
        <w:rPr>
          <w:sz w:val="20"/>
          <w:szCs w:val="20"/>
          <w:lang w:val="fr-CA"/>
        </w:rPr>
        <w:pict>
          <v:rect id="_x0000_i1078" style="width:2in;height:1pt" o:hrpct="0" o:hralign="center" o:hrstd="t" o:hrnoshade="t" o:hr="t" fillcolor="black [3213]" stroked="f"/>
        </w:pict>
      </w:r>
    </w:p>
    <w:p w:rsidR="0055561A" w:rsidRDefault="0055561A" w:rsidP="000B3C9A">
      <w:pPr>
        <w:tabs>
          <w:tab w:val="left" w:pos="-1440"/>
          <w:tab w:val="left" w:pos="-720"/>
        </w:tabs>
        <w:jc w:val="both"/>
        <w:rPr>
          <w:sz w:val="20"/>
          <w:szCs w:val="20"/>
          <w:lang w:val="fr-CA"/>
        </w:rPr>
      </w:pPr>
    </w:p>
    <w:p w:rsidR="0055561A" w:rsidRDefault="0055561A">
      <w:pPr>
        <w:rPr>
          <w:sz w:val="20"/>
          <w:szCs w:val="20"/>
          <w:lang w:val="fr-CA"/>
        </w:rPr>
      </w:pPr>
      <w:r>
        <w:rPr>
          <w:sz w:val="20"/>
          <w:szCs w:val="20"/>
          <w:lang w:val="fr-CA"/>
        </w:rPr>
        <w:br w:type="page"/>
      </w:r>
    </w:p>
    <w:p w:rsidR="00EB2EDD" w:rsidRPr="001B185B" w:rsidRDefault="007359BF" w:rsidP="00EB2EDD">
      <w:pPr>
        <w:widowControl w:val="0"/>
        <w:ind w:left="720" w:hanging="720"/>
        <w:jc w:val="both"/>
        <w:rPr>
          <w:sz w:val="20"/>
          <w:szCs w:val="20"/>
          <w:lang w:val="fr-CA"/>
        </w:rPr>
      </w:pPr>
      <w:r w:rsidRPr="001B185B">
        <w:rPr>
          <w:b/>
          <w:sz w:val="20"/>
          <w:szCs w:val="20"/>
          <w:lang w:val="fr-CA"/>
        </w:rPr>
        <w:lastRenderedPageBreak/>
        <w:fldChar w:fldCharType="begin"/>
      </w:r>
      <w:r w:rsidR="00EB2EDD" w:rsidRPr="001B185B">
        <w:rPr>
          <w:b/>
          <w:sz w:val="20"/>
          <w:szCs w:val="20"/>
          <w:lang w:val="fr-CA"/>
        </w:rPr>
        <w:instrText xml:space="preserve"> SEQ CHAPTER \h \r 1</w:instrText>
      </w:r>
      <w:r w:rsidRPr="001B185B">
        <w:rPr>
          <w:b/>
          <w:sz w:val="20"/>
          <w:szCs w:val="20"/>
          <w:lang w:val="fr-CA"/>
        </w:rPr>
        <w:fldChar w:fldCharType="end"/>
      </w:r>
      <w:r w:rsidR="00EB2EDD" w:rsidRPr="001B185B">
        <w:rPr>
          <w:b/>
          <w:sz w:val="20"/>
          <w:szCs w:val="20"/>
          <w:lang w:val="fr-CA"/>
        </w:rPr>
        <w:t>35510</w:t>
      </w:r>
      <w:r w:rsidR="00EB2EDD" w:rsidRPr="001B185B">
        <w:rPr>
          <w:sz w:val="20"/>
          <w:szCs w:val="20"/>
          <w:lang w:val="fr-CA"/>
        </w:rPr>
        <w:tab/>
      </w:r>
      <w:r w:rsidR="00EB2EDD" w:rsidRPr="001B185B">
        <w:rPr>
          <w:b/>
          <w:i/>
          <w:sz w:val="20"/>
          <w:szCs w:val="20"/>
          <w:lang w:val="fr-CA"/>
        </w:rPr>
        <w:t>Eric Vokurka c. Sa Majesté la Reine</w:t>
      </w:r>
    </w:p>
    <w:p w:rsidR="00EB2EDD" w:rsidRPr="001B185B" w:rsidRDefault="00EB2EDD" w:rsidP="00EB2EDD">
      <w:pPr>
        <w:widowControl w:val="0"/>
        <w:jc w:val="both"/>
        <w:rPr>
          <w:sz w:val="20"/>
          <w:szCs w:val="20"/>
          <w:lang w:val="fr-CA"/>
        </w:rPr>
      </w:pPr>
    </w:p>
    <w:p w:rsidR="00EB2EDD" w:rsidRPr="001B185B" w:rsidRDefault="00EB2EDD" w:rsidP="00EB2EDD">
      <w:pPr>
        <w:widowControl w:val="0"/>
        <w:jc w:val="both"/>
        <w:rPr>
          <w:sz w:val="20"/>
          <w:szCs w:val="20"/>
          <w:lang w:val="fr-CA"/>
        </w:rPr>
      </w:pPr>
      <w:r w:rsidRPr="001B185B">
        <w:rPr>
          <w:sz w:val="20"/>
          <w:szCs w:val="20"/>
          <w:lang w:val="fr-CA"/>
        </w:rPr>
        <w:t xml:space="preserve">Droit criminel - Voies de fait graves - Défense d’accident - Interprétation erronée de la preuve - Le juge du procès a-t-il eu tort de ne pas expliquer pourquoi les inférences qui appuyaient la défense d’accident n’avaient pas été acceptées? </w:t>
      </w:r>
    </w:p>
    <w:p w:rsidR="00EB2EDD" w:rsidRPr="001B185B" w:rsidRDefault="00EB2EDD" w:rsidP="00EB2EDD">
      <w:pPr>
        <w:widowControl w:val="0"/>
        <w:jc w:val="both"/>
        <w:rPr>
          <w:sz w:val="20"/>
          <w:szCs w:val="20"/>
          <w:lang w:val="fr-CA"/>
        </w:rPr>
      </w:pPr>
    </w:p>
    <w:p w:rsidR="00EB2EDD" w:rsidRPr="001B185B" w:rsidRDefault="00EB2EDD" w:rsidP="00EB2EDD">
      <w:pPr>
        <w:widowControl w:val="0"/>
        <w:jc w:val="both"/>
        <w:rPr>
          <w:sz w:val="20"/>
          <w:szCs w:val="20"/>
          <w:lang w:val="fr-CA"/>
        </w:rPr>
      </w:pPr>
      <w:r w:rsidRPr="001B185B">
        <w:rPr>
          <w:sz w:val="20"/>
          <w:szCs w:val="20"/>
          <w:lang w:val="fr-CA"/>
        </w:rPr>
        <w:t xml:space="preserve">L’appelant a été déclaré coupable de voies de fait graves.  Le juge du procès a conclu qu’il avait intentionnellement infligé une coupure au bras de son ami et collègue de travail.  L’appelant a interjeté appel de sa condamnation, plaidant que le juge du procès avait mal interprété la preuve relativement aux liens qu’il entretenait avec le plaignant et que ces liens prouvaient l’absence de mobile, qu’il avait mal interprété la preuve relativement à l’intoxication de l’appelant en n’appréciant pas que celle-ci permettait de conclure qu’il avait accidentellement coupé le plaignant, que l’inférence du juge du procès selon laquelle l’appelant entendait couper le plaignant était déraisonnable et que le verdict était déraisonnable et non étayé par la preuve.  Les juges majoritaires de la Cour d’appel ont rejeté l’appel.  La juge Welsh, dissidente, aurait accueilli l’appel, cassé la déclaration de culpabilité et inscrit un verdict d’acquittement.  À son avis, le juge du procès avait commis une erreur en n’expliquant pas pourquoi les inférences qui appuyaient la défense d’accident n’avaient pas été acceptées. </w:t>
      </w:r>
    </w:p>
    <w:p w:rsidR="00EB2EDD" w:rsidRPr="001B185B" w:rsidRDefault="00EB2EDD" w:rsidP="00EB2EDD">
      <w:pPr>
        <w:widowControl w:val="0"/>
        <w:jc w:val="both"/>
        <w:rPr>
          <w:sz w:val="20"/>
          <w:szCs w:val="20"/>
          <w:lang w:val="fr-CA"/>
        </w:rPr>
      </w:pPr>
    </w:p>
    <w:p w:rsidR="00EB2EDD" w:rsidRPr="001B185B" w:rsidRDefault="00EB2EDD" w:rsidP="00EB2EDD">
      <w:pPr>
        <w:widowControl w:val="0"/>
        <w:jc w:val="both"/>
        <w:rPr>
          <w:sz w:val="20"/>
          <w:szCs w:val="20"/>
          <w:lang w:val="fr-CA"/>
        </w:rPr>
      </w:pPr>
    </w:p>
    <w:p w:rsidR="00EB2EDD" w:rsidRPr="001B185B" w:rsidRDefault="00EB2EDD" w:rsidP="00EB2EDD">
      <w:pPr>
        <w:widowControl w:val="0"/>
        <w:ind w:left="2880" w:hanging="2880"/>
        <w:jc w:val="both"/>
        <w:rPr>
          <w:sz w:val="20"/>
          <w:szCs w:val="20"/>
          <w:lang w:val="fr-CA"/>
        </w:rPr>
      </w:pPr>
      <w:r w:rsidRPr="001B185B">
        <w:rPr>
          <w:sz w:val="20"/>
          <w:szCs w:val="20"/>
          <w:lang w:val="fr-CA"/>
        </w:rPr>
        <w:t>Origine :</w:t>
      </w:r>
      <w:r w:rsidRPr="001B185B">
        <w:rPr>
          <w:sz w:val="20"/>
          <w:szCs w:val="20"/>
          <w:lang w:val="fr-CA"/>
        </w:rPr>
        <w:tab/>
        <w:t>Terre-Neuve-et-Labrador</w:t>
      </w:r>
    </w:p>
    <w:p w:rsidR="00EB2EDD" w:rsidRPr="001B185B" w:rsidRDefault="00EB2EDD" w:rsidP="00EB2EDD">
      <w:pPr>
        <w:widowControl w:val="0"/>
        <w:ind w:left="2880" w:hanging="2880"/>
        <w:jc w:val="both"/>
        <w:rPr>
          <w:sz w:val="20"/>
          <w:szCs w:val="20"/>
          <w:lang w:val="fr-CA"/>
        </w:rPr>
      </w:pPr>
    </w:p>
    <w:p w:rsidR="00EB2EDD" w:rsidRPr="001B185B" w:rsidRDefault="00EB2EDD" w:rsidP="00EB2EDD">
      <w:pPr>
        <w:widowControl w:val="0"/>
        <w:ind w:left="2880" w:hanging="2880"/>
        <w:jc w:val="both"/>
        <w:rPr>
          <w:sz w:val="20"/>
          <w:szCs w:val="20"/>
          <w:lang w:val="fr-CA"/>
        </w:rPr>
      </w:pPr>
      <w:r w:rsidRPr="001B185B">
        <w:rPr>
          <w:sz w:val="20"/>
          <w:szCs w:val="20"/>
          <w:lang w:val="fr-CA"/>
        </w:rPr>
        <w:t>N</w:t>
      </w:r>
      <w:r w:rsidRPr="001B185B">
        <w:rPr>
          <w:sz w:val="20"/>
          <w:szCs w:val="20"/>
          <w:vertAlign w:val="superscript"/>
          <w:lang w:val="fr-CA"/>
        </w:rPr>
        <w:t>o</w:t>
      </w:r>
      <w:r w:rsidRPr="001B185B">
        <w:rPr>
          <w:sz w:val="20"/>
          <w:szCs w:val="20"/>
          <w:lang w:val="fr-CA"/>
        </w:rPr>
        <w:t xml:space="preserve"> du greffe :</w:t>
      </w:r>
      <w:r w:rsidRPr="001B185B">
        <w:rPr>
          <w:sz w:val="20"/>
          <w:szCs w:val="20"/>
          <w:lang w:val="fr-CA"/>
        </w:rPr>
        <w:tab/>
        <w:t>35510</w:t>
      </w:r>
    </w:p>
    <w:p w:rsidR="00EB2EDD" w:rsidRPr="001B185B" w:rsidRDefault="00EB2EDD" w:rsidP="00EB2EDD">
      <w:pPr>
        <w:widowControl w:val="0"/>
        <w:ind w:left="2880" w:hanging="2880"/>
        <w:jc w:val="both"/>
        <w:rPr>
          <w:sz w:val="20"/>
          <w:szCs w:val="20"/>
          <w:lang w:val="fr-CA"/>
        </w:rPr>
      </w:pPr>
    </w:p>
    <w:p w:rsidR="00EB2EDD" w:rsidRPr="001B185B" w:rsidRDefault="00EB2EDD" w:rsidP="00EB2EDD">
      <w:pPr>
        <w:widowControl w:val="0"/>
        <w:ind w:left="2880" w:hanging="2880"/>
        <w:jc w:val="both"/>
        <w:rPr>
          <w:sz w:val="20"/>
          <w:szCs w:val="20"/>
          <w:lang w:val="fr-CA"/>
        </w:rPr>
      </w:pPr>
      <w:r w:rsidRPr="001B185B">
        <w:rPr>
          <w:sz w:val="20"/>
          <w:szCs w:val="20"/>
          <w:lang w:val="fr-CA"/>
        </w:rPr>
        <w:t>Arrêt de la Cour d’appel :</w:t>
      </w:r>
      <w:r w:rsidRPr="001B185B">
        <w:rPr>
          <w:sz w:val="20"/>
          <w:szCs w:val="20"/>
          <w:lang w:val="fr-CA"/>
        </w:rPr>
        <w:tab/>
        <w:t>le 5 août 2013</w:t>
      </w:r>
    </w:p>
    <w:p w:rsidR="00EB2EDD" w:rsidRPr="001B185B" w:rsidRDefault="00EB2EDD" w:rsidP="00EB2EDD">
      <w:pPr>
        <w:widowControl w:val="0"/>
        <w:ind w:left="2880" w:hanging="2880"/>
        <w:jc w:val="both"/>
        <w:rPr>
          <w:sz w:val="20"/>
          <w:szCs w:val="20"/>
          <w:lang w:val="fr-CA"/>
        </w:rPr>
      </w:pPr>
    </w:p>
    <w:p w:rsidR="00EB2EDD" w:rsidRPr="001B185B" w:rsidRDefault="00EB2EDD" w:rsidP="00EB2EDD">
      <w:pPr>
        <w:widowControl w:val="0"/>
        <w:ind w:left="2880" w:hanging="2880"/>
        <w:jc w:val="both"/>
        <w:rPr>
          <w:sz w:val="20"/>
          <w:szCs w:val="20"/>
          <w:lang w:val="fr-CA"/>
        </w:rPr>
      </w:pPr>
      <w:r w:rsidRPr="001B185B">
        <w:rPr>
          <w:sz w:val="20"/>
          <w:szCs w:val="20"/>
          <w:lang w:val="fr-CA"/>
        </w:rPr>
        <w:t>Avocats :</w:t>
      </w:r>
      <w:r w:rsidRPr="001B185B">
        <w:rPr>
          <w:sz w:val="20"/>
          <w:szCs w:val="20"/>
          <w:lang w:val="fr-CA"/>
        </w:rPr>
        <w:tab/>
        <w:t>Michael Ralph pour l’appelant</w:t>
      </w:r>
    </w:p>
    <w:p w:rsidR="00EB2EDD" w:rsidRPr="001B185B" w:rsidRDefault="00EB2EDD" w:rsidP="00EB2EDD">
      <w:pPr>
        <w:widowControl w:val="0"/>
        <w:ind w:left="2880" w:hanging="2880"/>
        <w:jc w:val="both"/>
        <w:rPr>
          <w:sz w:val="20"/>
          <w:szCs w:val="20"/>
          <w:lang w:val="fr-CA"/>
        </w:rPr>
      </w:pPr>
      <w:r w:rsidRPr="001B185B">
        <w:rPr>
          <w:sz w:val="20"/>
          <w:szCs w:val="20"/>
          <w:lang w:val="fr-CA"/>
        </w:rPr>
        <w:tab/>
        <w:t>Iain R. W. Hollett pour l’intimée</w:t>
      </w:r>
    </w:p>
    <w:p w:rsidR="0055561A" w:rsidRDefault="0055561A" w:rsidP="000B3C9A">
      <w:pPr>
        <w:tabs>
          <w:tab w:val="left" w:pos="-1440"/>
          <w:tab w:val="left" w:pos="-720"/>
        </w:tabs>
        <w:jc w:val="both"/>
        <w:rPr>
          <w:sz w:val="20"/>
          <w:szCs w:val="20"/>
          <w:lang w:val="fr-CA"/>
        </w:rPr>
      </w:pPr>
    </w:p>
    <w:p w:rsidR="0055561A" w:rsidRDefault="000C68D7" w:rsidP="000B3C9A">
      <w:pPr>
        <w:tabs>
          <w:tab w:val="left" w:pos="-1440"/>
          <w:tab w:val="left" w:pos="-720"/>
        </w:tabs>
        <w:jc w:val="both"/>
        <w:rPr>
          <w:sz w:val="20"/>
          <w:szCs w:val="20"/>
          <w:lang w:val="fr-CA"/>
        </w:rPr>
      </w:pPr>
      <w:r>
        <w:rPr>
          <w:sz w:val="20"/>
          <w:szCs w:val="20"/>
          <w:lang w:val="fr-CA"/>
        </w:rPr>
        <w:pict>
          <v:rect id="_x0000_i1079" style="width:2in;height:1pt" o:hrpct="0" o:hralign="center" o:hrstd="t" o:hrnoshade="t" o:hr="t" fillcolor="black [3213]" stroked="f"/>
        </w:pict>
      </w:r>
    </w:p>
    <w:p w:rsidR="0055561A" w:rsidRDefault="0055561A" w:rsidP="000B3C9A">
      <w:pPr>
        <w:tabs>
          <w:tab w:val="left" w:pos="-1440"/>
          <w:tab w:val="left" w:pos="-720"/>
        </w:tabs>
        <w:jc w:val="both"/>
        <w:rPr>
          <w:sz w:val="20"/>
          <w:szCs w:val="20"/>
          <w:lang w:val="fr-CA"/>
        </w:rPr>
      </w:pPr>
    </w:p>
    <w:p w:rsidR="0055561A" w:rsidRDefault="0055561A">
      <w:pPr>
        <w:rPr>
          <w:sz w:val="20"/>
          <w:szCs w:val="20"/>
          <w:lang w:val="fr-CA"/>
        </w:rPr>
      </w:pPr>
      <w:r>
        <w:rPr>
          <w:sz w:val="20"/>
          <w:szCs w:val="20"/>
          <w:lang w:val="fr-CA"/>
        </w:rPr>
        <w:br w:type="page"/>
      </w:r>
    </w:p>
    <w:p w:rsidR="00952FDF" w:rsidRPr="001A3572" w:rsidRDefault="007359BF" w:rsidP="00952FDF">
      <w:pPr>
        <w:widowControl w:val="0"/>
        <w:ind w:left="720" w:hanging="720"/>
        <w:jc w:val="both"/>
        <w:rPr>
          <w:sz w:val="20"/>
          <w:szCs w:val="20"/>
        </w:rPr>
      </w:pPr>
      <w:r w:rsidRPr="001A3572">
        <w:rPr>
          <w:b/>
          <w:sz w:val="20"/>
          <w:szCs w:val="20"/>
        </w:rPr>
        <w:lastRenderedPageBreak/>
        <w:fldChar w:fldCharType="begin"/>
      </w:r>
      <w:r w:rsidR="00952FDF" w:rsidRPr="001A3572">
        <w:rPr>
          <w:b/>
          <w:sz w:val="20"/>
          <w:szCs w:val="20"/>
        </w:rPr>
        <w:instrText xml:space="preserve"> SEQ CHAPTER \h \r 1</w:instrText>
      </w:r>
      <w:r w:rsidRPr="001A3572">
        <w:rPr>
          <w:b/>
          <w:sz w:val="20"/>
          <w:szCs w:val="20"/>
        </w:rPr>
        <w:fldChar w:fldCharType="end"/>
      </w:r>
      <w:r w:rsidR="00952FDF" w:rsidRPr="001A3572">
        <w:rPr>
          <w:b/>
          <w:sz w:val="20"/>
          <w:szCs w:val="20"/>
        </w:rPr>
        <w:t>35531</w:t>
      </w:r>
      <w:r w:rsidR="00952FDF" w:rsidRPr="001A3572">
        <w:rPr>
          <w:sz w:val="20"/>
          <w:szCs w:val="20"/>
        </w:rPr>
        <w:tab/>
      </w:r>
      <w:r w:rsidR="00952FDF" w:rsidRPr="001A3572">
        <w:rPr>
          <w:b/>
          <w:i/>
          <w:sz w:val="20"/>
          <w:szCs w:val="20"/>
        </w:rPr>
        <w:t>Her Majesty the Queen v. Jeffrey Kevin Leinen</w:t>
      </w:r>
    </w:p>
    <w:p w:rsidR="00952FDF" w:rsidRPr="001A3572" w:rsidRDefault="00952FDF" w:rsidP="00952FDF">
      <w:pPr>
        <w:widowControl w:val="0"/>
        <w:jc w:val="both"/>
        <w:rPr>
          <w:sz w:val="20"/>
          <w:szCs w:val="20"/>
        </w:rPr>
      </w:pPr>
    </w:p>
    <w:p w:rsidR="00952FDF" w:rsidRPr="001A3572" w:rsidRDefault="00952FDF" w:rsidP="00952FDF">
      <w:pPr>
        <w:widowControl w:val="0"/>
        <w:jc w:val="both"/>
        <w:rPr>
          <w:sz w:val="20"/>
          <w:szCs w:val="20"/>
        </w:rPr>
      </w:pPr>
      <w:r w:rsidRPr="001A3572">
        <w:rPr>
          <w:sz w:val="20"/>
          <w:szCs w:val="20"/>
        </w:rPr>
        <w:t xml:space="preserve">Criminal law - Charge to jury - Defences - Air of reality - Curative proviso - Whether the jury instructions on intent and accident were adequate - Whether there was an air of reality to the panic defence - Whether the curative proviso in s. 686(1)(b)(iii) of the </w:t>
      </w:r>
      <w:r w:rsidRPr="001A3572">
        <w:rPr>
          <w:i/>
          <w:sz w:val="20"/>
          <w:szCs w:val="20"/>
        </w:rPr>
        <w:t>Criminal Code</w:t>
      </w:r>
      <w:r w:rsidRPr="001A3572">
        <w:rPr>
          <w:sz w:val="20"/>
          <w:szCs w:val="20"/>
        </w:rPr>
        <w:t>, R.S.C. 1985, c. C-46, was applicable.</w:t>
      </w:r>
    </w:p>
    <w:p w:rsidR="00952FDF" w:rsidRPr="001A3572" w:rsidRDefault="00952FDF" w:rsidP="00952FDF">
      <w:pPr>
        <w:widowControl w:val="0"/>
        <w:jc w:val="both"/>
        <w:rPr>
          <w:sz w:val="20"/>
          <w:szCs w:val="20"/>
        </w:rPr>
      </w:pPr>
    </w:p>
    <w:p w:rsidR="00952FDF" w:rsidRPr="001A3572" w:rsidRDefault="00952FDF" w:rsidP="00952FDF">
      <w:pPr>
        <w:widowControl w:val="0"/>
        <w:jc w:val="both"/>
        <w:rPr>
          <w:sz w:val="20"/>
          <w:szCs w:val="20"/>
        </w:rPr>
      </w:pPr>
      <w:r w:rsidRPr="001A3572">
        <w:rPr>
          <w:sz w:val="20"/>
          <w:szCs w:val="20"/>
        </w:rPr>
        <w:t xml:space="preserve">The respondent was convicted of second degree murder and aggravated assault.  He killed one person and injured another by driving his truck into a crowd of people that had gathered outside a bar at which he had been drinking.  At trial, the respondent claimed that his acceleration into the crowd was an involuntary panic response.  He argued in the alternative that what happened was an accident, and that he had no intention of killing or injuring anyone.  The respondent appealed his convictions.  A majority of the Court of Appeal allowed the appeal, quashed the convictions and ordered a new trial.  In its view, the trial judge failed to properly instruct the jury on the legal significance of the panic attack defence.  McDonald J.A., dissenting in part, would have dismissed the appeal on the basis that, when read holistically, the jury charge was adequate on the issue of intent and accident.  Alternatively, he found that the panic defence had no air of reality and, therefore, any errors were immaterial.  In the further alternative, he would have applied the curative proviso in s. 686(1)(b)(iii) of the </w:t>
      </w:r>
      <w:r w:rsidRPr="001A3572">
        <w:rPr>
          <w:i/>
          <w:sz w:val="20"/>
          <w:szCs w:val="20"/>
        </w:rPr>
        <w:t>Criminal Code</w:t>
      </w:r>
      <w:r w:rsidRPr="001A3572">
        <w:rPr>
          <w:sz w:val="20"/>
          <w:szCs w:val="20"/>
        </w:rPr>
        <w:t xml:space="preserve"> to any errors, finding that the evidence supported the conclusion that the respondent intended to strike the crowd with his truck. </w:t>
      </w:r>
    </w:p>
    <w:p w:rsidR="00952FDF" w:rsidRPr="001A3572" w:rsidRDefault="00952FDF" w:rsidP="00952FDF">
      <w:pPr>
        <w:widowControl w:val="0"/>
        <w:jc w:val="both"/>
        <w:rPr>
          <w:sz w:val="20"/>
          <w:szCs w:val="20"/>
        </w:rPr>
      </w:pPr>
    </w:p>
    <w:p w:rsidR="00952FDF" w:rsidRPr="001A3572" w:rsidRDefault="00952FDF" w:rsidP="00952FDF">
      <w:pPr>
        <w:widowControl w:val="0"/>
        <w:jc w:val="both"/>
        <w:rPr>
          <w:sz w:val="20"/>
          <w:szCs w:val="20"/>
        </w:rPr>
      </w:pPr>
    </w:p>
    <w:p w:rsidR="00952FDF" w:rsidRPr="001A3572" w:rsidRDefault="00952FDF" w:rsidP="00952FDF">
      <w:pPr>
        <w:widowControl w:val="0"/>
        <w:ind w:left="2880" w:hanging="2880"/>
        <w:jc w:val="both"/>
        <w:rPr>
          <w:sz w:val="20"/>
          <w:szCs w:val="20"/>
        </w:rPr>
      </w:pPr>
      <w:r w:rsidRPr="001A3572">
        <w:rPr>
          <w:sz w:val="20"/>
          <w:szCs w:val="20"/>
        </w:rPr>
        <w:t>Origin of the case:</w:t>
      </w:r>
      <w:r w:rsidRPr="001A3572">
        <w:rPr>
          <w:sz w:val="20"/>
          <w:szCs w:val="20"/>
        </w:rPr>
        <w:tab/>
        <w:t>Alberta</w:t>
      </w:r>
    </w:p>
    <w:p w:rsidR="00952FDF" w:rsidRPr="001A3572" w:rsidRDefault="00952FDF" w:rsidP="00952FDF">
      <w:pPr>
        <w:widowControl w:val="0"/>
        <w:ind w:left="2880" w:hanging="2880"/>
        <w:jc w:val="both"/>
        <w:rPr>
          <w:sz w:val="20"/>
          <w:szCs w:val="20"/>
        </w:rPr>
      </w:pPr>
    </w:p>
    <w:p w:rsidR="00952FDF" w:rsidRPr="001A3572" w:rsidRDefault="00952FDF" w:rsidP="00952FDF">
      <w:pPr>
        <w:widowControl w:val="0"/>
        <w:ind w:left="2880" w:hanging="2880"/>
        <w:jc w:val="both"/>
        <w:rPr>
          <w:sz w:val="20"/>
          <w:szCs w:val="20"/>
        </w:rPr>
      </w:pPr>
      <w:r w:rsidRPr="001A3572">
        <w:rPr>
          <w:sz w:val="20"/>
          <w:szCs w:val="20"/>
        </w:rPr>
        <w:t>File No.:</w:t>
      </w:r>
      <w:r w:rsidRPr="001A3572">
        <w:rPr>
          <w:sz w:val="20"/>
          <w:szCs w:val="20"/>
        </w:rPr>
        <w:tab/>
        <w:t>35531</w:t>
      </w:r>
    </w:p>
    <w:p w:rsidR="00952FDF" w:rsidRPr="001A3572" w:rsidRDefault="00952FDF" w:rsidP="00952FDF">
      <w:pPr>
        <w:widowControl w:val="0"/>
        <w:ind w:left="2880" w:hanging="2880"/>
        <w:jc w:val="both"/>
        <w:rPr>
          <w:sz w:val="20"/>
          <w:szCs w:val="20"/>
        </w:rPr>
      </w:pPr>
    </w:p>
    <w:p w:rsidR="00952FDF" w:rsidRPr="001A3572" w:rsidRDefault="00952FDF" w:rsidP="00952FDF">
      <w:pPr>
        <w:widowControl w:val="0"/>
        <w:ind w:left="2880" w:hanging="2880"/>
        <w:jc w:val="both"/>
        <w:rPr>
          <w:sz w:val="20"/>
          <w:szCs w:val="20"/>
        </w:rPr>
      </w:pPr>
      <w:r w:rsidRPr="001A3572">
        <w:rPr>
          <w:sz w:val="20"/>
          <w:szCs w:val="20"/>
        </w:rPr>
        <w:t>Judgment of the Court of Appeal:</w:t>
      </w:r>
      <w:r w:rsidRPr="001A3572">
        <w:rPr>
          <w:sz w:val="20"/>
          <w:szCs w:val="20"/>
        </w:rPr>
        <w:tab/>
        <w:t>August 12, 2013</w:t>
      </w:r>
    </w:p>
    <w:p w:rsidR="00952FDF" w:rsidRPr="001A3572" w:rsidRDefault="00952FDF" w:rsidP="00952FDF">
      <w:pPr>
        <w:widowControl w:val="0"/>
        <w:ind w:left="2880" w:hanging="2880"/>
        <w:jc w:val="both"/>
        <w:rPr>
          <w:sz w:val="20"/>
          <w:szCs w:val="20"/>
        </w:rPr>
      </w:pPr>
    </w:p>
    <w:p w:rsidR="00952FDF" w:rsidRPr="001A3572" w:rsidRDefault="00952FDF" w:rsidP="00952FDF">
      <w:pPr>
        <w:widowControl w:val="0"/>
        <w:ind w:left="2880" w:hanging="2880"/>
        <w:jc w:val="both"/>
        <w:rPr>
          <w:sz w:val="20"/>
          <w:szCs w:val="20"/>
        </w:rPr>
      </w:pPr>
      <w:r w:rsidRPr="001A3572">
        <w:rPr>
          <w:sz w:val="20"/>
          <w:szCs w:val="20"/>
        </w:rPr>
        <w:t>Counsel:</w:t>
      </w:r>
      <w:r w:rsidRPr="001A3572">
        <w:rPr>
          <w:sz w:val="20"/>
          <w:szCs w:val="20"/>
        </w:rPr>
        <w:tab/>
        <w:t>Joshua B. Hawkes, Q.C. for the appellant</w:t>
      </w:r>
    </w:p>
    <w:p w:rsidR="00952FDF" w:rsidRPr="001A3572" w:rsidRDefault="00952FDF" w:rsidP="00952FDF">
      <w:pPr>
        <w:widowControl w:val="0"/>
        <w:ind w:left="2880" w:hanging="2880"/>
        <w:jc w:val="both"/>
        <w:rPr>
          <w:sz w:val="20"/>
          <w:szCs w:val="20"/>
        </w:rPr>
      </w:pPr>
      <w:r w:rsidRPr="001A3572">
        <w:rPr>
          <w:sz w:val="20"/>
          <w:szCs w:val="20"/>
        </w:rPr>
        <w:tab/>
        <w:t>Jennifer Ruttan for the respondent</w:t>
      </w:r>
    </w:p>
    <w:p w:rsidR="0055561A" w:rsidRPr="00952FDF" w:rsidRDefault="0055561A" w:rsidP="000B3C9A">
      <w:pPr>
        <w:tabs>
          <w:tab w:val="left" w:pos="-1440"/>
          <w:tab w:val="left" w:pos="-720"/>
        </w:tabs>
        <w:jc w:val="both"/>
        <w:rPr>
          <w:sz w:val="20"/>
          <w:szCs w:val="20"/>
        </w:rPr>
      </w:pPr>
    </w:p>
    <w:p w:rsidR="0055561A" w:rsidRDefault="000C68D7" w:rsidP="000B3C9A">
      <w:pPr>
        <w:tabs>
          <w:tab w:val="left" w:pos="-1440"/>
          <w:tab w:val="left" w:pos="-720"/>
        </w:tabs>
        <w:jc w:val="both"/>
        <w:rPr>
          <w:sz w:val="20"/>
          <w:szCs w:val="20"/>
          <w:lang w:val="fr-CA"/>
        </w:rPr>
      </w:pPr>
      <w:r>
        <w:rPr>
          <w:sz w:val="20"/>
          <w:szCs w:val="20"/>
          <w:lang w:val="fr-CA"/>
        </w:rPr>
        <w:pict>
          <v:rect id="_x0000_i1080" style="width:2in;height:1pt" o:hrpct="0" o:hralign="center" o:hrstd="t" o:hrnoshade="t" o:hr="t" fillcolor="black [3213]" stroked="f"/>
        </w:pict>
      </w:r>
    </w:p>
    <w:p w:rsidR="0055561A" w:rsidRDefault="0055561A" w:rsidP="000B3C9A">
      <w:pPr>
        <w:tabs>
          <w:tab w:val="left" w:pos="-1440"/>
          <w:tab w:val="left" w:pos="-720"/>
        </w:tabs>
        <w:jc w:val="both"/>
        <w:rPr>
          <w:sz w:val="20"/>
          <w:szCs w:val="20"/>
          <w:lang w:val="fr-CA"/>
        </w:rPr>
      </w:pPr>
    </w:p>
    <w:p w:rsidR="0055561A" w:rsidRDefault="0055561A">
      <w:pPr>
        <w:rPr>
          <w:sz w:val="20"/>
          <w:szCs w:val="20"/>
          <w:lang w:val="fr-CA"/>
        </w:rPr>
      </w:pPr>
      <w:r>
        <w:rPr>
          <w:sz w:val="20"/>
          <w:szCs w:val="20"/>
          <w:lang w:val="fr-CA"/>
        </w:rPr>
        <w:br w:type="page"/>
      </w:r>
    </w:p>
    <w:p w:rsidR="00DB4CCB" w:rsidRPr="000067FA" w:rsidRDefault="007359BF" w:rsidP="00DB4CCB">
      <w:pPr>
        <w:widowControl w:val="0"/>
        <w:ind w:left="720" w:hanging="720"/>
        <w:jc w:val="both"/>
        <w:rPr>
          <w:sz w:val="20"/>
          <w:szCs w:val="20"/>
          <w:lang w:val="fr-CA"/>
        </w:rPr>
      </w:pPr>
      <w:r w:rsidRPr="000067FA">
        <w:rPr>
          <w:b/>
          <w:sz w:val="20"/>
          <w:szCs w:val="20"/>
          <w:lang w:val="fr-CA"/>
        </w:rPr>
        <w:lastRenderedPageBreak/>
        <w:fldChar w:fldCharType="begin"/>
      </w:r>
      <w:r w:rsidR="00DB4CCB" w:rsidRPr="000067FA">
        <w:rPr>
          <w:b/>
          <w:sz w:val="20"/>
          <w:szCs w:val="20"/>
          <w:lang w:val="fr-CA"/>
        </w:rPr>
        <w:instrText xml:space="preserve"> SEQ CHAPTER \h \r 1</w:instrText>
      </w:r>
      <w:r w:rsidRPr="000067FA">
        <w:rPr>
          <w:b/>
          <w:sz w:val="20"/>
          <w:szCs w:val="20"/>
          <w:lang w:val="fr-CA"/>
        </w:rPr>
        <w:fldChar w:fldCharType="end"/>
      </w:r>
      <w:r w:rsidR="00DB4CCB" w:rsidRPr="000067FA">
        <w:rPr>
          <w:b/>
          <w:sz w:val="20"/>
          <w:szCs w:val="20"/>
          <w:lang w:val="fr-CA"/>
        </w:rPr>
        <w:t>35531</w:t>
      </w:r>
      <w:r w:rsidR="00DB4CCB" w:rsidRPr="000067FA">
        <w:rPr>
          <w:sz w:val="20"/>
          <w:szCs w:val="20"/>
          <w:lang w:val="fr-CA"/>
        </w:rPr>
        <w:tab/>
      </w:r>
      <w:r w:rsidR="00DB4CCB" w:rsidRPr="000067FA">
        <w:rPr>
          <w:b/>
          <w:i/>
          <w:sz w:val="20"/>
          <w:szCs w:val="20"/>
          <w:lang w:val="fr-CA"/>
        </w:rPr>
        <w:t>Sa Majesté la Reine c. Jeffrey Kevin Leinen</w:t>
      </w:r>
    </w:p>
    <w:p w:rsidR="00DB4CCB" w:rsidRPr="000067FA" w:rsidRDefault="00DB4CCB" w:rsidP="00DB4CCB">
      <w:pPr>
        <w:widowControl w:val="0"/>
        <w:jc w:val="both"/>
        <w:rPr>
          <w:sz w:val="20"/>
          <w:szCs w:val="20"/>
          <w:lang w:val="fr-CA"/>
        </w:rPr>
      </w:pPr>
    </w:p>
    <w:p w:rsidR="00DB4CCB" w:rsidRPr="000067FA" w:rsidRDefault="00DB4CCB" w:rsidP="00DB4CCB">
      <w:pPr>
        <w:widowControl w:val="0"/>
        <w:jc w:val="both"/>
        <w:rPr>
          <w:sz w:val="20"/>
          <w:szCs w:val="20"/>
          <w:lang w:val="fr-CA"/>
        </w:rPr>
      </w:pPr>
      <w:r w:rsidRPr="000067FA">
        <w:rPr>
          <w:sz w:val="20"/>
          <w:szCs w:val="20"/>
          <w:lang w:val="fr-CA"/>
        </w:rPr>
        <w:t>Droit criminel - Exposé au jury - Moyens de défense - Vraisemblance - Disposition réparatrice - Les directives au jury sur l’intention et l’accident étaient-elles adéquates? - La défense de panique présentait-elle de la vraisemblance? - La disposition réparatrice du sous-al. 686(1)</w:t>
      </w:r>
      <w:r w:rsidRPr="000067FA">
        <w:rPr>
          <w:i/>
          <w:sz w:val="20"/>
          <w:szCs w:val="20"/>
          <w:lang w:val="fr-CA"/>
        </w:rPr>
        <w:t>b)</w:t>
      </w:r>
      <w:r w:rsidRPr="000067FA">
        <w:rPr>
          <w:sz w:val="20"/>
          <w:szCs w:val="20"/>
          <w:lang w:val="fr-CA"/>
        </w:rPr>
        <w:t>(iii) du</w:t>
      </w:r>
      <w:r w:rsidRPr="000067FA">
        <w:rPr>
          <w:i/>
          <w:sz w:val="20"/>
          <w:szCs w:val="20"/>
          <w:lang w:val="fr-CA"/>
        </w:rPr>
        <w:t xml:space="preserve"> Code criminel</w:t>
      </w:r>
      <w:r w:rsidRPr="000067FA">
        <w:rPr>
          <w:sz w:val="20"/>
          <w:szCs w:val="20"/>
          <w:lang w:val="fr-CA"/>
        </w:rPr>
        <w:t>, L.R.C. 1985, ch. C-46, était-elle applicable?</w:t>
      </w:r>
    </w:p>
    <w:p w:rsidR="00DB4CCB" w:rsidRPr="000067FA" w:rsidRDefault="00DB4CCB" w:rsidP="00DB4CCB">
      <w:pPr>
        <w:widowControl w:val="0"/>
        <w:jc w:val="both"/>
        <w:rPr>
          <w:sz w:val="20"/>
          <w:szCs w:val="20"/>
          <w:lang w:val="fr-CA"/>
        </w:rPr>
      </w:pPr>
    </w:p>
    <w:p w:rsidR="00DB4CCB" w:rsidRPr="000067FA" w:rsidRDefault="00DB4CCB" w:rsidP="00DB4CCB">
      <w:pPr>
        <w:widowControl w:val="0"/>
        <w:jc w:val="both"/>
        <w:rPr>
          <w:sz w:val="20"/>
          <w:szCs w:val="20"/>
          <w:lang w:val="fr-CA"/>
        </w:rPr>
      </w:pPr>
      <w:r w:rsidRPr="000067FA">
        <w:rPr>
          <w:sz w:val="20"/>
          <w:szCs w:val="20"/>
          <w:lang w:val="fr-CA"/>
        </w:rPr>
        <w:t>L’intimé a été déclaré coupable de meurtre au deuxième degré et de voies de fait graves.  Il a tué une personne et en a blessé une autre en fonçant son camion dans une foule qui s’était réunie à l’extérieur d’un bar dans lequel il avait bu.  Au procès, l’intimé a allégué que son accélération dans la foule avait été une réaction involontaire de panique.  Subsidiairement, il a plaidé que ce qui s’était passé était un accident et qu’il n’avait nullement eu l’intention de tuer ou de blesser qui que ce soit.  L’intimé a interjeté appel de ses condamnations.  Les juges majoritaires de la Cour d’appel ont accueilli l’appel, annulé les déclarations de culpabilité et ordonné un nouveau procès.  À leur avis, le juge du procès n’avait pas donné au jury des directives appropriées relativement à l’incidence, sur le plan juridique, de la défense de panique.  Le juge McDonald, dissident en partie, aurait rejeté l’appel, car à son avis, lorsque lu dans son ensemble, l’exposé au jury était adéquat sur la question de l’intention et de l’accident.  Subsidiairement, il a conclu que défense la panique ne présentait aucune vraisemblance, si bien que les erreurs étaient sans importance.  Subsidiairement encore, il aurait appliqué la disposition réparatrice du sous-al. 686(1)</w:t>
      </w:r>
      <w:r w:rsidRPr="000067FA">
        <w:rPr>
          <w:i/>
          <w:sz w:val="20"/>
          <w:szCs w:val="20"/>
          <w:lang w:val="fr-CA"/>
        </w:rPr>
        <w:t>b)</w:t>
      </w:r>
      <w:r w:rsidRPr="000067FA">
        <w:rPr>
          <w:sz w:val="20"/>
          <w:szCs w:val="20"/>
          <w:lang w:val="fr-CA"/>
        </w:rPr>
        <w:t>(iii) du</w:t>
      </w:r>
      <w:r w:rsidRPr="000067FA">
        <w:rPr>
          <w:i/>
          <w:sz w:val="20"/>
          <w:szCs w:val="20"/>
          <w:lang w:val="fr-CA"/>
        </w:rPr>
        <w:t xml:space="preserve"> Code criminel</w:t>
      </w:r>
      <w:r w:rsidRPr="000067FA">
        <w:rPr>
          <w:sz w:val="20"/>
          <w:szCs w:val="20"/>
          <w:lang w:val="fr-CA"/>
        </w:rPr>
        <w:t xml:space="preserve"> à toute erreur, concluant que la preuve permettait de conclure que l’intimé avait eu l’intention de foncer dans la foule avec son camion. </w:t>
      </w:r>
    </w:p>
    <w:p w:rsidR="00DB4CCB" w:rsidRPr="000067FA" w:rsidRDefault="00DB4CCB" w:rsidP="00DB4CCB">
      <w:pPr>
        <w:widowControl w:val="0"/>
        <w:jc w:val="both"/>
        <w:rPr>
          <w:sz w:val="20"/>
          <w:szCs w:val="20"/>
          <w:lang w:val="fr-CA"/>
        </w:rPr>
      </w:pPr>
    </w:p>
    <w:p w:rsidR="00DB4CCB" w:rsidRPr="000067FA" w:rsidRDefault="00DB4CCB" w:rsidP="00DB4CCB">
      <w:pPr>
        <w:widowControl w:val="0"/>
        <w:jc w:val="both"/>
        <w:rPr>
          <w:sz w:val="20"/>
          <w:szCs w:val="20"/>
          <w:lang w:val="fr-CA"/>
        </w:rPr>
      </w:pPr>
    </w:p>
    <w:p w:rsidR="00DB4CCB" w:rsidRPr="000067FA" w:rsidRDefault="00DB4CCB" w:rsidP="00DB4CCB">
      <w:pPr>
        <w:widowControl w:val="0"/>
        <w:ind w:left="2880" w:hanging="2880"/>
        <w:jc w:val="both"/>
        <w:rPr>
          <w:sz w:val="20"/>
          <w:szCs w:val="20"/>
          <w:lang w:val="fr-CA"/>
        </w:rPr>
      </w:pPr>
      <w:r w:rsidRPr="000067FA">
        <w:rPr>
          <w:sz w:val="20"/>
          <w:szCs w:val="20"/>
          <w:lang w:val="fr-CA"/>
        </w:rPr>
        <w:t>Origine :</w:t>
      </w:r>
      <w:r w:rsidRPr="000067FA">
        <w:rPr>
          <w:sz w:val="20"/>
          <w:szCs w:val="20"/>
          <w:lang w:val="fr-CA"/>
        </w:rPr>
        <w:tab/>
        <w:t>Alberta</w:t>
      </w:r>
    </w:p>
    <w:p w:rsidR="00DB4CCB" w:rsidRPr="000067FA" w:rsidRDefault="00DB4CCB" w:rsidP="00DB4CCB">
      <w:pPr>
        <w:widowControl w:val="0"/>
        <w:ind w:left="2880" w:hanging="2880"/>
        <w:jc w:val="both"/>
        <w:rPr>
          <w:sz w:val="20"/>
          <w:szCs w:val="20"/>
          <w:lang w:val="fr-CA"/>
        </w:rPr>
      </w:pPr>
    </w:p>
    <w:p w:rsidR="00DB4CCB" w:rsidRPr="000067FA" w:rsidRDefault="00DB4CCB" w:rsidP="00DB4CCB">
      <w:pPr>
        <w:widowControl w:val="0"/>
        <w:ind w:left="2880" w:hanging="2880"/>
        <w:jc w:val="both"/>
        <w:rPr>
          <w:sz w:val="20"/>
          <w:szCs w:val="20"/>
          <w:lang w:val="fr-CA"/>
        </w:rPr>
      </w:pPr>
      <w:r w:rsidRPr="000067FA">
        <w:rPr>
          <w:sz w:val="20"/>
          <w:szCs w:val="20"/>
          <w:lang w:val="fr-CA"/>
        </w:rPr>
        <w:t>N</w:t>
      </w:r>
      <w:r w:rsidRPr="000067FA">
        <w:rPr>
          <w:sz w:val="20"/>
          <w:szCs w:val="20"/>
          <w:vertAlign w:val="superscript"/>
          <w:lang w:val="fr-CA"/>
        </w:rPr>
        <w:t>o</w:t>
      </w:r>
      <w:r w:rsidRPr="000067FA">
        <w:rPr>
          <w:sz w:val="20"/>
          <w:szCs w:val="20"/>
          <w:lang w:val="fr-CA"/>
        </w:rPr>
        <w:t xml:space="preserve"> du greffe :</w:t>
      </w:r>
      <w:r w:rsidRPr="000067FA">
        <w:rPr>
          <w:sz w:val="20"/>
          <w:szCs w:val="20"/>
          <w:lang w:val="fr-CA"/>
        </w:rPr>
        <w:tab/>
        <w:t>35531</w:t>
      </w:r>
    </w:p>
    <w:p w:rsidR="00DB4CCB" w:rsidRPr="000067FA" w:rsidRDefault="00DB4CCB" w:rsidP="00DB4CCB">
      <w:pPr>
        <w:widowControl w:val="0"/>
        <w:ind w:left="2880" w:hanging="2880"/>
        <w:jc w:val="both"/>
        <w:rPr>
          <w:sz w:val="20"/>
          <w:szCs w:val="20"/>
          <w:lang w:val="fr-CA"/>
        </w:rPr>
      </w:pPr>
    </w:p>
    <w:p w:rsidR="00DB4CCB" w:rsidRPr="000067FA" w:rsidRDefault="00DB4CCB" w:rsidP="00DB4CCB">
      <w:pPr>
        <w:widowControl w:val="0"/>
        <w:ind w:left="2880" w:hanging="2880"/>
        <w:jc w:val="both"/>
        <w:rPr>
          <w:sz w:val="20"/>
          <w:szCs w:val="20"/>
          <w:lang w:val="fr-CA"/>
        </w:rPr>
      </w:pPr>
      <w:r w:rsidRPr="000067FA">
        <w:rPr>
          <w:sz w:val="20"/>
          <w:szCs w:val="20"/>
          <w:lang w:val="fr-CA"/>
        </w:rPr>
        <w:t>Arrêt de la Cour d’appel :</w:t>
      </w:r>
      <w:r w:rsidRPr="000067FA">
        <w:rPr>
          <w:sz w:val="20"/>
          <w:szCs w:val="20"/>
          <w:lang w:val="fr-CA"/>
        </w:rPr>
        <w:tab/>
        <w:t>le 12 août 2013</w:t>
      </w:r>
    </w:p>
    <w:p w:rsidR="00DB4CCB" w:rsidRPr="000067FA" w:rsidRDefault="00DB4CCB" w:rsidP="00DB4CCB">
      <w:pPr>
        <w:widowControl w:val="0"/>
        <w:ind w:left="2880" w:hanging="2880"/>
        <w:jc w:val="both"/>
        <w:rPr>
          <w:sz w:val="20"/>
          <w:szCs w:val="20"/>
          <w:lang w:val="fr-CA"/>
        </w:rPr>
      </w:pPr>
    </w:p>
    <w:p w:rsidR="00DB4CCB" w:rsidRPr="000067FA" w:rsidRDefault="00DB4CCB" w:rsidP="00DB4CCB">
      <w:pPr>
        <w:widowControl w:val="0"/>
        <w:ind w:left="2880" w:hanging="2880"/>
        <w:jc w:val="both"/>
        <w:rPr>
          <w:sz w:val="20"/>
          <w:szCs w:val="20"/>
          <w:lang w:val="fr-CA"/>
        </w:rPr>
      </w:pPr>
      <w:r w:rsidRPr="000067FA">
        <w:rPr>
          <w:sz w:val="20"/>
          <w:szCs w:val="20"/>
          <w:lang w:val="fr-CA"/>
        </w:rPr>
        <w:t>Avocats :</w:t>
      </w:r>
      <w:r w:rsidRPr="000067FA">
        <w:rPr>
          <w:sz w:val="20"/>
          <w:szCs w:val="20"/>
          <w:lang w:val="fr-CA"/>
        </w:rPr>
        <w:tab/>
        <w:t>Joshua B. Hawkes, c.r. pour l’appelante</w:t>
      </w:r>
    </w:p>
    <w:p w:rsidR="00DB4CCB" w:rsidRPr="000067FA" w:rsidRDefault="00DB4CCB" w:rsidP="00DB4CCB">
      <w:pPr>
        <w:widowControl w:val="0"/>
        <w:ind w:left="2880" w:hanging="2880"/>
        <w:jc w:val="both"/>
        <w:rPr>
          <w:sz w:val="20"/>
          <w:szCs w:val="20"/>
          <w:lang w:val="fr-CA"/>
        </w:rPr>
      </w:pPr>
      <w:r w:rsidRPr="000067FA">
        <w:rPr>
          <w:sz w:val="20"/>
          <w:szCs w:val="20"/>
          <w:lang w:val="fr-CA"/>
        </w:rPr>
        <w:tab/>
        <w:t>Jennifer Ruttan pour intimé</w:t>
      </w:r>
    </w:p>
    <w:p w:rsidR="0055561A" w:rsidRPr="00935843" w:rsidRDefault="0055561A" w:rsidP="000B3C9A">
      <w:pPr>
        <w:tabs>
          <w:tab w:val="left" w:pos="-1440"/>
          <w:tab w:val="left" w:pos="-720"/>
        </w:tabs>
        <w:jc w:val="both"/>
        <w:rPr>
          <w:sz w:val="20"/>
          <w:szCs w:val="20"/>
        </w:rPr>
      </w:pPr>
    </w:p>
    <w:p w:rsidR="0055561A" w:rsidRPr="00DD0B49" w:rsidRDefault="000C68D7" w:rsidP="000B3C9A">
      <w:pPr>
        <w:tabs>
          <w:tab w:val="left" w:pos="-1440"/>
          <w:tab w:val="left" w:pos="-720"/>
        </w:tabs>
        <w:jc w:val="both"/>
        <w:rPr>
          <w:sz w:val="20"/>
          <w:szCs w:val="20"/>
          <w:lang w:val="fr-CA"/>
        </w:rPr>
      </w:pPr>
      <w:r>
        <w:rPr>
          <w:sz w:val="20"/>
          <w:szCs w:val="20"/>
          <w:lang w:val="fr-CA"/>
        </w:rPr>
        <w:pict>
          <v:rect id="_x0000_i1081" style="width:2in;height:1pt" o:hrpct="0" o:hralign="center" o:hrstd="t" o:hrnoshade="t" o:hr="t" fillcolor="black [3213]" stroked="f"/>
        </w:pict>
      </w:r>
    </w:p>
    <w:p w:rsidR="005F263E" w:rsidRDefault="005F263E" w:rsidP="00782AE4">
      <w:pPr>
        <w:jc w:val="both"/>
        <w:rPr>
          <w:sz w:val="20"/>
          <w:szCs w:val="20"/>
          <w:lang w:val="fr-CA"/>
        </w:rPr>
      </w:pPr>
    </w:p>
    <w:p w:rsidR="0055561A" w:rsidRDefault="0055561A">
      <w:pPr>
        <w:rPr>
          <w:sz w:val="20"/>
          <w:szCs w:val="20"/>
          <w:lang w:val="fr-CA"/>
        </w:rPr>
      </w:pPr>
      <w:r>
        <w:rPr>
          <w:sz w:val="20"/>
          <w:szCs w:val="20"/>
          <w:lang w:val="fr-CA"/>
        </w:rPr>
        <w:br w:type="page"/>
      </w:r>
    </w:p>
    <w:p w:rsidR="00935843" w:rsidRPr="000F7C3A" w:rsidRDefault="007359BF" w:rsidP="00935843">
      <w:pPr>
        <w:widowControl w:val="0"/>
        <w:ind w:left="709" w:hanging="709"/>
        <w:jc w:val="both"/>
        <w:rPr>
          <w:sz w:val="20"/>
          <w:szCs w:val="20"/>
        </w:rPr>
      </w:pPr>
      <w:r w:rsidRPr="000F7C3A">
        <w:rPr>
          <w:b/>
          <w:sz w:val="20"/>
          <w:szCs w:val="20"/>
        </w:rPr>
        <w:lastRenderedPageBreak/>
        <w:fldChar w:fldCharType="begin"/>
      </w:r>
      <w:r w:rsidR="00935843" w:rsidRPr="000F7C3A">
        <w:rPr>
          <w:b/>
          <w:sz w:val="20"/>
          <w:szCs w:val="20"/>
        </w:rPr>
        <w:instrText xml:space="preserve"> SEQ CHAPTER \h \r 1</w:instrText>
      </w:r>
      <w:r w:rsidRPr="000F7C3A">
        <w:rPr>
          <w:b/>
          <w:sz w:val="20"/>
          <w:szCs w:val="20"/>
        </w:rPr>
        <w:fldChar w:fldCharType="end"/>
      </w:r>
      <w:r w:rsidR="00935843" w:rsidRPr="000F7C3A">
        <w:rPr>
          <w:b/>
          <w:sz w:val="20"/>
          <w:szCs w:val="20"/>
        </w:rPr>
        <w:t>35201</w:t>
      </w:r>
      <w:r w:rsidR="00935843" w:rsidRPr="000F7C3A">
        <w:rPr>
          <w:sz w:val="20"/>
          <w:szCs w:val="20"/>
        </w:rPr>
        <w:tab/>
      </w:r>
      <w:r w:rsidR="00935843" w:rsidRPr="000F7C3A">
        <w:rPr>
          <w:b/>
          <w:i/>
          <w:sz w:val="20"/>
          <w:szCs w:val="20"/>
        </w:rPr>
        <w:t>Loyola High School et al. v. Attorney General of Quebec</w:t>
      </w:r>
    </w:p>
    <w:p w:rsidR="00935843" w:rsidRPr="000F7C3A" w:rsidRDefault="00935843" w:rsidP="00935843">
      <w:pPr>
        <w:widowControl w:val="0"/>
        <w:jc w:val="both"/>
        <w:rPr>
          <w:sz w:val="20"/>
          <w:szCs w:val="20"/>
        </w:rPr>
      </w:pPr>
    </w:p>
    <w:p w:rsidR="00935843" w:rsidRPr="000F7C3A" w:rsidRDefault="00935843" w:rsidP="00935843">
      <w:pPr>
        <w:jc w:val="both"/>
        <w:rPr>
          <w:sz w:val="20"/>
          <w:szCs w:val="20"/>
        </w:rPr>
      </w:pPr>
      <w:r w:rsidRPr="000F7C3A">
        <w:rPr>
          <w:i/>
          <w:sz w:val="20"/>
          <w:szCs w:val="20"/>
        </w:rPr>
        <w:t>Canadian Charter of Rights and Freedoms</w:t>
      </w:r>
      <w:r w:rsidRPr="000F7C3A">
        <w:rPr>
          <w:sz w:val="20"/>
          <w:szCs w:val="20"/>
        </w:rPr>
        <w:t xml:space="preserve"> - </w:t>
      </w:r>
      <w:r w:rsidRPr="000F7C3A">
        <w:rPr>
          <w:i/>
          <w:sz w:val="20"/>
          <w:szCs w:val="20"/>
        </w:rPr>
        <w:t>Charter of Human Rights and Freedoms</w:t>
      </w:r>
      <w:r w:rsidRPr="000F7C3A">
        <w:rPr>
          <w:sz w:val="20"/>
          <w:szCs w:val="20"/>
        </w:rPr>
        <w:t xml:space="preserve"> of Québec - Freedom of conscience and religion - Mandatory ethics and religious culture (“ERC”) program - Catholic school invoking freedom of conscience and religion in support of request for exemption to teach ERC subject using its own program - Request for exemption denied by Minister - Whether Appellant, as a religious educational institution, enjoys fundamental right of freedom of religion entrenched in s. 2a) of the </w:t>
      </w:r>
      <w:r w:rsidRPr="000F7C3A">
        <w:rPr>
          <w:i/>
          <w:sz w:val="20"/>
          <w:szCs w:val="20"/>
        </w:rPr>
        <w:t>Canadian Charter of Rights and Freedoms</w:t>
      </w:r>
      <w:r w:rsidRPr="000F7C3A">
        <w:rPr>
          <w:sz w:val="20"/>
          <w:szCs w:val="20"/>
        </w:rPr>
        <w:t xml:space="preserve"> and s. 3 of the </w:t>
      </w:r>
      <w:r w:rsidRPr="000F7C3A">
        <w:rPr>
          <w:i/>
          <w:sz w:val="20"/>
          <w:szCs w:val="20"/>
        </w:rPr>
        <w:t>Charter of Human Rights and Freedoms</w:t>
      </w:r>
      <w:r w:rsidRPr="000F7C3A">
        <w:rPr>
          <w:sz w:val="20"/>
          <w:szCs w:val="20"/>
        </w:rPr>
        <w:t xml:space="preserve"> of Québec - Applicable standard of review - Whether Minister’s decision was defensible on applicable standard of review.</w:t>
      </w:r>
    </w:p>
    <w:p w:rsidR="00935843" w:rsidRPr="000F7C3A" w:rsidRDefault="00935843" w:rsidP="00935843">
      <w:pPr>
        <w:widowControl w:val="0"/>
        <w:jc w:val="both"/>
        <w:rPr>
          <w:sz w:val="20"/>
          <w:szCs w:val="20"/>
        </w:rPr>
      </w:pPr>
    </w:p>
    <w:p w:rsidR="00935843" w:rsidRPr="000F7C3A" w:rsidRDefault="00935843" w:rsidP="00935843">
      <w:pPr>
        <w:jc w:val="both"/>
        <w:rPr>
          <w:sz w:val="20"/>
          <w:szCs w:val="20"/>
        </w:rPr>
      </w:pPr>
      <w:r w:rsidRPr="000F7C3A">
        <w:rPr>
          <w:sz w:val="20"/>
          <w:szCs w:val="20"/>
        </w:rPr>
        <w:t xml:space="preserve">In 2008, the ERC program became mandatory in Quebec schools, replacing Catholic and Protestant programs of religious and moral instruction.  Loyola High School (the “Appellant”) is a religious educational institution.  It requested an exemption from the ERC program in order to continue to offer its own program pursuant to section 22 of the </w:t>
      </w:r>
      <w:r w:rsidRPr="000F7C3A">
        <w:rPr>
          <w:i/>
          <w:sz w:val="20"/>
          <w:szCs w:val="20"/>
        </w:rPr>
        <w:t>Regulation respecting the application of the Act respecting private education</w:t>
      </w:r>
      <w:r w:rsidRPr="000F7C3A">
        <w:rPr>
          <w:sz w:val="20"/>
          <w:szCs w:val="20"/>
        </w:rPr>
        <w:t xml:space="preserve"> (R.R.Q., c. E-9.1, r. 1).  An exemption is available where the institution dispenses programs of studies which the Minister of Education, Recreation and Sports (the “Minister”) judges equivalent.  The Minister denied the exemption on the basis that the Appellant’s program was not equivalent to the ERC program, </w:t>
      </w:r>
      <w:r w:rsidRPr="000F7C3A">
        <w:rPr>
          <w:i/>
          <w:sz w:val="20"/>
          <w:szCs w:val="20"/>
        </w:rPr>
        <w:t>inter alia</w:t>
      </w:r>
      <w:r w:rsidRPr="000F7C3A">
        <w:rPr>
          <w:sz w:val="20"/>
          <w:szCs w:val="20"/>
        </w:rPr>
        <w:t xml:space="preserve"> on grounds that it is faith-based as opposed to cultural in its approach.  The Appellant, along with co-Appellant John Zucchi in his capacity as tutor to his son, a student at the school at issue, brought a motion for judicial review seeking to quash the Minister’s decision and requesting an exemption from the ERC program as well as the right to teach its own program.</w:t>
      </w:r>
    </w:p>
    <w:p w:rsidR="00935843" w:rsidRPr="000F7C3A" w:rsidRDefault="00935843" w:rsidP="00935843">
      <w:pPr>
        <w:widowControl w:val="0"/>
        <w:jc w:val="both"/>
        <w:rPr>
          <w:sz w:val="20"/>
          <w:szCs w:val="20"/>
        </w:rPr>
      </w:pPr>
    </w:p>
    <w:p w:rsidR="00935843" w:rsidRPr="000F7C3A" w:rsidRDefault="00935843" w:rsidP="00935843">
      <w:pPr>
        <w:widowControl w:val="0"/>
        <w:jc w:val="both"/>
        <w:rPr>
          <w:sz w:val="20"/>
          <w:szCs w:val="20"/>
        </w:rPr>
      </w:pPr>
    </w:p>
    <w:p w:rsidR="00935843" w:rsidRPr="000F7C3A" w:rsidRDefault="00935843" w:rsidP="00935843">
      <w:pPr>
        <w:widowControl w:val="0"/>
        <w:ind w:left="2880" w:hanging="2880"/>
        <w:jc w:val="both"/>
        <w:rPr>
          <w:sz w:val="20"/>
          <w:szCs w:val="20"/>
        </w:rPr>
      </w:pPr>
      <w:r w:rsidRPr="000F7C3A">
        <w:rPr>
          <w:sz w:val="20"/>
          <w:szCs w:val="20"/>
        </w:rPr>
        <w:t>Origin of the case:</w:t>
      </w:r>
      <w:r w:rsidRPr="000F7C3A">
        <w:rPr>
          <w:sz w:val="20"/>
          <w:szCs w:val="20"/>
        </w:rPr>
        <w:tab/>
        <w:t>Quebec</w:t>
      </w:r>
    </w:p>
    <w:p w:rsidR="00935843" w:rsidRPr="000F7C3A" w:rsidRDefault="00935843" w:rsidP="00935843">
      <w:pPr>
        <w:widowControl w:val="0"/>
        <w:ind w:left="2880" w:hanging="2880"/>
        <w:jc w:val="both"/>
        <w:rPr>
          <w:sz w:val="20"/>
          <w:szCs w:val="20"/>
        </w:rPr>
      </w:pPr>
    </w:p>
    <w:p w:rsidR="00935843" w:rsidRPr="000F7C3A" w:rsidRDefault="00935843" w:rsidP="00935843">
      <w:pPr>
        <w:widowControl w:val="0"/>
        <w:ind w:left="2880" w:hanging="2880"/>
        <w:jc w:val="both"/>
        <w:rPr>
          <w:sz w:val="20"/>
          <w:szCs w:val="20"/>
        </w:rPr>
      </w:pPr>
      <w:r w:rsidRPr="000F7C3A">
        <w:rPr>
          <w:sz w:val="20"/>
          <w:szCs w:val="20"/>
        </w:rPr>
        <w:t>File No.:</w:t>
      </w:r>
      <w:r w:rsidRPr="000F7C3A">
        <w:rPr>
          <w:sz w:val="20"/>
          <w:szCs w:val="20"/>
        </w:rPr>
        <w:tab/>
        <w:t>35201</w:t>
      </w:r>
    </w:p>
    <w:p w:rsidR="00935843" w:rsidRPr="000F7C3A" w:rsidRDefault="00935843" w:rsidP="00935843">
      <w:pPr>
        <w:widowControl w:val="0"/>
        <w:ind w:left="2880" w:hanging="2880"/>
        <w:jc w:val="both"/>
        <w:rPr>
          <w:sz w:val="20"/>
          <w:szCs w:val="20"/>
        </w:rPr>
      </w:pPr>
    </w:p>
    <w:p w:rsidR="00935843" w:rsidRPr="000F7C3A" w:rsidRDefault="00935843" w:rsidP="00935843">
      <w:pPr>
        <w:ind w:left="2880" w:hanging="2880"/>
        <w:rPr>
          <w:sz w:val="20"/>
          <w:szCs w:val="20"/>
        </w:rPr>
      </w:pPr>
      <w:r w:rsidRPr="000F7C3A">
        <w:rPr>
          <w:sz w:val="20"/>
          <w:szCs w:val="20"/>
        </w:rPr>
        <w:t>Judgment of the Court of Appeal:</w:t>
      </w:r>
      <w:r w:rsidRPr="000F7C3A">
        <w:rPr>
          <w:sz w:val="20"/>
          <w:szCs w:val="20"/>
        </w:rPr>
        <w:tab/>
        <w:t>December 4, 2012</w:t>
      </w:r>
    </w:p>
    <w:p w:rsidR="00935843" w:rsidRPr="000F7C3A" w:rsidRDefault="00935843" w:rsidP="00935843">
      <w:pPr>
        <w:widowControl w:val="0"/>
        <w:ind w:left="2880" w:hanging="2880"/>
        <w:jc w:val="both"/>
        <w:rPr>
          <w:sz w:val="20"/>
          <w:szCs w:val="20"/>
        </w:rPr>
      </w:pPr>
    </w:p>
    <w:p w:rsidR="00935843" w:rsidRPr="000F7C3A" w:rsidRDefault="00935843" w:rsidP="00935843">
      <w:pPr>
        <w:widowControl w:val="0"/>
        <w:ind w:left="2880" w:hanging="2880"/>
        <w:jc w:val="both"/>
        <w:rPr>
          <w:sz w:val="20"/>
          <w:szCs w:val="20"/>
        </w:rPr>
      </w:pPr>
      <w:r w:rsidRPr="000F7C3A">
        <w:rPr>
          <w:sz w:val="20"/>
          <w:szCs w:val="20"/>
        </w:rPr>
        <w:t>Counsel:</w:t>
      </w:r>
      <w:r w:rsidRPr="000F7C3A">
        <w:rPr>
          <w:sz w:val="20"/>
          <w:szCs w:val="20"/>
        </w:rPr>
        <w:tab/>
        <w:t xml:space="preserve">Mark Phillips and Jacques S. Darche for the </w:t>
      </w:r>
      <w:r w:rsidR="00DB4CCB">
        <w:rPr>
          <w:sz w:val="20"/>
          <w:szCs w:val="20"/>
        </w:rPr>
        <w:t>A</w:t>
      </w:r>
      <w:r w:rsidRPr="000F7C3A">
        <w:rPr>
          <w:sz w:val="20"/>
          <w:szCs w:val="20"/>
        </w:rPr>
        <w:t>ppellants</w:t>
      </w:r>
    </w:p>
    <w:p w:rsidR="00935843" w:rsidRPr="000F7C3A" w:rsidRDefault="00935843" w:rsidP="00935843">
      <w:pPr>
        <w:widowControl w:val="0"/>
        <w:ind w:left="2880" w:hanging="2880"/>
        <w:jc w:val="both"/>
        <w:rPr>
          <w:sz w:val="20"/>
          <w:szCs w:val="20"/>
        </w:rPr>
      </w:pPr>
      <w:r w:rsidRPr="000F7C3A">
        <w:rPr>
          <w:sz w:val="20"/>
          <w:szCs w:val="20"/>
        </w:rPr>
        <w:tab/>
        <w:t xml:space="preserve">Benoît Boucher and Caroline Renaud for the </w:t>
      </w:r>
      <w:r w:rsidR="00DB4CCB">
        <w:rPr>
          <w:sz w:val="20"/>
          <w:szCs w:val="20"/>
        </w:rPr>
        <w:t>R</w:t>
      </w:r>
      <w:r w:rsidRPr="000F7C3A">
        <w:rPr>
          <w:sz w:val="20"/>
          <w:szCs w:val="20"/>
        </w:rPr>
        <w:t>espondent</w:t>
      </w:r>
    </w:p>
    <w:p w:rsidR="0055561A" w:rsidRPr="00935843" w:rsidRDefault="0055561A" w:rsidP="00782AE4">
      <w:pPr>
        <w:jc w:val="both"/>
        <w:rPr>
          <w:sz w:val="20"/>
          <w:szCs w:val="20"/>
        </w:rPr>
      </w:pPr>
    </w:p>
    <w:p w:rsidR="0055561A" w:rsidRDefault="000C68D7" w:rsidP="00782AE4">
      <w:pPr>
        <w:jc w:val="both"/>
        <w:rPr>
          <w:sz w:val="20"/>
          <w:szCs w:val="20"/>
          <w:lang w:val="fr-CA"/>
        </w:rPr>
      </w:pPr>
      <w:r>
        <w:rPr>
          <w:sz w:val="20"/>
          <w:szCs w:val="20"/>
          <w:lang w:val="fr-CA"/>
        </w:rPr>
        <w:pict>
          <v:rect id="_x0000_i1082" style="width:2in;height:1pt" o:hrpct="0" o:hralign="center" o:hrstd="t" o:hrnoshade="t" o:hr="t" fillcolor="black [3213]" stroked="f"/>
        </w:pict>
      </w:r>
    </w:p>
    <w:p w:rsidR="0055561A" w:rsidRDefault="0055561A" w:rsidP="00782AE4">
      <w:pPr>
        <w:jc w:val="both"/>
        <w:rPr>
          <w:sz w:val="20"/>
          <w:szCs w:val="20"/>
          <w:lang w:val="fr-CA"/>
        </w:rPr>
      </w:pPr>
    </w:p>
    <w:p w:rsidR="0055561A" w:rsidRDefault="0055561A">
      <w:pPr>
        <w:rPr>
          <w:sz w:val="20"/>
          <w:szCs w:val="20"/>
          <w:lang w:val="fr-CA"/>
        </w:rPr>
      </w:pPr>
      <w:r>
        <w:rPr>
          <w:sz w:val="20"/>
          <w:szCs w:val="20"/>
          <w:lang w:val="fr-CA"/>
        </w:rPr>
        <w:br w:type="page"/>
      </w:r>
    </w:p>
    <w:p w:rsidR="00935843" w:rsidRPr="00167AE3" w:rsidRDefault="007359BF" w:rsidP="00935843">
      <w:pPr>
        <w:widowControl w:val="0"/>
        <w:ind w:left="709" w:hanging="709"/>
        <w:jc w:val="both"/>
        <w:rPr>
          <w:sz w:val="20"/>
          <w:szCs w:val="20"/>
          <w:lang w:val="fr-CA"/>
        </w:rPr>
      </w:pPr>
      <w:r w:rsidRPr="00167AE3">
        <w:rPr>
          <w:b/>
          <w:sz w:val="20"/>
          <w:szCs w:val="20"/>
          <w:lang w:val="fr-CA"/>
        </w:rPr>
        <w:lastRenderedPageBreak/>
        <w:fldChar w:fldCharType="begin"/>
      </w:r>
      <w:r w:rsidR="00935843" w:rsidRPr="00167AE3">
        <w:rPr>
          <w:b/>
          <w:sz w:val="20"/>
          <w:szCs w:val="20"/>
          <w:lang w:val="fr-CA"/>
        </w:rPr>
        <w:instrText xml:space="preserve"> SEQ CHAPTER \h \r 1</w:instrText>
      </w:r>
      <w:r w:rsidRPr="00167AE3">
        <w:rPr>
          <w:b/>
          <w:sz w:val="20"/>
          <w:szCs w:val="20"/>
          <w:lang w:val="fr-CA"/>
        </w:rPr>
        <w:fldChar w:fldCharType="end"/>
      </w:r>
      <w:r w:rsidR="00935843" w:rsidRPr="00167AE3">
        <w:rPr>
          <w:b/>
          <w:sz w:val="20"/>
          <w:szCs w:val="20"/>
          <w:lang w:val="fr-CA"/>
        </w:rPr>
        <w:t>35201</w:t>
      </w:r>
      <w:r w:rsidR="00935843" w:rsidRPr="00167AE3">
        <w:rPr>
          <w:sz w:val="20"/>
          <w:szCs w:val="20"/>
          <w:lang w:val="fr-CA"/>
        </w:rPr>
        <w:tab/>
      </w:r>
      <w:r w:rsidR="00935843" w:rsidRPr="00167AE3">
        <w:rPr>
          <w:b/>
          <w:i/>
          <w:sz w:val="20"/>
          <w:szCs w:val="20"/>
          <w:lang w:val="fr-CA"/>
        </w:rPr>
        <w:t>Loyola High School et a</w:t>
      </w:r>
      <w:r w:rsidR="002E10B9">
        <w:rPr>
          <w:b/>
          <w:i/>
          <w:sz w:val="20"/>
          <w:szCs w:val="20"/>
          <w:lang w:val="fr-CA"/>
        </w:rPr>
        <w:t>utre</w:t>
      </w:r>
      <w:r w:rsidR="00935843" w:rsidRPr="00167AE3">
        <w:rPr>
          <w:b/>
          <w:i/>
          <w:sz w:val="20"/>
          <w:szCs w:val="20"/>
          <w:lang w:val="fr-CA"/>
        </w:rPr>
        <w:t xml:space="preserve"> c. Procureur général du Québec</w:t>
      </w:r>
    </w:p>
    <w:p w:rsidR="00935843" w:rsidRPr="00167AE3" w:rsidRDefault="00935843" w:rsidP="00935843">
      <w:pPr>
        <w:widowControl w:val="0"/>
        <w:jc w:val="both"/>
        <w:rPr>
          <w:sz w:val="20"/>
          <w:szCs w:val="20"/>
          <w:lang w:val="fr-CA"/>
        </w:rPr>
      </w:pPr>
    </w:p>
    <w:p w:rsidR="00935843" w:rsidRPr="00167AE3" w:rsidRDefault="00935843" w:rsidP="00935843">
      <w:pPr>
        <w:jc w:val="both"/>
        <w:rPr>
          <w:sz w:val="20"/>
          <w:szCs w:val="20"/>
          <w:lang w:val="fr-CA"/>
        </w:rPr>
      </w:pPr>
      <w:r w:rsidRPr="00167AE3">
        <w:rPr>
          <w:i/>
          <w:sz w:val="20"/>
          <w:szCs w:val="20"/>
          <w:lang w:val="fr-CA"/>
        </w:rPr>
        <w:t>Charte canadienne des droits et libertés</w:t>
      </w:r>
      <w:r w:rsidRPr="00167AE3">
        <w:rPr>
          <w:sz w:val="20"/>
          <w:szCs w:val="20"/>
          <w:lang w:val="fr-CA"/>
        </w:rPr>
        <w:t xml:space="preserve"> - </w:t>
      </w:r>
      <w:r w:rsidRPr="00167AE3">
        <w:rPr>
          <w:i/>
          <w:sz w:val="20"/>
          <w:szCs w:val="20"/>
          <w:lang w:val="fr-CA"/>
        </w:rPr>
        <w:t xml:space="preserve">Charte des droits et libertés de la personne </w:t>
      </w:r>
      <w:r w:rsidRPr="00167AE3">
        <w:rPr>
          <w:sz w:val="20"/>
          <w:szCs w:val="20"/>
          <w:lang w:val="fr-CA"/>
        </w:rPr>
        <w:t>du Québec</w:t>
      </w:r>
      <w:r w:rsidRPr="00167AE3">
        <w:rPr>
          <w:i/>
          <w:sz w:val="20"/>
          <w:szCs w:val="20"/>
          <w:lang w:val="fr-CA"/>
        </w:rPr>
        <w:t xml:space="preserve"> </w:t>
      </w:r>
      <w:r w:rsidRPr="00167AE3">
        <w:rPr>
          <w:sz w:val="20"/>
          <w:szCs w:val="20"/>
          <w:lang w:val="fr-CA"/>
        </w:rPr>
        <w:t>- Liberté de conscience et de religion - Programme obligatoire d’éthique et de culture religieuse (« ÉCR ») - Liberté de conscience et de religion invoquée par une école catholique à l’appui de sa demande d’exemption et de son droit d’enseigner l’ÉCR au moyen de son propre programme - Demande d’exemption refusée par la ministre - L’appelante, en tant qu’établissement d’enseignement religieux, jouit-elle du droit fondamental à la liberté de religion enchâssée à l’al. 2</w:t>
      </w:r>
      <w:r w:rsidRPr="00167AE3">
        <w:rPr>
          <w:i/>
          <w:sz w:val="20"/>
          <w:szCs w:val="20"/>
          <w:lang w:val="fr-CA"/>
        </w:rPr>
        <w:t>a</w:t>
      </w:r>
      <w:r w:rsidRPr="00167AE3">
        <w:rPr>
          <w:sz w:val="20"/>
          <w:szCs w:val="20"/>
          <w:lang w:val="fr-CA"/>
        </w:rPr>
        <w:t xml:space="preserve">) de la </w:t>
      </w:r>
      <w:r w:rsidRPr="00167AE3">
        <w:rPr>
          <w:i/>
          <w:sz w:val="20"/>
          <w:szCs w:val="20"/>
          <w:lang w:val="fr-CA"/>
        </w:rPr>
        <w:t>Charte canadienne des droits et libertés</w:t>
      </w:r>
      <w:r w:rsidRPr="00167AE3">
        <w:rPr>
          <w:sz w:val="20"/>
          <w:szCs w:val="20"/>
          <w:lang w:val="fr-CA"/>
        </w:rPr>
        <w:t xml:space="preserve"> et à l’art. 3 de la </w:t>
      </w:r>
      <w:r w:rsidRPr="00167AE3">
        <w:rPr>
          <w:i/>
          <w:sz w:val="20"/>
          <w:szCs w:val="20"/>
          <w:lang w:val="fr-CA"/>
        </w:rPr>
        <w:t xml:space="preserve">Charte des droits et libertés de la personne </w:t>
      </w:r>
      <w:r w:rsidRPr="00167AE3">
        <w:rPr>
          <w:sz w:val="20"/>
          <w:szCs w:val="20"/>
          <w:lang w:val="fr-CA"/>
        </w:rPr>
        <w:t>du Québec? - Norme de contrôle applicable - La décision de la ministre pouvait-elle se justifier au regard de la norme de contrôle applicable?</w:t>
      </w:r>
    </w:p>
    <w:p w:rsidR="00935843" w:rsidRPr="00167AE3" w:rsidRDefault="00935843" w:rsidP="00935843">
      <w:pPr>
        <w:widowControl w:val="0"/>
        <w:jc w:val="both"/>
        <w:rPr>
          <w:sz w:val="20"/>
          <w:szCs w:val="20"/>
          <w:lang w:val="fr-CA"/>
        </w:rPr>
      </w:pPr>
    </w:p>
    <w:p w:rsidR="00935843" w:rsidRPr="00167AE3" w:rsidRDefault="00935843" w:rsidP="00935843">
      <w:pPr>
        <w:jc w:val="both"/>
        <w:rPr>
          <w:sz w:val="20"/>
          <w:szCs w:val="20"/>
          <w:lang w:val="fr-CA"/>
        </w:rPr>
      </w:pPr>
      <w:r w:rsidRPr="00167AE3">
        <w:rPr>
          <w:sz w:val="20"/>
          <w:szCs w:val="20"/>
          <w:lang w:val="fr-CA"/>
        </w:rPr>
        <w:t xml:space="preserve">Le programme d’ÉCR est devenu obligatoire dans les écoles québécoises en 2008 et a remplacé les programmes d’enseignement religieux et moral catholique et protestant.  Loyola High School (l’« appelante ») est un </w:t>
      </w:r>
      <w:bookmarkStart w:id="9" w:name="OLE_LINK1"/>
      <w:bookmarkStart w:id="10" w:name="OLE_LINK2"/>
      <w:r w:rsidRPr="00167AE3">
        <w:rPr>
          <w:sz w:val="20"/>
          <w:szCs w:val="20"/>
          <w:lang w:val="fr-CA"/>
        </w:rPr>
        <w:t xml:space="preserve">établissement d’enseignement confessionnel </w:t>
      </w:r>
      <w:bookmarkEnd w:id="9"/>
      <w:bookmarkEnd w:id="10"/>
      <w:r w:rsidRPr="00167AE3">
        <w:rPr>
          <w:sz w:val="20"/>
          <w:szCs w:val="20"/>
          <w:lang w:val="fr-CA"/>
        </w:rPr>
        <w:t xml:space="preserve">qui a demandé à être exempté du programme d’ÉCR pour continuer d’offrir son propre programme conformément à l’article 22 du </w:t>
      </w:r>
      <w:r w:rsidRPr="00167AE3">
        <w:rPr>
          <w:i/>
          <w:sz w:val="20"/>
          <w:szCs w:val="20"/>
          <w:lang w:val="fr-CA"/>
        </w:rPr>
        <w:t>Règlement d’application</w:t>
      </w:r>
      <w:r w:rsidRPr="00167AE3">
        <w:rPr>
          <w:sz w:val="20"/>
          <w:szCs w:val="20"/>
          <w:lang w:val="fr-CA"/>
        </w:rPr>
        <w:t xml:space="preserve"> </w:t>
      </w:r>
      <w:r w:rsidRPr="00167AE3">
        <w:rPr>
          <w:i/>
          <w:sz w:val="20"/>
          <w:szCs w:val="20"/>
          <w:lang w:val="fr-CA"/>
        </w:rPr>
        <w:t xml:space="preserve">de la Loi sur l’enseignement privé </w:t>
      </w:r>
      <w:r w:rsidRPr="00167AE3">
        <w:rPr>
          <w:sz w:val="20"/>
          <w:szCs w:val="20"/>
          <w:lang w:val="fr-CA"/>
        </w:rPr>
        <w:t>(R.R.Q., ch. E-9.1, r. 1).  Une exemption peut être accordée à l’établissement offrant des programmes d’études jugés équivalents par la ministre de l’Éducation, du Loisir et du Sport (la « ministre »).  Cette dernière a refusé l’exemption au motif que le programme de l’appelante n’était pas équivalent au programme d’ÉCR, entre autres parce que le programme en question repose sur une démarche confessionnelle plutôt que culturelle.  L’appelante et le co-appelant John Zucchi, en sa qualité de tuteur de son fils, un étudiant à l’école en cause, ont déposé une requête en contrôle judiciaire visant à faire annuler la décision de la ministre et sollicitant une exemption du programme d’ÉCR ainsi que le droit d’enseigner son propre programme.</w:t>
      </w:r>
    </w:p>
    <w:p w:rsidR="00935843" w:rsidRPr="00167AE3" w:rsidRDefault="00935843" w:rsidP="00935843">
      <w:pPr>
        <w:widowControl w:val="0"/>
        <w:jc w:val="both"/>
        <w:rPr>
          <w:sz w:val="20"/>
          <w:szCs w:val="20"/>
          <w:lang w:val="fr-CA"/>
        </w:rPr>
      </w:pPr>
    </w:p>
    <w:p w:rsidR="00935843" w:rsidRPr="00167AE3" w:rsidRDefault="00935843" w:rsidP="00935843">
      <w:pPr>
        <w:widowControl w:val="0"/>
        <w:jc w:val="both"/>
        <w:rPr>
          <w:sz w:val="20"/>
          <w:szCs w:val="20"/>
          <w:lang w:val="fr-CA"/>
        </w:rPr>
      </w:pPr>
    </w:p>
    <w:p w:rsidR="00935843" w:rsidRPr="00167AE3" w:rsidRDefault="00935843" w:rsidP="00935843">
      <w:pPr>
        <w:widowControl w:val="0"/>
        <w:ind w:left="2880" w:hanging="2880"/>
        <w:jc w:val="both"/>
        <w:rPr>
          <w:sz w:val="20"/>
          <w:szCs w:val="20"/>
          <w:lang w:val="fr-CA"/>
        </w:rPr>
      </w:pPr>
      <w:r w:rsidRPr="00167AE3">
        <w:rPr>
          <w:sz w:val="20"/>
          <w:szCs w:val="20"/>
          <w:lang w:val="fr-CA"/>
        </w:rPr>
        <w:t>Origine :</w:t>
      </w:r>
      <w:r w:rsidRPr="00167AE3">
        <w:rPr>
          <w:sz w:val="20"/>
          <w:szCs w:val="20"/>
          <w:lang w:val="fr-CA"/>
        </w:rPr>
        <w:tab/>
        <w:t>Québec</w:t>
      </w:r>
    </w:p>
    <w:p w:rsidR="00935843" w:rsidRPr="00167AE3" w:rsidRDefault="00935843" w:rsidP="00935843">
      <w:pPr>
        <w:widowControl w:val="0"/>
        <w:ind w:left="2880" w:hanging="2880"/>
        <w:jc w:val="both"/>
        <w:rPr>
          <w:sz w:val="20"/>
          <w:szCs w:val="20"/>
          <w:lang w:val="fr-CA"/>
        </w:rPr>
      </w:pPr>
    </w:p>
    <w:p w:rsidR="00935843" w:rsidRPr="00167AE3" w:rsidRDefault="00935843" w:rsidP="00935843">
      <w:pPr>
        <w:widowControl w:val="0"/>
        <w:ind w:left="2880" w:hanging="2880"/>
        <w:jc w:val="both"/>
        <w:rPr>
          <w:sz w:val="20"/>
          <w:szCs w:val="20"/>
          <w:lang w:val="fr-CA"/>
        </w:rPr>
      </w:pPr>
      <w:r w:rsidRPr="00167AE3">
        <w:rPr>
          <w:sz w:val="20"/>
          <w:szCs w:val="20"/>
          <w:lang w:val="fr-CA"/>
        </w:rPr>
        <w:t>N</w:t>
      </w:r>
      <w:r w:rsidRPr="00167AE3">
        <w:rPr>
          <w:sz w:val="20"/>
          <w:szCs w:val="20"/>
          <w:vertAlign w:val="superscript"/>
          <w:lang w:val="fr-CA"/>
        </w:rPr>
        <w:t>o</w:t>
      </w:r>
      <w:r w:rsidRPr="00167AE3">
        <w:rPr>
          <w:sz w:val="20"/>
          <w:szCs w:val="20"/>
          <w:lang w:val="fr-CA"/>
        </w:rPr>
        <w:t xml:space="preserve"> du greffe :</w:t>
      </w:r>
      <w:r w:rsidRPr="00167AE3">
        <w:rPr>
          <w:sz w:val="20"/>
          <w:szCs w:val="20"/>
          <w:lang w:val="fr-CA"/>
        </w:rPr>
        <w:tab/>
        <w:t>35201</w:t>
      </w:r>
    </w:p>
    <w:p w:rsidR="00935843" w:rsidRPr="00167AE3" w:rsidRDefault="00935843" w:rsidP="00935843">
      <w:pPr>
        <w:widowControl w:val="0"/>
        <w:ind w:left="2880" w:hanging="2880"/>
        <w:jc w:val="both"/>
        <w:rPr>
          <w:sz w:val="20"/>
          <w:szCs w:val="20"/>
          <w:lang w:val="fr-CA"/>
        </w:rPr>
      </w:pPr>
    </w:p>
    <w:p w:rsidR="00935843" w:rsidRPr="00167AE3" w:rsidRDefault="00935843" w:rsidP="00935843">
      <w:pPr>
        <w:ind w:left="2880" w:hanging="2880"/>
        <w:rPr>
          <w:sz w:val="20"/>
          <w:szCs w:val="20"/>
          <w:lang w:val="fr-CA"/>
        </w:rPr>
      </w:pPr>
      <w:r w:rsidRPr="00167AE3">
        <w:rPr>
          <w:sz w:val="20"/>
          <w:szCs w:val="20"/>
          <w:lang w:val="fr-CA"/>
        </w:rPr>
        <w:t>Arrêt de la Cour d’appel :</w:t>
      </w:r>
      <w:r w:rsidRPr="00167AE3">
        <w:rPr>
          <w:sz w:val="20"/>
          <w:szCs w:val="20"/>
          <w:lang w:val="fr-CA"/>
        </w:rPr>
        <w:tab/>
        <w:t>4 décembre 2012</w:t>
      </w:r>
    </w:p>
    <w:p w:rsidR="00935843" w:rsidRPr="00167AE3" w:rsidRDefault="00935843" w:rsidP="00935843">
      <w:pPr>
        <w:widowControl w:val="0"/>
        <w:ind w:left="2880" w:hanging="2880"/>
        <w:jc w:val="both"/>
        <w:rPr>
          <w:sz w:val="20"/>
          <w:szCs w:val="20"/>
          <w:lang w:val="fr-CA"/>
        </w:rPr>
      </w:pPr>
    </w:p>
    <w:p w:rsidR="00935843" w:rsidRPr="00167AE3" w:rsidRDefault="00935843" w:rsidP="00935843">
      <w:pPr>
        <w:widowControl w:val="0"/>
        <w:ind w:left="2880" w:hanging="2880"/>
        <w:jc w:val="both"/>
        <w:rPr>
          <w:sz w:val="20"/>
          <w:szCs w:val="20"/>
          <w:lang w:val="fr-CA"/>
        </w:rPr>
      </w:pPr>
      <w:r w:rsidRPr="00167AE3">
        <w:rPr>
          <w:sz w:val="20"/>
          <w:szCs w:val="20"/>
          <w:lang w:val="fr-CA"/>
        </w:rPr>
        <w:t>Avocats :</w:t>
      </w:r>
      <w:r w:rsidRPr="00167AE3">
        <w:rPr>
          <w:sz w:val="20"/>
          <w:szCs w:val="20"/>
          <w:lang w:val="fr-CA"/>
        </w:rPr>
        <w:tab/>
        <w:t>Mark Phillips et Jacques S. Darche pour les appelants</w:t>
      </w:r>
    </w:p>
    <w:p w:rsidR="00935843" w:rsidRPr="00167AE3" w:rsidRDefault="00935843" w:rsidP="00935843">
      <w:pPr>
        <w:widowControl w:val="0"/>
        <w:ind w:left="2880" w:hanging="2880"/>
        <w:jc w:val="both"/>
        <w:rPr>
          <w:sz w:val="20"/>
          <w:szCs w:val="20"/>
          <w:lang w:val="fr-CA"/>
        </w:rPr>
      </w:pPr>
      <w:r w:rsidRPr="00167AE3">
        <w:rPr>
          <w:sz w:val="20"/>
          <w:szCs w:val="20"/>
          <w:lang w:val="fr-CA"/>
        </w:rPr>
        <w:tab/>
        <w:t>Benoît Boucher et Caroline Renaud pour l’intimé</w:t>
      </w:r>
    </w:p>
    <w:p w:rsidR="0055561A" w:rsidRDefault="0055561A" w:rsidP="00782AE4">
      <w:pPr>
        <w:jc w:val="both"/>
        <w:rPr>
          <w:sz w:val="20"/>
          <w:szCs w:val="20"/>
          <w:lang w:val="fr-CA"/>
        </w:rPr>
      </w:pPr>
    </w:p>
    <w:p w:rsidR="0055561A" w:rsidRDefault="000C68D7" w:rsidP="00782AE4">
      <w:pPr>
        <w:jc w:val="both"/>
        <w:rPr>
          <w:sz w:val="20"/>
          <w:szCs w:val="20"/>
          <w:lang w:val="fr-CA"/>
        </w:rPr>
      </w:pPr>
      <w:r>
        <w:rPr>
          <w:sz w:val="20"/>
          <w:szCs w:val="20"/>
          <w:lang w:val="fr-CA"/>
        </w:rPr>
        <w:pict>
          <v:rect id="_x0000_i1083" style="width:2in;height:1pt" o:hrpct="0" o:hralign="center" o:hrstd="t" o:hrnoshade="t" o:hr="t" fillcolor="black [3213]" stroked="f"/>
        </w:pict>
      </w:r>
    </w:p>
    <w:p w:rsidR="0055561A" w:rsidRDefault="0055561A" w:rsidP="00782AE4">
      <w:pPr>
        <w:jc w:val="both"/>
        <w:rPr>
          <w:sz w:val="20"/>
          <w:szCs w:val="20"/>
          <w:lang w:val="fr-CA"/>
        </w:rPr>
      </w:pPr>
    </w:p>
    <w:p w:rsidR="0055561A" w:rsidRDefault="0055561A">
      <w:pPr>
        <w:rPr>
          <w:sz w:val="20"/>
          <w:szCs w:val="20"/>
          <w:lang w:val="fr-CA"/>
        </w:rPr>
      </w:pPr>
      <w:r>
        <w:rPr>
          <w:sz w:val="20"/>
          <w:szCs w:val="20"/>
          <w:lang w:val="fr-CA"/>
        </w:rPr>
        <w:br w:type="page"/>
      </w:r>
    </w:p>
    <w:p w:rsidR="00F420BE" w:rsidRPr="00CD2DD6" w:rsidRDefault="00F420BE" w:rsidP="00F420BE">
      <w:pPr>
        <w:widowControl w:val="0"/>
        <w:ind w:left="709" w:hanging="709"/>
        <w:jc w:val="both"/>
        <w:rPr>
          <w:b/>
          <w:sz w:val="20"/>
          <w:szCs w:val="20"/>
        </w:rPr>
      </w:pPr>
      <w:r w:rsidRPr="00CD2DD6">
        <w:rPr>
          <w:b/>
          <w:sz w:val="20"/>
          <w:szCs w:val="20"/>
        </w:rPr>
        <w:lastRenderedPageBreak/>
        <w:t>35215</w:t>
      </w:r>
      <w:r w:rsidR="007359BF" w:rsidRPr="00CD2DD6">
        <w:rPr>
          <w:b/>
          <w:sz w:val="20"/>
          <w:szCs w:val="20"/>
        </w:rPr>
        <w:fldChar w:fldCharType="begin"/>
      </w:r>
      <w:r w:rsidRPr="00CD2DD6">
        <w:rPr>
          <w:b/>
          <w:sz w:val="20"/>
          <w:szCs w:val="20"/>
        </w:rPr>
        <w:instrText xml:space="preserve"> SEQ CHAPTER \h \r 1</w:instrText>
      </w:r>
      <w:r w:rsidR="007359BF" w:rsidRPr="00CD2DD6">
        <w:rPr>
          <w:b/>
          <w:sz w:val="20"/>
          <w:szCs w:val="20"/>
        </w:rPr>
        <w:fldChar w:fldCharType="end"/>
      </w:r>
      <w:r w:rsidRPr="00CD2DD6">
        <w:rPr>
          <w:b/>
          <w:sz w:val="20"/>
          <w:szCs w:val="20"/>
        </w:rPr>
        <w:tab/>
      </w:r>
      <w:r w:rsidRPr="00CD2DD6">
        <w:rPr>
          <w:b/>
          <w:i/>
          <w:sz w:val="20"/>
          <w:szCs w:val="20"/>
        </w:rPr>
        <w:t>Luis Alberto Hernandez Febles v. Minister of Citizenship and Immigration</w:t>
      </w:r>
    </w:p>
    <w:p w:rsidR="00F420BE" w:rsidRPr="00CD2DD6" w:rsidRDefault="00F420BE" w:rsidP="00F420BE">
      <w:pPr>
        <w:widowControl w:val="0"/>
        <w:ind w:left="1440" w:hanging="1440"/>
        <w:jc w:val="both"/>
        <w:rPr>
          <w:sz w:val="20"/>
          <w:szCs w:val="20"/>
        </w:rPr>
      </w:pPr>
    </w:p>
    <w:p w:rsidR="00F420BE" w:rsidRPr="00CD2DD6" w:rsidRDefault="00F420BE" w:rsidP="00F420BE">
      <w:pPr>
        <w:jc w:val="both"/>
        <w:rPr>
          <w:sz w:val="20"/>
          <w:szCs w:val="20"/>
        </w:rPr>
      </w:pPr>
      <w:r w:rsidRPr="00CD2DD6">
        <w:rPr>
          <w:i/>
          <w:sz w:val="20"/>
          <w:szCs w:val="20"/>
        </w:rPr>
        <w:t>Canadian Charter of Rights and Freedoms</w:t>
      </w:r>
      <w:r w:rsidRPr="00CD2DD6">
        <w:rPr>
          <w:sz w:val="20"/>
          <w:szCs w:val="20"/>
        </w:rPr>
        <w:t xml:space="preserve"> - Security of person - Immigration - Convention refugee - Exclusion - Standard of judicial review applicable to interpretation of United Nations </w:t>
      </w:r>
      <w:r w:rsidRPr="00CD2DD6">
        <w:rPr>
          <w:i/>
          <w:sz w:val="20"/>
          <w:szCs w:val="20"/>
        </w:rPr>
        <w:t>Convention Relating to the Status of Refugees</w:t>
      </w:r>
      <w:r w:rsidRPr="00CD2DD6">
        <w:rPr>
          <w:sz w:val="20"/>
          <w:szCs w:val="20"/>
        </w:rPr>
        <w:t xml:space="preserve"> - Convention not applicable to refugee claimants believed to have committed serious non-political crime prior to admission to Canada - Appellant twice convicted in U.S. of assault with deadly weapon but having served sentences in U.S. prior to seeking refugee status in Canada - What is proper scope of Article 1F(b) of Convention - Whether post-conviction factors such as rehabilitation may be considered in determining admissibility as Convention refugee - </w:t>
      </w:r>
      <w:r w:rsidRPr="00CD2DD6">
        <w:rPr>
          <w:i/>
          <w:sz w:val="20"/>
          <w:szCs w:val="20"/>
        </w:rPr>
        <w:t>Canadian Charter of Rights and Freedoms</w:t>
      </w:r>
      <w:r w:rsidRPr="00CD2DD6">
        <w:rPr>
          <w:sz w:val="20"/>
          <w:szCs w:val="20"/>
        </w:rPr>
        <w:t xml:space="preserve">, s. 7 - </w:t>
      </w:r>
      <w:r w:rsidRPr="00CD2DD6">
        <w:rPr>
          <w:i/>
          <w:sz w:val="20"/>
          <w:szCs w:val="20"/>
        </w:rPr>
        <w:t>Immigration and Refugee Protection Act</w:t>
      </w:r>
      <w:r w:rsidRPr="00CD2DD6">
        <w:rPr>
          <w:sz w:val="20"/>
          <w:szCs w:val="20"/>
        </w:rPr>
        <w:t>, S.C. 2001, c. 27, s. 98.</w:t>
      </w:r>
    </w:p>
    <w:p w:rsidR="00F420BE" w:rsidRPr="00CD2DD6" w:rsidRDefault="00F420BE" w:rsidP="00F420BE">
      <w:pPr>
        <w:widowControl w:val="0"/>
        <w:jc w:val="both"/>
        <w:rPr>
          <w:sz w:val="20"/>
          <w:szCs w:val="20"/>
        </w:rPr>
      </w:pPr>
    </w:p>
    <w:p w:rsidR="00F420BE" w:rsidRPr="00CD2DD6" w:rsidRDefault="00F420BE" w:rsidP="00F420BE">
      <w:pPr>
        <w:jc w:val="both"/>
        <w:rPr>
          <w:sz w:val="20"/>
          <w:szCs w:val="20"/>
        </w:rPr>
      </w:pPr>
      <w:r w:rsidRPr="00CD2DD6">
        <w:rPr>
          <w:sz w:val="20"/>
          <w:szCs w:val="20"/>
        </w:rPr>
        <w:t xml:space="preserve">Mr. Febles is a Cuban citizen who was granted refugee status in the United States due to his fear of persecution as a political dissident.  While in the U.S., he was twice convicted of assault with a deadly weapon.  As a result of those convictions, he was subject to removal from the U.S. after having served his sentences.  Shortly after his release from prison, Mr. Febles entered Canada illegally and claimed refugee status. </w:t>
      </w:r>
    </w:p>
    <w:p w:rsidR="00F420BE" w:rsidRPr="00CD2DD6" w:rsidRDefault="00F420BE" w:rsidP="00F420BE">
      <w:pPr>
        <w:jc w:val="both"/>
        <w:rPr>
          <w:sz w:val="20"/>
          <w:szCs w:val="20"/>
        </w:rPr>
      </w:pPr>
    </w:p>
    <w:p w:rsidR="00F420BE" w:rsidRPr="00CD2DD6" w:rsidRDefault="00F420BE" w:rsidP="00F420BE">
      <w:pPr>
        <w:jc w:val="both"/>
        <w:rPr>
          <w:sz w:val="20"/>
          <w:szCs w:val="20"/>
        </w:rPr>
      </w:pPr>
      <w:r w:rsidRPr="00CD2DD6">
        <w:rPr>
          <w:sz w:val="20"/>
          <w:szCs w:val="20"/>
        </w:rPr>
        <w:t xml:space="preserve">Before the Refugee Protection Division of the Immigration and Refugee Board (the Board), Mr. Febles argued that he had served his sentences, posed no danger to Canadian society and was now rehabilitated.  The Board dismissed his claim for refugee status.  It held that it was bound by the legislation (s. 98 of the </w:t>
      </w:r>
      <w:r w:rsidRPr="00CD2DD6">
        <w:rPr>
          <w:i/>
          <w:sz w:val="20"/>
          <w:szCs w:val="20"/>
        </w:rPr>
        <w:t>Immigration and Refugee Protection Act</w:t>
      </w:r>
      <w:r w:rsidRPr="00CD2DD6">
        <w:rPr>
          <w:sz w:val="20"/>
          <w:szCs w:val="20"/>
        </w:rPr>
        <w:t xml:space="preserve"> and Article 1F(b) of the </w:t>
      </w:r>
      <w:r w:rsidRPr="00CD2DD6">
        <w:rPr>
          <w:i/>
          <w:sz w:val="20"/>
          <w:szCs w:val="20"/>
        </w:rPr>
        <w:t>United Nations Convention relating to the Status of Refugees</w:t>
      </w:r>
      <w:r w:rsidRPr="00CD2DD6">
        <w:rPr>
          <w:sz w:val="20"/>
          <w:szCs w:val="20"/>
        </w:rPr>
        <w:t xml:space="preserve">) and jurisprudence according to which a person who has been convicted of a serious non-political crime prior to his or her admission to Canada is excluded from refugee protection. </w:t>
      </w:r>
    </w:p>
    <w:p w:rsidR="00F420BE" w:rsidRPr="00CD2DD6" w:rsidRDefault="00F420BE" w:rsidP="00F420BE">
      <w:pPr>
        <w:jc w:val="both"/>
        <w:rPr>
          <w:sz w:val="20"/>
          <w:szCs w:val="20"/>
        </w:rPr>
      </w:pPr>
    </w:p>
    <w:p w:rsidR="00F420BE" w:rsidRPr="00CD2DD6" w:rsidRDefault="00F420BE" w:rsidP="00F420BE">
      <w:pPr>
        <w:jc w:val="both"/>
        <w:rPr>
          <w:sz w:val="20"/>
          <w:szCs w:val="20"/>
        </w:rPr>
      </w:pPr>
      <w:r w:rsidRPr="00CD2DD6">
        <w:rPr>
          <w:sz w:val="20"/>
          <w:szCs w:val="20"/>
        </w:rPr>
        <w:t xml:space="preserve">Mr. Febles filed an application for judicial review.  </w:t>
      </w:r>
    </w:p>
    <w:p w:rsidR="00F420BE" w:rsidRPr="00CD2DD6" w:rsidRDefault="00F420BE" w:rsidP="00F420BE">
      <w:pPr>
        <w:widowControl w:val="0"/>
        <w:jc w:val="both"/>
        <w:rPr>
          <w:sz w:val="20"/>
          <w:szCs w:val="20"/>
        </w:rPr>
      </w:pPr>
    </w:p>
    <w:p w:rsidR="00F420BE" w:rsidRPr="00CD2DD6" w:rsidRDefault="00F420BE" w:rsidP="00F420BE">
      <w:pPr>
        <w:widowControl w:val="0"/>
        <w:jc w:val="both"/>
        <w:rPr>
          <w:sz w:val="20"/>
          <w:szCs w:val="20"/>
        </w:rPr>
      </w:pPr>
    </w:p>
    <w:p w:rsidR="00F420BE" w:rsidRPr="00CD2DD6" w:rsidRDefault="00F420BE" w:rsidP="00F420BE">
      <w:pPr>
        <w:widowControl w:val="0"/>
        <w:ind w:left="2880" w:hanging="2880"/>
        <w:jc w:val="both"/>
        <w:rPr>
          <w:sz w:val="20"/>
          <w:szCs w:val="20"/>
        </w:rPr>
      </w:pPr>
      <w:r w:rsidRPr="00CD2DD6">
        <w:rPr>
          <w:sz w:val="20"/>
          <w:szCs w:val="20"/>
        </w:rPr>
        <w:t>Origin of the case:</w:t>
      </w:r>
      <w:r w:rsidRPr="00CD2DD6">
        <w:rPr>
          <w:sz w:val="20"/>
          <w:szCs w:val="20"/>
        </w:rPr>
        <w:tab/>
        <w:t>Federal Court of Appeal</w:t>
      </w:r>
    </w:p>
    <w:p w:rsidR="00F420BE" w:rsidRPr="00CD2DD6" w:rsidRDefault="00F420BE" w:rsidP="00F420BE">
      <w:pPr>
        <w:widowControl w:val="0"/>
        <w:ind w:left="2880" w:hanging="2880"/>
        <w:jc w:val="both"/>
        <w:rPr>
          <w:sz w:val="20"/>
          <w:szCs w:val="20"/>
        </w:rPr>
      </w:pPr>
    </w:p>
    <w:p w:rsidR="00F420BE" w:rsidRPr="00CD2DD6" w:rsidRDefault="00F420BE" w:rsidP="00F420BE">
      <w:pPr>
        <w:widowControl w:val="0"/>
        <w:ind w:left="2880" w:hanging="2880"/>
        <w:jc w:val="both"/>
        <w:rPr>
          <w:sz w:val="20"/>
          <w:szCs w:val="20"/>
        </w:rPr>
      </w:pPr>
      <w:r w:rsidRPr="00CD2DD6">
        <w:rPr>
          <w:sz w:val="20"/>
          <w:szCs w:val="20"/>
        </w:rPr>
        <w:t>File No.:</w:t>
      </w:r>
      <w:r w:rsidRPr="00CD2DD6">
        <w:rPr>
          <w:sz w:val="20"/>
          <w:szCs w:val="20"/>
        </w:rPr>
        <w:tab/>
        <w:t>35215</w:t>
      </w:r>
    </w:p>
    <w:p w:rsidR="00F420BE" w:rsidRPr="00CD2DD6" w:rsidRDefault="00F420BE" w:rsidP="00F420BE">
      <w:pPr>
        <w:widowControl w:val="0"/>
        <w:ind w:left="2880" w:hanging="2880"/>
        <w:jc w:val="both"/>
        <w:rPr>
          <w:sz w:val="20"/>
          <w:szCs w:val="20"/>
        </w:rPr>
      </w:pPr>
    </w:p>
    <w:p w:rsidR="00F420BE" w:rsidRPr="00CD2DD6" w:rsidRDefault="00F420BE" w:rsidP="00F420BE">
      <w:pPr>
        <w:ind w:left="2880" w:hanging="2880"/>
        <w:rPr>
          <w:sz w:val="20"/>
          <w:szCs w:val="20"/>
        </w:rPr>
      </w:pPr>
      <w:r w:rsidRPr="00CD2DD6">
        <w:rPr>
          <w:sz w:val="20"/>
          <w:szCs w:val="20"/>
        </w:rPr>
        <w:t>Judgment of the Court of Appeal:</w:t>
      </w:r>
      <w:r w:rsidRPr="00CD2DD6">
        <w:rPr>
          <w:sz w:val="20"/>
          <w:szCs w:val="20"/>
        </w:rPr>
        <w:tab/>
        <w:t>December 7, 2012</w:t>
      </w:r>
    </w:p>
    <w:p w:rsidR="00F420BE" w:rsidRPr="00CD2DD6" w:rsidRDefault="00F420BE" w:rsidP="00F420BE">
      <w:pPr>
        <w:widowControl w:val="0"/>
        <w:ind w:left="2880" w:hanging="2880"/>
        <w:jc w:val="both"/>
        <w:rPr>
          <w:sz w:val="20"/>
          <w:szCs w:val="20"/>
        </w:rPr>
      </w:pPr>
    </w:p>
    <w:p w:rsidR="00F420BE" w:rsidRPr="00CD2DD6" w:rsidRDefault="00F420BE" w:rsidP="00F420BE">
      <w:pPr>
        <w:widowControl w:val="0"/>
        <w:ind w:left="2880" w:hanging="2880"/>
        <w:jc w:val="both"/>
        <w:rPr>
          <w:sz w:val="20"/>
          <w:szCs w:val="20"/>
        </w:rPr>
      </w:pPr>
      <w:r w:rsidRPr="00CD2DD6">
        <w:rPr>
          <w:sz w:val="20"/>
          <w:szCs w:val="20"/>
        </w:rPr>
        <w:t>Counsel:</w:t>
      </w:r>
      <w:r w:rsidRPr="00CD2DD6">
        <w:rPr>
          <w:sz w:val="20"/>
          <w:szCs w:val="20"/>
        </w:rPr>
        <w:tab/>
        <w:t>Jared Will and Peter Shams, for the Appellant</w:t>
      </w:r>
    </w:p>
    <w:p w:rsidR="00F420BE" w:rsidRPr="00CD2DD6" w:rsidRDefault="00F420BE" w:rsidP="00F420BE">
      <w:pPr>
        <w:widowControl w:val="0"/>
        <w:ind w:left="2880" w:hanging="2880"/>
        <w:jc w:val="both"/>
        <w:rPr>
          <w:sz w:val="20"/>
          <w:szCs w:val="20"/>
        </w:rPr>
      </w:pPr>
      <w:r w:rsidRPr="00CD2DD6">
        <w:rPr>
          <w:sz w:val="20"/>
          <w:szCs w:val="20"/>
        </w:rPr>
        <w:tab/>
        <w:t>François Joyal, for the Respondent</w:t>
      </w:r>
    </w:p>
    <w:p w:rsidR="0055561A" w:rsidRPr="00F420BE" w:rsidRDefault="0055561A" w:rsidP="00782AE4">
      <w:pPr>
        <w:jc w:val="both"/>
        <w:rPr>
          <w:sz w:val="20"/>
          <w:szCs w:val="20"/>
        </w:rPr>
      </w:pPr>
    </w:p>
    <w:p w:rsidR="0055561A" w:rsidRDefault="000C68D7" w:rsidP="00782AE4">
      <w:pPr>
        <w:jc w:val="both"/>
        <w:rPr>
          <w:sz w:val="20"/>
          <w:szCs w:val="20"/>
          <w:lang w:val="fr-CA"/>
        </w:rPr>
      </w:pPr>
      <w:r>
        <w:rPr>
          <w:sz w:val="20"/>
          <w:szCs w:val="20"/>
          <w:lang w:val="fr-CA"/>
        </w:rPr>
        <w:pict>
          <v:rect id="_x0000_i1084" style="width:2in;height:1pt" o:hrpct="0" o:hralign="center" o:hrstd="t" o:hrnoshade="t" o:hr="t" fillcolor="black [3213]" stroked="f"/>
        </w:pict>
      </w:r>
    </w:p>
    <w:p w:rsidR="0055561A" w:rsidRDefault="0055561A" w:rsidP="00782AE4">
      <w:pPr>
        <w:jc w:val="both"/>
        <w:rPr>
          <w:sz w:val="20"/>
          <w:szCs w:val="20"/>
          <w:lang w:val="fr-CA"/>
        </w:rPr>
      </w:pPr>
    </w:p>
    <w:p w:rsidR="0055561A" w:rsidRDefault="0055561A">
      <w:pPr>
        <w:rPr>
          <w:sz w:val="20"/>
          <w:szCs w:val="20"/>
          <w:lang w:val="fr-CA"/>
        </w:rPr>
      </w:pPr>
      <w:r>
        <w:rPr>
          <w:sz w:val="20"/>
          <w:szCs w:val="20"/>
          <w:lang w:val="fr-CA"/>
        </w:rPr>
        <w:br w:type="page"/>
      </w:r>
    </w:p>
    <w:p w:rsidR="00F420BE" w:rsidRPr="00771D0F" w:rsidRDefault="00F420BE" w:rsidP="00F420BE">
      <w:pPr>
        <w:widowControl w:val="0"/>
        <w:ind w:left="709" w:hanging="709"/>
        <w:jc w:val="both"/>
        <w:rPr>
          <w:b/>
          <w:sz w:val="20"/>
          <w:szCs w:val="20"/>
          <w:lang w:val="fr-CA"/>
        </w:rPr>
      </w:pPr>
      <w:r w:rsidRPr="00771D0F">
        <w:rPr>
          <w:b/>
          <w:sz w:val="20"/>
          <w:szCs w:val="20"/>
          <w:lang w:val="fr-CA"/>
        </w:rPr>
        <w:lastRenderedPageBreak/>
        <w:t>35215</w:t>
      </w:r>
      <w:r w:rsidR="007359BF" w:rsidRPr="00771D0F">
        <w:rPr>
          <w:b/>
          <w:sz w:val="20"/>
          <w:szCs w:val="20"/>
          <w:lang w:val="fr-CA"/>
        </w:rPr>
        <w:fldChar w:fldCharType="begin"/>
      </w:r>
      <w:r w:rsidRPr="00771D0F">
        <w:rPr>
          <w:b/>
          <w:sz w:val="20"/>
          <w:szCs w:val="20"/>
          <w:lang w:val="fr-CA"/>
        </w:rPr>
        <w:instrText xml:space="preserve"> SEQ CHAPTER \h \r 1</w:instrText>
      </w:r>
      <w:r w:rsidR="007359BF" w:rsidRPr="00771D0F">
        <w:rPr>
          <w:b/>
          <w:sz w:val="20"/>
          <w:szCs w:val="20"/>
          <w:lang w:val="fr-CA"/>
        </w:rPr>
        <w:fldChar w:fldCharType="end"/>
      </w:r>
      <w:r w:rsidRPr="00771D0F">
        <w:rPr>
          <w:b/>
          <w:sz w:val="20"/>
          <w:szCs w:val="20"/>
          <w:lang w:val="fr-CA"/>
        </w:rPr>
        <w:tab/>
      </w:r>
      <w:r w:rsidRPr="00771D0F">
        <w:rPr>
          <w:b/>
          <w:i/>
          <w:sz w:val="20"/>
          <w:szCs w:val="20"/>
          <w:lang w:val="fr-CA"/>
        </w:rPr>
        <w:t>Luis Alberto Hernandez Febles c. Ministre de la Citoyenneté et de l’Immigration</w:t>
      </w:r>
    </w:p>
    <w:p w:rsidR="00F420BE" w:rsidRPr="00771D0F" w:rsidRDefault="00F420BE" w:rsidP="00F420BE">
      <w:pPr>
        <w:widowControl w:val="0"/>
        <w:ind w:left="1440" w:hanging="1440"/>
        <w:jc w:val="both"/>
        <w:rPr>
          <w:sz w:val="20"/>
          <w:szCs w:val="20"/>
          <w:lang w:val="fr-CA"/>
        </w:rPr>
      </w:pPr>
    </w:p>
    <w:p w:rsidR="00F420BE" w:rsidRPr="00771D0F" w:rsidRDefault="00F420BE" w:rsidP="00F420BE">
      <w:pPr>
        <w:jc w:val="both"/>
        <w:rPr>
          <w:sz w:val="20"/>
          <w:szCs w:val="20"/>
          <w:lang w:val="fr-CA"/>
        </w:rPr>
      </w:pPr>
      <w:r w:rsidRPr="00771D0F">
        <w:rPr>
          <w:i/>
          <w:sz w:val="20"/>
          <w:szCs w:val="20"/>
          <w:lang w:val="fr-CA"/>
        </w:rPr>
        <w:t>Charte canadienne des droits et libertés</w:t>
      </w:r>
      <w:r w:rsidRPr="00771D0F">
        <w:rPr>
          <w:sz w:val="20"/>
          <w:szCs w:val="20"/>
          <w:lang w:val="fr-CA"/>
        </w:rPr>
        <w:t xml:space="preserve"> - Sécurité de la personne - Immigration - Réfugié au sens de la Convention - Exclusion - Norme de contrôle judiciaire applicable à l’interprétation de la </w:t>
      </w:r>
      <w:r w:rsidRPr="00771D0F">
        <w:rPr>
          <w:i/>
          <w:sz w:val="20"/>
          <w:szCs w:val="20"/>
          <w:lang w:val="fr-CA"/>
        </w:rPr>
        <w:t>Convention des Nations Unies relative au statut des réfugiés</w:t>
      </w:r>
      <w:r w:rsidRPr="00771D0F">
        <w:rPr>
          <w:sz w:val="20"/>
          <w:szCs w:val="20"/>
          <w:lang w:val="fr-CA"/>
        </w:rPr>
        <w:t xml:space="preserve"> - Convention inapplicable aux demandeurs d’asile présumés avoir commis un crime grave de droit commun avant d’être admis au Canada - Appelant reconnu coupable deux fois aux É.-U. de voies de fait avec une arme meurtrière mais ayant purgé des peines aux É.-U. avant qu’il revendique le statut de réfugié au Canada - Quelle est la portée véritable de la section Fb) de l’article premier de la Convention? - Peut-on prendre en compte des faits postérieurs à la déclaration de culpabilité, par exemple la réadaptation, pour établir l’admissibilité comme réfugié au sens de la Convention? -</w:t>
      </w:r>
      <w:r w:rsidRPr="00771D0F">
        <w:rPr>
          <w:i/>
          <w:sz w:val="20"/>
          <w:szCs w:val="20"/>
          <w:lang w:val="fr-CA"/>
        </w:rPr>
        <w:t xml:space="preserve"> Charte canadienne des droits et libertés</w:t>
      </w:r>
      <w:r w:rsidRPr="00771D0F">
        <w:rPr>
          <w:sz w:val="20"/>
          <w:szCs w:val="20"/>
          <w:lang w:val="fr-CA"/>
        </w:rPr>
        <w:t xml:space="preserve">, art. 7 - </w:t>
      </w:r>
      <w:r w:rsidRPr="00771D0F">
        <w:rPr>
          <w:i/>
          <w:sz w:val="20"/>
          <w:szCs w:val="20"/>
          <w:lang w:val="fr-CA"/>
        </w:rPr>
        <w:t>Loi sur l’immigration et la protection des réfugiés</w:t>
      </w:r>
      <w:r w:rsidRPr="00771D0F">
        <w:rPr>
          <w:sz w:val="20"/>
          <w:szCs w:val="20"/>
          <w:lang w:val="fr-CA"/>
        </w:rPr>
        <w:t>, L.C. 2001, c. 27, art. 98.</w:t>
      </w:r>
    </w:p>
    <w:p w:rsidR="00F420BE" w:rsidRPr="00771D0F" w:rsidRDefault="00F420BE" w:rsidP="00F420BE">
      <w:pPr>
        <w:widowControl w:val="0"/>
        <w:jc w:val="both"/>
        <w:rPr>
          <w:sz w:val="20"/>
          <w:szCs w:val="20"/>
          <w:lang w:val="fr-CA"/>
        </w:rPr>
      </w:pPr>
    </w:p>
    <w:p w:rsidR="00F420BE" w:rsidRPr="00771D0F" w:rsidRDefault="00F420BE" w:rsidP="00F420BE">
      <w:pPr>
        <w:jc w:val="both"/>
        <w:rPr>
          <w:sz w:val="20"/>
          <w:szCs w:val="20"/>
          <w:lang w:val="fr-CA"/>
        </w:rPr>
      </w:pPr>
      <w:r w:rsidRPr="00771D0F">
        <w:rPr>
          <w:sz w:val="20"/>
          <w:szCs w:val="20"/>
          <w:lang w:val="fr-CA"/>
        </w:rPr>
        <w:t xml:space="preserve">Monsieur Febles est un citoyen cubain ayant obtenu le statut de réfugié aux États-Unis du fait de sa crainte de persécution à titre de dissident politique.  Durant son séjour aux É.-U., il a été reconnu coupable à deux occasions de voies de fait avec une arme meurtrière.  Par suite de ces déclarations de culpabilité, il pouvait faire l’objet d’un renvoi des É.-U. après avoir purgé ses peines.  Peu après sa libération, M. Febles est entré illégalement au Canada et a revendiqué le statut de réfugié. </w:t>
      </w:r>
    </w:p>
    <w:p w:rsidR="00F420BE" w:rsidRPr="00771D0F" w:rsidRDefault="00F420BE" w:rsidP="00F420BE">
      <w:pPr>
        <w:jc w:val="both"/>
        <w:rPr>
          <w:sz w:val="20"/>
          <w:szCs w:val="20"/>
          <w:lang w:val="fr-CA"/>
        </w:rPr>
      </w:pPr>
    </w:p>
    <w:p w:rsidR="00F420BE" w:rsidRPr="00771D0F" w:rsidRDefault="00F420BE" w:rsidP="00F420BE">
      <w:pPr>
        <w:jc w:val="both"/>
        <w:rPr>
          <w:sz w:val="20"/>
          <w:szCs w:val="20"/>
          <w:lang w:val="fr-CA"/>
        </w:rPr>
      </w:pPr>
      <w:r w:rsidRPr="00771D0F">
        <w:rPr>
          <w:sz w:val="20"/>
          <w:szCs w:val="20"/>
          <w:lang w:val="fr-CA"/>
        </w:rPr>
        <w:t xml:space="preserve">Monsieur Febles a prétendu, devant la Section de la protection des réfugiés de la Commission de l’immigration et du statut de réfugié (la Commission), qu’il avait purgé ses peines, ne présentait aucun danger pour la société canadienne et était désormais réadapté.  La Commission a rejeté sa demande d’asile.  Elle a affirmé être liée par les dispositions législatives (art. 98 de la </w:t>
      </w:r>
      <w:r w:rsidRPr="00771D0F">
        <w:rPr>
          <w:i/>
          <w:sz w:val="20"/>
          <w:szCs w:val="20"/>
          <w:lang w:val="fr-CA"/>
        </w:rPr>
        <w:t>Loi sur l’immigration et la protection des réfugiés</w:t>
      </w:r>
      <w:r w:rsidRPr="00771D0F">
        <w:rPr>
          <w:sz w:val="20"/>
          <w:szCs w:val="20"/>
          <w:lang w:val="fr-CA"/>
        </w:rPr>
        <w:t xml:space="preserve"> et la section Fb) de l’article premier de la </w:t>
      </w:r>
      <w:r w:rsidRPr="00771D0F">
        <w:rPr>
          <w:i/>
          <w:sz w:val="20"/>
          <w:szCs w:val="20"/>
          <w:lang w:val="fr-CA"/>
        </w:rPr>
        <w:t>Convention des Nations Unies relative au statut des réfugiés</w:t>
      </w:r>
      <w:r w:rsidRPr="00771D0F">
        <w:rPr>
          <w:sz w:val="20"/>
          <w:szCs w:val="20"/>
          <w:lang w:val="fr-CA"/>
        </w:rPr>
        <w:t xml:space="preserve">) et la jurisprudence, selon lesquelles est exclue du droit à l’asile la personne reconnue coupable d’un crime grave de droit commun à l’extérieur du Canada avant qu’elle y soit admise. </w:t>
      </w:r>
    </w:p>
    <w:p w:rsidR="00F420BE" w:rsidRPr="00771D0F" w:rsidRDefault="00F420BE" w:rsidP="00F420BE">
      <w:pPr>
        <w:jc w:val="both"/>
        <w:rPr>
          <w:sz w:val="20"/>
          <w:szCs w:val="20"/>
          <w:lang w:val="fr-CA"/>
        </w:rPr>
      </w:pPr>
    </w:p>
    <w:p w:rsidR="00F420BE" w:rsidRPr="00771D0F" w:rsidRDefault="00F420BE" w:rsidP="00F420BE">
      <w:pPr>
        <w:jc w:val="both"/>
        <w:rPr>
          <w:sz w:val="20"/>
          <w:szCs w:val="20"/>
          <w:lang w:val="fr-CA"/>
        </w:rPr>
      </w:pPr>
      <w:r w:rsidRPr="00771D0F">
        <w:rPr>
          <w:sz w:val="20"/>
          <w:szCs w:val="20"/>
          <w:lang w:val="fr-CA"/>
        </w:rPr>
        <w:t xml:space="preserve">Monsieur Febles a déposé une demande de contrôle judiciaire.  </w:t>
      </w:r>
    </w:p>
    <w:p w:rsidR="00F420BE" w:rsidRPr="00771D0F" w:rsidRDefault="00F420BE" w:rsidP="00F420BE">
      <w:pPr>
        <w:widowControl w:val="0"/>
        <w:jc w:val="both"/>
        <w:rPr>
          <w:sz w:val="20"/>
          <w:szCs w:val="20"/>
          <w:lang w:val="fr-CA"/>
        </w:rPr>
      </w:pPr>
    </w:p>
    <w:p w:rsidR="00F420BE" w:rsidRPr="00771D0F" w:rsidRDefault="00F420BE" w:rsidP="00F420BE">
      <w:pPr>
        <w:widowControl w:val="0"/>
        <w:jc w:val="both"/>
        <w:rPr>
          <w:sz w:val="20"/>
          <w:szCs w:val="20"/>
          <w:lang w:val="fr-CA"/>
        </w:rPr>
      </w:pPr>
    </w:p>
    <w:p w:rsidR="00F420BE" w:rsidRPr="00771D0F" w:rsidRDefault="00F420BE" w:rsidP="00F420BE">
      <w:pPr>
        <w:widowControl w:val="0"/>
        <w:ind w:left="2880" w:hanging="2880"/>
        <w:jc w:val="both"/>
        <w:rPr>
          <w:sz w:val="20"/>
          <w:szCs w:val="20"/>
          <w:lang w:val="fr-CA"/>
        </w:rPr>
      </w:pPr>
      <w:r w:rsidRPr="00771D0F">
        <w:rPr>
          <w:sz w:val="20"/>
          <w:szCs w:val="20"/>
          <w:lang w:val="fr-CA"/>
        </w:rPr>
        <w:t>Origine :</w:t>
      </w:r>
      <w:r w:rsidRPr="00771D0F">
        <w:rPr>
          <w:sz w:val="20"/>
          <w:szCs w:val="20"/>
          <w:lang w:val="fr-CA"/>
        </w:rPr>
        <w:tab/>
        <w:t>Cour d’appel fédérale</w:t>
      </w:r>
    </w:p>
    <w:p w:rsidR="00F420BE" w:rsidRPr="00771D0F" w:rsidRDefault="00F420BE" w:rsidP="00F420BE">
      <w:pPr>
        <w:widowControl w:val="0"/>
        <w:ind w:left="2880" w:hanging="2880"/>
        <w:jc w:val="both"/>
        <w:rPr>
          <w:sz w:val="20"/>
          <w:szCs w:val="20"/>
          <w:lang w:val="fr-CA"/>
        </w:rPr>
      </w:pPr>
    </w:p>
    <w:p w:rsidR="00F420BE" w:rsidRPr="00771D0F" w:rsidRDefault="00F420BE" w:rsidP="00F420BE">
      <w:pPr>
        <w:widowControl w:val="0"/>
        <w:ind w:left="2880" w:hanging="2880"/>
        <w:jc w:val="both"/>
        <w:rPr>
          <w:sz w:val="20"/>
          <w:szCs w:val="20"/>
          <w:lang w:val="fr-CA"/>
        </w:rPr>
      </w:pPr>
      <w:r w:rsidRPr="00771D0F">
        <w:rPr>
          <w:sz w:val="20"/>
          <w:szCs w:val="20"/>
          <w:lang w:val="fr-CA"/>
        </w:rPr>
        <w:t>N</w:t>
      </w:r>
      <w:r w:rsidRPr="00771D0F">
        <w:rPr>
          <w:sz w:val="20"/>
          <w:szCs w:val="20"/>
          <w:vertAlign w:val="superscript"/>
          <w:lang w:val="fr-CA"/>
        </w:rPr>
        <w:t>o</w:t>
      </w:r>
      <w:r w:rsidRPr="00771D0F">
        <w:rPr>
          <w:sz w:val="20"/>
          <w:szCs w:val="20"/>
          <w:lang w:val="fr-CA"/>
        </w:rPr>
        <w:t xml:space="preserve"> du greffe :</w:t>
      </w:r>
      <w:r w:rsidRPr="00771D0F">
        <w:rPr>
          <w:sz w:val="20"/>
          <w:szCs w:val="20"/>
          <w:lang w:val="fr-CA"/>
        </w:rPr>
        <w:tab/>
        <w:t>35215</w:t>
      </w:r>
    </w:p>
    <w:p w:rsidR="00F420BE" w:rsidRPr="00771D0F" w:rsidRDefault="00F420BE" w:rsidP="00F420BE">
      <w:pPr>
        <w:widowControl w:val="0"/>
        <w:ind w:left="2880" w:hanging="2880"/>
        <w:jc w:val="both"/>
        <w:rPr>
          <w:sz w:val="20"/>
          <w:szCs w:val="20"/>
          <w:lang w:val="fr-CA"/>
        </w:rPr>
      </w:pPr>
    </w:p>
    <w:p w:rsidR="00F420BE" w:rsidRPr="00771D0F" w:rsidRDefault="00F420BE" w:rsidP="00F420BE">
      <w:pPr>
        <w:ind w:left="2880" w:hanging="2880"/>
        <w:rPr>
          <w:sz w:val="20"/>
          <w:szCs w:val="20"/>
          <w:lang w:val="fr-CA"/>
        </w:rPr>
      </w:pPr>
      <w:r w:rsidRPr="00771D0F">
        <w:rPr>
          <w:sz w:val="20"/>
          <w:szCs w:val="20"/>
          <w:lang w:val="fr-CA"/>
        </w:rPr>
        <w:t>Arrêt de la Cour d’appel :</w:t>
      </w:r>
      <w:r w:rsidRPr="00771D0F">
        <w:rPr>
          <w:sz w:val="20"/>
          <w:szCs w:val="20"/>
          <w:lang w:val="fr-CA"/>
        </w:rPr>
        <w:tab/>
        <w:t>7 décembre 2012</w:t>
      </w:r>
    </w:p>
    <w:p w:rsidR="00F420BE" w:rsidRPr="00771D0F" w:rsidRDefault="00F420BE" w:rsidP="00F420BE">
      <w:pPr>
        <w:widowControl w:val="0"/>
        <w:ind w:left="2880" w:hanging="2880"/>
        <w:jc w:val="both"/>
        <w:rPr>
          <w:sz w:val="20"/>
          <w:szCs w:val="20"/>
          <w:lang w:val="fr-CA"/>
        </w:rPr>
      </w:pPr>
    </w:p>
    <w:p w:rsidR="00F420BE" w:rsidRPr="00771D0F" w:rsidRDefault="00F420BE" w:rsidP="00F420BE">
      <w:pPr>
        <w:widowControl w:val="0"/>
        <w:ind w:left="2880" w:hanging="2880"/>
        <w:jc w:val="both"/>
        <w:rPr>
          <w:sz w:val="20"/>
          <w:szCs w:val="20"/>
          <w:lang w:val="fr-CA"/>
        </w:rPr>
      </w:pPr>
      <w:r w:rsidRPr="00771D0F">
        <w:rPr>
          <w:sz w:val="20"/>
          <w:szCs w:val="20"/>
          <w:lang w:val="fr-CA"/>
        </w:rPr>
        <w:t>Avocats :</w:t>
      </w:r>
      <w:r w:rsidRPr="00771D0F">
        <w:rPr>
          <w:sz w:val="20"/>
          <w:szCs w:val="20"/>
          <w:lang w:val="fr-CA"/>
        </w:rPr>
        <w:tab/>
        <w:t>Jared Will et Peter Shams pour l’appelant</w:t>
      </w:r>
    </w:p>
    <w:p w:rsidR="00F420BE" w:rsidRPr="00771D0F" w:rsidRDefault="00F420BE" w:rsidP="00F420BE">
      <w:pPr>
        <w:widowControl w:val="0"/>
        <w:ind w:left="2880" w:hanging="2880"/>
        <w:jc w:val="both"/>
        <w:rPr>
          <w:sz w:val="20"/>
          <w:szCs w:val="20"/>
          <w:lang w:val="fr-CA"/>
        </w:rPr>
      </w:pPr>
      <w:r w:rsidRPr="00771D0F">
        <w:rPr>
          <w:sz w:val="20"/>
          <w:szCs w:val="20"/>
          <w:lang w:val="fr-CA"/>
        </w:rPr>
        <w:tab/>
        <w:t>François Joyal, pour l’intimé</w:t>
      </w:r>
    </w:p>
    <w:p w:rsidR="0055561A" w:rsidRDefault="0055561A" w:rsidP="00782AE4">
      <w:pPr>
        <w:jc w:val="both"/>
        <w:rPr>
          <w:sz w:val="20"/>
          <w:szCs w:val="20"/>
          <w:lang w:val="fr-CA"/>
        </w:rPr>
      </w:pPr>
    </w:p>
    <w:p w:rsidR="0055561A" w:rsidRDefault="000C68D7" w:rsidP="00782AE4">
      <w:pPr>
        <w:jc w:val="both"/>
        <w:rPr>
          <w:sz w:val="20"/>
          <w:szCs w:val="20"/>
          <w:lang w:val="fr-CA"/>
        </w:rPr>
      </w:pPr>
      <w:r>
        <w:rPr>
          <w:sz w:val="20"/>
          <w:szCs w:val="20"/>
          <w:lang w:val="fr-CA"/>
        </w:rPr>
        <w:pict>
          <v:rect id="_x0000_i1085" style="width:2in;height:1pt" o:hrpct="0" o:hralign="center" o:hrstd="t" o:hrnoshade="t" o:hr="t" fillcolor="black [3213]" stroked="f"/>
        </w:pict>
      </w:r>
    </w:p>
    <w:p w:rsidR="0055561A" w:rsidRDefault="0055561A" w:rsidP="00782AE4">
      <w:pPr>
        <w:jc w:val="both"/>
        <w:rPr>
          <w:sz w:val="20"/>
          <w:szCs w:val="20"/>
          <w:lang w:val="fr-CA"/>
        </w:rPr>
      </w:pPr>
    </w:p>
    <w:p w:rsidR="0055561A" w:rsidRDefault="0055561A">
      <w:pPr>
        <w:rPr>
          <w:sz w:val="20"/>
          <w:szCs w:val="20"/>
          <w:lang w:val="fr-CA"/>
        </w:rPr>
      </w:pPr>
      <w:r>
        <w:rPr>
          <w:sz w:val="20"/>
          <w:szCs w:val="20"/>
          <w:lang w:val="fr-CA"/>
        </w:rPr>
        <w:br w:type="page"/>
      </w:r>
    </w:p>
    <w:p w:rsidR="00E23F29" w:rsidRPr="000E5C2C" w:rsidRDefault="007359BF" w:rsidP="00E23F29">
      <w:pPr>
        <w:pStyle w:val="SCCLsocParty"/>
        <w:ind w:left="720" w:hanging="720"/>
        <w:jc w:val="left"/>
        <w:rPr>
          <w:b w:val="0"/>
          <w:i/>
          <w:sz w:val="20"/>
          <w:szCs w:val="20"/>
        </w:rPr>
      </w:pPr>
      <w:r w:rsidRPr="000E5C2C">
        <w:rPr>
          <w:sz w:val="20"/>
          <w:szCs w:val="20"/>
        </w:rPr>
        <w:lastRenderedPageBreak/>
        <w:fldChar w:fldCharType="begin"/>
      </w:r>
      <w:r w:rsidR="00E23F29" w:rsidRPr="000E5C2C">
        <w:rPr>
          <w:sz w:val="20"/>
          <w:szCs w:val="20"/>
        </w:rPr>
        <w:instrText xml:space="preserve"> SEQ CHAPTER \h \r 1</w:instrText>
      </w:r>
      <w:r w:rsidRPr="000E5C2C">
        <w:rPr>
          <w:sz w:val="20"/>
          <w:szCs w:val="20"/>
        </w:rPr>
        <w:fldChar w:fldCharType="end"/>
      </w:r>
      <w:r w:rsidR="00E23F29" w:rsidRPr="000E5C2C">
        <w:rPr>
          <w:sz w:val="20"/>
          <w:szCs w:val="20"/>
        </w:rPr>
        <w:t xml:space="preserve">35100 </w:t>
      </w:r>
      <w:r w:rsidR="00E23F29" w:rsidRPr="000E5C2C">
        <w:rPr>
          <w:sz w:val="20"/>
          <w:szCs w:val="20"/>
        </w:rPr>
        <w:tab/>
      </w:r>
      <w:r w:rsidR="00E23F29" w:rsidRPr="000E5C2C">
        <w:rPr>
          <w:i/>
          <w:sz w:val="20"/>
          <w:szCs w:val="20"/>
        </w:rPr>
        <w:t>Michel Thibodeau, Lynda Thibodeau v. Air Canada</w:t>
      </w:r>
      <w:r w:rsidR="00E23F29" w:rsidRPr="000E5C2C">
        <w:rPr>
          <w:sz w:val="20"/>
          <w:szCs w:val="20"/>
        </w:rPr>
        <w:t xml:space="preserve"> - and - </w:t>
      </w:r>
      <w:r w:rsidR="00E23F29" w:rsidRPr="000E5C2C">
        <w:rPr>
          <w:i/>
          <w:sz w:val="20"/>
          <w:szCs w:val="20"/>
        </w:rPr>
        <w:t>Commissioner of Official Languages of Canada v. Air Canada</w:t>
      </w:r>
    </w:p>
    <w:p w:rsidR="00E23F29" w:rsidRPr="000E5C2C" w:rsidRDefault="00E23F29" w:rsidP="00E23F29">
      <w:pPr>
        <w:rPr>
          <w:sz w:val="20"/>
          <w:szCs w:val="20"/>
        </w:rPr>
      </w:pPr>
    </w:p>
    <w:p w:rsidR="00E23F29" w:rsidRPr="000E5C2C" w:rsidRDefault="00E23F29" w:rsidP="00E23F29">
      <w:pPr>
        <w:jc w:val="both"/>
        <w:rPr>
          <w:sz w:val="20"/>
          <w:szCs w:val="20"/>
        </w:rPr>
      </w:pPr>
      <w:r w:rsidRPr="000E5C2C">
        <w:rPr>
          <w:sz w:val="20"/>
          <w:szCs w:val="20"/>
        </w:rPr>
        <w:t xml:space="preserve">Official languages - Compatibility of fundamental rights and legislation arising from treaty - Conflicting legislation and precedence - Canadian carrier violating language rights of Canadian travellers on ground and in flight, in Canada and in United States - Whether statute incorporating into Canadian law treaty with respect to carriage by air can be relied on to restrict remedial power of court hearing complaint relating to language rights - Whether Federal Court of Appeal erred in characterizing application made to obtain remedy - Whether Federal Court of Appeal erred in interpreting treaty in question - Whether </w:t>
      </w:r>
      <w:r w:rsidRPr="000E5C2C">
        <w:rPr>
          <w:i/>
          <w:sz w:val="20"/>
          <w:szCs w:val="20"/>
        </w:rPr>
        <w:t>Montreal Convention</w:t>
      </w:r>
      <w:r w:rsidRPr="000E5C2C">
        <w:rPr>
          <w:sz w:val="20"/>
          <w:szCs w:val="20"/>
        </w:rPr>
        <w:t xml:space="preserve"> applicable to public law proceedings - Whether two relevant statutes, if they apply concurrently to carrier’s obligations and to application made in this case, are compatible - Statute that should prevail if relevant statutes are incompatible - Whether Federal Court of Appeal erred in setting aside structural order made by Federal Court - </w:t>
      </w:r>
      <w:r w:rsidRPr="000E5C2C">
        <w:rPr>
          <w:i/>
          <w:sz w:val="20"/>
          <w:szCs w:val="20"/>
        </w:rPr>
        <w:t>Official Languages Act</w:t>
      </w:r>
      <w:r w:rsidRPr="000E5C2C">
        <w:rPr>
          <w:sz w:val="20"/>
          <w:szCs w:val="20"/>
        </w:rPr>
        <w:t>, R.S.C. 1985, c. 31 (4th Supp.), ss. 77(4) and 82(1)(</w:t>
      </w:r>
      <w:r w:rsidRPr="000E5C2C">
        <w:rPr>
          <w:i/>
          <w:sz w:val="20"/>
          <w:szCs w:val="20"/>
        </w:rPr>
        <w:t>d</w:t>
      </w:r>
      <w:r w:rsidRPr="000E5C2C">
        <w:rPr>
          <w:sz w:val="20"/>
          <w:szCs w:val="20"/>
        </w:rPr>
        <w:t xml:space="preserve">) - </w:t>
      </w:r>
      <w:r w:rsidRPr="000E5C2C">
        <w:rPr>
          <w:i/>
          <w:sz w:val="20"/>
          <w:szCs w:val="20"/>
        </w:rPr>
        <w:t>Carriage by Air Act</w:t>
      </w:r>
      <w:r w:rsidRPr="000E5C2C">
        <w:rPr>
          <w:sz w:val="20"/>
          <w:szCs w:val="20"/>
        </w:rPr>
        <w:t>, R.S.C. 1985, c. C-26, Schedule VI (</w:t>
      </w:r>
      <w:r w:rsidRPr="000E5C2C">
        <w:rPr>
          <w:i/>
          <w:sz w:val="20"/>
          <w:szCs w:val="20"/>
        </w:rPr>
        <w:t>Convention for the Unification of Certain Rules for International Carriage by Air</w:t>
      </w:r>
      <w:r w:rsidRPr="000E5C2C">
        <w:rPr>
          <w:sz w:val="20"/>
          <w:szCs w:val="20"/>
        </w:rPr>
        <w:t xml:space="preserve">, UN 1999, known as the </w:t>
      </w:r>
      <w:r w:rsidRPr="000E5C2C">
        <w:rPr>
          <w:i/>
          <w:sz w:val="20"/>
          <w:szCs w:val="20"/>
        </w:rPr>
        <w:t>Montreal Convention</w:t>
      </w:r>
      <w:r w:rsidRPr="000E5C2C">
        <w:rPr>
          <w:sz w:val="20"/>
          <w:szCs w:val="20"/>
        </w:rPr>
        <w:t>), art. 29.</w:t>
      </w:r>
    </w:p>
    <w:p w:rsidR="00E23F29" w:rsidRPr="000E5C2C" w:rsidRDefault="00E23F29" w:rsidP="00E23F29">
      <w:pPr>
        <w:jc w:val="both"/>
        <w:rPr>
          <w:sz w:val="20"/>
          <w:szCs w:val="20"/>
        </w:rPr>
      </w:pPr>
    </w:p>
    <w:p w:rsidR="00E23F29" w:rsidRPr="000E5C2C" w:rsidRDefault="00E23F29" w:rsidP="00E23F29">
      <w:pPr>
        <w:jc w:val="both"/>
        <w:rPr>
          <w:sz w:val="20"/>
          <w:szCs w:val="20"/>
        </w:rPr>
      </w:pPr>
      <w:r w:rsidRPr="000E5C2C">
        <w:rPr>
          <w:sz w:val="20"/>
          <w:szCs w:val="20"/>
        </w:rPr>
        <w:t xml:space="preserve">The appellants, Mr. and Mrs. Thibodeau, each made eight complaints to the Commissioner of Official Languages regarding services received solely in English from Air Canada during two trips taken between January and May 2009:  at different times, at the Atlanta, Ottawa and Toronto airports and on three flights between Canada and the United States, they had not received the services in French to which they were entitled.  Their carrier, Jazz, is an agent of Air Canada and is, as such, subject to the OLA.  The Federal Court held that the </w:t>
      </w:r>
      <w:r w:rsidRPr="000E5C2C">
        <w:rPr>
          <w:i/>
          <w:sz w:val="20"/>
          <w:szCs w:val="20"/>
        </w:rPr>
        <w:t>Official Languages Act</w:t>
      </w:r>
      <w:r w:rsidRPr="000E5C2C">
        <w:rPr>
          <w:sz w:val="20"/>
          <w:szCs w:val="20"/>
        </w:rPr>
        <w:t xml:space="preserve"> took precedence, made several orders, including one that was structural in nature, and awarded $6,000 in damages to each complainant.  The Federal Court of Appeal held that the statutes applied concurrently, excluded any injury for the incidents that had occurred outside Canada, reducing the damages accordingly, and replaced the orders with one requiring that a letter of apology be given to the complainants.  The Commissioner, who had intervened in support of the complainants in the course of the proceedings, filed an appeal of his own in the Supreme Court.</w:t>
      </w:r>
    </w:p>
    <w:p w:rsidR="00E23F29" w:rsidRPr="000E5C2C" w:rsidRDefault="00E23F29" w:rsidP="00E23F29">
      <w:pPr>
        <w:widowControl w:val="0"/>
        <w:jc w:val="both"/>
        <w:rPr>
          <w:sz w:val="20"/>
          <w:szCs w:val="20"/>
        </w:rPr>
      </w:pPr>
    </w:p>
    <w:p w:rsidR="00E23F29" w:rsidRPr="000E5C2C" w:rsidRDefault="00E23F29" w:rsidP="00E23F29">
      <w:pPr>
        <w:widowControl w:val="0"/>
        <w:jc w:val="both"/>
        <w:rPr>
          <w:sz w:val="20"/>
          <w:szCs w:val="20"/>
        </w:rPr>
      </w:pPr>
    </w:p>
    <w:p w:rsidR="00E23F29" w:rsidRPr="000E5C2C" w:rsidRDefault="00E23F29" w:rsidP="00E23F29">
      <w:pPr>
        <w:widowControl w:val="0"/>
        <w:ind w:left="2880" w:hanging="2880"/>
        <w:jc w:val="both"/>
        <w:rPr>
          <w:sz w:val="20"/>
          <w:szCs w:val="20"/>
        </w:rPr>
      </w:pPr>
      <w:r w:rsidRPr="000E5C2C">
        <w:rPr>
          <w:sz w:val="20"/>
          <w:szCs w:val="20"/>
        </w:rPr>
        <w:t>Origin of the case:</w:t>
      </w:r>
      <w:r w:rsidRPr="000E5C2C">
        <w:rPr>
          <w:sz w:val="20"/>
          <w:szCs w:val="20"/>
        </w:rPr>
        <w:tab/>
        <w:t>Federal Court of Appeal</w:t>
      </w:r>
    </w:p>
    <w:p w:rsidR="00E23F29" w:rsidRPr="000E5C2C" w:rsidRDefault="00E23F29" w:rsidP="00E23F29">
      <w:pPr>
        <w:widowControl w:val="0"/>
        <w:ind w:left="2880" w:hanging="2880"/>
        <w:jc w:val="both"/>
        <w:rPr>
          <w:sz w:val="20"/>
          <w:szCs w:val="20"/>
        </w:rPr>
      </w:pPr>
    </w:p>
    <w:p w:rsidR="00E23F29" w:rsidRPr="000E5C2C" w:rsidRDefault="00E23F29" w:rsidP="00E23F29">
      <w:pPr>
        <w:widowControl w:val="0"/>
        <w:ind w:left="2880" w:hanging="2880"/>
        <w:jc w:val="both"/>
        <w:rPr>
          <w:sz w:val="20"/>
          <w:szCs w:val="20"/>
        </w:rPr>
      </w:pPr>
      <w:r w:rsidRPr="000E5C2C">
        <w:rPr>
          <w:sz w:val="20"/>
          <w:szCs w:val="20"/>
        </w:rPr>
        <w:t>File No.:</w:t>
      </w:r>
      <w:r w:rsidRPr="000E5C2C">
        <w:rPr>
          <w:sz w:val="20"/>
          <w:szCs w:val="20"/>
        </w:rPr>
        <w:tab/>
        <w:t>35100</w:t>
      </w:r>
    </w:p>
    <w:p w:rsidR="00E23F29" w:rsidRPr="000E5C2C" w:rsidRDefault="00E23F29" w:rsidP="00E23F29">
      <w:pPr>
        <w:widowControl w:val="0"/>
        <w:ind w:left="2880" w:hanging="2880"/>
        <w:jc w:val="both"/>
        <w:rPr>
          <w:sz w:val="20"/>
          <w:szCs w:val="20"/>
        </w:rPr>
      </w:pPr>
    </w:p>
    <w:p w:rsidR="00E23F29" w:rsidRPr="000E5C2C" w:rsidRDefault="00E23F29" w:rsidP="00E23F29">
      <w:pPr>
        <w:widowControl w:val="0"/>
        <w:ind w:left="2880" w:hanging="2880"/>
        <w:jc w:val="both"/>
        <w:rPr>
          <w:sz w:val="20"/>
          <w:szCs w:val="20"/>
        </w:rPr>
      </w:pPr>
      <w:r w:rsidRPr="000E5C2C">
        <w:rPr>
          <w:sz w:val="20"/>
          <w:szCs w:val="20"/>
        </w:rPr>
        <w:t>Judgment of the Court of Appeal:</w:t>
      </w:r>
      <w:r w:rsidRPr="000E5C2C">
        <w:rPr>
          <w:sz w:val="20"/>
          <w:szCs w:val="20"/>
        </w:rPr>
        <w:tab/>
        <w:t>September 25, 2012</w:t>
      </w:r>
    </w:p>
    <w:p w:rsidR="00E23F29" w:rsidRPr="000E5C2C" w:rsidRDefault="00E23F29" w:rsidP="00E23F29">
      <w:pPr>
        <w:widowControl w:val="0"/>
        <w:ind w:left="2880" w:hanging="2880"/>
        <w:jc w:val="both"/>
        <w:rPr>
          <w:sz w:val="20"/>
          <w:szCs w:val="20"/>
        </w:rPr>
      </w:pPr>
    </w:p>
    <w:p w:rsidR="00E23F29" w:rsidRPr="000E5C2C" w:rsidRDefault="00E23F29" w:rsidP="00E23F29">
      <w:pPr>
        <w:widowControl w:val="0"/>
        <w:ind w:left="2880" w:hanging="2880"/>
        <w:jc w:val="both"/>
        <w:rPr>
          <w:sz w:val="20"/>
          <w:szCs w:val="20"/>
        </w:rPr>
      </w:pPr>
      <w:r w:rsidRPr="000E5C2C">
        <w:rPr>
          <w:sz w:val="20"/>
          <w:szCs w:val="20"/>
        </w:rPr>
        <w:t>Counsel:</w:t>
      </w:r>
      <w:r w:rsidRPr="000E5C2C">
        <w:rPr>
          <w:sz w:val="20"/>
          <w:szCs w:val="20"/>
        </w:rPr>
        <w:tab/>
        <w:t>Ronald Caza for the appellants Michel and Lynda Thibodeau</w:t>
      </w:r>
    </w:p>
    <w:p w:rsidR="00E23F29" w:rsidRPr="000E5C2C" w:rsidRDefault="00E23F29" w:rsidP="00E23F29">
      <w:pPr>
        <w:widowControl w:val="0"/>
        <w:ind w:left="2880" w:hanging="2880"/>
        <w:jc w:val="both"/>
        <w:rPr>
          <w:sz w:val="20"/>
          <w:szCs w:val="20"/>
        </w:rPr>
      </w:pPr>
      <w:r>
        <w:rPr>
          <w:sz w:val="20"/>
          <w:szCs w:val="20"/>
        </w:rPr>
        <w:tab/>
      </w:r>
      <w:r w:rsidRPr="000E5C2C">
        <w:rPr>
          <w:sz w:val="20"/>
          <w:szCs w:val="20"/>
        </w:rPr>
        <w:t>Pascale Giguère for the appellant Commissioner of Official Languages</w:t>
      </w:r>
    </w:p>
    <w:p w:rsidR="00E23F29" w:rsidRPr="000E5C2C" w:rsidRDefault="00E23F29" w:rsidP="00E23F29">
      <w:pPr>
        <w:widowControl w:val="0"/>
        <w:ind w:left="2880" w:hanging="2880"/>
        <w:jc w:val="both"/>
        <w:rPr>
          <w:sz w:val="20"/>
          <w:szCs w:val="20"/>
        </w:rPr>
      </w:pPr>
      <w:r w:rsidRPr="000E5C2C">
        <w:rPr>
          <w:sz w:val="20"/>
          <w:szCs w:val="20"/>
        </w:rPr>
        <w:tab/>
        <w:t>Louise-Hélène Sénécal for the respondent</w:t>
      </w:r>
    </w:p>
    <w:p w:rsidR="0055561A" w:rsidRPr="00E23F29" w:rsidRDefault="0055561A" w:rsidP="00782AE4">
      <w:pPr>
        <w:jc w:val="both"/>
        <w:rPr>
          <w:sz w:val="20"/>
          <w:szCs w:val="20"/>
        </w:rPr>
      </w:pPr>
    </w:p>
    <w:p w:rsidR="0055561A" w:rsidRDefault="000C68D7" w:rsidP="00782AE4">
      <w:pPr>
        <w:jc w:val="both"/>
        <w:rPr>
          <w:sz w:val="20"/>
          <w:szCs w:val="20"/>
          <w:lang w:val="fr-CA"/>
        </w:rPr>
      </w:pPr>
      <w:r>
        <w:rPr>
          <w:sz w:val="20"/>
          <w:szCs w:val="20"/>
          <w:lang w:val="fr-CA"/>
        </w:rPr>
        <w:pict>
          <v:rect id="_x0000_i1086" style="width:2in;height:1pt" o:hrpct="0" o:hralign="center" o:hrstd="t" o:hrnoshade="t" o:hr="t" fillcolor="black [3213]" stroked="f"/>
        </w:pict>
      </w:r>
    </w:p>
    <w:p w:rsidR="0055561A" w:rsidRDefault="0055561A" w:rsidP="00782AE4">
      <w:pPr>
        <w:jc w:val="both"/>
        <w:rPr>
          <w:sz w:val="20"/>
          <w:szCs w:val="20"/>
          <w:lang w:val="fr-CA"/>
        </w:rPr>
      </w:pPr>
    </w:p>
    <w:p w:rsidR="0055561A" w:rsidRDefault="0055561A">
      <w:pPr>
        <w:rPr>
          <w:sz w:val="20"/>
          <w:szCs w:val="20"/>
          <w:lang w:val="fr-CA"/>
        </w:rPr>
      </w:pPr>
      <w:r>
        <w:rPr>
          <w:sz w:val="20"/>
          <w:szCs w:val="20"/>
          <w:lang w:val="fr-CA"/>
        </w:rPr>
        <w:br w:type="page"/>
      </w:r>
    </w:p>
    <w:p w:rsidR="00E23F29" w:rsidRPr="00E23F29" w:rsidRDefault="007359BF" w:rsidP="00E23F29">
      <w:pPr>
        <w:pStyle w:val="SCCLsocParty"/>
        <w:ind w:left="720" w:hanging="720"/>
        <w:jc w:val="left"/>
        <w:rPr>
          <w:b w:val="0"/>
          <w:i/>
          <w:sz w:val="20"/>
          <w:szCs w:val="20"/>
          <w:lang w:val="fr-CA"/>
        </w:rPr>
      </w:pPr>
      <w:r w:rsidRPr="004C63F1">
        <w:rPr>
          <w:sz w:val="20"/>
          <w:szCs w:val="20"/>
        </w:rPr>
        <w:lastRenderedPageBreak/>
        <w:fldChar w:fldCharType="begin"/>
      </w:r>
      <w:r w:rsidR="00E23F29" w:rsidRPr="00E23F29">
        <w:rPr>
          <w:sz w:val="20"/>
          <w:szCs w:val="20"/>
          <w:lang w:val="fr-CA"/>
        </w:rPr>
        <w:instrText xml:space="preserve"> SEQ CHAPTER \h \r 1</w:instrText>
      </w:r>
      <w:r w:rsidRPr="004C63F1">
        <w:rPr>
          <w:sz w:val="20"/>
          <w:szCs w:val="20"/>
        </w:rPr>
        <w:fldChar w:fldCharType="end"/>
      </w:r>
      <w:r w:rsidR="00E23F29" w:rsidRPr="00E23F29">
        <w:rPr>
          <w:sz w:val="20"/>
          <w:szCs w:val="20"/>
          <w:lang w:val="fr-CA"/>
        </w:rPr>
        <w:t>35100</w:t>
      </w:r>
      <w:r w:rsidR="00E23F29" w:rsidRPr="00E23F29">
        <w:rPr>
          <w:sz w:val="20"/>
          <w:szCs w:val="20"/>
          <w:lang w:val="fr-CA"/>
        </w:rPr>
        <w:tab/>
      </w:r>
      <w:r w:rsidR="00E23F29" w:rsidRPr="00E23F29">
        <w:rPr>
          <w:i/>
          <w:sz w:val="20"/>
          <w:szCs w:val="20"/>
          <w:lang w:val="fr-CA"/>
        </w:rPr>
        <w:t>Michel Thibodeau, Lynda Thibodeau c. Air Canada</w:t>
      </w:r>
      <w:r w:rsidR="008E7BD6" w:rsidRPr="00E23F29">
        <w:rPr>
          <w:sz w:val="20"/>
          <w:szCs w:val="20"/>
          <w:lang w:val="fr-CA"/>
        </w:rPr>
        <w:t xml:space="preserve"> - </w:t>
      </w:r>
      <w:r w:rsidR="00E23F29" w:rsidRPr="00E23F29">
        <w:rPr>
          <w:sz w:val="20"/>
          <w:szCs w:val="20"/>
          <w:lang w:val="fr-CA"/>
        </w:rPr>
        <w:t xml:space="preserve">et - </w:t>
      </w:r>
      <w:r w:rsidR="00E23F29" w:rsidRPr="00E23F29">
        <w:rPr>
          <w:i/>
          <w:sz w:val="20"/>
          <w:szCs w:val="20"/>
          <w:lang w:val="fr-CA"/>
        </w:rPr>
        <w:t>Commissaire aux langues officielles du Canada c. Air Canada</w:t>
      </w:r>
    </w:p>
    <w:p w:rsidR="00E23F29" w:rsidRPr="004C63F1" w:rsidRDefault="00E23F29" w:rsidP="00E23F29">
      <w:pPr>
        <w:rPr>
          <w:sz w:val="20"/>
          <w:szCs w:val="20"/>
          <w:lang w:val="fr-CA"/>
        </w:rPr>
      </w:pPr>
    </w:p>
    <w:p w:rsidR="00E23F29" w:rsidRPr="004C63F1" w:rsidRDefault="00E23F29" w:rsidP="00E23F29">
      <w:pPr>
        <w:jc w:val="both"/>
        <w:rPr>
          <w:sz w:val="20"/>
          <w:szCs w:val="20"/>
          <w:lang w:val="fr-CA"/>
        </w:rPr>
      </w:pPr>
      <w:r w:rsidRPr="004C63F1">
        <w:rPr>
          <w:sz w:val="20"/>
          <w:szCs w:val="20"/>
          <w:lang w:val="fr-CA"/>
        </w:rPr>
        <w:t xml:space="preserve">Langues officielles - Compatibilité de droits fondamentaux et d’une loi issue de traité - Conflit de lois et préséance - Contravention par un transporteur canadien aux droits linguistiques de voyageurs canadiens au sol et en vol, au Canada et aux États-Unis - La loi incorporant en droit canadien un traité en matière de transport aérien peut-elle être invoquée pour limiter le pouvoir réparateur du tribunal saisi d’une plainte en matière de droits linguistiques? - La Cour d’appel fédérale a-t-elle qualifié inadéquatement le recours en réparation entrepris? - La Cour d’appel fédérale a-t-elle mal interprété le traité concerné? - La </w:t>
      </w:r>
      <w:r w:rsidRPr="004C63F1">
        <w:rPr>
          <w:i/>
          <w:sz w:val="20"/>
          <w:szCs w:val="20"/>
          <w:lang w:val="fr-CA"/>
        </w:rPr>
        <w:t>Convention de Montréal</w:t>
      </w:r>
      <w:r w:rsidRPr="004C63F1">
        <w:rPr>
          <w:sz w:val="20"/>
          <w:szCs w:val="20"/>
          <w:lang w:val="fr-CA"/>
        </w:rPr>
        <w:t xml:space="preserve"> vise-t-elle les recours de droit public? - Si les deux lois pertinentes s’appliquent concurremment aux obligations du transporteur et au recours entrepris en l’espèce, sont-elles compatibles? – Si les lois pertinentes sont incompatibles, laquelle doit avoir préséance? – La Cour d’appel fédérale a-t-elle annulé à tort l’ordonnance structurelle prononcée par la Cour fédérale? - </w:t>
      </w:r>
      <w:r w:rsidRPr="004C63F1">
        <w:rPr>
          <w:i/>
          <w:sz w:val="20"/>
          <w:szCs w:val="20"/>
          <w:lang w:val="fr-CA"/>
        </w:rPr>
        <w:t>Loi sur les langues officielles</w:t>
      </w:r>
      <w:r w:rsidRPr="004C63F1">
        <w:rPr>
          <w:sz w:val="20"/>
          <w:szCs w:val="20"/>
          <w:lang w:val="fr-CA"/>
        </w:rPr>
        <w:t xml:space="preserve">, L.R. 1985, ch. 31, par. 77 (4) et al. 82 (1) d) - </w:t>
      </w:r>
      <w:r w:rsidRPr="004C63F1">
        <w:rPr>
          <w:i/>
          <w:sz w:val="20"/>
          <w:szCs w:val="20"/>
          <w:lang w:val="fr-FR"/>
        </w:rPr>
        <w:t>Loi sur le transport aérien</w:t>
      </w:r>
      <w:r w:rsidRPr="004C63F1">
        <w:rPr>
          <w:sz w:val="20"/>
          <w:szCs w:val="20"/>
          <w:lang w:val="fr-FR"/>
        </w:rPr>
        <w:t>, L.R.C. 1985, ch. C-26, annexe VI (</w:t>
      </w:r>
      <w:r w:rsidRPr="004C63F1">
        <w:rPr>
          <w:i/>
          <w:sz w:val="20"/>
          <w:szCs w:val="20"/>
          <w:lang w:val="fr-FR"/>
        </w:rPr>
        <w:t>Convention pour l’unification de certaines règles relatives au transport aérien international</w:t>
      </w:r>
      <w:r w:rsidRPr="004C63F1">
        <w:rPr>
          <w:sz w:val="20"/>
          <w:szCs w:val="20"/>
          <w:lang w:val="fr-FR"/>
        </w:rPr>
        <w:t xml:space="preserve">, ONU 1999, dite </w:t>
      </w:r>
      <w:r w:rsidRPr="004C63F1">
        <w:rPr>
          <w:i/>
          <w:sz w:val="20"/>
          <w:szCs w:val="20"/>
          <w:lang w:val="fr-FR"/>
        </w:rPr>
        <w:t>Convention de Montréal</w:t>
      </w:r>
      <w:r w:rsidRPr="004C63F1">
        <w:rPr>
          <w:sz w:val="20"/>
          <w:szCs w:val="20"/>
          <w:lang w:val="fr-FR"/>
        </w:rPr>
        <w:t>), art. 29</w:t>
      </w:r>
      <w:r w:rsidRPr="004C63F1">
        <w:rPr>
          <w:sz w:val="20"/>
          <w:szCs w:val="20"/>
          <w:lang w:val="fr-CA"/>
        </w:rPr>
        <w:t>.</w:t>
      </w:r>
    </w:p>
    <w:p w:rsidR="00E23F29" w:rsidRPr="004C63F1" w:rsidRDefault="00E23F29" w:rsidP="00E23F29">
      <w:pPr>
        <w:jc w:val="both"/>
        <w:rPr>
          <w:sz w:val="20"/>
          <w:szCs w:val="20"/>
          <w:lang w:val="fr-CA"/>
        </w:rPr>
      </w:pPr>
    </w:p>
    <w:p w:rsidR="00E23F29" w:rsidRPr="004C63F1" w:rsidRDefault="00E23F29" w:rsidP="00E23F29">
      <w:pPr>
        <w:jc w:val="both"/>
        <w:rPr>
          <w:sz w:val="20"/>
          <w:szCs w:val="20"/>
          <w:lang w:val="fr-CA"/>
        </w:rPr>
      </w:pPr>
      <w:r w:rsidRPr="004C63F1">
        <w:rPr>
          <w:sz w:val="20"/>
          <w:szCs w:val="20"/>
          <w:lang w:val="fr-CA"/>
        </w:rPr>
        <w:t xml:space="preserve">Les appelants M. et Mme Thibodeau déposent chacun huit plaintes auprès du Commissaire aux langues officielles au sujet de services unilingues anglais reçus d’Air Canada lors de deux voyages faits entre janvier et mai 2009 : à différentes occasions, dans les aéroports d’Atlanta, d’Ottawa et de Toronto, ainsi qu’à bord de trois vols entre le Canada et les États-Unis, ils n’ont pas reçu les services en français auxquels ils avaient droit.  Leur transporteur, Jazz, est mandataire d’Air Canada et, à ce titre, lié par la LLO.  La Cour fédérale déclare la préséance de la </w:t>
      </w:r>
      <w:r w:rsidRPr="004C63F1">
        <w:rPr>
          <w:i/>
          <w:sz w:val="20"/>
          <w:szCs w:val="20"/>
          <w:lang w:val="fr-CA"/>
        </w:rPr>
        <w:t>Loi sur les langues officielles</w:t>
      </w:r>
      <w:r w:rsidRPr="004C63F1">
        <w:rPr>
          <w:sz w:val="20"/>
          <w:szCs w:val="20"/>
          <w:lang w:val="fr-CA"/>
        </w:rPr>
        <w:t>, prononce plusieurs ordonnances, dont l’une structurelle, et accorde des dommages-intérêts de 6 000$ par plaignant.  La Cour d’appel fédérale déclare l’application concurrente des lois en présence, exclut tout dommage pour les incidents survenus ailleurs qu’en sol canadien, réduisant le dédommagement en conséquence, et remplace les ordonnances par une lettre d’excuses adressée aux plaignants.  Le Commissaire, intervenu à l’appui de ceux-ci en cours de route, se porte lui-même appelant au stade de la Cour suprême.</w:t>
      </w:r>
    </w:p>
    <w:p w:rsidR="00E23F29" w:rsidRPr="004C63F1" w:rsidRDefault="00E23F29" w:rsidP="00E23F29">
      <w:pPr>
        <w:widowControl w:val="0"/>
        <w:jc w:val="both"/>
        <w:rPr>
          <w:sz w:val="20"/>
          <w:szCs w:val="20"/>
          <w:lang w:val="fr-CA"/>
        </w:rPr>
      </w:pPr>
    </w:p>
    <w:p w:rsidR="00E23F29" w:rsidRPr="004C63F1" w:rsidRDefault="00E23F29" w:rsidP="00E23F29">
      <w:pPr>
        <w:widowControl w:val="0"/>
        <w:jc w:val="both"/>
        <w:rPr>
          <w:sz w:val="20"/>
          <w:szCs w:val="20"/>
          <w:lang w:val="fr-CA"/>
        </w:rPr>
      </w:pPr>
    </w:p>
    <w:p w:rsidR="00E23F29" w:rsidRPr="004C63F1" w:rsidRDefault="00E23F29" w:rsidP="00E23F29">
      <w:pPr>
        <w:widowControl w:val="0"/>
        <w:ind w:left="2880" w:hanging="2880"/>
        <w:jc w:val="both"/>
        <w:rPr>
          <w:sz w:val="20"/>
          <w:szCs w:val="20"/>
          <w:lang w:val="fr-CA"/>
        </w:rPr>
      </w:pPr>
      <w:r w:rsidRPr="004C63F1">
        <w:rPr>
          <w:sz w:val="20"/>
          <w:szCs w:val="20"/>
          <w:lang w:val="fr-CA"/>
        </w:rPr>
        <w:t>Origine:</w:t>
      </w:r>
      <w:r w:rsidRPr="004C63F1">
        <w:rPr>
          <w:sz w:val="20"/>
          <w:szCs w:val="20"/>
          <w:lang w:val="fr-CA"/>
        </w:rPr>
        <w:tab/>
        <w:t>Cour d’appel fédérale</w:t>
      </w:r>
    </w:p>
    <w:p w:rsidR="00E23F29" w:rsidRPr="004C63F1" w:rsidRDefault="00E23F29" w:rsidP="00E23F29">
      <w:pPr>
        <w:widowControl w:val="0"/>
        <w:ind w:left="2880" w:hanging="2880"/>
        <w:jc w:val="both"/>
        <w:rPr>
          <w:sz w:val="20"/>
          <w:szCs w:val="20"/>
          <w:lang w:val="fr-CA"/>
        </w:rPr>
      </w:pPr>
    </w:p>
    <w:p w:rsidR="00E23F29" w:rsidRPr="004C63F1" w:rsidRDefault="00E23F29" w:rsidP="00E23F29">
      <w:pPr>
        <w:widowControl w:val="0"/>
        <w:ind w:left="2880" w:hanging="2880"/>
        <w:jc w:val="both"/>
        <w:rPr>
          <w:sz w:val="20"/>
          <w:szCs w:val="20"/>
          <w:lang w:val="fr-CA"/>
        </w:rPr>
      </w:pPr>
      <w:r w:rsidRPr="004C63F1">
        <w:rPr>
          <w:sz w:val="20"/>
          <w:szCs w:val="20"/>
          <w:lang w:val="fr-CA"/>
        </w:rPr>
        <w:t>N</w:t>
      </w:r>
      <w:r w:rsidRPr="004C63F1">
        <w:rPr>
          <w:sz w:val="20"/>
          <w:szCs w:val="20"/>
          <w:vertAlign w:val="superscript"/>
          <w:lang w:val="fr-CA"/>
        </w:rPr>
        <w:t>o</w:t>
      </w:r>
      <w:r w:rsidRPr="004C63F1">
        <w:rPr>
          <w:sz w:val="20"/>
          <w:szCs w:val="20"/>
          <w:lang w:val="fr-CA"/>
        </w:rPr>
        <w:t xml:space="preserve"> du greffe:</w:t>
      </w:r>
      <w:r w:rsidRPr="004C63F1">
        <w:rPr>
          <w:sz w:val="20"/>
          <w:szCs w:val="20"/>
          <w:lang w:val="fr-CA"/>
        </w:rPr>
        <w:tab/>
        <w:t>35100</w:t>
      </w:r>
    </w:p>
    <w:p w:rsidR="00E23F29" w:rsidRPr="004C63F1" w:rsidRDefault="00E23F29" w:rsidP="00E23F29">
      <w:pPr>
        <w:widowControl w:val="0"/>
        <w:ind w:left="2880" w:hanging="2880"/>
        <w:jc w:val="both"/>
        <w:rPr>
          <w:sz w:val="20"/>
          <w:szCs w:val="20"/>
          <w:lang w:val="fr-CA"/>
        </w:rPr>
      </w:pPr>
    </w:p>
    <w:p w:rsidR="00E23F29" w:rsidRPr="004C63F1" w:rsidRDefault="00E23F29" w:rsidP="00E23F29">
      <w:pPr>
        <w:widowControl w:val="0"/>
        <w:ind w:left="2880" w:hanging="2880"/>
        <w:jc w:val="both"/>
        <w:rPr>
          <w:sz w:val="20"/>
          <w:szCs w:val="20"/>
          <w:lang w:val="fr-CA"/>
        </w:rPr>
      </w:pPr>
      <w:r w:rsidRPr="004C63F1">
        <w:rPr>
          <w:sz w:val="20"/>
          <w:szCs w:val="20"/>
          <w:lang w:val="fr-CA"/>
        </w:rPr>
        <w:t>Arrêt de la Cour d’appel:</w:t>
      </w:r>
      <w:r w:rsidRPr="004C63F1">
        <w:rPr>
          <w:sz w:val="20"/>
          <w:szCs w:val="20"/>
          <w:lang w:val="fr-CA"/>
        </w:rPr>
        <w:tab/>
        <w:t>25 septembre 2012</w:t>
      </w:r>
    </w:p>
    <w:p w:rsidR="00E23F29" w:rsidRPr="004C63F1" w:rsidRDefault="00E23F29" w:rsidP="00E23F29">
      <w:pPr>
        <w:widowControl w:val="0"/>
        <w:ind w:left="2880" w:hanging="2880"/>
        <w:jc w:val="both"/>
        <w:rPr>
          <w:sz w:val="20"/>
          <w:szCs w:val="20"/>
          <w:lang w:val="fr-CA"/>
        </w:rPr>
      </w:pPr>
    </w:p>
    <w:p w:rsidR="00E23F29" w:rsidRPr="004C63F1" w:rsidRDefault="00E23F29" w:rsidP="00E23F29">
      <w:pPr>
        <w:widowControl w:val="0"/>
        <w:ind w:left="2880" w:hanging="2880"/>
        <w:jc w:val="both"/>
        <w:rPr>
          <w:sz w:val="20"/>
          <w:szCs w:val="20"/>
          <w:lang w:val="fr-CA"/>
        </w:rPr>
      </w:pPr>
      <w:r w:rsidRPr="004C63F1">
        <w:rPr>
          <w:sz w:val="20"/>
          <w:szCs w:val="20"/>
          <w:lang w:val="fr-CA"/>
        </w:rPr>
        <w:t>Avocats:</w:t>
      </w:r>
      <w:r w:rsidRPr="004C63F1">
        <w:rPr>
          <w:sz w:val="20"/>
          <w:szCs w:val="20"/>
          <w:lang w:val="fr-CA"/>
        </w:rPr>
        <w:tab/>
        <w:t>Ronald Caza pour les appelants Michel et Lynda Thibodeau</w:t>
      </w:r>
    </w:p>
    <w:p w:rsidR="00E23F29" w:rsidRPr="004C63F1" w:rsidRDefault="00E23F29" w:rsidP="00E23F29">
      <w:pPr>
        <w:widowControl w:val="0"/>
        <w:ind w:left="2880" w:hanging="2880"/>
        <w:jc w:val="both"/>
        <w:rPr>
          <w:sz w:val="20"/>
          <w:szCs w:val="20"/>
          <w:lang w:val="fr-CA"/>
        </w:rPr>
      </w:pPr>
      <w:r>
        <w:rPr>
          <w:sz w:val="20"/>
          <w:szCs w:val="20"/>
          <w:lang w:val="fr-CA"/>
        </w:rPr>
        <w:tab/>
      </w:r>
      <w:r w:rsidRPr="004C63F1">
        <w:rPr>
          <w:sz w:val="20"/>
          <w:szCs w:val="20"/>
          <w:lang w:val="fr-CA"/>
        </w:rPr>
        <w:t>Pascale Giguère pour l’appelant Commissaire aux langues officielles</w:t>
      </w:r>
    </w:p>
    <w:p w:rsidR="00E23F29" w:rsidRPr="004C63F1" w:rsidRDefault="00E23F29" w:rsidP="00E23F29">
      <w:pPr>
        <w:widowControl w:val="0"/>
        <w:ind w:left="2880" w:hanging="2880"/>
        <w:jc w:val="both"/>
        <w:rPr>
          <w:sz w:val="20"/>
          <w:szCs w:val="20"/>
          <w:lang w:val="fr-CA"/>
        </w:rPr>
      </w:pPr>
      <w:r w:rsidRPr="004C63F1">
        <w:rPr>
          <w:sz w:val="20"/>
          <w:szCs w:val="20"/>
          <w:lang w:val="fr-CA"/>
        </w:rPr>
        <w:tab/>
        <w:t>Louise-Hélène Sénécal pour l’intimée</w:t>
      </w:r>
    </w:p>
    <w:p w:rsidR="00E23F29" w:rsidRPr="004C63F1" w:rsidRDefault="00E23F29" w:rsidP="00E23F29">
      <w:pPr>
        <w:widowControl w:val="0"/>
        <w:ind w:left="2880" w:hanging="2880"/>
        <w:jc w:val="both"/>
        <w:rPr>
          <w:sz w:val="20"/>
          <w:szCs w:val="20"/>
          <w:lang w:val="fr-CA"/>
        </w:rPr>
      </w:pPr>
    </w:p>
    <w:p w:rsidR="0055561A" w:rsidRDefault="0055561A" w:rsidP="00782AE4">
      <w:pPr>
        <w:jc w:val="both"/>
        <w:rPr>
          <w:sz w:val="20"/>
          <w:szCs w:val="20"/>
          <w:lang w:val="fr-CA"/>
        </w:rPr>
      </w:pPr>
    </w:p>
    <w:p w:rsidR="0055561A" w:rsidRDefault="000C68D7" w:rsidP="00782AE4">
      <w:pPr>
        <w:jc w:val="both"/>
        <w:rPr>
          <w:sz w:val="20"/>
          <w:szCs w:val="20"/>
          <w:lang w:val="fr-CA"/>
        </w:rPr>
      </w:pPr>
      <w:r>
        <w:rPr>
          <w:sz w:val="20"/>
          <w:szCs w:val="20"/>
          <w:lang w:val="fr-CA"/>
        </w:rPr>
        <w:pict>
          <v:rect id="_x0000_i1087" style="width:2in;height:1pt" o:hrpct="0" o:hralign="center" o:hrstd="t" o:hrnoshade="t" o:hr="t" fillcolor="black [3213]" stroked="f"/>
        </w:pict>
      </w:r>
    </w:p>
    <w:p w:rsidR="0055561A" w:rsidRDefault="0055561A" w:rsidP="00782AE4">
      <w:pPr>
        <w:jc w:val="both"/>
        <w:rPr>
          <w:sz w:val="20"/>
          <w:szCs w:val="20"/>
          <w:lang w:val="fr-CA"/>
        </w:rPr>
      </w:pPr>
    </w:p>
    <w:p w:rsidR="0055561A" w:rsidRDefault="0055561A">
      <w:pPr>
        <w:rPr>
          <w:sz w:val="20"/>
          <w:szCs w:val="20"/>
          <w:lang w:val="fr-CA"/>
        </w:rPr>
      </w:pPr>
      <w:r>
        <w:rPr>
          <w:sz w:val="20"/>
          <w:szCs w:val="20"/>
          <w:lang w:val="fr-CA"/>
        </w:rPr>
        <w:br w:type="page"/>
      </w:r>
    </w:p>
    <w:p w:rsidR="00E23F29" w:rsidRPr="002325E7" w:rsidRDefault="007359BF" w:rsidP="00E23F29">
      <w:pPr>
        <w:widowControl w:val="0"/>
        <w:ind w:left="720" w:hanging="720"/>
        <w:jc w:val="both"/>
        <w:rPr>
          <w:sz w:val="20"/>
          <w:szCs w:val="20"/>
        </w:rPr>
      </w:pPr>
      <w:r w:rsidRPr="002325E7">
        <w:rPr>
          <w:b/>
          <w:sz w:val="20"/>
          <w:szCs w:val="20"/>
        </w:rPr>
        <w:lastRenderedPageBreak/>
        <w:fldChar w:fldCharType="begin"/>
      </w:r>
      <w:r w:rsidR="00E23F29" w:rsidRPr="002325E7">
        <w:rPr>
          <w:b/>
          <w:sz w:val="20"/>
          <w:szCs w:val="20"/>
        </w:rPr>
        <w:instrText xml:space="preserve"> SEQ CHAPTER \h \r 1</w:instrText>
      </w:r>
      <w:r w:rsidRPr="002325E7">
        <w:rPr>
          <w:b/>
          <w:sz w:val="20"/>
          <w:szCs w:val="20"/>
        </w:rPr>
        <w:fldChar w:fldCharType="end"/>
      </w:r>
      <w:r w:rsidR="00E23F29" w:rsidRPr="002325E7">
        <w:rPr>
          <w:b/>
          <w:sz w:val="20"/>
          <w:szCs w:val="20"/>
        </w:rPr>
        <w:t>35314</w:t>
      </w:r>
      <w:r w:rsidR="00E23F29" w:rsidRPr="002325E7">
        <w:rPr>
          <w:sz w:val="20"/>
          <w:szCs w:val="20"/>
        </w:rPr>
        <w:tab/>
      </w:r>
      <w:r w:rsidR="00E23F29" w:rsidRPr="002325E7">
        <w:rPr>
          <w:b/>
          <w:i/>
          <w:sz w:val="20"/>
          <w:szCs w:val="20"/>
        </w:rPr>
        <w:t>Tervita Corporation, Complete Environmental Inc. and Babkirk Land Services Inc. v. Commissioner of Competition</w:t>
      </w:r>
    </w:p>
    <w:p w:rsidR="00E23F29" w:rsidRPr="002325E7" w:rsidRDefault="00E23F29" w:rsidP="00E23F29">
      <w:pPr>
        <w:widowControl w:val="0"/>
        <w:jc w:val="both"/>
        <w:rPr>
          <w:sz w:val="20"/>
          <w:szCs w:val="20"/>
        </w:rPr>
      </w:pPr>
    </w:p>
    <w:p w:rsidR="00E23F29" w:rsidRPr="002325E7" w:rsidRDefault="00E23F29" w:rsidP="00E23F29">
      <w:pPr>
        <w:widowControl w:val="0"/>
        <w:jc w:val="both"/>
        <w:rPr>
          <w:sz w:val="20"/>
          <w:szCs w:val="20"/>
        </w:rPr>
      </w:pPr>
      <w:r w:rsidRPr="002325E7">
        <w:rPr>
          <w:sz w:val="20"/>
          <w:szCs w:val="20"/>
        </w:rPr>
        <w:t xml:space="preserve">Competition - Mergers - Substantial prevention of competition - Exception where gains in efficiencies - What is the proper legal test for determining when a merger gives rise to a substantial prevention of competition under s. 92 of the </w:t>
      </w:r>
      <w:r w:rsidRPr="002325E7">
        <w:rPr>
          <w:i/>
          <w:sz w:val="20"/>
          <w:szCs w:val="20"/>
        </w:rPr>
        <w:t>Competition Act</w:t>
      </w:r>
      <w:r w:rsidRPr="002325E7">
        <w:rPr>
          <w:sz w:val="20"/>
          <w:szCs w:val="20"/>
        </w:rPr>
        <w:t xml:space="preserve">? - Under a s. 92 analysis, to what extent may the Competition Tribunal consider possible future events when it finds there is no present competitive constraint being removed from the market? - What is the proper approach to the efficiencies defence under s. 96 of the </w:t>
      </w:r>
      <w:r w:rsidRPr="002325E7">
        <w:rPr>
          <w:i/>
          <w:sz w:val="20"/>
          <w:szCs w:val="20"/>
        </w:rPr>
        <w:t>Competition Act</w:t>
      </w:r>
      <w:r w:rsidRPr="002325E7">
        <w:rPr>
          <w:sz w:val="20"/>
          <w:szCs w:val="20"/>
        </w:rPr>
        <w:t xml:space="preserve">? - In a s. 96 analysis, on what basis can real, quantified efficiencies be rejected, and what is the proper approach to the offset analysis? - </w:t>
      </w:r>
      <w:r w:rsidRPr="002325E7">
        <w:rPr>
          <w:i/>
          <w:sz w:val="20"/>
          <w:szCs w:val="20"/>
        </w:rPr>
        <w:t>Competition Act</w:t>
      </w:r>
      <w:r w:rsidRPr="002325E7">
        <w:rPr>
          <w:sz w:val="20"/>
          <w:szCs w:val="20"/>
        </w:rPr>
        <w:t>, R.S.C. 1985, c. C-34, ss. 92 and 96.</w:t>
      </w:r>
    </w:p>
    <w:p w:rsidR="00E23F29" w:rsidRPr="002325E7" w:rsidRDefault="00E23F29" w:rsidP="00E23F29">
      <w:pPr>
        <w:widowControl w:val="0"/>
        <w:jc w:val="both"/>
        <w:rPr>
          <w:sz w:val="20"/>
          <w:szCs w:val="20"/>
        </w:rPr>
      </w:pPr>
    </w:p>
    <w:p w:rsidR="00E23F29" w:rsidRPr="002325E7" w:rsidRDefault="00E23F29" w:rsidP="00E23F29">
      <w:pPr>
        <w:widowControl w:val="0"/>
        <w:jc w:val="both"/>
        <w:rPr>
          <w:sz w:val="20"/>
          <w:szCs w:val="20"/>
        </w:rPr>
      </w:pPr>
      <w:r w:rsidRPr="002325E7">
        <w:rPr>
          <w:sz w:val="20"/>
          <w:szCs w:val="20"/>
        </w:rPr>
        <w:t xml:space="preserve">Four permits for the operation of secure landfills for the disposal of hazardous waste generated by oil and gas operations have been issued in Northeastern British Columbia.  Two of the permits are held by the appellant Tervita who owns and operates two hazardous waste landfills in the area.  One permit is held by the appellant Babkirk Land Services (“Babkirk”), a wholly owned subsidiary of the appellant Complete Environmental (“Complete”).  The fourth permit was issued for a site developed by an aboriginal community, but the landfill has not yet been constructed.  In 2011, Tervita bought Complete, which included Babkirk.  However, prior to closing, the Commissioner of Competition opposed the transaction on the ground that it was likely to substantially prevent competition in secure landfill services in Northeastern B.C.  After closing, the Commissioner asked the Competition Tribunal to order pursuant to s. 92 of the </w:t>
      </w:r>
      <w:r w:rsidRPr="002325E7">
        <w:rPr>
          <w:i/>
          <w:sz w:val="20"/>
          <w:szCs w:val="20"/>
        </w:rPr>
        <w:t>Competition Act</w:t>
      </w:r>
      <w:r w:rsidRPr="002325E7">
        <w:rPr>
          <w:sz w:val="20"/>
          <w:szCs w:val="20"/>
        </w:rPr>
        <w:t xml:space="preserve"> that the transaction be dissolved, or in the alternative, that Tervita divest itself of Complete or Babkirk.  The Tribunal found that the merger likely prevented real and substantial competition in the marketplace.  It also found that Tervita had not proved that the efficiencies gained by the merger were sufficient to outweigh and offset the merger’s anti-competitive harm.  It ordered Tervita to divest itself of the shares or assets of Babkirk.  The Federal Court of Appeal upheld that decision.</w:t>
      </w:r>
    </w:p>
    <w:p w:rsidR="00E23F29" w:rsidRPr="002325E7" w:rsidRDefault="00E23F29" w:rsidP="00E23F29">
      <w:pPr>
        <w:widowControl w:val="0"/>
        <w:jc w:val="both"/>
        <w:rPr>
          <w:sz w:val="20"/>
          <w:szCs w:val="20"/>
        </w:rPr>
      </w:pPr>
    </w:p>
    <w:p w:rsidR="00E23F29" w:rsidRPr="002325E7" w:rsidRDefault="00E23F29" w:rsidP="00E23F29">
      <w:pPr>
        <w:widowControl w:val="0"/>
        <w:jc w:val="both"/>
        <w:rPr>
          <w:sz w:val="20"/>
          <w:szCs w:val="20"/>
        </w:rPr>
      </w:pPr>
    </w:p>
    <w:p w:rsidR="00E23F29" w:rsidRPr="002325E7" w:rsidRDefault="00E23F29" w:rsidP="00E23F29">
      <w:pPr>
        <w:widowControl w:val="0"/>
        <w:ind w:left="2880" w:hanging="2880"/>
        <w:jc w:val="both"/>
        <w:rPr>
          <w:sz w:val="20"/>
          <w:szCs w:val="20"/>
        </w:rPr>
      </w:pPr>
      <w:r w:rsidRPr="002325E7">
        <w:rPr>
          <w:sz w:val="20"/>
          <w:szCs w:val="20"/>
        </w:rPr>
        <w:t>Origin of the case:</w:t>
      </w:r>
      <w:r w:rsidRPr="002325E7">
        <w:rPr>
          <w:sz w:val="20"/>
          <w:szCs w:val="20"/>
        </w:rPr>
        <w:tab/>
        <w:t>Federal Court of Appeal</w:t>
      </w:r>
    </w:p>
    <w:p w:rsidR="00E23F29" w:rsidRPr="002325E7" w:rsidRDefault="00E23F29" w:rsidP="00E23F29">
      <w:pPr>
        <w:widowControl w:val="0"/>
        <w:ind w:left="2880" w:hanging="2880"/>
        <w:jc w:val="both"/>
        <w:rPr>
          <w:sz w:val="20"/>
          <w:szCs w:val="20"/>
        </w:rPr>
      </w:pPr>
    </w:p>
    <w:p w:rsidR="00E23F29" w:rsidRPr="002325E7" w:rsidRDefault="00E23F29" w:rsidP="00E23F29">
      <w:pPr>
        <w:widowControl w:val="0"/>
        <w:ind w:left="2880" w:hanging="2880"/>
        <w:jc w:val="both"/>
        <w:rPr>
          <w:sz w:val="20"/>
          <w:szCs w:val="20"/>
        </w:rPr>
      </w:pPr>
      <w:r w:rsidRPr="002325E7">
        <w:rPr>
          <w:sz w:val="20"/>
          <w:szCs w:val="20"/>
        </w:rPr>
        <w:t>File No.:</w:t>
      </w:r>
      <w:r w:rsidRPr="002325E7">
        <w:rPr>
          <w:sz w:val="20"/>
          <w:szCs w:val="20"/>
        </w:rPr>
        <w:tab/>
        <w:t>35314</w:t>
      </w:r>
    </w:p>
    <w:p w:rsidR="00E23F29" w:rsidRPr="002325E7" w:rsidRDefault="00E23F29" w:rsidP="00E23F29">
      <w:pPr>
        <w:widowControl w:val="0"/>
        <w:ind w:left="2880" w:hanging="2880"/>
        <w:jc w:val="both"/>
        <w:rPr>
          <w:sz w:val="20"/>
          <w:szCs w:val="20"/>
        </w:rPr>
      </w:pPr>
    </w:p>
    <w:p w:rsidR="00E23F29" w:rsidRPr="002325E7" w:rsidRDefault="00E23F29" w:rsidP="00E23F29">
      <w:pPr>
        <w:widowControl w:val="0"/>
        <w:ind w:left="2880" w:hanging="2880"/>
        <w:jc w:val="both"/>
        <w:rPr>
          <w:sz w:val="20"/>
          <w:szCs w:val="20"/>
        </w:rPr>
      </w:pPr>
      <w:r w:rsidRPr="002325E7">
        <w:rPr>
          <w:sz w:val="20"/>
          <w:szCs w:val="20"/>
        </w:rPr>
        <w:t>Judgment of the Court of Appeal:</w:t>
      </w:r>
      <w:r w:rsidRPr="002325E7">
        <w:rPr>
          <w:sz w:val="20"/>
          <w:szCs w:val="20"/>
        </w:rPr>
        <w:tab/>
        <w:t>February 11, 2013</w:t>
      </w:r>
    </w:p>
    <w:p w:rsidR="00E23F29" w:rsidRPr="002325E7" w:rsidRDefault="00E23F29" w:rsidP="00E23F29">
      <w:pPr>
        <w:widowControl w:val="0"/>
        <w:ind w:left="2880" w:hanging="2880"/>
        <w:jc w:val="both"/>
        <w:rPr>
          <w:sz w:val="20"/>
          <w:szCs w:val="20"/>
        </w:rPr>
      </w:pPr>
    </w:p>
    <w:p w:rsidR="00E23F29" w:rsidRPr="002325E7" w:rsidRDefault="00E23F29" w:rsidP="00E23F29">
      <w:pPr>
        <w:widowControl w:val="0"/>
        <w:ind w:left="2880" w:hanging="2880"/>
        <w:jc w:val="both"/>
        <w:rPr>
          <w:sz w:val="20"/>
          <w:szCs w:val="20"/>
        </w:rPr>
      </w:pPr>
      <w:r w:rsidRPr="002325E7">
        <w:rPr>
          <w:sz w:val="20"/>
          <w:szCs w:val="20"/>
        </w:rPr>
        <w:t>Counsel:</w:t>
      </w:r>
      <w:r w:rsidRPr="002325E7">
        <w:rPr>
          <w:sz w:val="20"/>
          <w:szCs w:val="20"/>
        </w:rPr>
        <w:tab/>
        <w:t>John B. Laskin, Linda M. Plumpton, Dany H. Assaf and Crawford G. Smith for the appellants</w:t>
      </w:r>
    </w:p>
    <w:p w:rsidR="00E23F29" w:rsidRPr="002325E7" w:rsidRDefault="00E23F29" w:rsidP="00E23F29">
      <w:pPr>
        <w:widowControl w:val="0"/>
        <w:ind w:left="2880" w:hanging="2880"/>
        <w:jc w:val="both"/>
        <w:rPr>
          <w:sz w:val="20"/>
          <w:szCs w:val="20"/>
        </w:rPr>
      </w:pPr>
      <w:r w:rsidRPr="002325E7">
        <w:rPr>
          <w:sz w:val="20"/>
          <w:szCs w:val="20"/>
        </w:rPr>
        <w:tab/>
        <w:t>Christopher Rupar and John S. Tyhurst for the respondent</w:t>
      </w:r>
    </w:p>
    <w:p w:rsidR="0055561A" w:rsidRPr="00E23F29" w:rsidRDefault="0055561A" w:rsidP="00782AE4">
      <w:pPr>
        <w:jc w:val="both"/>
        <w:rPr>
          <w:sz w:val="20"/>
          <w:szCs w:val="20"/>
        </w:rPr>
      </w:pPr>
    </w:p>
    <w:p w:rsidR="0055561A" w:rsidRDefault="000C68D7" w:rsidP="00782AE4">
      <w:pPr>
        <w:jc w:val="both"/>
        <w:rPr>
          <w:sz w:val="20"/>
          <w:szCs w:val="20"/>
          <w:lang w:val="fr-CA"/>
        </w:rPr>
      </w:pPr>
      <w:r>
        <w:rPr>
          <w:sz w:val="20"/>
          <w:szCs w:val="20"/>
          <w:lang w:val="fr-CA"/>
        </w:rPr>
        <w:pict>
          <v:rect id="_x0000_i1088" style="width:2in;height:1pt" o:hrpct="0" o:hralign="center" o:hrstd="t" o:hrnoshade="t" o:hr="t" fillcolor="black [3213]" stroked="f"/>
        </w:pict>
      </w:r>
    </w:p>
    <w:p w:rsidR="00915DF4" w:rsidRDefault="00915DF4" w:rsidP="00782AE4">
      <w:pPr>
        <w:jc w:val="both"/>
        <w:rPr>
          <w:sz w:val="20"/>
          <w:szCs w:val="20"/>
          <w:lang w:val="fr-CA"/>
        </w:rPr>
      </w:pPr>
    </w:p>
    <w:p w:rsidR="00915DF4" w:rsidRDefault="00915DF4">
      <w:pPr>
        <w:rPr>
          <w:sz w:val="20"/>
          <w:szCs w:val="20"/>
          <w:lang w:val="fr-CA"/>
        </w:rPr>
      </w:pPr>
      <w:r>
        <w:rPr>
          <w:sz w:val="20"/>
          <w:szCs w:val="20"/>
          <w:lang w:val="fr-CA"/>
        </w:rPr>
        <w:br w:type="page"/>
      </w:r>
    </w:p>
    <w:p w:rsidR="00E23F29" w:rsidRPr="00D1145E" w:rsidRDefault="00E23F29" w:rsidP="00E23F29">
      <w:pPr>
        <w:widowControl w:val="0"/>
        <w:ind w:left="720" w:hanging="720"/>
        <w:jc w:val="both"/>
        <w:rPr>
          <w:sz w:val="20"/>
          <w:szCs w:val="20"/>
          <w:lang w:val="fr-CA"/>
        </w:rPr>
      </w:pPr>
      <w:r w:rsidRPr="00D1145E">
        <w:rPr>
          <w:b/>
          <w:sz w:val="20"/>
          <w:szCs w:val="20"/>
          <w:lang w:val="fr-CA"/>
        </w:rPr>
        <w:lastRenderedPageBreak/>
        <w:t>35314</w:t>
      </w:r>
      <w:r w:rsidRPr="00D1145E">
        <w:rPr>
          <w:sz w:val="20"/>
          <w:szCs w:val="20"/>
          <w:lang w:val="fr-CA"/>
        </w:rPr>
        <w:tab/>
      </w:r>
      <w:r w:rsidRPr="00D1145E">
        <w:rPr>
          <w:b/>
          <w:i/>
          <w:sz w:val="20"/>
          <w:szCs w:val="20"/>
          <w:lang w:val="fr-CA"/>
        </w:rPr>
        <w:t>Tervita Corporation, Complete Environmental Inc. et Babkirk Land Services Inc. c. Commissaire de la concurrence</w:t>
      </w:r>
    </w:p>
    <w:p w:rsidR="00E23F29" w:rsidRPr="00D1145E" w:rsidRDefault="00E23F29" w:rsidP="00E23F29">
      <w:pPr>
        <w:rPr>
          <w:sz w:val="20"/>
          <w:szCs w:val="20"/>
          <w:lang w:val="fr-CA"/>
        </w:rPr>
      </w:pPr>
    </w:p>
    <w:p w:rsidR="00E23F29" w:rsidRPr="00D1145E" w:rsidRDefault="00E23F29" w:rsidP="00E23F29">
      <w:pPr>
        <w:jc w:val="both"/>
        <w:rPr>
          <w:sz w:val="20"/>
          <w:szCs w:val="20"/>
          <w:lang w:val="fr-CA"/>
        </w:rPr>
      </w:pPr>
      <w:r w:rsidRPr="00D1145E">
        <w:rPr>
          <w:sz w:val="20"/>
          <w:szCs w:val="20"/>
          <w:lang w:val="fr-CA"/>
        </w:rPr>
        <w:t>Concurrence - Fusionnements - Empêchement sensible de la concurrence - Exception dans les cas de gains en efficience - Quel est le critère juridique approprié pour déterminer quand un fusionnement a pour effet d’empêcher sensiblement la concurrence au sens de l’art. 92 de la Loi sur la concurrence? - Dans le cadre d’une analyse fondée sur l’art. 92, dans quelle mesure le Tribunal de la concurrence peut-il prendre en considération des éventualités lorsqu’il conclut qu’aucune entrave à la concurrence actuelle n’est éliminée du marché? - Comment convient-il de traiter le moyen de défense fondé sur les gains en efficience en application de l’art. 96 de la Loi sur la concurrence? - Dans une analyse fondée sur l’art. 96, pour quel motif peut-on rejeter les gains en efficience réels et quantifiés, et quelle est la bonne façon d’analyser l’effet de neutralisation? - Loi sur la concurrence, L.R.C. 1985, ch. C-34, art. 92 et 96.</w:t>
      </w:r>
    </w:p>
    <w:p w:rsidR="00E23F29" w:rsidRPr="00D1145E" w:rsidRDefault="00E23F29" w:rsidP="00E23F29">
      <w:pPr>
        <w:jc w:val="both"/>
        <w:rPr>
          <w:sz w:val="20"/>
          <w:szCs w:val="20"/>
          <w:lang w:val="fr-CA"/>
        </w:rPr>
      </w:pPr>
    </w:p>
    <w:p w:rsidR="00E23F29" w:rsidRPr="00D1145E" w:rsidRDefault="00E23F29" w:rsidP="00E23F29">
      <w:pPr>
        <w:jc w:val="both"/>
        <w:rPr>
          <w:sz w:val="20"/>
          <w:szCs w:val="20"/>
          <w:lang w:val="fr-CA"/>
        </w:rPr>
      </w:pPr>
      <w:r w:rsidRPr="00D1145E">
        <w:rPr>
          <w:sz w:val="20"/>
          <w:szCs w:val="20"/>
          <w:lang w:val="fr-CA"/>
        </w:rPr>
        <w:t>Quatre permis d’exploitation de sites d’enfouissement sécuritaire de déchets dangereux produits par des activités pétrolières et gazières ont été délivrés dans le nord-est de la Colombie</w:t>
      </w:r>
      <w:r w:rsidRPr="00D1145E">
        <w:rPr>
          <w:sz w:val="20"/>
          <w:szCs w:val="20"/>
          <w:lang w:val="fr-CA"/>
        </w:rPr>
        <w:noBreakHyphen/>
        <w:t>Britannique.  Deux des permis sont détenus par l’appelante Tervita qui est propriétaire-exploitante de deux sites d’enfouissement de déchets dangereux dans la région.  Un des permis est détenu par l’appelante Babkirk Land Services (« Babkirk »), une filiale à cent pour cent de l’appelante Complete Environmental (« Complete »).  Le quatrième permis a été délivré pour un site aménagé par une collectivité autochtone, mais le site d’enfouissement n’a pas encore été construit.  En 2011, Tervita a acquis Complete, qui comprenait Babkirk.  Toutefois, avant la clôture, le commissaire de la concurrence s’est opposé à la transaction au motif qu’elle allait vraisemblablement avoir pour effet d’empêcher sensiblement la concurrence dans la prestation des services de sites d’enfouissement dans le nord-est de la Colombie-Britannique.  Après la clôture, le commissaire a demandé au Tribunal de la concurrence d’ordonner, en application de l’art. 92 de la Loi sur la concurrence, la dissolution de la transaction ou, subsidiairement, que Tervita se départisse de Complete ou de Babkirk.  Le Tribunal a conclu que le fusionnement avait vraisemblablement pour effet d’empêcher une concurrence réelle et sensible sur le marché.  Il a également conclu que Tervita n’avait pas prouvé que les gains en efficience tirés du fusionnement étaient suffisants pour surpasser ou neutraliser le préjudice anticoncurrentiel causé par le fusionnement.  Il a ordonné à Tervita de se départir des actions ou des éléments d’actifs de Babkirk.  La Cour d’appel fédérale a confirmé cette décision.</w:t>
      </w:r>
    </w:p>
    <w:p w:rsidR="00E23F29" w:rsidRPr="00D1145E" w:rsidRDefault="00E23F29" w:rsidP="00E23F29">
      <w:pPr>
        <w:rPr>
          <w:sz w:val="20"/>
          <w:szCs w:val="20"/>
          <w:lang w:val="fr-CA"/>
        </w:rPr>
      </w:pPr>
    </w:p>
    <w:p w:rsidR="00E23F29" w:rsidRPr="00D1145E" w:rsidRDefault="00E23F29" w:rsidP="00E23F29">
      <w:pPr>
        <w:rPr>
          <w:sz w:val="20"/>
          <w:szCs w:val="20"/>
          <w:lang w:val="fr-CA"/>
        </w:rPr>
      </w:pPr>
    </w:p>
    <w:p w:rsidR="00E23F29" w:rsidRPr="00D1145E" w:rsidRDefault="00E23F29" w:rsidP="00E23F29">
      <w:pPr>
        <w:ind w:left="2880" w:hanging="2880"/>
        <w:rPr>
          <w:sz w:val="20"/>
          <w:szCs w:val="20"/>
          <w:lang w:val="fr-CA"/>
        </w:rPr>
      </w:pPr>
      <w:r w:rsidRPr="00D1145E">
        <w:rPr>
          <w:sz w:val="20"/>
          <w:szCs w:val="20"/>
          <w:lang w:val="fr-CA"/>
        </w:rPr>
        <w:t>Origine :</w:t>
      </w:r>
      <w:r w:rsidRPr="00D1145E">
        <w:rPr>
          <w:sz w:val="20"/>
          <w:szCs w:val="20"/>
          <w:lang w:val="fr-CA"/>
        </w:rPr>
        <w:tab/>
        <w:t>Cour d’appel fédérale</w:t>
      </w:r>
    </w:p>
    <w:p w:rsidR="00E23F29" w:rsidRPr="00D1145E" w:rsidRDefault="00E23F29" w:rsidP="00E23F29">
      <w:pPr>
        <w:ind w:left="2880" w:hanging="2880"/>
        <w:rPr>
          <w:sz w:val="20"/>
          <w:szCs w:val="20"/>
          <w:lang w:val="fr-CA"/>
        </w:rPr>
      </w:pPr>
    </w:p>
    <w:p w:rsidR="00E23F29" w:rsidRPr="00D1145E" w:rsidRDefault="00E23F29" w:rsidP="00E23F29">
      <w:pPr>
        <w:ind w:left="2880" w:hanging="2880"/>
        <w:rPr>
          <w:sz w:val="20"/>
          <w:szCs w:val="20"/>
          <w:lang w:val="fr-CA"/>
        </w:rPr>
      </w:pPr>
      <w:r w:rsidRPr="00D1145E">
        <w:rPr>
          <w:sz w:val="20"/>
          <w:szCs w:val="20"/>
          <w:lang w:val="fr-CA"/>
        </w:rPr>
        <w:t>No du greffe :</w:t>
      </w:r>
      <w:r w:rsidRPr="00D1145E">
        <w:rPr>
          <w:sz w:val="20"/>
          <w:szCs w:val="20"/>
          <w:lang w:val="fr-CA"/>
        </w:rPr>
        <w:tab/>
        <w:t>35314</w:t>
      </w:r>
    </w:p>
    <w:p w:rsidR="00E23F29" w:rsidRPr="00D1145E" w:rsidRDefault="00E23F29" w:rsidP="00E23F29">
      <w:pPr>
        <w:ind w:left="2880" w:hanging="2880"/>
        <w:rPr>
          <w:sz w:val="20"/>
          <w:szCs w:val="20"/>
          <w:lang w:val="fr-CA"/>
        </w:rPr>
      </w:pPr>
    </w:p>
    <w:p w:rsidR="00E23F29" w:rsidRPr="00D1145E" w:rsidRDefault="00E23F29" w:rsidP="00E23F29">
      <w:pPr>
        <w:ind w:left="2880" w:hanging="2880"/>
        <w:rPr>
          <w:sz w:val="20"/>
          <w:szCs w:val="20"/>
          <w:lang w:val="fr-CA"/>
        </w:rPr>
      </w:pPr>
      <w:r w:rsidRPr="00D1145E">
        <w:rPr>
          <w:sz w:val="20"/>
          <w:szCs w:val="20"/>
          <w:lang w:val="fr-CA"/>
        </w:rPr>
        <w:t>Arrêt de la Cour d’appel :</w:t>
      </w:r>
      <w:r w:rsidRPr="00D1145E">
        <w:rPr>
          <w:sz w:val="20"/>
          <w:szCs w:val="20"/>
          <w:lang w:val="fr-CA"/>
        </w:rPr>
        <w:tab/>
        <w:t>11 février 2013</w:t>
      </w:r>
    </w:p>
    <w:p w:rsidR="00E23F29" w:rsidRPr="00D1145E" w:rsidRDefault="00E23F29" w:rsidP="00E23F29">
      <w:pPr>
        <w:ind w:left="2880" w:hanging="2880"/>
        <w:rPr>
          <w:sz w:val="20"/>
          <w:szCs w:val="20"/>
          <w:lang w:val="fr-CA"/>
        </w:rPr>
      </w:pPr>
    </w:p>
    <w:p w:rsidR="00E23F29" w:rsidRPr="00D1145E" w:rsidRDefault="00E23F29" w:rsidP="00E23F29">
      <w:pPr>
        <w:ind w:left="2880" w:hanging="2880"/>
        <w:rPr>
          <w:sz w:val="20"/>
          <w:szCs w:val="20"/>
          <w:lang w:val="fr-CA"/>
        </w:rPr>
      </w:pPr>
      <w:r w:rsidRPr="00D1145E">
        <w:rPr>
          <w:sz w:val="20"/>
          <w:szCs w:val="20"/>
          <w:lang w:val="fr-CA"/>
        </w:rPr>
        <w:t>Avocats :</w:t>
      </w:r>
      <w:r w:rsidRPr="00D1145E">
        <w:rPr>
          <w:sz w:val="20"/>
          <w:szCs w:val="20"/>
          <w:lang w:val="fr-CA"/>
        </w:rPr>
        <w:tab/>
        <w:t>John B. Laskin, Linda M. Plumpton, Dany H. Assaf et</w:t>
      </w:r>
      <w:r>
        <w:rPr>
          <w:sz w:val="20"/>
          <w:szCs w:val="20"/>
          <w:lang w:val="fr-CA"/>
        </w:rPr>
        <w:t xml:space="preserve"> </w:t>
      </w:r>
      <w:r w:rsidRPr="00D1145E">
        <w:rPr>
          <w:sz w:val="20"/>
          <w:szCs w:val="20"/>
          <w:lang w:val="fr-CA"/>
        </w:rPr>
        <w:t>Crawford G. Smith pour les appelantes</w:t>
      </w:r>
    </w:p>
    <w:p w:rsidR="00E23F29" w:rsidRPr="00D1145E" w:rsidRDefault="00E23F29" w:rsidP="00E23F29">
      <w:pPr>
        <w:ind w:left="2880" w:hanging="2880"/>
        <w:rPr>
          <w:sz w:val="20"/>
          <w:szCs w:val="20"/>
          <w:lang w:val="fr-CA"/>
        </w:rPr>
      </w:pPr>
      <w:r w:rsidRPr="00D1145E">
        <w:rPr>
          <w:sz w:val="20"/>
          <w:szCs w:val="20"/>
          <w:lang w:val="fr-CA"/>
        </w:rPr>
        <w:tab/>
        <w:t>Christopher Rupar et John S. Tyhurst pour l’intimé</w:t>
      </w:r>
    </w:p>
    <w:p w:rsidR="00915DF4" w:rsidRDefault="00915DF4" w:rsidP="00782AE4">
      <w:pPr>
        <w:jc w:val="both"/>
        <w:rPr>
          <w:sz w:val="20"/>
          <w:szCs w:val="20"/>
          <w:lang w:val="fr-CA"/>
        </w:rPr>
      </w:pPr>
    </w:p>
    <w:p w:rsidR="00915DF4" w:rsidRDefault="000C68D7" w:rsidP="00782AE4">
      <w:pPr>
        <w:jc w:val="both"/>
        <w:rPr>
          <w:sz w:val="20"/>
          <w:szCs w:val="20"/>
          <w:lang w:val="fr-CA"/>
        </w:rPr>
      </w:pPr>
      <w:r>
        <w:rPr>
          <w:sz w:val="20"/>
          <w:szCs w:val="20"/>
          <w:lang w:val="fr-CA"/>
        </w:rPr>
        <w:pict>
          <v:rect id="_x0000_i1089" style="width:2in;height:1pt" o:hrpct="0" o:hralign="center" o:hrstd="t" o:hrnoshade="t" o:hr="t" fillcolor="black [3213]" stroked="f"/>
        </w:pict>
      </w:r>
    </w:p>
    <w:p w:rsidR="00915DF4" w:rsidRDefault="00915DF4" w:rsidP="00782AE4">
      <w:pPr>
        <w:jc w:val="both"/>
        <w:rPr>
          <w:sz w:val="20"/>
          <w:szCs w:val="20"/>
          <w:lang w:val="fr-CA"/>
        </w:rPr>
      </w:pPr>
    </w:p>
    <w:p w:rsidR="00915DF4" w:rsidRDefault="00915DF4">
      <w:pPr>
        <w:rPr>
          <w:sz w:val="20"/>
          <w:szCs w:val="20"/>
          <w:lang w:val="fr-CA"/>
        </w:rPr>
      </w:pPr>
      <w:r>
        <w:rPr>
          <w:sz w:val="20"/>
          <w:szCs w:val="20"/>
          <w:lang w:val="fr-CA"/>
        </w:rPr>
        <w:br w:type="page"/>
      </w:r>
    </w:p>
    <w:p w:rsidR="00E23F29" w:rsidRPr="00900703" w:rsidRDefault="00E23F29" w:rsidP="00E23F29">
      <w:pPr>
        <w:widowControl w:val="0"/>
        <w:ind w:left="720" w:hanging="720"/>
        <w:jc w:val="both"/>
        <w:rPr>
          <w:sz w:val="20"/>
          <w:szCs w:val="20"/>
          <w:lang w:val="fr-CA"/>
        </w:rPr>
      </w:pPr>
      <w:r w:rsidRPr="00900703">
        <w:rPr>
          <w:b/>
          <w:sz w:val="20"/>
          <w:szCs w:val="20"/>
          <w:lang w:val="fr-CA"/>
        </w:rPr>
        <w:lastRenderedPageBreak/>
        <w:t>35375</w:t>
      </w:r>
      <w:r w:rsidR="007359BF" w:rsidRPr="00900703">
        <w:rPr>
          <w:sz w:val="20"/>
          <w:szCs w:val="20"/>
        </w:rPr>
        <w:fldChar w:fldCharType="begin"/>
      </w:r>
      <w:r w:rsidRPr="00900703">
        <w:rPr>
          <w:sz w:val="20"/>
          <w:szCs w:val="20"/>
          <w:lang w:val="fr-CA"/>
        </w:rPr>
        <w:instrText xml:space="preserve"> SEQ CHAPTER \h \r 1</w:instrText>
      </w:r>
      <w:r w:rsidR="007359BF" w:rsidRPr="00900703">
        <w:rPr>
          <w:sz w:val="20"/>
          <w:szCs w:val="20"/>
        </w:rPr>
        <w:fldChar w:fldCharType="end"/>
      </w:r>
      <w:r w:rsidRPr="00900703">
        <w:rPr>
          <w:sz w:val="20"/>
          <w:szCs w:val="20"/>
          <w:lang w:val="fr-CA"/>
        </w:rPr>
        <w:tab/>
      </w:r>
      <w:r w:rsidRPr="00900703">
        <w:rPr>
          <w:b/>
          <w:i/>
          <w:sz w:val="20"/>
          <w:szCs w:val="20"/>
          <w:lang w:val="fr-CA"/>
        </w:rPr>
        <w:t>Commission des normes du travail v. Asphalte Desjardins Inc.</w:t>
      </w:r>
    </w:p>
    <w:p w:rsidR="00E23F29" w:rsidRPr="00900703" w:rsidRDefault="00E23F29" w:rsidP="00E23F29">
      <w:pPr>
        <w:widowControl w:val="0"/>
        <w:ind w:left="2160" w:hanging="2160"/>
        <w:jc w:val="both"/>
        <w:rPr>
          <w:sz w:val="20"/>
          <w:szCs w:val="20"/>
          <w:lang w:val="fr-CA"/>
        </w:rPr>
      </w:pPr>
    </w:p>
    <w:p w:rsidR="00E23F29" w:rsidRPr="00900703" w:rsidRDefault="00E23F29" w:rsidP="00E23F29">
      <w:pPr>
        <w:jc w:val="both"/>
        <w:rPr>
          <w:sz w:val="20"/>
          <w:szCs w:val="20"/>
        </w:rPr>
      </w:pPr>
      <w:r w:rsidRPr="00900703">
        <w:rPr>
          <w:sz w:val="20"/>
          <w:szCs w:val="20"/>
        </w:rPr>
        <w:t xml:space="preserve">Employment law - Labour standards - Notice of termination - During period of notice given by employee to employer in accordance with art. 2091 of </w:t>
      </w:r>
      <w:r w:rsidRPr="00900703">
        <w:rPr>
          <w:i/>
          <w:sz w:val="20"/>
          <w:szCs w:val="20"/>
        </w:rPr>
        <w:t>Civil Code of Québec</w:t>
      </w:r>
      <w:r w:rsidRPr="00900703">
        <w:rPr>
          <w:sz w:val="20"/>
          <w:szCs w:val="20"/>
        </w:rPr>
        <w:t xml:space="preserve">, S.Q. 1991, c. 64, whether employer can resiliate contract of employment without paying employee remuneration or even compensatory indemnity under s. 83 of </w:t>
      </w:r>
      <w:r w:rsidRPr="00900703">
        <w:rPr>
          <w:i/>
          <w:sz w:val="20"/>
          <w:szCs w:val="20"/>
        </w:rPr>
        <w:t>Act respecting labour standards</w:t>
      </w:r>
      <w:r w:rsidRPr="00900703">
        <w:rPr>
          <w:sz w:val="20"/>
          <w:szCs w:val="20"/>
        </w:rPr>
        <w:t>, R.S.Q., c. N</w:t>
      </w:r>
      <w:r w:rsidRPr="00900703">
        <w:rPr>
          <w:sz w:val="20"/>
          <w:szCs w:val="20"/>
        </w:rPr>
        <w:noBreakHyphen/>
        <w:t>1.1.</w:t>
      </w:r>
    </w:p>
    <w:p w:rsidR="00E23F29" w:rsidRPr="00900703" w:rsidRDefault="00E23F29" w:rsidP="00E23F29">
      <w:pPr>
        <w:widowControl w:val="0"/>
        <w:ind w:left="2160" w:hanging="2160"/>
        <w:jc w:val="both"/>
        <w:rPr>
          <w:sz w:val="20"/>
          <w:szCs w:val="20"/>
        </w:rPr>
      </w:pPr>
    </w:p>
    <w:p w:rsidR="00E23F29" w:rsidRPr="00900703" w:rsidRDefault="00E23F29" w:rsidP="00E23F29">
      <w:pPr>
        <w:jc w:val="both"/>
        <w:rPr>
          <w:sz w:val="20"/>
          <w:szCs w:val="20"/>
        </w:rPr>
      </w:pPr>
      <w:r w:rsidRPr="00900703">
        <w:rPr>
          <w:sz w:val="20"/>
          <w:szCs w:val="20"/>
        </w:rPr>
        <w:t>From 1994 to 2008, Mr. Guay worked for the respondent, Asphalte Desjardins Inc., which earned more than 80% of its income from road paving contracts.  During that period, there were also times when Mr. Guay worked for other employers.  He initially worked as a surveyor and then became project manager.  As part of his duties, he had to supervise the work and manage tenders, invoicing and the performance of the work as such.  He therefore had access to information that should not end up in the hands of competing companies, such as prices provided when tendering and performance costs.</w:t>
      </w:r>
    </w:p>
    <w:p w:rsidR="00E23F29" w:rsidRPr="00900703" w:rsidRDefault="00E23F29" w:rsidP="00E23F29">
      <w:pPr>
        <w:jc w:val="both"/>
        <w:rPr>
          <w:sz w:val="20"/>
          <w:szCs w:val="20"/>
        </w:rPr>
      </w:pPr>
    </w:p>
    <w:p w:rsidR="00E23F29" w:rsidRPr="00900703" w:rsidRDefault="00E23F29" w:rsidP="00E23F29">
      <w:pPr>
        <w:jc w:val="both"/>
        <w:rPr>
          <w:sz w:val="20"/>
          <w:szCs w:val="20"/>
        </w:rPr>
      </w:pPr>
      <w:r w:rsidRPr="00900703">
        <w:rPr>
          <w:sz w:val="20"/>
          <w:szCs w:val="20"/>
        </w:rPr>
        <w:t>On Friday, February 15, 2008, Mr. Guay gave the controller of Asphalte Desjardins a letter stating that he intended to resign and leave his job permanently on March 7 of that year.  He stated that he was leaving to join a competitor that was offering him better salary terms.  He said that the three weeks between the date he handed in his letter and the date he actually left would be used to finalize files and draw up a history of work in progress in more than 50 files, which would facilitate his successor’s work.  On February 18, officers of Asphalte Desjardins tried to convince Mr. Guay to stay, but they could not meet his demands.  In the circumstances, the employer decided to terminate the contract of employment the next day, February 19, rather than waiting until March 7.</w:t>
      </w:r>
    </w:p>
    <w:p w:rsidR="00E23F29" w:rsidRPr="00900703" w:rsidRDefault="00E23F29" w:rsidP="00E23F29">
      <w:pPr>
        <w:jc w:val="both"/>
        <w:rPr>
          <w:sz w:val="20"/>
          <w:szCs w:val="20"/>
        </w:rPr>
      </w:pPr>
    </w:p>
    <w:p w:rsidR="00E23F29" w:rsidRPr="00900703" w:rsidRDefault="00E23F29" w:rsidP="00E23F29">
      <w:pPr>
        <w:jc w:val="both"/>
        <w:rPr>
          <w:sz w:val="20"/>
          <w:szCs w:val="20"/>
        </w:rPr>
      </w:pPr>
      <w:r w:rsidRPr="00900703">
        <w:rPr>
          <w:sz w:val="20"/>
          <w:szCs w:val="20"/>
        </w:rPr>
        <w:t xml:space="preserve">The Commission des normes du travail, which may institute in its own name, and on behalf of an employee, proceedings to recover amounts due by the employer under the </w:t>
      </w:r>
      <w:r w:rsidRPr="00900703">
        <w:rPr>
          <w:i/>
          <w:sz w:val="20"/>
          <w:szCs w:val="20"/>
        </w:rPr>
        <w:t>Act respecting labour standards</w:t>
      </w:r>
      <w:r w:rsidRPr="00900703">
        <w:rPr>
          <w:sz w:val="20"/>
          <w:szCs w:val="20"/>
        </w:rPr>
        <w:t>, claimed from Asphalte Desjardins:  (1) pay in lieu of notice of $6,149.99; (2) annual leave totalling $369; and (3) an indemnity of 20%, or $1,303.80, under s. 114 of the Act</w:t>
      </w:r>
      <w:r w:rsidRPr="00900703">
        <w:rPr>
          <w:i/>
          <w:sz w:val="20"/>
          <w:szCs w:val="20"/>
        </w:rPr>
        <w:t>.</w:t>
      </w:r>
      <w:r w:rsidRPr="00900703">
        <w:rPr>
          <w:sz w:val="20"/>
          <w:szCs w:val="20"/>
        </w:rPr>
        <w:t xml:space="preserve">  Although in its opinion Mr. Guay was entitled to claim four weeks’ notice under s. 82 of that Act because of his years of service, the Commission claimed only three weeks, which was the time between the date the employee had expressed his desire to resign and the effective resignation date, minus the days for which he had been paid.  The Commission claimed annual leave in the same proportion.</w:t>
      </w:r>
    </w:p>
    <w:p w:rsidR="00E23F29" w:rsidRPr="00900703" w:rsidRDefault="00E23F29" w:rsidP="00E23F29">
      <w:pPr>
        <w:widowControl w:val="0"/>
        <w:jc w:val="both"/>
        <w:rPr>
          <w:sz w:val="20"/>
          <w:szCs w:val="20"/>
        </w:rPr>
      </w:pPr>
    </w:p>
    <w:p w:rsidR="00E23F29" w:rsidRPr="00900703" w:rsidRDefault="00E23F29" w:rsidP="00E23F29">
      <w:pPr>
        <w:widowControl w:val="0"/>
        <w:jc w:val="both"/>
        <w:rPr>
          <w:sz w:val="20"/>
          <w:szCs w:val="20"/>
        </w:rPr>
      </w:pPr>
    </w:p>
    <w:p w:rsidR="00E23F29" w:rsidRPr="00900703" w:rsidRDefault="00E23F29" w:rsidP="00E23F29">
      <w:pPr>
        <w:widowControl w:val="0"/>
        <w:ind w:left="2880" w:hanging="2880"/>
        <w:jc w:val="both"/>
        <w:rPr>
          <w:sz w:val="20"/>
          <w:szCs w:val="20"/>
        </w:rPr>
      </w:pPr>
      <w:r w:rsidRPr="00900703">
        <w:rPr>
          <w:sz w:val="20"/>
          <w:szCs w:val="20"/>
        </w:rPr>
        <w:t>Origin of the case:</w:t>
      </w:r>
      <w:r w:rsidRPr="00900703">
        <w:rPr>
          <w:sz w:val="20"/>
          <w:szCs w:val="20"/>
        </w:rPr>
        <w:tab/>
        <w:t>Quebec</w:t>
      </w:r>
    </w:p>
    <w:p w:rsidR="00E23F29" w:rsidRPr="00900703" w:rsidRDefault="00E23F29" w:rsidP="00E23F29">
      <w:pPr>
        <w:widowControl w:val="0"/>
        <w:ind w:left="2880" w:hanging="2880"/>
        <w:jc w:val="both"/>
        <w:rPr>
          <w:sz w:val="20"/>
          <w:szCs w:val="20"/>
        </w:rPr>
      </w:pPr>
    </w:p>
    <w:p w:rsidR="00E23F29" w:rsidRPr="00900703" w:rsidRDefault="00E23F29" w:rsidP="00E23F29">
      <w:pPr>
        <w:widowControl w:val="0"/>
        <w:ind w:left="2880" w:hanging="2880"/>
        <w:jc w:val="both"/>
        <w:rPr>
          <w:sz w:val="20"/>
          <w:szCs w:val="20"/>
        </w:rPr>
      </w:pPr>
      <w:r w:rsidRPr="00900703">
        <w:rPr>
          <w:sz w:val="20"/>
          <w:szCs w:val="20"/>
        </w:rPr>
        <w:t>File No.:</w:t>
      </w:r>
      <w:r w:rsidRPr="00900703">
        <w:rPr>
          <w:sz w:val="20"/>
          <w:szCs w:val="20"/>
        </w:rPr>
        <w:tab/>
        <w:t>35375</w:t>
      </w:r>
    </w:p>
    <w:p w:rsidR="00E23F29" w:rsidRPr="00900703" w:rsidRDefault="00E23F29" w:rsidP="00E23F29">
      <w:pPr>
        <w:widowControl w:val="0"/>
        <w:ind w:left="2880" w:hanging="2880"/>
        <w:jc w:val="both"/>
        <w:rPr>
          <w:sz w:val="20"/>
          <w:szCs w:val="20"/>
        </w:rPr>
      </w:pPr>
    </w:p>
    <w:p w:rsidR="00E23F29" w:rsidRPr="00900703" w:rsidRDefault="00E23F29" w:rsidP="00E23F29">
      <w:pPr>
        <w:widowControl w:val="0"/>
        <w:ind w:left="2880" w:hanging="2880"/>
        <w:jc w:val="both"/>
        <w:rPr>
          <w:sz w:val="20"/>
          <w:szCs w:val="20"/>
        </w:rPr>
      </w:pPr>
      <w:r w:rsidRPr="00900703">
        <w:rPr>
          <w:sz w:val="20"/>
          <w:szCs w:val="20"/>
        </w:rPr>
        <w:t>Judgment of the Court of Appeal:</w:t>
      </w:r>
      <w:r w:rsidRPr="00900703">
        <w:rPr>
          <w:sz w:val="20"/>
          <w:szCs w:val="20"/>
        </w:rPr>
        <w:tab/>
        <w:t>March 19, 2013</w:t>
      </w:r>
    </w:p>
    <w:p w:rsidR="00E23F29" w:rsidRPr="00900703" w:rsidRDefault="00E23F29" w:rsidP="00E23F29">
      <w:pPr>
        <w:widowControl w:val="0"/>
        <w:ind w:left="2880" w:hanging="2880"/>
        <w:jc w:val="both"/>
        <w:rPr>
          <w:sz w:val="20"/>
          <w:szCs w:val="20"/>
        </w:rPr>
      </w:pPr>
    </w:p>
    <w:p w:rsidR="00E23F29" w:rsidRPr="00900703" w:rsidRDefault="00E23F29" w:rsidP="00E23F29">
      <w:pPr>
        <w:widowControl w:val="0"/>
        <w:ind w:left="2880" w:hanging="2880"/>
        <w:jc w:val="both"/>
        <w:rPr>
          <w:sz w:val="20"/>
          <w:szCs w:val="20"/>
        </w:rPr>
      </w:pPr>
      <w:r w:rsidRPr="00900703">
        <w:rPr>
          <w:sz w:val="20"/>
          <w:szCs w:val="20"/>
        </w:rPr>
        <w:t>Counsel:</w:t>
      </w:r>
      <w:r w:rsidRPr="00900703">
        <w:rPr>
          <w:sz w:val="20"/>
          <w:szCs w:val="20"/>
        </w:rPr>
        <w:tab/>
        <w:t>Robert L. Rivest and Jessica Laforest for the appellant</w:t>
      </w:r>
    </w:p>
    <w:p w:rsidR="00E23F29" w:rsidRPr="00900703" w:rsidRDefault="00E23F29" w:rsidP="00E23F29">
      <w:pPr>
        <w:widowControl w:val="0"/>
        <w:ind w:left="2880" w:hanging="2880"/>
        <w:jc w:val="both"/>
        <w:rPr>
          <w:sz w:val="20"/>
          <w:szCs w:val="20"/>
        </w:rPr>
      </w:pPr>
      <w:r w:rsidRPr="00900703">
        <w:rPr>
          <w:sz w:val="20"/>
          <w:szCs w:val="20"/>
        </w:rPr>
        <w:tab/>
        <w:t>Claude J. Denis for the respondent</w:t>
      </w:r>
    </w:p>
    <w:p w:rsidR="00915DF4" w:rsidRPr="00E23F29" w:rsidRDefault="00915DF4" w:rsidP="00782AE4">
      <w:pPr>
        <w:jc w:val="both"/>
        <w:rPr>
          <w:sz w:val="20"/>
          <w:szCs w:val="20"/>
        </w:rPr>
      </w:pPr>
    </w:p>
    <w:p w:rsidR="00915DF4" w:rsidRDefault="000C68D7" w:rsidP="00782AE4">
      <w:pPr>
        <w:jc w:val="both"/>
        <w:rPr>
          <w:sz w:val="20"/>
          <w:szCs w:val="20"/>
          <w:lang w:val="fr-CA"/>
        </w:rPr>
      </w:pPr>
      <w:r>
        <w:rPr>
          <w:sz w:val="20"/>
          <w:szCs w:val="20"/>
          <w:lang w:val="fr-CA"/>
        </w:rPr>
        <w:pict>
          <v:rect id="_x0000_i1090" style="width:2in;height:1pt" o:hrpct="0" o:hralign="center" o:hrstd="t" o:hrnoshade="t" o:hr="t" fillcolor="black [3213]" stroked="f"/>
        </w:pict>
      </w:r>
    </w:p>
    <w:p w:rsidR="00915DF4" w:rsidRDefault="00915DF4" w:rsidP="00782AE4">
      <w:pPr>
        <w:jc w:val="both"/>
        <w:rPr>
          <w:sz w:val="20"/>
          <w:szCs w:val="20"/>
          <w:lang w:val="fr-CA"/>
        </w:rPr>
      </w:pPr>
    </w:p>
    <w:p w:rsidR="00915DF4" w:rsidRDefault="00915DF4">
      <w:pPr>
        <w:rPr>
          <w:sz w:val="20"/>
          <w:szCs w:val="20"/>
          <w:lang w:val="fr-CA"/>
        </w:rPr>
      </w:pPr>
      <w:r>
        <w:rPr>
          <w:sz w:val="20"/>
          <w:szCs w:val="20"/>
          <w:lang w:val="fr-CA"/>
        </w:rPr>
        <w:br w:type="page"/>
      </w:r>
    </w:p>
    <w:p w:rsidR="00E23F29" w:rsidRPr="009950FF" w:rsidRDefault="00E23F29" w:rsidP="00E23F29">
      <w:pPr>
        <w:widowControl w:val="0"/>
        <w:ind w:left="720" w:hanging="720"/>
        <w:jc w:val="both"/>
        <w:rPr>
          <w:sz w:val="20"/>
          <w:szCs w:val="20"/>
          <w:lang w:val="fr-CA"/>
        </w:rPr>
      </w:pPr>
      <w:r w:rsidRPr="009950FF">
        <w:rPr>
          <w:b/>
          <w:sz w:val="20"/>
          <w:szCs w:val="20"/>
          <w:lang w:val="fr-CA"/>
        </w:rPr>
        <w:lastRenderedPageBreak/>
        <w:t>35375</w:t>
      </w:r>
      <w:r w:rsidR="007359BF" w:rsidRPr="009950FF">
        <w:rPr>
          <w:sz w:val="20"/>
          <w:szCs w:val="20"/>
          <w:lang w:val="fr-CA"/>
        </w:rPr>
        <w:fldChar w:fldCharType="begin"/>
      </w:r>
      <w:r w:rsidRPr="009950FF">
        <w:rPr>
          <w:sz w:val="20"/>
          <w:szCs w:val="20"/>
          <w:lang w:val="fr-CA"/>
        </w:rPr>
        <w:instrText xml:space="preserve"> SEQ CHAPTER \h \r 1</w:instrText>
      </w:r>
      <w:r w:rsidR="007359BF" w:rsidRPr="009950FF">
        <w:rPr>
          <w:sz w:val="20"/>
          <w:szCs w:val="20"/>
        </w:rPr>
        <w:fldChar w:fldCharType="end"/>
      </w:r>
      <w:r w:rsidRPr="009950FF">
        <w:rPr>
          <w:sz w:val="20"/>
          <w:szCs w:val="20"/>
          <w:lang w:val="fr-CA"/>
        </w:rPr>
        <w:tab/>
      </w:r>
      <w:r w:rsidRPr="009950FF">
        <w:rPr>
          <w:b/>
          <w:i/>
          <w:sz w:val="20"/>
          <w:szCs w:val="20"/>
          <w:lang w:val="fr-CA"/>
        </w:rPr>
        <w:t>Commission des normes du travail c. Asphalte Desjardins Inc.</w:t>
      </w:r>
    </w:p>
    <w:p w:rsidR="00E23F29" w:rsidRPr="009950FF" w:rsidRDefault="00E23F29" w:rsidP="00E23F29">
      <w:pPr>
        <w:widowControl w:val="0"/>
        <w:ind w:left="2160" w:hanging="2160"/>
        <w:jc w:val="both"/>
        <w:rPr>
          <w:sz w:val="20"/>
          <w:szCs w:val="20"/>
          <w:lang w:val="fr-CA"/>
        </w:rPr>
      </w:pPr>
    </w:p>
    <w:p w:rsidR="00E23F29" w:rsidRPr="009950FF" w:rsidRDefault="00E23F29" w:rsidP="00E23F29">
      <w:pPr>
        <w:jc w:val="both"/>
        <w:rPr>
          <w:sz w:val="20"/>
          <w:szCs w:val="20"/>
          <w:lang w:val="fr-CA"/>
        </w:rPr>
      </w:pPr>
      <w:r w:rsidRPr="009950FF">
        <w:rPr>
          <w:sz w:val="20"/>
          <w:szCs w:val="20"/>
          <w:lang w:val="fr-FR"/>
        </w:rPr>
        <w:t xml:space="preserve">Droit de l’emploi - Normes du travail - Délai de congé - Durant la période de délai de préavis donné par un salarié à son employeur conformément à l’art. 2091 du </w:t>
      </w:r>
      <w:r w:rsidRPr="009950FF">
        <w:rPr>
          <w:i/>
          <w:sz w:val="20"/>
          <w:szCs w:val="20"/>
          <w:lang w:val="fr-FR"/>
        </w:rPr>
        <w:t>Code civil du Québec</w:t>
      </w:r>
      <w:r w:rsidRPr="009950FF">
        <w:rPr>
          <w:sz w:val="20"/>
          <w:szCs w:val="20"/>
          <w:lang w:val="fr-FR"/>
        </w:rPr>
        <w:t xml:space="preserve">, L.Q. 1991, ch. 64, l’employeur peut-il résilier le contrat d’emploi sans verser au salarié de rémunération ni même l’indemnité compensatrice prévue à l’art. 83 de la </w:t>
      </w:r>
      <w:r w:rsidRPr="009950FF">
        <w:rPr>
          <w:i/>
          <w:sz w:val="20"/>
          <w:szCs w:val="20"/>
          <w:lang w:val="fr-FR"/>
        </w:rPr>
        <w:t>Loi sur les normes du travail</w:t>
      </w:r>
      <w:r w:rsidRPr="009950FF">
        <w:rPr>
          <w:sz w:val="20"/>
          <w:szCs w:val="20"/>
          <w:lang w:val="fr-FR"/>
        </w:rPr>
        <w:t>, L.R.Q., ch. </w:t>
      </w:r>
      <w:r w:rsidRPr="009950FF">
        <w:rPr>
          <w:sz w:val="20"/>
          <w:szCs w:val="20"/>
          <w:lang w:val="fr-CA"/>
        </w:rPr>
        <w:t>N-1.1?</w:t>
      </w:r>
    </w:p>
    <w:p w:rsidR="00E23F29" w:rsidRPr="009950FF" w:rsidRDefault="00E23F29" w:rsidP="00E23F29">
      <w:pPr>
        <w:widowControl w:val="0"/>
        <w:ind w:left="2160" w:hanging="2160"/>
        <w:jc w:val="both"/>
        <w:rPr>
          <w:sz w:val="20"/>
          <w:szCs w:val="20"/>
          <w:lang w:val="fr-CA"/>
        </w:rPr>
      </w:pPr>
    </w:p>
    <w:p w:rsidR="00E23F29" w:rsidRPr="009950FF" w:rsidRDefault="00E23F29" w:rsidP="00E23F29">
      <w:pPr>
        <w:jc w:val="both"/>
        <w:rPr>
          <w:sz w:val="20"/>
          <w:szCs w:val="20"/>
          <w:lang w:val="fr-FR"/>
        </w:rPr>
      </w:pPr>
      <w:r w:rsidRPr="009950FF">
        <w:rPr>
          <w:sz w:val="20"/>
          <w:szCs w:val="20"/>
          <w:lang w:val="fr-FR"/>
        </w:rPr>
        <w:t>De 1994 à 2008, M. Guay travaille pour l’intimée Asphalte Desjardins Inc., laquelle tire ses revenus à plus de 80% de contrats de pavage de routes.  Cette période est entrecoupée de moments où M. Guay travaille pour d’autres employeurs.  Au début, il agit comme arpenteur et devient ensuite directeur de projets.  Dans le cadre de ses fonctions, il doit superviser les travaux, gérer les soumissions, la facturation et la réalisation comme telle des travaux.  Il a ainsi accès à des données qui ne doivent pas se retrouver entre les mains des compagnies concurrentes telles que les prix fournis lors des soumissions ainsi que les coûts de réalisation.</w:t>
      </w:r>
    </w:p>
    <w:p w:rsidR="00E23F29" w:rsidRPr="009950FF" w:rsidRDefault="00E23F29" w:rsidP="00E23F29">
      <w:pPr>
        <w:jc w:val="both"/>
        <w:rPr>
          <w:sz w:val="20"/>
          <w:szCs w:val="20"/>
          <w:lang w:val="fr-FR"/>
        </w:rPr>
      </w:pPr>
    </w:p>
    <w:p w:rsidR="00E23F29" w:rsidRPr="009950FF" w:rsidRDefault="00E23F29" w:rsidP="00E23F29">
      <w:pPr>
        <w:jc w:val="both"/>
        <w:rPr>
          <w:sz w:val="20"/>
          <w:szCs w:val="20"/>
          <w:lang w:val="fr-FR"/>
        </w:rPr>
      </w:pPr>
      <w:r w:rsidRPr="009950FF">
        <w:rPr>
          <w:sz w:val="20"/>
          <w:szCs w:val="20"/>
          <w:lang w:val="fr-FR"/>
        </w:rPr>
        <w:t>Le vendredi 15 février 2008, M. Guay remet une lettre au contrôleur d’Asphalte Desjardins dans laquelle il fait part de son intention de démissionner et de quitter définitivement son emploi le 7 mars suivant.  Il lui indique qu’il quitte pour un compétiteur qui lui offrait de meilleures conditions salariales.  Il lui mentionne que le délai de trois semaines entre la remise de sa lettre et la date effective de son départ servira à finaliser des dossiers de même qu’à dresser l’historique de certains travaux en cours dans plus de 50 dossiers, ce qui facilitera le travail de son successeur.  Le 18 février, des dirigeants d’Asphalte Desjardins tentent de convaincre M. Guay de rester, mais ils ne peuvent combler les demandes de celui-ci.  Dans ces circonstances, l’employeur décide de mettre fin au contrat de travail dès le lendemain, soit le 19 février, plutôt que d’attendre le 7 mars.</w:t>
      </w:r>
    </w:p>
    <w:p w:rsidR="00E23F29" w:rsidRPr="009950FF" w:rsidRDefault="00E23F29" w:rsidP="00E23F29">
      <w:pPr>
        <w:jc w:val="both"/>
        <w:rPr>
          <w:sz w:val="20"/>
          <w:szCs w:val="20"/>
          <w:lang w:val="fr-FR"/>
        </w:rPr>
      </w:pPr>
    </w:p>
    <w:p w:rsidR="00E23F29" w:rsidRPr="009950FF" w:rsidRDefault="00E23F29" w:rsidP="00E23F29">
      <w:pPr>
        <w:jc w:val="both"/>
        <w:rPr>
          <w:sz w:val="20"/>
          <w:szCs w:val="20"/>
          <w:lang w:val="fr-CA"/>
        </w:rPr>
      </w:pPr>
      <w:r w:rsidRPr="009950FF">
        <w:rPr>
          <w:sz w:val="20"/>
          <w:szCs w:val="20"/>
          <w:lang w:val="fr-FR"/>
        </w:rPr>
        <w:t xml:space="preserve">La Commission des normes du travail, qui peut intenter en son propre nom et pour le compte d’un salarié une poursuite visant à recouvrer des sommes dues par l’employeur en vertu de la </w:t>
      </w:r>
      <w:r w:rsidRPr="009950FF">
        <w:rPr>
          <w:i/>
          <w:sz w:val="20"/>
          <w:szCs w:val="20"/>
          <w:lang w:val="fr-FR"/>
        </w:rPr>
        <w:t>Loi sur les normes du travail</w:t>
      </w:r>
      <w:r w:rsidRPr="009950FF">
        <w:rPr>
          <w:sz w:val="20"/>
          <w:szCs w:val="20"/>
          <w:lang w:val="fr-FR"/>
        </w:rPr>
        <w:t xml:space="preserve">, réclame d’Asphalte Desjardins : (1) une indemnité de préavis de 6 149,99$; (2) un congé annuel totalisant 369$; et (3) une indemnité de 20% équivalant à 1 303,80$ réclamée en vertu de l’art. 114 de la loi.  Bien qu’à son avis M. Guay avait le droit de réclamer quatre semaines de préavis en vertu de l’art. 82 de ladite loi compte tenu de ses années de service, la Commission ne réclame que trois semaines, correspondant à la période comprise entre la manifestation du désir de démissionner du salarié et sa prise d’effet, moins les jours qui ont été payés.  </w:t>
      </w:r>
      <w:r w:rsidRPr="009950FF">
        <w:rPr>
          <w:sz w:val="20"/>
          <w:szCs w:val="20"/>
          <w:lang w:val="fr-CA"/>
        </w:rPr>
        <w:t>Elle réclame le congé annuel dans la même proportion.</w:t>
      </w:r>
    </w:p>
    <w:p w:rsidR="00E23F29" w:rsidRPr="009950FF" w:rsidRDefault="00E23F29" w:rsidP="00E23F29">
      <w:pPr>
        <w:widowControl w:val="0"/>
        <w:jc w:val="both"/>
        <w:rPr>
          <w:sz w:val="20"/>
          <w:szCs w:val="20"/>
          <w:lang w:val="fr-CA"/>
        </w:rPr>
      </w:pPr>
    </w:p>
    <w:p w:rsidR="00E23F29" w:rsidRPr="009950FF" w:rsidRDefault="00E23F29" w:rsidP="00E23F29">
      <w:pPr>
        <w:widowControl w:val="0"/>
        <w:jc w:val="both"/>
        <w:rPr>
          <w:sz w:val="20"/>
          <w:szCs w:val="20"/>
          <w:lang w:val="fr-CA"/>
        </w:rPr>
      </w:pPr>
    </w:p>
    <w:p w:rsidR="00E23F29" w:rsidRPr="009950FF" w:rsidRDefault="00E23F29" w:rsidP="00E23F29">
      <w:pPr>
        <w:widowControl w:val="0"/>
        <w:ind w:left="2880" w:hanging="2880"/>
        <w:jc w:val="both"/>
        <w:rPr>
          <w:sz w:val="20"/>
          <w:szCs w:val="20"/>
          <w:lang w:val="fr-CA"/>
        </w:rPr>
      </w:pPr>
      <w:r w:rsidRPr="009950FF">
        <w:rPr>
          <w:sz w:val="20"/>
          <w:szCs w:val="20"/>
          <w:lang w:val="fr-CA"/>
        </w:rPr>
        <w:t>Origine:</w:t>
      </w:r>
      <w:r w:rsidRPr="009950FF">
        <w:rPr>
          <w:sz w:val="20"/>
          <w:szCs w:val="20"/>
          <w:lang w:val="fr-CA"/>
        </w:rPr>
        <w:tab/>
        <w:t>Québec</w:t>
      </w:r>
    </w:p>
    <w:p w:rsidR="00E23F29" w:rsidRPr="009950FF" w:rsidRDefault="00E23F29" w:rsidP="00E23F29">
      <w:pPr>
        <w:widowControl w:val="0"/>
        <w:ind w:left="2880" w:hanging="2880"/>
        <w:jc w:val="both"/>
        <w:rPr>
          <w:sz w:val="20"/>
          <w:szCs w:val="20"/>
          <w:lang w:val="fr-CA"/>
        </w:rPr>
      </w:pPr>
    </w:p>
    <w:p w:rsidR="00E23F29" w:rsidRPr="009950FF" w:rsidRDefault="00E23F29" w:rsidP="00E23F29">
      <w:pPr>
        <w:widowControl w:val="0"/>
        <w:ind w:left="2880" w:hanging="2880"/>
        <w:jc w:val="both"/>
        <w:rPr>
          <w:sz w:val="20"/>
          <w:szCs w:val="20"/>
          <w:lang w:val="fr-CA"/>
        </w:rPr>
      </w:pPr>
      <w:r w:rsidRPr="009950FF">
        <w:rPr>
          <w:sz w:val="20"/>
          <w:szCs w:val="20"/>
          <w:lang w:val="fr-CA"/>
        </w:rPr>
        <w:t>N</w:t>
      </w:r>
      <w:r w:rsidRPr="009950FF">
        <w:rPr>
          <w:sz w:val="20"/>
          <w:szCs w:val="20"/>
          <w:vertAlign w:val="superscript"/>
          <w:lang w:val="fr-CA"/>
        </w:rPr>
        <w:t>o</w:t>
      </w:r>
      <w:r w:rsidRPr="009950FF">
        <w:rPr>
          <w:sz w:val="20"/>
          <w:szCs w:val="20"/>
          <w:lang w:val="fr-CA"/>
        </w:rPr>
        <w:t xml:space="preserve"> du greffe:</w:t>
      </w:r>
      <w:r w:rsidRPr="009950FF">
        <w:rPr>
          <w:sz w:val="20"/>
          <w:szCs w:val="20"/>
          <w:lang w:val="fr-CA"/>
        </w:rPr>
        <w:tab/>
        <w:t>35375</w:t>
      </w:r>
    </w:p>
    <w:p w:rsidR="00E23F29" w:rsidRPr="009950FF" w:rsidRDefault="00E23F29" w:rsidP="00E23F29">
      <w:pPr>
        <w:widowControl w:val="0"/>
        <w:ind w:left="2880" w:hanging="2880"/>
        <w:jc w:val="both"/>
        <w:rPr>
          <w:sz w:val="20"/>
          <w:szCs w:val="20"/>
          <w:lang w:val="fr-CA"/>
        </w:rPr>
      </w:pPr>
    </w:p>
    <w:p w:rsidR="00E23F29" w:rsidRPr="009950FF" w:rsidRDefault="00E23F29" w:rsidP="00E23F29">
      <w:pPr>
        <w:widowControl w:val="0"/>
        <w:ind w:left="2880" w:hanging="2880"/>
        <w:jc w:val="both"/>
        <w:rPr>
          <w:sz w:val="20"/>
          <w:szCs w:val="20"/>
          <w:lang w:val="fr-CA"/>
        </w:rPr>
      </w:pPr>
      <w:r w:rsidRPr="009950FF">
        <w:rPr>
          <w:sz w:val="20"/>
          <w:szCs w:val="20"/>
          <w:lang w:val="fr-CA"/>
        </w:rPr>
        <w:t>Arrêt de la Cour d’appel:</w:t>
      </w:r>
      <w:r w:rsidRPr="009950FF">
        <w:rPr>
          <w:sz w:val="20"/>
          <w:szCs w:val="20"/>
          <w:lang w:val="fr-CA"/>
        </w:rPr>
        <w:tab/>
        <w:t>19 mars 2013</w:t>
      </w:r>
    </w:p>
    <w:p w:rsidR="00E23F29" w:rsidRPr="009950FF" w:rsidRDefault="00E23F29" w:rsidP="00E23F29">
      <w:pPr>
        <w:widowControl w:val="0"/>
        <w:ind w:left="2880" w:hanging="2880"/>
        <w:jc w:val="both"/>
        <w:rPr>
          <w:sz w:val="20"/>
          <w:szCs w:val="20"/>
          <w:lang w:val="fr-CA"/>
        </w:rPr>
      </w:pPr>
    </w:p>
    <w:p w:rsidR="00E23F29" w:rsidRPr="009950FF" w:rsidRDefault="00E23F29" w:rsidP="00E23F29">
      <w:pPr>
        <w:widowControl w:val="0"/>
        <w:ind w:left="2880" w:hanging="2880"/>
        <w:jc w:val="both"/>
        <w:rPr>
          <w:sz w:val="20"/>
          <w:szCs w:val="20"/>
          <w:lang w:val="fr-CA"/>
        </w:rPr>
      </w:pPr>
      <w:r w:rsidRPr="009950FF">
        <w:rPr>
          <w:sz w:val="20"/>
          <w:szCs w:val="20"/>
          <w:lang w:val="fr-CA"/>
        </w:rPr>
        <w:t>Avocats:</w:t>
      </w:r>
      <w:r w:rsidRPr="009950FF">
        <w:rPr>
          <w:sz w:val="20"/>
          <w:szCs w:val="20"/>
          <w:lang w:val="fr-CA"/>
        </w:rPr>
        <w:tab/>
        <w:t>Robert L. Rivest et Jessica Laforest pour l’appelante</w:t>
      </w:r>
    </w:p>
    <w:p w:rsidR="00E23F29" w:rsidRPr="009950FF" w:rsidRDefault="00E23F29" w:rsidP="00E23F29">
      <w:pPr>
        <w:widowControl w:val="0"/>
        <w:ind w:left="2880" w:hanging="2880"/>
        <w:jc w:val="both"/>
        <w:rPr>
          <w:sz w:val="20"/>
          <w:szCs w:val="20"/>
          <w:lang w:val="fr-CA"/>
        </w:rPr>
      </w:pPr>
      <w:r w:rsidRPr="009950FF">
        <w:rPr>
          <w:sz w:val="20"/>
          <w:szCs w:val="20"/>
          <w:lang w:val="fr-CA"/>
        </w:rPr>
        <w:tab/>
        <w:t>Claude J. Denis pour l’intimée</w:t>
      </w:r>
    </w:p>
    <w:p w:rsidR="00915DF4" w:rsidRDefault="00915DF4" w:rsidP="00782AE4">
      <w:pPr>
        <w:jc w:val="both"/>
        <w:rPr>
          <w:sz w:val="20"/>
          <w:szCs w:val="20"/>
          <w:lang w:val="fr-CA"/>
        </w:rPr>
      </w:pPr>
    </w:p>
    <w:p w:rsidR="00915DF4" w:rsidRDefault="000C68D7" w:rsidP="00782AE4">
      <w:pPr>
        <w:jc w:val="both"/>
        <w:rPr>
          <w:sz w:val="20"/>
          <w:szCs w:val="20"/>
          <w:lang w:val="fr-CA"/>
        </w:rPr>
      </w:pPr>
      <w:r>
        <w:rPr>
          <w:sz w:val="20"/>
          <w:szCs w:val="20"/>
          <w:lang w:val="fr-CA"/>
        </w:rPr>
        <w:pict>
          <v:rect id="_x0000_i1091" style="width:2in;height:1pt" o:hrpct="0" o:hralign="center" o:hrstd="t" o:hrnoshade="t" o:hr="t" fillcolor="black [3213]" stroked="f"/>
        </w:pict>
      </w:r>
    </w:p>
    <w:p w:rsidR="00915DF4" w:rsidRDefault="00915DF4" w:rsidP="00782AE4">
      <w:pPr>
        <w:jc w:val="both"/>
        <w:rPr>
          <w:sz w:val="20"/>
          <w:szCs w:val="20"/>
          <w:lang w:val="fr-CA"/>
        </w:rPr>
      </w:pPr>
    </w:p>
    <w:p w:rsidR="0055561A" w:rsidRPr="00C50A5C" w:rsidRDefault="0055561A"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p w:rsidR="0081610A" w:rsidRPr="002E0C7E" w:rsidRDefault="007359BF"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581489">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81489">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81489">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DECEMBER - DÉCEMBRE</w:t>
            </w:r>
          </w:p>
        </w:tc>
      </w:tr>
      <w:tr w:rsidR="0081610A" w:rsidRPr="002E0C7E" w:rsidTr="0058148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S</w:t>
            </w:r>
          </w:p>
        </w:tc>
      </w:tr>
      <w:tr w:rsidR="0081610A" w:rsidRPr="002E0C7E" w:rsidTr="0058148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581489">
            <w:pPr>
              <w:widowControl w:val="0"/>
              <w:jc w:val="center"/>
              <w:rPr>
                <w:rFonts w:ascii="Arial" w:hAnsi="Arial"/>
                <w:b/>
                <w:sz w:val="14"/>
              </w:rPr>
            </w:pPr>
            <w:r>
              <w:rPr>
                <w:rFonts w:ascii="Arial" w:hAnsi="Arial"/>
                <w:b/>
                <w:sz w:val="14"/>
              </w:rPr>
              <w:t>M</w:t>
            </w:r>
          </w:p>
          <w:p w:rsidR="0081610A" w:rsidRPr="002E0C7E" w:rsidRDefault="0081610A" w:rsidP="00581489">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7</w:t>
            </w:r>
          </w:p>
        </w:tc>
      </w:tr>
      <w:tr w:rsidR="0081610A" w:rsidRPr="002E0C7E" w:rsidTr="00581489">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581489">
            <w:pPr>
              <w:widowControl w:val="0"/>
              <w:jc w:val="center"/>
              <w:rPr>
                <w:rFonts w:ascii="Arial" w:hAnsi="Arial"/>
                <w:b/>
                <w:sz w:val="14"/>
              </w:rPr>
            </w:pPr>
            <w:r>
              <w:rPr>
                <w:rFonts w:ascii="Arial" w:hAnsi="Arial"/>
                <w:b/>
                <w:sz w:val="14"/>
              </w:rPr>
              <w:t>M</w:t>
            </w:r>
          </w:p>
          <w:p w:rsidR="0081610A" w:rsidRPr="002E0C7E" w:rsidRDefault="0081610A" w:rsidP="00581489">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581489">
            <w:pPr>
              <w:widowControl w:val="0"/>
              <w:jc w:val="center"/>
              <w:rPr>
                <w:rFonts w:ascii="Arial" w:hAnsi="Arial"/>
                <w:b/>
                <w:sz w:val="14"/>
              </w:rPr>
            </w:pPr>
          </w:p>
          <w:p w:rsidR="0081610A" w:rsidRPr="002E0C7E" w:rsidRDefault="0081610A" w:rsidP="0058148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M</w:t>
            </w:r>
          </w:p>
          <w:p w:rsidR="0081610A" w:rsidRPr="002E0C7E" w:rsidRDefault="0081610A" w:rsidP="00581489">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14</w:t>
            </w:r>
          </w:p>
        </w:tc>
      </w:tr>
      <w:tr w:rsidR="0081610A" w:rsidRPr="002E0C7E" w:rsidTr="00581489">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581489">
            <w:pPr>
              <w:widowControl w:val="0"/>
              <w:jc w:val="center"/>
              <w:rPr>
                <w:rFonts w:ascii="Arial" w:hAnsi="Arial"/>
                <w:b/>
                <w:sz w:val="14"/>
              </w:rPr>
            </w:pPr>
            <w:r>
              <w:rPr>
                <w:rFonts w:ascii="Arial" w:hAnsi="Arial"/>
                <w:b/>
                <w:sz w:val="14"/>
              </w:rPr>
              <w:t>H</w:t>
            </w: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581489">
            <w:pPr>
              <w:widowControl w:val="0"/>
              <w:jc w:val="center"/>
              <w:rPr>
                <w:rFonts w:ascii="Arial" w:hAnsi="Arial"/>
                <w:sz w:val="14"/>
              </w:rPr>
            </w:pPr>
            <w:r>
              <w:rPr>
                <w:rFonts w:ascii="Arial" w:hAnsi="Arial"/>
                <w:b/>
                <w:sz w:val="14"/>
              </w:rPr>
              <w:t>H</w:t>
            </w: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58148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81489">
            <w:pPr>
              <w:widowControl w:val="0"/>
              <w:jc w:val="center"/>
              <w:rPr>
                <w:rFonts w:ascii="Arial" w:hAnsi="Arial"/>
                <w:b/>
                <w:sz w:val="14"/>
              </w:rPr>
            </w:pPr>
            <w:r>
              <w:rPr>
                <w:rFonts w:ascii="Arial" w:hAnsi="Arial"/>
                <w:b/>
                <w:sz w:val="14"/>
              </w:rPr>
              <w:t>H</w:t>
            </w:r>
          </w:p>
          <w:p w:rsidR="0081610A" w:rsidRPr="002E0C7E" w:rsidRDefault="0081610A" w:rsidP="00581489">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81489">
            <w:pPr>
              <w:widowControl w:val="0"/>
              <w:jc w:val="center"/>
              <w:rPr>
                <w:rFonts w:ascii="Arial" w:hAnsi="Arial"/>
                <w:b/>
                <w:sz w:val="14"/>
              </w:rPr>
            </w:pPr>
            <w:r>
              <w:rPr>
                <w:rFonts w:ascii="Arial" w:hAnsi="Arial"/>
                <w:b/>
                <w:sz w:val="14"/>
              </w:rPr>
              <w:t>H</w:t>
            </w:r>
          </w:p>
          <w:p w:rsidR="0081610A" w:rsidRPr="002E0C7E" w:rsidRDefault="0081610A" w:rsidP="00581489">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581489">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581489">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81489">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81489">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MARCH - MARS</w:t>
            </w:r>
          </w:p>
        </w:tc>
      </w:tr>
      <w:tr w:rsidR="0081610A" w:rsidRPr="002E0C7E" w:rsidTr="00581489">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S</w:t>
            </w:r>
          </w:p>
        </w:tc>
      </w:tr>
      <w:tr w:rsidR="0081610A" w:rsidRPr="002E0C7E" w:rsidTr="0058148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581489">
            <w:pPr>
              <w:widowControl w:val="0"/>
              <w:jc w:val="center"/>
              <w:rPr>
                <w:rFonts w:ascii="Arial" w:hAnsi="Arial"/>
                <w:b/>
                <w:sz w:val="14"/>
              </w:rPr>
            </w:pPr>
          </w:p>
          <w:p w:rsidR="0081610A" w:rsidRPr="002E0C7E" w:rsidRDefault="0081610A" w:rsidP="00581489">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81489">
            <w:pPr>
              <w:widowControl w:val="0"/>
              <w:jc w:val="center"/>
              <w:rPr>
                <w:rFonts w:ascii="Arial" w:hAnsi="Arial"/>
                <w:b/>
                <w:sz w:val="14"/>
              </w:rPr>
            </w:pPr>
            <w:r>
              <w:rPr>
                <w:rFonts w:ascii="Arial" w:hAnsi="Arial"/>
                <w:b/>
                <w:sz w:val="14"/>
              </w:rPr>
              <w:t>H</w:t>
            </w:r>
          </w:p>
          <w:p w:rsidR="0081610A" w:rsidRPr="002E0C7E" w:rsidRDefault="0081610A" w:rsidP="00581489">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w:t>
            </w:r>
          </w:p>
        </w:tc>
      </w:tr>
      <w:tr w:rsidR="0081610A" w:rsidRPr="002E0C7E" w:rsidTr="0058148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8</w:t>
            </w:r>
          </w:p>
        </w:tc>
      </w:tr>
      <w:tr w:rsidR="0081610A" w:rsidRPr="002E0C7E" w:rsidTr="0058148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581489">
            <w:pPr>
              <w:widowControl w:val="0"/>
              <w:jc w:val="center"/>
              <w:rPr>
                <w:rFonts w:ascii="Arial" w:hAnsi="Arial"/>
                <w:b/>
                <w:sz w:val="14"/>
              </w:rPr>
            </w:pPr>
            <w:r>
              <w:rPr>
                <w:rFonts w:ascii="Arial" w:hAnsi="Arial"/>
                <w:b/>
                <w:sz w:val="14"/>
              </w:rPr>
              <w:t>M</w:t>
            </w: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581489">
            <w:pPr>
              <w:widowControl w:val="0"/>
              <w:jc w:val="center"/>
              <w:rPr>
                <w:rFonts w:ascii="Arial" w:hAnsi="Arial"/>
                <w:b/>
                <w:sz w:val="14"/>
              </w:rPr>
            </w:pPr>
            <w:r>
              <w:rPr>
                <w:rFonts w:ascii="Arial" w:hAnsi="Arial"/>
                <w:b/>
                <w:sz w:val="14"/>
              </w:rPr>
              <w:t>M</w:t>
            </w: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58148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581489">
            <w:pPr>
              <w:widowControl w:val="0"/>
              <w:jc w:val="center"/>
              <w:rPr>
                <w:rFonts w:ascii="Arial" w:hAnsi="Arial"/>
                <w:b/>
                <w:sz w:val="14"/>
              </w:rPr>
            </w:pPr>
            <w:r>
              <w:rPr>
                <w:rFonts w:ascii="Arial" w:hAnsi="Arial"/>
                <w:b/>
                <w:sz w:val="14"/>
              </w:rPr>
              <w:t>M</w:t>
            </w: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581489">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Pr>
                <w:rFonts w:ascii="Arial" w:hAnsi="Arial"/>
                <w:sz w:val="14"/>
              </w:rPr>
              <w:t>23</w:t>
            </w:r>
          </w:p>
          <w:p w:rsidR="0081610A" w:rsidRPr="002E0C7E" w:rsidRDefault="0081610A" w:rsidP="00581489">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r>
              <w:rPr>
                <w:rFonts w:ascii="Arial" w:hAnsi="Arial"/>
                <w:sz w:val="14"/>
              </w:rPr>
              <w:t>24</w:t>
            </w:r>
          </w:p>
          <w:p w:rsidR="0081610A" w:rsidRPr="002E0C7E" w:rsidRDefault="0081610A" w:rsidP="00581489">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581489">
            <w:pPr>
              <w:widowControl w:val="0"/>
              <w:jc w:val="center"/>
              <w:rPr>
                <w:rFonts w:ascii="Arial" w:hAnsi="Arial"/>
                <w:b/>
                <w:sz w:val="14"/>
              </w:rPr>
            </w:pPr>
          </w:p>
          <w:p w:rsidR="0081610A" w:rsidRPr="002E0C7E" w:rsidRDefault="0081610A" w:rsidP="0058148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581489">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81489">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81489">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81489">
            <w:pPr>
              <w:widowControl w:val="0"/>
              <w:jc w:val="center"/>
              <w:rPr>
                <w:rFonts w:ascii="Arial" w:hAnsi="Arial"/>
                <w:sz w:val="14"/>
              </w:rPr>
            </w:pPr>
            <w:r w:rsidRPr="002E0C7E">
              <w:rPr>
                <w:rFonts w:ascii="Arial" w:hAnsi="Arial"/>
                <w:b/>
                <w:sz w:val="14"/>
              </w:rPr>
              <w:t>JUNE - JUIN</w:t>
            </w:r>
          </w:p>
        </w:tc>
      </w:tr>
      <w:tr w:rsidR="0081610A" w:rsidRPr="002E0C7E" w:rsidTr="00581489">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S</w:t>
            </w:r>
          </w:p>
          <w:p w:rsidR="0081610A" w:rsidRPr="002E0C7E" w:rsidRDefault="0081610A" w:rsidP="0058148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M</w:t>
            </w:r>
          </w:p>
          <w:p w:rsidR="0081610A" w:rsidRPr="002E0C7E" w:rsidRDefault="0081610A" w:rsidP="0058148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W</w:t>
            </w:r>
          </w:p>
          <w:p w:rsidR="0081610A" w:rsidRPr="002E0C7E" w:rsidRDefault="0081610A" w:rsidP="0058148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T</w:t>
            </w:r>
          </w:p>
          <w:p w:rsidR="0081610A" w:rsidRPr="002E0C7E" w:rsidRDefault="0081610A" w:rsidP="0058148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sidRPr="002E0C7E">
              <w:rPr>
                <w:rFonts w:ascii="Arial" w:hAnsi="Arial"/>
                <w:sz w:val="14"/>
              </w:rPr>
              <w:t>F</w:t>
            </w:r>
          </w:p>
          <w:p w:rsidR="0081610A" w:rsidRPr="002E0C7E" w:rsidRDefault="0081610A" w:rsidP="00581489">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r>
              <w:rPr>
                <w:rFonts w:ascii="Arial" w:hAnsi="Arial"/>
                <w:sz w:val="14"/>
              </w:rPr>
              <w:t>S</w:t>
            </w:r>
          </w:p>
          <w:p w:rsidR="0081610A" w:rsidRPr="002E0C7E" w:rsidRDefault="0081610A" w:rsidP="00581489">
            <w:pPr>
              <w:widowControl w:val="0"/>
              <w:jc w:val="center"/>
              <w:rPr>
                <w:rFonts w:ascii="Arial" w:hAnsi="Arial"/>
                <w:sz w:val="14"/>
              </w:rPr>
            </w:pPr>
            <w:r>
              <w:rPr>
                <w:rFonts w:ascii="Arial" w:hAnsi="Arial"/>
                <w:sz w:val="14"/>
              </w:rPr>
              <w:t>S</w:t>
            </w:r>
          </w:p>
        </w:tc>
      </w:tr>
      <w:tr w:rsidR="0081610A" w:rsidRPr="002E0C7E" w:rsidTr="00581489">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b/>
                <w:sz w:val="14"/>
              </w:rPr>
            </w:pPr>
          </w:p>
          <w:p w:rsidR="0081610A" w:rsidRPr="002E0C7E" w:rsidRDefault="0081610A" w:rsidP="0058148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7</w:t>
            </w:r>
          </w:p>
        </w:tc>
      </w:tr>
      <w:tr w:rsidR="0081610A" w:rsidRPr="002E0C7E" w:rsidTr="0058148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581489">
            <w:pPr>
              <w:widowControl w:val="0"/>
              <w:jc w:val="center"/>
              <w:rPr>
                <w:rFonts w:ascii="Arial" w:hAnsi="Arial"/>
                <w:b/>
                <w:sz w:val="14"/>
              </w:rPr>
            </w:pPr>
          </w:p>
          <w:p w:rsidR="0081610A" w:rsidRPr="002E0C7E" w:rsidRDefault="0081610A" w:rsidP="0058148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14</w:t>
            </w:r>
          </w:p>
        </w:tc>
      </w:tr>
      <w:tr w:rsidR="0081610A" w:rsidRPr="002E0C7E" w:rsidTr="0058148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581489">
            <w:pPr>
              <w:widowControl w:val="0"/>
              <w:jc w:val="center"/>
              <w:rPr>
                <w:rFonts w:ascii="Arial" w:hAnsi="Arial"/>
                <w:b/>
                <w:sz w:val="14"/>
              </w:rPr>
            </w:pPr>
            <w:r w:rsidRPr="00DB5777">
              <w:rPr>
                <w:rFonts w:ascii="Arial" w:hAnsi="Arial"/>
                <w:b/>
                <w:sz w:val="14"/>
              </w:rPr>
              <w:t>M</w:t>
            </w: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581489">
            <w:pPr>
              <w:widowControl w:val="0"/>
              <w:jc w:val="center"/>
              <w:rPr>
                <w:rFonts w:ascii="Arial" w:hAnsi="Arial"/>
                <w:b/>
                <w:sz w:val="14"/>
              </w:rPr>
            </w:pPr>
            <w:r>
              <w:rPr>
                <w:rFonts w:ascii="Arial" w:hAnsi="Arial"/>
                <w:b/>
                <w:sz w:val="14"/>
              </w:rPr>
              <w:t>H</w:t>
            </w:r>
          </w:p>
          <w:p w:rsidR="0081610A" w:rsidRPr="002E0C7E" w:rsidRDefault="0081610A" w:rsidP="00581489">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581489">
            <w:pPr>
              <w:widowControl w:val="0"/>
              <w:jc w:val="center"/>
              <w:rPr>
                <w:rFonts w:ascii="Arial" w:hAnsi="Arial"/>
                <w:b/>
                <w:sz w:val="14"/>
              </w:rPr>
            </w:pPr>
            <w:r w:rsidRPr="002453E3">
              <w:rPr>
                <w:rFonts w:ascii="Arial" w:hAnsi="Arial"/>
                <w:b/>
                <w:sz w:val="14"/>
              </w:rPr>
              <w:t>M</w:t>
            </w: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581489">
            <w:pPr>
              <w:widowControl w:val="0"/>
              <w:jc w:val="center"/>
              <w:rPr>
                <w:rFonts w:ascii="Arial" w:hAnsi="Arial"/>
                <w:b/>
                <w:sz w:val="14"/>
              </w:rPr>
            </w:pPr>
            <w:r w:rsidRPr="006A1E8D">
              <w:rPr>
                <w:rFonts w:ascii="Arial" w:hAnsi="Arial"/>
                <w:b/>
                <w:sz w:val="14"/>
              </w:rPr>
              <w:t>M</w:t>
            </w: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58148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581489">
            <w:pPr>
              <w:widowControl w:val="0"/>
              <w:jc w:val="center"/>
              <w:rPr>
                <w:rFonts w:ascii="Arial" w:hAnsi="Arial"/>
                <w:b/>
                <w:sz w:val="14"/>
              </w:rPr>
            </w:pPr>
            <w:r w:rsidRPr="00CD57C3">
              <w:rPr>
                <w:rFonts w:ascii="Arial" w:hAnsi="Arial"/>
                <w:b/>
                <w:sz w:val="14"/>
              </w:rPr>
              <w:t>H</w:t>
            </w: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581489">
            <w:pPr>
              <w:widowControl w:val="0"/>
              <w:jc w:val="center"/>
              <w:rPr>
                <w:rFonts w:ascii="Arial" w:hAnsi="Arial"/>
                <w:b/>
                <w:sz w:val="14"/>
              </w:rPr>
            </w:pPr>
            <w:r>
              <w:rPr>
                <w:rFonts w:ascii="Arial" w:hAnsi="Arial"/>
                <w:b/>
                <w:sz w:val="14"/>
              </w:rPr>
              <w:t>H</w:t>
            </w:r>
          </w:p>
          <w:p w:rsidR="0081610A" w:rsidRPr="002E0C7E" w:rsidRDefault="0081610A" w:rsidP="00581489">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581489">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81489">
            <w:pPr>
              <w:widowControl w:val="0"/>
              <w:jc w:val="center"/>
              <w:rPr>
                <w:rFonts w:ascii="Arial" w:hAnsi="Arial"/>
                <w:sz w:val="14"/>
              </w:rPr>
            </w:pPr>
          </w:p>
          <w:p w:rsidR="0081610A" w:rsidRPr="002E0C7E" w:rsidRDefault="0081610A" w:rsidP="00581489">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581489">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581489">
            <w:pPr>
              <w:widowControl w:val="0"/>
              <w:rPr>
                <w:rFonts w:ascii="Arial" w:hAnsi="Arial"/>
                <w:sz w:val="16"/>
              </w:rPr>
            </w:pPr>
            <w:r w:rsidRPr="002E0C7E">
              <w:rPr>
                <w:rFonts w:ascii="Arial" w:hAnsi="Arial"/>
                <w:sz w:val="16"/>
              </w:rPr>
              <w:t>Sittings of the court:</w:t>
            </w:r>
          </w:p>
          <w:p w:rsidR="0081610A" w:rsidRPr="002E0C7E" w:rsidRDefault="0081610A" w:rsidP="00581489">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581489">
            <w:pPr>
              <w:widowControl w:val="0"/>
              <w:rPr>
                <w:rFonts w:ascii="Arial" w:hAnsi="Arial"/>
                <w:sz w:val="16"/>
              </w:rPr>
            </w:pPr>
          </w:p>
          <w:p w:rsidR="0081610A" w:rsidRPr="002E0C7E" w:rsidRDefault="0081610A" w:rsidP="00581489">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58148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58148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581489">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5814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6"/>
      <w:footerReference w:type="default" r:id="rId7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0A" w:rsidRDefault="00C5390A" w:rsidP="00A87207">
      <w:r>
        <w:separator/>
      </w:r>
    </w:p>
  </w:endnote>
  <w:endnote w:type="continuationSeparator" w:id="0">
    <w:p w:rsidR="00C5390A" w:rsidRDefault="00C5390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pPr>
      <w:pStyle w:val="Footer"/>
      <w:rPr>
        <w:lang w:val="fr-CA"/>
      </w:rPr>
    </w:pPr>
    <w:r>
      <w:rPr>
        <w:lang w:val="fr-CA"/>
      </w:rPr>
      <w:pict>
        <v:rect id="_x0000_i1054" style="width:480.95pt;height:1pt" o:hralign="center" o:hrstd="t" o:hrnoshade="t" o:hr="t" fillcolor="black [3213]" stroked="f"/>
      </w:pict>
    </w:r>
  </w:p>
  <w:p w:rsidR="00C5390A" w:rsidRDefault="00C5390A" w:rsidP="00245129">
    <w:pPr>
      <w:tabs>
        <w:tab w:val="center" w:pos="4680"/>
      </w:tabs>
    </w:pPr>
    <w:r>
      <w:tab/>
    </w:r>
    <w:r w:rsidRPr="0009648D">
      <w:t xml:space="preserve">- </w:t>
    </w:r>
    <w:r w:rsidR="000C68D7">
      <w:fldChar w:fldCharType="begin"/>
    </w:r>
    <w:r w:rsidR="000C68D7">
      <w:instrText xml:space="preserve"> PAGE   \* MERGEFORMAT </w:instrText>
    </w:r>
    <w:r w:rsidR="000C68D7">
      <w:fldChar w:fldCharType="separate"/>
    </w:r>
    <w:r w:rsidR="000C68D7">
      <w:rPr>
        <w:noProof/>
      </w:rPr>
      <w:t>384</w:t>
    </w:r>
    <w:r w:rsidR="000C68D7">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5390A" w:rsidRDefault="00C5390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755F22">
    <w:pPr>
      <w:tabs>
        <w:tab w:val="left" w:pos="-1440"/>
        <w:tab w:val="left" w:pos="-720"/>
      </w:tabs>
    </w:pPr>
    <w:r>
      <w:pict>
        <v:rect id="_x0000_i1058" style="width:480.95pt;height:1pt" o:hralign="center" o:hrstd="t" o:hrnoshade="t" o:hr="t" fillcolor="black [3213]" stroked="f"/>
      </w:pict>
    </w:r>
  </w:p>
  <w:p w:rsidR="00C5390A" w:rsidRDefault="00C5390A" w:rsidP="00EB2B90">
    <w:pPr>
      <w:tabs>
        <w:tab w:val="center" w:pos="4680"/>
      </w:tabs>
    </w:pPr>
    <w:r>
      <w:tab/>
      <w:t xml:space="preserve">- </w:t>
    </w:r>
    <w:r w:rsidR="000C68D7">
      <w:fldChar w:fldCharType="begin"/>
    </w:r>
    <w:r w:rsidR="000C68D7">
      <w:instrText xml:space="preserve"> PAGE   \* MERGEFORMAT </w:instrText>
    </w:r>
    <w:r w:rsidR="000C68D7">
      <w:fldChar w:fldCharType="separate"/>
    </w:r>
    <w:r w:rsidR="000C68D7">
      <w:rPr>
        <w:noProof/>
      </w:rPr>
      <w:t>394</w:t>
    </w:r>
    <w:r w:rsidR="000C68D7">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EB2B90">
    <w:pPr>
      <w:tabs>
        <w:tab w:val="center" w:pos="4680"/>
      </w:tabs>
    </w:pPr>
    <w:r>
      <w:pict>
        <v:rect id="_x0000_i1059" style="width:480.95pt;height:1pt" o:hralign="center" o:hrstd="t" o:hrnoshade="t" o:hr="t" fillcolor="black [3213]" stroked="f"/>
      </w:pict>
    </w:r>
  </w:p>
  <w:p w:rsidR="00C5390A" w:rsidRPr="0031432F" w:rsidRDefault="00C5390A" w:rsidP="00EB2B90">
    <w:pPr>
      <w:tabs>
        <w:tab w:val="center" w:pos="4680"/>
      </w:tabs>
    </w:pPr>
    <w:r>
      <w:tab/>
      <w:t xml:space="preserve">- </w:t>
    </w:r>
    <w:r w:rsidR="000C68D7">
      <w:fldChar w:fldCharType="begin"/>
    </w:r>
    <w:r w:rsidR="000C68D7">
      <w:instrText xml:space="preserve"> PAGE   \* MERGEFORMAT </w:instrText>
    </w:r>
    <w:r w:rsidR="000C68D7">
      <w:fldChar w:fldCharType="separate"/>
    </w:r>
    <w:r w:rsidR="000C68D7">
      <w:rPr>
        <w:noProof/>
      </w:rPr>
      <w:t>392</w:t>
    </w:r>
    <w:r w:rsidR="000C68D7">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5390A" w:rsidRDefault="00C5390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732DB7">
    <w:r>
      <w:pict>
        <v:rect id="_x0000_i1061" style="width:480.95pt;height:1pt" o:hralign="center" o:hrstd="t" o:hrnoshade="t" o:hr="t" fillcolor="black" stroked="f"/>
      </w:pict>
    </w:r>
  </w:p>
  <w:p w:rsidR="00C5390A" w:rsidRDefault="00C5390A">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pPr>
      <w:pStyle w:val="Footer"/>
    </w:pPr>
    <w:r>
      <w:pict>
        <v:rect id="_x0000_i1062" style="width:480.95pt;height:1pt" o:hralign="center" o:hrstd="t" o:hrnoshade="t" o:hr="t" fillcolor="black [3213]" stroked="f"/>
      </w:pict>
    </w:r>
  </w:p>
  <w:p w:rsidR="00C5390A" w:rsidRPr="003C2C0F" w:rsidRDefault="00C5390A" w:rsidP="00697C62">
    <w:pPr>
      <w:tabs>
        <w:tab w:val="center" w:pos="4680"/>
      </w:tabs>
    </w:pPr>
    <w:r>
      <w:tab/>
      <w:t xml:space="preserve">- </w:t>
    </w:r>
    <w:r w:rsidR="000C68D7">
      <w:fldChar w:fldCharType="begin"/>
    </w:r>
    <w:r w:rsidR="000C68D7">
      <w:instrText xml:space="preserve"> PAGE   \* MERGEFORMAT </w:instrText>
    </w:r>
    <w:r w:rsidR="000C68D7">
      <w:fldChar w:fldCharType="separate"/>
    </w:r>
    <w:r w:rsidR="000C68D7">
      <w:rPr>
        <w:noProof/>
      </w:rPr>
      <w:t>395</w:t>
    </w:r>
    <w:r w:rsidR="000C68D7">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5390A" w:rsidRDefault="00C5390A">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5390A" w:rsidRDefault="000C6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C5390A" w:rsidRDefault="00C5390A" w:rsidP="00782AE4">
    <w:pPr>
      <w:tabs>
        <w:tab w:val="center" w:pos="4680"/>
      </w:tabs>
    </w:pPr>
    <w:r>
      <w:tab/>
      <w:t xml:space="preserve">- </w:t>
    </w:r>
    <w:r w:rsidR="007359BF" w:rsidRPr="001775C1">
      <w:rPr>
        <w:szCs w:val="24"/>
      </w:rPr>
      <w:fldChar w:fldCharType="begin"/>
    </w:r>
    <w:r w:rsidRPr="001775C1">
      <w:rPr>
        <w:szCs w:val="24"/>
      </w:rPr>
      <w:instrText xml:space="preserve"> PAGE   \* MERGEFORMAT </w:instrText>
    </w:r>
    <w:r w:rsidR="007359BF" w:rsidRPr="001775C1">
      <w:rPr>
        <w:szCs w:val="24"/>
      </w:rPr>
      <w:fldChar w:fldCharType="separate"/>
    </w:r>
    <w:r w:rsidR="000C68D7">
      <w:rPr>
        <w:noProof/>
        <w:szCs w:val="24"/>
      </w:rPr>
      <w:t>401</w:t>
    </w:r>
    <w:r w:rsidR="007359BF"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782AE4">
    <w:pPr>
      <w:tabs>
        <w:tab w:val="center" w:pos="4680"/>
      </w:tabs>
    </w:pPr>
    <w:r>
      <w:pict>
        <v:rect id="_x0000_i1067" style="width:480.95pt;height:1pt" o:hralign="center" o:hrstd="t" o:hrnoshade="t" o:hr="t" fillcolor="black [3213]" stroked="f"/>
      </w:pict>
    </w:r>
  </w:p>
  <w:p w:rsidR="00C5390A" w:rsidRDefault="00C5390A" w:rsidP="00782AE4">
    <w:pPr>
      <w:tabs>
        <w:tab w:val="center" w:pos="4680"/>
      </w:tabs>
    </w:pPr>
    <w:r>
      <w:tab/>
      <w:t xml:space="preserve">- </w:t>
    </w:r>
    <w:r w:rsidR="007359BF" w:rsidRPr="001775C1">
      <w:rPr>
        <w:szCs w:val="24"/>
      </w:rPr>
      <w:fldChar w:fldCharType="begin"/>
    </w:r>
    <w:r w:rsidRPr="001775C1">
      <w:rPr>
        <w:szCs w:val="24"/>
      </w:rPr>
      <w:instrText xml:space="preserve"> PAGE   \* MERGEFORMAT </w:instrText>
    </w:r>
    <w:r w:rsidR="007359BF" w:rsidRPr="001775C1">
      <w:rPr>
        <w:szCs w:val="24"/>
      </w:rPr>
      <w:fldChar w:fldCharType="separate"/>
    </w:r>
    <w:r w:rsidR="000C68D7">
      <w:rPr>
        <w:noProof/>
        <w:szCs w:val="24"/>
      </w:rPr>
      <w:t>396</w:t>
    </w:r>
    <w:r w:rsidR="007359BF"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5390A" w:rsidRDefault="00C5390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5390A" w:rsidRDefault="00C5390A">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22323B">
    <w:r>
      <w:pict>
        <v:rect id="_x0000_i1070" style="width:480.95pt;height:1pt" o:hralign="center" o:hrstd="t" o:hrnoshade="t" o:hr="t" fillcolor="black [3213]" stroked="f"/>
      </w:pict>
    </w:r>
  </w:p>
  <w:p w:rsidR="00C5390A" w:rsidRDefault="00C5390A">
    <w:pPr>
      <w:tabs>
        <w:tab w:val="center" w:pos="4740"/>
      </w:tabs>
      <w:spacing w:line="0" w:lineRule="atLeast"/>
    </w:pPr>
    <w:r>
      <w:tab/>
      <w:t xml:space="preserve">- </w:t>
    </w:r>
    <w:r w:rsidR="000C68D7">
      <w:fldChar w:fldCharType="begin"/>
    </w:r>
    <w:r w:rsidR="000C68D7">
      <w:instrText xml:space="preserve"> PAGE   \* MERGEFORMAT </w:instrText>
    </w:r>
    <w:r w:rsidR="000C68D7">
      <w:fldChar w:fldCharType="separate"/>
    </w:r>
    <w:r>
      <w:rPr>
        <w:noProof/>
      </w:rPr>
      <w:t>534</w:t>
    </w:r>
    <w:r w:rsidR="000C68D7">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22323B">
    <w:r>
      <w:pict>
        <v:rect id="_x0000_i1071" style="width:480.95pt;height:1pt" o:hralign="center" o:hrstd="t" o:hrnoshade="t" o:hr="t" fillcolor="black [3213]" stroked="f"/>
      </w:pict>
    </w:r>
  </w:p>
  <w:p w:rsidR="00C5390A" w:rsidRDefault="00C5390A" w:rsidP="0022323B">
    <w:pPr>
      <w:tabs>
        <w:tab w:val="center" w:pos="4740"/>
      </w:tabs>
      <w:spacing w:line="0" w:lineRule="atLeast"/>
    </w:pPr>
    <w:r>
      <w:tab/>
      <w:t xml:space="preserve">- </w:t>
    </w:r>
    <w:r w:rsidR="000C68D7">
      <w:fldChar w:fldCharType="begin"/>
    </w:r>
    <w:r w:rsidR="000C68D7">
      <w:instrText xml:space="preserve"> PAGE   \* MERGEFORMAT </w:instrText>
    </w:r>
    <w:r w:rsidR="000C68D7">
      <w:fldChar w:fldCharType="separate"/>
    </w:r>
    <w:r w:rsidR="000C68D7">
      <w:rPr>
        <w:noProof/>
      </w:rPr>
      <w:t>402</w:t>
    </w:r>
    <w:r w:rsidR="000C68D7">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22323B">
    <w:r>
      <w:pict>
        <v:rect id="_x0000_i1092" style="width:480.95pt;height:1pt" o:hralign="center" o:hrstd="t" o:hrnoshade="t" o:hr="t" fillcolor="black [3213]" stroked="f"/>
      </w:pict>
    </w:r>
  </w:p>
  <w:p w:rsidR="00C5390A" w:rsidRDefault="00C5390A">
    <w:pPr>
      <w:tabs>
        <w:tab w:val="center" w:pos="4740"/>
      </w:tabs>
      <w:spacing w:line="0" w:lineRule="atLeast"/>
    </w:pPr>
    <w:r>
      <w:tab/>
      <w:t xml:space="preserve">- </w:t>
    </w:r>
    <w:r w:rsidR="000C68D7">
      <w:fldChar w:fldCharType="begin"/>
    </w:r>
    <w:r w:rsidR="000C68D7">
      <w:instrText xml:space="preserve"> PAGE   \* MERGEFORMAT </w:instrText>
    </w:r>
    <w:r w:rsidR="000C68D7">
      <w:fldChar w:fldCharType="separate"/>
    </w:r>
    <w:r w:rsidR="000C68D7">
      <w:rPr>
        <w:noProof/>
      </w:rPr>
      <w:t>422</w:t>
    </w:r>
    <w:r w:rsidR="000C68D7">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22323B">
    <w:r>
      <w:pict>
        <v:rect id="_x0000_i1093" style="width:480.95pt;height:1pt" o:hralign="center" o:hrstd="t" o:hrnoshade="t" o:hr="t" fillcolor="black [3213]" stroked="f"/>
      </w:pict>
    </w:r>
  </w:p>
  <w:p w:rsidR="00C5390A" w:rsidRDefault="00C5390A" w:rsidP="0022323B">
    <w:pPr>
      <w:tabs>
        <w:tab w:val="center" w:pos="4740"/>
      </w:tabs>
      <w:spacing w:line="0" w:lineRule="atLeast"/>
    </w:pPr>
    <w:r>
      <w:tab/>
      <w:t xml:space="preserve">- </w:t>
    </w:r>
    <w:r w:rsidR="000C68D7">
      <w:fldChar w:fldCharType="begin"/>
    </w:r>
    <w:r w:rsidR="000C68D7">
      <w:instrText xml:space="preserve"> PAGE   \* MERGEFORMAT </w:instrText>
    </w:r>
    <w:r w:rsidR="000C68D7">
      <w:fldChar w:fldCharType="separate"/>
    </w:r>
    <w:r w:rsidR="000C68D7">
      <w:rPr>
        <w:noProof/>
      </w:rPr>
      <w:t>403</w:t>
    </w:r>
    <w:r w:rsidR="000C68D7">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Pr="00924065" w:rsidRDefault="00C5390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A87207">
    <w:pPr>
      <w:pStyle w:val="Footer"/>
    </w:pPr>
    <w:r>
      <w:pict>
        <v:rect id="_x0000_i1040" style="width:480.95pt;height:1pt" o:hralign="center" o:hrstd="t" o:hrnoshade="t" o:hr="t" fillcolor="black [3213]" stroked="f"/>
      </w:pict>
    </w:r>
  </w:p>
  <w:p w:rsidR="00C5390A" w:rsidRPr="00B7374B" w:rsidRDefault="00C5390A" w:rsidP="00B7374B">
    <w:pPr>
      <w:tabs>
        <w:tab w:val="center" w:pos="4680"/>
      </w:tabs>
      <w:rPr>
        <w:szCs w:val="24"/>
      </w:rPr>
    </w:pPr>
    <w:r w:rsidRPr="00954D22">
      <w:rPr>
        <w:szCs w:val="24"/>
      </w:rPr>
      <w:tab/>
      <w:t xml:space="preserve">- </w:t>
    </w:r>
    <w:r w:rsidR="007359BF" w:rsidRPr="00954D22">
      <w:rPr>
        <w:szCs w:val="24"/>
      </w:rPr>
      <w:fldChar w:fldCharType="begin"/>
    </w:r>
    <w:r w:rsidRPr="00954D22">
      <w:rPr>
        <w:szCs w:val="24"/>
      </w:rPr>
      <w:instrText xml:space="preserve"> PAGE   \* MERGEFORMAT </w:instrText>
    </w:r>
    <w:r w:rsidR="007359BF" w:rsidRPr="00954D22">
      <w:rPr>
        <w:szCs w:val="24"/>
      </w:rPr>
      <w:fldChar w:fldCharType="separate"/>
    </w:r>
    <w:r w:rsidR="000C68D7">
      <w:rPr>
        <w:noProof/>
        <w:szCs w:val="24"/>
      </w:rPr>
      <w:t>382</w:t>
    </w:r>
    <w:r w:rsidR="007359BF"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755F22">
    <w:pPr>
      <w:tabs>
        <w:tab w:val="left" w:pos="-1440"/>
        <w:tab w:val="left" w:pos="-720"/>
      </w:tabs>
    </w:pPr>
    <w:r>
      <w:pict>
        <v:rect id="_x0000_i1041" style="width:480.95pt;height:1pt" o:hralign="center" o:hrstd="t" o:hrnoshade="t" o:hr="t" fillcolor="black [3213]" stroked="f"/>
      </w:pict>
    </w:r>
  </w:p>
  <w:p w:rsidR="00C5390A" w:rsidRPr="00954D22" w:rsidRDefault="00C5390A" w:rsidP="00B7374B">
    <w:pPr>
      <w:tabs>
        <w:tab w:val="center" w:pos="4680"/>
      </w:tabs>
      <w:rPr>
        <w:szCs w:val="24"/>
      </w:rPr>
    </w:pPr>
    <w:r w:rsidRPr="00954D22">
      <w:rPr>
        <w:szCs w:val="24"/>
      </w:rPr>
      <w:tab/>
      <w:t xml:space="preserve">- </w:t>
    </w:r>
    <w:r w:rsidR="007359BF">
      <w:rPr>
        <w:szCs w:val="24"/>
      </w:rPr>
      <w:fldChar w:fldCharType="begin"/>
    </w:r>
    <w:r>
      <w:rPr>
        <w:szCs w:val="24"/>
      </w:rPr>
      <w:instrText xml:space="preserve"> PAGE   \* MERGEFORMAT </w:instrText>
    </w:r>
    <w:r w:rsidR="007359BF">
      <w:rPr>
        <w:szCs w:val="24"/>
      </w:rPr>
      <w:fldChar w:fldCharType="separate"/>
    </w:r>
    <w:r w:rsidR="000C68D7">
      <w:rPr>
        <w:noProof/>
        <w:szCs w:val="24"/>
      </w:rPr>
      <w:t>381</w:t>
    </w:r>
    <w:r w:rsidR="007359BF">
      <w:rPr>
        <w:szCs w:val="24"/>
      </w:rPr>
      <w:fldChar w:fldCharType="end"/>
    </w:r>
    <w:r w:rsidRPr="00954D22">
      <w:rPr>
        <w:szCs w:val="24"/>
      </w:rPr>
      <w:t xml:space="preserve"> -</w:t>
    </w:r>
  </w:p>
  <w:p w:rsidR="00C5390A" w:rsidRDefault="00C539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A87207">
    <w:pPr>
      <w:pStyle w:val="Footer"/>
    </w:pPr>
    <w:r>
      <w:pict>
        <v:rect id="_x0000_i1043" style="width:480.95pt;height:1pt" o:hralign="center" o:hrstd="t" o:hrnoshade="t" o:hr="t" fillcolor="black [3213]" stroked="f"/>
      </w:pict>
    </w:r>
  </w:p>
  <w:p w:rsidR="00C5390A" w:rsidRPr="00B7374B" w:rsidRDefault="00C5390A" w:rsidP="00B7374B">
    <w:pPr>
      <w:tabs>
        <w:tab w:val="center" w:pos="4680"/>
      </w:tabs>
      <w:rPr>
        <w:szCs w:val="24"/>
      </w:rPr>
    </w:pPr>
    <w:r w:rsidRPr="00954D22">
      <w:rPr>
        <w:szCs w:val="24"/>
      </w:rPr>
      <w:tab/>
      <w:t xml:space="preserve">- </w:t>
    </w:r>
    <w:r w:rsidR="007359BF" w:rsidRPr="00954D22">
      <w:rPr>
        <w:szCs w:val="24"/>
      </w:rPr>
      <w:fldChar w:fldCharType="begin"/>
    </w:r>
    <w:r w:rsidRPr="00954D22">
      <w:rPr>
        <w:szCs w:val="24"/>
      </w:rPr>
      <w:instrText xml:space="preserve"> PAGE   \* MERGEFORMAT </w:instrText>
    </w:r>
    <w:r w:rsidR="007359BF" w:rsidRPr="00954D22">
      <w:rPr>
        <w:szCs w:val="24"/>
      </w:rPr>
      <w:fldChar w:fldCharType="separate"/>
    </w:r>
    <w:r>
      <w:rPr>
        <w:noProof/>
        <w:szCs w:val="24"/>
      </w:rPr>
      <w:t>384</w:t>
    </w:r>
    <w:r w:rsidR="007359BF"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C5390A" w:rsidRPr="00954D22" w:rsidRDefault="00C5390A" w:rsidP="00B7374B">
    <w:pPr>
      <w:tabs>
        <w:tab w:val="center" w:pos="4680"/>
      </w:tabs>
      <w:rPr>
        <w:szCs w:val="24"/>
      </w:rPr>
    </w:pPr>
    <w:r w:rsidRPr="00954D22">
      <w:rPr>
        <w:szCs w:val="24"/>
      </w:rPr>
      <w:tab/>
      <w:t xml:space="preserve">- </w:t>
    </w:r>
    <w:r w:rsidR="007359BF" w:rsidRPr="00954D22">
      <w:rPr>
        <w:szCs w:val="24"/>
      </w:rPr>
      <w:fldChar w:fldCharType="begin"/>
    </w:r>
    <w:r w:rsidRPr="00954D22">
      <w:rPr>
        <w:szCs w:val="24"/>
      </w:rPr>
      <w:instrText xml:space="preserve"> PAGE   \* MERGEFORMAT </w:instrText>
    </w:r>
    <w:r w:rsidR="007359BF" w:rsidRPr="00954D22">
      <w:rPr>
        <w:szCs w:val="24"/>
      </w:rPr>
      <w:fldChar w:fldCharType="separate"/>
    </w:r>
    <w:r w:rsidR="000C68D7">
      <w:rPr>
        <w:noProof/>
        <w:szCs w:val="24"/>
      </w:rPr>
      <w:t>383</w:t>
    </w:r>
    <w:r w:rsidR="007359BF"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5390A" w:rsidRDefault="00C5390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0C6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C5390A" w:rsidRPr="0009648D" w:rsidRDefault="00C5390A" w:rsidP="00ED7E83">
    <w:pPr>
      <w:tabs>
        <w:tab w:val="center" w:pos="4680"/>
      </w:tabs>
    </w:pPr>
    <w:r>
      <w:tab/>
    </w:r>
    <w:r w:rsidRPr="0009648D">
      <w:t xml:space="preserve">- </w:t>
    </w:r>
    <w:r w:rsidR="000C68D7">
      <w:fldChar w:fldCharType="begin"/>
    </w:r>
    <w:r w:rsidR="000C68D7">
      <w:instrText xml:space="preserve"> PAGE   \* MERGEFORMAT </w:instrText>
    </w:r>
    <w:r w:rsidR="000C68D7">
      <w:fldChar w:fldCharType="separate"/>
    </w:r>
    <w:r w:rsidR="000C68D7">
      <w:rPr>
        <w:noProof/>
      </w:rPr>
      <w:t>391</w:t>
    </w:r>
    <w:r w:rsidR="000C68D7">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0A" w:rsidRDefault="00C5390A" w:rsidP="00A87207">
      <w:r>
        <w:separator/>
      </w:r>
    </w:p>
  </w:footnote>
  <w:footnote w:type="continuationSeparator" w:id="0">
    <w:p w:rsidR="00C5390A" w:rsidRDefault="00C5390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5390A">
      <w:tc>
        <w:tcPr>
          <w:tcW w:w="4230" w:type="dxa"/>
          <w:tcMar>
            <w:left w:w="0" w:type="dxa"/>
            <w:right w:w="0" w:type="dxa"/>
          </w:tcMar>
        </w:tcPr>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5390A" w:rsidRDefault="00C539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5390A" w:rsidRDefault="00C539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5390A">
      <w:trPr>
        <w:gridAfter w:val="2"/>
        <w:wAfter w:w="5250" w:type="dxa"/>
      </w:trPr>
      <w:tc>
        <w:tcPr>
          <w:tcW w:w="4230" w:type="dxa"/>
          <w:tcMar>
            <w:left w:w="0" w:type="dxa"/>
            <w:right w:w="0" w:type="dxa"/>
          </w:tcMar>
        </w:tcPr>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5390A" w:rsidRPr="00755F22" w:rsidTr="00245129">
      <w:tc>
        <w:tcPr>
          <w:tcW w:w="4230" w:type="dxa"/>
          <w:tcMar>
            <w:left w:w="0" w:type="dxa"/>
            <w:right w:w="0" w:type="dxa"/>
          </w:tcMar>
        </w:tcPr>
        <w:p w:rsidR="00C5390A" w:rsidRPr="00755F22" w:rsidRDefault="00C5390A" w:rsidP="00831CA9">
          <w:pPr>
            <w:keepNext/>
            <w:keepLines/>
            <w:rPr>
              <w:sz w:val="20"/>
              <w:szCs w:val="20"/>
            </w:rPr>
          </w:pPr>
          <w:r w:rsidRPr="00755F22">
            <w:rPr>
              <w:sz w:val="20"/>
              <w:szCs w:val="20"/>
            </w:rPr>
            <w:t>MOTIONS</w:t>
          </w:r>
        </w:p>
      </w:tc>
      <w:tc>
        <w:tcPr>
          <w:tcW w:w="1170" w:type="dxa"/>
          <w:tcMar>
            <w:left w:w="0" w:type="dxa"/>
            <w:right w:w="0" w:type="dxa"/>
          </w:tcMar>
        </w:tcPr>
        <w:p w:rsidR="00C5390A" w:rsidRPr="00755F22" w:rsidRDefault="00C5390A" w:rsidP="00831CA9">
          <w:pPr>
            <w:keepLines/>
            <w:jc w:val="center"/>
            <w:rPr>
              <w:sz w:val="20"/>
              <w:szCs w:val="20"/>
            </w:rPr>
          </w:pPr>
        </w:p>
        <w:p w:rsidR="00C5390A" w:rsidRPr="00755F22" w:rsidRDefault="00C5390A" w:rsidP="00831CA9">
          <w:pPr>
            <w:keepLines/>
            <w:tabs>
              <w:tab w:val="left" w:pos="-1440"/>
              <w:tab w:val="left" w:pos="-720"/>
            </w:tabs>
            <w:jc w:val="center"/>
            <w:rPr>
              <w:sz w:val="20"/>
              <w:szCs w:val="20"/>
            </w:rPr>
          </w:pPr>
        </w:p>
      </w:tc>
      <w:tc>
        <w:tcPr>
          <w:tcW w:w="4080" w:type="dxa"/>
          <w:tcMar>
            <w:left w:w="0" w:type="dxa"/>
            <w:right w:w="0" w:type="dxa"/>
          </w:tcMar>
        </w:tcPr>
        <w:p w:rsidR="00C5390A" w:rsidRPr="00BA6468" w:rsidRDefault="00C5390A" w:rsidP="00BA6468">
          <w:pPr>
            <w:keepLines/>
            <w:rPr>
              <w:sz w:val="20"/>
              <w:szCs w:val="20"/>
              <w:lang w:val="fr-CA"/>
            </w:rPr>
          </w:pPr>
          <w:r w:rsidRPr="00BA6468">
            <w:rPr>
              <w:sz w:val="20"/>
              <w:szCs w:val="20"/>
              <w:lang w:val="fr-CA"/>
            </w:rPr>
            <w:t>REQUÊTES</w:t>
          </w:r>
        </w:p>
      </w:tc>
    </w:tr>
  </w:tbl>
  <w:p w:rsidR="00C5390A" w:rsidRDefault="00C5390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5390A" w:rsidRPr="009856BE">
      <w:tc>
        <w:tcPr>
          <w:tcW w:w="4200" w:type="dxa"/>
          <w:tcMar>
            <w:left w:w="0" w:type="dxa"/>
            <w:right w:w="0" w:type="dxa"/>
          </w:tcMar>
        </w:tcPr>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5390A" w:rsidRPr="003C2C0F" w:rsidRDefault="00C539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5390A" w:rsidRPr="003C2C0F"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5390A" w:rsidRPr="003C2C0F"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5390A" w:rsidRPr="009856BE" w:rsidTr="00245129">
      <w:tc>
        <w:tcPr>
          <w:tcW w:w="4200" w:type="dxa"/>
          <w:tcMar>
            <w:left w:w="0" w:type="dxa"/>
            <w:right w:w="0" w:type="dxa"/>
          </w:tcMar>
        </w:tcPr>
        <w:p w:rsidR="00C5390A" w:rsidRPr="00FF6EEC" w:rsidRDefault="00C5390A" w:rsidP="00FF6EEC">
          <w:pPr>
            <w:rPr>
              <w:sz w:val="20"/>
              <w:szCs w:val="20"/>
            </w:rPr>
          </w:pPr>
          <w:r w:rsidRPr="00FF6EEC">
            <w:rPr>
              <w:sz w:val="20"/>
              <w:szCs w:val="20"/>
            </w:rPr>
            <w:t>PRONOUNCEMENTS OF APPEALS RESERVED</w:t>
          </w:r>
        </w:p>
      </w:tc>
      <w:tc>
        <w:tcPr>
          <w:tcW w:w="1200" w:type="dxa"/>
          <w:tcMar>
            <w:left w:w="0" w:type="dxa"/>
            <w:right w:w="0" w:type="dxa"/>
          </w:tcMar>
        </w:tcPr>
        <w:p w:rsidR="00C5390A" w:rsidRPr="00FF6EEC" w:rsidRDefault="00C5390A" w:rsidP="00FF6EEC">
          <w:pPr>
            <w:jc w:val="center"/>
            <w:rPr>
              <w:sz w:val="20"/>
              <w:szCs w:val="20"/>
            </w:rPr>
          </w:pPr>
        </w:p>
        <w:p w:rsidR="00C5390A" w:rsidRPr="00FF6EEC" w:rsidRDefault="00C5390A" w:rsidP="00FF6EEC">
          <w:pPr>
            <w:jc w:val="center"/>
            <w:rPr>
              <w:sz w:val="20"/>
              <w:szCs w:val="20"/>
            </w:rPr>
          </w:pPr>
        </w:p>
        <w:p w:rsidR="00C5390A" w:rsidRPr="00FF6EEC" w:rsidRDefault="00C5390A" w:rsidP="00FF6EEC">
          <w:pPr>
            <w:jc w:val="center"/>
            <w:rPr>
              <w:sz w:val="20"/>
              <w:szCs w:val="20"/>
            </w:rPr>
          </w:pPr>
        </w:p>
      </w:tc>
      <w:tc>
        <w:tcPr>
          <w:tcW w:w="4080" w:type="dxa"/>
          <w:tcMar>
            <w:left w:w="0" w:type="dxa"/>
            <w:right w:w="0" w:type="dxa"/>
          </w:tcMar>
        </w:tcPr>
        <w:p w:rsidR="00C5390A" w:rsidRPr="00FF6EEC" w:rsidRDefault="00C5390A" w:rsidP="00FF6EEC">
          <w:pPr>
            <w:rPr>
              <w:sz w:val="20"/>
              <w:szCs w:val="20"/>
              <w:lang w:val="fr-CA"/>
            </w:rPr>
          </w:pPr>
          <w:r w:rsidRPr="00FF6EEC">
            <w:rPr>
              <w:sz w:val="20"/>
              <w:szCs w:val="20"/>
              <w:lang w:val="fr-CA"/>
            </w:rPr>
            <w:t>JUGEMENTS RENDUS SUR LES APPELS EN DÉLIBÉRÉ</w:t>
          </w:r>
        </w:p>
      </w:tc>
    </w:tr>
  </w:tbl>
  <w:p w:rsidR="00C5390A" w:rsidRPr="003C2C0F" w:rsidRDefault="00C5390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5390A">
      <w:tc>
        <w:tcPr>
          <w:tcW w:w="4230" w:type="dxa"/>
          <w:tcMar>
            <w:left w:w="0" w:type="dxa"/>
            <w:right w:w="0" w:type="dxa"/>
          </w:tcMar>
        </w:tcPr>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5390A" w:rsidRDefault="00C539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5390A"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5390A" w:rsidRPr="00782AE4" w:rsidTr="00245129">
      <w:tc>
        <w:tcPr>
          <w:tcW w:w="4230" w:type="dxa"/>
          <w:tcMar>
            <w:left w:w="0" w:type="dxa"/>
            <w:right w:w="0" w:type="dxa"/>
          </w:tcMar>
        </w:tcPr>
        <w:p w:rsidR="00C5390A" w:rsidRPr="00782AE4" w:rsidRDefault="00C5390A" w:rsidP="00102926">
          <w:pPr>
            <w:keepNext/>
            <w:keepLines/>
            <w:tabs>
              <w:tab w:val="left" w:pos="-1440"/>
              <w:tab w:val="left" w:pos="-720"/>
            </w:tabs>
            <w:rPr>
              <w:sz w:val="20"/>
              <w:szCs w:val="20"/>
            </w:rPr>
          </w:pPr>
          <w:r w:rsidRPr="00782AE4">
            <w:rPr>
              <w:sz w:val="20"/>
              <w:szCs w:val="20"/>
            </w:rPr>
            <w:t xml:space="preserve">HEADNOTES OF RECENT </w:t>
          </w:r>
        </w:p>
        <w:p w:rsidR="00C5390A" w:rsidRPr="00782AE4"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5390A" w:rsidRDefault="00C5390A" w:rsidP="00102926">
          <w:pPr>
            <w:keepNext/>
            <w:keepLines/>
            <w:tabs>
              <w:tab w:val="left" w:pos="-1440"/>
              <w:tab w:val="left" w:pos="-720"/>
            </w:tabs>
            <w:jc w:val="center"/>
            <w:rPr>
              <w:sz w:val="20"/>
              <w:szCs w:val="20"/>
            </w:rPr>
          </w:pPr>
        </w:p>
        <w:p w:rsidR="00C5390A" w:rsidRDefault="00C5390A" w:rsidP="00102926">
          <w:pPr>
            <w:keepNext/>
            <w:keepLines/>
            <w:tabs>
              <w:tab w:val="left" w:pos="-1440"/>
              <w:tab w:val="left" w:pos="-720"/>
            </w:tabs>
            <w:jc w:val="center"/>
            <w:rPr>
              <w:sz w:val="20"/>
              <w:szCs w:val="20"/>
            </w:rPr>
          </w:pPr>
        </w:p>
        <w:p w:rsidR="00C5390A" w:rsidRPr="00782AE4" w:rsidRDefault="00C5390A" w:rsidP="00102926">
          <w:pPr>
            <w:keepNext/>
            <w:keepLines/>
            <w:tabs>
              <w:tab w:val="left" w:pos="-1440"/>
              <w:tab w:val="left" w:pos="-720"/>
            </w:tabs>
            <w:jc w:val="center"/>
            <w:rPr>
              <w:sz w:val="20"/>
              <w:szCs w:val="20"/>
            </w:rPr>
          </w:pPr>
        </w:p>
      </w:tc>
      <w:tc>
        <w:tcPr>
          <w:tcW w:w="4080" w:type="dxa"/>
          <w:tcMar>
            <w:left w:w="0" w:type="dxa"/>
            <w:right w:w="0" w:type="dxa"/>
          </w:tcMar>
        </w:tcPr>
        <w:p w:rsidR="00C5390A" w:rsidRPr="00102926"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5390A" w:rsidRPr="00782AE4" w:rsidRDefault="00C5390A" w:rsidP="00102926">
          <w:pPr>
            <w:keepLines/>
            <w:tabs>
              <w:tab w:val="left" w:pos="-1440"/>
              <w:tab w:val="left" w:pos="-720"/>
            </w:tabs>
            <w:rPr>
              <w:sz w:val="20"/>
              <w:szCs w:val="20"/>
            </w:rPr>
          </w:pPr>
          <w:r w:rsidRPr="00102926">
            <w:rPr>
              <w:sz w:val="20"/>
              <w:szCs w:val="20"/>
              <w:lang w:val="fr-CA"/>
            </w:rPr>
            <w:t>RÉCENTS</w:t>
          </w:r>
        </w:p>
      </w:tc>
    </w:tr>
  </w:tbl>
  <w:p w:rsidR="00C5390A" w:rsidRDefault="00C5390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5390A">
      <w:tc>
        <w:tcPr>
          <w:tcW w:w="4200" w:type="dxa"/>
          <w:tcMar>
            <w:left w:w="0" w:type="dxa"/>
            <w:right w:w="0" w:type="dxa"/>
          </w:tcMar>
        </w:tcPr>
        <w:p w:rsidR="00C5390A" w:rsidRDefault="00C5390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5390A" w:rsidRDefault="00C5390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5390A" w:rsidRDefault="00C5390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5390A" w:rsidRDefault="00C5390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5390A" w:rsidRDefault="00C5390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5390A" w:rsidRDefault="00C5390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5390A" w:rsidRPr="00C50A5C" w:rsidTr="00245129">
      <w:tc>
        <w:tcPr>
          <w:tcW w:w="4200" w:type="dxa"/>
          <w:tcMar>
            <w:left w:w="0" w:type="dxa"/>
            <w:right w:w="0" w:type="dxa"/>
          </w:tcMar>
        </w:tcPr>
        <w:p w:rsidR="00C5390A" w:rsidRPr="00C50A5C" w:rsidRDefault="00C5390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C5390A" w:rsidRPr="00C50A5C" w:rsidRDefault="00C5390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C5390A" w:rsidRPr="00C50A5C" w:rsidRDefault="00C5390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C5390A" w:rsidRPr="00C50A5C" w:rsidRDefault="00C5390A"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C5390A" w:rsidRDefault="00C5390A"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5390A" w:rsidRPr="005F263E" w:rsidTr="00245129">
      <w:tc>
        <w:tcPr>
          <w:tcW w:w="4200" w:type="dxa"/>
          <w:tcMar>
            <w:left w:w="0" w:type="dxa"/>
            <w:right w:w="0" w:type="dxa"/>
          </w:tcMar>
        </w:tcPr>
        <w:p w:rsidR="00C5390A" w:rsidRPr="005F263E" w:rsidRDefault="00C5390A"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C5390A" w:rsidRPr="005F263E" w:rsidRDefault="00C5390A" w:rsidP="00245129">
          <w:pPr>
            <w:keepNext/>
            <w:keepLines/>
            <w:tabs>
              <w:tab w:val="left" w:pos="-1440"/>
              <w:tab w:val="left" w:pos="-720"/>
            </w:tabs>
            <w:jc w:val="center"/>
            <w:rPr>
              <w:sz w:val="20"/>
              <w:szCs w:val="20"/>
            </w:rPr>
          </w:pPr>
        </w:p>
        <w:p w:rsidR="00C5390A" w:rsidRPr="005F263E" w:rsidRDefault="00C5390A" w:rsidP="00245129">
          <w:pPr>
            <w:keepNext/>
            <w:keepLines/>
            <w:tabs>
              <w:tab w:val="left" w:pos="-1440"/>
              <w:tab w:val="left" w:pos="-720"/>
            </w:tabs>
            <w:jc w:val="center"/>
            <w:rPr>
              <w:sz w:val="20"/>
              <w:szCs w:val="20"/>
            </w:rPr>
          </w:pPr>
        </w:p>
      </w:tc>
      <w:tc>
        <w:tcPr>
          <w:tcW w:w="4080" w:type="dxa"/>
          <w:tcMar>
            <w:left w:w="0" w:type="dxa"/>
            <w:right w:w="0" w:type="dxa"/>
          </w:tcMar>
        </w:tcPr>
        <w:p w:rsidR="00C5390A" w:rsidRPr="005F263E" w:rsidRDefault="00C5390A" w:rsidP="00245129">
          <w:pPr>
            <w:keepLines/>
            <w:tabs>
              <w:tab w:val="left" w:pos="-1440"/>
              <w:tab w:val="left" w:pos="-720"/>
            </w:tabs>
            <w:rPr>
              <w:sz w:val="20"/>
              <w:szCs w:val="20"/>
            </w:rPr>
          </w:pPr>
          <w:r w:rsidRPr="005F263E">
            <w:rPr>
              <w:sz w:val="20"/>
              <w:szCs w:val="20"/>
            </w:rPr>
            <w:t>RÉSUMÉS DES AFFAIRES</w:t>
          </w:r>
        </w:p>
      </w:tc>
    </w:tr>
  </w:tbl>
  <w:p w:rsidR="00C5390A" w:rsidRDefault="00C5390A" w:rsidP="005F26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5390A" w:rsidRPr="0044776A" w:rsidTr="00245129">
      <w:tc>
        <w:tcPr>
          <w:tcW w:w="4290" w:type="dxa"/>
          <w:tcMar>
            <w:left w:w="0" w:type="dxa"/>
            <w:right w:w="0" w:type="dxa"/>
          </w:tcMar>
        </w:tcPr>
        <w:p w:rsidR="00C5390A" w:rsidRPr="0044776A" w:rsidRDefault="00C5390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5390A" w:rsidRPr="0044776A" w:rsidRDefault="00C5390A" w:rsidP="002E2327">
          <w:pPr>
            <w:keepNext/>
            <w:keepLines/>
            <w:tabs>
              <w:tab w:val="left" w:pos="-1440"/>
              <w:tab w:val="left" w:pos="-720"/>
            </w:tabs>
            <w:jc w:val="center"/>
            <w:rPr>
              <w:sz w:val="20"/>
              <w:szCs w:val="20"/>
            </w:rPr>
          </w:pPr>
        </w:p>
        <w:p w:rsidR="00C5390A" w:rsidRPr="0044776A" w:rsidRDefault="00C5390A" w:rsidP="002E2327">
          <w:pPr>
            <w:keepNext/>
            <w:keepLines/>
            <w:tabs>
              <w:tab w:val="left" w:pos="-1440"/>
              <w:tab w:val="left" w:pos="-720"/>
            </w:tabs>
            <w:jc w:val="center"/>
            <w:rPr>
              <w:sz w:val="20"/>
              <w:szCs w:val="20"/>
            </w:rPr>
          </w:pPr>
        </w:p>
        <w:p w:rsidR="00C5390A" w:rsidRPr="0044776A" w:rsidRDefault="00C5390A" w:rsidP="002E2327">
          <w:pPr>
            <w:keepNext/>
            <w:keepLines/>
            <w:tabs>
              <w:tab w:val="left" w:pos="-1440"/>
              <w:tab w:val="left" w:pos="-720"/>
            </w:tabs>
            <w:jc w:val="center"/>
            <w:rPr>
              <w:sz w:val="20"/>
              <w:szCs w:val="20"/>
            </w:rPr>
          </w:pPr>
        </w:p>
      </w:tc>
      <w:tc>
        <w:tcPr>
          <w:tcW w:w="4320" w:type="dxa"/>
          <w:tcMar>
            <w:left w:w="0" w:type="dxa"/>
            <w:right w:w="0" w:type="dxa"/>
          </w:tcMar>
        </w:tcPr>
        <w:p w:rsidR="00C5390A" w:rsidRPr="0044776A" w:rsidRDefault="00C5390A" w:rsidP="002E2327">
          <w:pPr>
            <w:keepLines/>
            <w:rPr>
              <w:sz w:val="20"/>
              <w:szCs w:val="20"/>
              <w:lang w:val="fr-CA"/>
            </w:rPr>
          </w:pPr>
          <w:r w:rsidRPr="0044776A">
            <w:rPr>
              <w:sz w:val="20"/>
              <w:szCs w:val="20"/>
              <w:lang w:val="fr-CA"/>
            </w:rPr>
            <w:t>DEMANDES D'AUTORISATION D'APPEL DÉPOSÉES</w:t>
          </w:r>
        </w:p>
      </w:tc>
    </w:tr>
  </w:tbl>
  <w:p w:rsidR="00C5390A" w:rsidRDefault="00C539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5390A" w:rsidRPr="009856BE" w:rsidTr="00245129">
      <w:tc>
        <w:tcPr>
          <w:tcW w:w="4200" w:type="dxa"/>
          <w:tcMar>
            <w:left w:w="0" w:type="dxa"/>
            <w:right w:w="0" w:type="dxa"/>
          </w:tcMar>
        </w:tcPr>
        <w:p w:rsidR="00C5390A" w:rsidRPr="0044776A" w:rsidRDefault="00C5390A" w:rsidP="0044776A">
          <w:pPr>
            <w:keepNext/>
            <w:keepLines/>
            <w:widowControl w:val="0"/>
            <w:rPr>
              <w:sz w:val="20"/>
              <w:szCs w:val="20"/>
            </w:rPr>
          </w:pPr>
          <w:r>
            <w:rPr>
              <w:sz w:val="20"/>
              <w:szCs w:val="20"/>
            </w:rPr>
            <w:t>APPLICATIONS FOR LEAVE</w:t>
          </w:r>
        </w:p>
        <w:p w:rsidR="00C5390A" w:rsidRPr="0044776A" w:rsidRDefault="00C5390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5390A" w:rsidRPr="0044776A" w:rsidRDefault="00C5390A" w:rsidP="0044776A">
          <w:pPr>
            <w:keepNext/>
            <w:keepLines/>
            <w:widowControl w:val="0"/>
            <w:jc w:val="center"/>
            <w:rPr>
              <w:sz w:val="20"/>
              <w:szCs w:val="20"/>
            </w:rPr>
          </w:pPr>
        </w:p>
        <w:p w:rsidR="00C5390A" w:rsidRPr="0044776A" w:rsidRDefault="00C5390A" w:rsidP="0044776A">
          <w:pPr>
            <w:keepNext/>
            <w:keepLines/>
            <w:widowControl w:val="0"/>
            <w:jc w:val="center"/>
            <w:rPr>
              <w:sz w:val="20"/>
              <w:szCs w:val="20"/>
            </w:rPr>
          </w:pPr>
        </w:p>
        <w:p w:rsidR="00C5390A" w:rsidRPr="0044776A" w:rsidRDefault="00C5390A" w:rsidP="0044776A">
          <w:pPr>
            <w:keepNext/>
            <w:keepLines/>
            <w:widowControl w:val="0"/>
            <w:jc w:val="center"/>
            <w:rPr>
              <w:sz w:val="20"/>
              <w:szCs w:val="20"/>
            </w:rPr>
          </w:pPr>
        </w:p>
      </w:tc>
      <w:tc>
        <w:tcPr>
          <w:tcW w:w="4080" w:type="dxa"/>
          <w:tcMar>
            <w:left w:w="0" w:type="dxa"/>
            <w:right w:w="0" w:type="dxa"/>
          </w:tcMar>
        </w:tcPr>
        <w:p w:rsidR="00C5390A" w:rsidRPr="0044776A" w:rsidRDefault="00C5390A" w:rsidP="0044776A">
          <w:pPr>
            <w:keepLines/>
            <w:widowControl w:val="0"/>
            <w:rPr>
              <w:sz w:val="20"/>
              <w:szCs w:val="20"/>
              <w:lang w:val="fr-CA"/>
            </w:rPr>
          </w:pPr>
          <w:r w:rsidRPr="0044776A">
            <w:rPr>
              <w:sz w:val="20"/>
              <w:szCs w:val="20"/>
              <w:lang w:val="fr-CA"/>
            </w:rPr>
            <w:t>DEMANDES SOUMISES À LA COUR DEPUIS LA DERNIÈRE PARUTION</w:t>
          </w:r>
        </w:p>
        <w:p w:rsidR="00C5390A" w:rsidRPr="0044776A" w:rsidRDefault="00C5390A" w:rsidP="0044776A">
          <w:pPr>
            <w:widowControl w:val="0"/>
            <w:rPr>
              <w:sz w:val="20"/>
              <w:szCs w:val="20"/>
              <w:lang w:val="fr-CA"/>
            </w:rPr>
          </w:pPr>
        </w:p>
      </w:tc>
    </w:tr>
  </w:tbl>
  <w:p w:rsidR="00C5390A" w:rsidRPr="002E2327" w:rsidRDefault="00C5390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0A" w:rsidRDefault="00C539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5390A" w:rsidRPr="009856BE">
      <w:tc>
        <w:tcPr>
          <w:tcW w:w="4200" w:type="dxa"/>
          <w:tcMar>
            <w:left w:w="0" w:type="dxa"/>
            <w:right w:w="0" w:type="dxa"/>
          </w:tcMar>
        </w:tcPr>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5390A"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5390A" w:rsidRDefault="00C539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5390A" w:rsidRPr="00FF6BA5" w:rsidRDefault="00C539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5390A" w:rsidRPr="00FF6BA5"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5390A" w:rsidRPr="00FF6BA5"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5390A" w:rsidRPr="00FF6BA5" w:rsidRDefault="00C5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5390A" w:rsidRPr="009856BE" w:rsidTr="00245129">
      <w:tc>
        <w:tcPr>
          <w:tcW w:w="4200" w:type="dxa"/>
          <w:tcMar>
            <w:left w:w="0" w:type="dxa"/>
            <w:right w:w="0" w:type="dxa"/>
          </w:tcMar>
        </w:tcPr>
        <w:p w:rsidR="00C5390A" w:rsidRPr="00755F22"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5390A" w:rsidRPr="00755F22" w:rsidRDefault="00C539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5390A" w:rsidRPr="00755F22" w:rsidRDefault="00C5390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5390A" w:rsidRPr="00755F22" w:rsidRDefault="00C5390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5390A" w:rsidRPr="00755F22" w:rsidRDefault="00C5390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5390A" w:rsidRPr="00755F22" w:rsidRDefault="00C5390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5390A" w:rsidRPr="00FF6BA5" w:rsidRDefault="00C5390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6493"/>
    <w:multiLevelType w:val="hybridMultilevel"/>
    <w:tmpl w:val="20E0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5260CB7"/>
    <w:multiLevelType w:val="hybridMultilevel"/>
    <w:tmpl w:val="16AAE5F0"/>
    <w:lvl w:ilvl="0" w:tplc="11A8C1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5553"/>
  </w:hdrShapeDefaults>
  <w:footnotePr>
    <w:footnote w:id="-1"/>
    <w:footnote w:id="0"/>
  </w:footnotePr>
  <w:endnotePr>
    <w:endnote w:id="-1"/>
    <w:endnote w:id="0"/>
  </w:endnotePr>
  <w:compat>
    <w:compatSetting w:name="compatibilityMode" w:uri="http://schemas.microsoft.com/office/word" w:val="12"/>
  </w:compat>
  <w:rsids>
    <w:rsidRoot w:val="00DA1FC5"/>
    <w:rsid w:val="0001762E"/>
    <w:rsid w:val="00022328"/>
    <w:rsid w:val="0003223B"/>
    <w:rsid w:val="000327B2"/>
    <w:rsid w:val="00091FA6"/>
    <w:rsid w:val="00096BD9"/>
    <w:rsid w:val="000B3C9A"/>
    <w:rsid w:val="000B40A2"/>
    <w:rsid w:val="000B4624"/>
    <w:rsid w:val="000C0ACD"/>
    <w:rsid w:val="000C0D2A"/>
    <w:rsid w:val="000C5CE8"/>
    <w:rsid w:val="000C68D7"/>
    <w:rsid w:val="000D232E"/>
    <w:rsid w:val="000E2959"/>
    <w:rsid w:val="000F0B60"/>
    <w:rsid w:val="00102926"/>
    <w:rsid w:val="0010587F"/>
    <w:rsid w:val="00111C6B"/>
    <w:rsid w:val="0012102B"/>
    <w:rsid w:val="0013369E"/>
    <w:rsid w:val="00155D4C"/>
    <w:rsid w:val="00164E6D"/>
    <w:rsid w:val="00185E0E"/>
    <w:rsid w:val="001B157C"/>
    <w:rsid w:val="001B5C23"/>
    <w:rsid w:val="001C7FCC"/>
    <w:rsid w:val="001D0D5F"/>
    <w:rsid w:val="001D6B8C"/>
    <w:rsid w:val="001F1F83"/>
    <w:rsid w:val="001F40DF"/>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C2E9B"/>
    <w:rsid w:val="002D72EB"/>
    <w:rsid w:val="002E10B9"/>
    <w:rsid w:val="002E2327"/>
    <w:rsid w:val="002E3583"/>
    <w:rsid w:val="002E5576"/>
    <w:rsid w:val="00331B52"/>
    <w:rsid w:val="003359D3"/>
    <w:rsid w:val="003363B3"/>
    <w:rsid w:val="00346867"/>
    <w:rsid w:val="00355967"/>
    <w:rsid w:val="00362135"/>
    <w:rsid w:val="00382C47"/>
    <w:rsid w:val="00384384"/>
    <w:rsid w:val="003866AE"/>
    <w:rsid w:val="003A2ECB"/>
    <w:rsid w:val="003B34ED"/>
    <w:rsid w:val="003B3977"/>
    <w:rsid w:val="003E1D4C"/>
    <w:rsid w:val="00422920"/>
    <w:rsid w:val="00432989"/>
    <w:rsid w:val="0043558D"/>
    <w:rsid w:val="00440E24"/>
    <w:rsid w:val="00442710"/>
    <w:rsid w:val="0044776A"/>
    <w:rsid w:val="00460AFC"/>
    <w:rsid w:val="0047471F"/>
    <w:rsid w:val="004B195E"/>
    <w:rsid w:val="004B66B4"/>
    <w:rsid w:val="004B7F60"/>
    <w:rsid w:val="004C1AAC"/>
    <w:rsid w:val="004E1E0A"/>
    <w:rsid w:val="004E3634"/>
    <w:rsid w:val="004F090E"/>
    <w:rsid w:val="00501F3C"/>
    <w:rsid w:val="00527CC7"/>
    <w:rsid w:val="0055561A"/>
    <w:rsid w:val="00571CA4"/>
    <w:rsid w:val="0057702F"/>
    <w:rsid w:val="00581489"/>
    <w:rsid w:val="00582136"/>
    <w:rsid w:val="005C6840"/>
    <w:rsid w:val="005E0C53"/>
    <w:rsid w:val="005F263E"/>
    <w:rsid w:val="00600252"/>
    <w:rsid w:val="00603FD6"/>
    <w:rsid w:val="00612A40"/>
    <w:rsid w:val="00622C2D"/>
    <w:rsid w:val="0062714A"/>
    <w:rsid w:val="00653B6A"/>
    <w:rsid w:val="00675479"/>
    <w:rsid w:val="00680709"/>
    <w:rsid w:val="00694647"/>
    <w:rsid w:val="00696BF9"/>
    <w:rsid w:val="00697C62"/>
    <w:rsid w:val="006A329B"/>
    <w:rsid w:val="006A7EB8"/>
    <w:rsid w:val="006B6926"/>
    <w:rsid w:val="006C3F47"/>
    <w:rsid w:val="006C5F7A"/>
    <w:rsid w:val="006E06AF"/>
    <w:rsid w:val="006E2BA5"/>
    <w:rsid w:val="006F350F"/>
    <w:rsid w:val="00732DB7"/>
    <w:rsid w:val="007359BF"/>
    <w:rsid w:val="0074238B"/>
    <w:rsid w:val="00745EF7"/>
    <w:rsid w:val="00755F22"/>
    <w:rsid w:val="00766E4A"/>
    <w:rsid w:val="007820CE"/>
    <w:rsid w:val="00782AE4"/>
    <w:rsid w:val="0079484D"/>
    <w:rsid w:val="0079724F"/>
    <w:rsid w:val="007A3EAE"/>
    <w:rsid w:val="007B7E7D"/>
    <w:rsid w:val="007C04FC"/>
    <w:rsid w:val="007D0B2F"/>
    <w:rsid w:val="007D3E0F"/>
    <w:rsid w:val="007E4282"/>
    <w:rsid w:val="007F387B"/>
    <w:rsid w:val="00802863"/>
    <w:rsid w:val="00802AE2"/>
    <w:rsid w:val="00815B3C"/>
    <w:rsid w:val="0081610A"/>
    <w:rsid w:val="00820F1B"/>
    <w:rsid w:val="0082783A"/>
    <w:rsid w:val="00831CA9"/>
    <w:rsid w:val="00850E1F"/>
    <w:rsid w:val="0085476B"/>
    <w:rsid w:val="00890FEB"/>
    <w:rsid w:val="008A5C1A"/>
    <w:rsid w:val="008D292F"/>
    <w:rsid w:val="008E03DC"/>
    <w:rsid w:val="008E7BD6"/>
    <w:rsid w:val="00902E51"/>
    <w:rsid w:val="00905D01"/>
    <w:rsid w:val="009074E3"/>
    <w:rsid w:val="00915DF4"/>
    <w:rsid w:val="00924065"/>
    <w:rsid w:val="00930D68"/>
    <w:rsid w:val="00932DB4"/>
    <w:rsid w:val="00935843"/>
    <w:rsid w:val="00936208"/>
    <w:rsid w:val="00941A4B"/>
    <w:rsid w:val="00946242"/>
    <w:rsid w:val="0095096B"/>
    <w:rsid w:val="0095251A"/>
    <w:rsid w:val="00952FDF"/>
    <w:rsid w:val="00970CD3"/>
    <w:rsid w:val="009723FA"/>
    <w:rsid w:val="00984546"/>
    <w:rsid w:val="009856BE"/>
    <w:rsid w:val="00996510"/>
    <w:rsid w:val="009A5789"/>
    <w:rsid w:val="009C033E"/>
    <w:rsid w:val="009D1F15"/>
    <w:rsid w:val="009D555E"/>
    <w:rsid w:val="009F3024"/>
    <w:rsid w:val="00A01888"/>
    <w:rsid w:val="00A0355E"/>
    <w:rsid w:val="00A20911"/>
    <w:rsid w:val="00A2521E"/>
    <w:rsid w:val="00A375D1"/>
    <w:rsid w:val="00A51D10"/>
    <w:rsid w:val="00A52A83"/>
    <w:rsid w:val="00A641E8"/>
    <w:rsid w:val="00A6552C"/>
    <w:rsid w:val="00A726D7"/>
    <w:rsid w:val="00A87207"/>
    <w:rsid w:val="00A918CE"/>
    <w:rsid w:val="00A935AA"/>
    <w:rsid w:val="00AA17FA"/>
    <w:rsid w:val="00AB2201"/>
    <w:rsid w:val="00AD3259"/>
    <w:rsid w:val="00AF1715"/>
    <w:rsid w:val="00AF3904"/>
    <w:rsid w:val="00B010C0"/>
    <w:rsid w:val="00B177E4"/>
    <w:rsid w:val="00B46D87"/>
    <w:rsid w:val="00B4740D"/>
    <w:rsid w:val="00B61629"/>
    <w:rsid w:val="00B7374B"/>
    <w:rsid w:val="00B90DC0"/>
    <w:rsid w:val="00BA116A"/>
    <w:rsid w:val="00BA5582"/>
    <w:rsid w:val="00BA6468"/>
    <w:rsid w:val="00BB1D44"/>
    <w:rsid w:val="00BC56B1"/>
    <w:rsid w:val="00BD06DA"/>
    <w:rsid w:val="00BD4217"/>
    <w:rsid w:val="00BF25F3"/>
    <w:rsid w:val="00BF2942"/>
    <w:rsid w:val="00C1697B"/>
    <w:rsid w:val="00C21CB5"/>
    <w:rsid w:val="00C274A8"/>
    <w:rsid w:val="00C50A5C"/>
    <w:rsid w:val="00C50FDF"/>
    <w:rsid w:val="00C5390A"/>
    <w:rsid w:val="00C63381"/>
    <w:rsid w:val="00C73D06"/>
    <w:rsid w:val="00C73E1B"/>
    <w:rsid w:val="00C759B4"/>
    <w:rsid w:val="00C77713"/>
    <w:rsid w:val="00C85BB7"/>
    <w:rsid w:val="00C9292F"/>
    <w:rsid w:val="00CA2DEA"/>
    <w:rsid w:val="00CB43D5"/>
    <w:rsid w:val="00CC4D84"/>
    <w:rsid w:val="00CE198A"/>
    <w:rsid w:val="00CF08C8"/>
    <w:rsid w:val="00D004FC"/>
    <w:rsid w:val="00D26023"/>
    <w:rsid w:val="00D34AC9"/>
    <w:rsid w:val="00D64901"/>
    <w:rsid w:val="00D76BDF"/>
    <w:rsid w:val="00D862C1"/>
    <w:rsid w:val="00D93B50"/>
    <w:rsid w:val="00D94028"/>
    <w:rsid w:val="00D94670"/>
    <w:rsid w:val="00D94A1A"/>
    <w:rsid w:val="00DA1FC5"/>
    <w:rsid w:val="00DA46F6"/>
    <w:rsid w:val="00DB4CCB"/>
    <w:rsid w:val="00DD0B49"/>
    <w:rsid w:val="00DE0502"/>
    <w:rsid w:val="00DE349D"/>
    <w:rsid w:val="00E06DFA"/>
    <w:rsid w:val="00E15588"/>
    <w:rsid w:val="00E20A0A"/>
    <w:rsid w:val="00E22137"/>
    <w:rsid w:val="00E23F29"/>
    <w:rsid w:val="00E356C7"/>
    <w:rsid w:val="00E45FE4"/>
    <w:rsid w:val="00E64DF7"/>
    <w:rsid w:val="00E64FA7"/>
    <w:rsid w:val="00E770CB"/>
    <w:rsid w:val="00E903A1"/>
    <w:rsid w:val="00E940EB"/>
    <w:rsid w:val="00E953B5"/>
    <w:rsid w:val="00E968F0"/>
    <w:rsid w:val="00E9703F"/>
    <w:rsid w:val="00EA0D3F"/>
    <w:rsid w:val="00EB2B90"/>
    <w:rsid w:val="00EB2EDD"/>
    <w:rsid w:val="00ED7E83"/>
    <w:rsid w:val="00EE091F"/>
    <w:rsid w:val="00EF4B63"/>
    <w:rsid w:val="00EF61C9"/>
    <w:rsid w:val="00F0068D"/>
    <w:rsid w:val="00F0576D"/>
    <w:rsid w:val="00F14E6D"/>
    <w:rsid w:val="00F15EA8"/>
    <w:rsid w:val="00F16C8D"/>
    <w:rsid w:val="00F26C61"/>
    <w:rsid w:val="00F33CCE"/>
    <w:rsid w:val="00F40249"/>
    <w:rsid w:val="00F420BE"/>
    <w:rsid w:val="00F526C8"/>
    <w:rsid w:val="00F761A3"/>
    <w:rsid w:val="00F9272D"/>
    <w:rsid w:val="00F9518C"/>
    <w:rsid w:val="00FA316E"/>
    <w:rsid w:val="00FA59EF"/>
    <w:rsid w:val="00FB19A2"/>
    <w:rsid w:val="00FE657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442710"/>
    <w:pPr>
      <w:jc w:val="both"/>
    </w:pPr>
    <w:rPr>
      <w:b/>
    </w:rPr>
  </w:style>
  <w:style w:type="character" w:customStyle="1" w:styleId="SCCLsocPartyChar">
    <w:name w:val="SCC.Lsoc.Party Char"/>
    <w:basedOn w:val="DefaultParagraphFont"/>
    <w:link w:val="SCCLsocParty"/>
    <w:rsid w:val="00442710"/>
    <w:rPr>
      <w:b/>
      <w:lang w:val="en-CA"/>
    </w:rPr>
  </w:style>
  <w:style w:type="paragraph" w:customStyle="1" w:styleId="SCCBanSummary">
    <w:name w:val="SCC.BanSummary"/>
    <w:basedOn w:val="Normal"/>
    <w:next w:val="Normal"/>
    <w:link w:val="SCCBanSummaryChar"/>
    <w:rsid w:val="0001762E"/>
    <w:pPr>
      <w:jc w:val="both"/>
    </w:pPr>
    <w:rPr>
      <w:smallCaps/>
    </w:rPr>
  </w:style>
  <w:style w:type="character" w:customStyle="1" w:styleId="SCCBanSummaryChar">
    <w:name w:val="SCC.BanSummary Char"/>
    <w:basedOn w:val="DefaultParagraphFont"/>
    <w:link w:val="SCCBanSummary"/>
    <w:rsid w:val="0001762E"/>
    <w:rPr>
      <w:smallCaps/>
      <w:lang w:val="en-CA"/>
    </w:rPr>
  </w:style>
  <w:style w:type="table" w:customStyle="1" w:styleId="TableGrid1">
    <w:name w:val="Table Grid1"/>
    <w:basedOn w:val="TableNormal"/>
    <w:next w:val="TableGrid"/>
    <w:uiPriority w:val="59"/>
    <w:rsid w:val="009074E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OtherPartySeparator">
    <w:name w:val="SCC.Lsoc.OtherPartySeparator"/>
    <w:basedOn w:val="Normal"/>
    <w:next w:val="Normal"/>
    <w:link w:val="SCCLsocOtherPartySeparatorChar"/>
    <w:rsid w:val="009856BE"/>
    <w:pPr>
      <w:spacing w:after="720"/>
    </w:pPr>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9856BE"/>
    <w:rPr>
      <w:rFonts w:eastAsia="Times New Roman" w:cs="Times New Roman"/>
      <w:szCs w:val="20"/>
      <w:lang w:val="en-CA" w:eastAsia="en-CA"/>
    </w:rPr>
  </w:style>
  <w:style w:type="paragraph" w:customStyle="1" w:styleId="SCCLsocLastPartyInRole">
    <w:name w:val="SCC.Lsoc.LastPartyInRole"/>
    <w:basedOn w:val="Normal"/>
    <w:next w:val="Normal"/>
    <w:link w:val="SCCLsocLastPartyInRoleChar"/>
    <w:qFormat/>
    <w:rsid w:val="009856BE"/>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9856BE"/>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on/onca/doc/2011/2011onca467/2011onca467.html" TargetMode="External"/><Relationship Id="rId39" Type="http://schemas.openxmlformats.org/officeDocument/2006/relationships/hyperlink" Target="http://www.canlii.org/en/on/onca/doc/2013/2013onca506/2013onca506.html?searchUrlHash=AAAAAQANMjAxMyBvbmNhIDUwNgAAAAAB" TargetMode="External"/><Relationship Id="rId21" Type="http://schemas.openxmlformats.org/officeDocument/2006/relationships/header" Target="header6.xml"/><Relationship Id="rId34" Type="http://schemas.openxmlformats.org/officeDocument/2006/relationships/hyperlink" Target="http://www.canlii.org/en/on/onsc/doc/2012/2012onsc3344/2012onsc3344.html" TargetMode="Externa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footer" Target="footer12.xml"/><Relationship Id="rId55" Type="http://schemas.openxmlformats.org/officeDocument/2006/relationships/footer" Target="footer14.xml"/><Relationship Id="rId63" Type="http://schemas.openxmlformats.org/officeDocument/2006/relationships/footer" Target="footer18.xml"/><Relationship Id="rId68" Type="http://schemas.openxmlformats.org/officeDocument/2006/relationships/footer" Target="footer20.xml"/><Relationship Id="rId76"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on/onsc/doc/2013/2013onsc1251/2013onsc1251.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file:///\\c-doc\DavWWWRoot\L25\01\05\35648_Leave%20opinion-Avis%20demande_levasseuk_En.docx" TargetMode="External"/><Relationship Id="rId37" Type="http://schemas.openxmlformats.org/officeDocument/2006/relationships/hyperlink" Target="http://canlii.ca/en/on/onsc/doc/2013/2013onsc1232/2013onsc1232.html" TargetMode="External"/><Relationship Id="rId40" Type="http://schemas.openxmlformats.org/officeDocument/2006/relationships/hyperlink" Target="http://www.canlii.org/en/on/onca/doc/2013/2013onca506/2013onca506.html?searchUrlHash=AAAAAQANMjAxMyBvbmNhIDUwNgAAAAAB"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16.xml"/><Relationship Id="rId66" Type="http://schemas.openxmlformats.org/officeDocument/2006/relationships/header" Target="header20.xml"/><Relationship Id="rId74" Type="http://schemas.openxmlformats.org/officeDocument/2006/relationships/header" Target="header2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8.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canlii.org/en/on/onca/doc/2013/2013onca626/2013onca626.html" TargetMode="External"/><Relationship Id="rId44" Type="http://schemas.openxmlformats.org/officeDocument/2006/relationships/footer" Target="footer9.xml"/><Relationship Id="rId52" Type="http://schemas.openxmlformats.org/officeDocument/2006/relationships/footer" Target="footer13.xml"/><Relationship Id="rId60" Type="http://schemas.openxmlformats.org/officeDocument/2006/relationships/header" Target="header17.xml"/><Relationship Id="rId65" Type="http://schemas.openxmlformats.org/officeDocument/2006/relationships/footer" Target="footer19.xml"/><Relationship Id="rId73" Type="http://schemas.openxmlformats.org/officeDocument/2006/relationships/footer" Target="footer2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on/onsc/doc/2012/2012onsc3344/2012onsc3344.html" TargetMode="External"/><Relationship Id="rId30" Type="http://schemas.openxmlformats.org/officeDocument/2006/relationships/hyperlink" Target="http://canlii.ca/en/on/onsc/doc/2013/2013onsc1232/2013onsc1232.html" TargetMode="External"/><Relationship Id="rId35" Type="http://schemas.openxmlformats.org/officeDocument/2006/relationships/hyperlink" Target="http://www.canlii.org/en/on/onsc/doc/2012/2012onsc6000/2012onsc6000.html" TargetMode="External"/><Relationship Id="rId43" Type="http://schemas.openxmlformats.org/officeDocument/2006/relationships/footer" Target="footer8.xml"/><Relationship Id="rId48" Type="http://schemas.openxmlformats.org/officeDocument/2006/relationships/header" Target="header12.xml"/><Relationship Id="rId56" Type="http://schemas.openxmlformats.org/officeDocument/2006/relationships/footer" Target="footer15.xml"/><Relationship Id="rId64" Type="http://schemas.openxmlformats.org/officeDocument/2006/relationships/header" Target="header19.xml"/><Relationship Id="rId69" Type="http://schemas.openxmlformats.org/officeDocument/2006/relationships/footer" Target="footer21.xml"/><Relationship Id="rId77" Type="http://schemas.openxmlformats.org/officeDocument/2006/relationships/footer" Target="footer25.xml"/><Relationship Id="rId8" Type="http://schemas.openxmlformats.org/officeDocument/2006/relationships/image" Target="media/image1.wmf"/><Relationship Id="rId51" Type="http://schemas.openxmlformats.org/officeDocument/2006/relationships/header" Target="header13.xml"/><Relationship Id="rId72"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file:///\\c-doc\DavWWWRoot\L25\01\05\35648_Leave%20opinion-Avis%20demande_levasseuk_En.docx" TargetMode="External"/><Relationship Id="rId33" Type="http://schemas.openxmlformats.org/officeDocument/2006/relationships/hyperlink" Target="http://www.canlii.org/en/on/onca/doc/2011/2011onca467/2011onca467.html" TargetMode="External"/><Relationship Id="rId38" Type="http://schemas.openxmlformats.org/officeDocument/2006/relationships/hyperlink" Target="http://www.canlii.org/en/on/onca/doc/2013/2013onca626/2013onca626.html" TargetMode="External"/><Relationship Id="rId46" Type="http://schemas.openxmlformats.org/officeDocument/2006/relationships/footer" Target="footer10.xml"/><Relationship Id="rId59" Type="http://schemas.openxmlformats.org/officeDocument/2006/relationships/hyperlink" Target="http://www.scc-csc.ca/case-dossier/info/sum-som-eng.aspx?cas=35176" TargetMode="External"/><Relationship Id="rId67" Type="http://schemas.openxmlformats.org/officeDocument/2006/relationships/header" Target="header21.xml"/><Relationship Id="rId20" Type="http://schemas.openxmlformats.org/officeDocument/2006/relationships/footer" Target="footer5.xml"/><Relationship Id="rId41" Type="http://schemas.openxmlformats.org/officeDocument/2006/relationships/header" Target="header8.xml"/><Relationship Id="rId54" Type="http://schemas.openxmlformats.org/officeDocument/2006/relationships/header" Target="header15.xml"/><Relationship Id="rId62" Type="http://schemas.openxmlformats.org/officeDocument/2006/relationships/footer" Target="footer17.xml"/><Relationship Id="rId70" Type="http://schemas.openxmlformats.org/officeDocument/2006/relationships/header" Target="header22.xml"/><Relationship Id="rId75"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sc/doc/2012/2012onsc6000/2012onsc6000.html" TargetMode="External"/><Relationship Id="rId36" Type="http://schemas.openxmlformats.org/officeDocument/2006/relationships/hyperlink" Target="http://www.canlii.org/en/on/onsc/doc/2013/2013onsc1251/2013onsc1251.html" TargetMode="External"/><Relationship Id="rId49" Type="http://schemas.openxmlformats.org/officeDocument/2006/relationships/footer" Target="footer11.xml"/><Relationship Id="rId5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DA4DE-7E1C-4611-8FE6-89ACE9DA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18002</Words>
  <Characters>102616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2014-02-27T18:43:00Z</dcterms:created>
  <dcterms:modified xsi:type="dcterms:W3CDTF">2015-12-15T20:57:00Z</dcterms:modified>
</cp:coreProperties>
</file>