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4F01F8"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4F01F8"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4F01F8"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4F01F8"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4F01F8" w:rsidTr="002E5576">
        <w:tc>
          <w:tcPr>
            <w:tcW w:w="4518" w:type="dxa"/>
          </w:tcPr>
          <w:p w:rsidR="00BF25F3" w:rsidRPr="002E2327" w:rsidRDefault="006A1D9A"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6A1D9A"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4F01F8"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4F01F8"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w:t>
              </w:r>
              <w:r w:rsidR="004F01F8">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w:t>
              </w:r>
              <w:r w:rsidR="004F01F8">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730B5B" w:rsidP="00F0068D">
      <w:pPr>
        <w:pBdr>
          <w:bottom w:val="single" w:sz="6" w:space="1" w:color="auto"/>
        </w:pBdr>
        <w:tabs>
          <w:tab w:val="center" w:pos="4680"/>
          <w:tab w:val="right" w:pos="9360"/>
        </w:tabs>
        <w:rPr>
          <w:lang w:val="fr-CA"/>
        </w:rPr>
      </w:pPr>
      <w:r>
        <w:rPr>
          <w:lang w:val="fr-CA"/>
        </w:rPr>
        <w:t>M</w:t>
      </w:r>
      <w:r w:rsidR="00C73D06">
        <w:rPr>
          <w:lang w:val="fr-CA"/>
        </w:rPr>
        <w:t>ar</w:t>
      </w:r>
      <w:r>
        <w:rPr>
          <w:lang w:val="fr-CA"/>
        </w:rPr>
        <w:t>ch</w:t>
      </w:r>
      <w:r w:rsidR="00440E24" w:rsidRPr="00675479">
        <w:rPr>
          <w:lang w:val="fr-CA"/>
        </w:rPr>
        <w:t xml:space="preserve"> </w:t>
      </w:r>
      <w:r>
        <w:rPr>
          <w:lang w:val="fr-CA"/>
        </w:rPr>
        <w:t>28</w:t>
      </w:r>
      <w:r w:rsidR="00440E24" w:rsidRPr="00675479">
        <w:rPr>
          <w:lang w:val="fr-CA"/>
        </w:rPr>
        <w:t>, 201</w:t>
      </w:r>
      <w:r w:rsidR="00501F3C">
        <w:rPr>
          <w:lang w:val="fr-CA"/>
        </w:rPr>
        <w:t>4</w:t>
      </w:r>
      <w:r w:rsidR="00F0068D" w:rsidRPr="00675479">
        <w:rPr>
          <w:lang w:val="fr-CA"/>
        </w:rPr>
        <w:tab/>
      </w:r>
      <w:r w:rsidR="00A53D1B">
        <w:rPr>
          <w:lang w:val="fr-CA"/>
        </w:rPr>
        <w:t>534</w:t>
      </w:r>
      <w:r w:rsidR="00F0068D" w:rsidRPr="00675479">
        <w:rPr>
          <w:lang w:val="fr-CA"/>
        </w:rPr>
        <w:t xml:space="preserve"> - </w:t>
      </w:r>
      <w:r w:rsidR="00954D78">
        <w:rPr>
          <w:lang w:val="fr-CA"/>
        </w:rPr>
        <w:t>573</w:t>
      </w:r>
      <w:r w:rsidR="00440E24" w:rsidRPr="00675479">
        <w:rPr>
          <w:lang w:val="fr-CA"/>
        </w:rPr>
        <w:tab/>
      </w:r>
      <w:r w:rsidR="00440E24" w:rsidRPr="002E2327">
        <w:rPr>
          <w:lang w:val="fr-CA"/>
        </w:rPr>
        <w:t>Le</w:t>
      </w:r>
      <w:r w:rsidR="00C73D06">
        <w:rPr>
          <w:lang w:val="fr-CA"/>
        </w:rPr>
        <w:t xml:space="preserve"> </w:t>
      </w:r>
      <w:r>
        <w:rPr>
          <w:lang w:val="fr-CA"/>
        </w:rPr>
        <w:t>28 m</w:t>
      </w:r>
      <w:r w:rsidR="00440E24" w:rsidRPr="002E2327">
        <w:rPr>
          <w:lang w:val="fr-CA"/>
        </w:rPr>
        <w:t>a</w:t>
      </w:r>
      <w:r w:rsidR="00C73D06">
        <w:rPr>
          <w:lang w:val="fr-CA"/>
        </w:rPr>
        <w:t>r</w:t>
      </w:r>
      <w:r>
        <w:rPr>
          <w:lang w:val="fr-CA"/>
        </w:rPr>
        <w:t>s</w:t>
      </w:r>
      <w:r w:rsidR="00440E24" w:rsidRPr="002E2327">
        <w:rPr>
          <w:lang w:val="fr-CA"/>
        </w:rPr>
        <w:t xml:space="preserve"> 201</w:t>
      </w:r>
      <w:r w:rsidR="00501F3C">
        <w:rPr>
          <w:lang w:val="fr-CA"/>
        </w:rPr>
        <w:t>4</w:t>
      </w:r>
    </w:p>
    <w:p w:rsidR="00440E24" w:rsidRPr="00675479" w:rsidRDefault="00440E24" w:rsidP="00440E24">
      <w:pPr>
        <w:pBdr>
          <w:bottom w:val="single" w:sz="6" w:space="1" w:color="auto"/>
        </w:pBdr>
        <w:tabs>
          <w:tab w:val="right" w:pos="9360"/>
        </w:tabs>
        <w:rPr>
          <w:lang w:val="fr-CA"/>
        </w:rPr>
      </w:pPr>
    </w:p>
    <w:p w:rsidR="00440E24" w:rsidRPr="00501F3C" w:rsidRDefault="00440E24" w:rsidP="00440E24">
      <w:pPr>
        <w:pBdr>
          <w:bottom w:val="single" w:sz="6" w:space="1" w:color="auto"/>
        </w:pBdr>
        <w:tabs>
          <w:tab w:val="right" w:pos="9360"/>
        </w:tabs>
        <w:rPr>
          <w:sz w:val="18"/>
          <w:szCs w:val="18"/>
          <w:lang w:val="fr-CA"/>
        </w:rPr>
      </w:pPr>
      <w:r w:rsidRPr="00501F3C">
        <w:rPr>
          <w:sz w:val="18"/>
          <w:szCs w:val="18"/>
          <w:lang w:val="fr-CA"/>
        </w:rPr>
        <w:lastRenderedPageBreak/>
        <w:t>© Supreme Court of Canada (201</w:t>
      </w:r>
      <w:r w:rsidR="00501F3C">
        <w:rPr>
          <w:sz w:val="18"/>
          <w:szCs w:val="18"/>
          <w:lang w:val="fr-CA"/>
        </w:rPr>
        <w:t>4</w:t>
      </w:r>
      <w:r w:rsidRPr="00501F3C">
        <w:rPr>
          <w:sz w:val="18"/>
          <w:szCs w:val="18"/>
          <w:lang w:val="fr-CA"/>
        </w:rPr>
        <w:t>)</w:t>
      </w:r>
      <w:r w:rsidRPr="00501F3C">
        <w:rPr>
          <w:sz w:val="18"/>
          <w:szCs w:val="18"/>
          <w:lang w:val="fr-CA"/>
        </w:rPr>
        <w:tab/>
        <w:t>© Cour suprême du Canada (201</w:t>
      </w:r>
      <w:r w:rsidR="00501F3C">
        <w:rPr>
          <w:sz w:val="18"/>
          <w:szCs w:val="18"/>
          <w:lang w:val="fr-CA"/>
        </w:rPr>
        <w:t>4</w:t>
      </w:r>
      <w:r w:rsidRPr="00501F3C">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discontinuance filed since </w:t>
            </w:r>
          </w:p>
          <w:p w:rsidR="0095096B" w:rsidRPr="002E2327" w:rsidRDefault="0095096B" w:rsidP="0095096B">
            <w:pPr>
              <w:tabs>
                <w:tab w:val="right" w:pos="9360"/>
              </w:tabs>
              <w:rPr>
                <w:rFonts w:cs="Times New Roman"/>
                <w:sz w:val="20"/>
                <w:szCs w:val="20"/>
              </w:rPr>
            </w:pP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331679">
            <w:pPr>
              <w:tabs>
                <w:tab w:val="right" w:pos="9360"/>
              </w:tabs>
              <w:rPr>
                <w:rFonts w:cs="Times New Roman"/>
                <w:sz w:val="20"/>
                <w:szCs w:val="20"/>
              </w:rPr>
            </w:pPr>
          </w:p>
        </w:tc>
        <w:tc>
          <w:tcPr>
            <w:tcW w:w="1980" w:type="dxa"/>
          </w:tcPr>
          <w:p w:rsidR="0095096B" w:rsidRPr="002E2327" w:rsidRDefault="00141C6D" w:rsidP="0095096B">
            <w:pPr>
              <w:jc w:val="center"/>
              <w:rPr>
                <w:rFonts w:cs="Times New Roman"/>
                <w:sz w:val="20"/>
                <w:szCs w:val="20"/>
              </w:rPr>
            </w:pPr>
            <w:r>
              <w:rPr>
                <w:rFonts w:cs="Times New Roman"/>
                <w:sz w:val="20"/>
                <w:szCs w:val="20"/>
              </w:rPr>
              <w:t>534</w:t>
            </w:r>
            <w:r w:rsidR="006A1D9A" w:rsidRPr="002E2327">
              <w:rPr>
                <w:rFonts w:cs="Times New Roman"/>
                <w:sz w:val="20"/>
                <w:szCs w:val="20"/>
              </w:rPr>
              <w:fldChar w:fldCharType="begin"/>
            </w:r>
            <w:r w:rsidR="0095096B" w:rsidRPr="002E2327">
              <w:rPr>
                <w:rFonts w:cs="Times New Roman"/>
                <w:sz w:val="20"/>
                <w:szCs w:val="20"/>
              </w:rPr>
              <w:instrText xml:space="preserve"> SEQ CHAPTER \h \r 1</w:instrText>
            </w:r>
            <w:r w:rsidR="006A1D9A"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141C6D" w:rsidP="0095096B">
            <w:pPr>
              <w:jc w:val="center"/>
              <w:rPr>
                <w:rFonts w:cs="Times New Roman"/>
                <w:sz w:val="20"/>
                <w:szCs w:val="20"/>
              </w:rPr>
            </w:pPr>
            <w:r>
              <w:rPr>
                <w:rFonts w:cs="Times New Roman"/>
                <w:sz w:val="20"/>
                <w:szCs w:val="20"/>
              </w:rPr>
              <w:t>535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A176F" w:rsidP="0095096B">
            <w:pPr>
              <w:jc w:val="center"/>
              <w:rPr>
                <w:rFonts w:cs="Times New Roman"/>
                <w:sz w:val="20"/>
                <w:szCs w:val="20"/>
              </w:rPr>
            </w:pPr>
            <w:r>
              <w:rPr>
                <w:rFonts w:cs="Times New Roman"/>
                <w:sz w:val="20"/>
                <w:szCs w:val="20"/>
              </w:rPr>
              <w:t xml:space="preserve">536 </w:t>
            </w:r>
            <w:r w:rsidR="0095096B" w:rsidRPr="002E2327">
              <w:rPr>
                <w:rFonts w:cs="Times New Roman"/>
                <w:sz w:val="20"/>
                <w:szCs w:val="20"/>
              </w:rPr>
              <w:t>-</w:t>
            </w:r>
            <w:r w:rsidR="007A5AE5">
              <w:rPr>
                <w:rFonts w:cs="Times New Roman"/>
                <w:sz w:val="20"/>
                <w:szCs w:val="20"/>
              </w:rPr>
              <w:t xml:space="preserve"> 549</w:t>
            </w:r>
          </w:p>
          <w:p w:rsidR="0095096B" w:rsidRPr="002E2327" w:rsidRDefault="0095096B" w:rsidP="0095096B">
            <w:pPr>
              <w:jc w:val="center"/>
              <w:rPr>
                <w:rFonts w:cs="Times New Roman"/>
                <w:sz w:val="20"/>
                <w:szCs w:val="20"/>
              </w:rPr>
            </w:pPr>
          </w:p>
          <w:p w:rsidR="007A5AE5" w:rsidRDefault="007A5AE5" w:rsidP="0095096B">
            <w:pPr>
              <w:jc w:val="center"/>
              <w:rPr>
                <w:rFonts w:cs="Times New Roman"/>
                <w:sz w:val="20"/>
                <w:szCs w:val="20"/>
              </w:rPr>
            </w:pPr>
          </w:p>
          <w:p w:rsidR="0095096B" w:rsidRPr="002E2327" w:rsidRDefault="007A5AE5" w:rsidP="0095096B">
            <w:pPr>
              <w:jc w:val="center"/>
              <w:rPr>
                <w:rFonts w:cs="Times New Roman"/>
                <w:sz w:val="20"/>
                <w:szCs w:val="20"/>
              </w:rPr>
            </w:pPr>
            <w:r>
              <w:rPr>
                <w:rFonts w:cs="Times New Roman"/>
                <w:sz w:val="20"/>
                <w:szCs w:val="20"/>
              </w:rPr>
              <w:t xml:space="preserve">550 </w:t>
            </w:r>
            <w:r w:rsidR="0095096B" w:rsidRPr="002E2327">
              <w:rPr>
                <w:rFonts w:cs="Times New Roman"/>
                <w:sz w:val="20"/>
                <w:szCs w:val="20"/>
              </w:rPr>
              <w:t>-</w:t>
            </w:r>
            <w:r>
              <w:rPr>
                <w:rFonts w:cs="Times New Roman"/>
                <w:sz w:val="20"/>
                <w:szCs w:val="20"/>
              </w:rPr>
              <w:t xml:space="preserve"> 554</w:t>
            </w:r>
          </w:p>
          <w:p w:rsidR="0095096B" w:rsidRPr="002E2327" w:rsidRDefault="0095096B" w:rsidP="0095096B">
            <w:pPr>
              <w:jc w:val="center"/>
              <w:rPr>
                <w:rFonts w:cs="Times New Roman"/>
                <w:sz w:val="20"/>
                <w:szCs w:val="20"/>
              </w:rPr>
            </w:pPr>
          </w:p>
          <w:p w:rsidR="0095096B" w:rsidRDefault="007A5AE5" w:rsidP="0095096B">
            <w:pPr>
              <w:jc w:val="center"/>
              <w:rPr>
                <w:rFonts w:cs="Times New Roman"/>
                <w:sz w:val="20"/>
                <w:szCs w:val="20"/>
              </w:rPr>
            </w:pPr>
            <w:r>
              <w:rPr>
                <w:rFonts w:cs="Times New Roman"/>
                <w:sz w:val="20"/>
                <w:szCs w:val="20"/>
              </w:rPr>
              <w:t>555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7A5AE5" w:rsidP="0095096B">
            <w:pPr>
              <w:jc w:val="center"/>
              <w:rPr>
                <w:rFonts w:cs="Times New Roman"/>
                <w:sz w:val="20"/>
                <w:szCs w:val="20"/>
              </w:rPr>
            </w:pPr>
            <w:r>
              <w:rPr>
                <w:rFonts w:cs="Times New Roman"/>
                <w:sz w:val="20"/>
                <w:szCs w:val="20"/>
              </w:rPr>
              <w:t>556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7A5AE5" w:rsidP="0095096B">
            <w:pPr>
              <w:jc w:val="center"/>
              <w:rPr>
                <w:rFonts w:cs="Times New Roman"/>
                <w:sz w:val="20"/>
                <w:szCs w:val="20"/>
              </w:rPr>
            </w:pPr>
            <w:r>
              <w:rPr>
                <w:rFonts w:cs="Times New Roman"/>
                <w:sz w:val="20"/>
                <w:szCs w:val="20"/>
              </w:rPr>
              <w:t xml:space="preserve">557 </w:t>
            </w:r>
            <w:r w:rsidR="0095096B" w:rsidRPr="002E2327">
              <w:rPr>
                <w:rFonts w:cs="Times New Roman"/>
                <w:sz w:val="20"/>
                <w:szCs w:val="20"/>
              </w:rPr>
              <w:t>-</w:t>
            </w:r>
            <w:r>
              <w:rPr>
                <w:rFonts w:cs="Times New Roman"/>
                <w:sz w:val="20"/>
                <w:szCs w:val="20"/>
              </w:rPr>
              <w:t xml:space="preserve"> </w:t>
            </w:r>
            <w:r w:rsidR="00E50AF3">
              <w:rPr>
                <w:rFonts w:cs="Times New Roman"/>
                <w:sz w:val="20"/>
                <w:szCs w:val="20"/>
              </w:rPr>
              <w:t>562</w:t>
            </w:r>
          </w:p>
          <w:p w:rsidR="0095096B" w:rsidRPr="002E2327" w:rsidRDefault="0095096B" w:rsidP="0095096B">
            <w:pPr>
              <w:jc w:val="center"/>
              <w:rPr>
                <w:rFonts w:cs="Times New Roman"/>
                <w:sz w:val="20"/>
                <w:szCs w:val="20"/>
              </w:rPr>
            </w:pPr>
          </w:p>
          <w:p w:rsidR="00E50AF3" w:rsidRDefault="00E50AF3" w:rsidP="0095096B">
            <w:pPr>
              <w:jc w:val="center"/>
              <w:rPr>
                <w:rFonts w:cs="Times New Roman"/>
                <w:sz w:val="20"/>
                <w:szCs w:val="20"/>
              </w:rPr>
            </w:pPr>
          </w:p>
          <w:p w:rsidR="0095096B" w:rsidRPr="002E2327" w:rsidRDefault="00E50AF3" w:rsidP="0095096B">
            <w:pPr>
              <w:jc w:val="center"/>
              <w:rPr>
                <w:rFonts w:cs="Times New Roman"/>
                <w:sz w:val="20"/>
                <w:szCs w:val="20"/>
              </w:rPr>
            </w:pPr>
            <w:r>
              <w:rPr>
                <w:rFonts w:cs="Times New Roman"/>
                <w:sz w:val="20"/>
                <w:szCs w:val="20"/>
              </w:rPr>
              <w:t>563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E2EAB" w:rsidP="0095096B">
            <w:pPr>
              <w:jc w:val="center"/>
              <w:rPr>
                <w:rFonts w:cs="Times New Roman"/>
                <w:sz w:val="20"/>
                <w:szCs w:val="20"/>
              </w:rPr>
            </w:pPr>
            <w:r>
              <w:rPr>
                <w:rFonts w:cs="Times New Roman"/>
                <w:sz w:val="20"/>
                <w:szCs w:val="20"/>
              </w:rPr>
              <w:t xml:space="preserve">564 </w:t>
            </w:r>
            <w:r w:rsidR="0095096B" w:rsidRPr="002E2327">
              <w:rPr>
                <w:rFonts w:cs="Times New Roman"/>
                <w:sz w:val="20"/>
                <w:szCs w:val="20"/>
              </w:rPr>
              <w:t>-</w:t>
            </w:r>
            <w:r>
              <w:rPr>
                <w:rFonts w:cs="Times New Roman"/>
                <w:sz w:val="20"/>
                <w:szCs w:val="20"/>
              </w:rPr>
              <w:t xml:space="preserve"> 573</w:t>
            </w:r>
          </w:p>
          <w:p w:rsidR="00A87207" w:rsidRPr="002E2327" w:rsidRDefault="00A87207" w:rsidP="00331679">
            <w:pPr>
              <w:tabs>
                <w:tab w:val="right" w:pos="9360"/>
              </w:tabs>
              <w:jc w:val="center"/>
              <w:rPr>
                <w:rFonts w:cs="Times New Roman"/>
                <w:sz w:val="20"/>
                <w:szCs w:val="20"/>
              </w:rPr>
            </w:pPr>
          </w:p>
        </w:tc>
        <w:tc>
          <w:tcPr>
            <w:tcW w:w="3888" w:type="dxa"/>
          </w:tcPr>
          <w:p w:rsidR="0095096B" w:rsidRPr="002E2327" w:rsidRDefault="006A1D9A"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de désistement déposés depuis la 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331679">
            <w:pPr>
              <w:tabs>
                <w:tab w:val="right" w:pos="9360"/>
              </w:tabs>
              <w:rPr>
                <w:rFonts w:cs="Times New Roman"/>
                <w:sz w:val="20"/>
                <w:szCs w:val="20"/>
                <w:lang w:val="fr-CA"/>
              </w:rPr>
            </w:pPr>
          </w:p>
        </w:tc>
      </w:tr>
    </w:tbl>
    <w:p w:rsidR="0095096B" w:rsidRPr="00331679" w:rsidRDefault="0095096B" w:rsidP="0095096B">
      <w:pPr>
        <w:tabs>
          <w:tab w:val="right" w:pos="9360"/>
        </w:tabs>
        <w:rPr>
          <w:sz w:val="20"/>
          <w:szCs w:val="20"/>
        </w:rPr>
      </w:pPr>
    </w:p>
    <w:p w:rsidR="00331679" w:rsidRDefault="00331679" w:rsidP="0095096B">
      <w:pPr>
        <w:tabs>
          <w:tab w:val="right" w:pos="9360"/>
        </w:tabs>
        <w:rPr>
          <w:sz w:val="20"/>
          <w:szCs w:val="20"/>
        </w:rPr>
      </w:pPr>
    </w:p>
    <w:p w:rsidR="00331679" w:rsidRDefault="00331679" w:rsidP="0095096B">
      <w:pPr>
        <w:tabs>
          <w:tab w:val="right" w:pos="9360"/>
        </w:tabs>
        <w:rPr>
          <w:sz w:val="20"/>
          <w:szCs w:val="20"/>
        </w:rPr>
      </w:pPr>
    </w:p>
    <w:p w:rsidR="00331679" w:rsidRPr="00331679" w:rsidRDefault="00331679" w:rsidP="0095096B">
      <w:pPr>
        <w:tabs>
          <w:tab w:val="right" w:pos="9360"/>
        </w:tabs>
        <w:rPr>
          <w:sz w:val="20"/>
          <w:szCs w:val="20"/>
        </w:rPr>
      </w:pPr>
    </w:p>
    <w:p w:rsidR="00331679" w:rsidRPr="00331679" w:rsidRDefault="00331679" w:rsidP="0095096B">
      <w:pPr>
        <w:tabs>
          <w:tab w:val="right" w:pos="9360"/>
        </w:tabs>
        <w:rPr>
          <w:sz w:val="20"/>
          <w:szCs w:val="20"/>
        </w:rPr>
      </w:pPr>
    </w:p>
    <w:tbl>
      <w:tblPr>
        <w:tblStyle w:val="TableGrid"/>
        <w:tblW w:w="0" w:type="auto"/>
        <w:tblLook w:val="04A0" w:firstRow="1" w:lastRow="0" w:firstColumn="1" w:lastColumn="0" w:noHBand="0" w:noVBand="1"/>
      </w:tblPr>
      <w:tblGrid>
        <w:gridCol w:w="9576"/>
      </w:tblGrid>
      <w:tr w:rsidR="0079724F" w:rsidRPr="004F01F8"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730B5B" w:rsidRPr="00A935AA" w:rsidTr="001B1E7F">
        <w:tc>
          <w:tcPr>
            <w:tcW w:w="4320" w:type="dxa"/>
            <w:shd w:val="clear" w:color="auto" w:fill="auto"/>
          </w:tcPr>
          <w:p w:rsidR="00730B5B" w:rsidRPr="00A935AA" w:rsidRDefault="006034F4" w:rsidP="001B1E7F">
            <w:pPr>
              <w:rPr>
                <w:b/>
                <w:sz w:val="20"/>
                <w:szCs w:val="20"/>
              </w:rPr>
            </w:pPr>
            <w:r>
              <w:rPr>
                <w:b/>
                <w:sz w:val="20"/>
                <w:szCs w:val="20"/>
              </w:rPr>
              <w:t>Allan George Bassenden</w:t>
            </w:r>
          </w:p>
          <w:p w:rsidR="00730B5B" w:rsidRPr="00A935AA" w:rsidRDefault="00730B5B" w:rsidP="001B1E7F">
            <w:pPr>
              <w:tabs>
                <w:tab w:val="left" w:pos="-1440"/>
                <w:tab w:val="left" w:pos="-720"/>
              </w:tabs>
              <w:rPr>
                <w:sz w:val="20"/>
                <w:szCs w:val="20"/>
              </w:rPr>
            </w:pPr>
            <w:r w:rsidRPr="00A935AA">
              <w:rPr>
                <w:sz w:val="20"/>
                <w:szCs w:val="20"/>
              </w:rPr>
              <w:tab/>
            </w:r>
            <w:r w:rsidR="006034F4">
              <w:rPr>
                <w:sz w:val="20"/>
                <w:szCs w:val="20"/>
              </w:rPr>
              <w:t>Allan George Bassenden</w:t>
            </w:r>
          </w:p>
          <w:p w:rsidR="00730B5B" w:rsidRPr="00A935AA" w:rsidRDefault="00730B5B" w:rsidP="001B1E7F">
            <w:pPr>
              <w:tabs>
                <w:tab w:val="left" w:pos="-1440"/>
                <w:tab w:val="left" w:pos="-720"/>
              </w:tabs>
              <w:rPr>
                <w:sz w:val="20"/>
                <w:szCs w:val="20"/>
              </w:rPr>
            </w:pPr>
          </w:p>
          <w:p w:rsidR="00730B5B" w:rsidRPr="00A935AA" w:rsidRDefault="00730B5B" w:rsidP="001B1E7F">
            <w:pPr>
              <w:tabs>
                <w:tab w:val="left" w:pos="-1440"/>
                <w:tab w:val="left" w:pos="-720"/>
              </w:tabs>
              <w:rPr>
                <w:sz w:val="20"/>
                <w:szCs w:val="20"/>
              </w:rPr>
            </w:pPr>
            <w:r w:rsidRPr="00A935AA">
              <w:rPr>
                <w:sz w:val="20"/>
                <w:szCs w:val="20"/>
              </w:rPr>
              <w:tab/>
              <w:t>v. (3</w:t>
            </w:r>
            <w:r>
              <w:rPr>
                <w:sz w:val="20"/>
                <w:szCs w:val="20"/>
              </w:rPr>
              <w:t>5</w:t>
            </w:r>
            <w:r w:rsidR="006034F4">
              <w:rPr>
                <w:sz w:val="20"/>
                <w:szCs w:val="20"/>
              </w:rPr>
              <w:t>753</w:t>
            </w:r>
            <w:r w:rsidRPr="00A935AA">
              <w:rPr>
                <w:sz w:val="20"/>
                <w:szCs w:val="20"/>
              </w:rPr>
              <w:t>)</w:t>
            </w:r>
          </w:p>
          <w:p w:rsidR="00730B5B" w:rsidRPr="00A935AA" w:rsidRDefault="00730B5B" w:rsidP="001B1E7F">
            <w:pPr>
              <w:tabs>
                <w:tab w:val="left" w:pos="-1440"/>
                <w:tab w:val="left" w:pos="-720"/>
              </w:tabs>
              <w:rPr>
                <w:sz w:val="20"/>
                <w:szCs w:val="20"/>
              </w:rPr>
            </w:pPr>
          </w:p>
          <w:p w:rsidR="00730B5B" w:rsidRPr="00A935AA" w:rsidRDefault="006034F4" w:rsidP="001B1E7F">
            <w:pPr>
              <w:tabs>
                <w:tab w:val="left" w:pos="-1440"/>
                <w:tab w:val="left" w:pos="-720"/>
              </w:tabs>
              <w:rPr>
                <w:b/>
                <w:sz w:val="20"/>
                <w:szCs w:val="20"/>
              </w:rPr>
            </w:pPr>
            <w:r>
              <w:rPr>
                <w:b/>
                <w:sz w:val="20"/>
                <w:szCs w:val="20"/>
              </w:rPr>
              <w:t xml:space="preserve">City of Saint-Lazare </w:t>
            </w:r>
            <w:r w:rsidR="00730B5B" w:rsidRPr="00A935AA">
              <w:rPr>
                <w:b/>
                <w:sz w:val="20"/>
                <w:szCs w:val="20"/>
              </w:rPr>
              <w:t>(</w:t>
            </w:r>
            <w:r>
              <w:rPr>
                <w:b/>
                <w:sz w:val="20"/>
                <w:szCs w:val="20"/>
              </w:rPr>
              <w:t>Que</w:t>
            </w:r>
            <w:r w:rsidR="00730B5B" w:rsidRPr="00A935AA">
              <w:rPr>
                <w:b/>
                <w:sz w:val="20"/>
                <w:szCs w:val="20"/>
              </w:rPr>
              <w:t>.)</w:t>
            </w:r>
          </w:p>
          <w:p w:rsidR="00730B5B" w:rsidRPr="00A935AA" w:rsidRDefault="00730B5B" w:rsidP="001B1E7F">
            <w:pPr>
              <w:tabs>
                <w:tab w:val="left" w:pos="-1440"/>
                <w:tab w:val="left" w:pos="-720"/>
              </w:tabs>
              <w:rPr>
                <w:sz w:val="20"/>
                <w:szCs w:val="20"/>
              </w:rPr>
            </w:pPr>
            <w:r w:rsidRPr="00A935AA">
              <w:rPr>
                <w:sz w:val="20"/>
                <w:szCs w:val="20"/>
              </w:rPr>
              <w:tab/>
            </w:r>
            <w:r w:rsidR="006034F4">
              <w:rPr>
                <w:sz w:val="20"/>
                <w:szCs w:val="20"/>
              </w:rPr>
              <w:t>Jean-Gabriel Mercier-Rancourt</w:t>
            </w:r>
          </w:p>
          <w:p w:rsidR="00730B5B" w:rsidRPr="00A935AA" w:rsidRDefault="00730B5B" w:rsidP="001B1E7F">
            <w:pPr>
              <w:tabs>
                <w:tab w:val="left" w:pos="-1440"/>
                <w:tab w:val="left" w:pos="-720"/>
              </w:tabs>
              <w:rPr>
                <w:sz w:val="20"/>
                <w:szCs w:val="20"/>
              </w:rPr>
            </w:pPr>
            <w:r w:rsidRPr="00A935AA">
              <w:rPr>
                <w:sz w:val="20"/>
                <w:szCs w:val="20"/>
              </w:rPr>
              <w:tab/>
            </w:r>
            <w:r w:rsidR="006034F4">
              <w:rPr>
                <w:sz w:val="20"/>
                <w:szCs w:val="20"/>
              </w:rPr>
              <w:t>Rancourt, Legault &amp; St-Onge</w:t>
            </w:r>
          </w:p>
          <w:p w:rsidR="00730B5B" w:rsidRPr="00A935AA" w:rsidRDefault="00730B5B" w:rsidP="001B1E7F">
            <w:pPr>
              <w:tabs>
                <w:tab w:val="left" w:pos="-1440"/>
                <w:tab w:val="left" w:pos="-720"/>
              </w:tabs>
              <w:rPr>
                <w:sz w:val="20"/>
                <w:szCs w:val="20"/>
              </w:rPr>
            </w:pPr>
          </w:p>
          <w:p w:rsidR="00730B5B" w:rsidRPr="00A935AA" w:rsidRDefault="006034F4" w:rsidP="001B1E7F">
            <w:pPr>
              <w:rPr>
                <w:sz w:val="20"/>
                <w:szCs w:val="20"/>
              </w:rPr>
            </w:pPr>
            <w:r>
              <w:rPr>
                <w:sz w:val="20"/>
                <w:szCs w:val="20"/>
              </w:rPr>
              <w:t>FILING DATE: 03</w:t>
            </w:r>
            <w:r w:rsidR="00730B5B" w:rsidRPr="00A935AA">
              <w:rPr>
                <w:sz w:val="20"/>
                <w:szCs w:val="20"/>
              </w:rPr>
              <w:t>.0</w:t>
            </w:r>
            <w:r>
              <w:rPr>
                <w:sz w:val="20"/>
                <w:szCs w:val="20"/>
              </w:rPr>
              <w:t>1</w:t>
            </w:r>
            <w:r w:rsidR="00730B5B" w:rsidRPr="00A935AA">
              <w:rPr>
                <w:sz w:val="20"/>
                <w:szCs w:val="20"/>
              </w:rPr>
              <w:t>.201</w:t>
            </w:r>
            <w:r w:rsidR="00730B5B">
              <w:rPr>
                <w:sz w:val="20"/>
                <w:szCs w:val="20"/>
              </w:rPr>
              <w:t>4</w:t>
            </w:r>
          </w:p>
          <w:p w:rsidR="00730B5B" w:rsidRPr="00A935AA" w:rsidRDefault="004F01F8" w:rsidP="001B1E7F">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730B5B" w:rsidRPr="00A935AA" w:rsidRDefault="00730B5B" w:rsidP="001B1E7F">
            <w:pPr>
              <w:jc w:val="center"/>
              <w:rPr>
                <w:sz w:val="20"/>
                <w:szCs w:val="20"/>
              </w:rPr>
            </w:pPr>
          </w:p>
          <w:p w:rsidR="00730B5B" w:rsidRPr="00A935AA" w:rsidRDefault="00730B5B" w:rsidP="001B1E7F">
            <w:pPr>
              <w:jc w:val="center"/>
              <w:rPr>
                <w:sz w:val="20"/>
                <w:szCs w:val="20"/>
              </w:rPr>
            </w:pPr>
          </w:p>
          <w:p w:rsidR="00730B5B" w:rsidRPr="00A935AA" w:rsidRDefault="00730B5B" w:rsidP="001B1E7F">
            <w:pPr>
              <w:jc w:val="center"/>
              <w:rPr>
                <w:sz w:val="20"/>
                <w:szCs w:val="20"/>
              </w:rPr>
            </w:pPr>
          </w:p>
          <w:p w:rsidR="00730B5B" w:rsidRPr="00A935AA" w:rsidRDefault="00730B5B" w:rsidP="001B1E7F">
            <w:pPr>
              <w:jc w:val="center"/>
              <w:rPr>
                <w:sz w:val="20"/>
                <w:szCs w:val="20"/>
              </w:rPr>
            </w:pPr>
          </w:p>
          <w:p w:rsidR="00730B5B" w:rsidRPr="00A935AA" w:rsidRDefault="00730B5B" w:rsidP="001B1E7F">
            <w:pPr>
              <w:jc w:val="center"/>
              <w:rPr>
                <w:sz w:val="20"/>
                <w:szCs w:val="20"/>
              </w:rPr>
            </w:pPr>
          </w:p>
          <w:p w:rsidR="00730B5B" w:rsidRPr="00A935AA" w:rsidRDefault="00730B5B" w:rsidP="001B1E7F">
            <w:pPr>
              <w:jc w:val="center"/>
              <w:rPr>
                <w:sz w:val="20"/>
                <w:szCs w:val="20"/>
              </w:rPr>
            </w:pPr>
          </w:p>
          <w:p w:rsidR="00730B5B" w:rsidRPr="00A935AA" w:rsidRDefault="00730B5B" w:rsidP="001B1E7F">
            <w:pPr>
              <w:jc w:val="center"/>
              <w:rPr>
                <w:sz w:val="20"/>
                <w:szCs w:val="20"/>
              </w:rPr>
            </w:pPr>
          </w:p>
          <w:p w:rsidR="00730B5B" w:rsidRPr="00A935AA" w:rsidRDefault="00730B5B" w:rsidP="001B1E7F">
            <w:pPr>
              <w:jc w:val="center"/>
              <w:rPr>
                <w:sz w:val="20"/>
                <w:szCs w:val="20"/>
              </w:rPr>
            </w:pPr>
          </w:p>
          <w:p w:rsidR="00730B5B" w:rsidRPr="00A935AA" w:rsidRDefault="00730B5B" w:rsidP="001B1E7F">
            <w:pPr>
              <w:jc w:val="center"/>
              <w:rPr>
                <w:sz w:val="20"/>
                <w:szCs w:val="20"/>
              </w:rPr>
            </w:pPr>
          </w:p>
          <w:p w:rsidR="00730B5B" w:rsidRPr="00A935AA" w:rsidRDefault="00730B5B" w:rsidP="001B1E7F">
            <w:pPr>
              <w:jc w:val="center"/>
              <w:rPr>
                <w:sz w:val="20"/>
                <w:szCs w:val="20"/>
              </w:rPr>
            </w:pPr>
          </w:p>
          <w:p w:rsidR="00730B5B" w:rsidRPr="00A935AA" w:rsidRDefault="00730B5B" w:rsidP="001B1E7F">
            <w:pPr>
              <w:jc w:val="center"/>
              <w:rPr>
                <w:sz w:val="20"/>
                <w:szCs w:val="20"/>
              </w:rPr>
            </w:pPr>
          </w:p>
        </w:tc>
        <w:tc>
          <w:tcPr>
            <w:tcW w:w="4320" w:type="dxa"/>
            <w:shd w:val="clear" w:color="auto" w:fill="auto"/>
          </w:tcPr>
          <w:p w:rsidR="00730B5B" w:rsidRPr="00A935AA" w:rsidRDefault="006034F4" w:rsidP="001B1E7F">
            <w:pPr>
              <w:keepNext/>
              <w:keepLines/>
              <w:tabs>
                <w:tab w:val="left" w:pos="-1440"/>
                <w:tab w:val="left" w:pos="-720"/>
              </w:tabs>
              <w:rPr>
                <w:b/>
                <w:sz w:val="20"/>
                <w:szCs w:val="20"/>
              </w:rPr>
            </w:pPr>
            <w:r>
              <w:rPr>
                <w:b/>
                <w:sz w:val="20"/>
                <w:szCs w:val="20"/>
              </w:rPr>
              <w:t>Monica Loughlin</w:t>
            </w:r>
          </w:p>
          <w:p w:rsidR="00730B5B" w:rsidRPr="00A935AA" w:rsidRDefault="00730B5B" w:rsidP="001B1E7F">
            <w:pPr>
              <w:keepNext/>
              <w:keepLines/>
              <w:tabs>
                <w:tab w:val="left" w:pos="-1440"/>
                <w:tab w:val="left" w:pos="-720"/>
              </w:tabs>
              <w:rPr>
                <w:sz w:val="20"/>
                <w:szCs w:val="20"/>
              </w:rPr>
            </w:pPr>
            <w:r w:rsidRPr="00A935AA">
              <w:rPr>
                <w:sz w:val="20"/>
                <w:szCs w:val="20"/>
              </w:rPr>
              <w:tab/>
            </w:r>
            <w:r w:rsidR="006034F4">
              <w:rPr>
                <w:sz w:val="20"/>
                <w:szCs w:val="20"/>
              </w:rPr>
              <w:t>Monica Loughlin</w:t>
            </w:r>
          </w:p>
          <w:p w:rsidR="00730B5B" w:rsidRPr="00A935AA" w:rsidRDefault="00730B5B" w:rsidP="001B1E7F">
            <w:pPr>
              <w:keepNext/>
              <w:keepLines/>
              <w:tabs>
                <w:tab w:val="left" w:pos="-1440"/>
                <w:tab w:val="left" w:pos="-720"/>
              </w:tabs>
              <w:rPr>
                <w:sz w:val="20"/>
                <w:szCs w:val="20"/>
              </w:rPr>
            </w:pPr>
          </w:p>
          <w:p w:rsidR="00730B5B" w:rsidRPr="006034F4" w:rsidRDefault="00730B5B" w:rsidP="001B1E7F">
            <w:pPr>
              <w:keepNext/>
              <w:keepLines/>
              <w:tabs>
                <w:tab w:val="left" w:pos="-1440"/>
                <w:tab w:val="left" w:pos="-720"/>
              </w:tabs>
              <w:rPr>
                <w:sz w:val="20"/>
                <w:szCs w:val="20"/>
              </w:rPr>
            </w:pPr>
            <w:r w:rsidRPr="00A935AA">
              <w:rPr>
                <w:sz w:val="20"/>
                <w:szCs w:val="20"/>
              </w:rPr>
              <w:tab/>
            </w:r>
            <w:r w:rsidRPr="006034F4">
              <w:rPr>
                <w:sz w:val="20"/>
                <w:szCs w:val="20"/>
              </w:rPr>
              <w:t>v. (35</w:t>
            </w:r>
            <w:r w:rsidR="006034F4" w:rsidRPr="006034F4">
              <w:rPr>
                <w:sz w:val="20"/>
                <w:szCs w:val="20"/>
              </w:rPr>
              <w:t>776</w:t>
            </w:r>
            <w:r w:rsidRPr="006034F4">
              <w:rPr>
                <w:sz w:val="20"/>
                <w:szCs w:val="20"/>
              </w:rPr>
              <w:t>)</w:t>
            </w:r>
          </w:p>
          <w:p w:rsidR="00730B5B" w:rsidRPr="006034F4" w:rsidRDefault="00730B5B" w:rsidP="001B1E7F">
            <w:pPr>
              <w:keepNext/>
              <w:keepLines/>
              <w:tabs>
                <w:tab w:val="left" w:pos="-1440"/>
                <w:tab w:val="left" w:pos="-720"/>
              </w:tabs>
              <w:rPr>
                <w:sz w:val="20"/>
                <w:szCs w:val="20"/>
              </w:rPr>
            </w:pPr>
          </w:p>
          <w:p w:rsidR="00730B5B" w:rsidRPr="006034F4" w:rsidRDefault="006034F4" w:rsidP="001B1E7F">
            <w:pPr>
              <w:keepNext/>
              <w:keepLines/>
              <w:tabs>
                <w:tab w:val="left" w:pos="-1440"/>
                <w:tab w:val="left" w:pos="-720"/>
              </w:tabs>
              <w:rPr>
                <w:b/>
                <w:sz w:val="20"/>
                <w:szCs w:val="20"/>
              </w:rPr>
            </w:pPr>
            <w:r w:rsidRPr="006034F4">
              <w:rPr>
                <w:b/>
                <w:sz w:val="20"/>
                <w:szCs w:val="20"/>
              </w:rPr>
              <w:t>Abigail Gordon et al.</w:t>
            </w:r>
            <w:r>
              <w:rPr>
                <w:b/>
                <w:sz w:val="20"/>
                <w:szCs w:val="20"/>
              </w:rPr>
              <w:t xml:space="preserve"> </w:t>
            </w:r>
            <w:r w:rsidR="00730B5B" w:rsidRPr="006034F4">
              <w:rPr>
                <w:b/>
                <w:sz w:val="20"/>
                <w:szCs w:val="20"/>
              </w:rPr>
              <w:t>(</w:t>
            </w:r>
            <w:r>
              <w:rPr>
                <w:b/>
                <w:sz w:val="20"/>
                <w:szCs w:val="20"/>
              </w:rPr>
              <w:t>Al</w:t>
            </w:r>
            <w:r w:rsidR="00730B5B" w:rsidRPr="006034F4">
              <w:rPr>
                <w:b/>
                <w:sz w:val="20"/>
                <w:szCs w:val="20"/>
              </w:rPr>
              <w:t>t</w:t>
            </w:r>
            <w:r>
              <w:rPr>
                <w:b/>
                <w:sz w:val="20"/>
                <w:szCs w:val="20"/>
              </w:rPr>
              <w:t>a</w:t>
            </w:r>
            <w:r w:rsidR="00730B5B" w:rsidRPr="006034F4">
              <w:rPr>
                <w:b/>
                <w:sz w:val="20"/>
                <w:szCs w:val="20"/>
              </w:rPr>
              <w:t>.)</w:t>
            </w:r>
          </w:p>
          <w:p w:rsidR="00730B5B" w:rsidRPr="006034F4" w:rsidRDefault="00730B5B" w:rsidP="001B1E7F">
            <w:pPr>
              <w:keepNext/>
              <w:keepLines/>
              <w:tabs>
                <w:tab w:val="left" w:pos="-1440"/>
                <w:tab w:val="left" w:pos="-720"/>
              </w:tabs>
              <w:rPr>
                <w:sz w:val="20"/>
                <w:szCs w:val="20"/>
              </w:rPr>
            </w:pPr>
            <w:r w:rsidRPr="006034F4">
              <w:rPr>
                <w:sz w:val="20"/>
                <w:szCs w:val="20"/>
              </w:rPr>
              <w:tab/>
            </w:r>
            <w:r w:rsidR="006034F4">
              <w:rPr>
                <w:sz w:val="20"/>
                <w:szCs w:val="20"/>
              </w:rPr>
              <w:t>Abigail Gordon</w:t>
            </w:r>
          </w:p>
          <w:p w:rsidR="00730B5B" w:rsidRPr="006034F4" w:rsidRDefault="00730B5B" w:rsidP="001B1E7F">
            <w:pPr>
              <w:keepNext/>
              <w:keepLines/>
              <w:tabs>
                <w:tab w:val="left" w:pos="-1440"/>
                <w:tab w:val="left" w:pos="-720"/>
              </w:tabs>
              <w:rPr>
                <w:sz w:val="20"/>
                <w:szCs w:val="20"/>
              </w:rPr>
            </w:pPr>
          </w:p>
          <w:p w:rsidR="00730B5B" w:rsidRPr="00A935AA" w:rsidRDefault="00730B5B" w:rsidP="006034F4">
            <w:pPr>
              <w:rPr>
                <w:sz w:val="20"/>
                <w:szCs w:val="20"/>
              </w:rPr>
            </w:pPr>
            <w:r w:rsidRPr="00A935AA">
              <w:rPr>
                <w:sz w:val="20"/>
                <w:szCs w:val="20"/>
              </w:rPr>
              <w:t xml:space="preserve">FILING DATE: </w:t>
            </w:r>
            <w:r w:rsidR="006034F4">
              <w:rPr>
                <w:sz w:val="20"/>
                <w:szCs w:val="20"/>
              </w:rPr>
              <w:t>13</w:t>
            </w:r>
            <w:r w:rsidRPr="00A935AA">
              <w:rPr>
                <w:sz w:val="20"/>
                <w:szCs w:val="20"/>
              </w:rPr>
              <w:t>.0</w:t>
            </w:r>
            <w:r w:rsidR="006034F4">
              <w:rPr>
                <w:sz w:val="20"/>
                <w:szCs w:val="20"/>
              </w:rPr>
              <w:t>1</w:t>
            </w:r>
            <w:r w:rsidRPr="00A935AA">
              <w:rPr>
                <w:sz w:val="20"/>
                <w:szCs w:val="20"/>
              </w:rPr>
              <w:t>.201</w:t>
            </w:r>
            <w:r>
              <w:rPr>
                <w:sz w:val="20"/>
                <w:szCs w:val="20"/>
              </w:rPr>
              <w:t>4</w:t>
            </w:r>
            <w:r w:rsidR="004F01F8">
              <w:rPr>
                <w:sz w:val="20"/>
                <w:szCs w:val="20"/>
                <w:lang w:val="fr-CA"/>
              </w:rPr>
              <w:pict>
                <v:rect id="_x0000_i1026" style="width:108pt;height:1pt" o:hrpct="0" o:hralign="center" o:hrstd="t" o:hrnoshade="t" o:hr="t" fillcolor="black [3213]" stroked="f"/>
              </w:pict>
            </w:r>
          </w:p>
        </w:tc>
      </w:tr>
      <w:tr w:rsidR="00730B5B" w:rsidRPr="00A935AA" w:rsidTr="001B1E7F">
        <w:tc>
          <w:tcPr>
            <w:tcW w:w="4320" w:type="dxa"/>
            <w:shd w:val="clear" w:color="auto" w:fill="auto"/>
          </w:tcPr>
          <w:p w:rsidR="00730B5B" w:rsidRDefault="00730B5B" w:rsidP="001B1E7F">
            <w:pPr>
              <w:rPr>
                <w:b/>
                <w:sz w:val="20"/>
                <w:szCs w:val="20"/>
              </w:rPr>
            </w:pPr>
          </w:p>
          <w:p w:rsidR="006034F4" w:rsidRPr="00A935AA" w:rsidRDefault="006034F4" w:rsidP="001B1E7F">
            <w:pPr>
              <w:rPr>
                <w:b/>
                <w:sz w:val="20"/>
                <w:szCs w:val="20"/>
              </w:rPr>
            </w:pPr>
            <w:r>
              <w:rPr>
                <w:b/>
                <w:sz w:val="20"/>
                <w:szCs w:val="20"/>
              </w:rPr>
              <w:t xml:space="preserve">Wanda Cummings et al. </w:t>
            </w:r>
          </w:p>
          <w:p w:rsidR="00730B5B" w:rsidRPr="00A935AA" w:rsidRDefault="00730B5B" w:rsidP="001B1E7F">
            <w:pPr>
              <w:tabs>
                <w:tab w:val="left" w:pos="-1440"/>
                <w:tab w:val="left" w:pos="-720"/>
              </w:tabs>
              <w:rPr>
                <w:sz w:val="20"/>
                <w:szCs w:val="20"/>
              </w:rPr>
            </w:pPr>
            <w:r w:rsidRPr="00A935AA">
              <w:rPr>
                <w:sz w:val="20"/>
                <w:szCs w:val="20"/>
              </w:rPr>
              <w:tab/>
            </w:r>
            <w:r w:rsidR="006034F4">
              <w:rPr>
                <w:sz w:val="20"/>
                <w:szCs w:val="20"/>
              </w:rPr>
              <w:t>Wanda Cummings</w:t>
            </w:r>
          </w:p>
          <w:p w:rsidR="00730B5B" w:rsidRPr="00A935AA" w:rsidRDefault="00730B5B" w:rsidP="001B1E7F">
            <w:pPr>
              <w:tabs>
                <w:tab w:val="left" w:pos="-1440"/>
                <w:tab w:val="left" w:pos="-720"/>
              </w:tabs>
              <w:rPr>
                <w:sz w:val="20"/>
                <w:szCs w:val="20"/>
              </w:rPr>
            </w:pPr>
          </w:p>
          <w:p w:rsidR="00730B5B" w:rsidRPr="00A935AA" w:rsidRDefault="00730B5B" w:rsidP="001B1E7F">
            <w:pPr>
              <w:tabs>
                <w:tab w:val="left" w:pos="-1440"/>
                <w:tab w:val="left" w:pos="-720"/>
              </w:tabs>
              <w:rPr>
                <w:sz w:val="20"/>
                <w:szCs w:val="20"/>
              </w:rPr>
            </w:pPr>
            <w:r w:rsidRPr="00A935AA">
              <w:rPr>
                <w:sz w:val="20"/>
                <w:szCs w:val="20"/>
              </w:rPr>
              <w:tab/>
              <w:t>v. (3</w:t>
            </w:r>
            <w:r>
              <w:rPr>
                <w:sz w:val="20"/>
                <w:szCs w:val="20"/>
              </w:rPr>
              <w:t>5</w:t>
            </w:r>
            <w:r w:rsidR="006034F4">
              <w:rPr>
                <w:sz w:val="20"/>
                <w:szCs w:val="20"/>
              </w:rPr>
              <w:t>722</w:t>
            </w:r>
            <w:r w:rsidRPr="00A935AA">
              <w:rPr>
                <w:sz w:val="20"/>
                <w:szCs w:val="20"/>
              </w:rPr>
              <w:t>)</w:t>
            </w:r>
          </w:p>
          <w:p w:rsidR="00730B5B" w:rsidRPr="00A935AA" w:rsidRDefault="00730B5B" w:rsidP="001B1E7F">
            <w:pPr>
              <w:tabs>
                <w:tab w:val="left" w:pos="-1440"/>
                <w:tab w:val="left" w:pos="-720"/>
              </w:tabs>
              <w:rPr>
                <w:sz w:val="20"/>
                <w:szCs w:val="20"/>
              </w:rPr>
            </w:pPr>
          </w:p>
          <w:p w:rsidR="00730B5B" w:rsidRPr="00A935AA" w:rsidRDefault="006034F4" w:rsidP="001B1E7F">
            <w:pPr>
              <w:tabs>
                <w:tab w:val="left" w:pos="-1440"/>
                <w:tab w:val="left" w:pos="-720"/>
              </w:tabs>
              <w:rPr>
                <w:b/>
                <w:sz w:val="20"/>
                <w:szCs w:val="20"/>
              </w:rPr>
            </w:pPr>
            <w:r>
              <w:rPr>
                <w:b/>
                <w:sz w:val="20"/>
                <w:szCs w:val="20"/>
              </w:rPr>
              <w:t xml:space="preserve">Minister of Community Services et al. </w:t>
            </w:r>
            <w:r w:rsidR="00730B5B" w:rsidRPr="00A935AA">
              <w:rPr>
                <w:b/>
                <w:sz w:val="20"/>
                <w:szCs w:val="20"/>
              </w:rPr>
              <w:t>(</w:t>
            </w:r>
            <w:r>
              <w:rPr>
                <w:b/>
                <w:sz w:val="20"/>
                <w:szCs w:val="20"/>
              </w:rPr>
              <w:t>N</w:t>
            </w:r>
            <w:r w:rsidR="00730B5B" w:rsidRPr="00A935AA">
              <w:rPr>
                <w:b/>
                <w:sz w:val="20"/>
                <w:szCs w:val="20"/>
              </w:rPr>
              <w:t>.</w:t>
            </w:r>
            <w:r>
              <w:rPr>
                <w:b/>
                <w:sz w:val="20"/>
                <w:szCs w:val="20"/>
              </w:rPr>
              <w:t>S</w:t>
            </w:r>
            <w:r w:rsidR="00730B5B" w:rsidRPr="00A935AA">
              <w:rPr>
                <w:b/>
                <w:sz w:val="20"/>
                <w:szCs w:val="20"/>
              </w:rPr>
              <w:t>.)</w:t>
            </w:r>
          </w:p>
          <w:p w:rsidR="00730B5B" w:rsidRPr="00A935AA" w:rsidRDefault="00730B5B" w:rsidP="001B1E7F">
            <w:pPr>
              <w:tabs>
                <w:tab w:val="left" w:pos="-1440"/>
                <w:tab w:val="left" w:pos="-720"/>
              </w:tabs>
              <w:rPr>
                <w:sz w:val="20"/>
                <w:szCs w:val="20"/>
              </w:rPr>
            </w:pPr>
            <w:r w:rsidRPr="00A935AA">
              <w:rPr>
                <w:sz w:val="20"/>
                <w:szCs w:val="20"/>
              </w:rPr>
              <w:tab/>
            </w:r>
            <w:r w:rsidR="006034F4">
              <w:rPr>
                <w:sz w:val="20"/>
                <w:szCs w:val="20"/>
              </w:rPr>
              <w:t>Sheldon Choo</w:t>
            </w:r>
          </w:p>
          <w:p w:rsidR="00730B5B" w:rsidRPr="00A935AA" w:rsidRDefault="00730B5B" w:rsidP="001B1E7F">
            <w:pPr>
              <w:tabs>
                <w:tab w:val="left" w:pos="-1440"/>
                <w:tab w:val="left" w:pos="-720"/>
              </w:tabs>
              <w:rPr>
                <w:sz w:val="20"/>
                <w:szCs w:val="20"/>
              </w:rPr>
            </w:pPr>
            <w:r w:rsidRPr="00A935AA">
              <w:rPr>
                <w:sz w:val="20"/>
                <w:szCs w:val="20"/>
              </w:rPr>
              <w:tab/>
            </w:r>
            <w:r w:rsidR="006034F4">
              <w:rPr>
                <w:sz w:val="20"/>
                <w:szCs w:val="20"/>
              </w:rPr>
              <w:t>A.G. of Nova Scotia</w:t>
            </w:r>
          </w:p>
          <w:p w:rsidR="00730B5B" w:rsidRPr="00A935AA" w:rsidRDefault="00730B5B" w:rsidP="001B1E7F">
            <w:pPr>
              <w:tabs>
                <w:tab w:val="left" w:pos="-1440"/>
                <w:tab w:val="left" w:pos="-720"/>
              </w:tabs>
              <w:rPr>
                <w:sz w:val="20"/>
                <w:szCs w:val="20"/>
              </w:rPr>
            </w:pPr>
          </w:p>
          <w:p w:rsidR="00730B5B" w:rsidRPr="00A935AA" w:rsidRDefault="00730B5B" w:rsidP="001B1E7F">
            <w:pPr>
              <w:rPr>
                <w:sz w:val="20"/>
                <w:szCs w:val="20"/>
              </w:rPr>
            </w:pPr>
            <w:r w:rsidRPr="00A935AA">
              <w:rPr>
                <w:sz w:val="20"/>
                <w:szCs w:val="20"/>
              </w:rPr>
              <w:t xml:space="preserve">FILING DATE: </w:t>
            </w:r>
            <w:r w:rsidR="006034F4">
              <w:rPr>
                <w:sz w:val="20"/>
                <w:szCs w:val="20"/>
              </w:rPr>
              <w:t>1</w:t>
            </w:r>
            <w:r w:rsidRPr="00A935AA">
              <w:rPr>
                <w:sz w:val="20"/>
                <w:szCs w:val="20"/>
              </w:rPr>
              <w:t>2.0</w:t>
            </w:r>
            <w:r>
              <w:rPr>
                <w:sz w:val="20"/>
                <w:szCs w:val="20"/>
              </w:rPr>
              <w:t>2</w:t>
            </w:r>
            <w:r w:rsidRPr="00A935AA">
              <w:rPr>
                <w:sz w:val="20"/>
                <w:szCs w:val="20"/>
              </w:rPr>
              <w:t>.201</w:t>
            </w:r>
            <w:r>
              <w:rPr>
                <w:sz w:val="20"/>
                <w:szCs w:val="20"/>
              </w:rPr>
              <w:t>4</w:t>
            </w:r>
          </w:p>
          <w:p w:rsidR="00730B5B" w:rsidRPr="00A935AA" w:rsidRDefault="004F01F8" w:rsidP="001B1E7F">
            <w:pPr>
              <w:rPr>
                <w:sz w:val="20"/>
                <w:szCs w:val="20"/>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730B5B" w:rsidRPr="00A935AA" w:rsidRDefault="00730B5B" w:rsidP="001B1E7F">
            <w:pPr>
              <w:jc w:val="center"/>
              <w:rPr>
                <w:sz w:val="20"/>
                <w:szCs w:val="20"/>
              </w:rPr>
            </w:pPr>
          </w:p>
          <w:p w:rsidR="00730B5B" w:rsidRPr="00A935AA" w:rsidRDefault="00730B5B" w:rsidP="001B1E7F">
            <w:pPr>
              <w:jc w:val="center"/>
              <w:rPr>
                <w:sz w:val="20"/>
                <w:szCs w:val="20"/>
              </w:rPr>
            </w:pPr>
          </w:p>
          <w:p w:rsidR="00730B5B" w:rsidRPr="00A935AA" w:rsidRDefault="00730B5B" w:rsidP="001B1E7F">
            <w:pPr>
              <w:jc w:val="center"/>
              <w:rPr>
                <w:sz w:val="20"/>
                <w:szCs w:val="20"/>
              </w:rPr>
            </w:pPr>
          </w:p>
          <w:p w:rsidR="00730B5B" w:rsidRPr="00A935AA" w:rsidRDefault="00730B5B" w:rsidP="001B1E7F">
            <w:pPr>
              <w:jc w:val="center"/>
              <w:rPr>
                <w:sz w:val="20"/>
                <w:szCs w:val="20"/>
              </w:rPr>
            </w:pPr>
          </w:p>
          <w:p w:rsidR="00730B5B" w:rsidRPr="00A935AA" w:rsidRDefault="00730B5B" w:rsidP="001B1E7F">
            <w:pPr>
              <w:jc w:val="center"/>
              <w:rPr>
                <w:sz w:val="20"/>
                <w:szCs w:val="20"/>
              </w:rPr>
            </w:pPr>
          </w:p>
          <w:p w:rsidR="00730B5B" w:rsidRPr="00A935AA" w:rsidRDefault="00730B5B" w:rsidP="001B1E7F">
            <w:pPr>
              <w:jc w:val="center"/>
              <w:rPr>
                <w:sz w:val="20"/>
                <w:szCs w:val="20"/>
              </w:rPr>
            </w:pPr>
          </w:p>
          <w:p w:rsidR="00730B5B" w:rsidRPr="00A935AA" w:rsidRDefault="00730B5B" w:rsidP="001B1E7F">
            <w:pPr>
              <w:jc w:val="center"/>
              <w:rPr>
                <w:sz w:val="20"/>
                <w:szCs w:val="20"/>
              </w:rPr>
            </w:pPr>
          </w:p>
          <w:p w:rsidR="00730B5B" w:rsidRPr="00A935AA" w:rsidRDefault="00730B5B" w:rsidP="001B1E7F">
            <w:pPr>
              <w:jc w:val="center"/>
              <w:rPr>
                <w:sz w:val="20"/>
                <w:szCs w:val="20"/>
              </w:rPr>
            </w:pPr>
          </w:p>
          <w:p w:rsidR="00730B5B" w:rsidRPr="00A935AA" w:rsidRDefault="00730B5B" w:rsidP="001B1E7F">
            <w:pPr>
              <w:jc w:val="center"/>
              <w:rPr>
                <w:sz w:val="20"/>
                <w:szCs w:val="20"/>
              </w:rPr>
            </w:pPr>
          </w:p>
          <w:p w:rsidR="00730B5B" w:rsidRPr="00A935AA" w:rsidRDefault="00730B5B" w:rsidP="001B1E7F">
            <w:pPr>
              <w:jc w:val="center"/>
              <w:rPr>
                <w:sz w:val="20"/>
                <w:szCs w:val="20"/>
              </w:rPr>
            </w:pPr>
          </w:p>
          <w:p w:rsidR="00730B5B" w:rsidRPr="00A935AA" w:rsidRDefault="00730B5B" w:rsidP="001B1E7F">
            <w:pPr>
              <w:jc w:val="center"/>
              <w:rPr>
                <w:sz w:val="20"/>
                <w:szCs w:val="20"/>
              </w:rPr>
            </w:pPr>
          </w:p>
          <w:p w:rsidR="00730B5B" w:rsidRPr="00A935AA" w:rsidRDefault="00730B5B" w:rsidP="001B1E7F">
            <w:pPr>
              <w:jc w:val="center"/>
              <w:rPr>
                <w:sz w:val="20"/>
                <w:szCs w:val="20"/>
              </w:rPr>
            </w:pPr>
          </w:p>
          <w:p w:rsidR="00730B5B" w:rsidRPr="00A935AA" w:rsidRDefault="00730B5B" w:rsidP="001B1E7F">
            <w:pPr>
              <w:jc w:val="center"/>
              <w:rPr>
                <w:sz w:val="20"/>
                <w:szCs w:val="20"/>
              </w:rPr>
            </w:pPr>
          </w:p>
        </w:tc>
        <w:tc>
          <w:tcPr>
            <w:tcW w:w="4320" w:type="dxa"/>
            <w:shd w:val="clear" w:color="auto" w:fill="auto"/>
          </w:tcPr>
          <w:p w:rsidR="00730B5B" w:rsidRPr="00B70321" w:rsidRDefault="006034F4" w:rsidP="001B1E7F">
            <w:pPr>
              <w:keepNext/>
              <w:keepLines/>
              <w:tabs>
                <w:tab w:val="left" w:pos="-1440"/>
                <w:tab w:val="left" w:pos="-720"/>
              </w:tabs>
              <w:rPr>
                <w:b/>
                <w:sz w:val="20"/>
                <w:szCs w:val="20"/>
                <w:lang w:val="fr-CA"/>
              </w:rPr>
            </w:pPr>
            <w:r w:rsidRPr="00B70321">
              <w:rPr>
                <w:b/>
                <w:sz w:val="20"/>
                <w:szCs w:val="20"/>
                <w:lang w:val="fr-CA"/>
              </w:rPr>
              <w:t>Donald James Marttunen</w:t>
            </w:r>
          </w:p>
          <w:p w:rsidR="00730B5B" w:rsidRPr="00B70321" w:rsidRDefault="00730B5B" w:rsidP="001B1E7F">
            <w:pPr>
              <w:keepNext/>
              <w:keepLines/>
              <w:tabs>
                <w:tab w:val="left" w:pos="-1440"/>
                <w:tab w:val="left" w:pos="-720"/>
              </w:tabs>
              <w:rPr>
                <w:sz w:val="20"/>
                <w:szCs w:val="20"/>
                <w:lang w:val="fr-CA"/>
              </w:rPr>
            </w:pPr>
            <w:r w:rsidRPr="00B70321">
              <w:rPr>
                <w:sz w:val="20"/>
                <w:szCs w:val="20"/>
                <w:lang w:val="fr-CA"/>
              </w:rPr>
              <w:tab/>
            </w:r>
            <w:r w:rsidR="006034F4" w:rsidRPr="00B70321">
              <w:rPr>
                <w:sz w:val="20"/>
                <w:szCs w:val="20"/>
                <w:lang w:val="fr-CA"/>
              </w:rPr>
              <w:t>Donald James Marttunen</w:t>
            </w:r>
          </w:p>
          <w:p w:rsidR="00730B5B" w:rsidRPr="00B70321" w:rsidRDefault="00730B5B" w:rsidP="001B1E7F">
            <w:pPr>
              <w:keepNext/>
              <w:keepLines/>
              <w:tabs>
                <w:tab w:val="left" w:pos="-1440"/>
                <w:tab w:val="left" w:pos="-720"/>
              </w:tabs>
              <w:rPr>
                <w:sz w:val="20"/>
                <w:szCs w:val="20"/>
                <w:lang w:val="fr-CA"/>
              </w:rPr>
            </w:pPr>
          </w:p>
          <w:p w:rsidR="00730B5B" w:rsidRPr="006034F4" w:rsidRDefault="00730B5B" w:rsidP="001B1E7F">
            <w:pPr>
              <w:keepNext/>
              <w:keepLines/>
              <w:tabs>
                <w:tab w:val="left" w:pos="-1440"/>
                <w:tab w:val="left" w:pos="-720"/>
              </w:tabs>
              <w:rPr>
                <w:sz w:val="20"/>
                <w:szCs w:val="20"/>
              </w:rPr>
            </w:pPr>
            <w:r w:rsidRPr="00B70321">
              <w:rPr>
                <w:sz w:val="20"/>
                <w:szCs w:val="20"/>
                <w:lang w:val="fr-CA"/>
              </w:rPr>
              <w:tab/>
            </w:r>
            <w:r w:rsidRPr="006034F4">
              <w:rPr>
                <w:sz w:val="20"/>
                <w:szCs w:val="20"/>
              </w:rPr>
              <w:t>v. (35</w:t>
            </w:r>
            <w:r w:rsidR="006034F4">
              <w:rPr>
                <w:sz w:val="20"/>
                <w:szCs w:val="20"/>
              </w:rPr>
              <w:t>761</w:t>
            </w:r>
            <w:r w:rsidRPr="006034F4">
              <w:rPr>
                <w:sz w:val="20"/>
                <w:szCs w:val="20"/>
              </w:rPr>
              <w:t>)</w:t>
            </w:r>
          </w:p>
          <w:p w:rsidR="00730B5B" w:rsidRPr="006034F4" w:rsidRDefault="00730B5B" w:rsidP="001B1E7F">
            <w:pPr>
              <w:keepNext/>
              <w:keepLines/>
              <w:tabs>
                <w:tab w:val="left" w:pos="-1440"/>
                <w:tab w:val="left" w:pos="-720"/>
              </w:tabs>
              <w:rPr>
                <w:sz w:val="20"/>
                <w:szCs w:val="20"/>
              </w:rPr>
            </w:pPr>
          </w:p>
          <w:p w:rsidR="00730B5B" w:rsidRPr="006034F4" w:rsidRDefault="006034F4" w:rsidP="001B1E7F">
            <w:pPr>
              <w:keepNext/>
              <w:keepLines/>
              <w:tabs>
                <w:tab w:val="left" w:pos="-1440"/>
                <w:tab w:val="left" w:pos="-720"/>
              </w:tabs>
              <w:rPr>
                <w:b/>
                <w:sz w:val="20"/>
                <w:szCs w:val="20"/>
              </w:rPr>
            </w:pPr>
            <w:r>
              <w:rPr>
                <w:b/>
                <w:sz w:val="20"/>
                <w:szCs w:val="20"/>
              </w:rPr>
              <w:t xml:space="preserve">Workplace Safety and Insurance Appeals Tribunal </w:t>
            </w:r>
            <w:r w:rsidR="00730B5B" w:rsidRPr="006034F4">
              <w:rPr>
                <w:b/>
                <w:sz w:val="20"/>
                <w:szCs w:val="20"/>
              </w:rPr>
              <w:t>(Ont.)</w:t>
            </w:r>
          </w:p>
          <w:p w:rsidR="00730B5B" w:rsidRPr="006034F4" w:rsidRDefault="00730B5B" w:rsidP="001B1E7F">
            <w:pPr>
              <w:keepNext/>
              <w:keepLines/>
              <w:tabs>
                <w:tab w:val="left" w:pos="-1440"/>
                <w:tab w:val="left" w:pos="-720"/>
              </w:tabs>
              <w:rPr>
                <w:sz w:val="20"/>
                <w:szCs w:val="20"/>
              </w:rPr>
            </w:pPr>
            <w:r w:rsidRPr="006034F4">
              <w:rPr>
                <w:sz w:val="20"/>
                <w:szCs w:val="20"/>
              </w:rPr>
              <w:tab/>
            </w:r>
            <w:r w:rsidR="006034F4">
              <w:rPr>
                <w:sz w:val="20"/>
                <w:szCs w:val="20"/>
              </w:rPr>
              <w:t>Gillian Shaw</w:t>
            </w:r>
          </w:p>
          <w:p w:rsidR="00730B5B" w:rsidRPr="006034F4" w:rsidRDefault="00730B5B" w:rsidP="001B1E7F">
            <w:pPr>
              <w:keepNext/>
              <w:keepLines/>
              <w:tabs>
                <w:tab w:val="left" w:pos="-1440"/>
                <w:tab w:val="left" w:pos="-720"/>
              </w:tabs>
              <w:rPr>
                <w:sz w:val="20"/>
                <w:szCs w:val="20"/>
              </w:rPr>
            </w:pPr>
            <w:r w:rsidRPr="006034F4">
              <w:rPr>
                <w:sz w:val="20"/>
                <w:szCs w:val="20"/>
              </w:rPr>
              <w:tab/>
            </w:r>
            <w:r w:rsidR="006034F4" w:rsidRPr="006034F4">
              <w:rPr>
                <w:sz w:val="20"/>
                <w:szCs w:val="20"/>
              </w:rPr>
              <w:t xml:space="preserve">Workplace Safety and Insurance Appeals </w:t>
            </w:r>
            <w:r w:rsidR="006034F4">
              <w:rPr>
                <w:sz w:val="20"/>
                <w:szCs w:val="20"/>
              </w:rPr>
              <w:tab/>
            </w:r>
            <w:r w:rsidR="006034F4" w:rsidRPr="006034F4">
              <w:rPr>
                <w:sz w:val="20"/>
                <w:szCs w:val="20"/>
              </w:rPr>
              <w:t>Tribunal</w:t>
            </w:r>
          </w:p>
          <w:p w:rsidR="00730B5B" w:rsidRPr="006034F4" w:rsidRDefault="00730B5B" w:rsidP="001B1E7F">
            <w:pPr>
              <w:keepNext/>
              <w:keepLines/>
              <w:tabs>
                <w:tab w:val="left" w:pos="-1440"/>
                <w:tab w:val="left" w:pos="-720"/>
              </w:tabs>
              <w:rPr>
                <w:sz w:val="20"/>
                <w:szCs w:val="20"/>
              </w:rPr>
            </w:pPr>
          </w:p>
          <w:p w:rsidR="00730B5B" w:rsidRPr="00A935AA" w:rsidRDefault="00730B5B" w:rsidP="006034F4">
            <w:pPr>
              <w:rPr>
                <w:sz w:val="20"/>
                <w:szCs w:val="20"/>
              </w:rPr>
            </w:pPr>
            <w:r w:rsidRPr="00A935AA">
              <w:rPr>
                <w:sz w:val="20"/>
                <w:szCs w:val="20"/>
              </w:rPr>
              <w:t xml:space="preserve">FILING DATE: </w:t>
            </w:r>
            <w:r w:rsidR="006034F4">
              <w:rPr>
                <w:sz w:val="20"/>
                <w:szCs w:val="20"/>
              </w:rPr>
              <w:t>14</w:t>
            </w:r>
            <w:r w:rsidRPr="00A935AA">
              <w:rPr>
                <w:sz w:val="20"/>
                <w:szCs w:val="20"/>
              </w:rPr>
              <w:t>.0</w:t>
            </w:r>
            <w:r>
              <w:rPr>
                <w:sz w:val="20"/>
                <w:szCs w:val="20"/>
              </w:rPr>
              <w:t>2</w:t>
            </w:r>
            <w:r w:rsidRPr="00A935AA">
              <w:rPr>
                <w:sz w:val="20"/>
                <w:szCs w:val="20"/>
              </w:rPr>
              <w:t>.201</w:t>
            </w:r>
            <w:r>
              <w:rPr>
                <w:sz w:val="20"/>
                <w:szCs w:val="20"/>
              </w:rPr>
              <w:t>4</w:t>
            </w:r>
            <w:r w:rsidR="004F01F8">
              <w:rPr>
                <w:sz w:val="20"/>
                <w:szCs w:val="20"/>
                <w:lang w:val="fr-CA"/>
              </w:rPr>
              <w:pict>
                <v:rect id="_x0000_i1028" style="width:108pt;height:1pt" o:hrpct="0" o:hralign="center" o:hrstd="t" o:hrnoshade="t" o:hr="t" fillcolor="black [3213]" stroked="f"/>
              </w:pict>
            </w:r>
          </w:p>
        </w:tc>
      </w:tr>
      <w:tr w:rsidR="00730B5B" w:rsidRPr="00A935AA" w:rsidTr="001B1E7F">
        <w:tc>
          <w:tcPr>
            <w:tcW w:w="4320" w:type="dxa"/>
            <w:shd w:val="clear" w:color="auto" w:fill="auto"/>
          </w:tcPr>
          <w:p w:rsidR="00730B5B" w:rsidRPr="00A935AA" w:rsidRDefault="006034F4" w:rsidP="001B1E7F">
            <w:pPr>
              <w:rPr>
                <w:b/>
                <w:sz w:val="20"/>
                <w:szCs w:val="20"/>
              </w:rPr>
            </w:pPr>
            <w:r>
              <w:rPr>
                <w:b/>
                <w:sz w:val="20"/>
                <w:szCs w:val="20"/>
              </w:rPr>
              <w:t>Kathryn Kossow</w:t>
            </w:r>
          </w:p>
          <w:p w:rsidR="00730B5B" w:rsidRPr="00A935AA" w:rsidRDefault="00730B5B" w:rsidP="001B1E7F">
            <w:pPr>
              <w:tabs>
                <w:tab w:val="left" w:pos="-1440"/>
                <w:tab w:val="left" w:pos="-720"/>
              </w:tabs>
              <w:rPr>
                <w:sz w:val="20"/>
                <w:szCs w:val="20"/>
              </w:rPr>
            </w:pPr>
            <w:r w:rsidRPr="00A935AA">
              <w:rPr>
                <w:sz w:val="20"/>
                <w:szCs w:val="20"/>
              </w:rPr>
              <w:tab/>
            </w:r>
            <w:r w:rsidR="006034F4">
              <w:rPr>
                <w:sz w:val="20"/>
                <w:szCs w:val="20"/>
              </w:rPr>
              <w:t>A. Christina Tari</w:t>
            </w:r>
          </w:p>
          <w:p w:rsidR="00730B5B" w:rsidRPr="00A935AA" w:rsidRDefault="00730B5B" w:rsidP="001B1E7F">
            <w:pPr>
              <w:tabs>
                <w:tab w:val="left" w:pos="-1440"/>
                <w:tab w:val="left" w:pos="-720"/>
              </w:tabs>
              <w:rPr>
                <w:sz w:val="20"/>
                <w:szCs w:val="20"/>
              </w:rPr>
            </w:pPr>
            <w:r w:rsidRPr="00A935AA">
              <w:rPr>
                <w:sz w:val="20"/>
                <w:szCs w:val="20"/>
              </w:rPr>
              <w:tab/>
            </w:r>
            <w:r w:rsidR="006034F4">
              <w:rPr>
                <w:sz w:val="20"/>
                <w:szCs w:val="20"/>
              </w:rPr>
              <w:t>Richler and Tari</w:t>
            </w:r>
          </w:p>
          <w:p w:rsidR="00730B5B" w:rsidRPr="00A935AA" w:rsidRDefault="00730B5B" w:rsidP="001B1E7F">
            <w:pPr>
              <w:tabs>
                <w:tab w:val="left" w:pos="-1440"/>
                <w:tab w:val="left" w:pos="-720"/>
              </w:tabs>
              <w:rPr>
                <w:sz w:val="20"/>
                <w:szCs w:val="20"/>
              </w:rPr>
            </w:pPr>
          </w:p>
          <w:p w:rsidR="00730B5B" w:rsidRPr="00A935AA" w:rsidRDefault="00730B5B" w:rsidP="001B1E7F">
            <w:pPr>
              <w:tabs>
                <w:tab w:val="left" w:pos="-1440"/>
                <w:tab w:val="left" w:pos="-720"/>
              </w:tabs>
              <w:rPr>
                <w:sz w:val="20"/>
                <w:szCs w:val="20"/>
              </w:rPr>
            </w:pPr>
            <w:r w:rsidRPr="00A935AA">
              <w:rPr>
                <w:sz w:val="20"/>
                <w:szCs w:val="20"/>
              </w:rPr>
              <w:tab/>
              <w:t>v. (3</w:t>
            </w:r>
            <w:r>
              <w:rPr>
                <w:sz w:val="20"/>
                <w:szCs w:val="20"/>
              </w:rPr>
              <w:t>5</w:t>
            </w:r>
            <w:r w:rsidR="006034F4">
              <w:rPr>
                <w:sz w:val="20"/>
                <w:szCs w:val="20"/>
              </w:rPr>
              <w:t>756</w:t>
            </w:r>
            <w:r w:rsidRPr="00A935AA">
              <w:rPr>
                <w:sz w:val="20"/>
                <w:szCs w:val="20"/>
              </w:rPr>
              <w:t>)</w:t>
            </w:r>
          </w:p>
          <w:p w:rsidR="00730B5B" w:rsidRPr="00A935AA" w:rsidRDefault="00730B5B" w:rsidP="001B1E7F">
            <w:pPr>
              <w:tabs>
                <w:tab w:val="left" w:pos="-1440"/>
                <w:tab w:val="left" w:pos="-720"/>
              </w:tabs>
              <w:rPr>
                <w:sz w:val="20"/>
                <w:szCs w:val="20"/>
              </w:rPr>
            </w:pPr>
          </w:p>
          <w:p w:rsidR="00730B5B" w:rsidRPr="00A935AA" w:rsidRDefault="006034F4" w:rsidP="001B1E7F">
            <w:pPr>
              <w:tabs>
                <w:tab w:val="left" w:pos="-1440"/>
                <w:tab w:val="left" w:pos="-720"/>
              </w:tabs>
              <w:rPr>
                <w:b/>
                <w:sz w:val="20"/>
                <w:szCs w:val="20"/>
              </w:rPr>
            </w:pPr>
            <w:r>
              <w:rPr>
                <w:b/>
                <w:sz w:val="20"/>
                <w:szCs w:val="20"/>
              </w:rPr>
              <w:t xml:space="preserve">Her Majesty the Queen </w:t>
            </w:r>
            <w:r w:rsidR="00730B5B" w:rsidRPr="00A935AA">
              <w:rPr>
                <w:b/>
                <w:sz w:val="20"/>
                <w:szCs w:val="20"/>
              </w:rPr>
              <w:t>(</w:t>
            </w:r>
            <w:r>
              <w:rPr>
                <w:b/>
                <w:sz w:val="20"/>
                <w:szCs w:val="20"/>
              </w:rPr>
              <w:t>F</w:t>
            </w:r>
            <w:r w:rsidR="00730B5B" w:rsidRPr="00A935AA">
              <w:rPr>
                <w:b/>
                <w:sz w:val="20"/>
                <w:szCs w:val="20"/>
              </w:rPr>
              <w:t>.C.)</w:t>
            </w:r>
          </w:p>
          <w:p w:rsidR="00730B5B" w:rsidRPr="00A935AA" w:rsidRDefault="00730B5B" w:rsidP="001B1E7F">
            <w:pPr>
              <w:tabs>
                <w:tab w:val="left" w:pos="-1440"/>
                <w:tab w:val="left" w:pos="-720"/>
              </w:tabs>
              <w:rPr>
                <w:sz w:val="20"/>
                <w:szCs w:val="20"/>
              </w:rPr>
            </w:pPr>
            <w:r w:rsidRPr="00A935AA">
              <w:rPr>
                <w:sz w:val="20"/>
                <w:szCs w:val="20"/>
              </w:rPr>
              <w:tab/>
            </w:r>
            <w:r w:rsidR="006034F4">
              <w:rPr>
                <w:sz w:val="20"/>
                <w:szCs w:val="20"/>
              </w:rPr>
              <w:t>Arnold H. Bornstein</w:t>
            </w:r>
          </w:p>
          <w:p w:rsidR="00730B5B" w:rsidRPr="00A935AA" w:rsidRDefault="00730B5B" w:rsidP="001B1E7F">
            <w:pPr>
              <w:tabs>
                <w:tab w:val="left" w:pos="-1440"/>
                <w:tab w:val="left" w:pos="-720"/>
              </w:tabs>
              <w:rPr>
                <w:sz w:val="20"/>
                <w:szCs w:val="20"/>
              </w:rPr>
            </w:pPr>
            <w:r w:rsidRPr="00A935AA">
              <w:rPr>
                <w:sz w:val="20"/>
                <w:szCs w:val="20"/>
              </w:rPr>
              <w:tab/>
            </w:r>
            <w:r w:rsidR="006034F4">
              <w:rPr>
                <w:sz w:val="20"/>
                <w:szCs w:val="20"/>
              </w:rPr>
              <w:t>A.G. of Canada</w:t>
            </w:r>
          </w:p>
          <w:p w:rsidR="00730B5B" w:rsidRPr="00A935AA" w:rsidRDefault="00730B5B" w:rsidP="001B1E7F">
            <w:pPr>
              <w:tabs>
                <w:tab w:val="left" w:pos="-1440"/>
                <w:tab w:val="left" w:pos="-720"/>
              </w:tabs>
              <w:rPr>
                <w:sz w:val="20"/>
                <w:szCs w:val="20"/>
              </w:rPr>
            </w:pPr>
          </w:p>
          <w:p w:rsidR="00730B5B" w:rsidRPr="00A935AA" w:rsidRDefault="00730B5B" w:rsidP="001B1E7F">
            <w:pPr>
              <w:rPr>
                <w:sz w:val="20"/>
                <w:szCs w:val="20"/>
              </w:rPr>
            </w:pPr>
            <w:r w:rsidRPr="00A935AA">
              <w:rPr>
                <w:sz w:val="20"/>
                <w:szCs w:val="20"/>
              </w:rPr>
              <w:t xml:space="preserve">FILING DATE: </w:t>
            </w:r>
            <w:r w:rsidR="00427134">
              <w:rPr>
                <w:sz w:val="20"/>
                <w:szCs w:val="20"/>
              </w:rPr>
              <w:t>0</w:t>
            </w:r>
            <w:r w:rsidRPr="00A935AA">
              <w:rPr>
                <w:sz w:val="20"/>
                <w:szCs w:val="20"/>
              </w:rPr>
              <w:t>7.0</w:t>
            </w:r>
            <w:r w:rsidR="00427134">
              <w:rPr>
                <w:sz w:val="20"/>
                <w:szCs w:val="20"/>
              </w:rPr>
              <w:t>3</w:t>
            </w:r>
            <w:r w:rsidRPr="00A935AA">
              <w:rPr>
                <w:sz w:val="20"/>
                <w:szCs w:val="20"/>
              </w:rPr>
              <w:t>.201</w:t>
            </w:r>
            <w:r>
              <w:rPr>
                <w:sz w:val="20"/>
                <w:szCs w:val="20"/>
              </w:rPr>
              <w:t>4</w:t>
            </w:r>
          </w:p>
          <w:p w:rsidR="00730B5B" w:rsidRPr="00A935AA" w:rsidRDefault="004F01F8" w:rsidP="001B1E7F">
            <w:pPr>
              <w:rPr>
                <w:sz w:val="20"/>
                <w:szCs w:val="20"/>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730B5B" w:rsidRPr="00A935AA" w:rsidRDefault="00730B5B" w:rsidP="001B1E7F">
            <w:pPr>
              <w:jc w:val="center"/>
              <w:rPr>
                <w:sz w:val="20"/>
                <w:szCs w:val="20"/>
              </w:rPr>
            </w:pPr>
          </w:p>
          <w:p w:rsidR="00730B5B" w:rsidRPr="00A935AA" w:rsidRDefault="00730B5B" w:rsidP="001B1E7F">
            <w:pPr>
              <w:jc w:val="center"/>
              <w:rPr>
                <w:sz w:val="20"/>
                <w:szCs w:val="20"/>
              </w:rPr>
            </w:pPr>
          </w:p>
          <w:p w:rsidR="00730B5B" w:rsidRPr="00A935AA" w:rsidRDefault="00730B5B" w:rsidP="001B1E7F">
            <w:pPr>
              <w:jc w:val="center"/>
              <w:rPr>
                <w:sz w:val="20"/>
                <w:szCs w:val="20"/>
              </w:rPr>
            </w:pPr>
          </w:p>
          <w:p w:rsidR="00730B5B" w:rsidRPr="00A935AA" w:rsidRDefault="00730B5B" w:rsidP="001B1E7F">
            <w:pPr>
              <w:jc w:val="center"/>
              <w:rPr>
                <w:sz w:val="20"/>
                <w:szCs w:val="20"/>
              </w:rPr>
            </w:pPr>
          </w:p>
          <w:p w:rsidR="00730B5B" w:rsidRPr="00A935AA" w:rsidRDefault="00730B5B" w:rsidP="001B1E7F">
            <w:pPr>
              <w:jc w:val="center"/>
              <w:rPr>
                <w:sz w:val="20"/>
                <w:szCs w:val="20"/>
              </w:rPr>
            </w:pPr>
          </w:p>
          <w:p w:rsidR="00730B5B" w:rsidRPr="00A935AA" w:rsidRDefault="00730B5B" w:rsidP="001B1E7F">
            <w:pPr>
              <w:jc w:val="center"/>
              <w:rPr>
                <w:sz w:val="20"/>
                <w:szCs w:val="20"/>
              </w:rPr>
            </w:pPr>
          </w:p>
          <w:p w:rsidR="00730B5B" w:rsidRPr="00A935AA" w:rsidRDefault="00730B5B" w:rsidP="001B1E7F">
            <w:pPr>
              <w:jc w:val="center"/>
              <w:rPr>
                <w:sz w:val="20"/>
                <w:szCs w:val="20"/>
              </w:rPr>
            </w:pPr>
          </w:p>
          <w:p w:rsidR="00730B5B" w:rsidRPr="00A935AA" w:rsidRDefault="00730B5B" w:rsidP="001B1E7F">
            <w:pPr>
              <w:jc w:val="center"/>
              <w:rPr>
                <w:sz w:val="20"/>
                <w:szCs w:val="20"/>
              </w:rPr>
            </w:pPr>
          </w:p>
          <w:p w:rsidR="00730B5B" w:rsidRPr="00A935AA" w:rsidRDefault="00730B5B" w:rsidP="001B1E7F">
            <w:pPr>
              <w:jc w:val="center"/>
              <w:rPr>
                <w:sz w:val="20"/>
                <w:szCs w:val="20"/>
              </w:rPr>
            </w:pPr>
          </w:p>
          <w:p w:rsidR="00730B5B" w:rsidRPr="00A935AA" w:rsidRDefault="00730B5B" w:rsidP="001B1E7F">
            <w:pPr>
              <w:jc w:val="center"/>
              <w:rPr>
                <w:sz w:val="20"/>
                <w:szCs w:val="20"/>
              </w:rPr>
            </w:pPr>
          </w:p>
          <w:p w:rsidR="00730B5B" w:rsidRDefault="00730B5B" w:rsidP="001B1E7F">
            <w:pPr>
              <w:jc w:val="center"/>
              <w:rPr>
                <w:sz w:val="20"/>
                <w:szCs w:val="20"/>
              </w:rPr>
            </w:pPr>
          </w:p>
          <w:p w:rsidR="00730B5B" w:rsidRDefault="00730B5B" w:rsidP="001B1E7F">
            <w:pPr>
              <w:jc w:val="center"/>
              <w:rPr>
                <w:sz w:val="20"/>
                <w:szCs w:val="20"/>
              </w:rPr>
            </w:pPr>
          </w:p>
          <w:p w:rsidR="00730B5B" w:rsidRPr="00A935AA" w:rsidRDefault="00730B5B" w:rsidP="001B1E7F">
            <w:pPr>
              <w:jc w:val="center"/>
              <w:rPr>
                <w:sz w:val="20"/>
                <w:szCs w:val="20"/>
              </w:rPr>
            </w:pPr>
          </w:p>
        </w:tc>
        <w:tc>
          <w:tcPr>
            <w:tcW w:w="4320" w:type="dxa"/>
            <w:shd w:val="clear" w:color="auto" w:fill="auto"/>
          </w:tcPr>
          <w:p w:rsidR="00730B5B" w:rsidRDefault="00730B5B" w:rsidP="001B1E7F">
            <w:pPr>
              <w:keepNext/>
              <w:keepLines/>
              <w:tabs>
                <w:tab w:val="left" w:pos="-1440"/>
                <w:tab w:val="left" w:pos="-720"/>
              </w:tabs>
              <w:rPr>
                <w:b/>
                <w:sz w:val="20"/>
                <w:szCs w:val="20"/>
              </w:rPr>
            </w:pPr>
          </w:p>
          <w:p w:rsidR="00427134" w:rsidRPr="00A935AA" w:rsidRDefault="00427134" w:rsidP="001B1E7F">
            <w:pPr>
              <w:keepNext/>
              <w:keepLines/>
              <w:tabs>
                <w:tab w:val="left" w:pos="-1440"/>
                <w:tab w:val="left" w:pos="-720"/>
              </w:tabs>
              <w:rPr>
                <w:b/>
                <w:sz w:val="20"/>
                <w:szCs w:val="20"/>
              </w:rPr>
            </w:pPr>
            <w:r>
              <w:rPr>
                <w:b/>
                <w:sz w:val="20"/>
                <w:szCs w:val="20"/>
              </w:rPr>
              <w:t>Bill James Jamieson</w:t>
            </w:r>
          </w:p>
          <w:p w:rsidR="00730B5B" w:rsidRPr="00A935AA" w:rsidRDefault="00730B5B" w:rsidP="001B1E7F">
            <w:pPr>
              <w:keepNext/>
              <w:keepLines/>
              <w:tabs>
                <w:tab w:val="left" w:pos="-1440"/>
                <w:tab w:val="left" w:pos="-720"/>
              </w:tabs>
              <w:rPr>
                <w:sz w:val="20"/>
                <w:szCs w:val="20"/>
              </w:rPr>
            </w:pPr>
            <w:r w:rsidRPr="00A935AA">
              <w:rPr>
                <w:sz w:val="20"/>
                <w:szCs w:val="20"/>
              </w:rPr>
              <w:tab/>
            </w:r>
            <w:r w:rsidR="00427134">
              <w:rPr>
                <w:sz w:val="20"/>
                <w:szCs w:val="20"/>
              </w:rPr>
              <w:t>Bill James Jamieson</w:t>
            </w:r>
          </w:p>
          <w:p w:rsidR="00730B5B" w:rsidRPr="00A935AA" w:rsidRDefault="00730B5B" w:rsidP="001B1E7F">
            <w:pPr>
              <w:keepNext/>
              <w:keepLines/>
              <w:tabs>
                <w:tab w:val="left" w:pos="-1440"/>
                <w:tab w:val="left" w:pos="-720"/>
              </w:tabs>
              <w:rPr>
                <w:sz w:val="20"/>
                <w:szCs w:val="20"/>
              </w:rPr>
            </w:pPr>
          </w:p>
          <w:p w:rsidR="00730B5B" w:rsidRPr="006034F4" w:rsidRDefault="00730B5B" w:rsidP="001B1E7F">
            <w:pPr>
              <w:keepNext/>
              <w:keepLines/>
              <w:tabs>
                <w:tab w:val="left" w:pos="-1440"/>
                <w:tab w:val="left" w:pos="-720"/>
              </w:tabs>
              <w:rPr>
                <w:sz w:val="20"/>
                <w:szCs w:val="20"/>
              </w:rPr>
            </w:pPr>
            <w:r w:rsidRPr="00A935AA">
              <w:rPr>
                <w:sz w:val="20"/>
                <w:szCs w:val="20"/>
              </w:rPr>
              <w:tab/>
            </w:r>
            <w:r w:rsidRPr="006034F4">
              <w:rPr>
                <w:sz w:val="20"/>
                <w:szCs w:val="20"/>
              </w:rPr>
              <w:t>v. (35</w:t>
            </w:r>
            <w:r w:rsidR="00427134">
              <w:rPr>
                <w:sz w:val="20"/>
                <w:szCs w:val="20"/>
              </w:rPr>
              <w:t>773</w:t>
            </w:r>
            <w:r w:rsidRPr="006034F4">
              <w:rPr>
                <w:sz w:val="20"/>
                <w:szCs w:val="20"/>
              </w:rPr>
              <w:t>)</w:t>
            </w:r>
          </w:p>
          <w:p w:rsidR="00730B5B" w:rsidRPr="006034F4" w:rsidRDefault="00730B5B" w:rsidP="001B1E7F">
            <w:pPr>
              <w:keepNext/>
              <w:keepLines/>
              <w:tabs>
                <w:tab w:val="left" w:pos="-1440"/>
                <w:tab w:val="left" w:pos="-720"/>
              </w:tabs>
              <w:rPr>
                <w:sz w:val="20"/>
                <w:szCs w:val="20"/>
              </w:rPr>
            </w:pPr>
          </w:p>
          <w:p w:rsidR="00730B5B" w:rsidRPr="006034F4" w:rsidRDefault="00427134" w:rsidP="001B1E7F">
            <w:pPr>
              <w:keepNext/>
              <w:keepLines/>
              <w:tabs>
                <w:tab w:val="left" w:pos="-1440"/>
                <w:tab w:val="left" w:pos="-720"/>
              </w:tabs>
              <w:rPr>
                <w:b/>
                <w:sz w:val="20"/>
                <w:szCs w:val="20"/>
              </w:rPr>
            </w:pPr>
            <w:r>
              <w:rPr>
                <w:b/>
                <w:sz w:val="20"/>
                <w:szCs w:val="20"/>
              </w:rPr>
              <w:t xml:space="preserve">Her Majesty the Queen et al. </w:t>
            </w:r>
            <w:r w:rsidR="00730B5B" w:rsidRPr="006034F4">
              <w:rPr>
                <w:b/>
                <w:sz w:val="20"/>
                <w:szCs w:val="20"/>
              </w:rPr>
              <w:t>(Ont.)</w:t>
            </w:r>
          </w:p>
          <w:p w:rsidR="00730B5B" w:rsidRPr="006034F4" w:rsidRDefault="00730B5B" w:rsidP="001B1E7F">
            <w:pPr>
              <w:keepNext/>
              <w:keepLines/>
              <w:tabs>
                <w:tab w:val="left" w:pos="-1440"/>
                <w:tab w:val="left" w:pos="-720"/>
              </w:tabs>
              <w:rPr>
                <w:sz w:val="20"/>
                <w:szCs w:val="20"/>
              </w:rPr>
            </w:pPr>
            <w:r w:rsidRPr="006034F4">
              <w:rPr>
                <w:sz w:val="20"/>
                <w:szCs w:val="20"/>
              </w:rPr>
              <w:tab/>
            </w:r>
            <w:r w:rsidR="00427134">
              <w:rPr>
                <w:sz w:val="20"/>
                <w:szCs w:val="20"/>
              </w:rPr>
              <w:t>Riun Shandler</w:t>
            </w:r>
          </w:p>
          <w:p w:rsidR="00730B5B" w:rsidRPr="006034F4" w:rsidRDefault="00730B5B" w:rsidP="001B1E7F">
            <w:pPr>
              <w:keepNext/>
              <w:keepLines/>
              <w:tabs>
                <w:tab w:val="left" w:pos="-1440"/>
                <w:tab w:val="left" w:pos="-720"/>
              </w:tabs>
              <w:rPr>
                <w:sz w:val="20"/>
                <w:szCs w:val="20"/>
              </w:rPr>
            </w:pPr>
            <w:r w:rsidRPr="006034F4">
              <w:rPr>
                <w:sz w:val="20"/>
                <w:szCs w:val="20"/>
              </w:rPr>
              <w:tab/>
            </w:r>
            <w:r w:rsidR="00427134">
              <w:rPr>
                <w:sz w:val="20"/>
                <w:szCs w:val="20"/>
              </w:rPr>
              <w:t>A.G. of Ontario</w:t>
            </w:r>
          </w:p>
          <w:p w:rsidR="00730B5B" w:rsidRPr="006034F4" w:rsidRDefault="00730B5B" w:rsidP="001B1E7F">
            <w:pPr>
              <w:keepNext/>
              <w:keepLines/>
              <w:tabs>
                <w:tab w:val="left" w:pos="-1440"/>
                <w:tab w:val="left" w:pos="-720"/>
              </w:tabs>
              <w:rPr>
                <w:sz w:val="20"/>
                <w:szCs w:val="20"/>
              </w:rPr>
            </w:pPr>
          </w:p>
          <w:p w:rsidR="00730B5B" w:rsidRPr="00A935AA" w:rsidRDefault="00730B5B" w:rsidP="00427134">
            <w:pPr>
              <w:rPr>
                <w:sz w:val="20"/>
                <w:szCs w:val="20"/>
              </w:rPr>
            </w:pPr>
            <w:r w:rsidRPr="00A935AA">
              <w:rPr>
                <w:sz w:val="20"/>
                <w:szCs w:val="20"/>
              </w:rPr>
              <w:t xml:space="preserve">FILING DATE: </w:t>
            </w:r>
            <w:r w:rsidR="00427134">
              <w:rPr>
                <w:sz w:val="20"/>
                <w:szCs w:val="20"/>
              </w:rPr>
              <w:t>19</w:t>
            </w:r>
            <w:r w:rsidRPr="00A935AA">
              <w:rPr>
                <w:sz w:val="20"/>
                <w:szCs w:val="20"/>
              </w:rPr>
              <w:t>.0</w:t>
            </w:r>
            <w:r>
              <w:rPr>
                <w:sz w:val="20"/>
                <w:szCs w:val="20"/>
              </w:rPr>
              <w:t>2</w:t>
            </w:r>
            <w:r w:rsidRPr="00A935AA">
              <w:rPr>
                <w:sz w:val="20"/>
                <w:szCs w:val="20"/>
              </w:rPr>
              <w:t>.201</w:t>
            </w:r>
            <w:r>
              <w:rPr>
                <w:sz w:val="20"/>
                <w:szCs w:val="20"/>
              </w:rPr>
              <w:t>4</w:t>
            </w:r>
            <w:r w:rsidR="004F01F8">
              <w:rPr>
                <w:sz w:val="20"/>
                <w:szCs w:val="20"/>
                <w:lang w:val="fr-CA"/>
              </w:rPr>
              <w:pict>
                <v:rect id="_x0000_i1030" style="width:108pt;height:1pt" o:hrpct="0" o:hralign="center" o:hrstd="t" o:hrnoshade="t" o:hr="t" fillcolor="black [3213]" stroked="f"/>
              </w:pict>
            </w:r>
          </w:p>
        </w:tc>
      </w:tr>
      <w:tr w:rsidR="00730B5B" w:rsidRPr="00A935AA" w:rsidTr="001B1E7F">
        <w:trPr>
          <w:cantSplit/>
        </w:trPr>
        <w:tc>
          <w:tcPr>
            <w:tcW w:w="4320" w:type="dxa"/>
            <w:shd w:val="clear" w:color="auto" w:fill="auto"/>
          </w:tcPr>
          <w:p w:rsidR="00730B5B" w:rsidRPr="00A935AA" w:rsidRDefault="00427134" w:rsidP="001B1E7F">
            <w:pPr>
              <w:rPr>
                <w:b/>
                <w:sz w:val="20"/>
                <w:szCs w:val="20"/>
              </w:rPr>
            </w:pPr>
            <w:r>
              <w:rPr>
                <w:b/>
                <w:sz w:val="20"/>
                <w:szCs w:val="20"/>
              </w:rPr>
              <w:t>H</w:t>
            </w:r>
            <w:r w:rsidR="00022A45">
              <w:rPr>
                <w:b/>
                <w:sz w:val="20"/>
                <w:szCs w:val="20"/>
              </w:rPr>
              <w:t>OOPP</w:t>
            </w:r>
            <w:r>
              <w:rPr>
                <w:b/>
                <w:sz w:val="20"/>
                <w:szCs w:val="20"/>
              </w:rPr>
              <w:t xml:space="preserve"> Realty Inc.</w:t>
            </w:r>
          </w:p>
          <w:p w:rsidR="00730B5B" w:rsidRPr="00A935AA" w:rsidRDefault="00730B5B" w:rsidP="001B1E7F">
            <w:pPr>
              <w:tabs>
                <w:tab w:val="left" w:pos="-1440"/>
                <w:tab w:val="left" w:pos="-720"/>
              </w:tabs>
              <w:rPr>
                <w:sz w:val="20"/>
                <w:szCs w:val="20"/>
              </w:rPr>
            </w:pPr>
            <w:r w:rsidRPr="00A935AA">
              <w:rPr>
                <w:sz w:val="20"/>
                <w:szCs w:val="20"/>
              </w:rPr>
              <w:tab/>
            </w:r>
            <w:r w:rsidR="00427134">
              <w:rPr>
                <w:sz w:val="20"/>
                <w:szCs w:val="20"/>
              </w:rPr>
              <w:t>Donald R. Cranston, Q.C.</w:t>
            </w:r>
          </w:p>
          <w:p w:rsidR="00730B5B" w:rsidRPr="00A935AA" w:rsidRDefault="00730B5B" w:rsidP="001B1E7F">
            <w:pPr>
              <w:tabs>
                <w:tab w:val="left" w:pos="-1440"/>
                <w:tab w:val="left" w:pos="-720"/>
              </w:tabs>
              <w:rPr>
                <w:sz w:val="20"/>
                <w:szCs w:val="20"/>
              </w:rPr>
            </w:pPr>
            <w:r w:rsidRPr="00A935AA">
              <w:rPr>
                <w:sz w:val="20"/>
                <w:szCs w:val="20"/>
              </w:rPr>
              <w:tab/>
            </w:r>
            <w:r w:rsidR="00427134">
              <w:rPr>
                <w:sz w:val="20"/>
                <w:szCs w:val="20"/>
              </w:rPr>
              <w:t>Bennett Jones LLP</w:t>
            </w:r>
          </w:p>
          <w:p w:rsidR="00730B5B" w:rsidRPr="00A935AA" w:rsidRDefault="00730B5B" w:rsidP="001B1E7F">
            <w:pPr>
              <w:tabs>
                <w:tab w:val="left" w:pos="-1440"/>
                <w:tab w:val="left" w:pos="-720"/>
              </w:tabs>
              <w:rPr>
                <w:sz w:val="20"/>
                <w:szCs w:val="20"/>
              </w:rPr>
            </w:pPr>
          </w:p>
          <w:p w:rsidR="00730B5B" w:rsidRPr="00A935AA" w:rsidRDefault="00730B5B" w:rsidP="001B1E7F">
            <w:pPr>
              <w:tabs>
                <w:tab w:val="left" w:pos="-1440"/>
                <w:tab w:val="left" w:pos="-720"/>
              </w:tabs>
              <w:rPr>
                <w:sz w:val="20"/>
                <w:szCs w:val="20"/>
              </w:rPr>
            </w:pPr>
            <w:r w:rsidRPr="00A935AA">
              <w:rPr>
                <w:sz w:val="20"/>
                <w:szCs w:val="20"/>
              </w:rPr>
              <w:tab/>
              <w:t>v. (3</w:t>
            </w:r>
            <w:r>
              <w:rPr>
                <w:sz w:val="20"/>
                <w:szCs w:val="20"/>
              </w:rPr>
              <w:t>5</w:t>
            </w:r>
            <w:r w:rsidR="00427134">
              <w:rPr>
                <w:sz w:val="20"/>
                <w:szCs w:val="20"/>
              </w:rPr>
              <w:t>757</w:t>
            </w:r>
            <w:r w:rsidRPr="00A935AA">
              <w:rPr>
                <w:sz w:val="20"/>
                <w:szCs w:val="20"/>
              </w:rPr>
              <w:t>)</w:t>
            </w:r>
          </w:p>
          <w:p w:rsidR="00730B5B" w:rsidRPr="00A935AA" w:rsidRDefault="00730B5B" w:rsidP="001B1E7F">
            <w:pPr>
              <w:tabs>
                <w:tab w:val="left" w:pos="-1440"/>
                <w:tab w:val="left" w:pos="-720"/>
              </w:tabs>
              <w:rPr>
                <w:sz w:val="20"/>
                <w:szCs w:val="20"/>
              </w:rPr>
            </w:pPr>
          </w:p>
          <w:p w:rsidR="00730B5B" w:rsidRPr="00A935AA" w:rsidRDefault="008572AC" w:rsidP="001B1E7F">
            <w:pPr>
              <w:tabs>
                <w:tab w:val="left" w:pos="-1440"/>
                <w:tab w:val="left" w:pos="-720"/>
              </w:tabs>
              <w:rPr>
                <w:b/>
                <w:sz w:val="20"/>
                <w:szCs w:val="20"/>
              </w:rPr>
            </w:pPr>
            <w:r>
              <w:rPr>
                <w:b/>
                <w:sz w:val="20"/>
                <w:szCs w:val="20"/>
              </w:rPr>
              <w:t xml:space="preserve">A.G. Clark Holdings Ltd. et al. </w:t>
            </w:r>
            <w:r w:rsidR="00730B5B" w:rsidRPr="00A935AA">
              <w:rPr>
                <w:b/>
                <w:sz w:val="20"/>
                <w:szCs w:val="20"/>
              </w:rPr>
              <w:t>(</w:t>
            </w:r>
            <w:r>
              <w:rPr>
                <w:b/>
                <w:sz w:val="20"/>
                <w:szCs w:val="20"/>
              </w:rPr>
              <w:t>Alta</w:t>
            </w:r>
            <w:r w:rsidR="00730B5B" w:rsidRPr="00A935AA">
              <w:rPr>
                <w:b/>
                <w:sz w:val="20"/>
                <w:szCs w:val="20"/>
              </w:rPr>
              <w:t>.)</w:t>
            </w:r>
          </w:p>
          <w:p w:rsidR="00730B5B" w:rsidRPr="00A935AA" w:rsidRDefault="00730B5B" w:rsidP="001B1E7F">
            <w:pPr>
              <w:tabs>
                <w:tab w:val="left" w:pos="-1440"/>
                <w:tab w:val="left" w:pos="-720"/>
              </w:tabs>
              <w:rPr>
                <w:sz w:val="20"/>
                <w:szCs w:val="20"/>
              </w:rPr>
            </w:pPr>
            <w:r w:rsidRPr="00A935AA">
              <w:rPr>
                <w:sz w:val="20"/>
                <w:szCs w:val="20"/>
              </w:rPr>
              <w:tab/>
            </w:r>
            <w:r w:rsidR="008572AC">
              <w:rPr>
                <w:sz w:val="20"/>
                <w:szCs w:val="20"/>
              </w:rPr>
              <w:t>Blair M. Shaw</w:t>
            </w:r>
          </w:p>
          <w:p w:rsidR="00730B5B" w:rsidRPr="00A935AA" w:rsidRDefault="00730B5B" w:rsidP="001B1E7F">
            <w:pPr>
              <w:tabs>
                <w:tab w:val="left" w:pos="-1440"/>
                <w:tab w:val="left" w:pos="-720"/>
              </w:tabs>
              <w:rPr>
                <w:sz w:val="20"/>
                <w:szCs w:val="20"/>
              </w:rPr>
            </w:pPr>
            <w:r w:rsidRPr="00A935AA">
              <w:rPr>
                <w:sz w:val="20"/>
                <w:szCs w:val="20"/>
              </w:rPr>
              <w:tab/>
            </w:r>
            <w:r w:rsidR="008572AC">
              <w:rPr>
                <w:sz w:val="20"/>
                <w:szCs w:val="20"/>
              </w:rPr>
              <w:t>Davis LLP</w:t>
            </w:r>
          </w:p>
          <w:p w:rsidR="00730B5B" w:rsidRPr="00A935AA" w:rsidRDefault="00730B5B" w:rsidP="001B1E7F">
            <w:pPr>
              <w:tabs>
                <w:tab w:val="left" w:pos="-1440"/>
                <w:tab w:val="left" w:pos="-720"/>
              </w:tabs>
              <w:rPr>
                <w:sz w:val="20"/>
                <w:szCs w:val="20"/>
              </w:rPr>
            </w:pPr>
          </w:p>
          <w:p w:rsidR="00730B5B" w:rsidRPr="00A935AA" w:rsidRDefault="00730B5B" w:rsidP="001B1E7F">
            <w:pPr>
              <w:rPr>
                <w:sz w:val="20"/>
                <w:szCs w:val="20"/>
              </w:rPr>
            </w:pPr>
            <w:r w:rsidRPr="00A935AA">
              <w:rPr>
                <w:sz w:val="20"/>
                <w:szCs w:val="20"/>
              </w:rPr>
              <w:t xml:space="preserve">FILING DATE: </w:t>
            </w:r>
            <w:r w:rsidR="008572AC">
              <w:rPr>
                <w:sz w:val="20"/>
                <w:szCs w:val="20"/>
              </w:rPr>
              <w:t>10</w:t>
            </w:r>
            <w:r w:rsidRPr="00A935AA">
              <w:rPr>
                <w:sz w:val="20"/>
                <w:szCs w:val="20"/>
              </w:rPr>
              <w:t>.0</w:t>
            </w:r>
            <w:r w:rsidR="008572AC">
              <w:rPr>
                <w:sz w:val="20"/>
                <w:szCs w:val="20"/>
              </w:rPr>
              <w:t>3</w:t>
            </w:r>
            <w:r w:rsidRPr="00A935AA">
              <w:rPr>
                <w:sz w:val="20"/>
                <w:szCs w:val="20"/>
              </w:rPr>
              <w:t>.201</w:t>
            </w:r>
            <w:r>
              <w:rPr>
                <w:sz w:val="20"/>
                <w:szCs w:val="20"/>
              </w:rPr>
              <w:t>4</w:t>
            </w:r>
          </w:p>
          <w:p w:rsidR="00730B5B" w:rsidRPr="00A935AA" w:rsidRDefault="004F01F8" w:rsidP="001B1E7F">
            <w:pPr>
              <w:rPr>
                <w:sz w:val="20"/>
                <w:szCs w:val="20"/>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730B5B" w:rsidRPr="00A935AA" w:rsidRDefault="00730B5B" w:rsidP="001B1E7F">
            <w:pPr>
              <w:jc w:val="center"/>
              <w:rPr>
                <w:sz w:val="20"/>
                <w:szCs w:val="20"/>
              </w:rPr>
            </w:pPr>
          </w:p>
          <w:p w:rsidR="00730B5B" w:rsidRPr="00A935AA" w:rsidRDefault="00730B5B" w:rsidP="001B1E7F">
            <w:pPr>
              <w:jc w:val="center"/>
              <w:rPr>
                <w:sz w:val="20"/>
                <w:szCs w:val="20"/>
              </w:rPr>
            </w:pPr>
          </w:p>
          <w:p w:rsidR="00730B5B" w:rsidRPr="00A935AA" w:rsidRDefault="00730B5B" w:rsidP="001B1E7F">
            <w:pPr>
              <w:jc w:val="center"/>
              <w:rPr>
                <w:sz w:val="20"/>
                <w:szCs w:val="20"/>
              </w:rPr>
            </w:pPr>
          </w:p>
          <w:p w:rsidR="00730B5B" w:rsidRPr="00A935AA" w:rsidRDefault="00730B5B" w:rsidP="001B1E7F">
            <w:pPr>
              <w:jc w:val="center"/>
              <w:rPr>
                <w:sz w:val="20"/>
                <w:szCs w:val="20"/>
              </w:rPr>
            </w:pPr>
          </w:p>
          <w:p w:rsidR="00730B5B" w:rsidRPr="00A935AA" w:rsidRDefault="00730B5B" w:rsidP="001B1E7F">
            <w:pPr>
              <w:jc w:val="center"/>
              <w:rPr>
                <w:sz w:val="20"/>
                <w:szCs w:val="20"/>
              </w:rPr>
            </w:pPr>
          </w:p>
          <w:p w:rsidR="00730B5B" w:rsidRPr="00A935AA" w:rsidRDefault="00730B5B" w:rsidP="001B1E7F">
            <w:pPr>
              <w:jc w:val="center"/>
              <w:rPr>
                <w:sz w:val="20"/>
                <w:szCs w:val="20"/>
              </w:rPr>
            </w:pPr>
          </w:p>
          <w:p w:rsidR="00730B5B" w:rsidRPr="00A935AA" w:rsidRDefault="00730B5B" w:rsidP="001B1E7F">
            <w:pPr>
              <w:jc w:val="center"/>
              <w:rPr>
                <w:sz w:val="20"/>
                <w:szCs w:val="20"/>
              </w:rPr>
            </w:pPr>
          </w:p>
          <w:p w:rsidR="00730B5B" w:rsidRPr="00A935AA" w:rsidRDefault="00730B5B" w:rsidP="001B1E7F">
            <w:pPr>
              <w:jc w:val="center"/>
              <w:rPr>
                <w:sz w:val="20"/>
                <w:szCs w:val="20"/>
              </w:rPr>
            </w:pPr>
          </w:p>
          <w:p w:rsidR="00730B5B" w:rsidRPr="00A935AA" w:rsidRDefault="00730B5B" w:rsidP="001B1E7F">
            <w:pPr>
              <w:jc w:val="center"/>
              <w:rPr>
                <w:sz w:val="20"/>
                <w:szCs w:val="20"/>
              </w:rPr>
            </w:pPr>
          </w:p>
          <w:p w:rsidR="00730B5B" w:rsidRPr="00A935AA" w:rsidRDefault="00730B5B" w:rsidP="001B1E7F">
            <w:pPr>
              <w:jc w:val="center"/>
              <w:rPr>
                <w:sz w:val="20"/>
                <w:szCs w:val="20"/>
              </w:rPr>
            </w:pPr>
          </w:p>
          <w:p w:rsidR="00730B5B" w:rsidRPr="00A935AA" w:rsidRDefault="00730B5B" w:rsidP="001B1E7F">
            <w:pPr>
              <w:jc w:val="center"/>
              <w:rPr>
                <w:sz w:val="20"/>
                <w:szCs w:val="20"/>
              </w:rPr>
            </w:pPr>
          </w:p>
          <w:p w:rsidR="00730B5B" w:rsidRPr="00A935AA" w:rsidRDefault="00730B5B" w:rsidP="001B1E7F">
            <w:pPr>
              <w:jc w:val="center"/>
              <w:rPr>
                <w:sz w:val="20"/>
                <w:szCs w:val="20"/>
              </w:rPr>
            </w:pPr>
          </w:p>
        </w:tc>
        <w:tc>
          <w:tcPr>
            <w:tcW w:w="4320" w:type="dxa"/>
            <w:shd w:val="clear" w:color="auto" w:fill="auto"/>
          </w:tcPr>
          <w:p w:rsidR="00730B5B" w:rsidRPr="00A935AA" w:rsidRDefault="008572AC" w:rsidP="001B1E7F">
            <w:pPr>
              <w:keepNext/>
              <w:keepLines/>
              <w:tabs>
                <w:tab w:val="left" w:pos="-1440"/>
                <w:tab w:val="left" w:pos="-720"/>
              </w:tabs>
              <w:rPr>
                <w:b/>
                <w:sz w:val="20"/>
                <w:szCs w:val="20"/>
              </w:rPr>
            </w:pPr>
            <w:r>
              <w:rPr>
                <w:b/>
                <w:sz w:val="20"/>
                <w:szCs w:val="20"/>
              </w:rPr>
              <w:t>David Pearlman</w:t>
            </w:r>
          </w:p>
          <w:p w:rsidR="00730B5B" w:rsidRPr="00A935AA" w:rsidRDefault="00730B5B" w:rsidP="001B1E7F">
            <w:pPr>
              <w:keepNext/>
              <w:keepLines/>
              <w:tabs>
                <w:tab w:val="left" w:pos="-1440"/>
                <w:tab w:val="left" w:pos="-720"/>
              </w:tabs>
              <w:rPr>
                <w:sz w:val="20"/>
                <w:szCs w:val="20"/>
              </w:rPr>
            </w:pPr>
            <w:r w:rsidRPr="00A935AA">
              <w:rPr>
                <w:sz w:val="20"/>
                <w:szCs w:val="20"/>
              </w:rPr>
              <w:tab/>
            </w:r>
            <w:r w:rsidR="008572AC">
              <w:rPr>
                <w:sz w:val="20"/>
                <w:szCs w:val="20"/>
              </w:rPr>
              <w:t>David Pearlman</w:t>
            </w:r>
          </w:p>
          <w:p w:rsidR="00730B5B" w:rsidRPr="00A935AA" w:rsidRDefault="00730B5B" w:rsidP="001B1E7F">
            <w:pPr>
              <w:keepNext/>
              <w:keepLines/>
              <w:tabs>
                <w:tab w:val="left" w:pos="-1440"/>
                <w:tab w:val="left" w:pos="-720"/>
              </w:tabs>
              <w:rPr>
                <w:sz w:val="20"/>
                <w:szCs w:val="20"/>
              </w:rPr>
            </w:pPr>
          </w:p>
          <w:p w:rsidR="00730B5B" w:rsidRPr="00427134" w:rsidRDefault="00730B5B" w:rsidP="001B1E7F">
            <w:pPr>
              <w:keepNext/>
              <w:keepLines/>
              <w:tabs>
                <w:tab w:val="left" w:pos="-1440"/>
                <w:tab w:val="left" w:pos="-720"/>
              </w:tabs>
              <w:rPr>
                <w:sz w:val="20"/>
                <w:szCs w:val="20"/>
              </w:rPr>
            </w:pPr>
            <w:r w:rsidRPr="00A935AA">
              <w:rPr>
                <w:sz w:val="20"/>
                <w:szCs w:val="20"/>
              </w:rPr>
              <w:tab/>
            </w:r>
            <w:r w:rsidRPr="00427134">
              <w:rPr>
                <w:sz w:val="20"/>
                <w:szCs w:val="20"/>
              </w:rPr>
              <w:t>v. (35</w:t>
            </w:r>
            <w:r w:rsidR="008572AC">
              <w:rPr>
                <w:sz w:val="20"/>
                <w:szCs w:val="20"/>
              </w:rPr>
              <w:t>235</w:t>
            </w:r>
            <w:r w:rsidRPr="00427134">
              <w:rPr>
                <w:sz w:val="20"/>
                <w:szCs w:val="20"/>
              </w:rPr>
              <w:t>)</w:t>
            </w:r>
          </w:p>
          <w:p w:rsidR="00730B5B" w:rsidRPr="00427134" w:rsidRDefault="00730B5B" w:rsidP="001B1E7F">
            <w:pPr>
              <w:keepNext/>
              <w:keepLines/>
              <w:tabs>
                <w:tab w:val="left" w:pos="-1440"/>
                <w:tab w:val="left" w:pos="-720"/>
              </w:tabs>
              <w:rPr>
                <w:sz w:val="20"/>
                <w:szCs w:val="20"/>
              </w:rPr>
            </w:pPr>
          </w:p>
          <w:p w:rsidR="00730B5B" w:rsidRPr="00427134" w:rsidRDefault="008572AC" w:rsidP="001B1E7F">
            <w:pPr>
              <w:keepNext/>
              <w:keepLines/>
              <w:tabs>
                <w:tab w:val="left" w:pos="-1440"/>
                <w:tab w:val="left" w:pos="-720"/>
              </w:tabs>
              <w:rPr>
                <w:b/>
                <w:sz w:val="20"/>
                <w:szCs w:val="20"/>
              </w:rPr>
            </w:pPr>
            <w:r>
              <w:rPr>
                <w:b/>
                <w:sz w:val="20"/>
                <w:szCs w:val="20"/>
              </w:rPr>
              <w:t xml:space="preserve">Phelps Leasing Ltd. et al. </w:t>
            </w:r>
            <w:r w:rsidR="00730B5B" w:rsidRPr="00427134">
              <w:rPr>
                <w:b/>
                <w:sz w:val="20"/>
                <w:szCs w:val="20"/>
              </w:rPr>
              <w:t>(</w:t>
            </w:r>
            <w:r>
              <w:rPr>
                <w:b/>
                <w:sz w:val="20"/>
                <w:szCs w:val="20"/>
              </w:rPr>
              <w:t>B.C</w:t>
            </w:r>
            <w:r w:rsidR="00730B5B" w:rsidRPr="00427134">
              <w:rPr>
                <w:b/>
                <w:sz w:val="20"/>
                <w:szCs w:val="20"/>
              </w:rPr>
              <w:t>.)</w:t>
            </w:r>
          </w:p>
          <w:p w:rsidR="00730B5B" w:rsidRPr="008572AC" w:rsidRDefault="00730B5B" w:rsidP="001B1E7F">
            <w:pPr>
              <w:keepNext/>
              <w:keepLines/>
              <w:tabs>
                <w:tab w:val="left" w:pos="-1440"/>
                <w:tab w:val="left" w:pos="-720"/>
              </w:tabs>
              <w:rPr>
                <w:sz w:val="20"/>
                <w:szCs w:val="20"/>
              </w:rPr>
            </w:pPr>
            <w:r w:rsidRPr="00427134">
              <w:rPr>
                <w:sz w:val="20"/>
                <w:szCs w:val="20"/>
              </w:rPr>
              <w:tab/>
            </w:r>
            <w:r w:rsidR="008572AC" w:rsidRPr="008572AC">
              <w:rPr>
                <w:sz w:val="20"/>
                <w:szCs w:val="20"/>
              </w:rPr>
              <w:t>Vince G. Critchley</w:t>
            </w:r>
          </w:p>
          <w:p w:rsidR="00730B5B" w:rsidRPr="00427134" w:rsidRDefault="00730B5B" w:rsidP="001B1E7F">
            <w:pPr>
              <w:keepNext/>
              <w:keepLines/>
              <w:tabs>
                <w:tab w:val="left" w:pos="-1440"/>
                <w:tab w:val="left" w:pos="-720"/>
              </w:tabs>
              <w:rPr>
                <w:sz w:val="20"/>
                <w:szCs w:val="20"/>
              </w:rPr>
            </w:pPr>
            <w:r w:rsidRPr="00427134">
              <w:rPr>
                <w:sz w:val="20"/>
                <w:szCs w:val="20"/>
              </w:rPr>
              <w:tab/>
            </w:r>
            <w:r w:rsidR="008572AC">
              <w:rPr>
                <w:sz w:val="20"/>
                <w:szCs w:val="20"/>
              </w:rPr>
              <w:t>Quinlan Abrioux</w:t>
            </w:r>
          </w:p>
          <w:p w:rsidR="00730B5B" w:rsidRPr="00427134" w:rsidRDefault="00730B5B" w:rsidP="001B1E7F">
            <w:pPr>
              <w:keepNext/>
              <w:keepLines/>
              <w:tabs>
                <w:tab w:val="left" w:pos="-1440"/>
                <w:tab w:val="left" w:pos="-720"/>
              </w:tabs>
              <w:rPr>
                <w:sz w:val="20"/>
                <w:szCs w:val="20"/>
              </w:rPr>
            </w:pPr>
          </w:p>
          <w:p w:rsidR="00730B5B" w:rsidRPr="00A935AA" w:rsidRDefault="00730B5B" w:rsidP="008572AC">
            <w:pPr>
              <w:rPr>
                <w:sz w:val="20"/>
                <w:szCs w:val="20"/>
              </w:rPr>
            </w:pPr>
            <w:r w:rsidRPr="00A935AA">
              <w:rPr>
                <w:sz w:val="20"/>
                <w:szCs w:val="20"/>
              </w:rPr>
              <w:t xml:space="preserve">FILING DATE: </w:t>
            </w:r>
            <w:r w:rsidR="008572AC">
              <w:rPr>
                <w:sz w:val="20"/>
                <w:szCs w:val="20"/>
              </w:rPr>
              <w:t>13</w:t>
            </w:r>
            <w:r w:rsidRPr="00A935AA">
              <w:rPr>
                <w:sz w:val="20"/>
                <w:szCs w:val="20"/>
              </w:rPr>
              <w:t>.0</w:t>
            </w:r>
            <w:r w:rsidR="008572AC">
              <w:rPr>
                <w:sz w:val="20"/>
                <w:szCs w:val="20"/>
              </w:rPr>
              <w:t>3</w:t>
            </w:r>
            <w:r w:rsidRPr="00A935AA">
              <w:rPr>
                <w:sz w:val="20"/>
                <w:szCs w:val="20"/>
              </w:rPr>
              <w:t>.201</w:t>
            </w:r>
            <w:r>
              <w:rPr>
                <w:sz w:val="20"/>
                <w:szCs w:val="20"/>
              </w:rPr>
              <w:t>4</w:t>
            </w:r>
            <w:r w:rsidR="004F01F8">
              <w:rPr>
                <w:sz w:val="20"/>
                <w:szCs w:val="20"/>
                <w:lang w:val="fr-CA"/>
              </w:rPr>
              <w:pict>
                <v:rect id="_x0000_i1032" style="width:108pt;height:1pt" o:hrpct="0" o:hralign="center" o:hrstd="t" o:hrnoshade="t" o:hr="t" fillcolor="black [3213]" stroked="f"/>
              </w:pict>
            </w:r>
          </w:p>
        </w:tc>
      </w:tr>
    </w:tbl>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A53D1B">
          <w:headerReference w:type="default" r:id="rId16"/>
          <w:footerReference w:type="default" r:id="rId17"/>
          <w:headerReference w:type="first" r:id="rId18"/>
          <w:footerReference w:type="first" r:id="rId19"/>
          <w:pgSz w:w="12240" w:h="15840"/>
          <w:pgMar w:top="720" w:right="965" w:bottom="1080" w:left="1656" w:header="706" w:footer="706" w:gutter="0"/>
          <w:pgNumType w:start="534"/>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4F01F8"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730B5B" w:rsidRPr="00C50A5C" w:rsidRDefault="00730B5B" w:rsidP="00730B5B">
      <w:pPr>
        <w:widowControl w:val="0"/>
        <w:rPr>
          <w:b/>
          <w:sz w:val="20"/>
          <w:szCs w:val="20"/>
        </w:rPr>
      </w:pPr>
      <w:r>
        <w:rPr>
          <w:b/>
          <w:sz w:val="20"/>
          <w:szCs w:val="20"/>
        </w:rPr>
        <w:t>MARCH 24</w:t>
      </w:r>
      <w:r w:rsidRPr="00C50A5C">
        <w:rPr>
          <w:b/>
          <w:sz w:val="20"/>
          <w:szCs w:val="20"/>
        </w:rPr>
        <w:t>, 201</w:t>
      </w:r>
      <w:r>
        <w:rPr>
          <w:b/>
          <w:sz w:val="20"/>
          <w:szCs w:val="20"/>
        </w:rPr>
        <w:t>4</w:t>
      </w:r>
      <w:r w:rsidRPr="00C50A5C">
        <w:rPr>
          <w:b/>
          <w:sz w:val="20"/>
          <w:szCs w:val="20"/>
        </w:rPr>
        <w:t xml:space="preserve"> / LE </w:t>
      </w:r>
      <w:r>
        <w:rPr>
          <w:b/>
          <w:sz w:val="20"/>
          <w:szCs w:val="20"/>
        </w:rPr>
        <w:t>24 MARS</w:t>
      </w:r>
      <w:r w:rsidRPr="00C50A5C">
        <w:rPr>
          <w:b/>
          <w:sz w:val="20"/>
          <w:szCs w:val="20"/>
        </w:rPr>
        <w:t xml:space="preserve"> 201</w:t>
      </w:r>
      <w:r>
        <w:rPr>
          <w:b/>
          <w:sz w:val="20"/>
          <w:szCs w:val="20"/>
        </w:rPr>
        <w:t>4</w:t>
      </w:r>
    </w:p>
    <w:p w:rsidR="00730B5B" w:rsidRPr="00C50A5C" w:rsidRDefault="00730B5B" w:rsidP="00730B5B">
      <w:pPr>
        <w:widowControl w:val="0"/>
        <w:rPr>
          <w:b/>
          <w:sz w:val="20"/>
          <w:szCs w:val="20"/>
        </w:rPr>
      </w:pPr>
    </w:p>
    <w:p w:rsidR="00730B5B" w:rsidRPr="00C50A5C" w:rsidRDefault="00730B5B" w:rsidP="00730B5B">
      <w:pPr>
        <w:widowControl w:val="0"/>
        <w:jc w:val="center"/>
        <w:rPr>
          <w:b/>
          <w:sz w:val="20"/>
          <w:szCs w:val="20"/>
        </w:rPr>
      </w:pPr>
      <w:r w:rsidRPr="00C50A5C">
        <w:rPr>
          <w:b/>
          <w:sz w:val="20"/>
          <w:szCs w:val="20"/>
        </w:rPr>
        <w:t xml:space="preserve">CORAM:  Chief Justice McLachlin and </w:t>
      </w:r>
      <w:r>
        <w:rPr>
          <w:b/>
          <w:sz w:val="20"/>
          <w:szCs w:val="20"/>
        </w:rPr>
        <w:t>Cromwell</w:t>
      </w:r>
      <w:r w:rsidRPr="00C50A5C">
        <w:rPr>
          <w:b/>
          <w:sz w:val="20"/>
          <w:szCs w:val="20"/>
        </w:rPr>
        <w:t xml:space="preserve"> and </w:t>
      </w:r>
      <w:r>
        <w:rPr>
          <w:b/>
          <w:sz w:val="20"/>
          <w:szCs w:val="20"/>
        </w:rPr>
        <w:t xml:space="preserve">Wagner </w:t>
      </w:r>
      <w:r w:rsidRPr="00C50A5C">
        <w:rPr>
          <w:b/>
          <w:sz w:val="20"/>
          <w:szCs w:val="20"/>
        </w:rPr>
        <w:t>JJ.</w:t>
      </w:r>
    </w:p>
    <w:p w:rsidR="00730B5B" w:rsidRPr="00C50A5C" w:rsidRDefault="00730B5B" w:rsidP="00730B5B">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Cromwell</w:t>
      </w:r>
      <w:r w:rsidRPr="00C50A5C">
        <w:rPr>
          <w:b/>
          <w:sz w:val="20"/>
          <w:szCs w:val="20"/>
          <w:lang w:val="fr-CA"/>
        </w:rPr>
        <w:t xml:space="preserve"> et </w:t>
      </w:r>
      <w:r>
        <w:rPr>
          <w:b/>
          <w:sz w:val="20"/>
          <w:szCs w:val="20"/>
          <w:lang w:val="fr-CA"/>
        </w:rPr>
        <w:t>Wagner</w:t>
      </w:r>
    </w:p>
    <w:p w:rsidR="00730B5B" w:rsidRPr="00C50A5C" w:rsidRDefault="00730B5B" w:rsidP="00730B5B">
      <w:pPr>
        <w:widowControl w:val="0"/>
        <w:rPr>
          <w:sz w:val="20"/>
          <w:szCs w:val="20"/>
          <w:lang w:val="fr-CA"/>
        </w:rPr>
      </w:pPr>
    </w:p>
    <w:p w:rsidR="00730B5B" w:rsidRPr="00C50A5C" w:rsidRDefault="0095709F" w:rsidP="00730B5B">
      <w:pPr>
        <w:pStyle w:val="ListParagraph"/>
        <w:widowControl w:val="0"/>
        <w:numPr>
          <w:ilvl w:val="0"/>
          <w:numId w:val="1"/>
        </w:numPr>
        <w:ind w:hanging="720"/>
        <w:jc w:val="both"/>
        <w:rPr>
          <w:sz w:val="20"/>
          <w:szCs w:val="20"/>
        </w:rPr>
      </w:pPr>
      <w:r w:rsidRPr="0095709F">
        <w:rPr>
          <w:i/>
          <w:sz w:val="20"/>
          <w:szCs w:val="20"/>
        </w:rPr>
        <w:t>Her Majesty the Queen v. Lindley Charles McArthur et al.</w:t>
      </w:r>
      <w:r w:rsidRPr="0095709F">
        <w:rPr>
          <w:sz w:val="20"/>
          <w:szCs w:val="20"/>
        </w:rPr>
        <w:t xml:space="preserve"> (Ont.) (Crim.) (By Leave)</w:t>
      </w:r>
      <w:r w:rsidRPr="00C50A5C">
        <w:rPr>
          <w:sz w:val="20"/>
          <w:szCs w:val="20"/>
        </w:rPr>
        <w:t xml:space="preserve"> </w:t>
      </w:r>
      <w:r w:rsidR="00730B5B" w:rsidRPr="00C50A5C">
        <w:rPr>
          <w:sz w:val="20"/>
          <w:szCs w:val="20"/>
        </w:rPr>
        <w:t>(3</w:t>
      </w:r>
      <w:r>
        <w:rPr>
          <w:sz w:val="20"/>
          <w:szCs w:val="20"/>
        </w:rPr>
        <w:t>5695</w:t>
      </w:r>
      <w:r w:rsidR="00730B5B" w:rsidRPr="00C50A5C">
        <w:rPr>
          <w:sz w:val="20"/>
          <w:szCs w:val="20"/>
        </w:rPr>
        <w:t>)</w:t>
      </w:r>
    </w:p>
    <w:p w:rsidR="00730B5B" w:rsidRPr="00C50A5C" w:rsidRDefault="00730B5B" w:rsidP="00730B5B">
      <w:pPr>
        <w:widowControl w:val="0"/>
        <w:jc w:val="both"/>
        <w:rPr>
          <w:sz w:val="20"/>
          <w:szCs w:val="20"/>
        </w:rPr>
      </w:pPr>
    </w:p>
    <w:p w:rsidR="00730B5B" w:rsidRPr="0095709F" w:rsidRDefault="0095709F" w:rsidP="00730B5B">
      <w:pPr>
        <w:pStyle w:val="ListParagraph"/>
        <w:widowControl w:val="0"/>
        <w:numPr>
          <w:ilvl w:val="0"/>
          <w:numId w:val="1"/>
        </w:numPr>
        <w:ind w:hanging="720"/>
        <w:jc w:val="both"/>
        <w:rPr>
          <w:sz w:val="20"/>
          <w:szCs w:val="20"/>
          <w:lang w:val="fr-CA"/>
        </w:rPr>
      </w:pPr>
      <w:r w:rsidRPr="0095709F">
        <w:rPr>
          <w:i/>
          <w:sz w:val="20"/>
          <w:szCs w:val="20"/>
          <w:lang w:val="fr-CA"/>
        </w:rPr>
        <w:t>G.G. c. Ministre de l’emploi et de la solidarité sociale</w:t>
      </w:r>
      <w:r w:rsidRPr="0095709F">
        <w:rPr>
          <w:sz w:val="20"/>
          <w:szCs w:val="20"/>
          <w:lang w:val="fr-CA"/>
        </w:rPr>
        <w:t xml:space="preserve"> (Qc) (Civile) (Autorisation) </w:t>
      </w:r>
      <w:r w:rsidR="00730B5B" w:rsidRPr="0095709F">
        <w:rPr>
          <w:sz w:val="20"/>
          <w:szCs w:val="20"/>
          <w:lang w:val="fr-CA"/>
        </w:rPr>
        <w:t>(3</w:t>
      </w:r>
      <w:r w:rsidRPr="0095709F">
        <w:rPr>
          <w:sz w:val="20"/>
          <w:szCs w:val="20"/>
          <w:lang w:val="fr-CA"/>
        </w:rPr>
        <w:t>5731</w:t>
      </w:r>
      <w:r w:rsidR="00730B5B" w:rsidRPr="0095709F">
        <w:rPr>
          <w:sz w:val="20"/>
          <w:szCs w:val="20"/>
          <w:lang w:val="fr-CA"/>
        </w:rPr>
        <w:t>)</w:t>
      </w:r>
    </w:p>
    <w:p w:rsidR="00730B5B" w:rsidRPr="0095709F" w:rsidRDefault="00730B5B" w:rsidP="00730B5B">
      <w:pPr>
        <w:widowControl w:val="0"/>
        <w:jc w:val="both"/>
        <w:rPr>
          <w:sz w:val="20"/>
          <w:szCs w:val="20"/>
          <w:lang w:val="fr-CA"/>
        </w:rPr>
      </w:pPr>
    </w:p>
    <w:p w:rsidR="00730B5B" w:rsidRPr="00C50A5C" w:rsidRDefault="0095709F" w:rsidP="00730B5B">
      <w:pPr>
        <w:pStyle w:val="ListParagraph"/>
        <w:widowControl w:val="0"/>
        <w:numPr>
          <w:ilvl w:val="0"/>
          <w:numId w:val="1"/>
        </w:numPr>
        <w:ind w:hanging="720"/>
        <w:jc w:val="both"/>
        <w:rPr>
          <w:sz w:val="20"/>
          <w:szCs w:val="20"/>
        </w:rPr>
      </w:pPr>
      <w:r w:rsidRPr="0095709F">
        <w:rPr>
          <w:i/>
          <w:sz w:val="20"/>
          <w:szCs w:val="20"/>
        </w:rPr>
        <w:t>City of Edmonton v. Kiewit Energy Canada Corp. et al.</w:t>
      </w:r>
      <w:r w:rsidRPr="0095709F">
        <w:rPr>
          <w:sz w:val="20"/>
          <w:szCs w:val="20"/>
        </w:rPr>
        <w:t xml:space="preserve"> (Alta.) (Civil) (By Leave)</w:t>
      </w:r>
      <w:r w:rsidRPr="00940CAD">
        <w:rPr>
          <w:sz w:val="20"/>
          <w:szCs w:val="20"/>
        </w:rPr>
        <w:t xml:space="preserve"> </w:t>
      </w:r>
      <w:r w:rsidR="00730B5B" w:rsidRPr="00940CAD">
        <w:rPr>
          <w:sz w:val="20"/>
          <w:szCs w:val="20"/>
        </w:rPr>
        <w:t>(3</w:t>
      </w:r>
      <w:r>
        <w:rPr>
          <w:sz w:val="20"/>
          <w:szCs w:val="20"/>
        </w:rPr>
        <w:t>5</w:t>
      </w:r>
      <w:r w:rsidR="00730B5B" w:rsidRPr="00940CAD">
        <w:rPr>
          <w:sz w:val="20"/>
          <w:szCs w:val="20"/>
        </w:rPr>
        <w:t>6</w:t>
      </w:r>
      <w:r>
        <w:rPr>
          <w:sz w:val="20"/>
          <w:szCs w:val="20"/>
        </w:rPr>
        <w:t>97</w:t>
      </w:r>
      <w:r w:rsidR="00730B5B" w:rsidRPr="00940CAD">
        <w:rPr>
          <w:sz w:val="20"/>
          <w:szCs w:val="20"/>
        </w:rPr>
        <w:t>)</w:t>
      </w:r>
    </w:p>
    <w:p w:rsidR="00730B5B" w:rsidRPr="00C50A5C" w:rsidRDefault="00730B5B" w:rsidP="00730B5B">
      <w:pPr>
        <w:widowControl w:val="0"/>
        <w:rPr>
          <w:sz w:val="20"/>
          <w:szCs w:val="20"/>
        </w:rPr>
      </w:pPr>
    </w:p>
    <w:p w:rsidR="00730B5B" w:rsidRPr="00C50A5C" w:rsidRDefault="0095709F" w:rsidP="00730B5B">
      <w:pPr>
        <w:pStyle w:val="ListParagraph"/>
        <w:widowControl w:val="0"/>
        <w:numPr>
          <w:ilvl w:val="0"/>
          <w:numId w:val="1"/>
        </w:numPr>
        <w:ind w:hanging="720"/>
        <w:jc w:val="both"/>
        <w:rPr>
          <w:sz w:val="20"/>
          <w:szCs w:val="20"/>
        </w:rPr>
      </w:pPr>
      <w:r w:rsidRPr="0095709F">
        <w:rPr>
          <w:i/>
          <w:sz w:val="20"/>
          <w:szCs w:val="20"/>
        </w:rPr>
        <w:t>William Unrau v. Robert D. McSween et al.</w:t>
      </w:r>
      <w:r w:rsidRPr="0095709F">
        <w:rPr>
          <w:sz w:val="20"/>
          <w:szCs w:val="20"/>
        </w:rPr>
        <w:t xml:space="preserve"> (B.C.) (Civil) (By Leave)</w:t>
      </w:r>
      <w:r w:rsidRPr="00C50A5C">
        <w:rPr>
          <w:sz w:val="20"/>
          <w:szCs w:val="20"/>
        </w:rPr>
        <w:t xml:space="preserve"> </w:t>
      </w:r>
      <w:r w:rsidR="00730B5B" w:rsidRPr="00C50A5C">
        <w:rPr>
          <w:sz w:val="20"/>
          <w:szCs w:val="20"/>
        </w:rPr>
        <w:t>(3</w:t>
      </w:r>
      <w:r>
        <w:rPr>
          <w:sz w:val="20"/>
          <w:szCs w:val="20"/>
        </w:rPr>
        <w:t>5708</w:t>
      </w:r>
      <w:r w:rsidR="00730B5B" w:rsidRPr="00C50A5C">
        <w:rPr>
          <w:sz w:val="20"/>
          <w:szCs w:val="20"/>
        </w:rPr>
        <w:t>)</w:t>
      </w:r>
    </w:p>
    <w:p w:rsidR="00730B5B" w:rsidRDefault="00730B5B" w:rsidP="00730B5B">
      <w:pPr>
        <w:widowControl w:val="0"/>
        <w:jc w:val="both"/>
        <w:rPr>
          <w:sz w:val="20"/>
          <w:szCs w:val="20"/>
        </w:rPr>
      </w:pPr>
    </w:p>
    <w:p w:rsidR="00730B5B" w:rsidRDefault="00730B5B" w:rsidP="00730B5B">
      <w:pPr>
        <w:widowControl w:val="0"/>
        <w:jc w:val="both"/>
        <w:rPr>
          <w:sz w:val="20"/>
          <w:szCs w:val="20"/>
        </w:rPr>
      </w:pPr>
    </w:p>
    <w:p w:rsidR="00730B5B" w:rsidRPr="00C50A5C" w:rsidRDefault="00730B5B" w:rsidP="00730B5B">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sidR="0095709F">
        <w:rPr>
          <w:b/>
          <w:sz w:val="20"/>
          <w:szCs w:val="20"/>
        </w:rPr>
        <w:t xml:space="preserve">Abella and </w:t>
      </w:r>
      <w:r>
        <w:rPr>
          <w:b/>
          <w:sz w:val="20"/>
          <w:szCs w:val="20"/>
        </w:rPr>
        <w:t>Karakatsanis</w:t>
      </w:r>
      <w:r w:rsidRPr="00C50A5C">
        <w:rPr>
          <w:b/>
          <w:sz w:val="20"/>
          <w:szCs w:val="20"/>
        </w:rPr>
        <w:t xml:space="preserve"> JJ.</w:t>
      </w:r>
    </w:p>
    <w:p w:rsidR="00730B5B" w:rsidRPr="00C50A5C" w:rsidRDefault="00730B5B" w:rsidP="00730B5B">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sidR="0095709F">
        <w:rPr>
          <w:b/>
          <w:sz w:val="20"/>
          <w:szCs w:val="20"/>
          <w:lang w:val="fr-CA"/>
        </w:rPr>
        <w:t xml:space="preserve">Abella </w:t>
      </w:r>
      <w:r w:rsidR="00BE366C">
        <w:rPr>
          <w:b/>
          <w:sz w:val="20"/>
          <w:szCs w:val="20"/>
          <w:lang w:val="fr-CA"/>
        </w:rPr>
        <w:t>et</w:t>
      </w:r>
      <w:r w:rsidR="0095709F">
        <w:rPr>
          <w:b/>
          <w:sz w:val="20"/>
          <w:szCs w:val="20"/>
          <w:lang w:val="fr-CA"/>
        </w:rPr>
        <w:t xml:space="preserve"> </w:t>
      </w:r>
      <w:r>
        <w:rPr>
          <w:b/>
          <w:sz w:val="20"/>
          <w:szCs w:val="20"/>
          <w:lang w:val="fr-CA"/>
        </w:rPr>
        <w:t>Karakatsanis</w:t>
      </w:r>
    </w:p>
    <w:p w:rsidR="00730B5B" w:rsidRPr="00C16CB3" w:rsidRDefault="00730B5B" w:rsidP="00730B5B">
      <w:pPr>
        <w:widowControl w:val="0"/>
        <w:jc w:val="both"/>
        <w:rPr>
          <w:sz w:val="20"/>
          <w:szCs w:val="20"/>
          <w:lang w:val="fr-CA"/>
        </w:rPr>
      </w:pPr>
    </w:p>
    <w:p w:rsidR="00730B5B" w:rsidRPr="0095709F" w:rsidRDefault="0095709F" w:rsidP="00730B5B">
      <w:pPr>
        <w:pStyle w:val="ListParagraph"/>
        <w:widowControl w:val="0"/>
        <w:numPr>
          <w:ilvl w:val="0"/>
          <w:numId w:val="1"/>
        </w:numPr>
        <w:ind w:hanging="720"/>
        <w:jc w:val="both"/>
        <w:rPr>
          <w:sz w:val="20"/>
          <w:szCs w:val="20"/>
        </w:rPr>
      </w:pPr>
      <w:r w:rsidRPr="0095709F">
        <w:rPr>
          <w:i/>
          <w:sz w:val="20"/>
          <w:szCs w:val="20"/>
        </w:rPr>
        <w:t>J.S. v. D.Z.</w:t>
      </w:r>
      <w:r w:rsidRPr="0095709F">
        <w:rPr>
          <w:sz w:val="20"/>
          <w:szCs w:val="20"/>
        </w:rPr>
        <w:t xml:space="preserve"> (Que.) (Civil) (By Leave) </w:t>
      </w:r>
      <w:r w:rsidR="00730B5B" w:rsidRPr="0095709F">
        <w:rPr>
          <w:sz w:val="20"/>
          <w:szCs w:val="20"/>
        </w:rPr>
        <w:t>(3</w:t>
      </w:r>
      <w:r w:rsidRPr="0095709F">
        <w:rPr>
          <w:sz w:val="20"/>
          <w:szCs w:val="20"/>
        </w:rPr>
        <w:t>5522</w:t>
      </w:r>
      <w:r w:rsidR="00730B5B" w:rsidRPr="0095709F">
        <w:rPr>
          <w:sz w:val="20"/>
          <w:szCs w:val="20"/>
        </w:rPr>
        <w:t>)</w:t>
      </w:r>
    </w:p>
    <w:p w:rsidR="00730B5B" w:rsidRPr="0095709F" w:rsidRDefault="00730B5B" w:rsidP="00730B5B">
      <w:pPr>
        <w:widowControl w:val="0"/>
        <w:rPr>
          <w:sz w:val="20"/>
          <w:szCs w:val="20"/>
        </w:rPr>
      </w:pPr>
    </w:p>
    <w:p w:rsidR="0095709F" w:rsidRPr="0095709F" w:rsidRDefault="0095709F" w:rsidP="00730B5B">
      <w:pPr>
        <w:widowControl w:val="0"/>
        <w:rPr>
          <w:sz w:val="20"/>
          <w:szCs w:val="20"/>
        </w:rPr>
      </w:pPr>
    </w:p>
    <w:p w:rsidR="0095709F" w:rsidRPr="00C50A5C" w:rsidRDefault="0095709F" w:rsidP="0095709F">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Pr>
          <w:b/>
          <w:sz w:val="20"/>
          <w:szCs w:val="20"/>
        </w:rPr>
        <w:t>Wagner</w:t>
      </w:r>
      <w:r w:rsidRPr="00C50A5C">
        <w:rPr>
          <w:b/>
          <w:sz w:val="20"/>
          <w:szCs w:val="20"/>
        </w:rPr>
        <w:t xml:space="preserve"> JJ.</w:t>
      </w:r>
    </w:p>
    <w:p w:rsidR="0095709F" w:rsidRPr="00C50A5C" w:rsidRDefault="0095709F" w:rsidP="0095709F">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Wagn</w:t>
      </w:r>
      <w:r w:rsidRPr="00C50A5C">
        <w:rPr>
          <w:b/>
          <w:sz w:val="20"/>
          <w:szCs w:val="20"/>
          <w:lang w:val="fr-CA"/>
        </w:rPr>
        <w:t>e</w:t>
      </w:r>
      <w:r>
        <w:rPr>
          <w:b/>
          <w:sz w:val="20"/>
          <w:szCs w:val="20"/>
          <w:lang w:val="fr-CA"/>
        </w:rPr>
        <w:t>r</w:t>
      </w:r>
    </w:p>
    <w:p w:rsidR="0095709F" w:rsidRPr="00C612D0" w:rsidRDefault="0095709F" w:rsidP="00730B5B">
      <w:pPr>
        <w:widowControl w:val="0"/>
        <w:rPr>
          <w:sz w:val="20"/>
          <w:szCs w:val="20"/>
          <w:lang w:val="fr-CA"/>
        </w:rPr>
      </w:pPr>
    </w:p>
    <w:p w:rsidR="00730B5B" w:rsidRPr="00115C9E" w:rsidRDefault="0095709F" w:rsidP="00730B5B">
      <w:pPr>
        <w:pStyle w:val="ListParagraph"/>
        <w:widowControl w:val="0"/>
        <w:numPr>
          <w:ilvl w:val="0"/>
          <w:numId w:val="1"/>
        </w:numPr>
        <w:ind w:hanging="720"/>
        <w:jc w:val="both"/>
        <w:rPr>
          <w:sz w:val="20"/>
          <w:szCs w:val="20"/>
          <w:lang w:val="fr-CA"/>
        </w:rPr>
      </w:pPr>
      <w:r w:rsidRPr="0095709F">
        <w:rPr>
          <w:i/>
          <w:sz w:val="20"/>
          <w:szCs w:val="20"/>
        </w:rPr>
        <w:t>Mahmood Sheraly Aziz (aka Mahmoud Sheraly Aziz) v. Attorney General of Canada, on behalf of the United Kingdom of Great Britain and Northern Ireland</w:t>
      </w:r>
      <w:r w:rsidRPr="0095709F">
        <w:rPr>
          <w:sz w:val="20"/>
          <w:szCs w:val="20"/>
        </w:rPr>
        <w:t xml:space="preserve"> (B.C.) (Crim.) (By Leave)</w:t>
      </w:r>
      <w:r w:rsidRPr="00115C9E">
        <w:rPr>
          <w:sz w:val="20"/>
          <w:szCs w:val="20"/>
          <w:lang w:val="fr-CA"/>
        </w:rPr>
        <w:t xml:space="preserve"> </w:t>
      </w:r>
      <w:r w:rsidR="00730B5B" w:rsidRPr="00115C9E">
        <w:rPr>
          <w:sz w:val="20"/>
          <w:szCs w:val="20"/>
          <w:lang w:val="fr-CA"/>
        </w:rPr>
        <w:t>(35</w:t>
      </w:r>
      <w:r>
        <w:rPr>
          <w:sz w:val="20"/>
          <w:szCs w:val="20"/>
          <w:lang w:val="fr-CA"/>
        </w:rPr>
        <w:t>573</w:t>
      </w:r>
      <w:r w:rsidR="00730B5B" w:rsidRPr="00115C9E">
        <w:rPr>
          <w:sz w:val="20"/>
          <w:szCs w:val="20"/>
          <w:lang w:val="fr-CA"/>
        </w:rPr>
        <w:t>)</w:t>
      </w:r>
    </w:p>
    <w:p w:rsidR="00730B5B" w:rsidRPr="00115C9E" w:rsidRDefault="00730B5B" w:rsidP="00730B5B">
      <w:pPr>
        <w:widowControl w:val="0"/>
        <w:jc w:val="both"/>
        <w:rPr>
          <w:sz w:val="20"/>
          <w:szCs w:val="20"/>
          <w:lang w:val="fr-CA"/>
        </w:rPr>
      </w:pPr>
    </w:p>
    <w:p w:rsidR="00730B5B" w:rsidRPr="00115C9E" w:rsidRDefault="0095709F" w:rsidP="00730B5B">
      <w:pPr>
        <w:pStyle w:val="ListParagraph"/>
        <w:widowControl w:val="0"/>
        <w:numPr>
          <w:ilvl w:val="0"/>
          <w:numId w:val="1"/>
        </w:numPr>
        <w:ind w:hanging="720"/>
        <w:jc w:val="both"/>
        <w:rPr>
          <w:sz w:val="20"/>
          <w:szCs w:val="20"/>
          <w:lang w:val="fr-CA"/>
        </w:rPr>
      </w:pPr>
      <w:r w:rsidRPr="0095709F">
        <w:rPr>
          <w:i/>
          <w:sz w:val="20"/>
          <w:szCs w:val="20"/>
          <w:lang w:val="fr-CA"/>
        </w:rPr>
        <w:t>Ahmad Mostafalou c. Université de Sherbrooke</w:t>
      </w:r>
      <w:r w:rsidRPr="0095709F">
        <w:rPr>
          <w:sz w:val="20"/>
          <w:szCs w:val="20"/>
          <w:lang w:val="fr-CA"/>
        </w:rPr>
        <w:t xml:space="preserve"> (Qc) (Civile) (Autorisation)</w:t>
      </w:r>
      <w:r w:rsidRPr="00115C9E">
        <w:rPr>
          <w:sz w:val="20"/>
          <w:szCs w:val="20"/>
          <w:lang w:val="fr-CA"/>
        </w:rPr>
        <w:t xml:space="preserve"> </w:t>
      </w:r>
      <w:r w:rsidR="00730B5B" w:rsidRPr="00115C9E">
        <w:rPr>
          <w:sz w:val="20"/>
          <w:szCs w:val="20"/>
          <w:lang w:val="fr-CA"/>
        </w:rPr>
        <w:t>(3</w:t>
      </w:r>
      <w:r>
        <w:rPr>
          <w:sz w:val="20"/>
          <w:szCs w:val="20"/>
          <w:lang w:val="fr-CA"/>
        </w:rPr>
        <w:t>5725</w:t>
      </w:r>
      <w:r w:rsidR="00730B5B" w:rsidRPr="00115C9E">
        <w:rPr>
          <w:sz w:val="20"/>
          <w:szCs w:val="20"/>
          <w:lang w:val="fr-CA"/>
        </w:rPr>
        <w:t>)</w:t>
      </w:r>
    </w:p>
    <w:p w:rsidR="00730B5B" w:rsidRPr="00115C9E" w:rsidRDefault="00730B5B" w:rsidP="00730B5B">
      <w:pPr>
        <w:widowControl w:val="0"/>
        <w:jc w:val="both"/>
        <w:rPr>
          <w:sz w:val="20"/>
          <w:szCs w:val="20"/>
          <w:lang w:val="fr-CA"/>
        </w:rPr>
      </w:pPr>
    </w:p>
    <w:p w:rsidR="00730B5B" w:rsidRPr="00C50A5C" w:rsidRDefault="0095709F" w:rsidP="00730B5B">
      <w:pPr>
        <w:pStyle w:val="ListParagraph"/>
        <w:widowControl w:val="0"/>
        <w:numPr>
          <w:ilvl w:val="0"/>
          <w:numId w:val="1"/>
        </w:numPr>
        <w:ind w:hanging="720"/>
        <w:jc w:val="both"/>
        <w:rPr>
          <w:sz w:val="20"/>
          <w:szCs w:val="20"/>
          <w:lang w:val="fr-CA"/>
        </w:rPr>
      </w:pPr>
      <w:r w:rsidRPr="0095709F">
        <w:rPr>
          <w:i/>
          <w:sz w:val="20"/>
          <w:szCs w:val="20"/>
          <w:lang w:val="fr-CA"/>
        </w:rPr>
        <w:t>Association des pompiers professionnels de Québec inc. c. Ville de Québec</w:t>
      </w:r>
      <w:r w:rsidRPr="0095709F">
        <w:rPr>
          <w:sz w:val="20"/>
          <w:szCs w:val="20"/>
          <w:lang w:val="fr-CA"/>
        </w:rPr>
        <w:t xml:space="preserve"> (Qc) (Civile) (Autorisation)</w:t>
      </w:r>
      <w:r w:rsidRPr="00C50A5C">
        <w:rPr>
          <w:sz w:val="20"/>
          <w:szCs w:val="20"/>
          <w:lang w:val="fr-CA"/>
        </w:rPr>
        <w:t xml:space="preserve"> </w:t>
      </w:r>
      <w:r w:rsidR="00730B5B" w:rsidRPr="00C50A5C">
        <w:rPr>
          <w:sz w:val="20"/>
          <w:szCs w:val="20"/>
          <w:lang w:val="fr-CA"/>
        </w:rPr>
        <w:t>(3</w:t>
      </w:r>
      <w:r>
        <w:rPr>
          <w:sz w:val="20"/>
          <w:szCs w:val="20"/>
          <w:lang w:val="fr-CA"/>
        </w:rPr>
        <w:t>5</w:t>
      </w:r>
      <w:r w:rsidR="00730B5B">
        <w:rPr>
          <w:sz w:val="20"/>
          <w:szCs w:val="20"/>
          <w:lang w:val="fr-CA"/>
        </w:rPr>
        <w:t>71</w:t>
      </w:r>
      <w:r>
        <w:rPr>
          <w:sz w:val="20"/>
          <w:szCs w:val="20"/>
          <w:lang w:val="fr-CA"/>
        </w:rPr>
        <w:t>5</w:t>
      </w:r>
      <w:r w:rsidR="00730B5B" w:rsidRPr="00C50A5C">
        <w:rPr>
          <w:sz w:val="20"/>
          <w:szCs w:val="20"/>
          <w:lang w:val="fr-CA"/>
        </w:rPr>
        <w:t>)</w:t>
      </w:r>
    </w:p>
    <w:p w:rsidR="00730B5B" w:rsidRPr="0095709F" w:rsidRDefault="00730B5B" w:rsidP="00730B5B">
      <w:pPr>
        <w:widowControl w:val="0"/>
        <w:rPr>
          <w:i/>
          <w:sz w:val="20"/>
          <w:szCs w:val="20"/>
          <w:lang w:val="fr-CA"/>
        </w:rPr>
      </w:pPr>
    </w:p>
    <w:p w:rsidR="00730B5B" w:rsidRPr="00C50A5C" w:rsidRDefault="0095709F" w:rsidP="00730B5B">
      <w:pPr>
        <w:pStyle w:val="ListParagraph"/>
        <w:widowControl w:val="0"/>
        <w:numPr>
          <w:ilvl w:val="0"/>
          <w:numId w:val="1"/>
        </w:numPr>
        <w:ind w:hanging="720"/>
        <w:jc w:val="both"/>
        <w:rPr>
          <w:sz w:val="20"/>
          <w:szCs w:val="20"/>
          <w:lang w:val="fr-CA"/>
        </w:rPr>
      </w:pPr>
      <w:r w:rsidRPr="0095709F">
        <w:rPr>
          <w:i/>
          <w:sz w:val="20"/>
          <w:szCs w:val="20"/>
          <w:lang w:val="fr-CA"/>
        </w:rPr>
        <w:t>Giovanni Stante et a</w:t>
      </w:r>
      <w:r>
        <w:rPr>
          <w:i/>
          <w:sz w:val="20"/>
          <w:szCs w:val="20"/>
          <w:lang w:val="fr-CA"/>
        </w:rPr>
        <w:t>utre</w:t>
      </w:r>
      <w:r w:rsidRPr="0095709F">
        <w:rPr>
          <w:i/>
          <w:sz w:val="20"/>
          <w:szCs w:val="20"/>
          <w:lang w:val="fr-CA"/>
        </w:rPr>
        <w:t xml:space="preserve"> c. Claude Simard, ès qualités de Commissaire à la déontologie policière</w:t>
      </w:r>
      <w:r w:rsidRPr="0095709F">
        <w:rPr>
          <w:sz w:val="20"/>
          <w:szCs w:val="20"/>
          <w:lang w:val="fr-CA"/>
        </w:rPr>
        <w:t xml:space="preserve"> (Qc) (Civile) (Autorisation)</w:t>
      </w:r>
      <w:r w:rsidRPr="00C50A5C">
        <w:rPr>
          <w:sz w:val="20"/>
          <w:szCs w:val="20"/>
          <w:lang w:val="fr-CA"/>
        </w:rPr>
        <w:t xml:space="preserve"> </w:t>
      </w:r>
      <w:r w:rsidR="00730B5B" w:rsidRPr="00C50A5C">
        <w:rPr>
          <w:sz w:val="20"/>
          <w:szCs w:val="20"/>
          <w:lang w:val="fr-CA"/>
        </w:rPr>
        <w:t>(3</w:t>
      </w:r>
      <w:r>
        <w:rPr>
          <w:sz w:val="20"/>
          <w:szCs w:val="20"/>
          <w:lang w:val="fr-CA"/>
        </w:rPr>
        <w:t>5710</w:t>
      </w:r>
      <w:r w:rsidR="00730B5B" w:rsidRPr="00C50A5C">
        <w:rPr>
          <w:sz w:val="20"/>
          <w:szCs w:val="20"/>
          <w:lang w:val="fr-CA"/>
        </w:rPr>
        <w:t>)</w:t>
      </w:r>
    </w:p>
    <w:p w:rsidR="00730B5B" w:rsidRDefault="00730B5B" w:rsidP="00730B5B">
      <w:pPr>
        <w:widowControl w:val="0"/>
        <w:jc w:val="both"/>
        <w:rPr>
          <w:sz w:val="20"/>
          <w:szCs w:val="20"/>
          <w:lang w:val="fr-CA"/>
        </w:rPr>
      </w:pPr>
    </w:p>
    <w:p w:rsidR="00730B5B" w:rsidRPr="0095709F" w:rsidRDefault="0095709F" w:rsidP="00730B5B">
      <w:pPr>
        <w:pStyle w:val="ListParagraph"/>
        <w:widowControl w:val="0"/>
        <w:numPr>
          <w:ilvl w:val="0"/>
          <w:numId w:val="1"/>
        </w:numPr>
        <w:ind w:hanging="720"/>
        <w:jc w:val="both"/>
        <w:rPr>
          <w:sz w:val="20"/>
          <w:szCs w:val="20"/>
          <w:lang w:val="fr-CA"/>
        </w:rPr>
      </w:pPr>
      <w:r w:rsidRPr="0095709F">
        <w:rPr>
          <w:i/>
          <w:sz w:val="20"/>
          <w:szCs w:val="20"/>
          <w:lang w:val="fr-CA"/>
        </w:rPr>
        <w:t>Primmum, Compagnie d</w:t>
      </w:r>
      <w:r w:rsidR="00D07287">
        <w:rPr>
          <w:i/>
          <w:sz w:val="20"/>
          <w:szCs w:val="20"/>
          <w:lang w:val="fr-CA"/>
        </w:rPr>
        <w:t>’a</w:t>
      </w:r>
      <w:r w:rsidRPr="0095709F">
        <w:rPr>
          <w:i/>
          <w:sz w:val="20"/>
          <w:szCs w:val="20"/>
          <w:lang w:val="fr-CA"/>
        </w:rPr>
        <w:t>ssurance c. Sodaco Juridique inc., autrefois connue sous le nom de Société d</w:t>
      </w:r>
      <w:r w:rsidR="00D07287">
        <w:rPr>
          <w:i/>
          <w:sz w:val="20"/>
          <w:szCs w:val="20"/>
          <w:lang w:val="fr-CA"/>
        </w:rPr>
        <w:t>’</w:t>
      </w:r>
      <w:r w:rsidRPr="0095709F">
        <w:rPr>
          <w:i/>
          <w:sz w:val="20"/>
          <w:szCs w:val="20"/>
          <w:lang w:val="fr-CA"/>
        </w:rPr>
        <w:t>assurance collective Sodaco</w:t>
      </w:r>
      <w:r w:rsidRPr="0095709F">
        <w:rPr>
          <w:sz w:val="20"/>
          <w:szCs w:val="20"/>
          <w:lang w:val="fr-CA"/>
        </w:rPr>
        <w:t xml:space="preserve"> (Qc) (Civile) (Autorisation) </w:t>
      </w:r>
      <w:r w:rsidR="00730B5B" w:rsidRPr="0095709F">
        <w:rPr>
          <w:sz w:val="20"/>
          <w:szCs w:val="20"/>
          <w:lang w:val="fr-CA"/>
        </w:rPr>
        <w:t>(3</w:t>
      </w:r>
      <w:r w:rsidRPr="0095709F">
        <w:rPr>
          <w:sz w:val="20"/>
          <w:szCs w:val="20"/>
          <w:lang w:val="fr-CA"/>
        </w:rPr>
        <w:t>5612</w:t>
      </w:r>
      <w:r w:rsidR="00730B5B" w:rsidRPr="0095709F">
        <w:rPr>
          <w:sz w:val="20"/>
          <w:szCs w:val="20"/>
          <w:lang w:val="fr-CA"/>
        </w:rPr>
        <w:t>)</w:t>
      </w:r>
    </w:p>
    <w:p w:rsidR="00730B5B" w:rsidRPr="0095709F" w:rsidRDefault="00730B5B" w:rsidP="00730B5B">
      <w:pPr>
        <w:widowControl w:val="0"/>
        <w:jc w:val="both"/>
        <w:rPr>
          <w:sz w:val="20"/>
          <w:szCs w:val="20"/>
          <w:lang w:val="fr-CA"/>
        </w:rPr>
      </w:pPr>
    </w:p>
    <w:p w:rsidR="0095709F" w:rsidRPr="0095709F" w:rsidRDefault="0095709F" w:rsidP="00730B5B">
      <w:pPr>
        <w:widowControl w:val="0"/>
        <w:jc w:val="both"/>
        <w:rPr>
          <w:sz w:val="20"/>
          <w:szCs w:val="20"/>
          <w:lang w:val="fr-CA"/>
        </w:rPr>
      </w:pPr>
    </w:p>
    <w:p w:rsidR="0095709F" w:rsidRPr="00C50A5C" w:rsidRDefault="0095709F" w:rsidP="0095709F">
      <w:pPr>
        <w:widowControl w:val="0"/>
        <w:jc w:val="center"/>
        <w:rPr>
          <w:b/>
          <w:sz w:val="20"/>
          <w:szCs w:val="20"/>
        </w:rPr>
      </w:pPr>
      <w:r w:rsidRPr="00C50A5C">
        <w:rPr>
          <w:b/>
          <w:sz w:val="20"/>
          <w:szCs w:val="20"/>
        </w:rPr>
        <w:t xml:space="preserve">CORAM: </w:t>
      </w:r>
      <w:r>
        <w:rPr>
          <w:b/>
          <w:sz w:val="20"/>
          <w:szCs w:val="20"/>
        </w:rPr>
        <w:t>Abella,</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95709F" w:rsidRPr="00C50A5C" w:rsidRDefault="0095709F" w:rsidP="0095709F">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95709F" w:rsidRPr="0095709F" w:rsidRDefault="0095709F" w:rsidP="00730B5B">
      <w:pPr>
        <w:widowControl w:val="0"/>
        <w:jc w:val="both"/>
        <w:rPr>
          <w:sz w:val="20"/>
          <w:szCs w:val="20"/>
          <w:lang w:val="fr-CA"/>
        </w:rPr>
      </w:pPr>
    </w:p>
    <w:p w:rsidR="00730B5B" w:rsidRPr="00115C9E" w:rsidRDefault="0095709F" w:rsidP="00730B5B">
      <w:pPr>
        <w:pStyle w:val="ListParagraph"/>
        <w:widowControl w:val="0"/>
        <w:numPr>
          <w:ilvl w:val="0"/>
          <w:numId w:val="1"/>
        </w:numPr>
        <w:ind w:hanging="720"/>
        <w:jc w:val="both"/>
        <w:rPr>
          <w:sz w:val="20"/>
          <w:szCs w:val="20"/>
        </w:rPr>
      </w:pPr>
      <w:r w:rsidRPr="0095709F">
        <w:rPr>
          <w:sz w:val="20"/>
          <w:szCs w:val="20"/>
        </w:rPr>
        <w:t>J. Shawn O</w:t>
      </w:r>
      <w:r w:rsidR="00615D6E">
        <w:rPr>
          <w:sz w:val="20"/>
          <w:szCs w:val="20"/>
        </w:rPr>
        <w:t>’</w:t>
      </w:r>
      <w:r w:rsidRPr="0095709F">
        <w:rPr>
          <w:sz w:val="20"/>
          <w:szCs w:val="20"/>
        </w:rPr>
        <w:t>Toole v.</w:t>
      </w:r>
      <w:r>
        <w:rPr>
          <w:sz w:val="20"/>
          <w:szCs w:val="20"/>
        </w:rPr>
        <w:t xml:space="preserve"> </w:t>
      </w:r>
      <w:r w:rsidRPr="0095709F">
        <w:rPr>
          <w:sz w:val="20"/>
          <w:szCs w:val="20"/>
        </w:rPr>
        <w:t>Law Society of New Brunswick (N.B.) (Civil) (By Leave)</w:t>
      </w:r>
      <w:r w:rsidRPr="00115C9E">
        <w:rPr>
          <w:sz w:val="20"/>
          <w:szCs w:val="20"/>
        </w:rPr>
        <w:t xml:space="preserve"> </w:t>
      </w:r>
      <w:r w:rsidR="00730B5B" w:rsidRPr="00115C9E">
        <w:rPr>
          <w:sz w:val="20"/>
          <w:szCs w:val="20"/>
        </w:rPr>
        <w:t>(3</w:t>
      </w:r>
      <w:r>
        <w:rPr>
          <w:sz w:val="20"/>
          <w:szCs w:val="20"/>
        </w:rPr>
        <w:t>5</w:t>
      </w:r>
      <w:r w:rsidR="00730B5B" w:rsidRPr="00115C9E">
        <w:rPr>
          <w:sz w:val="20"/>
          <w:szCs w:val="20"/>
        </w:rPr>
        <w:t>7</w:t>
      </w:r>
      <w:r>
        <w:rPr>
          <w:sz w:val="20"/>
          <w:szCs w:val="20"/>
        </w:rPr>
        <w:t>02</w:t>
      </w:r>
      <w:r w:rsidR="00730B5B" w:rsidRPr="00115C9E">
        <w:rPr>
          <w:sz w:val="20"/>
          <w:szCs w:val="20"/>
        </w:rPr>
        <w:t>)</w:t>
      </w:r>
    </w:p>
    <w:p w:rsidR="00730B5B" w:rsidRPr="0095709F" w:rsidRDefault="00730B5B" w:rsidP="00730B5B">
      <w:pPr>
        <w:widowControl w:val="0"/>
        <w:jc w:val="both"/>
        <w:rPr>
          <w:i/>
          <w:sz w:val="20"/>
          <w:szCs w:val="20"/>
        </w:rPr>
      </w:pPr>
    </w:p>
    <w:p w:rsidR="00730B5B" w:rsidRDefault="0095709F" w:rsidP="00730B5B">
      <w:pPr>
        <w:pStyle w:val="ListParagraph"/>
        <w:widowControl w:val="0"/>
        <w:numPr>
          <w:ilvl w:val="0"/>
          <w:numId w:val="1"/>
        </w:numPr>
        <w:ind w:hanging="720"/>
        <w:jc w:val="both"/>
        <w:rPr>
          <w:sz w:val="20"/>
          <w:szCs w:val="20"/>
        </w:rPr>
      </w:pPr>
      <w:r w:rsidRPr="0095709F">
        <w:rPr>
          <w:i/>
          <w:sz w:val="20"/>
          <w:szCs w:val="20"/>
        </w:rPr>
        <w:t>Stanley J. Tessmer Law Corporation v. Her Majesty the Queen</w:t>
      </w:r>
      <w:r w:rsidRPr="0095709F">
        <w:rPr>
          <w:sz w:val="20"/>
          <w:szCs w:val="20"/>
        </w:rPr>
        <w:t xml:space="preserve"> (F.C.) (Civil) (By Leave)</w:t>
      </w:r>
      <w:r w:rsidRPr="00C50A5C">
        <w:rPr>
          <w:sz w:val="20"/>
          <w:szCs w:val="20"/>
        </w:rPr>
        <w:t xml:space="preserve"> </w:t>
      </w:r>
      <w:r w:rsidR="00730B5B" w:rsidRPr="00C50A5C">
        <w:rPr>
          <w:sz w:val="20"/>
          <w:szCs w:val="20"/>
        </w:rPr>
        <w:t>(3</w:t>
      </w:r>
      <w:r>
        <w:rPr>
          <w:sz w:val="20"/>
          <w:szCs w:val="20"/>
        </w:rPr>
        <w:t>57</w:t>
      </w:r>
      <w:r w:rsidR="00730B5B">
        <w:rPr>
          <w:sz w:val="20"/>
          <w:szCs w:val="20"/>
        </w:rPr>
        <w:t>2</w:t>
      </w:r>
      <w:r>
        <w:rPr>
          <w:sz w:val="20"/>
          <w:szCs w:val="20"/>
        </w:rPr>
        <w:t>3</w:t>
      </w:r>
      <w:r w:rsidR="00730B5B" w:rsidRPr="00C50A5C">
        <w:rPr>
          <w:sz w:val="20"/>
          <w:szCs w:val="20"/>
        </w:rPr>
        <w:t>)</w:t>
      </w:r>
    </w:p>
    <w:p w:rsidR="00730B5B" w:rsidRDefault="00730B5B" w:rsidP="00730B5B">
      <w:pPr>
        <w:widowControl w:val="0"/>
        <w:rPr>
          <w:sz w:val="20"/>
          <w:szCs w:val="20"/>
        </w:rPr>
      </w:pPr>
    </w:p>
    <w:p w:rsidR="00730B5B" w:rsidRPr="0095709F" w:rsidRDefault="0095709F" w:rsidP="00730B5B">
      <w:pPr>
        <w:pStyle w:val="ListParagraph"/>
        <w:widowControl w:val="0"/>
        <w:numPr>
          <w:ilvl w:val="0"/>
          <w:numId w:val="1"/>
        </w:numPr>
        <w:ind w:hanging="720"/>
        <w:jc w:val="both"/>
        <w:rPr>
          <w:sz w:val="20"/>
          <w:szCs w:val="20"/>
        </w:rPr>
      </w:pPr>
      <w:r w:rsidRPr="0095709F">
        <w:rPr>
          <w:i/>
          <w:sz w:val="20"/>
          <w:szCs w:val="20"/>
        </w:rPr>
        <w:t>Nortel Networks Corporation et al. v. Her Majesty the Queen in Right of Ontario, as represented by the Ministry of the Environment et al.</w:t>
      </w:r>
      <w:r w:rsidRPr="0095709F">
        <w:rPr>
          <w:sz w:val="20"/>
          <w:szCs w:val="20"/>
        </w:rPr>
        <w:t xml:space="preserve"> (Ont.) (Civil) (By Leave) </w:t>
      </w:r>
      <w:r w:rsidR="00730B5B" w:rsidRPr="0095709F">
        <w:rPr>
          <w:sz w:val="20"/>
          <w:szCs w:val="20"/>
        </w:rPr>
        <w:t>(3</w:t>
      </w:r>
      <w:r w:rsidRPr="0095709F">
        <w:rPr>
          <w:sz w:val="20"/>
          <w:szCs w:val="20"/>
        </w:rPr>
        <w:t>5</w:t>
      </w:r>
      <w:r w:rsidR="00730B5B" w:rsidRPr="0095709F">
        <w:rPr>
          <w:sz w:val="20"/>
          <w:szCs w:val="20"/>
        </w:rPr>
        <w:t>6</w:t>
      </w:r>
      <w:r w:rsidRPr="0095709F">
        <w:rPr>
          <w:sz w:val="20"/>
          <w:szCs w:val="20"/>
        </w:rPr>
        <w:t>42</w:t>
      </w:r>
      <w:r w:rsidR="00730B5B" w:rsidRPr="0095709F">
        <w:rPr>
          <w:sz w:val="20"/>
          <w:szCs w:val="20"/>
        </w:rPr>
        <w:t>)</w:t>
      </w:r>
    </w:p>
    <w:p w:rsidR="002E2327" w:rsidRPr="0095709F" w:rsidRDefault="002E2327" w:rsidP="002E2327">
      <w:pPr>
        <w:widowControl w:val="0"/>
        <w:rPr>
          <w:sz w:val="20"/>
          <w:szCs w:val="20"/>
        </w:rPr>
      </w:pPr>
    </w:p>
    <w:p w:rsidR="002E2327" w:rsidRDefault="004F01F8" w:rsidP="002E2327">
      <w:pPr>
        <w:widowControl w:val="0"/>
        <w:rPr>
          <w:sz w:val="20"/>
          <w:szCs w:val="20"/>
        </w:rPr>
      </w:pPr>
      <w:r>
        <w:rPr>
          <w:sz w:val="20"/>
          <w:szCs w:val="20"/>
        </w:rPr>
        <w:pict>
          <v:rect id="_x0000_i1035" style="width:2in;height:1pt" o:hrpct="0" o:hralign="center" o:hrstd="t" o:hrnoshade="t" o:hr="t" fillcolor="black [3213]" stroked="f"/>
        </w:pict>
      </w: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4F01F8"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Default="008D292F" w:rsidP="008D292F">
      <w:pPr>
        <w:rPr>
          <w:sz w:val="20"/>
          <w:szCs w:val="20"/>
          <w:lang w:val="fr-CA"/>
        </w:rPr>
      </w:pPr>
    </w:p>
    <w:p w:rsidR="001B1E7F" w:rsidRPr="00C50A5C" w:rsidRDefault="001B1E7F" w:rsidP="001B1E7F">
      <w:pPr>
        <w:rPr>
          <w:b/>
          <w:sz w:val="20"/>
          <w:szCs w:val="20"/>
        </w:rPr>
      </w:pPr>
      <w:r>
        <w:rPr>
          <w:b/>
          <w:sz w:val="20"/>
          <w:szCs w:val="20"/>
        </w:rPr>
        <w:t>M</w:t>
      </w:r>
      <w:r w:rsidRPr="00C50A5C">
        <w:rPr>
          <w:b/>
          <w:sz w:val="20"/>
          <w:szCs w:val="20"/>
        </w:rPr>
        <w:t>A</w:t>
      </w:r>
      <w:r>
        <w:rPr>
          <w:b/>
          <w:sz w:val="20"/>
          <w:szCs w:val="20"/>
        </w:rPr>
        <w:t>RCH</w:t>
      </w:r>
      <w:r w:rsidRPr="00C50A5C">
        <w:rPr>
          <w:b/>
          <w:sz w:val="20"/>
          <w:szCs w:val="20"/>
        </w:rPr>
        <w:t xml:space="preserve"> 2</w:t>
      </w:r>
      <w:r w:rsidR="00524D0A">
        <w:rPr>
          <w:b/>
          <w:sz w:val="20"/>
          <w:szCs w:val="20"/>
        </w:rPr>
        <w:t>7</w:t>
      </w:r>
      <w:r w:rsidRPr="00C50A5C">
        <w:rPr>
          <w:b/>
          <w:sz w:val="20"/>
          <w:szCs w:val="20"/>
        </w:rPr>
        <w:t>, 201</w:t>
      </w:r>
      <w:r>
        <w:rPr>
          <w:b/>
          <w:sz w:val="20"/>
          <w:szCs w:val="20"/>
        </w:rPr>
        <w:t>4</w:t>
      </w:r>
      <w:r w:rsidRPr="00C50A5C">
        <w:rPr>
          <w:b/>
          <w:sz w:val="20"/>
          <w:szCs w:val="20"/>
        </w:rPr>
        <w:t xml:space="preserve"> / LE 2</w:t>
      </w:r>
      <w:r w:rsidR="00524D0A">
        <w:rPr>
          <w:b/>
          <w:sz w:val="20"/>
          <w:szCs w:val="20"/>
        </w:rPr>
        <w:t>7</w:t>
      </w:r>
      <w:r w:rsidRPr="00C50A5C">
        <w:rPr>
          <w:b/>
          <w:sz w:val="20"/>
          <w:szCs w:val="20"/>
        </w:rPr>
        <w:t xml:space="preserve"> </w:t>
      </w:r>
      <w:r>
        <w:rPr>
          <w:b/>
          <w:sz w:val="20"/>
          <w:szCs w:val="20"/>
        </w:rPr>
        <w:t>M</w:t>
      </w:r>
      <w:r w:rsidRPr="00C50A5C">
        <w:rPr>
          <w:b/>
          <w:sz w:val="20"/>
          <w:szCs w:val="20"/>
        </w:rPr>
        <w:t>A</w:t>
      </w:r>
      <w:r>
        <w:rPr>
          <w:b/>
          <w:sz w:val="20"/>
          <w:szCs w:val="20"/>
        </w:rPr>
        <w:t>RS</w:t>
      </w:r>
      <w:r w:rsidRPr="00C50A5C">
        <w:rPr>
          <w:b/>
          <w:sz w:val="20"/>
          <w:szCs w:val="20"/>
        </w:rPr>
        <w:t xml:space="preserve"> 201</w:t>
      </w:r>
      <w:r>
        <w:rPr>
          <w:b/>
          <w:sz w:val="20"/>
          <w:szCs w:val="20"/>
        </w:rPr>
        <w:t>4</w:t>
      </w:r>
    </w:p>
    <w:p w:rsidR="001B1E7F" w:rsidRDefault="001B1E7F" w:rsidP="001B1E7F">
      <w:pPr>
        <w:rPr>
          <w:sz w:val="20"/>
          <w:szCs w:val="20"/>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A35A0" w:rsidRPr="00524D0A" w:rsidTr="00EA35A0">
        <w:trPr>
          <w:cantSplit/>
        </w:trPr>
        <w:tc>
          <w:tcPr>
            <w:tcW w:w="1458" w:type="dxa"/>
          </w:tcPr>
          <w:p w:rsidR="00EA35A0" w:rsidRPr="00EA35A0" w:rsidRDefault="00EA35A0" w:rsidP="00EA35A0">
            <w:pPr>
              <w:rPr>
                <w:sz w:val="20"/>
              </w:rPr>
            </w:pPr>
            <w:r w:rsidRPr="00EA35A0">
              <w:rPr>
                <w:b/>
                <w:sz w:val="20"/>
                <w:lang w:val="fr-CA"/>
              </w:rPr>
              <w:t>35619</w:t>
            </w:r>
          </w:p>
          <w:p w:rsidR="00EA35A0" w:rsidRPr="00EA35A0" w:rsidRDefault="00EA35A0" w:rsidP="00EA35A0">
            <w:pPr>
              <w:rPr>
                <w:b/>
                <w:sz w:val="20"/>
                <w:lang w:val="fr-CA"/>
              </w:rPr>
            </w:pPr>
          </w:p>
        </w:tc>
        <w:tc>
          <w:tcPr>
            <w:tcW w:w="8118" w:type="dxa"/>
          </w:tcPr>
          <w:p w:rsidR="00EA35A0" w:rsidRPr="00524D0A" w:rsidRDefault="00EA35A0" w:rsidP="00EA35A0">
            <w:pPr>
              <w:jc w:val="both"/>
              <w:rPr>
                <w:sz w:val="20"/>
                <w:lang w:val="fr-CA"/>
              </w:rPr>
            </w:pPr>
            <w:r w:rsidRPr="00EA35A0">
              <w:rPr>
                <w:b/>
                <w:sz w:val="20"/>
                <w:u w:val="single"/>
                <w:lang w:val="fr-CA"/>
              </w:rPr>
              <w:t>Association des parents de l</w:t>
            </w:r>
            <w:r w:rsidR="00524D0A">
              <w:rPr>
                <w:b/>
                <w:sz w:val="20"/>
                <w:u w:val="single"/>
                <w:lang w:val="fr-CA"/>
              </w:rPr>
              <w:t>’</w:t>
            </w:r>
            <w:r w:rsidRPr="00EA35A0">
              <w:rPr>
                <w:b/>
                <w:sz w:val="20"/>
                <w:u w:val="single"/>
                <w:lang w:val="fr-CA"/>
              </w:rPr>
              <w:t>école Rose-des-vents</w:t>
            </w:r>
            <w:r w:rsidR="00524D0A">
              <w:rPr>
                <w:b/>
                <w:sz w:val="20"/>
                <w:u w:val="single"/>
                <w:lang w:val="fr-CA"/>
              </w:rPr>
              <w:t xml:space="preserve"> et</w:t>
            </w:r>
            <w:r w:rsidRPr="00EA35A0">
              <w:rPr>
                <w:b/>
                <w:sz w:val="20"/>
                <w:u w:val="single"/>
                <w:lang w:val="fr-CA"/>
              </w:rPr>
              <w:t xml:space="preserve"> Joseph Pagé en son propre nom et en celui de tous les citoyens can</w:t>
            </w:r>
            <w:r w:rsidR="00524D0A">
              <w:rPr>
                <w:b/>
                <w:sz w:val="20"/>
                <w:u w:val="single"/>
                <w:lang w:val="fr-CA"/>
              </w:rPr>
              <w:t>a</w:t>
            </w:r>
            <w:r w:rsidRPr="00EA35A0">
              <w:rPr>
                <w:b/>
                <w:sz w:val="20"/>
                <w:u w:val="single"/>
                <w:lang w:val="fr-CA"/>
              </w:rPr>
              <w:t>diens qui résident à l</w:t>
            </w:r>
            <w:r w:rsidR="00524D0A">
              <w:rPr>
                <w:b/>
                <w:sz w:val="20"/>
                <w:u w:val="single"/>
                <w:lang w:val="fr-CA"/>
              </w:rPr>
              <w:t>’ </w:t>
            </w:r>
            <w:r w:rsidRPr="00EA35A0">
              <w:rPr>
                <w:b/>
                <w:sz w:val="20"/>
                <w:u w:val="single"/>
                <w:lang w:val="fr-CA"/>
              </w:rPr>
              <w:t>ouest de la rue Main dans la ville de Vancouver dont la première langue apprise et encore comprise est le français, ou qui ont reçu leur instruction au niveau primaire en français au Canada, ou dont un enfant a reçu ou reçoit son instruction au niveau primaire ou secondaire en français au Canada c. Ministère de l</w:t>
            </w:r>
            <w:r w:rsidR="00524D0A">
              <w:rPr>
                <w:b/>
                <w:sz w:val="20"/>
                <w:u w:val="single"/>
                <w:lang w:val="fr-CA"/>
              </w:rPr>
              <w:t>’</w:t>
            </w:r>
            <w:r w:rsidRPr="00EA35A0">
              <w:rPr>
                <w:b/>
                <w:sz w:val="20"/>
                <w:u w:val="single"/>
                <w:lang w:val="fr-CA"/>
              </w:rPr>
              <w:t>Éducation de la province de la Colombie-Britannique, Procureur général de la Colombie-Britannique</w:t>
            </w:r>
            <w:r w:rsidR="00524D0A">
              <w:rPr>
                <w:b/>
                <w:sz w:val="20"/>
                <w:u w:val="single"/>
                <w:lang w:val="fr-CA"/>
              </w:rPr>
              <w:t xml:space="preserve"> et</w:t>
            </w:r>
            <w:r w:rsidRPr="00EA35A0">
              <w:rPr>
                <w:b/>
                <w:sz w:val="20"/>
                <w:u w:val="single"/>
                <w:lang w:val="fr-CA"/>
              </w:rPr>
              <w:t xml:space="preserve"> Conseil scolaire francophone de la Colombie-Britannique</w:t>
            </w:r>
            <w:r w:rsidRPr="00EA35A0">
              <w:rPr>
                <w:sz w:val="20"/>
                <w:lang w:val="fr-CA"/>
              </w:rPr>
              <w:t xml:space="preserve"> (C.-B.) </w:t>
            </w:r>
            <w:r w:rsidRPr="00524D0A">
              <w:rPr>
                <w:sz w:val="20"/>
                <w:lang w:val="fr-CA"/>
              </w:rPr>
              <w:t>(Civile) (Autorisation)</w:t>
            </w:r>
          </w:p>
          <w:p w:rsidR="00EA35A0" w:rsidRPr="00524D0A" w:rsidRDefault="00EA35A0" w:rsidP="00EA35A0">
            <w:pPr>
              <w:jc w:val="both"/>
              <w:rPr>
                <w:sz w:val="20"/>
                <w:lang w:val="fr-CA"/>
              </w:rPr>
            </w:pPr>
          </w:p>
        </w:tc>
      </w:tr>
      <w:tr w:rsidR="00EA35A0" w:rsidRPr="004F01F8" w:rsidTr="00EA35A0">
        <w:trPr>
          <w:cantSplit/>
        </w:trPr>
        <w:tc>
          <w:tcPr>
            <w:tcW w:w="1458" w:type="dxa"/>
          </w:tcPr>
          <w:p w:rsidR="00EA35A0" w:rsidRPr="00524D0A" w:rsidRDefault="00EA35A0" w:rsidP="00EA35A0">
            <w:pPr>
              <w:rPr>
                <w:sz w:val="20"/>
                <w:lang w:val="fr-CA"/>
              </w:rPr>
            </w:pPr>
            <w:r w:rsidRPr="00524D0A">
              <w:rPr>
                <w:sz w:val="20"/>
                <w:lang w:val="fr-CA"/>
              </w:rPr>
              <w:t>Coram :</w:t>
            </w:r>
          </w:p>
        </w:tc>
        <w:tc>
          <w:tcPr>
            <w:tcW w:w="8118" w:type="dxa"/>
          </w:tcPr>
          <w:p w:rsidR="00EA35A0" w:rsidRPr="00EA35A0" w:rsidRDefault="00EA35A0" w:rsidP="00EA35A0">
            <w:pPr>
              <w:rPr>
                <w:sz w:val="20"/>
                <w:lang w:val="fr-CA"/>
              </w:rPr>
            </w:pPr>
            <w:r w:rsidRPr="00EA35A0">
              <w:rPr>
                <w:sz w:val="20"/>
                <w:u w:val="single"/>
                <w:lang w:val="fr-CA"/>
              </w:rPr>
              <w:t>Les juges LeBel, Karakatsanis et Wagner</w:t>
            </w:r>
          </w:p>
          <w:p w:rsidR="00EA35A0" w:rsidRPr="00EA35A0" w:rsidRDefault="00EA35A0" w:rsidP="00EA35A0">
            <w:pPr>
              <w:rPr>
                <w:sz w:val="20"/>
                <w:u w:val="single"/>
                <w:lang w:val="fr-CA"/>
              </w:rPr>
            </w:pPr>
          </w:p>
        </w:tc>
      </w:tr>
      <w:tr w:rsidR="00EA35A0" w:rsidRPr="00EA35A0" w:rsidTr="00EA35A0">
        <w:trPr>
          <w:cantSplit/>
        </w:trPr>
        <w:tc>
          <w:tcPr>
            <w:tcW w:w="9576" w:type="dxa"/>
            <w:gridSpan w:val="2"/>
          </w:tcPr>
          <w:p w:rsidR="00EA35A0" w:rsidRPr="00EA35A0" w:rsidRDefault="00EA35A0" w:rsidP="00EA35A0">
            <w:pPr>
              <w:ind w:firstLine="720"/>
              <w:jc w:val="both"/>
              <w:rPr>
                <w:sz w:val="20"/>
                <w:lang w:val="fr-CA"/>
              </w:rPr>
            </w:pPr>
            <w:r w:rsidRPr="00EA35A0">
              <w:rPr>
                <w:sz w:val="20"/>
                <w:lang w:val="fr-CA"/>
              </w:rPr>
              <w:t>La demande d’autorisation d’appel de l’arrêt de la Cour d’appel de la Colombie-Britannique (Vancouver), numéro CA040429, 2013 BCCA 407, daté du 20 septembre 2013, est accueillie avec dépens selon l’issue de la cause. Les parties seront invitées à déposer dans les quinze jours de l’autorisation de pourvoi, des observations écrites n’excédant pas 10 pages relativement au rôle et au statut du Conseil scolaire francophone de la Colombie-Britannique en appel, notamment si ce dernier devrait être une partie appelante plutôt qu’un intimé.</w:t>
            </w:r>
          </w:p>
          <w:p w:rsidR="00EA35A0" w:rsidRPr="00EA35A0" w:rsidRDefault="00EA35A0" w:rsidP="00EA35A0">
            <w:pPr>
              <w:jc w:val="both"/>
              <w:rPr>
                <w:sz w:val="20"/>
                <w:lang w:val="fr-CA"/>
              </w:rPr>
            </w:pPr>
          </w:p>
          <w:p w:rsidR="00EA35A0" w:rsidRPr="00EA35A0" w:rsidRDefault="00EA35A0" w:rsidP="00EA35A0">
            <w:pPr>
              <w:ind w:firstLine="720"/>
              <w:jc w:val="both"/>
              <w:rPr>
                <w:sz w:val="20"/>
              </w:rPr>
            </w:pPr>
            <w:r w:rsidRPr="00EA35A0">
              <w:rPr>
                <w:sz w:val="20"/>
              </w:rPr>
              <w:t>The application for leave to appeal from the judgment of the Court of Appeal for British Columbia (Vancouver), Number CA040429, 2013 BCCA 407, dated September 20, 2013, is granted with costs in the cause. The parties will be invited to file, within 15 days of the granting of leave, written submissions of not more than 10 pages regarding the role and status of the Conseil scolaire francophone de la Colombie-Britannique in the appeal, and in particular whether it should be an appellant rather than a respondent.</w:t>
            </w:r>
          </w:p>
        </w:tc>
      </w:tr>
    </w:tbl>
    <w:p w:rsidR="001B1E7F" w:rsidRDefault="001B1E7F" w:rsidP="001B1E7F">
      <w:pPr>
        <w:rPr>
          <w:sz w:val="20"/>
          <w:szCs w:val="20"/>
        </w:rPr>
      </w:pPr>
    </w:p>
    <w:p w:rsidR="001B1E7F" w:rsidRPr="001B157C" w:rsidRDefault="001B1E7F" w:rsidP="001B1E7F">
      <w:pPr>
        <w:rPr>
          <w:sz w:val="20"/>
          <w:szCs w:val="20"/>
          <w:u w:val="single"/>
        </w:rPr>
      </w:pPr>
      <w:r w:rsidRPr="001B157C">
        <w:rPr>
          <w:sz w:val="20"/>
          <w:szCs w:val="20"/>
          <w:u w:val="single"/>
        </w:rPr>
        <w:t>CASE SUMMARY</w:t>
      </w:r>
    </w:p>
    <w:p w:rsidR="001B1E7F" w:rsidRDefault="001B1E7F" w:rsidP="001B1E7F">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00C23" w:rsidRPr="00403149" w:rsidTr="00190453">
        <w:tc>
          <w:tcPr>
            <w:tcW w:w="5000" w:type="pct"/>
            <w:gridSpan w:val="3"/>
          </w:tcPr>
          <w:p w:rsidR="00600C23" w:rsidRPr="00403149" w:rsidRDefault="00600C23" w:rsidP="00190453">
            <w:pPr>
              <w:jc w:val="both"/>
              <w:rPr>
                <w:rFonts w:eastAsia="Calibri"/>
                <w:sz w:val="20"/>
                <w:szCs w:val="20"/>
              </w:rPr>
            </w:pPr>
            <w:r w:rsidRPr="00403149">
              <w:rPr>
                <w:rFonts w:eastAsia="Calibri"/>
                <w:sz w:val="20"/>
                <w:szCs w:val="20"/>
              </w:rPr>
              <w:t xml:space="preserve">Charter of rights — Constitutional law — Minority language educational rights — Educational facility — Substantive equality — Court of Appeal setting aside trial judge’s declaration that applicants not provided educational facilities guaranteed to them by s. 23 of </w:t>
            </w:r>
            <w:r w:rsidRPr="00403149">
              <w:rPr>
                <w:rFonts w:eastAsia="Calibri"/>
                <w:i/>
                <w:sz w:val="20"/>
                <w:szCs w:val="20"/>
              </w:rPr>
              <w:t>Charter</w:t>
            </w:r>
            <w:r w:rsidRPr="00403149">
              <w:rPr>
                <w:rFonts w:eastAsia="Calibri"/>
                <w:sz w:val="20"/>
                <w:szCs w:val="20"/>
              </w:rPr>
              <w:t xml:space="preserve"> — Whether s. 23 of </w:t>
            </w:r>
            <w:r w:rsidRPr="00403149">
              <w:rPr>
                <w:rFonts w:eastAsia="Calibri"/>
                <w:i/>
                <w:sz w:val="20"/>
                <w:szCs w:val="20"/>
              </w:rPr>
              <w:t>Charter</w:t>
            </w:r>
            <w:r w:rsidRPr="00403149">
              <w:rPr>
                <w:rFonts w:eastAsia="Calibri"/>
                <w:sz w:val="20"/>
                <w:szCs w:val="20"/>
              </w:rPr>
              <w:t xml:space="preserve"> infringed where only French</w:t>
            </w:r>
            <w:r w:rsidRPr="00403149">
              <w:rPr>
                <w:rFonts w:eastAsia="Calibri"/>
                <w:sz w:val="20"/>
                <w:szCs w:val="20"/>
              </w:rPr>
              <w:noBreakHyphen/>
              <w:t>language educational facility in area is overcrowded and less spacious, attractive, functional and accessible than any other English</w:t>
            </w:r>
            <w:r w:rsidRPr="00403149">
              <w:rPr>
                <w:rFonts w:eastAsia="Calibri"/>
                <w:sz w:val="20"/>
                <w:szCs w:val="20"/>
              </w:rPr>
              <w:noBreakHyphen/>
              <w:t>language facility in same area — Whether number of students who would benefit from right to instruction in French is sufficient to warrant instruction in French</w:t>
            </w:r>
            <w:r w:rsidRPr="00403149">
              <w:rPr>
                <w:rFonts w:eastAsia="Calibri"/>
                <w:sz w:val="20"/>
                <w:szCs w:val="20"/>
              </w:rPr>
              <w:noBreakHyphen/>
              <w:t xml:space="preserve">language educational facilities — If so, whether holders of this right must nevertheless show that it is “practically possible” to provide them with facilities equivalent to those of majority — Whether, to prove that their educational facilities do not comply with s. 23 of </w:t>
            </w:r>
            <w:r w:rsidRPr="00403149">
              <w:rPr>
                <w:rFonts w:eastAsia="Calibri"/>
                <w:i/>
                <w:sz w:val="20"/>
                <w:szCs w:val="20"/>
              </w:rPr>
              <w:t>Charter</w:t>
            </w:r>
            <w:r w:rsidRPr="00403149">
              <w:rPr>
                <w:rFonts w:eastAsia="Calibri"/>
                <w:sz w:val="20"/>
                <w:szCs w:val="20"/>
              </w:rPr>
              <w:t>, holders of this right must prove share of responsibility of province and/or school board.</w:t>
            </w:r>
          </w:p>
        </w:tc>
      </w:tr>
      <w:tr w:rsidR="00600C23" w:rsidRPr="00403149" w:rsidTr="00190453">
        <w:tc>
          <w:tcPr>
            <w:tcW w:w="5000" w:type="pct"/>
            <w:gridSpan w:val="3"/>
          </w:tcPr>
          <w:p w:rsidR="00600C23" w:rsidRPr="00403149" w:rsidRDefault="00600C23" w:rsidP="00190453">
            <w:pPr>
              <w:jc w:val="both"/>
              <w:rPr>
                <w:rFonts w:eastAsia="Calibri"/>
                <w:sz w:val="20"/>
                <w:szCs w:val="20"/>
              </w:rPr>
            </w:pPr>
          </w:p>
        </w:tc>
      </w:tr>
      <w:tr w:rsidR="00600C23" w:rsidRPr="00403149" w:rsidTr="00190453">
        <w:tc>
          <w:tcPr>
            <w:tcW w:w="5000" w:type="pct"/>
            <w:gridSpan w:val="3"/>
          </w:tcPr>
          <w:p w:rsidR="00600C23" w:rsidRPr="00403149" w:rsidRDefault="00600C23" w:rsidP="00190453">
            <w:pPr>
              <w:jc w:val="both"/>
              <w:rPr>
                <w:rFonts w:eastAsia="Calibri"/>
                <w:sz w:val="20"/>
                <w:szCs w:val="20"/>
              </w:rPr>
            </w:pPr>
            <w:r w:rsidRPr="00403149">
              <w:rPr>
                <w:rFonts w:eastAsia="Calibri"/>
                <w:sz w:val="20"/>
                <w:szCs w:val="20"/>
              </w:rPr>
              <w:t>École Rose</w:t>
            </w:r>
            <w:r w:rsidRPr="00403149">
              <w:rPr>
                <w:rFonts w:eastAsia="Calibri"/>
                <w:sz w:val="20"/>
                <w:szCs w:val="20"/>
              </w:rPr>
              <w:noBreakHyphen/>
              <w:t>des</w:t>
            </w:r>
            <w:r w:rsidRPr="00403149">
              <w:rPr>
                <w:rFonts w:eastAsia="Calibri"/>
                <w:sz w:val="20"/>
                <w:szCs w:val="20"/>
              </w:rPr>
              <w:noBreakHyphen/>
              <w:t>vents is a French</w:t>
            </w:r>
            <w:r w:rsidRPr="00403149">
              <w:rPr>
                <w:rFonts w:eastAsia="Calibri"/>
                <w:sz w:val="20"/>
                <w:szCs w:val="20"/>
              </w:rPr>
              <w:noBreakHyphen/>
              <w:t>language elementary school that was established in Vancouver in 2001 and has about 350 students.  It is the only French</w:t>
            </w:r>
            <w:r w:rsidRPr="00403149">
              <w:rPr>
                <w:rFonts w:eastAsia="Calibri"/>
                <w:sz w:val="20"/>
                <w:szCs w:val="20"/>
              </w:rPr>
              <w:noBreakHyphen/>
              <w:t>language elementary school serving those living west of Main Street.  It is near a French</w:t>
            </w:r>
            <w:r w:rsidRPr="00403149">
              <w:rPr>
                <w:rFonts w:eastAsia="Calibri"/>
                <w:sz w:val="20"/>
                <w:szCs w:val="20"/>
              </w:rPr>
              <w:noBreakHyphen/>
              <w:t>language secondary school, with which it has shared school facilities for some time.  For many years, the parents of students attending the school have called for an educational facility whose quality is equivalent to that of the educational facilities provided to the English</w:t>
            </w:r>
            <w:r w:rsidRPr="00403149">
              <w:rPr>
                <w:rFonts w:eastAsia="Calibri"/>
                <w:sz w:val="20"/>
                <w:szCs w:val="20"/>
              </w:rPr>
              <w:noBreakHyphen/>
              <w:t>speaking majority in the same catchment area.</w:t>
            </w:r>
          </w:p>
          <w:p w:rsidR="00600C23" w:rsidRPr="00403149" w:rsidRDefault="00600C23" w:rsidP="00190453">
            <w:pPr>
              <w:jc w:val="both"/>
              <w:rPr>
                <w:rFonts w:eastAsia="Calibri"/>
                <w:sz w:val="20"/>
                <w:szCs w:val="20"/>
              </w:rPr>
            </w:pPr>
          </w:p>
          <w:p w:rsidR="00600C23" w:rsidRPr="00403149" w:rsidRDefault="00600C23" w:rsidP="00190453">
            <w:pPr>
              <w:jc w:val="both"/>
              <w:rPr>
                <w:rFonts w:eastAsia="Calibri"/>
                <w:sz w:val="20"/>
                <w:szCs w:val="20"/>
              </w:rPr>
            </w:pPr>
            <w:r w:rsidRPr="00403149">
              <w:rPr>
                <w:rFonts w:eastAsia="Calibri"/>
                <w:sz w:val="20"/>
                <w:szCs w:val="20"/>
              </w:rPr>
              <w:t xml:space="preserve">In 2010, a group of parents whose children attended the school filed a petition in the Supreme Court of British Columbia seeking a declaration that their </w:t>
            </w:r>
            <w:r w:rsidRPr="00403149">
              <w:rPr>
                <w:rFonts w:eastAsia="Calibri"/>
                <w:i/>
                <w:sz w:val="20"/>
                <w:szCs w:val="20"/>
              </w:rPr>
              <w:t>Charter</w:t>
            </w:r>
            <w:r w:rsidRPr="00403149">
              <w:rPr>
                <w:rFonts w:eastAsia="Calibri"/>
                <w:sz w:val="20"/>
                <w:szCs w:val="20"/>
              </w:rPr>
              <w:t xml:space="preserve"> rights had been infringed because their school facilities did not meet the standards in s. 23 of the </w:t>
            </w:r>
            <w:r w:rsidRPr="00403149">
              <w:rPr>
                <w:rFonts w:eastAsia="Calibri"/>
                <w:i/>
                <w:sz w:val="20"/>
                <w:szCs w:val="20"/>
              </w:rPr>
              <w:t>Charter</w:t>
            </w:r>
            <w:r w:rsidRPr="00403149">
              <w:rPr>
                <w:rFonts w:eastAsia="Calibri"/>
                <w:sz w:val="20"/>
                <w:szCs w:val="20"/>
              </w:rPr>
              <w:t>.  The applicants argued that École Rose</w:t>
            </w:r>
            <w:r w:rsidRPr="00403149">
              <w:rPr>
                <w:rFonts w:eastAsia="Calibri"/>
                <w:sz w:val="20"/>
                <w:szCs w:val="20"/>
              </w:rPr>
              <w:noBreakHyphen/>
              <w:t>des</w:t>
            </w:r>
            <w:r w:rsidRPr="00403149">
              <w:rPr>
                <w:rFonts w:eastAsia="Calibri"/>
                <w:sz w:val="20"/>
                <w:szCs w:val="20"/>
              </w:rPr>
              <w:noBreakHyphen/>
              <w:t>vents was overcrowded and not as easily accessible as English</w:t>
            </w:r>
            <w:r w:rsidRPr="00403149">
              <w:rPr>
                <w:rFonts w:eastAsia="Calibri"/>
                <w:sz w:val="20"/>
                <w:szCs w:val="20"/>
              </w:rPr>
              <w:noBreakHyphen/>
              <w:t>language schools in the area and that its facilities were of poor quality.</w:t>
            </w:r>
          </w:p>
          <w:p w:rsidR="00600C23" w:rsidRPr="00403149" w:rsidRDefault="00600C23" w:rsidP="00190453">
            <w:pPr>
              <w:jc w:val="both"/>
              <w:rPr>
                <w:rFonts w:eastAsia="Calibri"/>
                <w:sz w:val="20"/>
                <w:szCs w:val="20"/>
              </w:rPr>
            </w:pPr>
          </w:p>
          <w:p w:rsidR="00600C23" w:rsidRPr="00403149" w:rsidRDefault="00600C23" w:rsidP="00190453">
            <w:pPr>
              <w:jc w:val="both"/>
              <w:rPr>
                <w:rFonts w:eastAsia="Calibri"/>
                <w:sz w:val="20"/>
                <w:szCs w:val="20"/>
              </w:rPr>
            </w:pPr>
            <w:r w:rsidRPr="00403149">
              <w:rPr>
                <w:rFonts w:eastAsia="Calibri"/>
                <w:sz w:val="20"/>
                <w:szCs w:val="20"/>
              </w:rPr>
              <w:t xml:space="preserve">A judge sitting as a case management judge ordered that the petition be heard in three phases, the first of which would involve determining whether the facilities and transportation afforded to the applicants were equivalent to the facilities </w:t>
            </w:r>
            <w:r w:rsidRPr="00403149">
              <w:rPr>
                <w:rFonts w:eastAsia="Calibri"/>
                <w:sz w:val="20"/>
                <w:szCs w:val="20"/>
              </w:rPr>
              <w:lastRenderedPageBreak/>
              <w:t>and transportation afforded to students attending English</w:t>
            </w:r>
            <w:r w:rsidRPr="00403149">
              <w:rPr>
                <w:rFonts w:eastAsia="Calibri"/>
                <w:sz w:val="20"/>
                <w:szCs w:val="20"/>
              </w:rPr>
              <w:noBreakHyphen/>
              <w:t xml:space="preserve">language schools in a comparable situation.  The same judge ordered that certain paragraphs be struck from the response of the Attorney General of British Columbia on the basis that they were irrelevant to this phase of the litigation. </w:t>
            </w:r>
          </w:p>
          <w:p w:rsidR="00600C23" w:rsidRPr="00403149" w:rsidRDefault="00600C23" w:rsidP="00190453">
            <w:pPr>
              <w:jc w:val="both"/>
              <w:rPr>
                <w:rFonts w:eastAsia="Calibri"/>
                <w:sz w:val="20"/>
                <w:szCs w:val="20"/>
              </w:rPr>
            </w:pPr>
          </w:p>
        </w:tc>
      </w:tr>
      <w:tr w:rsidR="00600C23" w:rsidRPr="00403149" w:rsidTr="00190453">
        <w:tc>
          <w:tcPr>
            <w:tcW w:w="2427" w:type="pct"/>
          </w:tcPr>
          <w:p w:rsidR="00600C23" w:rsidRPr="00403149" w:rsidRDefault="00600C23" w:rsidP="00190453">
            <w:pPr>
              <w:jc w:val="both"/>
              <w:rPr>
                <w:rFonts w:eastAsia="Calibri"/>
                <w:sz w:val="20"/>
                <w:szCs w:val="20"/>
              </w:rPr>
            </w:pPr>
            <w:r w:rsidRPr="00403149">
              <w:rPr>
                <w:rFonts w:eastAsia="Calibri"/>
                <w:sz w:val="20"/>
                <w:szCs w:val="20"/>
              </w:rPr>
              <w:lastRenderedPageBreak/>
              <w:t>November 4, 2011</w:t>
            </w:r>
          </w:p>
          <w:p w:rsidR="00600C23" w:rsidRPr="00403149" w:rsidRDefault="00600C23" w:rsidP="00190453">
            <w:pPr>
              <w:jc w:val="both"/>
              <w:rPr>
                <w:rFonts w:eastAsia="Calibri"/>
                <w:sz w:val="20"/>
                <w:szCs w:val="20"/>
              </w:rPr>
            </w:pPr>
            <w:r w:rsidRPr="00403149">
              <w:rPr>
                <w:rFonts w:eastAsia="Calibri"/>
                <w:sz w:val="20"/>
                <w:szCs w:val="20"/>
              </w:rPr>
              <w:t>British Columbia Supreme Court (Willcock J.)</w:t>
            </w:r>
          </w:p>
          <w:p w:rsidR="00600C23" w:rsidRPr="00403149" w:rsidRDefault="004F01F8" w:rsidP="00190453">
            <w:pPr>
              <w:jc w:val="both"/>
              <w:rPr>
                <w:rFonts w:eastAsia="Calibri"/>
                <w:sz w:val="20"/>
                <w:szCs w:val="20"/>
              </w:rPr>
            </w:pPr>
            <w:hyperlink r:id="rId24" w:history="1">
              <w:r w:rsidR="00600C23" w:rsidRPr="00403149">
                <w:rPr>
                  <w:rFonts w:eastAsia="Calibri"/>
                  <w:color w:val="0000FF"/>
                  <w:sz w:val="20"/>
                  <w:szCs w:val="20"/>
                  <w:u w:val="single"/>
                </w:rPr>
                <w:t>2011 BCSC 1495</w:t>
              </w:r>
            </w:hyperlink>
          </w:p>
        </w:tc>
        <w:tc>
          <w:tcPr>
            <w:tcW w:w="243" w:type="pct"/>
          </w:tcPr>
          <w:p w:rsidR="00600C23" w:rsidRPr="00403149" w:rsidRDefault="00600C23" w:rsidP="00190453">
            <w:pPr>
              <w:jc w:val="both"/>
              <w:rPr>
                <w:rFonts w:eastAsia="Calibri"/>
                <w:sz w:val="20"/>
                <w:szCs w:val="20"/>
              </w:rPr>
            </w:pPr>
          </w:p>
        </w:tc>
        <w:tc>
          <w:tcPr>
            <w:tcW w:w="2330" w:type="pct"/>
          </w:tcPr>
          <w:p w:rsidR="00600C23" w:rsidRPr="00403149" w:rsidRDefault="00600C23" w:rsidP="00190453">
            <w:pPr>
              <w:jc w:val="both"/>
              <w:rPr>
                <w:rFonts w:eastAsia="Calibri"/>
                <w:sz w:val="20"/>
                <w:szCs w:val="20"/>
              </w:rPr>
            </w:pPr>
            <w:r w:rsidRPr="00403149">
              <w:rPr>
                <w:rFonts w:eastAsia="Calibri"/>
                <w:sz w:val="20"/>
                <w:szCs w:val="20"/>
              </w:rPr>
              <w:t>Order made (i) specifying that petition to be heard in three phases, with first phase to deal with equivalence of facilities and transportation, and (ii) striking five paragraphs from Attorney General’s amended response</w:t>
            </w:r>
          </w:p>
          <w:p w:rsidR="00600C23" w:rsidRPr="00403149" w:rsidRDefault="00600C23" w:rsidP="00190453">
            <w:pPr>
              <w:jc w:val="both"/>
              <w:rPr>
                <w:rFonts w:eastAsia="Calibri"/>
                <w:sz w:val="20"/>
                <w:szCs w:val="20"/>
              </w:rPr>
            </w:pPr>
          </w:p>
        </w:tc>
      </w:tr>
      <w:tr w:rsidR="00600C23" w:rsidRPr="00403149" w:rsidTr="00190453">
        <w:tc>
          <w:tcPr>
            <w:tcW w:w="2427" w:type="pct"/>
          </w:tcPr>
          <w:p w:rsidR="00600C23" w:rsidRPr="00403149" w:rsidRDefault="00600C23" w:rsidP="00190453">
            <w:pPr>
              <w:jc w:val="both"/>
              <w:rPr>
                <w:rFonts w:eastAsia="Calibri"/>
                <w:sz w:val="20"/>
                <w:szCs w:val="20"/>
              </w:rPr>
            </w:pPr>
            <w:r w:rsidRPr="00403149">
              <w:rPr>
                <w:rFonts w:eastAsia="Calibri"/>
                <w:sz w:val="20"/>
                <w:szCs w:val="20"/>
              </w:rPr>
              <w:t>October 31, 2012</w:t>
            </w:r>
          </w:p>
          <w:p w:rsidR="00600C23" w:rsidRPr="00403149" w:rsidRDefault="00600C23" w:rsidP="00190453">
            <w:pPr>
              <w:jc w:val="both"/>
              <w:rPr>
                <w:rFonts w:eastAsia="Calibri"/>
                <w:sz w:val="20"/>
                <w:szCs w:val="20"/>
              </w:rPr>
            </w:pPr>
            <w:r w:rsidRPr="00403149">
              <w:rPr>
                <w:rFonts w:eastAsia="Calibri"/>
                <w:sz w:val="20"/>
                <w:szCs w:val="20"/>
              </w:rPr>
              <w:t>British Columbia Supreme Court (Willcock J.)</w:t>
            </w:r>
          </w:p>
          <w:p w:rsidR="00600C23" w:rsidRPr="00403149" w:rsidRDefault="004F01F8" w:rsidP="00190453">
            <w:pPr>
              <w:jc w:val="both"/>
              <w:rPr>
                <w:rFonts w:eastAsia="Calibri"/>
                <w:sz w:val="20"/>
                <w:szCs w:val="20"/>
              </w:rPr>
            </w:pPr>
            <w:hyperlink r:id="rId25" w:history="1">
              <w:r w:rsidR="00600C23" w:rsidRPr="00403149">
                <w:rPr>
                  <w:rFonts w:eastAsia="Calibri"/>
                  <w:color w:val="0000FF"/>
                  <w:sz w:val="20"/>
                  <w:szCs w:val="20"/>
                  <w:u w:val="single"/>
                </w:rPr>
                <w:t>2012 BCSC 1614</w:t>
              </w:r>
            </w:hyperlink>
          </w:p>
          <w:p w:rsidR="00600C23" w:rsidRPr="00403149" w:rsidRDefault="00600C23" w:rsidP="00190453">
            <w:pPr>
              <w:jc w:val="both"/>
              <w:rPr>
                <w:rFonts w:eastAsia="Calibri"/>
                <w:sz w:val="20"/>
                <w:szCs w:val="20"/>
              </w:rPr>
            </w:pPr>
          </w:p>
        </w:tc>
        <w:tc>
          <w:tcPr>
            <w:tcW w:w="243" w:type="pct"/>
          </w:tcPr>
          <w:p w:rsidR="00600C23" w:rsidRPr="00403149" w:rsidRDefault="00600C23" w:rsidP="00190453">
            <w:pPr>
              <w:jc w:val="both"/>
              <w:rPr>
                <w:rFonts w:eastAsia="Calibri"/>
                <w:sz w:val="20"/>
                <w:szCs w:val="20"/>
              </w:rPr>
            </w:pPr>
          </w:p>
        </w:tc>
        <w:tc>
          <w:tcPr>
            <w:tcW w:w="2330" w:type="pct"/>
          </w:tcPr>
          <w:p w:rsidR="00600C23" w:rsidRPr="00403149" w:rsidRDefault="00600C23" w:rsidP="00190453">
            <w:pPr>
              <w:jc w:val="both"/>
              <w:rPr>
                <w:rFonts w:eastAsia="Calibri"/>
                <w:i/>
                <w:sz w:val="20"/>
                <w:szCs w:val="20"/>
              </w:rPr>
            </w:pPr>
            <w:r w:rsidRPr="00403149">
              <w:rPr>
                <w:rFonts w:eastAsia="Calibri"/>
                <w:sz w:val="20"/>
                <w:szCs w:val="20"/>
              </w:rPr>
              <w:t>Declaration made that rights</w:t>
            </w:r>
            <w:r w:rsidRPr="00403149">
              <w:rPr>
                <w:rFonts w:eastAsia="Calibri"/>
                <w:sz w:val="20"/>
                <w:szCs w:val="20"/>
              </w:rPr>
              <w:noBreakHyphen/>
              <w:t>holder parents living west of Main Street in Vancouver not provided French</w:t>
            </w:r>
            <w:r w:rsidRPr="00403149">
              <w:rPr>
                <w:rFonts w:eastAsia="Calibri"/>
                <w:sz w:val="20"/>
                <w:szCs w:val="20"/>
              </w:rPr>
              <w:noBreakHyphen/>
              <w:t xml:space="preserve">language educational facilities guaranteed to them by s. 23 of </w:t>
            </w:r>
            <w:r w:rsidRPr="00403149">
              <w:rPr>
                <w:rFonts w:eastAsia="Calibri"/>
                <w:i/>
                <w:sz w:val="20"/>
                <w:szCs w:val="20"/>
              </w:rPr>
              <w:t>Charter</w:t>
            </w:r>
          </w:p>
          <w:p w:rsidR="00600C23" w:rsidRPr="00403149" w:rsidRDefault="00600C23" w:rsidP="00190453">
            <w:pPr>
              <w:jc w:val="both"/>
              <w:rPr>
                <w:rFonts w:eastAsia="Calibri"/>
                <w:sz w:val="20"/>
                <w:szCs w:val="20"/>
              </w:rPr>
            </w:pPr>
          </w:p>
        </w:tc>
      </w:tr>
      <w:tr w:rsidR="00600C23" w:rsidRPr="00403149" w:rsidTr="00190453">
        <w:tc>
          <w:tcPr>
            <w:tcW w:w="2427" w:type="pct"/>
          </w:tcPr>
          <w:p w:rsidR="00600C23" w:rsidRPr="00403149" w:rsidRDefault="00600C23" w:rsidP="00190453">
            <w:pPr>
              <w:jc w:val="both"/>
              <w:rPr>
                <w:rFonts w:eastAsia="Calibri"/>
                <w:sz w:val="20"/>
                <w:szCs w:val="20"/>
              </w:rPr>
            </w:pPr>
            <w:r w:rsidRPr="00403149">
              <w:rPr>
                <w:rFonts w:eastAsia="Calibri"/>
                <w:sz w:val="20"/>
                <w:szCs w:val="20"/>
              </w:rPr>
              <w:t>September 20, 2013</w:t>
            </w:r>
          </w:p>
          <w:p w:rsidR="00600C23" w:rsidRPr="00403149" w:rsidRDefault="00600C23" w:rsidP="00190453">
            <w:pPr>
              <w:jc w:val="both"/>
              <w:rPr>
                <w:rFonts w:eastAsia="Calibri"/>
                <w:sz w:val="20"/>
                <w:szCs w:val="20"/>
              </w:rPr>
            </w:pPr>
            <w:r w:rsidRPr="00403149">
              <w:rPr>
                <w:rFonts w:eastAsia="Calibri"/>
                <w:sz w:val="20"/>
                <w:szCs w:val="20"/>
              </w:rPr>
              <w:t>British Columbia Court of Appeal (Vancouver)</w:t>
            </w:r>
          </w:p>
          <w:p w:rsidR="00600C23" w:rsidRPr="00403149" w:rsidRDefault="00600C23" w:rsidP="00190453">
            <w:pPr>
              <w:jc w:val="both"/>
              <w:rPr>
                <w:rFonts w:eastAsia="Calibri"/>
                <w:sz w:val="20"/>
                <w:szCs w:val="20"/>
              </w:rPr>
            </w:pPr>
            <w:r w:rsidRPr="00403149">
              <w:rPr>
                <w:rFonts w:eastAsia="Calibri"/>
                <w:sz w:val="20"/>
                <w:szCs w:val="20"/>
              </w:rPr>
              <w:t xml:space="preserve">(Saunders, Bennett and Hinkson JJ.A.) </w:t>
            </w:r>
          </w:p>
          <w:p w:rsidR="00600C23" w:rsidRPr="00403149" w:rsidRDefault="004F01F8" w:rsidP="00190453">
            <w:pPr>
              <w:jc w:val="both"/>
              <w:rPr>
                <w:rFonts w:eastAsia="Calibri"/>
                <w:sz w:val="20"/>
                <w:szCs w:val="20"/>
              </w:rPr>
            </w:pPr>
            <w:hyperlink r:id="rId26" w:history="1">
              <w:r w:rsidR="00600C23" w:rsidRPr="00403149">
                <w:rPr>
                  <w:rFonts w:eastAsia="Calibri"/>
                  <w:color w:val="0000FF"/>
                  <w:sz w:val="20"/>
                  <w:szCs w:val="20"/>
                  <w:u w:val="single"/>
                </w:rPr>
                <w:t>2013 BCCA 407</w:t>
              </w:r>
            </w:hyperlink>
          </w:p>
          <w:p w:rsidR="00600C23" w:rsidRPr="00403149" w:rsidRDefault="00600C23" w:rsidP="00190453">
            <w:pPr>
              <w:jc w:val="both"/>
              <w:rPr>
                <w:rFonts w:eastAsia="Calibri"/>
                <w:sz w:val="20"/>
                <w:szCs w:val="20"/>
              </w:rPr>
            </w:pPr>
          </w:p>
        </w:tc>
        <w:tc>
          <w:tcPr>
            <w:tcW w:w="243" w:type="pct"/>
          </w:tcPr>
          <w:p w:rsidR="00600C23" w:rsidRPr="00403149" w:rsidRDefault="00600C23" w:rsidP="00190453">
            <w:pPr>
              <w:jc w:val="both"/>
              <w:rPr>
                <w:rFonts w:eastAsia="Calibri"/>
                <w:sz w:val="20"/>
                <w:szCs w:val="20"/>
              </w:rPr>
            </w:pPr>
          </w:p>
        </w:tc>
        <w:tc>
          <w:tcPr>
            <w:tcW w:w="2330" w:type="pct"/>
          </w:tcPr>
          <w:p w:rsidR="00600C23" w:rsidRPr="00403149" w:rsidRDefault="00600C23" w:rsidP="00190453">
            <w:pPr>
              <w:jc w:val="both"/>
              <w:rPr>
                <w:rFonts w:eastAsia="Calibri"/>
                <w:sz w:val="20"/>
                <w:szCs w:val="20"/>
              </w:rPr>
            </w:pPr>
            <w:r w:rsidRPr="00403149">
              <w:rPr>
                <w:rFonts w:eastAsia="Calibri"/>
                <w:sz w:val="20"/>
                <w:szCs w:val="20"/>
              </w:rPr>
              <w:t xml:space="preserve">Appeal allowed; declaration concerning s. 23 of </w:t>
            </w:r>
            <w:r w:rsidRPr="00403149">
              <w:rPr>
                <w:rFonts w:eastAsia="Calibri"/>
                <w:i/>
                <w:sz w:val="20"/>
                <w:szCs w:val="20"/>
              </w:rPr>
              <w:t>Charter</w:t>
            </w:r>
            <w:r w:rsidRPr="00403149">
              <w:rPr>
                <w:rFonts w:eastAsia="Calibri"/>
                <w:sz w:val="20"/>
                <w:szCs w:val="20"/>
              </w:rPr>
              <w:t xml:space="preserve"> set aside and petition remitted to British Columbia Supreme Court; order striking paragraphs from Attorney General’s amended response set aside</w:t>
            </w:r>
          </w:p>
          <w:p w:rsidR="00600C23" w:rsidRPr="00403149" w:rsidRDefault="00600C23" w:rsidP="00190453">
            <w:pPr>
              <w:jc w:val="both"/>
              <w:rPr>
                <w:rFonts w:eastAsia="Calibri"/>
                <w:sz w:val="20"/>
                <w:szCs w:val="20"/>
              </w:rPr>
            </w:pPr>
          </w:p>
        </w:tc>
      </w:tr>
      <w:tr w:rsidR="00600C23" w:rsidRPr="00403149" w:rsidTr="00190453">
        <w:tc>
          <w:tcPr>
            <w:tcW w:w="2427" w:type="pct"/>
          </w:tcPr>
          <w:p w:rsidR="00600C23" w:rsidRPr="00403149" w:rsidRDefault="00600C23" w:rsidP="00190453">
            <w:pPr>
              <w:jc w:val="both"/>
              <w:rPr>
                <w:rFonts w:eastAsia="Calibri"/>
                <w:sz w:val="20"/>
                <w:szCs w:val="20"/>
              </w:rPr>
            </w:pPr>
            <w:r w:rsidRPr="00403149">
              <w:rPr>
                <w:rFonts w:eastAsia="Calibri"/>
                <w:sz w:val="20"/>
                <w:szCs w:val="20"/>
              </w:rPr>
              <w:t>November 15, 2013</w:t>
            </w:r>
          </w:p>
          <w:p w:rsidR="00600C23" w:rsidRPr="00403149" w:rsidRDefault="00600C23" w:rsidP="00190453">
            <w:pPr>
              <w:jc w:val="both"/>
              <w:rPr>
                <w:rFonts w:eastAsia="Calibri"/>
                <w:sz w:val="20"/>
                <w:szCs w:val="20"/>
              </w:rPr>
            </w:pPr>
            <w:r w:rsidRPr="00403149">
              <w:rPr>
                <w:rFonts w:eastAsia="Calibri"/>
                <w:sz w:val="20"/>
                <w:szCs w:val="20"/>
              </w:rPr>
              <w:t xml:space="preserve">Supreme Court of Canada </w:t>
            </w:r>
          </w:p>
        </w:tc>
        <w:tc>
          <w:tcPr>
            <w:tcW w:w="243" w:type="pct"/>
          </w:tcPr>
          <w:p w:rsidR="00600C23" w:rsidRPr="00403149" w:rsidRDefault="00600C23" w:rsidP="00190453">
            <w:pPr>
              <w:jc w:val="both"/>
              <w:rPr>
                <w:rFonts w:eastAsia="Calibri"/>
                <w:sz w:val="20"/>
                <w:szCs w:val="20"/>
              </w:rPr>
            </w:pPr>
          </w:p>
        </w:tc>
        <w:tc>
          <w:tcPr>
            <w:tcW w:w="2330" w:type="pct"/>
          </w:tcPr>
          <w:p w:rsidR="00600C23" w:rsidRPr="00403149" w:rsidRDefault="00600C23" w:rsidP="00190453">
            <w:pPr>
              <w:jc w:val="both"/>
              <w:rPr>
                <w:rFonts w:eastAsia="Calibri"/>
                <w:sz w:val="20"/>
                <w:szCs w:val="20"/>
              </w:rPr>
            </w:pPr>
            <w:r w:rsidRPr="00403149">
              <w:rPr>
                <w:rFonts w:eastAsia="Calibri"/>
                <w:sz w:val="20"/>
                <w:szCs w:val="20"/>
              </w:rPr>
              <w:t xml:space="preserve">Application for leave to appeal filed </w:t>
            </w:r>
          </w:p>
        </w:tc>
      </w:tr>
    </w:tbl>
    <w:p w:rsidR="001B1E7F" w:rsidRDefault="001B1E7F" w:rsidP="001B1E7F">
      <w:pPr>
        <w:rPr>
          <w:sz w:val="20"/>
          <w:szCs w:val="20"/>
        </w:rPr>
      </w:pPr>
    </w:p>
    <w:p w:rsidR="001B1E7F" w:rsidRPr="00C50A5C" w:rsidRDefault="004F01F8" w:rsidP="001B1E7F">
      <w:pPr>
        <w:rPr>
          <w:sz w:val="20"/>
          <w:szCs w:val="20"/>
        </w:rPr>
      </w:pPr>
      <w:r>
        <w:rPr>
          <w:sz w:val="20"/>
          <w:szCs w:val="20"/>
          <w:lang w:val="fr-CA"/>
        </w:rPr>
        <w:pict>
          <v:rect id="_x0000_i1038" style="width:2in;height:1pt" o:hrpct="0" o:hralign="center" o:hrstd="t" o:hrnoshade="t" o:hr="t" fillcolor="black [3213]" stroked="f"/>
        </w:pict>
      </w:r>
    </w:p>
    <w:p w:rsidR="001B1E7F" w:rsidRDefault="001B1E7F" w:rsidP="001B1E7F">
      <w:pPr>
        <w:rPr>
          <w:sz w:val="20"/>
          <w:szCs w:val="20"/>
        </w:rPr>
      </w:pPr>
    </w:p>
    <w:p w:rsidR="001B1E7F" w:rsidRPr="001B157C" w:rsidRDefault="001B1E7F" w:rsidP="001B1E7F">
      <w:pPr>
        <w:rPr>
          <w:sz w:val="20"/>
          <w:szCs w:val="20"/>
          <w:u w:val="single"/>
          <w:lang w:val="fr-CA"/>
        </w:rPr>
      </w:pPr>
      <w:r w:rsidRPr="001B157C">
        <w:rPr>
          <w:sz w:val="20"/>
          <w:szCs w:val="20"/>
          <w:u w:val="single"/>
          <w:lang w:val="fr-CA"/>
        </w:rPr>
        <w:t>RÉSUMÉ DE L’AFFAIRE</w:t>
      </w:r>
    </w:p>
    <w:p w:rsidR="001B1E7F" w:rsidRDefault="001B1E7F" w:rsidP="001B1E7F">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00C23" w:rsidRPr="004F01F8" w:rsidTr="00190453">
        <w:tc>
          <w:tcPr>
            <w:tcW w:w="5000" w:type="pct"/>
            <w:gridSpan w:val="3"/>
          </w:tcPr>
          <w:p w:rsidR="00600C23" w:rsidRPr="00403149" w:rsidRDefault="00600C23" w:rsidP="00190453">
            <w:pPr>
              <w:jc w:val="both"/>
              <w:rPr>
                <w:rFonts w:eastAsia="Calibri"/>
                <w:sz w:val="20"/>
                <w:szCs w:val="20"/>
                <w:lang w:val="fr-FR"/>
              </w:rPr>
            </w:pPr>
            <w:r w:rsidRPr="00403149">
              <w:rPr>
                <w:rFonts w:eastAsia="Calibri"/>
                <w:sz w:val="20"/>
                <w:szCs w:val="20"/>
                <w:lang w:val="fr-FR"/>
              </w:rPr>
              <w:t xml:space="preserve">Charte des droits — Droit constitutionnel — Droit à l’instruction dans la langue de la minorité — Établissement d’enseignement — Égalité réelle Cour d’appel infirmant déclaration du juge de première instance selon laquelle les demandeurs n’ont pas accès aux établissements scolaires que leur garanti l’article 23 de la </w:t>
            </w:r>
            <w:r w:rsidRPr="00403149">
              <w:rPr>
                <w:rFonts w:eastAsia="Calibri"/>
                <w:i/>
                <w:sz w:val="20"/>
                <w:szCs w:val="20"/>
                <w:lang w:val="fr-FR"/>
              </w:rPr>
              <w:t>Charte</w:t>
            </w:r>
            <w:r w:rsidRPr="00403149">
              <w:rPr>
                <w:rFonts w:eastAsia="Calibri"/>
                <w:sz w:val="20"/>
                <w:szCs w:val="20"/>
                <w:lang w:val="fr-FR"/>
              </w:rPr>
              <w:t xml:space="preserve"> — Est</w:t>
            </w:r>
            <w:r w:rsidRPr="00403149">
              <w:rPr>
                <w:rFonts w:eastAsia="Calibri"/>
                <w:sz w:val="20"/>
                <w:szCs w:val="20"/>
                <w:lang w:val="fr-FR"/>
              </w:rPr>
              <w:noBreakHyphen/>
              <w:t xml:space="preserve">ce que l’art. 23 de la </w:t>
            </w:r>
            <w:r w:rsidRPr="00403149">
              <w:rPr>
                <w:rFonts w:eastAsia="Calibri"/>
                <w:i/>
                <w:sz w:val="20"/>
                <w:szCs w:val="20"/>
                <w:lang w:val="fr-FR"/>
              </w:rPr>
              <w:t>Charte</w:t>
            </w:r>
            <w:r w:rsidRPr="00403149">
              <w:rPr>
                <w:rFonts w:eastAsia="Calibri"/>
                <w:sz w:val="20"/>
                <w:szCs w:val="20"/>
                <w:lang w:val="fr-FR"/>
              </w:rPr>
              <w:t xml:space="preserve"> est enfreint lorsque le seul établissement d’enseignement francophone dans une région est surpeuplé ainsi que moins spacieux, attrayant, fonctionnel et accessible que tout autre établissement anglophone de la même région? — Est</w:t>
            </w:r>
            <w:r w:rsidRPr="00403149">
              <w:rPr>
                <w:rFonts w:eastAsia="Calibri"/>
                <w:sz w:val="20"/>
                <w:szCs w:val="20"/>
                <w:lang w:val="fr-FR"/>
              </w:rPr>
              <w:noBreakHyphen/>
              <w:t>ce que le nombre d’élèves qui profiteraient du droit à l’instruction en français est suffisant pour justifier l’instruction dans des établissements d’enseignement francophones? — Si oui, est</w:t>
            </w:r>
            <w:r w:rsidRPr="00403149">
              <w:rPr>
                <w:rFonts w:eastAsia="Calibri"/>
                <w:sz w:val="20"/>
                <w:szCs w:val="20"/>
                <w:lang w:val="fr-FR"/>
              </w:rPr>
              <w:noBreakHyphen/>
              <w:t>ce que les titulaires de ce droit doivent tout de même démontrer qu’il est « pratiquement faisable » de leur fournir des établissements équivalents à ceux de la majorité? — Est</w:t>
            </w:r>
            <w:r w:rsidRPr="00403149">
              <w:rPr>
                <w:rFonts w:eastAsia="Calibri"/>
                <w:sz w:val="20"/>
                <w:szCs w:val="20"/>
                <w:lang w:val="fr-FR"/>
              </w:rPr>
              <w:noBreakHyphen/>
              <w:t xml:space="preserve">ce que, afin de prouver que leurs établissements d’enseignement ne satisfont pas l’art. 23 de la </w:t>
            </w:r>
            <w:r w:rsidRPr="00403149">
              <w:rPr>
                <w:rFonts w:eastAsia="Calibri"/>
                <w:i/>
                <w:sz w:val="20"/>
                <w:szCs w:val="20"/>
                <w:lang w:val="fr-FR"/>
              </w:rPr>
              <w:t>Charte</w:t>
            </w:r>
            <w:r w:rsidRPr="00403149">
              <w:rPr>
                <w:rFonts w:eastAsia="Calibri"/>
                <w:sz w:val="20"/>
                <w:szCs w:val="20"/>
                <w:lang w:val="fr-FR"/>
              </w:rPr>
              <w:t>, les titulaires de ce droit doivent</w:t>
            </w:r>
            <w:r w:rsidRPr="00403149">
              <w:rPr>
                <w:rFonts w:eastAsia="Calibri"/>
                <w:sz w:val="20"/>
                <w:szCs w:val="20"/>
                <w:lang w:val="fr-FR"/>
              </w:rPr>
              <w:noBreakHyphen/>
              <w:t>ils établir en preuve la ou les parts de responsabilité de la province et/ou du conseil scolaire?</w:t>
            </w:r>
          </w:p>
        </w:tc>
      </w:tr>
      <w:tr w:rsidR="00600C23" w:rsidRPr="004F01F8" w:rsidTr="00190453">
        <w:tc>
          <w:tcPr>
            <w:tcW w:w="5000" w:type="pct"/>
            <w:gridSpan w:val="3"/>
          </w:tcPr>
          <w:p w:rsidR="00600C23" w:rsidRPr="00403149" w:rsidRDefault="00600C23" w:rsidP="00190453">
            <w:pPr>
              <w:jc w:val="both"/>
              <w:rPr>
                <w:rFonts w:eastAsia="Calibri"/>
                <w:sz w:val="20"/>
                <w:szCs w:val="20"/>
                <w:lang w:val="fr-FR"/>
              </w:rPr>
            </w:pPr>
          </w:p>
        </w:tc>
      </w:tr>
      <w:tr w:rsidR="00600C23" w:rsidRPr="004F01F8" w:rsidTr="00190453">
        <w:tc>
          <w:tcPr>
            <w:tcW w:w="5000" w:type="pct"/>
            <w:gridSpan w:val="3"/>
          </w:tcPr>
          <w:p w:rsidR="00600C23" w:rsidRPr="00403149" w:rsidRDefault="00600C23" w:rsidP="00190453">
            <w:pPr>
              <w:jc w:val="both"/>
              <w:rPr>
                <w:rFonts w:eastAsia="Calibri"/>
                <w:sz w:val="20"/>
                <w:szCs w:val="20"/>
                <w:lang w:val="fr-FR"/>
              </w:rPr>
            </w:pPr>
            <w:r w:rsidRPr="00403149">
              <w:rPr>
                <w:rFonts w:eastAsia="Calibri"/>
                <w:sz w:val="20"/>
                <w:szCs w:val="20"/>
                <w:lang w:val="fr-FR"/>
              </w:rPr>
              <w:t>L’École Rose</w:t>
            </w:r>
            <w:r w:rsidRPr="00403149">
              <w:rPr>
                <w:rFonts w:eastAsia="Calibri"/>
                <w:sz w:val="20"/>
                <w:szCs w:val="20"/>
                <w:lang w:val="fr-FR"/>
              </w:rPr>
              <w:noBreakHyphen/>
              <w:t>des</w:t>
            </w:r>
            <w:r w:rsidRPr="00403149">
              <w:rPr>
                <w:rFonts w:eastAsia="Calibri"/>
                <w:sz w:val="20"/>
                <w:szCs w:val="20"/>
                <w:lang w:val="fr-FR"/>
              </w:rPr>
              <w:noBreakHyphen/>
              <w:t>vents est une école élémentaire de langue française qui fut établie à Vancouver en 2001 et qui accueille environ 350 élèves.  Il s’agit de la seule école élémentaire francophone desservant la population habitant à l’ouest de la rue Main.  Elle est située à proximité d’une école secondaire de langue française avec laquelle elle partage depuis un certain temps des installations scolaires.  Depuis de nombreuses années, les parents d’élèves fréquentant l’école réclament un établissement scolaire de qualité équivalente aux établissements scolaires dont dispose la majorité anglophone de la même zone scolaire.</w:t>
            </w:r>
          </w:p>
          <w:p w:rsidR="00600C23" w:rsidRPr="00403149" w:rsidRDefault="00600C23" w:rsidP="00190453">
            <w:pPr>
              <w:jc w:val="both"/>
              <w:rPr>
                <w:rFonts w:eastAsia="Calibri"/>
                <w:sz w:val="20"/>
                <w:szCs w:val="20"/>
                <w:lang w:val="fr-FR"/>
              </w:rPr>
            </w:pPr>
          </w:p>
          <w:p w:rsidR="00600C23" w:rsidRPr="00403149" w:rsidRDefault="00600C23" w:rsidP="00190453">
            <w:pPr>
              <w:jc w:val="both"/>
              <w:rPr>
                <w:rFonts w:eastAsia="Calibri"/>
                <w:sz w:val="20"/>
                <w:szCs w:val="20"/>
                <w:lang w:val="fr-FR"/>
              </w:rPr>
            </w:pPr>
            <w:r w:rsidRPr="00403149">
              <w:rPr>
                <w:rFonts w:eastAsia="Calibri"/>
                <w:sz w:val="20"/>
                <w:szCs w:val="20"/>
                <w:lang w:val="fr-FR"/>
              </w:rPr>
              <w:t xml:space="preserve">En 2010, un regroupement de parents dont les enfants fréquentaient l’École ont présenté une requête en Cour suprême </w:t>
            </w:r>
            <w:r w:rsidRPr="00403149">
              <w:rPr>
                <w:rFonts w:eastAsia="Calibri"/>
                <w:sz w:val="20"/>
                <w:szCs w:val="20"/>
                <w:lang w:val="fr-FR"/>
              </w:rPr>
              <w:lastRenderedPageBreak/>
              <w:t>de la Colombie</w:t>
            </w:r>
            <w:r w:rsidRPr="00403149">
              <w:rPr>
                <w:rFonts w:eastAsia="Calibri"/>
                <w:sz w:val="20"/>
                <w:szCs w:val="20"/>
                <w:lang w:val="fr-FR"/>
              </w:rPr>
              <w:noBreakHyphen/>
              <w:t xml:space="preserve">Britannique cherchant à obtenir une déclaration que leurs droits garantis par la </w:t>
            </w:r>
            <w:r w:rsidRPr="00403149">
              <w:rPr>
                <w:rFonts w:eastAsia="Calibri"/>
                <w:i/>
                <w:sz w:val="20"/>
                <w:szCs w:val="20"/>
                <w:lang w:val="fr-FR"/>
              </w:rPr>
              <w:t>Charte</w:t>
            </w:r>
            <w:r w:rsidRPr="00403149">
              <w:rPr>
                <w:rFonts w:eastAsia="Calibri"/>
                <w:sz w:val="20"/>
                <w:szCs w:val="20"/>
                <w:lang w:val="fr-FR"/>
              </w:rPr>
              <w:t xml:space="preserve"> avaient été enfreints dans la mesure que les installations scolaires dont ils bénéficient ne rencontrent pas les normes prévues par l’article 23 de la </w:t>
            </w:r>
            <w:r w:rsidRPr="00403149">
              <w:rPr>
                <w:rFonts w:eastAsia="Calibri"/>
                <w:i/>
                <w:sz w:val="20"/>
                <w:szCs w:val="20"/>
                <w:lang w:val="fr-FR"/>
              </w:rPr>
              <w:t>Charte</w:t>
            </w:r>
            <w:r w:rsidRPr="00403149">
              <w:rPr>
                <w:rFonts w:eastAsia="Calibri"/>
                <w:sz w:val="20"/>
                <w:szCs w:val="20"/>
                <w:lang w:val="fr-FR"/>
              </w:rPr>
              <w:t>.  Selon les demandeurs, l’École Rose</w:t>
            </w:r>
            <w:r w:rsidRPr="00403149">
              <w:rPr>
                <w:rFonts w:eastAsia="Calibri"/>
                <w:sz w:val="20"/>
                <w:szCs w:val="20"/>
                <w:lang w:val="fr-FR"/>
              </w:rPr>
              <w:noBreakHyphen/>
              <w:t>des</w:t>
            </w:r>
            <w:r w:rsidRPr="00403149">
              <w:rPr>
                <w:rFonts w:eastAsia="Calibri"/>
                <w:sz w:val="20"/>
                <w:szCs w:val="20"/>
                <w:lang w:val="fr-FR"/>
              </w:rPr>
              <w:noBreakHyphen/>
              <w:t xml:space="preserve">vents est surpeuplé, moins facilement accessible que les écoles de langue anglaise de la région et ses installations de piètre qualité. </w:t>
            </w:r>
          </w:p>
          <w:p w:rsidR="00600C23" w:rsidRPr="00403149" w:rsidRDefault="00600C23" w:rsidP="00190453">
            <w:pPr>
              <w:jc w:val="both"/>
              <w:rPr>
                <w:rFonts w:eastAsia="Calibri"/>
                <w:sz w:val="20"/>
                <w:szCs w:val="20"/>
                <w:lang w:val="fr-FR"/>
              </w:rPr>
            </w:pPr>
          </w:p>
          <w:p w:rsidR="00600C23" w:rsidRPr="00403149" w:rsidRDefault="00600C23" w:rsidP="00190453">
            <w:pPr>
              <w:jc w:val="both"/>
              <w:rPr>
                <w:rFonts w:eastAsia="Calibri"/>
                <w:sz w:val="20"/>
                <w:szCs w:val="20"/>
                <w:lang w:val="fr-FR"/>
              </w:rPr>
            </w:pPr>
            <w:r w:rsidRPr="00403149">
              <w:rPr>
                <w:rFonts w:eastAsia="Calibri"/>
                <w:sz w:val="20"/>
                <w:szCs w:val="20"/>
                <w:lang w:val="fr-FR"/>
              </w:rPr>
              <w:t>Un juge, siégeant en tant que juge de gestion d’instance, a ordonné que l’audition de la requête ait lieu en trois phases, la première consistant à déterminer si les installations et le transport scolaire dont bénéficient les demandeurs sont équivalents aux installations et transport scolaire dont disposent les élèves fréquentant des écoles de langue anglaise se trouvant dans une situation analogue.  Ce même juge a ordonné que soient rayés de la réponse du procureur général de la Colombie</w:t>
            </w:r>
            <w:r w:rsidRPr="00403149">
              <w:rPr>
                <w:rFonts w:eastAsia="Calibri"/>
                <w:sz w:val="20"/>
                <w:szCs w:val="20"/>
                <w:lang w:val="fr-FR"/>
              </w:rPr>
              <w:noBreakHyphen/>
              <w:t xml:space="preserve">Britannique certains paragraphes qu’il jugea non pertinents à cette phase du litige. </w:t>
            </w:r>
          </w:p>
          <w:p w:rsidR="00600C23" w:rsidRPr="00403149" w:rsidRDefault="00600C23" w:rsidP="00190453">
            <w:pPr>
              <w:jc w:val="both"/>
              <w:rPr>
                <w:rFonts w:eastAsia="Calibri"/>
                <w:sz w:val="20"/>
                <w:szCs w:val="20"/>
                <w:lang w:val="fr-FR"/>
              </w:rPr>
            </w:pPr>
          </w:p>
          <w:p w:rsidR="00600C23" w:rsidRPr="00403149" w:rsidRDefault="00600C23" w:rsidP="00190453">
            <w:pPr>
              <w:jc w:val="both"/>
              <w:rPr>
                <w:rFonts w:eastAsia="Calibri"/>
                <w:sz w:val="20"/>
                <w:szCs w:val="20"/>
                <w:lang w:val="fr-FR"/>
              </w:rPr>
            </w:pPr>
          </w:p>
        </w:tc>
      </w:tr>
      <w:tr w:rsidR="00600C23" w:rsidRPr="004F01F8" w:rsidTr="00190453">
        <w:tc>
          <w:tcPr>
            <w:tcW w:w="2427" w:type="pct"/>
          </w:tcPr>
          <w:p w:rsidR="00600C23" w:rsidRPr="00403149" w:rsidRDefault="00600C23" w:rsidP="00190453">
            <w:pPr>
              <w:jc w:val="both"/>
              <w:rPr>
                <w:rFonts w:eastAsia="Calibri"/>
                <w:sz w:val="20"/>
                <w:szCs w:val="20"/>
                <w:lang w:val="fr-FR"/>
              </w:rPr>
            </w:pPr>
            <w:r w:rsidRPr="00403149">
              <w:rPr>
                <w:rFonts w:eastAsia="Calibri"/>
                <w:sz w:val="20"/>
                <w:szCs w:val="20"/>
                <w:lang w:val="fr-FR"/>
              </w:rPr>
              <w:lastRenderedPageBreak/>
              <w:t>Le 4 novembre 2011</w:t>
            </w:r>
          </w:p>
          <w:p w:rsidR="00600C23" w:rsidRPr="00403149" w:rsidRDefault="00600C23" w:rsidP="00190453">
            <w:pPr>
              <w:jc w:val="both"/>
              <w:rPr>
                <w:rFonts w:eastAsia="Calibri"/>
                <w:sz w:val="20"/>
                <w:szCs w:val="20"/>
                <w:lang w:val="fr-FR"/>
              </w:rPr>
            </w:pPr>
            <w:r w:rsidRPr="00403149">
              <w:rPr>
                <w:rFonts w:eastAsia="Calibri"/>
                <w:sz w:val="20"/>
                <w:szCs w:val="20"/>
                <w:lang w:val="fr-FR"/>
              </w:rPr>
              <w:t>Cour suprême de la Colombie</w:t>
            </w:r>
            <w:r w:rsidRPr="00403149">
              <w:rPr>
                <w:rFonts w:eastAsia="MS Mincho" w:hAnsi="MS Mincho"/>
                <w:sz w:val="20"/>
                <w:szCs w:val="20"/>
                <w:lang w:val="fr-FR"/>
              </w:rPr>
              <w:t>‑</w:t>
            </w:r>
            <w:r w:rsidRPr="00403149">
              <w:rPr>
                <w:rFonts w:eastAsia="Calibri"/>
                <w:sz w:val="20"/>
                <w:szCs w:val="20"/>
                <w:lang w:val="fr-FR"/>
              </w:rPr>
              <w:t>Britannique (Le juge Willcock)</w:t>
            </w:r>
          </w:p>
          <w:p w:rsidR="00600C23" w:rsidRPr="00403149" w:rsidRDefault="004F01F8" w:rsidP="00190453">
            <w:pPr>
              <w:jc w:val="both"/>
              <w:rPr>
                <w:rFonts w:eastAsia="Calibri"/>
                <w:sz w:val="20"/>
                <w:szCs w:val="20"/>
              </w:rPr>
            </w:pPr>
            <w:hyperlink r:id="rId27" w:history="1">
              <w:r w:rsidR="00600C23" w:rsidRPr="00403149">
                <w:rPr>
                  <w:rFonts w:eastAsia="Calibri"/>
                  <w:color w:val="0000FF"/>
                  <w:sz w:val="20"/>
                  <w:szCs w:val="20"/>
                  <w:u w:val="single"/>
                </w:rPr>
                <w:t>2011 BCSC 1495</w:t>
              </w:r>
            </w:hyperlink>
          </w:p>
        </w:tc>
        <w:tc>
          <w:tcPr>
            <w:tcW w:w="243" w:type="pct"/>
          </w:tcPr>
          <w:p w:rsidR="00600C23" w:rsidRPr="00403149" w:rsidRDefault="00600C23" w:rsidP="00190453">
            <w:pPr>
              <w:jc w:val="both"/>
              <w:rPr>
                <w:rFonts w:eastAsia="Calibri"/>
                <w:sz w:val="20"/>
                <w:szCs w:val="20"/>
              </w:rPr>
            </w:pPr>
          </w:p>
        </w:tc>
        <w:tc>
          <w:tcPr>
            <w:tcW w:w="2330" w:type="pct"/>
          </w:tcPr>
          <w:p w:rsidR="00600C23" w:rsidRPr="00403149" w:rsidRDefault="00600C23" w:rsidP="00190453">
            <w:pPr>
              <w:jc w:val="both"/>
              <w:rPr>
                <w:rFonts w:eastAsia="Calibri"/>
                <w:sz w:val="20"/>
                <w:szCs w:val="20"/>
                <w:lang w:val="fr-FR"/>
              </w:rPr>
            </w:pPr>
            <w:r w:rsidRPr="00403149">
              <w:rPr>
                <w:rFonts w:eastAsia="Calibri"/>
                <w:sz w:val="20"/>
                <w:szCs w:val="20"/>
                <w:lang w:val="fr-FR"/>
              </w:rPr>
              <w:t>Ordonnance émise (i) prévoyant l’audition de la requête en trois phases, dont la première porterait sur l’équivalence des installations et transport scolaire, et (ii)  radiant 5 paragraphes de la réponse amendée du procureur général</w:t>
            </w:r>
          </w:p>
          <w:p w:rsidR="00600C23" w:rsidRPr="00403149" w:rsidRDefault="00600C23" w:rsidP="00190453">
            <w:pPr>
              <w:jc w:val="both"/>
              <w:rPr>
                <w:rFonts w:eastAsia="Calibri"/>
                <w:sz w:val="20"/>
                <w:szCs w:val="20"/>
                <w:lang w:val="fr-FR"/>
              </w:rPr>
            </w:pPr>
          </w:p>
        </w:tc>
      </w:tr>
      <w:tr w:rsidR="00600C23" w:rsidRPr="004F01F8" w:rsidTr="00190453">
        <w:tc>
          <w:tcPr>
            <w:tcW w:w="2427" w:type="pct"/>
          </w:tcPr>
          <w:p w:rsidR="00600C23" w:rsidRPr="00403149" w:rsidRDefault="00600C23" w:rsidP="00190453">
            <w:pPr>
              <w:jc w:val="both"/>
              <w:rPr>
                <w:rFonts w:eastAsia="Calibri"/>
                <w:sz w:val="20"/>
                <w:szCs w:val="20"/>
                <w:lang w:val="fr-FR"/>
              </w:rPr>
            </w:pPr>
            <w:r w:rsidRPr="00403149">
              <w:rPr>
                <w:rFonts w:eastAsia="Calibri"/>
                <w:sz w:val="20"/>
                <w:szCs w:val="20"/>
                <w:lang w:val="fr-FR"/>
              </w:rPr>
              <w:t>Le 31 octobre 2012</w:t>
            </w:r>
          </w:p>
          <w:p w:rsidR="00600C23" w:rsidRPr="00403149" w:rsidRDefault="00600C23" w:rsidP="00190453">
            <w:pPr>
              <w:jc w:val="both"/>
              <w:rPr>
                <w:rFonts w:eastAsia="Calibri"/>
                <w:sz w:val="20"/>
                <w:szCs w:val="20"/>
                <w:lang w:val="fr-FR"/>
              </w:rPr>
            </w:pPr>
            <w:r w:rsidRPr="00403149">
              <w:rPr>
                <w:rFonts w:eastAsia="Calibri"/>
                <w:sz w:val="20"/>
                <w:szCs w:val="20"/>
                <w:lang w:val="fr-FR"/>
              </w:rPr>
              <w:t>Cour suprême de la Colombie</w:t>
            </w:r>
            <w:r w:rsidRPr="00403149">
              <w:rPr>
                <w:rFonts w:eastAsia="MS Mincho" w:hAnsi="MS Mincho"/>
                <w:sz w:val="20"/>
                <w:szCs w:val="20"/>
                <w:lang w:val="fr-FR"/>
              </w:rPr>
              <w:t>‑</w:t>
            </w:r>
            <w:r w:rsidRPr="00403149">
              <w:rPr>
                <w:rFonts w:eastAsia="Calibri"/>
                <w:sz w:val="20"/>
                <w:szCs w:val="20"/>
                <w:lang w:val="fr-FR"/>
              </w:rPr>
              <w:t>Britannique (Le juge Willcock)</w:t>
            </w:r>
          </w:p>
          <w:p w:rsidR="00600C23" w:rsidRPr="00403149" w:rsidRDefault="004F01F8" w:rsidP="00190453">
            <w:pPr>
              <w:jc w:val="both"/>
              <w:rPr>
                <w:rFonts w:eastAsia="Calibri"/>
                <w:sz w:val="20"/>
                <w:szCs w:val="20"/>
              </w:rPr>
            </w:pPr>
            <w:hyperlink r:id="rId28" w:history="1">
              <w:r w:rsidR="00600C23" w:rsidRPr="00403149">
                <w:rPr>
                  <w:rFonts w:eastAsia="Calibri"/>
                  <w:color w:val="0000FF"/>
                  <w:sz w:val="20"/>
                  <w:szCs w:val="20"/>
                  <w:u w:val="single"/>
                </w:rPr>
                <w:t>2012 BCSC 1614</w:t>
              </w:r>
            </w:hyperlink>
          </w:p>
          <w:p w:rsidR="00600C23" w:rsidRPr="00403149" w:rsidRDefault="00600C23" w:rsidP="00190453">
            <w:pPr>
              <w:jc w:val="both"/>
              <w:rPr>
                <w:rFonts w:eastAsia="Calibri"/>
                <w:sz w:val="20"/>
                <w:szCs w:val="20"/>
              </w:rPr>
            </w:pPr>
          </w:p>
        </w:tc>
        <w:tc>
          <w:tcPr>
            <w:tcW w:w="243" w:type="pct"/>
          </w:tcPr>
          <w:p w:rsidR="00600C23" w:rsidRPr="00403149" w:rsidRDefault="00600C23" w:rsidP="00190453">
            <w:pPr>
              <w:jc w:val="both"/>
              <w:rPr>
                <w:rFonts w:eastAsia="Calibri"/>
                <w:sz w:val="20"/>
                <w:szCs w:val="20"/>
              </w:rPr>
            </w:pPr>
          </w:p>
        </w:tc>
        <w:tc>
          <w:tcPr>
            <w:tcW w:w="2330" w:type="pct"/>
          </w:tcPr>
          <w:p w:rsidR="00600C23" w:rsidRPr="00403149" w:rsidRDefault="00600C23" w:rsidP="00190453">
            <w:pPr>
              <w:jc w:val="both"/>
              <w:rPr>
                <w:rFonts w:eastAsia="Calibri"/>
                <w:i/>
                <w:sz w:val="20"/>
                <w:szCs w:val="20"/>
                <w:lang w:val="fr-FR"/>
              </w:rPr>
            </w:pPr>
            <w:r w:rsidRPr="00403149">
              <w:rPr>
                <w:rFonts w:eastAsia="Calibri"/>
                <w:sz w:val="20"/>
                <w:szCs w:val="20"/>
                <w:lang w:val="fr-FR"/>
              </w:rPr>
              <w:t xml:space="preserve">Déclaration émise à l’effet que les parents ayants droit habitant à l’ouest de la rue Main à Vancouver n’ont pas accès aux établissements scolaires de langue française que leur garanti l’art. 23 de la </w:t>
            </w:r>
            <w:r w:rsidRPr="00403149">
              <w:rPr>
                <w:rFonts w:eastAsia="Calibri"/>
                <w:i/>
                <w:sz w:val="20"/>
                <w:szCs w:val="20"/>
                <w:lang w:val="fr-FR"/>
              </w:rPr>
              <w:t>Charte</w:t>
            </w:r>
          </w:p>
          <w:p w:rsidR="00600C23" w:rsidRPr="00403149" w:rsidRDefault="00600C23" w:rsidP="00190453">
            <w:pPr>
              <w:jc w:val="both"/>
              <w:rPr>
                <w:rFonts w:eastAsia="Calibri"/>
                <w:sz w:val="20"/>
                <w:szCs w:val="20"/>
                <w:lang w:val="fr-FR"/>
              </w:rPr>
            </w:pPr>
          </w:p>
        </w:tc>
      </w:tr>
      <w:tr w:rsidR="00600C23" w:rsidRPr="004F01F8" w:rsidTr="00190453">
        <w:tc>
          <w:tcPr>
            <w:tcW w:w="2427" w:type="pct"/>
          </w:tcPr>
          <w:p w:rsidR="00600C23" w:rsidRPr="00403149" w:rsidRDefault="00600C23" w:rsidP="00190453">
            <w:pPr>
              <w:jc w:val="both"/>
              <w:rPr>
                <w:rFonts w:eastAsia="Calibri"/>
                <w:sz w:val="20"/>
                <w:szCs w:val="20"/>
                <w:lang w:val="fr-FR"/>
              </w:rPr>
            </w:pPr>
            <w:r w:rsidRPr="00403149">
              <w:rPr>
                <w:rFonts w:eastAsia="Calibri"/>
                <w:sz w:val="20"/>
                <w:szCs w:val="20"/>
                <w:lang w:val="fr-FR"/>
              </w:rPr>
              <w:t>Le 20 septembre 2013</w:t>
            </w:r>
          </w:p>
          <w:p w:rsidR="00600C23" w:rsidRPr="00403149" w:rsidRDefault="00600C23" w:rsidP="00190453">
            <w:pPr>
              <w:jc w:val="both"/>
              <w:rPr>
                <w:rFonts w:eastAsia="Calibri"/>
                <w:sz w:val="20"/>
                <w:szCs w:val="20"/>
                <w:lang w:val="fr-FR"/>
              </w:rPr>
            </w:pPr>
            <w:r w:rsidRPr="00403149">
              <w:rPr>
                <w:rFonts w:eastAsia="Calibri"/>
                <w:sz w:val="20"/>
                <w:szCs w:val="20"/>
                <w:lang w:val="fr-FR"/>
              </w:rPr>
              <w:t>Cour d’appel de la Colombie</w:t>
            </w:r>
            <w:r w:rsidRPr="00403149">
              <w:rPr>
                <w:rFonts w:eastAsia="Calibri"/>
                <w:sz w:val="20"/>
                <w:szCs w:val="20"/>
                <w:lang w:val="fr-FR"/>
              </w:rPr>
              <w:noBreakHyphen/>
              <w:t>Britannique (Vancouver)</w:t>
            </w:r>
          </w:p>
          <w:p w:rsidR="00600C23" w:rsidRPr="00403149" w:rsidRDefault="00600C23" w:rsidP="00190453">
            <w:pPr>
              <w:jc w:val="both"/>
              <w:rPr>
                <w:rFonts w:eastAsia="Calibri"/>
                <w:sz w:val="20"/>
                <w:szCs w:val="20"/>
                <w:lang w:val="fr-FR"/>
              </w:rPr>
            </w:pPr>
            <w:r w:rsidRPr="00403149">
              <w:rPr>
                <w:rFonts w:eastAsia="Calibri"/>
                <w:sz w:val="20"/>
                <w:szCs w:val="20"/>
                <w:lang w:val="fr-FR"/>
              </w:rPr>
              <w:t xml:space="preserve">(Les juges Saunders, Bennett et Hinkson) </w:t>
            </w:r>
          </w:p>
          <w:p w:rsidR="00600C23" w:rsidRPr="00403149" w:rsidRDefault="004F01F8" w:rsidP="00190453">
            <w:pPr>
              <w:jc w:val="both"/>
              <w:rPr>
                <w:rFonts w:eastAsia="Calibri"/>
                <w:sz w:val="20"/>
                <w:szCs w:val="20"/>
              </w:rPr>
            </w:pPr>
            <w:hyperlink r:id="rId29" w:history="1">
              <w:r w:rsidR="00600C23" w:rsidRPr="00403149">
                <w:rPr>
                  <w:rFonts w:eastAsia="Calibri"/>
                  <w:color w:val="0000FF"/>
                  <w:sz w:val="20"/>
                  <w:szCs w:val="20"/>
                  <w:u w:val="single"/>
                </w:rPr>
                <w:t>2013 BCCA 407</w:t>
              </w:r>
            </w:hyperlink>
          </w:p>
          <w:p w:rsidR="00600C23" w:rsidRPr="00403149" w:rsidRDefault="00600C23" w:rsidP="00190453">
            <w:pPr>
              <w:jc w:val="both"/>
              <w:rPr>
                <w:rFonts w:eastAsia="Calibri"/>
                <w:sz w:val="20"/>
                <w:szCs w:val="20"/>
              </w:rPr>
            </w:pPr>
          </w:p>
        </w:tc>
        <w:tc>
          <w:tcPr>
            <w:tcW w:w="243" w:type="pct"/>
          </w:tcPr>
          <w:p w:rsidR="00600C23" w:rsidRPr="00403149" w:rsidRDefault="00600C23" w:rsidP="00190453">
            <w:pPr>
              <w:jc w:val="both"/>
              <w:rPr>
                <w:rFonts w:eastAsia="Calibri"/>
                <w:sz w:val="20"/>
                <w:szCs w:val="20"/>
              </w:rPr>
            </w:pPr>
          </w:p>
        </w:tc>
        <w:tc>
          <w:tcPr>
            <w:tcW w:w="2330" w:type="pct"/>
          </w:tcPr>
          <w:p w:rsidR="00600C23" w:rsidRPr="00403149" w:rsidRDefault="00600C23" w:rsidP="00190453">
            <w:pPr>
              <w:jc w:val="both"/>
              <w:rPr>
                <w:rFonts w:eastAsia="Calibri"/>
                <w:sz w:val="20"/>
                <w:szCs w:val="20"/>
                <w:lang w:val="fr-FR"/>
              </w:rPr>
            </w:pPr>
            <w:r w:rsidRPr="00403149">
              <w:rPr>
                <w:rFonts w:eastAsia="Calibri"/>
                <w:sz w:val="20"/>
                <w:szCs w:val="20"/>
                <w:lang w:val="fr-FR"/>
              </w:rPr>
              <w:t xml:space="preserve">Appel accueilli; Déclaration relativement à l’art. 23 de la </w:t>
            </w:r>
            <w:r w:rsidRPr="00403149">
              <w:rPr>
                <w:rFonts w:eastAsia="Calibri"/>
                <w:i/>
                <w:sz w:val="20"/>
                <w:szCs w:val="20"/>
                <w:lang w:val="fr-FR"/>
              </w:rPr>
              <w:t>Charte</w:t>
            </w:r>
            <w:r w:rsidRPr="00403149">
              <w:rPr>
                <w:rFonts w:eastAsia="Calibri"/>
                <w:sz w:val="20"/>
                <w:szCs w:val="20"/>
                <w:lang w:val="fr-FR"/>
              </w:rPr>
              <w:t xml:space="preserve"> infirmée et requête renvoyée en Cour suprême de la Colombie</w:t>
            </w:r>
            <w:r w:rsidRPr="00403149">
              <w:rPr>
                <w:rFonts w:eastAsia="Calibri"/>
                <w:sz w:val="20"/>
                <w:szCs w:val="20"/>
                <w:lang w:val="fr-FR"/>
              </w:rPr>
              <w:noBreakHyphen/>
              <w:t>Britannique; Ordonnance radiant des paragraphes de la réponse amendée du procureur général, infirmée.</w:t>
            </w:r>
          </w:p>
          <w:p w:rsidR="00600C23" w:rsidRPr="00403149" w:rsidRDefault="00600C23" w:rsidP="00190453">
            <w:pPr>
              <w:jc w:val="both"/>
              <w:rPr>
                <w:rFonts w:eastAsia="Calibri"/>
                <w:sz w:val="20"/>
                <w:szCs w:val="20"/>
                <w:lang w:val="fr-FR"/>
              </w:rPr>
            </w:pPr>
          </w:p>
        </w:tc>
      </w:tr>
      <w:tr w:rsidR="00600C23" w:rsidRPr="00403149" w:rsidTr="00190453">
        <w:tc>
          <w:tcPr>
            <w:tcW w:w="2427" w:type="pct"/>
          </w:tcPr>
          <w:p w:rsidR="00600C23" w:rsidRPr="00403149" w:rsidRDefault="00600C23" w:rsidP="00190453">
            <w:pPr>
              <w:jc w:val="both"/>
              <w:rPr>
                <w:rFonts w:eastAsia="Calibri"/>
                <w:sz w:val="20"/>
                <w:szCs w:val="20"/>
                <w:lang w:val="fr-FR"/>
              </w:rPr>
            </w:pPr>
            <w:r w:rsidRPr="00403149">
              <w:rPr>
                <w:rFonts w:eastAsia="Calibri"/>
                <w:sz w:val="20"/>
                <w:szCs w:val="20"/>
                <w:lang w:val="fr-FR"/>
              </w:rPr>
              <w:t>Le 15 novembre 2013</w:t>
            </w:r>
          </w:p>
          <w:p w:rsidR="00600C23" w:rsidRPr="00403149" w:rsidRDefault="00600C23" w:rsidP="00190453">
            <w:pPr>
              <w:jc w:val="both"/>
              <w:rPr>
                <w:rFonts w:eastAsia="Calibri"/>
                <w:sz w:val="20"/>
                <w:szCs w:val="20"/>
                <w:lang w:val="fr-FR"/>
              </w:rPr>
            </w:pPr>
            <w:r w:rsidRPr="00403149">
              <w:rPr>
                <w:rFonts w:eastAsia="Calibri"/>
                <w:sz w:val="20"/>
                <w:szCs w:val="20"/>
                <w:lang w:val="fr-FR"/>
              </w:rPr>
              <w:t xml:space="preserve">Cour suprême du Canada </w:t>
            </w:r>
          </w:p>
        </w:tc>
        <w:tc>
          <w:tcPr>
            <w:tcW w:w="243" w:type="pct"/>
          </w:tcPr>
          <w:p w:rsidR="00600C23" w:rsidRPr="00403149" w:rsidRDefault="00600C23" w:rsidP="00190453">
            <w:pPr>
              <w:jc w:val="both"/>
              <w:rPr>
                <w:rFonts w:eastAsia="Calibri"/>
                <w:sz w:val="20"/>
                <w:szCs w:val="20"/>
                <w:lang w:val="fr-FR"/>
              </w:rPr>
            </w:pPr>
          </w:p>
        </w:tc>
        <w:tc>
          <w:tcPr>
            <w:tcW w:w="2330" w:type="pct"/>
          </w:tcPr>
          <w:p w:rsidR="00600C23" w:rsidRPr="00403149" w:rsidRDefault="00600C23" w:rsidP="00190453">
            <w:pPr>
              <w:jc w:val="both"/>
              <w:rPr>
                <w:rFonts w:eastAsia="Calibri"/>
                <w:sz w:val="20"/>
                <w:szCs w:val="20"/>
                <w:lang w:val="fr-FR"/>
              </w:rPr>
            </w:pPr>
            <w:r w:rsidRPr="00403149">
              <w:rPr>
                <w:rFonts w:eastAsia="Calibri"/>
                <w:sz w:val="20"/>
                <w:szCs w:val="20"/>
                <w:lang w:val="fr-FR"/>
              </w:rPr>
              <w:t xml:space="preserve">Demande d’autorisation d’appel déposée </w:t>
            </w:r>
          </w:p>
        </w:tc>
      </w:tr>
    </w:tbl>
    <w:p w:rsidR="001B1E7F" w:rsidRDefault="001B1E7F" w:rsidP="001B1E7F">
      <w:pPr>
        <w:rPr>
          <w:sz w:val="20"/>
          <w:szCs w:val="20"/>
        </w:rPr>
      </w:pPr>
    </w:p>
    <w:p w:rsidR="001B1E7F" w:rsidRDefault="004F01F8" w:rsidP="001B1E7F">
      <w:pPr>
        <w:rPr>
          <w:sz w:val="20"/>
          <w:szCs w:val="20"/>
          <w:lang w:val="fr-CA"/>
        </w:rPr>
      </w:pPr>
      <w:r>
        <w:rPr>
          <w:sz w:val="20"/>
          <w:szCs w:val="20"/>
          <w:lang w:val="fr-CA"/>
        </w:rPr>
        <w:pict>
          <v:rect id="_x0000_i1039" style="width:2in;height:1pt" o:hrpct="0" o:hralign="center" o:hrstd="t" o:hrnoshade="t" o:hr="t" fillcolor="black [3213]" stroked="f"/>
        </w:pict>
      </w:r>
    </w:p>
    <w:p w:rsidR="001B1E7F" w:rsidRDefault="001B1E7F" w:rsidP="001B1E7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A35A0" w:rsidRPr="00582BFB" w:rsidTr="00EA35A0">
        <w:trPr>
          <w:cantSplit/>
        </w:trPr>
        <w:tc>
          <w:tcPr>
            <w:tcW w:w="1458" w:type="dxa"/>
          </w:tcPr>
          <w:p w:rsidR="00EA35A0" w:rsidRPr="00582BFB" w:rsidRDefault="00EA35A0" w:rsidP="00EA35A0">
            <w:pPr>
              <w:rPr>
                <w:sz w:val="20"/>
                <w:szCs w:val="20"/>
              </w:rPr>
            </w:pPr>
            <w:r w:rsidRPr="00582BFB">
              <w:rPr>
                <w:rStyle w:val="SCCFileNumberChar"/>
                <w:sz w:val="20"/>
                <w:szCs w:val="20"/>
              </w:rPr>
              <w:t>35641</w:t>
            </w:r>
          </w:p>
          <w:p w:rsidR="00EA35A0" w:rsidRPr="00582BFB" w:rsidRDefault="00EA35A0" w:rsidP="00EA35A0">
            <w:pPr>
              <w:rPr>
                <w:b/>
                <w:sz w:val="20"/>
                <w:szCs w:val="20"/>
                <w:lang w:val="fr-CA"/>
              </w:rPr>
            </w:pPr>
          </w:p>
        </w:tc>
        <w:tc>
          <w:tcPr>
            <w:tcW w:w="8118" w:type="dxa"/>
          </w:tcPr>
          <w:p w:rsidR="00EA35A0" w:rsidRPr="00582BFB" w:rsidRDefault="00EA35A0" w:rsidP="00EA35A0">
            <w:pPr>
              <w:rPr>
                <w:sz w:val="20"/>
                <w:szCs w:val="20"/>
              </w:rPr>
            </w:pPr>
            <w:r w:rsidRPr="00582BFB">
              <w:rPr>
                <w:rStyle w:val="SCCLsocChar"/>
                <w:sz w:val="20"/>
                <w:szCs w:val="20"/>
                <w:lang w:val="en-CA"/>
              </w:rPr>
              <w:t>MUR Shipping BV v. Byatt International S.A.</w:t>
            </w:r>
            <w:r w:rsidRPr="00582BFB">
              <w:rPr>
                <w:sz w:val="20"/>
                <w:szCs w:val="20"/>
              </w:rPr>
              <w:t xml:space="preserve"> (B.C.) (Civil) (By Leave)</w:t>
            </w:r>
          </w:p>
          <w:p w:rsidR="00EA35A0" w:rsidRPr="00582BFB" w:rsidRDefault="00EA35A0" w:rsidP="00EA35A0">
            <w:pPr>
              <w:rPr>
                <w:sz w:val="20"/>
                <w:szCs w:val="20"/>
              </w:rPr>
            </w:pPr>
          </w:p>
        </w:tc>
      </w:tr>
      <w:tr w:rsidR="00EA35A0" w:rsidRPr="00582BFB" w:rsidTr="00EA35A0">
        <w:trPr>
          <w:cantSplit/>
        </w:trPr>
        <w:tc>
          <w:tcPr>
            <w:tcW w:w="1458" w:type="dxa"/>
          </w:tcPr>
          <w:p w:rsidR="00EA35A0" w:rsidRPr="00582BFB" w:rsidRDefault="00EA35A0" w:rsidP="00EA35A0">
            <w:pPr>
              <w:rPr>
                <w:sz w:val="20"/>
                <w:szCs w:val="20"/>
              </w:rPr>
            </w:pPr>
            <w:r w:rsidRPr="00582BFB">
              <w:rPr>
                <w:sz w:val="20"/>
                <w:szCs w:val="20"/>
              </w:rPr>
              <w:t>Coram :</w:t>
            </w:r>
          </w:p>
        </w:tc>
        <w:tc>
          <w:tcPr>
            <w:tcW w:w="8118" w:type="dxa"/>
          </w:tcPr>
          <w:p w:rsidR="00EA35A0" w:rsidRPr="00582BFB" w:rsidRDefault="00EA35A0" w:rsidP="00EA35A0">
            <w:pPr>
              <w:rPr>
                <w:sz w:val="20"/>
                <w:szCs w:val="20"/>
              </w:rPr>
            </w:pPr>
            <w:r w:rsidRPr="00582BFB">
              <w:rPr>
                <w:rStyle w:val="SCCCoramChar"/>
                <w:sz w:val="20"/>
                <w:szCs w:val="20"/>
                <w:lang w:val="en-CA"/>
              </w:rPr>
              <w:t>Abella, Rothstein and Moldaver JJ.</w:t>
            </w:r>
          </w:p>
          <w:p w:rsidR="00EA35A0" w:rsidRPr="00582BFB" w:rsidRDefault="00EA35A0" w:rsidP="00EA35A0">
            <w:pPr>
              <w:rPr>
                <w:sz w:val="20"/>
                <w:szCs w:val="20"/>
                <w:u w:val="single"/>
              </w:rPr>
            </w:pPr>
          </w:p>
        </w:tc>
      </w:tr>
      <w:tr w:rsidR="00EA35A0" w:rsidRPr="004F01F8" w:rsidTr="00EA35A0">
        <w:trPr>
          <w:cantSplit/>
        </w:trPr>
        <w:tc>
          <w:tcPr>
            <w:tcW w:w="9576" w:type="dxa"/>
            <w:gridSpan w:val="2"/>
          </w:tcPr>
          <w:p w:rsidR="00EA35A0" w:rsidRPr="00582BFB" w:rsidRDefault="00EA35A0" w:rsidP="00EA35A0">
            <w:pPr>
              <w:pStyle w:val="SCCShortJudgment"/>
              <w:rPr>
                <w:szCs w:val="20"/>
              </w:rPr>
            </w:pPr>
            <w:r w:rsidRPr="00582BFB">
              <w:rPr>
                <w:szCs w:val="20"/>
              </w:rPr>
              <w:lastRenderedPageBreak/>
              <w:t>The motion to remove Canworld Shipping Company Limited and Prism Sulphur Corporation from the style of cause and to strike the response filed by Canworld Shipping Company Limited is granted with costs.  The application for leave to appeal from the judgment of the Court of Appeal for British Columbia (Vancouver), Number CA040070, 2013 BCCA 427, dated October 4, 2013, is dismissed with costs.</w:t>
            </w:r>
          </w:p>
          <w:p w:rsidR="00EA35A0" w:rsidRPr="00582BFB" w:rsidRDefault="00EA35A0" w:rsidP="00EA35A0">
            <w:pPr>
              <w:pStyle w:val="SCCShortJudgment"/>
              <w:ind w:firstLine="0"/>
              <w:rPr>
                <w:szCs w:val="20"/>
              </w:rPr>
            </w:pPr>
          </w:p>
          <w:p w:rsidR="00EA35A0" w:rsidRPr="00582BFB" w:rsidRDefault="00EA35A0" w:rsidP="00EA35A0">
            <w:pPr>
              <w:pStyle w:val="SCCShortJudgment"/>
              <w:rPr>
                <w:szCs w:val="20"/>
                <w:lang w:val="fr-CA"/>
              </w:rPr>
            </w:pPr>
            <w:r w:rsidRPr="00582BFB">
              <w:rPr>
                <w:szCs w:val="20"/>
                <w:lang w:val="fr-CA"/>
              </w:rPr>
              <w:t>La requête visant la radiation de Canworld Shipping Company Limited et Prism Sulphur Corporation de l’intitulé de la cause et la radiation de la réponse déposée par Canworld Shipping Company Limited est accueillie avec dépens. La demande d’autorisation d’appel de l’arrêt de la Cour d’appel de la Colombie-Britannique (Vancouver), numéro CA040070, 2013 BCCA 427, daté du 4 octobre 2013, est rejetée avec dépens.</w:t>
            </w:r>
          </w:p>
        </w:tc>
      </w:tr>
    </w:tbl>
    <w:p w:rsidR="001B1E7F" w:rsidRPr="00EA35A0" w:rsidRDefault="001B1E7F" w:rsidP="001B1E7F">
      <w:pPr>
        <w:rPr>
          <w:sz w:val="20"/>
          <w:szCs w:val="20"/>
          <w:lang w:val="fr-CA"/>
        </w:rPr>
      </w:pPr>
    </w:p>
    <w:p w:rsidR="001B1E7F" w:rsidRPr="001B157C" w:rsidRDefault="001B1E7F" w:rsidP="001B1E7F">
      <w:pPr>
        <w:rPr>
          <w:sz w:val="20"/>
          <w:szCs w:val="20"/>
          <w:u w:val="single"/>
        </w:rPr>
      </w:pPr>
      <w:r w:rsidRPr="001B157C">
        <w:rPr>
          <w:sz w:val="20"/>
          <w:szCs w:val="20"/>
          <w:u w:val="single"/>
        </w:rPr>
        <w:t>CASE SUMMARY</w:t>
      </w:r>
    </w:p>
    <w:p w:rsidR="001B1E7F" w:rsidRDefault="001B1E7F" w:rsidP="001B1E7F">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00C23" w:rsidRPr="00403149" w:rsidTr="00190453">
        <w:tc>
          <w:tcPr>
            <w:tcW w:w="5000" w:type="pct"/>
            <w:gridSpan w:val="3"/>
          </w:tcPr>
          <w:p w:rsidR="00600C23" w:rsidRPr="00403149" w:rsidRDefault="00600C23" w:rsidP="00190453">
            <w:pPr>
              <w:jc w:val="both"/>
              <w:rPr>
                <w:rFonts w:eastAsia="Calibri"/>
                <w:sz w:val="20"/>
                <w:szCs w:val="20"/>
              </w:rPr>
            </w:pPr>
            <w:r w:rsidRPr="00403149">
              <w:rPr>
                <w:rFonts w:eastAsia="Calibri"/>
                <w:sz w:val="20"/>
                <w:szCs w:val="20"/>
              </w:rPr>
              <w:t>Maritime Law — Contracts — Liens and Mortgages — Bills of Lading — Directing freight to be paid to ship owner — What should be the effect of compromises in foreign bankruptcy proceedings on the contractual right of a ship owner to direct freight to itself under Canadian maritime law?</w:t>
            </w:r>
          </w:p>
        </w:tc>
      </w:tr>
      <w:tr w:rsidR="00600C23" w:rsidRPr="00403149" w:rsidTr="00190453">
        <w:tc>
          <w:tcPr>
            <w:tcW w:w="5000" w:type="pct"/>
            <w:gridSpan w:val="3"/>
          </w:tcPr>
          <w:p w:rsidR="00600C23" w:rsidRPr="00403149" w:rsidRDefault="00600C23" w:rsidP="00190453">
            <w:pPr>
              <w:jc w:val="both"/>
              <w:rPr>
                <w:rFonts w:eastAsia="Calibri"/>
                <w:sz w:val="20"/>
                <w:szCs w:val="20"/>
              </w:rPr>
            </w:pPr>
          </w:p>
        </w:tc>
      </w:tr>
      <w:tr w:rsidR="00600C23" w:rsidRPr="00403149" w:rsidTr="00190453">
        <w:tc>
          <w:tcPr>
            <w:tcW w:w="5000" w:type="pct"/>
            <w:gridSpan w:val="3"/>
          </w:tcPr>
          <w:p w:rsidR="00600C23" w:rsidRPr="00403149" w:rsidRDefault="00600C23" w:rsidP="00190453">
            <w:pPr>
              <w:jc w:val="both"/>
              <w:rPr>
                <w:rFonts w:eastAsia="Calibri"/>
                <w:sz w:val="20"/>
                <w:szCs w:val="20"/>
              </w:rPr>
            </w:pPr>
            <w:r w:rsidRPr="00403149">
              <w:rPr>
                <w:rFonts w:eastAsia="Calibri"/>
                <w:sz w:val="20"/>
                <w:szCs w:val="20"/>
              </w:rPr>
              <w:t xml:space="preserve">Prism Sulphur Corporation hired Canworld Shipping Company Ltd. to ship sulphur and Canworld chartered the </w:t>
            </w:r>
            <w:r w:rsidRPr="00403149">
              <w:rPr>
                <w:rFonts w:eastAsia="Calibri"/>
                <w:i/>
                <w:iCs/>
                <w:sz w:val="20"/>
                <w:szCs w:val="20"/>
              </w:rPr>
              <w:t xml:space="preserve">M.V. </w:t>
            </w:r>
            <w:r w:rsidRPr="00403149">
              <w:rPr>
                <w:rFonts w:eastAsia="Calibri"/>
                <w:i/>
                <w:sz w:val="20"/>
                <w:szCs w:val="20"/>
              </w:rPr>
              <w:t>Loyalty</w:t>
            </w:r>
            <w:r w:rsidRPr="00403149">
              <w:rPr>
                <w:rFonts w:eastAsia="Calibri"/>
                <w:sz w:val="20"/>
                <w:szCs w:val="20"/>
              </w:rPr>
              <w:t xml:space="preserve">, through MUR Shipping, under a trip charter.  The master of the </w:t>
            </w:r>
            <w:r w:rsidRPr="00403149">
              <w:rPr>
                <w:rFonts w:eastAsia="Calibri"/>
                <w:i/>
                <w:iCs/>
                <w:sz w:val="20"/>
                <w:szCs w:val="20"/>
              </w:rPr>
              <w:t>Loyalty</w:t>
            </w:r>
            <w:r w:rsidRPr="00403149">
              <w:rPr>
                <w:rFonts w:eastAsia="Calibri"/>
                <w:sz w:val="20"/>
                <w:szCs w:val="20"/>
              </w:rPr>
              <w:t xml:space="preserve"> signed a Bill of Lading naming Prism as the shipper.  MUR had use of the </w:t>
            </w:r>
            <w:r w:rsidRPr="00403149">
              <w:rPr>
                <w:rFonts w:eastAsia="Calibri"/>
                <w:i/>
                <w:sz w:val="20"/>
                <w:szCs w:val="20"/>
              </w:rPr>
              <w:t>Loyalty</w:t>
            </w:r>
            <w:r w:rsidRPr="00403149">
              <w:rPr>
                <w:rFonts w:eastAsia="Calibri"/>
                <w:sz w:val="20"/>
                <w:szCs w:val="20"/>
              </w:rPr>
              <w:t xml:space="preserve"> under a time charter from Korea Line Corporation and Korea Line had use of the </w:t>
            </w:r>
            <w:r w:rsidRPr="00403149">
              <w:rPr>
                <w:rFonts w:eastAsia="Calibri"/>
                <w:i/>
                <w:sz w:val="20"/>
                <w:szCs w:val="20"/>
              </w:rPr>
              <w:t>Loyalty</w:t>
            </w:r>
            <w:r w:rsidRPr="00403149">
              <w:rPr>
                <w:rFonts w:eastAsia="Calibri"/>
                <w:sz w:val="20"/>
                <w:szCs w:val="20"/>
              </w:rPr>
              <w:t xml:space="preserve"> under a time charter from Byatt International, the ship’s owner.  MUR paid its hire to Korea Line.  While the </w:t>
            </w:r>
            <w:r w:rsidRPr="00403149">
              <w:rPr>
                <w:rFonts w:eastAsia="Calibri"/>
                <w:i/>
                <w:sz w:val="20"/>
                <w:szCs w:val="20"/>
              </w:rPr>
              <w:t>Loyalty</w:t>
            </w:r>
            <w:r w:rsidRPr="00403149">
              <w:rPr>
                <w:rFonts w:eastAsia="Calibri"/>
                <w:sz w:val="20"/>
                <w:szCs w:val="20"/>
              </w:rPr>
              <w:t xml:space="preserve"> was transporting the sulphur, Korea Line defaulted on its time charter with Byatt.  Byatt sent a notice of lien to MUR and agents for Prism.  It also directed payment of the freight to itself.  Byatt settled a claim under Korea Line′s insolvency proceedings.  Prism made an interpleader application and paid US $268,596.60 and US $65,100.00 into trust pursuant to court orders.  Each of Canworld and Byatt applied for an order directing that the interpleader funds be paid to it.</w:t>
            </w:r>
          </w:p>
          <w:p w:rsidR="00600C23" w:rsidRPr="00403149" w:rsidRDefault="00600C23" w:rsidP="00190453">
            <w:pPr>
              <w:jc w:val="both"/>
              <w:rPr>
                <w:rFonts w:eastAsia="Calibri"/>
                <w:sz w:val="20"/>
                <w:szCs w:val="20"/>
              </w:rPr>
            </w:pPr>
          </w:p>
        </w:tc>
      </w:tr>
      <w:tr w:rsidR="00600C23" w:rsidRPr="00403149" w:rsidTr="00190453">
        <w:tc>
          <w:tcPr>
            <w:tcW w:w="2427" w:type="pct"/>
          </w:tcPr>
          <w:p w:rsidR="00600C23" w:rsidRPr="00403149" w:rsidRDefault="00600C23" w:rsidP="00190453">
            <w:pPr>
              <w:jc w:val="both"/>
              <w:rPr>
                <w:rFonts w:eastAsia="Calibri"/>
                <w:sz w:val="20"/>
                <w:szCs w:val="20"/>
              </w:rPr>
            </w:pPr>
            <w:r w:rsidRPr="00403149">
              <w:rPr>
                <w:rFonts w:eastAsia="Calibri"/>
                <w:sz w:val="20"/>
                <w:szCs w:val="20"/>
              </w:rPr>
              <w:t>June 27, 2012</w:t>
            </w:r>
          </w:p>
          <w:p w:rsidR="00600C23" w:rsidRPr="00403149" w:rsidRDefault="00600C23" w:rsidP="00190453">
            <w:pPr>
              <w:jc w:val="both"/>
              <w:rPr>
                <w:rFonts w:eastAsia="Calibri"/>
                <w:sz w:val="20"/>
                <w:szCs w:val="20"/>
              </w:rPr>
            </w:pPr>
            <w:r w:rsidRPr="00403149">
              <w:rPr>
                <w:rFonts w:eastAsia="Calibri"/>
                <w:sz w:val="20"/>
                <w:szCs w:val="20"/>
              </w:rPr>
              <w:t>Supreme Court of British Columbia</w:t>
            </w:r>
          </w:p>
          <w:p w:rsidR="00600C23" w:rsidRPr="00403149" w:rsidRDefault="00600C23" w:rsidP="00190453">
            <w:pPr>
              <w:jc w:val="both"/>
              <w:rPr>
                <w:rFonts w:eastAsia="Calibri"/>
                <w:sz w:val="20"/>
                <w:szCs w:val="20"/>
              </w:rPr>
            </w:pPr>
            <w:r w:rsidRPr="00403149">
              <w:rPr>
                <w:rFonts w:eastAsia="Calibri"/>
                <w:sz w:val="20"/>
                <w:szCs w:val="20"/>
              </w:rPr>
              <w:t xml:space="preserve">(Groves J.) </w:t>
            </w:r>
          </w:p>
          <w:p w:rsidR="00600C23" w:rsidRPr="00403149" w:rsidRDefault="00600C23" w:rsidP="00190453">
            <w:pPr>
              <w:jc w:val="both"/>
              <w:rPr>
                <w:rFonts w:eastAsia="Calibri"/>
                <w:sz w:val="20"/>
                <w:szCs w:val="20"/>
              </w:rPr>
            </w:pPr>
          </w:p>
        </w:tc>
        <w:tc>
          <w:tcPr>
            <w:tcW w:w="243" w:type="pct"/>
          </w:tcPr>
          <w:p w:rsidR="00600C23" w:rsidRPr="00403149" w:rsidRDefault="00600C23" w:rsidP="00190453">
            <w:pPr>
              <w:jc w:val="both"/>
              <w:rPr>
                <w:rFonts w:eastAsia="Calibri"/>
                <w:sz w:val="20"/>
                <w:szCs w:val="20"/>
              </w:rPr>
            </w:pPr>
          </w:p>
        </w:tc>
        <w:tc>
          <w:tcPr>
            <w:tcW w:w="2330" w:type="pct"/>
          </w:tcPr>
          <w:p w:rsidR="00600C23" w:rsidRPr="00403149" w:rsidRDefault="00600C23" w:rsidP="00190453">
            <w:pPr>
              <w:jc w:val="both"/>
              <w:rPr>
                <w:rFonts w:eastAsia="Calibri"/>
                <w:sz w:val="20"/>
                <w:szCs w:val="20"/>
              </w:rPr>
            </w:pPr>
            <w:r w:rsidRPr="00403149">
              <w:rPr>
                <w:rFonts w:eastAsia="Calibri"/>
                <w:sz w:val="20"/>
                <w:szCs w:val="20"/>
              </w:rPr>
              <w:t>Order that interpleader funds held in trust should be paid to MUR Shipping BV</w:t>
            </w:r>
          </w:p>
          <w:p w:rsidR="00600C23" w:rsidRPr="00403149" w:rsidRDefault="00600C23" w:rsidP="00190453">
            <w:pPr>
              <w:jc w:val="both"/>
              <w:rPr>
                <w:rFonts w:eastAsia="Calibri"/>
                <w:sz w:val="20"/>
                <w:szCs w:val="20"/>
              </w:rPr>
            </w:pPr>
          </w:p>
        </w:tc>
      </w:tr>
      <w:tr w:rsidR="00600C23" w:rsidRPr="00403149" w:rsidTr="00190453">
        <w:tc>
          <w:tcPr>
            <w:tcW w:w="2427" w:type="pct"/>
          </w:tcPr>
          <w:p w:rsidR="00600C23" w:rsidRPr="00403149" w:rsidRDefault="00600C23" w:rsidP="00190453">
            <w:pPr>
              <w:jc w:val="both"/>
              <w:rPr>
                <w:rFonts w:eastAsia="Calibri"/>
                <w:sz w:val="20"/>
                <w:szCs w:val="20"/>
              </w:rPr>
            </w:pPr>
            <w:r w:rsidRPr="00403149">
              <w:rPr>
                <w:rFonts w:eastAsia="Calibri"/>
                <w:sz w:val="20"/>
                <w:szCs w:val="20"/>
              </w:rPr>
              <w:t>October 4, 2013</w:t>
            </w:r>
          </w:p>
          <w:p w:rsidR="00600C23" w:rsidRPr="00403149" w:rsidRDefault="00600C23" w:rsidP="00190453">
            <w:pPr>
              <w:jc w:val="both"/>
              <w:rPr>
                <w:rFonts w:eastAsia="Calibri"/>
                <w:sz w:val="20"/>
                <w:szCs w:val="20"/>
              </w:rPr>
            </w:pPr>
            <w:r w:rsidRPr="00403149">
              <w:rPr>
                <w:rFonts w:eastAsia="Calibri"/>
                <w:sz w:val="20"/>
                <w:szCs w:val="20"/>
              </w:rPr>
              <w:t xml:space="preserve">Court of Appeal for British Columbia </w:t>
            </w:r>
          </w:p>
          <w:p w:rsidR="00600C23" w:rsidRPr="00403149" w:rsidRDefault="00600C23" w:rsidP="00190453">
            <w:pPr>
              <w:jc w:val="both"/>
              <w:rPr>
                <w:rFonts w:eastAsia="Calibri"/>
                <w:sz w:val="20"/>
                <w:szCs w:val="20"/>
              </w:rPr>
            </w:pPr>
            <w:r w:rsidRPr="00403149">
              <w:rPr>
                <w:rFonts w:eastAsia="Calibri"/>
                <w:sz w:val="20"/>
                <w:szCs w:val="20"/>
              </w:rPr>
              <w:t>(Vancouver)</w:t>
            </w:r>
          </w:p>
          <w:p w:rsidR="00600C23" w:rsidRPr="00403149" w:rsidRDefault="00600C23" w:rsidP="00190453">
            <w:pPr>
              <w:jc w:val="both"/>
              <w:rPr>
                <w:rFonts w:eastAsia="Calibri"/>
                <w:sz w:val="20"/>
                <w:szCs w:val="20"/>
              </w:rPr>
            </w:pPr>
            <w:r w:rsidRPr="00403149">
              <w:rPr>
                <w:rFonts w:eastAsia="Calibri"/>
                <w:sz w:val="20"/>
                <w:szCs w:val="20"/>
              </w:rPr>
              <w:t>(Donald, Neilson, Hinkson JJ.A.)</w:t>
            </w:r>
          </w:p>
          <w:p w:rsidR="00600C23" w:rsidRPr="00403149" w:rsidRDefault="00600C23" w:rsidP="00190453">
            <w:pPr>
              <w:jc w:val="both"/>
              <w:rPr>
                <w:rFonts w:eastAsia="Calibri"/>
                <w:sz w:val="20"/>
                <w:szCs w:val="20"/>
              </w:rPr>
            </w:pPr>
            <w:r w:rsidRPr="00403149">
              <w:rPr>
                <w:rFonts w:eastAsia="Calibri"/>
                <w:sz w:val="20"/>
                <w:szCs w:val="20"/>
              </w:rPr>
              <w:t xml:space="preserve">CA040070, </w:t>
            </w:r>
            <w:hyperlink r:id="rId30" w:history="1">
              <w:r w:rsidRPr="00403149">
                <w:rPr>
                  <w:rFonts w:eastAsia="Calibri"/>
                  <w:color w:val="0000FF"/>
                  <w:sz w:val="20"/>
                  <w:szCs w:val="20"/>
                  <w:u w:val="single"/>
                </w:rPr>
                <w:t>2013 BCCA 427</w:t>
              </w:r>
            </w:hyperlink>
          </w:p>
          <w:p w:rsidR="00600C23" w:rsidRPr="00403149" w:rsidRDefault="00600C23" w:rsidP="00190453">
            <w:pPr>
              <w:jc w:val="both"/>
              <w:rPr>
                <w:rFonts w:eastAsia="Calibri"/>
                <w:sz w:val="20"/>
                <w:szCs w:val="20"/>
              </w:rPr>
            </w:pPr>
          </w:p>
        </w:tc>
        <w:tc>
          <w:tcPr>
            <w:tcW w:w="243" w:type="pct"/>
          </w:tcPr>
          <w:p w:rsidR="00600C23" w:rsidRPr="00403149" w:rsidRDefault="00600C23" w:rsidP="00190453">
            <w:pPr>
              <w:jc w:val="both"/>
              <w:rPr>
                <w:rFonts w:eastAsia="Calibri"/>
                <w:sz w:val="20"/>
                <w:szCs w:val="20"/>
              </w:rPr>
            </w:pPr>
          </w:p>
        </w:tc>
        <w:tc>
          <w:tcPr>
            <w:tcW w:w="2330" w:type="pct"/>
          </w:tcPr>
          <w:p w:rsidR="00600C23" w:rsidRPr="00403149" w:rsidRDefault="00600C23" w:rsidP="00190453">
            <w:pPr>
              <w:jc w:val="both"/>
              <w:rPr>
                <w:rFonts w:eastAsia="Calibri"/>
                <w:sz w:val="20"/>
                <w:szCs w:val="20"/>
              </w:rPr>
            </w:pPr>
            <w:r w:rsidRPr="00403149">
              <w:rPr>
                <w:rFonts w:eastAsia="Calibri"/>
                <w:sz w:val="20"/>
                <w:szCs w:val="20"/>
              </w:rPr>
              <w:t>Appeal allowed; Order that interpleader funds should be paid to Byatt International SA</w:t>
            </w:r>
          </w:p>
          <w:p w:rsidR="00600C23" w:rsidRPr="00403149" w:rsidRDefault="00600C23" w:rsidP="00190453">
            <w:pPr>
              <w:jc w:val="both"/>
              <w:rPr>
                <w:rFonts w:eastAsia="Calibri"/>
                <w:sz w:val="20"/>
                <w:szCs w:val="20"/>
              </w:rPr>
            </w:pPr>
          </w:p>
        </w:tc>
      </w:tr>
      <w:tr w:rsidR="00600C23" w:rsidRPr="00403149" w:rsidTr="00190453">
        <w:tc>
          <w:tcPr>
            <w:tcW w:w="2427" w:type="pct"/>
          </w:tcPr>
          <w:p w:rsidR="00600C23" w:rsidRPr="00403149" w:rsidRDefault="00600C23" w:rsidP="00190453">
            <w:pPr>
              <w:jc w:val="both"/>
              <w:rPr>
                <w:rFonts w:eastAsia="Calibri"/>
                <w:sz w:val="20"/>
                <w:szCs w:val="20"/>
              </w:rPr>
            </w:pPr>
            <w:r w:rsidRPr="00403149">
              <w:rPr>
                <w:rFonts w:eastAsia="Calibri"/>
                <w:sz w:val="20"/>
                <w:szCs w:val="20"/>
              </w:rPr>
              <w:t>December 3, 2013</w:t>
            </w:r>
          </w:p>
          <w:p w:rsidR="00600C23" w:rsidRPr="00403149" w:rsidRDefault="00600C23" w:rsidP="00190453">
            <w:pPr>
              <w:jc w:val="both"/>
              <w:rPr>
                <w:rFonts w:eastAsia="Calibri"/>
                <w:sz w:val="20"/>
                <w:szCs w:val="20"/>
              </w:rPr>
            </w:pPr>
            <w:r w:rsidRPr="00403149">
              <w:rPr>
                <w:rFonts w:eastAsia="Calibri"/>
                <w:sz w:val="20"/>
                <w:szCs w:val="20"/>
              </w:rPr>
              <w:t>Supreme Court of Canada</w:t>
            </w:r>
          </w:p>
          <w:p w:rsidR="00600C23" w:rsidRPr="00403149" w:rsidRDefault="00600C23" w:rsidP="00190453">
            <w:pPr>
              <w:jc w:val="both"/>
              <w:rPr>
                <w:rFonts w:eastAsia="Calibri"/>
                <w:sz w:val="20"/>
                <w:szCs w:val="20"/>
              </w:rPr>
            </w:pPr>
          </w:p>
        </w:tc>
        <w:tc>
          <w:tcPr>
            <w:tcW w:w="243" w:type="pct"/>
          </w:tcPr>
          <w:p w:rsidR="00600C23" w:rsidRPr="00403149" w:rsidRDefault="00600C23" w:rsidP="00190453">
            <w:pPr>
              <w:jc w:val="both"/>
              <w:rPr>
                <w:rFonts w:eastAsia="Calibri"/>
                <w:sz w:val="20"/>
                <w:szCs w:val="20"/>
              </w:rPr>
            </w:pPr>
          </w:p>
        </w:tc>
        <w:tc>
          <w:tcPr>
            <w:tcW w:w="2330" w:type="pct"/>
          </w:tcPr>
          <w:p w:rsidR="00600C23" w:rsidRPr="00403149" w:rsidRDefault="00600C23" w:rsidP="00190453">
            <w:pPr>
              <w:jc w:val="both"/>
              <w:rPr>
                <w:rFonts w:eastAsia="Calibri"/>
                <w:sz w:val="20"/>
                <w:szCs w:val="20"/>
              </w:rPr>
            </w:pPr>
            <w:r w:rsidRPr="00403149">
              <w:rPr>
                <w:rFonts w:eastAsia="Calibri"/>
                <w:sz w:val="20"/>
                <w:szCs w:val="20"/>
              </w:rPr>
              <w:t>Application for leave to appeal filed</w:t>
            </w:r>
          </w:p>
          <w:p w:rsidR="00600C23" w:rsidRPr="00403149" w:rsidRDefault="00600C23" w:rsidP="00190453">
            <w:pPr>
              <w:jc w:val="both"/>
              <w:rPr>
                <w:rFonts w:eastAsia="Calibri"/>
                <w:sz w:val="20"/>
                <w:szCs w:val="20"/>
              </w:rPr>
            </w:pPr>
          </w:p>
        </w:tc>
      </w:tr>
      <w:tr w:rsidR="00600C23" w:rsidRPr="00403149" w:rsidTr="00190453">
        <w:tc>
          <w:tcPr>
            <w:tcW w:w="2427" w:type="pct"/>
          </w:tcPr>
          <w:p w:rsidR="00600C23" w:rsidRPr="00403149" w:rsidRDefault="00600C23" w:rsidP="00190453">
            <w:pPr>
              <w:jc w:val="both"/>
              <w:rPr>
                <w:rFonts w:eastAsia="Calibri"/>
                <w:sz w:val="20"/>
                <w:szCs w:val="20"/>
              </w:rPr>
            </w:pPr>
            <w:r w:rsidRPr="00403149">
              <w:rPr>
                <w:rFonts w:eastAsia="Calibri"/>
                <w:sz w:val="20"/>
                <w:szCs w:val="20"/>
              </w:rPr>
              <w:t>January 22, 2014</w:t>
            </w:r>
          </w:p>
          <w:p w:rsidR="00600C23" w:rsidRPr="00403149" w:rsidRDefault="00600C23" w:rsidP="00190453">
            <w:pPr>
              <w:jc w:val="both"/>
              <w:rPr>
                <w:rFonts w:eastAsia="Calibri"/>
                <w:sz w:val="20"/>
                <w:szCs w:val="20"/>
              </w:rPr>
            </w:pPr>
            <w:r w:rsidRPr="00403149">
              <w:rPr>
                <w:rFonts w:eastAsia="Calibri"/>
                <w:sz w:val="20"/>
                <w:szCs w:val="20"/>
              </w:rPr>
              <w:t>Supreme Court of Canada</w:t>
            </w:r>
          </w:p>
          <w:p w:rsidR="00600C23" w:rsidRPr="00403149" w:rsidRDefault="00600C23" w:rsidP="00190453">
            <w:pPr>
              <w:jc w:val="both"/>
              <w:rPr>
                <w:rFonts w:eastAsia="Calibri"/>
                <w:sz w:val="20"/>
                <w:szCs w:val="20"/>
              </w:rPr>
            </w:pPr>
          </w:p>
          <w:p w:rsidR="00600C23" w:rsidRPr="00403149" w:rsidRDefault="00600C23" w:rsidP="00190453">
            <w:pPr>
              <w:jc w:val="both"/>
              <w:rPr>
                <w:rFonts w:eastAsia="Calibri"/>
                <w:sz w:val="20"/>
                <w:szCs w:val="20"/>
              </w:rPr>
            </w:pPr>
          </w:p>
        </w:tc>
        <w:tc>
          <w:tcPr>
            <w:tcW w:w="243" w:type="pct"/>
          </w:tcPr>
          <w:p w:rsidR="00600C23" w:rsidRPr="00403149" w:rsidRDefault="00600C23" w:rsidP="00190453">
            <w:pPr>
              <w:jc w:val="both"/>
              <w:rPr>
                <w:rFonts w:eastAsia="Calibri"/>
                <w:sz w:val="20"/>
                <w:szCs w:val="20"/>
              </w:rPr>
            </w:pPr>
          </w:p>
        </w:tc>
        <w:tc>
          <w:tcPr>
            <w:tcW w:w="2330" w:type="pct"/>
          </w:tcPr>
          <w:p w:rsidR="00600C23" w:rsidRPr="00403149" w:rsidRDefault="00600C23" w:rsidP="00190453">
            <w:pPr>
              <w:jc w:val="both"/>
              <w:rPr>
                <w:rFonts w:eastAsia="Calibri"/>
                <w:sz w:val="20"/>
                <w:szCs w:val="20"/>
              </w:rPr>
            </w:pPr>
            <w:r w:rsidRPr="00403149">
              <w:rPr>
                <w:rFonts w:eastAsia="Calibri"/>
                <w:sz w:val="20"/>
                <w:szCs w:val="20"/>
              </w:rPr>
              <w:t>Motion to remove Canworld Shipping Company Limited and Prism Sulphur Corporation from Style of Cause and to Strike Response filed by Canworld Shipping Company Limited</w:t>
            </w:r>
          </w:p>
        </w:tc>
      </w:tr>
    </w:tbl>
    <w:p w:rsidR="001B1E7F" w:rsidRDefault="001B1E7F" w:rsidP="001B1E7F">
      <w:pPr>
        <w:rPr>
          <w:sz w:val="20"/>
          <w:szCs w:val="20"/>
        </w:rPr>
      </w:pPr>
    </w:p>
    <w:p w:rsidR="001B1E7F" w:rsidRPr="00C50A5C" w:rsidRDefault="004F01F8" w:rsidP="001B1E7F">
      <w:pPr>
        <w:rPr>
          <w:sz w:val="20"/>
          <w:szCs w:val="20"/>
        </w:rPr>
      </w:pPr>
      <w:r>
        <w:rPr>
          <w:sz w:val="20"/>
          <w:szCs w:val="20"/>
          <w:lang w:val="fr-CA"/>
        </w:rPr>
        <w:pict>
          <v:rect id="_x0000_i1040" style="width:2in;height:1pt" o:hrpct="0" o:hralign="center" o:hrstd="t" o:hrnoshade="t" o:hr="t" fillcolor="black [3213]" stroked="f"/>
        </w:pict>
      </w:r>
    </w:p>
    <w:p w:rsidR="001B1E7F" w:rsidRDefault="001B1E7F" w:rsidP="001B1E7F">
      <w:pPr>
        <w:rPr>
          <w:sz w:val="20"/>
          <w:szCs w:val="20"/>
        </w:rPr>
      </w:pPr>
    </w:p>
    <w:p w:rsidR="001B1E7F" w:rsidRPr="001B157C" w:rsidRDefault="001B1E7F" w:rsidP="001B1E7F">
      <w:pPr>
        <w:rPr>
          <w:sz w:val="20"/>
          <w:szCs w:val="20"/>
          <w:u w:val="single"/>
          <w:lang w:val="fr-CA"/>
        </w:rPr>
      </w:pPr>
      <w:r w:rsidRPr="001B157C">
        <w:rPr>
          <w:sz w:val="20"/>
          <w:szCs w:val="20"/>
          <w:u w:val="single"/>
          <w:lang w:val="fr-CA"/>
        </w:rPr>
        <w:t>RÉSUMÉ DE L’AFFAIRE</w:t>
      </w:r>
    </w:p>
    <w:p w:rsidR="001B1E7F" w:rsidRDefault="001B1E7F" w:rsidP="001B1E7F">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00C23" w:rsidRPr="004F01F8" w:rsidTr="00190453">
        <w:tc>
          <w:tcPr>
            <w:tcW w:w="5000" w:type="pct"/>
            <w:gridSpan w:val="3"/>
          </w:tcPr>
          <w:p w:rsidR="00600C23" w:rsidRPr="00403149" w:rsidRDefault="00600C23" w:rsidP="00190453">
            <w:pPr>
              <w:jc w:val="both"/>
              <w:rPr>
                <w:rFonts w:eastAsia="Calibri"/>
                <w:sz w:val="20"/>
                <w:szCs w:val="20"/>
                <w:lang w:val="fr-CA"/>
              </w:rPr>
            </w:pPr>
            <w:r w:rsidRPr="00403149">
              <w:rPr>
                <w:rFonts w:eastAsia="Calibri"/>
                <w:sz w:val="20"/>
                <w:szCs w:val="20"/>
                <w:lang w:val="fr-CA"/>
              </w:rPr>
              <w:lastRenderedPageBreak/>
              <w:t>Droit maritime — Contrats — Privilèges et hypothèques — Connaissements — Directive que le fret soit payé à l’armateur — Quel devrait être l’effet de concordats conclus dans une procédure de faillite étrangère sur le droit contractuel d’un armateur de donner une directive que le fret lui soit payé en vertu du droit maritime canadien?</w:t>
            </w:r>
          </w:p>
        </w:tc>
      </w:tr>
      <w:tr w:rsidR="00600C23" w:rsidRPr="004F01F8" w:rsidTr="00190453">
        <w:tc>
          <w:tcPr>
            <w:tcW w:w="5000" w:type="pct"/>
            <w:gridSpan w:val="3"/>
          </w:tcPr>
          <w:p w:rsidR="00600C23" w:rsidRPr="00403149" w:rsidRDefault="00600C23" w:rsidP="00190453">
            <w:pPr>
              <w:jc w:val="both"/>
              <w:rPr>
                <w:rFonts w:eastAsia="Calibri"/>
                <w:sz w:val="20"/>
                <w:szCs w:val="20"/>
                <w:lang w:val="fr-CA"/>
              </w:rPr>
            </w:pPr>
          </w:p>
        </w:tc>
      </w:tr>
      <w:tr w:rsidR="00600C23" w:rsidRPr="004F01F8" w:rsidTr="00190453">
        <w:tc>
          <w:tcPr>
            <w:tcW w:w="5000" w:type="pct"/>
            <w:gridSpan w:val="3"/>
          </w:tcPr>
          <w:p w:rsidR="00600C23" w:rsidRPr="00403149" w:rsidRDefault="00600C23" w:rsidP="00190453">
            <w:pPr>
              <w:jc w:val="both"/>
              <w:rPr>
                <w:rFonts w:eastAsia="Calibri"/>
                <w:sz w:val="20"/>
                <w:szCs w:val="20"/>
                <w:lang w:val="fr-CA"/>
              </w:rPr>
            </w:pPr>
            <w:r w:rsidRPr="00403149">
              <w:rPr>
                <w:rFonts w:eastAsia="Calibri"/>
                <w:sz w:val="20"/>
                <w:szCs w:val="20"/>
                <w:lang w:val="fr-CA"/>
              </w:rPr>
              <w:t xml:space="preserve">Prism Sulphur Corporation a engagé Canworld Shipping Company Ltd. pour transporter du soufre et Canworld a affrété le </w:t>
            </w:r>
            <w:r w:rsidRPr="00403149">
              <w:rPr>
                <w:rFonts w:eastAsia="Calibri"/>
                <w:i/>
                <w:iCs/>
                <w:sz w:val="20"/>
                <w:szCs w:val="20"/>
                <w:lang w:val="fr-CA"/>
              </w:rPr>
              <w:t xml:space="preserve">M.V. </w:t>
            </w:r>
            <w:r w:rsidRPr="00403149">
              <w:rPr>
                <w:rFonts w:eastAsia="Calibri"/>
                <w:i/>
                <w:sz w:val="20"/>
                <w:szCs w:val="20"/>
                <w:lang w:val="fr-CA"/>
              </w:rPr>
              <w:t>Loyalty</w:t>
            </w:r>
            <w:r w:rsidRPr="00403149">
              <w:rPr>
                <w:rFonts w:eastAsia="Calibri"/>
                <w:sz w:val="20"/>
                <w:szCs w:val="20"/>
                <w:lang w:val="fr-CA"/>
              </w:rPr>
              <w:t xml:space="preserve">, par l’entremise de MUR Shipping, en vertu d’un affrètement au voyage.  Le capitaine du </w:t>
            </w:r>
            <w:r w:rsidRPr="00403149">
              <w:rPr>
                <w:rFonts w:eastAsia="Calibri"/>
                <w:i/>
                <w:iCs/>
                <w:sz w:val="20"/>
                <w:szCs w:val="20"/>
                <w:lang w:val="fr-CA"/>
              </w:rPr>
              <w:t>Loyalty</w:t>
            </w:r>
            <w:r w:rsidRPr="00403149">
              <w:rPr>
                <w:rFonts w:eastAsia="Calibri"/>
                <w:sz w:val="20"/>
                <w:szCs w:val="20"/>
                <w:lang w:val="fr-CA"/>
              </w:rPr>
              <w:t xml:space="preserve"> a signé un connaissement désignant Prism comme l’expéditeur.  MUR avait l’usage du </w:t>
            </w:r>
            <w:r w:rsidRPr="00403149">
              <w:rPr>
                <w:rFonts w:eastAsia="Calibri"/>
                <w:i/>
                <w:sz w:val="20"/>
                <w:szCs w:val="20"/>
                <w:lang w:val="fr-CA"/>
              </w:rPr>
              <w:t>Loyalty</w:t>
            </w:r>
            <w:r w:rsidRPr="00403149">
              <w:rPr>
                <w:rFonts w:eastAsia="Calibri"/>
                <w:sz w:val="20"/>
                <w:szCs w:val="20"/>
                <w:lang w:val="fr-CA"/>
              </w:rPr>
              <w:t xml:space="preserve"> en vertu d’un affrètement à temps de Korea Line Corporation et Korea Line avait l’usage du </w:t>
            </w:r>
            <w:r w:rsidRPr="00403149">
              <w:rPr>
                <w:rFonts w:eastAsia="Calibri"/>
                <w:i/>
                <w:sz w:val="20"/>
                <w:szCs w:val="20"/>
                <w:lang w:val="fr-CA"/>
              </w:rPr>
              <w:t>Loyalty</w:t>
            </w:r>
            <w:r w:rsidRPr="00403149">
              <w:rPr>
                <w:rFonts w:eastAsia="Calibri"/>
                <w:sz w:val="20"/>
                <w:szCs w:val="20"/>
                <w:lang w:val="fr-CA"/>
              </w:rPr>
              <w:t xml:space="preserve"> en vertu d’un affrètement à temps de Byatt International, l’armateur.  MUR a payé son loyer à Korea Line.  Pendant que le </w:t>
            </w:r>
            <w:r w:rsidRPr="00403149">
              <w:rPr>
                <w:rFonts w:eastAsia="Calibri"/>
                <w:i/>
                <w:sz w:val="20"/>
                <w:szCs w:val="20"/>
                <w:lang w:val="fr-CA"/>
              </w:rPr>
              <w:t>Loyalty</w:t>
            </w:r>
            <w:r w:rsidRPr="00403149">
              <w:rPr>
                <w:rFonts w:eastAsia="Calibri"/>
                <w:sz w:val="20"/>
                <w:szCs w:val="20"/>
                <w:lang w:val="fr-CA"/>
              </w:rPr>
              <w:t xml:space="preserve"> transportait le soufre, Korea Line a manqué à ses obligations aux termes de son affrètement à temps avec Byatt.  Byatt a envoyé un avis de privilège à MUR et aux agents de Prism.  Elle a également demandé que le fret lui soit versé.  Byatt a réglé à l’amiable une réclamation dans le cadre de la procédure d’insolvabilité de Korea Line.  Prism a présenté une demande d’interplaidoirie et a versé les sommes de 268 596,60 $ US et de 65 100 $ US en fiducie en exécution d’ordonnances judiciaires.  Canworld et Byatt ont chacune demandé une ordonnance pour que les fonds de l’interplaidoirie leur soit versés.</w:t>
            </w:r>
          </w:p>
          <w:p w:rsidR="00600C23" w:rsidRPr="00403149" w:rsidRDefault="00600C23" w:rsidP="00190453">
            <w:pPr>
              <w:jc w:val="both"/>
              <w:rPr>
                <w:rFonts w:eastAsia="Calibri"/>
                <w:sz w:val="20"/>
                <w:szCs w:val="20"/>
                <w:lang w:val="fr-CA"/>
              </w:rPr>
            </w:pPr>
          </w:p>
        </w:tc>
      </w:tr>
      <w:tr w:rsidR="00600C23" w:rsidRPr="004F01F8" w:rsidTr="00004EDE">
        <w:trPr>
          <w:cantSplit/>
        </w:trPr>
        <w:tc>
          <w:tcPr>
            <w:tcW w:w="2427" w:type="pct"/>
          </w:tcPr>
          <w:p w:rsidR="00600C23" w:rsidRPr="00403149" w:rsidRDefault="00600C23" w:rsidP="00190453">
            <w:pPr>
              <w:jc w:val="both"/>
              <w:rPr>
                <w:rFonts w:eastAsia="Calibri"/>
                <w:sz w:val="20"/>
                <w:szCs w:val="20"/>
                <w:lang w:val="fr-CA"/>
              </w:rPr>
            </w:pPr>
            <w:r w:rsidRPr="00403149">
              <w:rPr>
                <w:rFonts w:eastAsia="Calibri"/>
                <w:sz w:val="20"/>
                <w:szCs w:val="20"/>
                <w:lang w:val="fr-CA"/>
              </w:rPr>
              <w:t>27 juin 2012</w:t>
            </w:r>
          </w:p>
          <w:p w:rsidR="00600C23" w:rsidRPr="00403149" w:rsidRDefault="00600C23" w:rsidP="00190453">
            <w:pPr>
              <w:jc w:val="both"/>
              <w:rPr>
                <w:rFonts w:eastAsia="Calibri"/>
                <w:sz w:val="20"/>
                <w:szCs w:val="20"/>
                <w:lang w:val="fr-CA"/>
              </w:rPr>
            </w:pPr>
            <w:r w:rsidRPr="00403149">
              <w:rPr>
                <w:rFonts w:eastAsia="Calibri"/>
                <w:sz w:val="20"/>
                <w:szCs w:val="20"/>
                <w:lang w:val="fr-CA"/>
              </w:rPr>
              <w:t>Cour suprême de la Colombie</w:t>
            </w:r>
            <w:r w:rsidRPr="00403149">
              <w:rPr>
                <w:rFonts w:eastAsia="Calibri"/>
                <w:sz w:val="20"/>
                <w:szCs w:val="20"/>
                <w:lang w:val="fr-CA"/>
              </w:rPr>
              <w:noBreakHyphen/>
              <w:t>Britannique</w:t>
            </w:r>
          </w:p>
          <w:p w:rsidR="00600C23" w:rsidRPr="00403149" w:rsidRDefault="00600C23" w:rsidP="00190453">
            <w:pPr>
              <w:jc w:val="both"/>
              <w:rPr>
                <w:rFonts w:eastAsia="Calibri"/>
                <w:sz w:val="20"/>
                <w:szCs w:val="20"/>
                <w:lang w:val="fr-CA"/>
              </w:rPr>
            </w:pPr>
            <w:r w:rsidRPr="00403149">
              <w:rPr>
                <w:rFonts w:eastAsia="Calibri"/>
                <w:sz w:val="20"/>
                <w:szCs w:val="20"/>
                <w:lang w:val="fr-CA"/>
              </w:rPr>
              <w:t xml:space="preserve">(Juge Groves) </w:t>
            </w:r>
          </w:p>
          <w:p w:rsidR="00600C23" w:rsidRPr="00403149" w:rsidRDefault="00600C23" w:rsidP="00190453">
            <w:pPr>
              <w:jc w:val="both"/>
              <w:rPr>
                <w:rFonts w:eastAsia="Calibri"/>
                <w:sz w:val="20"/>
                <w:szCs w:val="20"/>
                <w:lang w:val="fr-CA"/>
              </w:rPr>
            </w:pPr>
          </w:p>
        </w:tc>
        <w:tc>
          <w:tcPr>
            <w:tcW w:w="243" w:type="pct"/>
          </w:tcPr>
          <w:p w:rsidR="00600C23" w:rsidRPr="00403149" w:rsidRDefault="00600C23" w:rsidP="00190453">
            <w:pPr>
              <w:jc w:val="both"/>
              <w:rPr>
                <w:rFonts w:eastAsia="Calibri"/>
                <w:sz w:val="20"/>
                <w:szCs w:val="20"/>
                <w:lang w:val="fr-CA"/>
              </w:rPr>
            </w:pPr>
          </w:p>
        </w:tc>
        <w:tc>
          <w:tcPr>
            <w:tcW w:w="2330" w:type="pct"/>
          </w:tcPr>
          <w:p w:rsidR="00600C23" w:rsidRPr="00403149" w:rsidRDefault="00600C23" w:rsidP="00190453">
            <w:pPr>
              <w:jc w:val="both"/>
              <w:rPr>
                <w:rFonts w:eastAsia="Calibri"/>
                <w:sz w:val="20"/>
                <w:szCs w:val="20"/>
                <w:lang w:val="fr-CA"/>
              </w:rPr>
            </w:pPr>
            <w:r w:rsidRPr="00403149">
              <w:rPr>
                <w:rFonts w:eastAsia="Calibri"/>
                <w:sz w:val="20"/>
                <w:szCs w:val="20"/>
                <w:lang w:val="fr-CA"/>
              </w:rPr>
              <w:t>Ordonnance portant que les fonds de l’interplaidoirie</w:t>
            </w:r>
            <w:r w:rsidRPr="00403149">
              <w:rPr>
                <w:rFonts w:eastAsia="Calibri"/>
                <w:i/>
                <w:sz w:val="20"/>
                <w:szCs w:val="20"/>
                <w:lang w:val="fr-CA"/>
              </w:rPr>
              <w:t xml:space="preserve"> </w:t>
            </w:r>
            <w:r w:rsidRPr="00403149">
              <w:rPr>
                <w:rFonts w:eastAsia="Calibri"/>
                <w:sz w:val="20"/>
                <w:szCs w:val="20"/>
                <w:lang w:val="fr-CA"/>
              </w:rPr>
              <w:t>détenus en fiducie soient versés à MUR Shipping BV</w:t>
            </w:r>
          </w:p>
          <w:p w:rsidR="00600C23" w:rsidRPr="00403149" w:rsidRDefault="00600C23" w:rsidP="00190453">
            <w:pPr>
              <w:jc w:val="both"/>
              <w:rPr>
                <w:rFonts w:eastAsia="Calibri"/>
                <w:sz w:val="20"/>
                <w:szCs w:val="20"/>
                <w:lang w:val="fr-CA"/>
              </w:rPr>
            </w:pPr>
          </w:p>
        </w:tc>
      </w:tr>
      <w:tr w:rsidR="00600C23" w:rsidRPr="004F01F8" w:rsidTr="00004EDE">
        <w:trPr>
          <w:cantSplit/>
        </w:trPr>
        <w:tc>
          <w:tcPr>
            <w:tcW w:w="2427" w:type="pct"/>
          </w:tcPr>
          <w:p w:rsidR="00600C23" w:rsidRPr="00403149" w:rsidRDefault="00600C23" w:rsidP="00190453">
            <w:pPr>
              <w:jc w:val="both"/>
              <w:rPr>
                <w:rFonts w:eastAsia="Calibri"/>
                <w:sz w:val="20"/>
                <w:szCs w:val="20"/>
                <w:lang w:val="fr-CA"/>
              </w:rPr>
            </w:pPr>
            <w:r w:rsidRPr="00403149">
              <w:rPr>
                <w:rFonts w:eastAsia="Calibri"/>
                <w:sz w:val="20"/>
                <w:szCs w:val="20"/>
                <w:lang w:val="fr-CA"/>
              </w:rPr>
              <w:t>4 octobre 2013</w:t>
            </w:r>
          </w:p>
          <w:p w:rsidR="00600C23" w:rsidRPr="00403149" w:rsidRDefault="00600C23" w:rsidP="00190453">
            <w:pPr>
              <w:jc w:val="both"/>
              <w:rPr>
                <w:rFonts w:eastAsia="Calibri"/>
                <w:sz w:val="20"/>
                <w:szCs w:val="20"/>
                <w:lang w:val="fr-CA"/>
              </w:rPr>
            </w:pPr>
            <w:r w:rsidRPr="00403149">
              <w:rPr>
                <w:rFonts w:eastAsia="Calibri"/>
                <w:sz w:val="20"/>
                <w:szCs w:val="20"/>
                <w:lang w:val="fr-CA"/>
              </w:rPr>
              <w:t>Cour d’appel de la Colombie</w:t>
            </w:r>
            <w:r w:rsidRPr="00403149">
              <w:rPr>
                <w:rFonts w:eastAsia="Calibri"/>
                <w:sz w:val="20"/>
                <w:szCs w:val="20"/>
                <w:lang w:val="fr-CA"/>
              </w:rPr>
              <w:noBreakHyphen/>
              <w:t>Britannique</w:t>
            </w:r>
          </w:p>
          <w:p w:rsidR="00600C23" w:rsidRPr="00403149" w:rsidRDefault="00600C23" w:rsidP="00190453">
            <w:pPr>
              <w:jc w:val="both"/>
              <w:rPr>
                <w:rFonts w:eastAsia="Calibri"/>
                <w:sz w:val="20"/>
                <w:szCs w:val="20"/>
                <w:lang w:val="fr-CA"/>
              </w:rPr>
            </w:pPr>
            <w:r w:rsidRPr="00403149">
              <w:rPr>
                <w:rFonts w:eastAsia="Calibri"/>
                <w:sz w:val="20"/>
                <w:szCs w:val="20"/>
                <w:lang w:val="fr-CA"/>
              </w:rPr>
              <w:t>(Vancouver)</w:t>
            </w:r>
          </w:p>
          <w:p w:rsidR="00600C23" w:rsidRPr="00403149" w:rsidRDefault="00600C23" w:rsidP="00190453">
            <w:pPr>
              <w:jc w:val="both"/>
              <w:rPr>
                <w:rFonts w:eastAsia="Calibri"/>
                <w:sz w:val="20"/>
                <w:szCs w:val="20"/>
                <w:lang w:val="fr-CA"/>
              </w:rPr>
            </w:pPr>
            <w:r w:rsidRPr="00403149">
              <w:rPr>
                <w:rFonts w:eastAsia="Calibri"/>
                <w:sz w:val="20"/>
                <w:szCs w:val="20"/>
                <w:lang w:val="fr-CA"/>
              </w:rPr>
              <w:t>(Juges Donald, Neilson et Hinkson)</w:t>
            </w:r>
          </w:p>
          <w:p w:rsidR="00600C23" w:rsidRPr="00403149" w:rsidRDefault="00600C23" w:rsidP="00190453">
            <w:pPr>
              <w:jc w:val="both"/>
              <w:rPr>
                <w:rFonts w:eastAsia="Calibri"/>
                <w:sz w:val="20"/>
                <w:szCs w:val="20"/>
                <w:lang w:val="fr-CA"/>
              </w:rPr>
            </w:pPr>
            <w:r w:rsidRPr="00403149">
              <w:rPr>
                <w:rFonts w:eastAsia="Calibri"/>
                <w:sz w:val="20"/>
                <w:szCs w:val="20"/>
                <w:lang w:val="fr-CA"/>
              </w:rPr>
              <w:t xml:space="preserve">CA040070, </w:t>
            </w:r>
            <w:hyperlink r:id="rId31" w:history="1">
              <w:r w:rsidRPr="00403149">
                <w:rPr>
                  <w:rFonts w:eastAsia="Calibri"/>
                  <w:color w:val="0000FF"/>
                  <w:sz w:val="20"/>
                  <w:szCs w:val="20"/>
                  <w:u w:val="single"/>
                  <w:lang w:val="fr-CA"/>
                </w:rPr>
                <w:t>2013 BCCA 427</w:t>
              </w:r>
            </w:hyperlink>
          </w:p>
          <w:p w:rsidR="00600C23" w:rsidRPr="00403149" w:rsidRDefault="00600C23" w:rsidP="00190453">
            <w:pPr>
              <w:jc w:val="both"/>
              <w:rPr>
                <w:rFonts w:eastAsia="Calibri"/>
                <w:sz w:val="20"/>
                <w:szCs w:val="20"/>
                <w:lang w:val="fr-CA"/>
              </w:rPr>
            </w:pPr>
          </w:p>
        </w:tc>
        <w:tc>
          <w:tcPr>
            <w:tcW w:w="243" w:type="pct"/>
          </w:tcPr>
          <w:p w:rsidR="00600C23" w:rsidRPr="00403149" w:rsidRDefault="00600C23" w:rsidP="00190453">
            <w:pPr>
              <w:jc w:val="both"/>
              <w:rPr>
                <w:rFonts w:eastAsia="Calibri"/>
                <w:sz w:val="20"/>
                <w:szCs w:val="20"/>
                <w:lang w:val="fr-CA"/>
              </w:rPr>
            </w:pPr>
          </w:p>
        </w:tc>
        <w:tc>
          <w:tcPr>
            <w:tcW w:w="2330" w:type="pct"/>
          </w:tcPr>
          <w:p w:rsidR="00600C23" w:rsidRPr="00403149" w:rsidRDefault="00600C23" w:rsidP="00190453">
            <w:pPr>
              <w:jc w:val="both"/>
              <w:rPr>
                <w:rFonts w:eastAsia="Calibri"/>
                <w:sz w:val="20"/>
                <w:szCs w:val="20"/>
                <w:lang w:val="fr-CA"/>
              </w:rPr>
            </w:pPr>
            <w:r w:rsidRPr="00403149">
              <w:rPr>
                <w:rFonts w:eastAsia="Calibri"/>
                <w:sz w:val="20"/>
                <w:szCs w:val="20"/>
                <w:lang w:val="fr-CA"/>
              </w:rPr>
              <w:t>Appel accueilli; ordonnance portant que les fonds de l’interplaidoirie soient versés à Byatt International SA</w:t>
            </w:r>
          </w:p>
          <w:p w:rsidR="00600C23" w:rsidRPr="00403149" w:rsidRDefault="00600C23" w:rsidP="00190453">
            <w:pPr>
              <w:jc w:val="both"/>
              <w:rPr>
                <w:rFonts w:eastAsia="Calibri"/>
                <w:sz w:val="20"/>
                <w:szCs w:val="20"/>
                <w:lang w:val="fr-CA"/>
              </w:rPr>
            </w:pPr>
          </w:p>
        </w:tc>
      </w:tr>
      <w:tr w:rsidR="00600C23" w:rsidRPr="00403149" w:rsidTr="00004EDE">
        <w:trPr>
          <w:cantSplit/>
        </w:trPr>
        <w:tc>
          <w:tcPr>
            <w:tcW w:w="2427" w:type="pct"/>
          </w:tcPr>
          <w:p w:rsidR="00600C23" w:rsidRPr="00403149" w:rsidRDefault="00600C23" w:rsidP="00190453">
            <w:pPr>
              <w:jc w:val="both"/>
              <w:rPr>
                <w:rFonts w:eastAsia="Calibri"/>
                <w:sz w:val="20"/>
                <w:szCs w:val="20"/>
                <w:lang w:val="fr-CA"/>
              </w:rPr>
            </w:pPr>
            <w:r w:rsidRPr="00403149">
              <w:rPr>
                <w:rFonts w:eastAsia="Calibri"/>
                <w:sz w:val="20"/>
                <w:szCs w:val="20"/>
                <w:lang w:val="fr-CA"/>
              </w:rPr>
              <w:t>3 décembre 2013</w:t>
            </w:r>
          </w:p>
          <w:p w:rsidR="00600C23" w:rsidRPr="00403149" w:rsidRDefault="00600C23" w:rsidP="00190453">
            <w:pPr>
              <w:jc w:val="both"/>
              <w:rPr>
                <w:rFonts w:eastAsia="Calibri"/>
                <w:sz w:val="20"/>
                <w:szCs w:val="20"/>
                <w:lang w:val="fr-CA"/>
              </w:rPr>
            </w:pPr>
            <w:r w:rsidRPr="00403149">
              <w:rPr>
                <w:rFonts w:eastAsia="Calibri"/>
                <w:sz w:val="20"/>
                <w:szCs w:val="20"/>
                <w:lang w:val="fr-CA"/>
              </w:rPr>
              <w:t>Cour suprême du Canada</w:t>
            </w:r>
          </w:p>
          <w:p w:rsidR="00600C23" w:rsidRPr="00403149" w:rsidRDefault="00600C23" w:rsidP="00190453">
            <w:pPr>
              <w:jc w:val="both"/>
              <w:rPr>
                <w:rFonts w:eastAsia="Calibri"/>
                <w:sz w:val="20"/>
                <w:szCs w:val="20"/>
                <w:lang w:val="fr-CA"/>
              </w:rPr>
            </w:pPr>
          </w:p>
        </w:tc>
        <w:tc>
          <w:tcPr>
            <w:tcW w:w="243" w:type="pct"/>
          </w:tcPr>
          <w:p w:rsidR="00600C23" w:rsidRPr="00403149" w:rsidRDefault="00600C23" w:rsidP="00190453">
            <w:pPr>
              <w:jc w:val="both"/>
              <w:rPr>
                <w:rFonts w:eastAsia="Calibri"/>
                <w:sz w:val="20"/>
                <w:szCs w:val="20"/>
                <w:lang w:val="fr-CA"/>
              </w:rPr>
            </w:pPr>
          </w:p>
        </w:tc>
        <w:tc>
          <w:tcPr>
            <w:tcW w:w="2330" w:type="pct"/>
          </w:tcPr>
          <w:p w:rsidR="00600C23" w:rsidRPr="00403149" w:rsidRDefault="00600C23" w:rsidP="00190453">
            <w:pPr>
              <w:jc w:val="both"/>
              <w:rPr>
                <w:rFonts w:eastAsia="Calibri"/>
                <w:sz w:val="20"/>
                <w:szCs w:val="20"/>
                <w:lang w:val="fr-CA"/>
              </w:rPr>
            </w:pPr>
            <w:r w:rsidRPr="00403149">
              <w:rPr>
                <w:rFonts w:eastAsia="Calibri"/>
                <w:sz w:val="20"/>
                <w:szCs w:val="20"/>
                <w:lang w:val="fr-CA"/>
              </w:rPr>
              <w:t>Demande d’autorisation d’appel, déposée</w:t>
            </w:r>
          </w:p>
          <w:p w:rsidR="00600C23" w:rsidRPr="00403149" w:rsidRDefault="00600C23" w:rsidP="00190453">
            <w:pPr>
              <w:jc w:val="both"/>
              <w:rPr>
                <w:rFonts w:eastAsia="Calibri"/>
                <w:sz w:val="20"/>
                <w:szCs w:val="20"/>
                <w:lang w:val="fr-CA"/>
              </w:rPr>
            </w:pPr>
          </w:p>
        </w:tc>
      </w:tr>
      <w:tr w:rsidR="00600C23" w:rsidRPr="004F01F8" w:rsidTr="00004EDE">
        <w:trPr>
          <w:cantSplit/>
        </w:trPr>
        <w:tc>
          <w:tcPr>
            <w:tcW w:w="2427" w:type="pct"/>
          </w:tcPr>
          <w:p w:rsidR="00600C23" w:rsidRPr="00403149" w:rsidRDefault="00600C23" w:rsidP="00190453">
            <w:pPr>
              <w:jc w:val="both"/>
              <w:rPr>
                <w:rFonts w:eastAsia="Calibri"/>
                <w:sz w:val="20"/>
                <w:szCs w:val="20"/>
                <w:lang w:val="fr-CA"/>
              </w:rPr>
            </w:pPr>
            <w:r w:rsidRPr="00403149">
              <w:rPr>
                <w:rFonts w:eastAsia="Calibri"/>
                <w:sz w:val="20"/>
                <w:szCs w:val="20"/>
                <w:lang w:val="fr-CA"/>
              </w:rPr>
              <w:t>22 janvier 2014</w:t>
            </w:r>
          </w:p>
          <w:p w:rsidR="00600C23" w:rsidRPr="00403149" w:rsidRDefault="00600C23" w:rsidP="00190453">
            <w:pPr>
              <w:jc w:val="both"/>
              <w:rPr>
                <w:rFonts w:eastAsia="Calibri"/>
                <w:sz w:val="20"/>
                <w:szCs w:val="20"/>
                <w:lang w:val="fr-CA"/>
              </w:rPr>
            </w:pPr>
            <w:r w:rsidRPr="00403149">
              <w:rPr>
                <w:rFonts w:eastAsia="Calibri"/>
                <w:sz w:val="20"/>
                <w:szCs w:val="20"/>
                <w:lang w:val="fr-CA"/>
              </w:rPr>
              <w:t>Cour suprême du Canada</w:t>
            </w:r>
          </w:p>
          <w:p w:rsidR="00600C23" w:rsidRPr="00403149" w:rsidRDefault="00600C23" w:rsidP="00190453">
            <w:pPr>
              <w:jc w:val="both"/>
              <w:rPr>
                <w:rFonts w:eastAsia="Calibri"/>
                <w:sz w:val="20"/>
                <w:szCs w:val="20"/>
                <w:lang w:val="fr-CA"/>
              </w:rPr>
            </w:pPr>
          </w:p>
          <w:p w:rsidR="00600C23" w:rsidRPr="00403149" w:rsidRDefault="00600C23" w:rsidP="00190453">
            <w:pPr>
              <w:jc w:val="both"/>
              <w:rPr>
                <w:rFonts w:eastAsia="Calibri"/>
                <w:sz w:val="20"/>
                <w:szCs w:val="20"/>
                <w:lang w:val="fr-CA"/>
              </w:rPr>
            </w:pPr>
          </w:p>
        </w:tc>
        <w:tc>
          <w:tcPr>
            <w:tcW w:w="243" w:type="pct"/>
          </w:tcPr>
          <w:p w:rsidR="00600C23" w:rsidRPr="00403149" w:rsidRDefault="00600C23" w:rsidP="00190453">
            <w:pPr>
              <w:jc w:val="both"/>
              <w:rPr>
                <w:rFonts w:eastAsia="Calibri"/>
                <w:sz w:val="20"/>
                <w:szCs w:val="20"/>
                <w:lang w:val="fr-CA"/>
              </w:rPr>
            </w:pPr>
          </w:p>
        </w:tc>
        <w:tc>
          <w:tcPr>
            <w:tcW w:w="2330" w:type="pct"/>
          </w:tcPr>
          <w:p w:rsidR="00600C23" w:rsidRPr="00403149" w:rsidRDefault="00600C23" w:rsidP="00190453">
            <w:pPr>
              <w:jc w:val="both"/>
              <w:rPr>
                <w:rFonts w:eastAsia="Calibri"/>
                <w:sz w:val="20"/>
                <w:szCs w:val="20"/>
                <w:lang w:val="fr-CA"/>
              </w:rPr>
            </w:pPr>
            <w:r w:rsidRPr="00403149">
              <w:rPr>
                <w:rFonts w:eastAsia="Calibri"/>
                <w:sz w:val="20"/>
                <w:szCs w:val="20"/>
                <w:lang w:val="fr-CA"/>
              </w:rPr>
              <w:t>Requête visant à exclure Canworld Shipping Company Limited et Prism Sulphur Corporation de l’intitulé et à faire radier la réponse déposée par Canworld Shipping Company Limited</w:t>
            </w:r>
          </w:p>
        </w:tc>
      </w:tr>
    </w:tbl>
    <w:p w:rsidR="001B1E7F" w:rsidRPr="00600C23" w:rsidRDefault="001B1E7F" w:rsidP="001B1E7F">
      <w:pPr>
        <w:rPr>
          <w:sz w:val="20"/>
          <w:szCs w:val="20"/>
          <w:lang w:val="fr-CA"/>
        </w:rPr>
      </w:pPr>
    </w:p>
    <w:p w:rsidR="001B1E7F" w:rsidRDefault="004F01F8" w:rsidP="001B1E7F">
      <w:pPr>
        <w:rPr>
          <w:sz w:val="20"/>
          <w:szCs w:val="20"/>
        </w:rPr>
      </w:pPr>
      <w:r>
        <w:rPr>
          <w:sz w:val="20"/>
          <w:szCs w:val="20"/>
          <w:lang w:val="fr-CA"/>
        </w:rPr>
        <w:pict>
          <v:rect id="_x0000_i1041" style="width:2in;height:1pt" o:hrpct="0" o:hralign="center" o:hrstd="t" o:hrnoshade="t" o:hr="t" fillcolor="black [3213]" stroked="f"/>
        </w:pict>
      </w:r>
    </w:p>
    <w:p w:rsidR="001B1E7F" w:rsidRDefault="001B1E7F" w:rsidP="001B1E7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04EDE" w:rsidRPr="00582BFB" w:rsidTr="007A5AE5">
        <w:trPr>
          <w:cantSplit/>
        </w:trPr>
        <w:tc>
          <w:tcPr>
            <w:tcW w:w="1458" w:type="dxa"/>
          </w:tcPr>
          <w:p w:rsidR="00004EDE" w:rsidRPr="00582BFB" w:rsidRDefault="00004EDE" w:rsidP="007A5AE5">
            <w:pPr>
              <w:rPr>
                <w:sz w:val="20"/>
                <w:szCs w:val="20"/>
              </w:rPr>
            </w:pPr>
            <w:r w:rsidRPr="00582BFB">
              <w:rPr>
                <w:rStyle w:val="SCCFileNumberChar"/>
                <w:sz w:val="20"/>
                <w:szCs w:val="20"/>
              </w:rPr>
              <w:t>35660</w:t>
            </w:r>
          </w:p>
          <w:p w:rsidR="00004EDE" w:rsidRPr="00582BFB" w:rsidRDefault="00004EDE" w:rsidP="007A5AE5">
            <w:pPr>
              <w:rPr>
                <w:b/>
                <w:sz w:val="20"/>
                <w:szCs w:val="20"/>
                <w:lang w:val="fr-CA"/>
              </w:rPr>
            </w:pPr>
          </w:p>
        </w:tc>
        <w:tc>
          <w:tcPr>
            <w:tcW w:w="8118" w:type="dxa"/>
          </w:tcPr>
          <w:p w:rsidR="00004EDE" w:rsidRPr="00582BFB" w:rsidRDefault="00004EDE" w:rsidP="007A5AE5">
            <w:pPr>
              <w:jc w:val="both"/>
              <w:rPr>
                <w:sz w:val="20"/>
                <w:szCs w:val="20"/>
              </w:rPr>
            </w:pPr>
            <w:r w:rsidRPr="00582BFB">
              <w:rPr>
                <w:rStyle w:val="SCCLsocChar"/>
                <w:sz w:val="20"/>
                <w:szCs w:val="20"/>
                <w:lang w:val="en-CA"/>
              </w:rPr>
              <w:t>Derek Wyatt Crowther v. Her Majesty the Queen AND BETWEEN Tyler Joseph Pastuck v. Her Majesty the Queen</w:t>
            </w:r>
            <w:r w:rsidRPr="00582BFB">
              <w:rPr>
                <w:sz w:val="20"/>
                <w:szCs w:val="20"/>
              </w:rPr>
              <w:t xml:space="preserve"> (B.C.) (Criminal) (By Leave)</w:t>
            </w:r>
          </w:p>
          <w:p w:rsidR="00004EDE" w:rsidRPr="00582BFB" w:rsidRDefault="00004EDE" w:rsidP="007A5AE5">
            <w:pPr>
              <w:jc w:val="both"/>
              <w:rPr>
                <w:sz w:val="20"/>
                <w:szCs w:val="20"/>
              </w:rPr>
            </w:pPr>
          </w:p>
        </w:tc>
      </w:tr>
      <w:tr w:rsidR="00004EDE" w:rsidRPr="00582BFB" w:rsidTr="007A5AE5">
        <w:trPr>
          <w:cantSplit/>
        </w:trPr>
        <w:tc>
          <w:tcPr>
            <w:tcW w:w="1458" w:type="dxa"/>
          </w:tcPr>
          <w:p w:rsidR="00004EDE" w:rsidRPr="00582BFB" w:rsidRDefault="00004EDE" w:rsidP="007A5AE5">
            <w:pPr>
              <w:rPr>
                <w:sz w:val="20"/>
                <w:szCs w:val="20"/>
              </w:rPr>
            </w:pPr>
            <w:r w:rsidRPr="00582BFB">
              <w:rPr>
                <w:sz w:val="20"/>
                <w:szCs w:val="20"/>
              </w:rPr>
              <w:t>Coram :</w:t>
            </w:r>
          </w:p>
        </w:tc>
        <w:tc>
          <w:tcPr>
            <w:tcW w:w="8118" w:type="dxa"/>
          </w:tcPr>
          <w:p w:rsidR="00004EDE" w:rsidRPr="00582BFB" w:rsidRDefault="00004EDE" w:rsidP="007A5AE5">
            <w:pPr>
              <w:rPr>
                <w:sz w:val="20"/>
                <w:szCs w:val="20"/>
              </w:rPr>
            </w:pPr>
            <w:r w:rsidRPr="00582BFB">
              <w:rPr>
                <w:rStyle w:val="SCCCoramChar"/>
                <w:sz w:val="20"/>
                <w:szCs w:val="20"/>
                <w:lang w:val="en-CA"/>
              </w:rPr>
              <w:t>Abella, Rothstein and Moldaver JJ.</w:t>
            </w:r>
          </w:p>
          <w:p w:rsidR="00004EDE" w:rsidRPr="00582BFB" w:rsidRDefault="00004EDE" w:rsidP="007A5AE5">
            <w:pPr>
              <w:rPr>
                <w:sz w:val="20"/>
                <w:szCs w:val="20"/>
                <w:u w:val="single"/>
              </w:rPr>
            </w:pPr>
          </w:p>
        </w:tc>
      </w:tr>
      <w:tr w:rsidR="00004EDE" w:rsidRPr="004F01F8" w:rsidTr="007A5AE5">
        <w:trPr>
          <w:cantSplit/>
        </w:trPr>
        <w:tc>
          <w:tcPr>
            <w:tcW w:w="9576" w:type="dxa"/>
            <w:gridSpan w:val="2"/>
          </w:tcPr>
          <w:p w:rsidR="00004EDE" w:rsidRPr="00582BFB" w:rsidRDefault="00004EDE" w:rsidP="007A5AE5">
            <w:pPr>
              <w:pStyle w:val="SCCShortJudgment"/>
              <w:rPr>
                <w:szCs w:val="20"/>
              </w:rPr>
            </w:pPr>
            <w:r w:rsidRPr="00582BFB">
              <w:rPr>
                <w:szCs w:val="20"/>
              </w:rPr>
              <w:lastRenderedPageBreak/>
              <w:t>The motion for an extension of time to serve and file the application for leave to appeal is granted. The motion to join both applications for leave to appeal is granted.  The application for leave to appeal from the judgment of the Court of Appeal for British Columbia (Vancouver), Numbers CA039647 and CA039650, 2013 BCCA 364, dated August 13, 2013, is dismissed without costs.</w:t>
            </w:r>
          </w:p>
          <w:p w:rsidR="00004EDE" w:rsidRPr="00582BFB" w:rsidRDefault="00004EDE" w:rsidP="007A5AE5">
            <w:pPr>
              <w:pStyle w:val="SCCShortJudgment"/>
              <w:ind w:firstLine="0"/>
              <w:rPr>
                <w:szCs w:val="20"/>
              </w:rPr>
            </w:pPr>
          </w:p>
          <w:p w:rsidR="00004EDE" w:rsidRPr="00582BFB" w:rsidRDefault="00004EDE" w:rsidP="007A5AE5">
            <w:pPr>
              <w:pStyle w:val="SCCShortJudgment"/>
              <w:rPr>
                <w:szCs w:val="20"/>
                <w:lang w:val="fr-CA"/>
              </w:rPr>
            </w:pPr>
            <w:r w:rsidRPr="00582BFB">
              <w:rPr>
                <w:szCs w:val="20"/>
                <w:lang w:val="fr-CA"/>
              </w:rPr>
              <w:t>La requête en prorogation du délai de signification et de dépôt de la demande d’autorisation d’appel est accueillie. La requête pour joindre les deux demandes d’autorisation d’appel est accueillie. La demande d’autorisation d’appel de l’arrêt de la Cour d’appel de la Colombie-Britannique (Vancouver), numéros CA039647 et CA039650, 2013 BCCA 364, daté du 13 août 2013, est rejetée sans dépens.</w:t>
            </w:r>
          </w:p>
        </w:tc>
      </w:tr>
    </w:tbl>
    <w:p w:rsidR="001B1E7F" w:rsidRPr="00004EDE" w:rsidRDefault="001B1E7F" w:rsidP="008D292F">
      <w:pPr>
        <w:rPr>
          <w:sz w:val="20"/>
          <w:szCs w:val="20"/>
          <w:lang w:val="fr-CA"/>
        </w:rPr>
      </w:pPr>
    </w:p>
    <w:p w:rsidR="00600C23" w:rsidRPr="001B157C" w:rsidRDefault="00600C23" w:rsidP="00600C23">
      <w:pPr>
        <w:rPr>
          <w:sz w:val="20"/>
          <w:szCs w:val="20"/>
          <w:u w:val="single"/>
        </w:rPr>
      </w:pPr>
      <w:r w:rsidRPr="001B157C">
        <w:rPr>
          <w:sz w:val="20"/>
          <w:szCs w:val="20"/>
          <w:u w:val="single"/>
        </w:rPr>
        <w:t>CASE SUMMARY</w:t>
      </w:r>
    </w:p>
    <w:p w:rsidR="00600C23" w:rsidRDefault="00600C23" w:rsidP="00600C2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00C23" w:rsidRPr="00403149" w:rsidTr="00190453">
        <w:tc>
          <w:tcPr>
            <w:tcW w:w="5000" w:type="pct"/>
            <w:gridSpan w:val="3"/>
          </w:tcPr>
          <w:p w:rsidR="00600C23" w:rsidRPr="00403149" w:rsidRDefault="00600C23" w:rsidP="00190453">
            <w:pPr>
              <w:jc w:val="both"/>
              <w:rPr>
                <w:rFonts w:eastAsia="Calibri"/>
                <w:sz w:val="20"/>
                <w:szCs w:val="20"/>
              </w:rPr>
            </w:pPr>
            <w:r w:rsidRPr="00403149">
              <w:rPr>
                <w:rFonts w:eastAsia="Calibri"/>
                <w:i/>
                <w:sz w:val="20"/>
                <w:szCs w:val="20"/>
              </w:rPr>
              <w:t>Charter of Rights and Freedoms</w:t>
            </w:r>
            <w:r w:rsidRPr="00403149">
              <w:rPr>
                <w:rFonts w:eastAsia="Calibri"/>
                <w:sz w:val="20"/>
                <w:szCs w:val="20"/>
              </w:rPr>
              <w:t xml:space="preserve"> — Right to life, liberty and security of person — Search and Seizure — Remedy — Criminal law — Evidence — Assessment — Did the Court of Appeal fail to satisfactorily consider and judicially analyse key evidentiary questions in a case where identity is in issue — Did the Court of Appeal err in failing to take into account the unlawful forcible entry of a dwelling house and subsequent warrantless search in judging the grounds thereby obtained for arrest — Did the Court of Appeal err in the analysis of the proper remedy for the unlawful forcible entry of a dwelling house and related search, detentions and arrests </w:t>
            </w:r>
            <w:r w:rsidRPr="00403149">
              <w:rPr>
                <w:rFonts w:eastAsia="Calibri"/>
                <w:sz w:val="20"/>
                <w:szCs w:val="20"/>
              </w:rPr>
              <w:noBreakHyphen/>
              <w:t xml:space="preserve"> </w:t>
            </w:r>
            <w:r w:rsidRPr="00403149">
              <w:rPr>
                <w:rFonts w:eastAsia="Calibri"/>
                <w:i/>
                <w:sz w:val="20"/>
                <w:szCs w:val="20"/>
              </w:rPr>
              <w:t>Charter</w:t>
            </w:r>
            <w:r w:rsidRPr="00403149">
              <w:rPr>
                <w:rFonts w:eastAsia="Calibri"/>
                <w:sz w:val="20"/>
                <w:szCs w:val="20"/>
              </w:rPr>
              <w:t xml:space="preserve"> ss. 7, 8 and 24(2).</w:t>
            </w:r>
          </w:p>
        </w:tc>
      </w:tr>
      <w:tr w:rsidR="00600C23" w:rsidRPr="00403149" w:rsidTr="00190453">
        <w:tc>
          <w:tcPr>
            <w:tcW w:w="5000" w:type="pct"/>
            <w:gridSpan w:val="3"/>
          </w:tcPr>
          <w:p w:rsidR="00600C23" w:rsidRPr="00403149" w:rsidRDefault="00600C23" w:rsidP="00190453">
            <w:pPr>
              <w:jc w:val="both"/>
              <w:rPr>
                <w:rFonts w:eastAsia="Calibri"/>
                <w:sz w:val="20"/>
                <w:szCs w:val="20"/>
              </w:rPr>
            </w:pPr>
          </w:p>
        </w:tc>
      </w:tr>
      <w:tr w:rsidR="00600C23" w:rsidRPr="00403149" w:rsidTr="00190453">
        <w:tc>
          <w:tcPr>
            <w:tcW w:w="5000" w:type="pct"/>
            <w:gridSpan w:val="3"/>
          </w:tcPr>
          <w:p w:rsidR="00600C23" w:rsidRPr="00403149" w:rsidRDefault="00600C23" w:rsidP="00190453">
            <w:pPr>
              <w:jc w:val="both"/>
              <w:rPr>
                <w:rFonts w:eastAsia="Calibri"/>
                <w:sz w:val="20"/>
                <w:szCs w:val="20"/>
              </w:rPr>
            </w:pPr>
            <w:r w:rsidRPr="00403149">
              <w:rPr>
                <w:rFonts w:eastAsia="Calibri"/>
                <w:sz w:val="20"/>
                <w:szCs w:val="20"/>
              </w:rPr>
              <w:t xml:space="preserve">Witnesses observed two or three individuals beating a man in the backyard of the Pastuck’s house.  The police arrived and one officer kicked open the door of Pastuck’s house.  The officer found Crowther and Pastuck hiding.  They were both wet and muddy.  It was wet and muddy outside where the victim was found.  The officer arrested the both of the applicants.  On the </w:t>
            </w:r>
            <w:r w:rsidRPr="00403149">
              <w:rPr>
                <w:rFonts w:eastAsia="Calibri"/>
                <w:i/>
                <w:sz w:val="20"/>
                <w:szCs w:val="20"/>
              </w:rPr>
              <w:t>voir dire</w:t>
            </w:r>
            <w:r w:rsidRPr="00403149">
              <w:rPr>
                <w:rFonts w:eastAsia="Calibri"/>
                <w:sz w:val="20"/>
                <w:szCs w:val="20"/>
              </w:rPr>
              <w:t xml:space="preserve">, the trial judge held that the arrests were lawful and did not violate the </w:t>
            </w:r>
            <w:r w:rsidRPr="00403149">
              <w:rPr>
                <w:rFonts w:eastAsia="Calibri"/>
                <w:i/>
                <w:sz w:val="20"/>
                <w:szCs w:val="20"/>
              </w:rPr>
              <w:t>Charter</w:t>
            </w:r>
            <w:r w:rsidRPr="00403149">
              <w:rPr>
                <w:rFonts w:eastAsia="Calibri"/>
                <w:sz w:val="20"/>
                <w:szCs w:val="20"/>
              </w:rPr>
              <w:t xml:space="preserve">.  The trial judge also held that the warrantless entry into the residence violated the applicants’ </w:t>
            </w:r>
            <w:r w:rsidRPr="00403149">
              <w:rPr>
                <w:rFonts w:eastAsia="Calibri"/>
                <w:i/>
                <w:sz w:val="20"/>
                <w:szCs w:val="20"/>
              </w:rPr>
              <w:t>Charter</w:t>
            </w:r>
            <w:r w:rsidRPr="00403149">
              <w:rPr>
                <w:rFonts w:eastAsia="Calibri"/>
                <w:sz w:val="20"/>
                <w:szCs w:val="20"/>
              </w:rPr>
              <w:t xml:space="preserve"> rights, but the evidence was admitted under s. 24(2).  The applicants were convicted of manslaughter.  The Court of Appeal dismissed the appeals.</w:t>
            </w:r>
          </w:p>
          <w:p w:rsidR="00600C23" w:rsidRPr="00403149" w:rsidRDefault="00600C23" w:rsidP="00190453">
            <w:pPr>
              <w:jc w:val="both"/>
              <w:rPr>
                <w:rFonts w:eastAsia="Calibri"/>
                <w:sz w:val="20"/>
                <w:szCs w:val="20"/>
              </w:rPr>
            </w:pPr>
          </w:p>
        </w:tc>
      </w:tr>
      <w:tr w:rsidR="00600C23" w:rsidRPr="00403149" w:rsidTr="00190453">
        <w:tc>
          <w:tcPr>
            <w:tcW w:w="2427" w:type="pct"/>
          </w:tcPr>
          <w:p w:rsidR="00600C23" w:rsidRPr="00403149" w:rsidRDefault="00600C23" w:rsidP="00190453">
            <w:pPr>
              <w:jc w:val="both"/>
              <w:rPr>
                <w:rFonts w:eastAsia="Calibri"/>
                <w:sz w:val="20"/>
                <w:szCs w:val="20"/>
              </w:rPr>
            </w:pPr>
            <w:r w:rsidRPr="00403149">
              <w:rPr>
                <w:rFonts w:eastAsia="Calibri"/>
                <w:sz w:val="20"/>
                <w:szCs w:val="20"/>
              </w:rPr>
              <w:t>December 16, 2011</w:t>
            </w:r>
          </w:p>
          <w:p w:rsidR="00600C23" w:rsidRPr="00403149" w:rsidRDefault="00600C23" w:rsidP="00190453">
            <w:pPr>
              <w:jc w:val="both"/>
              <w:rPr>
                <w:rFonts w:eastAsia="Calibri"/>
                <w:sz w:val="20"/>
                <w:szCs w:val="20"/>
              </w:rPr>
            </w:pPr>
            <w:r w:rsidRPr="00403149">
              <w:rPr>
                <w:rFonts w:eastAsia="Calibri"/>
                <w:sz w:val="20"/>
                <w:szCs w:val="20"/>
              </w:rPr>
              <w:t>Supreme Court of British Columbia</w:t>
            </w:r>
          </w:p>
          <w:p w:rsidR="00600C23" w:rsidRPr="00403149" w:rsidRDefault="00600C23" w:rsidP="00190453">
            <w:pPr>
              <w:jc w:val="both"/>
              <w:rPr>
                <w:rFonts w:eastAsia="Calibri"/>
                <w:sz w:val="20"/>
                <w:szCs w:val="20"/>
              </w:rPr>
            </w:pPr>
            <w:r w:rsidRPr="00403149">
              <w:rPr>
                <w:rFonts w:eastAsia="Calibri"/>
                <w:sz w:val="20"/>
                <w:szCs w:val="20"/>
              </w:rPr>
              <w:t>(Brown J.)</w:t>
            </w:r>
          </w:p>
          <w:p w:rsidR="00600C23" w:rsidRPr="00403149" w:rsidRDefault="00600C23" w:rsidP="00190453">
            <w:pPr>
              <w:jc w:val="both"/>
              <w:rPr>
                <w:rFonts w:eastAsia="Calibri"/>
                <w:sz w:val="20"/>
                <w:szCs w:val="20"/>
              </w:rPr>
            </w:pPr>
            <w:r w:rsidRPr="00403149">
              <w:rPr>
                <w:rFonts w:eastAsia="Calibri"/>
                <w:sz w:val="20"/>
                <w:szCs w:val="20"/>
              </w:rPr>
              <w:t xml:space="preserve">Neutral citation: </w:t>
            </w:r>
          </w:p>
          <w:p w:rsidR="00600C23" w:rsidRPr="00403149" w:rsidRDefault="00600C23" w:rsidP="00190453">
            <w:pPr>
              <w:jc w:val="both"/>
              <w:rPr>
                <w:rFonts w:eastAsia="Calibri"/>
                <w:sz w:val="20"/>
                <w:szCs w:val="20"/>
              </w:rPr>
            </w:pPr>
          </w:p>
        </w:tc>
        <w:tc>
          <w:tcPr>
            <w:tcW w:w="243" w:type="pct"/>
          </w:tcPr>
          <w:p w:rsidR="00600C23" w:rsidRPr="00403149" w:rsidRDefault="00600C23" w:rsidP="00190453">
            <w:pPr>
              <w:jc w:val="both"/>
              <w:rPr>
                <w:rFonts w:eastAsia="Calibri"/>
                <w:sz w:val="20"/>
                <w:szCs w:val="20"/>
              </w:rPr>
            </w:pPr>
          </w:p>
        </w:tc>
        <w:tc>
          <w:tcPr>
            <w:tcW w:w="2330" w:type="pct"/>
          </w:tcPr>
          <w:p w:rsidR="00600C23" w:rsidRPr="00403149" w:rsidRDefault="00600C23" w:rsidP="00190453">
            <w:pPr>
              <w:jc w:val="both"/>
              <w:rPr>
                <w:rFonts w:eastAsia="Calibri"/>
                <w:sz w:val="20"/>
                <w:szCs w:val="20"/>
              </w:rPr>
            </w:pPr>
            <w:r w:rsidRPr="00403149">
              <w:rPr>
                <w:rFonts w:eastAsia="Calibri"/>
                <w:sz w:val="20"/>
                <w:szCs w:val="20"/>
              </w:rPr>
              <w:t>Convictions for manslaughter</w:t>
            </w:r>
          </w:p>
          <w:p w:rsidR="00600C23" w:rsidRPr="00403149" w:rsidRDefault="00600C23" w:rsidP="00190453">
            <w:pPr>
              <w:jc w:val="both"/>
              <w:rPr>
                <w:rFonts w:eastAsia="Calibri"/>
                <w:sz w:val="20"/>
                <w:szCs w:val="20"/>
              </w:rPr>
            </w:pPr>
          </w:p>
        </w:tc>
      </w:tr>
      <w:tr w:rsidR="00600C23" w:rsidRPr="00403149" w:rsidTr="00190453">
        <w:tc>
          <w:tcPr>
            <w:tcW w:w="2427" w:type="pct"/>
          </w:tcPr>
          <w:p w:rsidR="00600C23" w:rsidRPr="00403149" w:rsidRDefault="00600C23" w:rsidP="00190453">
            <w:pPr>
              <w:jc w:val="both"/>
              <w:rPr>
                <w:rFonts w:eastAsia="Calibri"/>
                <w:sz w:val="20"/>
                <w:szCs w:val="20"/>
              </w:rPr>
            </w:pPr>
            <w:r w:rsidRPr="00403149">
              <w:rPr>
                <w:rFonts w:eastAsia="Calibri"/>
                <w:sz w:val="20"/>
                <w:szCs w:val="20"/>
              </w:rPr>
              <w:t>August 13, 2013</w:t>
            </w:r>
          </w:p>
          <w:p w:rsidR="00600C23" w:rsidRPr="00403149" w:rsidRDefault="00600C23" w:rsidP="00190453">
            <w:pPr>
              <w:jc w:val="both"/>
              <w:rPr>
                <w:rFonts w:eastAsia="Calibri"/>
                <w:sz w:val="20"/>
                <w:szCs w:val="20"/>
              </w:rPr>
            </w:pPr>
            <w:r w:rsidRPr="00403149">
              <w:rPr>
                <w:rFonts w:eastAsia="Calibri"/>
                <w:sz w:val="20"/>
                <w:szCs w:val="20"/>
              </w:rPr>
              <w:t xml:space="preserve">Court of Appeal for British Columbia </w:t>
            </w:r>
          </w:p>
          <w:p w:rsidR="00600C23" w:rsidRPr="00403149" w:rsidRDefault="00600C23" w:rsidP="00190453">
            <w:pPr>
              <w:jc w:val="both"/>
              <w:rPr>
                <w:rFonts w:eastAsia="Calibri"/>
                <w:sz w:val="20"/>
                <w:szCs w:val="20"/>
              </w:rPr>
            </w:pPr>
            <w:r w:rsidRPr="00403149">
              <w:rPr>
                <w:rFonts w:eastAsia="Calibri"/>
                <w:sz w:val="20"/>
                <w:szCs w:val="20"/>
              </w:rPr>
              <w:t>(Vancouver)</w:t>
            </w:r>
          </w:p>
          <w:p w:rsidR="00600C23" w:rsidRPr="00403149" w:rsidRDefault="00600C23" w:rsidP="00190453">
            <w:pPr>
              <w:jc w:val="both"/>
              <w:rPr>
                <w:rFonts w:eastAsia="Calibri"/>
                <w:sz w:val="20"/>
                <w:szCs w:val="20"/>
              </w:rPr>
            </w:pPr>
            <w:r w:rsidRPr="00403149">
              <w:rPr>
                <w:rFonts w:eastAsia="Calibri"/>
                <w:sz w:val="20"/>
                <w:szCs w:val="20"/>
              </w:rPr>
              <w:t>(Newbury, Groberman, Bennett JJ.A.)</w:t>
            </w:r>
          </w:p>
          <w:p w:rsidR="00600C23" w:rsidRPr="00403149" w:rsidRDefault="00600C23" w:rsidP="00190453">
            <w:pPr>
              <w:jc w:val="both"/>
              <w:rPr>
                <w:rFonts w:eastAsia="Calibri"/>
                <w:sz w:val="20"/>
                <w:szCs w:val="20"/>
              </w:rPr>
            </w:pPr>
            <w:r w:rsidRPr="00403149">
              <w:rPr>
                <w:rFonts w:eastAsia="Calibri"/>
                <w:sz w:val="20"/>
                <w:szCs w:val="20"/>
              </w:rPr>
              <w:t>2013 BCCA 364</w:t>
            </w:r>
          </w:p>
          <w:p w:rsidR="00600C23" w:rsidRPr="00403149" w:rsidRDefault="004F01F8" w:rsidP="00190453">
            <w:pPr>
              <w:jc w:val="both"/>
              <w:rPr>
                <w:rFonts w:eastAsia="Calibri"/>
                <w:sz w:val="20"/>
                <w:szCs w:val="20"/>
              </w:rPr>
            </w:pPr>
            <w:hyperlink r:id="rId32" w:history="1">
              <w:r w:rsidR="00600C23" w:rsidRPr="00403149">
                <w:rPr>
                  <w:rFonts w:eastAsia="Calibri"/>
                  <w:color w:val="0000FF"/>
                  <w:sz w:val="20"/>
                  <w:szCs w:val="20"/>
                  <w:u w:val="single"/>
                </w:rPr>
                <w:t>http://canlii.ca/t/g022l</w:t>
              </w:r>
            </w:hyperlink>
          </w:p>
          <w:p w:rsidR="00600C23" w:rsidRPr="00403149" w:rsidRDefault="00600C23" w:rsidP="00190453">
            <w:pPr>
              <w:jc w:val="both"/>
              <w:rPr>
                <w:rFonts w:eastAsia="Calibri"/>
                <w:sz w:val="20"/>
                <w:szCs w:val="20"/>
              </w:rPr>
            </w:pPr>
          </w:p>
        </w:tc>
        <w:tc>
          <w:tcPr>
            <w:tcW w:w="243" w:type="pct"/>
          </w:tcPr>
          <w:p w:rsidR="00600C23" w:rsidRPr="00403149" w:rsidRDefault="00600C23" w:rsidP="00190453">
            <w:pPr>
              <w:jc w:val="both"/>
              <w:rPr>
                <w:rFonts w:eastAsia="Calibri"/>
                <w:sz w:val="20"/>
                <w:szCs w:val="20"/>
              </w:rPr>
            </w:pPr>
          </w:p>
        </w:tc>
        <w:tc>
          <w:tcPr>
            <w:tcW w:w="2330" w:type="pct"/>
          </w:tcPr>
          <w:p w:rsidR="00600C23" w:rsidRPr="00403149" w:rsidRDefault="00600C23" w:rsidP="00190453">
            <w:pPr>
              <w:jc w:val="both"/>
              <w:rPr>
                <w:rFonts w:eastAsia="Calibri"/>
                <w:sz w:val="20"/>
                <w:szCs w:val="20"/>
              </w:rPr>
            </w:pPr>
            <w:r w:rsidRPr="00403149">
              <w:rPr>
                <w:rFonts w:eastAsia="Calibri"/>
                <w:sz w:val="20"/>
                <w:szCs w:val="20"/>
              </w:rPr>
              <w:t>Appeals dismissed</w:t>
            </w:r>
          </w:p>
        </w:tc>
      </w:tr>
      <w:tr w:rsidR="00600C23" w:rsidRPr="00403149" w:rsidTr="00190453">
        <w:tc>
          <w:tcPr>
            <w:tcW w:w="2427" w:type="pct"/>
          </w:tcPr>
          <w:p w:rsidR="00600C23" w:rsidRPr="00403149" w:rsidRDefault="00600C23" w:rsidP="00190453">
            <w:pPr>
              <w:jc w:val="both"/>
              <w:rPr>
                <w:rFonts w:eastAsia="Calibri"/>
                <w:sz w:val="20"/>
                <w:szCs w:val="20"/>
              </w:rPr>
            </w:pPr>
            <w:r w:rsidRPr="00403149">
              <w:rPr>
                <w:rFonts w:eastAsia="Calibri"/>
                <w:sz w:val="20"/>
                <w:szCs w:val="20"/>
              </w:rPr>
              <w:t>December 20, 2013</w:t>
            </w:r>
          </w:p>
          <w:p w:rsidR="00600C23" w:rsidRPr="00403149" w:rsidRDefault="00600C23" w:rsidP="00190453">
            <w:pPr>
              <w:jc w:val="both"/>
              <w:rPr>
                <w:rFonts w:eastAsia="Calibri"/>
                <w:sz w:val="20"/>
                <w:szCs w:val="20"/>
              </w:rPr>
            </w:pPr>
            <w:r w:rsidRPr="00403149">
              <w:rPr>
                <w:rFonts w:eastAsia="Calibri"/>
                <w:sz w:val="20"/>
                <w:szCs w:val="20"/>
              </w:rPr>
              <w:t>Supreme Court of Canada</w:t>
            </w:r>
          </w:p>
        </w:tc>
        <w:tc>
          <w:tcPr>
            <w:tcW w:w="243" w:type="pct"/>
          </w:tcPr>
          <w:p w:rsidR="00600C23" w:rsidRPr="00403149" w:rsidRDefault="00600C23" w:rsidP="00190453">
            <w:pPr>
              <w:jc w:val="both"/>
              <w:rPr>
                <w:rFonts w:eastAsia="Calibri"/>
                <w:sz w:val="20"/>
                <w:szCs w:val="20"/>
              </w:rPr>
            </w:pPr>
          </w:p>
        </w:tc>
        <w:tc>
          <w:tcPr>
            <w:tcW w:w="2330" w:type="pct"/>
          </w:tcPr>
          <w:p w:rsidR="00600C23" w:rsidRPr="00403149" w:rsidRDefault="00600C23" w:rsidP="00190453">
            <w:pPr>
              <w:jc w:val="both"/>
              <w:rPr>
                <w:rFonts w:eastAsia="Calibri"/>
                <w:sz w:val="20"/>
                <w:szCs w:val="20"/>
              </w:rPr>
            </w:pPr>
            <w:r w:rsidRPr="00403149">
              <w:rPr>
                <w:rFonts w:eastAsia="Calibri"/>
                <w:sz w:val="20"/>
                <w:szCs w:val="20"/>
              </w:rPr>
              <w:t>Motion for an extension of time to serve and file the application for leave to appeal and joint application for leave to appeal filed</w:t>
            </w:r>
          </w:p>
        </w:tc>
      </w:tr>
    </w:tbl>
    <w:p w:rsidR="00600C23" w:rsidRDefault="00600C23" w:rsidP="00600C23">
      <w:pPr>
        <w:rPr>
          <w:sz w:val="20"/>
          <w:szCs w:val="20"/>
        </w:rPr>
      </w:pPr>
    </w:p>
    <w:p w:rsidR="00600C23" w:rsidRPr="00C50A5C" w:rsidRDefault="004F01F8" w:rsidP="00600C23">
      <w:pPr>
        <w:rPr>
          <w:sz w:val="20"/>
          <w:szCs w:val="20"/>
        </w:rPr>
      </w:pPr>
      <w:r>
        <w:rPr>
          <w:sz w:val="20"/>
          <w:szCs w:val="20"/>
          <w:lang w:val="fr-CA"/>
        </w:rPr>
        <w:pict>
          <v:rect id="_x0000_i1042" style="width:2in;height:1pt" o:hrpct="0" o:hralign="center" o:hrstd="t" o:hrnoshade="t" o:hr="t" fillcolor="black [3213]" stroked="f"/>
        </w:pict>
      </w:r>
    </w:p>
    <w:p w:rsidR="00600C23" w:rsidRDefault="00600C23" w:rsidP="00600C23">
      <w:pPr>
        <w:rPr>
          <w:sz w:val="20"/>
          <w:szCs w:val="20"/>
        </w:rPr>
      </w:pPr>
    </w:p>
    <w:p w:rsidR="00600C23" w:rsidRPr="001B157C" w:rsidRDefault="00600C23" w:rsidP="00600C23">
      <w:pPr>
        <w:rPr>
          <w:sz w:val="20"/>
          <w:szCs w:val="20"/>
          <w:u w:val="single"/>
          <w:lang w:val="fr-CA"/>
        </w:rPr>
      </w:pPr>
      <w:r w:rsidRPr="001B157C">
        <w:rPr>
          <w:sz w:val="20"/>
          <w:szCs w:val="20"/>
          <w:u w:val="single"/>
          <w:lang w:val="fr-CA"/>
        </w:rPr>
        <w:t>RÉSUMÉ DE L’AFFAIRE</w:t>
      </w:r>
    </w:p>
    <w:p w:rsidR="00600C23" w:rsidRDefault="00600C23" w:rsidP="00600C2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00C23" w:rsidRPr="00403149" w:rsidTr="00190453">
        <w:tc>
          <w:tcPr>
            <w:tcW w:w="5000" w:type="pct"/>
            <w:gridSpan w:val="3"/>
          </w:tcPr>
          <w:p w:rsidR="00600C23" w:rsidRPr="00403149" w:rsidRDefault="00600C23" w:rsidP="00190453">
            <w:pPr>
              <w:jc w:val="both"/>
              <w:rPr>
                <w:rFonts w:eastAsia="Calibri"/>
                <w:sz w:val="20"/>
                <w:szCs w:val="20"/>
                <w:lang w:val="fr-CA"/>
              </w:rPr>
            </w:pPr>
            <w:r w:rsidRPr="00403149">
              <w:rPr>
                <w:rFonts w:eastAsia="Calibri"/>
                <w:i/>
                <w:sz w:val="20"/>
                <w:szCs w:val="20"/>
                <w:lang w:val="fr-CA"/>
              </w:rPr>
              <w:t xml:space="preserve">Charte des droits et libertés </w:t>
            </w:r>
            <w:r w:rsidRPr="00403149">
              <w:rPr>
                <w:rFonts w:eastAsia="Calibri"/>
                <w:sz w:val="20"/>
                <w:szCs w:val="20"/>
                <w:lang w:val="fr-CA"/>
              </w:rPr>
              <w:t>— Droit à la vie, à la liberté et à la sécurité de la personne — Fouilles et perquisitions — Recours — Droit criminel — Preuve — Appréciation — La Cour d’appel a</w:t>
            </w:r>
            <w:r w:rsidRPr="00403149">
              <w:rPr>
                <w:rFonts w:eastAsia="Calibri"/>
                <w:sz w:val="20"/>
                <w:szCs w:val="20"/>
                <w:lang w:val="fr-CA"/>
              </w:rPr>
              <w:noBreakHyphen/>
              <w:t>t</w:t>
            </w:r>
            <w:r w:rsidRPr="00403149">
              <w:rPr>
                <w:rFonts w:eastAsia="Calibri"/>
                <w:sz w:val="20"/>
                <w:szCs w:val="20"/>
                <w:lang w:val="fr-CA"/>
              </w:rPr>
              <w:noBreakHyphen/>
              <w:t>elle omis de considérer adéquatement et d’analyser judiciairement des questions de preuve clés dans une affaire où l’identité était en cause? — La Cour d’appel a</w:t>
            </w:r>
            <w:r w:rsidRPr="00403149">
              <w:rPr>
                <w:rFonts w:eastAsia="Calibri"/>
                <w:sz w:val="20"/>
                <w:szCs w:val="20"/>
                <w:lang w:val="fr-CA"/>
              </w:rPr>
              <w:noBreakHyphen/>
              <w:t>t</w:t>
            </w:r>
            <w:r w:rsidRPr="00403149">
              <w:rPr>
                <w:rFonts w:eastAsia="Calibri"/>
                <w:sz w:val="20"/>
                <w:szCs w:val="20"/>
                <w:lang w:val="fr-CA"/>
              </w:rPr>
              <w:noBreakHyphen/>
              <w:t xml:space="preserve">elle eu tort de ne pas avoir pris en compte l’entrée illégale dans une maison d’habitation par la force et de </w:t>
            </w:r>
            <w:r w:rsidRPr="00403149">
              <w:rPr>
                <w:rFonts w:eastAsia="Calibri"/>
                <w:sz w:val="20"/>
                <w:szCs w:val="20"/>
                <w:lang w:val="fr-CA"/>
              </w:rPr>
              <w:lastRenderedPageBreak/>
              <w:t>la perquisition sans mandat qui s’en est ensuivie dans son appréciation des motifs d’arrestation ainsi obtenus? — La Cour d’appel a</w:t>
            </w:r>
            <w:r w:rsidRPr="00403149">
              <w:rPr>
                <w:rFonts w:eastAsia="Calibri"/>
                <w:sz w:val="20"/>
                <w:szCs w:val="20"/>
                <w:lang w:val="fr-CA"/>
              </w:rPr>
              <w:noBreakHyphen/>
              <w:t>t</w:t>
            </w:r>
            <w:r w:rsidRPr="00403149">
              <w:rPr>
                <w:rFonts w:eastAsia="Calibri"/>
                <w:sz w:val="20"/>
                <w:szCs w:val="20"/>
                <w:lang w:val="fr-CA"/>
              </w:rPr>
              <w:noBreakHyphen/>
              <w:t xml:space="preserve">elle commis une erreur dans son analyse du recours approprié en cas d’entrée illégale dans une maison d’habitation par la force et de la perquisition, des détentions et des arrestations connexes? </w:t>
            </w:r>
            <w:r w:rsidRPr="00403149">
              <w:rPr>
                <w:rFonts w:eastAsia="Calibri"/>
                <w:sz w:val="20"/>
                <w:szCs w:val="20"/>
                <w:lang w:val="fr-CA"/>
              </w:rPr>
              <w:noBreakHyphen/>
              <w:t xml:space="preserve"> </w:t>
            </w:r>
            <w:r w:rsidRPr="00403149">
              <w:rPr>
                <w:rFonts w:eastAsia="Calibri"/>
                <w:i/>
                <w:sz w:val="20"/>
                <w:szCs w:val="20"/>
                <w:lang w:val="fr-CA"/>
              </w:rPr>
              <w:t>Charte</w:t>
            </w:r>
            <w:r w:rsidRPr="00403149">
              <w:rPr>
                <w:rFonts w:eastAsia="Calibri"/>
                <w:sz w:val="20"/>
                <w:szCs w:val="20"/>
                <w:lang w:val="fr-CA"/>
              </w:rPr>
              <w:t xml:space="preserve"> art. 7, 8 et 24(2).</w:t>
            </w:r>
          </w:p>
        </w:tc>
      </w:tr>
      <w:tr w:rsidR="00600C23" w:rsidRPr="00403149" w:rsidTr="00190453">
        <w:tc>
          <w:tcPr>
            <w:tcW w:w="5000" w:type="pct"/>
            <w:gridSpan w:val="3"/>
          </w:tcPr>
          <w:p w:rsidR="00600C23" w:rsidRPr="00403149" w:rsidRDefault="00600C23" w:rsidP="00190453">
            <w:pPr>
              <w:jc w:val="both"/>
              <w:rPr>
                <w:rFonts w:eastAsia="Calibri"/>
                <w:sz w:val="20"/>
                <w:szCs w:val="20"/>
                <w:lang w:val="fr-CA"/>
              </w:rPr>
            </w:pPr>
          </w:p>
        </w:tc>
      </w:tr>
      <w:tr w:rsidR="00600C23" w:rsidRPr="004F01F8" w:rsidTr="00190453">
        <w:tc>
          <w:tcPr>
            <w:tcW w:w="5000" w:type="pct"/>
            <w:gridSpan w:val="3"/>
          </w:tcPr>
          <w:p w:rsidR="00600C23" w:rsidRPr="00403149" w:rsidRDefault="00600C23" w:rsidP="00190453">
            <w:pPr>
              <w:jc w:val="both"/>
              <w:rPr>
                <w:rFonts w:eastAsia="Calibri"/>
                <w:sz w:val="20"/>
                <w:szCs w:val="20"/>
                <w:lang w:val="fr-CA"/>
              </w:rPr>
            </w:pPr>
            <w:r w:rsidRPr="00403149">
              <w:rPr>
                <w:rFonts w:eastAsia="Calibri"/>
                <w:sz w:val="20"/>
                <w:szCs w:val="20"/>
                <w:lang w:val="fr-CA"/>
              </w:rPr>
              <w:t xml:space="preserve">Des témoins ont vu deux ou trois individus battre quelqu’un dans la cour arrière de la maison de M. Pastuck.  Les policiers sont arrivés sur les lieux et un agent a ouvert d’un coup de pied la porte de la maison M. Pastuck.  L’agent a trouvé MM. Crowther et Pastuck cachés.  Les deux étaient mouillés et couverts de boue.  Dehors où la victime a été trouvée, c’était mouillé et boueux.  L’agent a arrêté les deux demandeurs.  Au terme d’un voir dire, la juge du procès a statué que les arrestations étaient légales et qu’elles ne violaient par la </w:t>
            </w:r>
            <w:r w:rsidRPr="00403149">
              <w:rPr>
                <w:rFonts w:eastAsia="Calibri"/>
                <w:i/>
                <w:sz w:val="20"/>
                <w:szCs w:val="20"/>
                <w:lang w:val="fr-CA"/>
              </w:rPr>
              <w:t>Charte</w:t>
            </w:r>
            <w:r w:rsidRPr="00403149">
              <w:rPr>
                <w:rFonts w:eastAsia="Calibri"/>
                <w:sz w:val="20"/>
                <w:szCs w:val="20"/>
                <w:lang w:val="fr-CA"/>
              </w:rPr>
              <w:t xml:space="preserve">.  La juge du procès a également statué que l’entrée dans la maison sans mandat violait les droits des demandeurs garantis par la </w:t>
            </w:r>
            <w:r w:rsidRPr="00403149">
              <w:rPr>
                <w:rFonts w:eastAsia="Calibri"/>
                <w:i/>
                <w:sz w:val="20"/>
                <w:szCs w:val="20"/>
                <w:lang w:val="fr-CA"/>
              </w:rPr>
              <w:t>Charte</w:t>
            </w:r>
            <w:r w:rsidRPr="00403149">
              <w:rPr>
                <w:rFonts w:eastAsia="Calibri"/>
                <w:sz w:val="20"/>
                <w:szCs w:val="20"/>
                <w:lang w:val="fr-CA"/>
              </w:rPr>
              <w:t>, mais la preuve a été admise en application du par. 24(2).  Les demandeurs ont été déclarés coupables d’homicide involontaire coupable.  La Cour d’appel a rejeté les appels.</w:t>
            </w:r>
          </w:p>
          <w:p w:rsidR="00600C23" w:rsidRPr="00403149" w:rsidRDefault="00600C23" w:rsidP="00190453">
            <w:pPr>
              <w:jc w:val="both"/>
              <w:rPr>
                <w:rFonts w:eastAsia="Calibri"/>
                <w:sz w:val="20"/>
                <w:szCs w:val="20"/>
                <w:lang w:val="fr-CA"/>
              </w:rPr>
            </w:pPr>
          </w:p>
        </w:tc>
      </w:tr>
      <w:tr w:rsidR="00600C23" w:rsidRPr="004F01F8" w:rsidTr="00190453">
        <w:tc>
          <w:tcPr>
            <w:tcW w:w="2427" w:type="pct"/>
          </w:tcPr>
          <w:p w:rsidR="00600C23" w:rsidRPr="00403149" w:rsidRDefault="00600C23" w:rsidP="00190453">
            <w:pPr>
              <w:jc w:val="both"/>
              <w:rPr>
                <w:rFonts w:eastAsia="Calibri"/>
                <w:sz w:val="20"/>
                <w:szCs w:val="20"/>
                <w:lang w:val="fr-CA"/>
              </w:rPr>
            </w:pPr>
            <w:r w:rsidRPr="00403149">
              <w:rPr>
                <w:rFonts w:eastAsia="Calibri"/>
                <w:sz w:val="20"/>
                <w:szCs w:val="20"/>
                <w:lang w:val="fr-CA"/>
              </w:rPr>
              <w:t>16 décembre 2011</w:t>
            </w:r>
          </w:p>
          <w:p w:rsidR="00600C23" w:rsidRPr="00403149" w:rsidRDefault="00600C23" w:rsidP="00190453">
            <w:pPr>
              <w:jc w:val="both"/>
              <w:rPr>
                <w:rFonts w:eastAsia="Calibri"/>
                <w:sz w:val="20"/>
                <w:szCs w:val="20"/>
                <w:lang w:val="fr-CA"/>
              </w:rPr>
            </w:pPr>
            <w:r w:rsidRPr="00403149">
              <w:rPr>
                <w:rFonts w:eastAsia="Calibri"/>
                <w:sz w:val="20"/>
                <w:szCs w:val="20"/>
                <w:lang w:val="fr-CA"/>
              </w:rPr>
              <w:t>Cour suprême de la Colombie</w:t>
            </w:r>
            <w:r w:rsidRPr="00403149">
              <w:rPr>
                <w:rFonts w:eastAsia="Calibri"/>
                <w:sz w:val="20"/>
                <w:szCs w:val="20"/>
                <w:lang w:val="fr-CA"/>
              </w:rPr>
              <w:noBreakHyphen/>
              <w:t>Britannique</w:t>
            </w:r>
          </w:p>
          <w:p w:rsidR="00600C23" w:rsidRPr="00403149" w:rsidRDefault="00600C23" w:rsidP="00190453">
            <w:pPr>
              <w:jc w:val="both"/>
              <w:rPr>
                <w:rFonts w:eastAsia="Calibri"/>
                <w:sz w:val="20"/>
                <w:szCs w:val="20"/>
                <w:lang w:val="fr-CA"/>
              </w:rPr>
            </w:pPr>
            <w:r w:rsidRPr="00403149">
              <w:rPr>
                <w:rFonts w:eastAsia="Calibri"/>
                <w:sz w:val="20"/>
                <w:szCs w:val="20"/>
                <w:lang w:val="fr-CA"/>
              </w:rPr>
              <w:t>(Juge Brown)</w:t>
            </w:r>
          </w:p>
          <w:p w:rsidR="00600C23" w:rsidRPr="00403149" w:rsidRDefault="00600C23" w:rsidP="00190453">
            <w:pPr>
              <w:jc w:val="both"/>
              <w:rPr>
                <w:rFonts w:eastAsia="Calibri"/>
                <w:sz w:val="20"/>
                <w:szCs w:val="20"/>
                <w:lang w:val="fr-CA"/>
              </w:rPr>
            </w:pPr>
            <w:r w:rsidRPr="00403149">
              <w:rPr>
                <w:rFonts w:eastAsia="Calibri"/>
                <w:sz w:val="20"/>
                <w:szCs w:val="20"/>
                <w:lang w:val="fr-CA"/>
              </w:rPr>
              <w:t xml:space="preserve">Référence neutre : </w:t>
            </w:r>
          </w:p>
          <w:p w:rsidR="00600C23" w:rsidRPr="00403149" w:rsidRDefault="00600C23" w:rsidP="00190453">
            <w:pPr>
              <w:jc w:val="both"/>
              <w:rPr>
                <w:rFonts w:eastAsia="Calibri"/>
                <w:sz w:val="20"/>
                <w:szCs w:val="20"/>
                <w:lang w:val="fr-CA"/>
              </w:rPr>
            </w:pPr>
          </w:p>
        </w:tc>
        <w:tc>
          <w:tcPr>
            <w:tcW w:w="243" w:type="pct"/>
          </w:tcPr>
          <w:p w:rsidR="00600C23" w:rsidRPr="00403149" w:rsidRDefault="00600C23" w:rsidP="00190453">
            <w:pPr>
              <w:jc w:val="both"/>
              <w:rPr>
                <w:rFonts w:eastAsia="Calibri"/>
                <w:sz w:val="20"/>
                <w:szCs w:val="20"/>
                <w:lang w:val="fr-CA"/>
              </w:rPr>
            </w:pPr>
          </w:p>
        </w:tc>
        <w:tc>
          <w:tcPr>
            <w:tcW w:w="2330" w:type="pct"/>
          </w:tcPr>
          <w:p w:rsidR="00600C23" w:rsidRPr="00403149" w:rsidRDefault="00600C23" w:rsidP="00190453">
            <w:pPr>
              <w:jc w:val="both"/>
              <w:rPr>
                <w:rFonts w:eastAsia="Calibri"/>
                <w:sz w:val="20"/>
                <w:szCs w:val="20"/>
                <w:lang w:val="fr-CA"/>
              </w:rPr>
            </w:pPr>
            <w:r w:rsidRPr="00403149">
              <w:rPr>
                <w:rFonts w:eastAsia="Calibri"/>
                <w:sz w:val="20"/>
                <w:szCs w:val="20"/>
                <w:lang w:val="fr-CA"/>
              </w:rPr>
              <w:t>Déclarations de culpabilité pour homicide involontaire coupable</w:t>
            </w:r>
          </w:p>
          <w:p w:rsidR="00600C23" w:rsidRPr="00403149" w:rsidRDefault="00600C23" w:rsidP="00190453">
            <w:pPr>
              <w:jc w:val="both"/>
              <w:rPr>
                <w:rFonts w:eastAsia="Calibri"/>
                <w:sz w:val="20"/>
                <w:szCs w:val="20"/>
                <w:lang w:val="fr-CA"/>
              </w:rPr>
            </w:pPr>
          </w:p>
        </w:tc>
      </w:tr>
      <w:tr w:rsidR="00600C23" w:rsidRPr="00403149" w:rsidTr="00004EDE">
        <w:trPr>
          <w:cantSplit/>
        </w:trPr>
        <w:tc>
          <w:tcPr>
            <w:tcW w:w="2427" w:type="pct"/>
          </w:tcPr>
          <w:p w:rsidR="00600C23" w:rsidRPr="00403149" w:rsidRDefault="00600C23" w:rsidP="00190453">
            <w:pPr>
              <w:jc w:val="both"/>
              <w:rPr>
                <w:rFonts w:eastAsia="Calibri"/>
                <w:sz w:val="20"/>
                <w:szCs w:val="20"/>
                <w:lang w:val="fr-CA"/>
              </w:rPr>
            </w:pPr>
            <w:r w:rsidRPr="00403149">
              <w:rPr>
                <w:rFonts w:eastAsia="Calibri"/>
                <w:sz w:val="20"/>
                <w:szCs w:val="20"/>
                <w:lang w:val="fr-CA"/>
              </w:rPr>
              <w:t>13 août 2013</w:t>
            </w:r>
          </w:p>
          <w:p w:rsidR="00600C23" w:rsidRPr="00403149" w:rsidRDefault="00600C23" w:rsidP="00190453">
            <w:pPr>
              <w:jc w:val="both"/>
              <w:rPr>
                <w:rFonts w:eastAsia="Calibri"/>
                <w:sz w:val="20"/>
                <w:szCs w:val="20"/>
                <w:lang w:val="fr-CA"/>
              </w:rPr>
            </w:pPr>
            <w:r w:rsidRPr="00403149">
              <w:rPr>
                <w:rFonts w:eastAsia="Calibri"/>
                <w:sz w:val="20"/>
                <w:szCs w:val="20"/>
                <w:lang w:val="fr-CA"/>
              </w:rPr>
              <w:t>Cour d’appel de la Colombie</w:t>
            </w:r>
            <w:r w:rsidRPr="00403149">
              <w:rPr>
                <w:rFonts w:eastAsia="Calibri"/>
                <w:sz w:val="20"/>
                <w:szCs w:val="20"/>
                <w:lang w:val="fr-CA"/>
              </w:rPr>
              <w:noBreakHyphen/>
              <w:t>Britannique</w:t>
            </w:r>
          </w:p>
          <w:p w:rsidR="00600C23" w:rsidRPr="00403149" w:rsidRDefault="00600C23" w:rsidP="00190453">
            <w:pPr>
              <w:jc w:val="both"/>
              <w:rPr>
                <w:rFonts w:eastAsia="Calibri"/>
                <w:sz w:val="20"/>
                <w:szCs w:val="20"/>
                <w:lang w:val="fr-CA"/>
              </w:rPr>
            </w:pPr>
            <w:r w:rsidRPr="00403149">
              <w:rPr>
                <w:rFonts w:eastAsia="Calibri"/>
                <w:sz w:val="20"/>
                <w:szCs w:val="20"/>
                <w:lang w:val="fr-CA"/>
              </w:rPr>
              <w:t>(Vancouver)</w:t>
            </w:r>
          </w:p>
          <w:p w:rsidR="00600C23" w:rsidRPr="00403149" w:rsidRDefault="00600C23" w:rsidP="00190453">
            <w:pPr>
              <w:jc w:val="both"/>
              <w:rPr>
                <w:rFonts w:eastAsia="Calibri"/>
                <w:sz w:val="20"/>
                <w:szCs w:val="20"/>
                <w:lang w:val="fr-CA"/>
              </w:rPr>
            </w:pPr>
            <w:r w:rsidRPr="00403149">
              <w:rPr>
                <w:rFonts w:eastAsia="Calibri"/>
                <w:sz w:val="20"/>
                <w:szCs w:val="20"/>
                <w:lang w:val="fr-CA"/>
              </w:rPr>
              <w:t>(Juges Newbury, Groberman et Bennett)</w:t>
            </w:r>
          </w:p>
          <w:p w:rsidR="00600C23" w:rsidRPr="00403149" w:rsidRDefault="00600C23" w:rsidP="00190453">
            <w:pPr>
              <w:jc w:val="both"/>
              <w:rPr>
                <w:rFonts w:eastAsia="Calibri"/>
                <w:sz w:val="20"/>
                <w:szCs w:val="20"/>
              </w:rPr>
            </w:pPr>
            <w:r w:rsidRPr="00403149">
              <w:rPr>
                <w:rFonts w:eastAsia="Calibri"/>
                <w:sz w:val="20"/>
                <w:szCs w:val="20"/>
              </w:rPr>
              <w:t>2013 BCCA 364</w:t>
            </w:r>
          </w:p>
          <w:p w:rsidR="00600C23" w:rsidRPr="00403149" w:rsidRDefault="004F01F8" w:rsidP="00190453">
            <w:pPr>
              <w:jc w:val="both"/>
              <w:rPr>
                <w:rFonts w:eastAsia="Calibri"/>
                <w:sz w:val="20"/>
                <w:szCs w:val="20"/>
              </w:rPr>
            </w:pPr>
            <w:hyperlink r:id="rId33" w:history="1">
              <w:r w:rsidR="00600C23" w:rsidRPr="00403149">
                <w:rPr>
                  <w:rFonts w:eastAsia="Calibri"/>
                  <w:color w:val="0000FF"/>
                  <w:sz w:val="20"/>
                  <w:szCs w:val="20"/>
                  <w:u w:val="single"/>
                </w:rPr>
                <w:t>http://canlii.ca/t/g022l</w:t>
              </w:r>
            </w:hyperlink>
          </w:p>
          <w:p w:rsidR="00600C23" w:rsidRPr="00403149" w:rsidRDefault="00600C23" w:rsidP="00190453">
            <w:pPr>
              <w:jc w:val="both"/>
              <w:rPr>
                <w:rFonts w:eastAsia="Calibri"/>
                <w:sz w:val="20"/>
                <w:szCs w:val="20"/>
              </w:rPr>
            </w:pPr>
          </w:p>
        </w:tc>
        <w:tc>
          <w:tcPr>
            <w:tcW w:w="243" w:type="pct"/>
          </w:tcPr>
          <w:p w:rsidR="00600C23" w:rsidRPr="00403149" w:rsidRDefault="00600C23" w:rsidP="00190453">
            <w:pPr>
              <w:jc w:val="both"/>
              <w:rPr>
                <w:rFonts w:eastAsia="Calibri"/>
                <w:sz w:val="20"/>
                <w:szCs w:val="20"/>
              </w:rPr>
            </w:pPr>
          </w:p>
        </w:tc>
        <w:tc>
          <w:tcPr>
            <w:tcW w:w="2330" w:type="pct"/>
          </w:tcPr>
          <w:p w:rsidR="00600C23" w:rsidRPr="00403149" w:rsidRDefault="00600C23" w:rsidP="00190453">
            <w:pPr>
              <w:jc w:val="both"/>
              <w:rPr>
                <w:rFonts w:eastAsia="Calibri"/>
                <w:sz w:val="20"/>
                <w:szCs w:val="20"/>
                <w:lang w:val="fr-CA"/>
              </w:rPr>
            </w:pPr>
            <w:r w:rsidRPr="00403149">
              <w:rPr>
                <w:rFonts w:eastAsia="Calibri"/>
                <w:sz w:val="20"/>
                <w:szCs w:val="20"/>
                <w:lang w:val="fr-CA"/>
              </w:rPr>
              <w:t>Appels rejetés</w:t>
            </w:r>
          </w:p>
        </w:tc>
      </w:tr>
      <w:tr w:rsidR="00600C23" w:rsidRPr="004F01F8" w:rsidTr="00004EDE">
        <w:trPr>
          <w:cantSplit/>
        </w:trPr>
        <w:tc>
          <w:tcPr>
            <w:tcW w:w="2427" w:type="pct"/>
          </w:tcPr>
          <w:p w:rsidR="00600C23" w:rsidRPr="00403149" w:rsidRDefault="00600C23" w:rsidP="00190453">
            <w:pPr>
              <w:jc w:val="both"/>
              <w:rPr>
                <w:rFonts w:eastAsia="Calibri"/>
                <w:sz w:val="20"/>
                <w:szCs w:val="20"/>
                <w:lang w:val="fr-CA"/>
              </w:rPr>
            </w:pPr>
            <w:r w:rsidRPr="00403149">
              <w:rPr>
                <w:rFonts w:eastAsia="Calibri"/>
                <w:sz w:val="20"/>
                <w:szCs w:val="20"/>
                <w:lang w:val="fr-CA"/>
              </w:rPr>
              <w:t>20 décembre 2013</w:t>
            </w:r>
          </w:p>
          <w:p w:rsidR="00600C23" w:rsidRPr="00403149" w:rsidRDefault="00600C23" w:rsidP="00190453">
            <w:pPr>
              <w:jc w:val="both"/>
              <w:rPr>
                <w:rFonts w:eastAsia="Calibri"/>
                <w:sz w:val="20"/>
                <w:szCs w:val="20"/>
                <w:lang w:val="fr-CA"/>
              </w:rPr>
            </w:pPr>
            <w:r w:rsidRPr="00403149">
              <w:rPr>
                <w:rFonts w:eastAsia="Calibri"/>
                <w:sz w:val="20"/>
                <w:szCs w:val="20"/>
                <w:lang w:val="fr-CA"/>
              </w:rPr>
              <w:t>Cour suprême du Canada</w:t>
            </w:r>
          </w:p>
        </w:tc>
        <w:tc>
          <w:tcPr>
            <w:tcW w:w="243" w:type="pct"/>
          </w:tcPr>
          <w:p w:rsidR="00600C23" w:rsidRPr="00403149" w:rsidRDefault="00600C23" w:rsidP="00190453">
            <w:pPr>
              <w:jc w:val="both"/>
              <w:rPr>
                <w:rFonts w:eastAsia="Calibri"/>
                <w:sz w:val="20"/>
                <w:szCs w:val="20"/>
                <w:lang w:val="fr-CA"/>
              </w:rPr>
            </w:pPr>
          </w:p>
        </w:tc>
        <w:tc>
          <w:tcPr>
            <w:tcW w:w="2330" w:type="pct"/>
          </w:tcPr>
          <w:p w:rsidR="00600C23" w:rsidRPr="00403149" w:rsidRDefault="00600C23" w:rsidP="00190453">
            <w:pPr>
              <w:jc w:val="both"/>
              <w:rPr>
                <w:rFonts w:eastAsia="Calibri"/>
                <w:sz w:val="20"/>
                <w:szCs w:val="20"/>
                <w:lang w:val="fr-CA"/>
              </w:rPr>
            </w:pPr>
            <w:r w:rsidRPr="00403149">
              <w:rPr>
                <w:rFonts w:eastAsia="Calibri"/>
                <w:sz w:val="20"/>
                <w:szCs w:val="20"/>
                <w:lang w:val="fr-CA"/>
              </w:rPr>
              <w:t>Requête en prorogation du délai de signification et de dépôt de la demande d’autorisation d’appel et demande conjointe d’autorisation d’appel, déposées</w:t>
            </w:r>
          </w:p>
        </w:tc>
      </w:tr>
    </w:tbl>
    <w:p w:rsidR="00600C23" w:rsidRPr="00600C23" w:rsidRDefault="00600C23" w:rsidP="00600C23">
      <w:pPr>
        <w:rPr>
          <w:sz w:val="20"/>
          <w:szCs w:val="20"/>
          <w:lang w:val="fr-CA"/>
        </w:rPr>
      </w:pPr>
    </w:p>
    <w:p w:rsidR="00600C23" w:rsidRDefault="004F01F8" w:rsidP="00600C23">
      <w:pPr>
        <w:rPr>
          <w:sz w:val="20"/>
          <w:szCs w:val="20"/>
          <w:lang w:val="fr-CA"/>
        </w:rPr>
      </w:pPr>
      <w:r>
        <w:rPr>
          <w:sz w:val="20"/>
          <w:szCs w:val="20"/>
          <w:lang w:val="fr-CA"/>
        </w:rPr>
        <w:pict>
          <v:rect id="_x0000_i1043" style="width:2in;height:1pt" o:hrpct="0" o:hralign="center" o:hrstd="t" o:hrnoshade="t" o:hr="t" fillcolor="black [3213]" stroked="f"/>
        </w:pict>
      </w:r>
    </w:p>
    <w:p w:rsidR="00600C23" w:rsidRDefault="00600C23" w:rsidP="00600C23">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04EDE" w:rsidRPr="004F01F8" w:rsidTr="007A5AE5">
        <w:trPr>
          <w:cantSplit/>
        </w:trPr>
        <w:tc>
          <w:tcPr>
            <w:tcW w:w="1458" w:type="dxa"/>
          </w:tcPr>
          <w:p w:rsidR="00004EDE" w:rsidRPr="00582BFB" w:rsidRDefault="00004EDE" w:rsidP="007A5AE5">
            <w:pPr>
              <w:rPr>
                <w:sz w:val="20"/>
                <w:szCs w:val="20"/>
              </w:rPr>
            </w:pPr>
            <w:r w:rsidRPr="00582BFB">
              <w:rPr>
                <w:rStyle w:val="SCCFileNumberChar"/>
                <w:sz w:val="20"/>
                <w:szCs w:val="20"/>
              </w:rPr>
              <w:t>35674</w:t>
            </w:r>
          </w:p>
          <w:p w:rsidR="00004EDE" w:rsidRPr="00582BFB" w:rsidRDefault="00004EDE" w:rsidP="007A5AE5">
            <w:pPr>
              <w:rPr>
                <w:b/>
                <w:sz w:val="20"/>
                <w:szCs w:val="20"/>
                <w:lang w:val="fr-CA"/>
              </w:rPr>
            </w:pPr>
          </w:p>
        </w:tc>
        <w:tc>
          <w:tcPr>
            <w:tcW w:w="8118" w:type="dxa"/>
          </w:tcPr>
          <w:p w:rsidR="00004EDE" w:rsidRPr="00582BFB" w:rsidRDefault="00004EDE" w:rsidP="007A5AE5">
            <w:pPr>
              <w:jc w:val="both"/>
              <w:rPr>
                <w:sz w:val="20"/>
                <w:szCs w:val="20"/>
                <w:lang w:val="fr-CA"/>
              </w:rPr>
            </w:pPr>
            <w:r w:rsidRPr="00582BFB">
              <w:rPr>
                <w:rStyle w:val="SCCLsocChar"/>
                <w:sz w:val="20"/>
                <w:szCs w:val="20"/>
              </w:rPr>
              <w:t>Saleh Khazali (succession de), Ali Mahamat Khazali, Ibrahim Khazali, Khazali Mahamat Ikhebich</w:t>
            </w:r>
            <w:r w:rsidR="00133E05">
              <w:rPr>
                <w:rStyle w:val="SCCLsocChar"/>
                <w:sz w:val="20"/>
                <w:szCs w:val="20"/>
              </w:rPr>
              <w:t xml:space="preserve"> et</w:t>
            </w:r>
            <w:r w:rsidRPr="00582BFB">
              <w:rPr>
                <w:rStyle w:val="SCCLsocChar"/>
                <w:sz w:val="20"/>
                <w:szCs w:val="20"/>
              </w:rPr>
              <w:t xml:space="preserve"> Nafissa Moustapha c. Canadian Apartment Properties Real Estate Investment Trust (Capreit)</w:t>
            </w:r>
            <w:r w:rsidR="00133E05">
              <w:rPr>
                <w:rStyle w:val="SCCLsocChar"/>
                <w:sz w:val="20"/>
                <w:szCs w:val="20"/>
              </w:rPr>
              <w:t xml:space="preserve"> et</w:t>
            </w:r>
            <w:r w:rsidRPr="00582BFB">
              <w:rPr>
                <w:rStyle w:val="SCCLsocChar"/>
                <w:sz w:val="20"/>
                <w:szCs w:val="20"/>
              </w:rPr>
              <w:t xml:space="preserve"> Société d'assurance automobile du Québec</w:t>
            </w:r>
            <w:r w:rsidRPr="00582BFB">
              <w:rPr>
                <w:sz w:val="20"/>
                <w:szCs w:val="20"/>
                <w:lang w:val="fr-CA"/>
              </w:rPr>
              <w:t xml:space="preserve"> (Qc) (Civile) (Autorisation)</w:t>
            </w:r>
          </w:p>
          <w:p w:rsidR="00004EDE" w:rsidRPr="00582BFB" w:rsidRDefault="00004EDE" w:rsidP="007A5AE5">
            <w:pPr>
              <w:jc w:val="both"/>
              <w:rPr>
                <w:sz w:val="20"/>
                <w:szCs w:val="20"/>
                <w:lang w:val="fr-CA"/>
              </w:rPr>
            </w:pPr>
          </w:p>
        </w:tc>
      </w:tr>
      <w:tr w:rsidR="00004EDE" w:rsidRPr="004F01F8" w:rsidTr="007A5AE5">
        <w:trPr>
          <w:cantSplit/>
        </w:trPr>
        <w:tc>
          <w:tcPr>
            <w:tcW w:w="1458" w:type="dxa"/>
          </w:tcPr>
          <w:p w:rsidR="00004EDE" w:rsidRPr="00582BFB" w:rsidRDefault="00004EDE" w:rsidP="007A5AE5">
            <w:pPr>
              <w:rPr>
                <w:sz w:val="20"/>
                <w:szCs w:val="20"/>
              </w:rPr>
            </w:pPr>
            <w:r w:rsidRPr="00582BFB">
              <w:rPr>
                <w:sz w:val="20"/>
                <w:szCs w:val="20"/>
              </w:rPr>
              <w:t>Coram :</w:t>
            </w:r>
          </w:p>
        </w:tc>
        <w:tc>
          <w:tcPr>
            <w:tcW w:w="8118" w:type="dxa"/>
          </w:tcPr>
          <w:p w:rsidR="00004EDE" w:rsidRPr="00582BFB" w:rsidRDefault="00004EDE" w:rsidP="007A5AE5">
            <w:pPr>
              <w:rPr>
                <w:sz w:val="20"/>
                <w:szCs w:val="20"/>
                <w:lang w:val="fr-CA"/>
              </w:rPr>
            </w:pPr>
            <w:r w:rsidRPr="00582BFB">
              <w:rPr>
                <w:rStyle w:val="SCCCoramChar"/>
                <w:sz w:val="20"/>
                <w:szCs w:val="20"/>
              </w:rPr>
              <w:t>Les juges LeBel, Karakatsanis et Wagner</w:t>
            </w:r>
          </w:p>
          <w:p w:rsidR="00004EDE" w:rsidRPr="00582BFB" w:rsidRDefault="00004EDE" w:rsidP="007A5AE5">
            <w:pPr>
              <w:rPr>
                <w:sz w:val="20"/>
                <w:szCs w:val="20"/>
                <w:u w:val="single"/>
                <w:lang w:val="fr-CA"/>
              </w:rPr>
            </w:pPr>
          </w:p>
        </w:tc>
      </w:tr>
      <w:tr w:rsidR="00004EDE" w:rsidRPr="00582BFB" w:rsidTr="007A5AE5">
        <w:trPr>
          <w:cantSplit/>
        </w:trPr>
        <w:tc>
          <w:tcPr>
            <w:tcW w:w="9576" w:type="dxa"/>
            <w:gridSpan w:val="2"/>
          </w:tcPr>
          <w:p w:rsidR="00004EDE" w:rsidRPr="00582BFB" w:rsidRDefault="00004EDE" w:rsidP="007A5AE5">
            <w:pPr>
              <w:pStyle w:val="SCCShortJudgment"/>
              <w:rPr>
                <w:szCs w:val="20"/>
                <w:lang w:val="fr-CA"/>
              </w:rPr>
            </w:pPr>
            <w:r w:rsidRPr="00582BFB">
              <w:rPr>
                <w:szCs w:val="20"/>
                <w:lang w:val="fr-CA"/>
              </w:rPr>
              <w:t>La demande d’autorisation d’appel de l’arrêt de la Cour d’appel du Québec (Montréal), numéro 500-09-023615-131, 2013 QCCA 1975, daté du 11 novembre 2013, est rejetée avec dépens.</w:t>
            </w:r>
          </w:p>
          <w:p w:rsidR="00004EDE" w:rsidRPr="00582BFB" w:rsidRDefault="00004EDE" w:rsidP="007A5AE5">
            <w:pPr>
              <w:pStyle w:val="SCCShortJudgment"/>
              <w:ind w:firstLine="0"/>
              <w:rPr>
                <w:szCs w:val="20"/>
                <w:lang w:val="fr-CA"/>
              </w:rPr>
            </w:pPr>
          </w:p>
          <w:p w:rsidR="00004EDE" w:rsidRPr="00582BFB" w:rsidRDefault="00004EDE" w:rsidP="007A5AE5">
            <w:pPr>
              <w:pStyle w:val="SCCShortJudgment"/>
              <w:rPr>
                <w:szCs w:val="20"/>
              </w:rPr>
            </w:pPr>
            <w:r w:rsidRPr="00582BFB">
              <w:rPr>
                <w:szCs w:val="20"/>
              </w:rPr>
              <w:t>The application for leave to appeal from the judgment of the Court of Appeal of Quebec (Montréal), Number 500-09-023615-131, 2013 QCCA 1975, dated November 11, 2013, is dismissed with costs.</w:t>
            </w:r>
          </w:p>
        </w:tc>
      </w:tr>
    </w:tbl>
    <w:p w:rsidR="00600C23" w:rsidRDefault="00600C23" w:rsidP="00600C23">
      <w:pPr>
        <w:rPr>
          <w:sz w:val="20"/>
          <w:szCs w:val="20"/>
        </w:rPr>
      </w:pPr>
    </w:p>
    <w:p w:rsidR="00600C23" w:rsidRPr="001B157C" w:rsidRDefault="00600C23" w:rsidP="00600C23">
      <w:pPr>
        <w:rPr>
          <w:sz w:val="20"/>
          <w:szCs w:val="20"/>
          <w:u w:val="single"/>
        </w:rPr>
      </w:pPr>
      <w:r w:rsidRPr="001B157C">
        <w:rPr>
          <w:sz w:val="20"/>
          <w:szCs w:val="20"/>
          <w:u w:val="single"/>
        </w:rPr>
        <w:t>CASE SUMMARY</w:t>
      </w:r>
    </w:p>
    <w:p w:rsidR="00600C23" w:rsidRDefault="00600C23" w:rsidP="00600C2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C7371" w:rsidRPr="00403149" w:rsidTr="00190453">
        <w:tc>
          <w:tcPr>
            <w:tcW w:w="5000" w:type="pct"/>
            <w:gridSpan w:val="3"/>
          </w:tcPr>
          <w:p w:rsidR="009C7371" w:rsidRPr="00403149" w:rsidRDefault="009C7371" w:rsidP="00190453">
            <w:pPr>
              <w:jc w:val="both"/>
              <w:rPr>
                <w:rFonts w:eastAsia="Calibri"/>
                <w:sz w:val="20"/>
                <w:szCs w:val="20"/>
              </w:rPr>
            </w:pPr>
            <w:r w:rsidRPr="00403149">
              <w:rPr>
                <w:rFonts w:eastAsia="Calibri"/>
                <w:sz w:val="20"/>
                <w:szCs w:val="20"/>
              </w:rPr>
              <w:t>Insurance — Automobile insurance — Public no</w:t>
            </w:r>
            <w:r w:rsidRPr="00403149">
              <w:rPr>
                <w:rFonts w:eastAsia="Calibri"/>
                <w:sz w:val="20"/>
                <w:szCs w:val="20"/>
              </w:rPr>
              <w:noBreakHyphen/>
              <w:t xml:space="preserve">fault automobile insurance scheme — Civil procedure — Exceptions to dismiss action — Piece of concrete from ceiling of underground parking garage falling onto parked vehicle and causing driver’s death — Action in damages instituted against owner of immovable by members of driver’s family — Whether event that caused driver’s death was automobile accident within meaning of </w:t>
            </w:r>
            <w:r w:rsidRPr="00403149">
              <w:rPr>
                <w:rFonts w:eastAsia="Calibri"/>
                <w:i/>
                <w:sz w:val="20"/>
                <w:szCs w:val="20"/>
              </w:rPr>
              <w:t>Automobile Insurance Act</w:t>
            </w:r>
            <w:r w:rsidRPr="00403149">
              <w:rPr>
                <w:rFonts w:eastAsia="Calibri"/>
                <w:sz w:val="20"/>
                <w:szCs w:val="20"/>
              </w:rPr>
              <w:t xml:space="preserve"> — </w:t>
            </w:r>
            <w:r w:rsidRPr="00403149">
              <w:rPr>
                <w:rFonts w:eastAsia="Calibri"/>
                <w:sz w:val="20"/>
                <w:szCs w:val="20"/>
              </w:rPr>
              <w:lastRenderedPageBreak/>
              <w:t xml:space="preserve">Whether s. 83.57 of that Act prohibited action for punitive damages under s. 49 of </w:t>
            </w:r>
            <w:r w:rsidRPr="00403149">
              <w:rPr>
                <w:rFonts w:eastAsia="Calibri"/>
                <w:i/>
                <w:sz w:val="20"/>
                <w:szCs w:val="20"/>
              </w:rPr>
              <w:t>Charter of human rights and freedoms</w:t>
            </w:r>
            <w:r w:rsidRPr="00403149">
              <w:rPr>
                <w:rFonts w:eastAsia="Calibri"/>
                <w:sz w:val="20"/>
                <w:szCs w:val="20"/>
              </w:rPr>
              <w:t>, R.S.Q., c. C</w:t>
            </w:r>
            <w:r w:rsidRPr="00403149">
              <w:rPr>
                <w:rFonts w:eastAsia="Calibri"/>
                <w:sz w:val="20"/>
                <w:szCs w:val="20"/>
              </w:rPr>
              <w:noBreakHyphen/>
              <w:t xml:space="preserve">12 — </w:t>
            </w:r>
            <w:r w:rsidRPr="00403149">
              <w:rPr>
                <w:rFonts w:eastAsia="Calibri"/>
                <w:i/>
                <w:sz w:val="20"/>
                <w:szCs w:val="20"/>
              </w:rPr>
              <w:t>Automobile Insurance Act</w:t>
            </w:r>
            <w:r w:rsidRPr="00403149">
              <w:rPr>
                <w:rFonts w:eastAsia="Calibri"/>
                <w:sz w:val="20"/>
                <w:szCs w:val="20"/>
              </w:rPr>
              <w:t>, R.S.Q., c. A</w:t>
            </w:r>
            <w:r w:rsidRPr="00403149">
              <w:rPr>
                <w:rFonts w:eastAsia="Calibri"/>
                <w:sz w:val="20"/>
                <w:szCs w:val="20"/>
              </w:rPr>
              <w:noBreakHyphen/>
              <w:t xml:space="preserve">25, s. 1 “accident”, “damage caused by an automobile” — </w:t>
            </w:r>
            <w:r w:rsidRPr="00403149">
              <w:rPr>
                <w:rFonts w:eastAsia="Calibri"/>
                <w:i/>
                <w:sz w:val="20"/>
                <w:szCs w:val="20"/>
              </w:rPr>
              <w:t>Code of Civil Procedure</w:t>
            </w:r>
            <w:r w:rsidRPr="00403149">
              <w:rPr>
                <w:rFonts w:eastAsia="Calibri"/>
                <w:sz w:val="20"/>
                <w:szCs w:val="20"/>
              </w:rPr>
              <w:t>, R.S.Q., c. C</w:t>
            </w:r>
            <w:r w:rsidRPr="00403149">
              <w:rPr>
                <w:rFonts w:eastAsia="Calibri"/>
                <w:sz w:val="20"/>
                <w:szCs w:val="20"/>
              </w:rPr>
              <w:noBreakHyphen/>
              <w:t>25, art. 165(4).</w:t>
            </w:r>
          </w:p>
          <w:p w:rsidR="009C7371" w:rsidRPr="00403149" w:rsidRDefault="009C7371" w:rsidP="00190453">
            <w:pPr>
              <w:jc w:val="both"/>
              <w:rPr>
                <w:rFonts w:eastAsia="Calibri"/>
                <w:sz w:val="20"/>
                <w:szCs w:val="20"/>
              </w:rPr>
            </w:pPr>
            <w:r w:rsidRPr="00403149">
              <w:rPr>
                <w:rFonts w:eastAsia="Calibri"/>
                <w:sz w:val="20"/>
                <w:szCs w:val="20"/>
              </w:rPr>
              <w:t xml:space="preserve"> </w:t>
            </w:r>
          </w:p>
        </w:tc>
      </w:tr>
      <w:tr w:rsidR="009C7371" w:rsidRPr="00403149" w:rsidTr="00190453">
        <w:tc>
          <w:tcPr>
            <w:tcW w:w="5000" w:type="pct"/>
            <w:gridSpan w:val="3"/>
          </w:tcPr>
          <w:p w:rsidR="009C7371" w:rsidRPr="00403149" w:rsidRDefault="009C7371" w:rsidP="00190453">
            <w:pPr>
              <w:jc w:val="both"/>
              <w:rPr>
                <w:rFonts w:eastAsia="Calibri"/>
                <w:sz w:val="20"/>
                <w:szCs w:val="20"/>
              </w:rPr>
            </w:pPr>
            <w:r w:rsidRPr="00403149">
              <w:rPr>
                <w:rFonts w:eastAsia="Calibri"/>
                <w:sz w:val="20"/>
                <w:szCs w:val="20"/>
              </w:rPr>
              <w:lastRenderedPageBreak/>
              <w:t xml:space="preserve">This litigation arose out of a tragic accident that caused the death of Saleh Khazali, an employee of a courier company.  As he waited for the distribution of parcels in his parked and still running vehicle in the underground parking garage of an immovable owned by the respondent Capreit, a section of the concrete slab broke off the ceiling of the parking garage and fell onto his vehicle, causing his death by positional asphyxiation.  Mr. Khazali’s parents and children instituted an action against Capreit seeking compensatory damages.  Alleging that Capreit had not maintained its immovable properly despite the obvious deterioration, they also claimed exemplary damages.  The respondent defended by moving to dismiss the action on the basis of s. 83.57 of the </w:t>
            </w:r>
            <w:r w:rsidRPr="00403149">
              <w:rPr>
                <w:rFonts w:eastAsia="Calibri"/>
                <w:i/>
                <w:sz w:val="20"/>
                <w:szCs w:val="20"/>
              </w:rPr>
              <w:t>Automobile Insurance Act</w:t>
            </w:r>
            <w:r w:rsidRPr="00403149">
              <w:rPr>
                <w:rFonts w:eastAsia="Calibri"/>
                <w:sz w:val="20"/>
                <w:szCs w:val="20"/>
              </w:rPr>
              <w:t xml:space="preserve"> (“</w:t>
            </w:r>
            <w:r w:rsidRPr="00403149">
              <w:rPr>
                <w:rFonts w:eastAsia="Calibri"/>
                <w:i/>
                <w:sz w:val="20"/>
                <w:szCs w:val="20"/>
              </w:rPr>
              <w:t>AAA</w:t>
            </w:r>
            <w:r w:rsidRPr="00403149">
              <w:rPr>
                <w:rFonts w:eastAsia="Calibri"/>
                <w:sz w:val="20"/>
                <w:szCs w:val="20"/>
              </w:rPr>
              <w:t>”), the first paragraph of which reads as follows:</w:t>
            </w:r>
          </w:p>
          <w:p w:rsidR="009C7371" w:rsidRPr="00403149" w:rsidRDefault="009C7371" w:rsidP="00190453">
            <w:pPr>
              <w:jc w:val="both"/>
              <w:rPr>
                <w:rFonts w:eastAsia="Calibri"/>
                <w:sz w:val="20"/>
                <w:szCs w:val="20"/>
              </w:rPr>
            </w:pPr>
          </w:p>
          <w:p w:rsidR="009C7371" w:rsidRPr="00403149" w:rsidRDefault="009C7371" w:rsidP="00190453">
            <w:pPr>
              <w:ind w:left="555" w:right="713"/>
              <w:jc w:val="both"/>
              <w:rPr>
                <w:rFonts w:eastAsia="Calibri"/>
                <w:sz w:val="20"/>
                <w:szCs w:val="20"/>
              </w:rPr>
            </w:pPr>
            <w:r w:rsidRPr="00403149">
              <w:rPr>
                <w:rFonts w:eastAsia="Calibri"/>
                <w:sz w:val="20"/>
                <w:szCs w:val="20"/>
              </w:rPr>
              <w:t>83.57 Compensation under this title stands in lieu of all rights and remedies by reason of bodily injury and no action in that respect shall be admitted before any court of justice.</w:t>
            </w:r>
          </w:p>
          <w:p w:rsidR="009C7371" w:rsidRPr="00403149" w:rsidRDefault="009C7371" w:rsidP="00190453">
            <w:pPr>
              <w:jc w:val="both"/>
              <w:rPr>
                <w:rFonts w:eastAsia="Calibri"/>
                <w:sz w:val="20"/>
                <w:szCs w:val="20"/>
              </w:rPr>
            </w:pPr>
          </w:p>
          <w:p w:rsidR="009C7371" w:rsidRPr="00403149" w:rsidRDefault="009C7371" w:rsidP="00190453">
            <w:pPr>
              <w:jc w:val="both"/>
              <w:rPr>
                <w:rFonts w:eastAsia="Calibri"/>
                <w:sz w:val="20"/>
                <w:szCs w:val="20"/>
              </w:rPr>
            </w:pPr>
            <w:r w:rsidRPr="00403149">
              <w:rPr>
                <w:rFonts w:eastAsia="Calibri"/>
                <w:sz w:val="20"/>
                <w:szCs w:val="20"/>
              </w:rPr>
              <w:t xml:space="preserve">The respondent and the Société de l’assurance automobile du Québec, an impleaded party at trial, argued that the applicants’ action should be dismissed because it was unfounded in law even if the facts alleged were assumed to be true (art. 165(4) </w:t>
            </w:r>
            <w:r w:rsidRPr="00403149">
              <w:rPr>
                <w:rFonts w:eastAsia="Calibri"/>
                <w:i/>
                <w:sz w:val="20"/>
                <w:szCs w:val="20"/>
              </w:rPr>
              <w:t>C.C.P.</w:t>
            </w:r>
            <w:r w:rsidRPr="00403149">
              <w:rPr>
                <w:rFonts w:eastAsia="Calibri"/>
                <w:sz w:val="20"/>
                <w:szCs w:val="20"/>
              </w:rPr>
              <w:t xml:space="preserve">).  They argued that the damage suffered by Mr. Khazali resulted from an “accident” caused by an “automobile” within the meaning of the </w:t>
            </w:r>
            <w:r w:rsidRPr="00403149">
              <w:rPr>
                <w:rFonts w:eastAsia="Calibri"/>
                <w:i/>
                <w:sz w:val="20"/>
                <w:szCs w:val="20"/>
              </w:rPr>
              <w:t>AAA</w:t>
            </w:r>
            <w:r w:rsidRPr="00403149">
              <w:rPr>
                <w:rFonts w:eastAsia="Calibri"/>
                <w:sz w:val="20"/>
                <w:szCs w:val="20"/>
              </w:rPr>
              <w:t xml:space="preserve"> and that therefore the applicants could not sue under the general law of civil liability.  The applicants countered that the immovable’s underground parking garage was not a “public highway” within the meaning of the </w:t>
            </w:r>
            <w:r w:rsidRPr="00403149">
              <w:rPr>
                <w:rFonts w:eastAsia="Calibri"/>
                <w:i/>
                <w:sz w:val="20"/>
                <w:szCs w:val="20"/>
              </w:rPr>
              <w:t>AAA</w:t>
            </w:r>
            <w:r w:rsidRPr="00403149">
              <w:rPr>
                <w:rFonts w:eastAsia="Calibri"/>
                <w:sz w:val="20"/>
                <w:szCs w:val="20"/>
              </w:rPr>
              <w:t xml:space="preserve">, that the accident had occurred in a private place, that the vehicle had been stationary and that therefore the </w:t>
            </w:r>
            <w:r w:rsidRPr="00403149">
              <w:rPr>
                <w:rFonts w:eastAsia="Calibri"/>
                <w:i/>
                <w:sz w:val="20"/>
                <w:szCs w:val="20"/>
              </w:rPr>
              <w:t>AAA</w:t>
            </w:r>
            <w:r w:rsidRPr="00403149">
              <w:rPr>
                <w:rFonts w:eastAsia="Calibri"/>
                <w:sz w:val="20"/>
                <w:szCs w:val="20"/>
              </w:rPr>
              <w:t xml:space="preserve"> did not apply to this case.</w:t>
            </w:r>
          </w:p>
        </w:tc>
      </w:tr>
      <w:tr w:rsidR="009C7371" w:rsidRPr="00403149" w:rsidTr="00190453">
        <w:tc>
          <w:tcPr>
            <w:tcW w:w="5000" w:type="pct"/>
            <w:gridSpan w:val="3"/>
          </w:tcPr>
          <w:p w:rsidR="009C7371" w:rsidRPr="00403149" w:rsidRDefault="009C7371" w:rsidP="00190453">
            <w:pPr>
              <w:jc w:val="both"/>
              <w:rPr>
                <w:rFonts w:eastAsia="Calibri"/>
                <w:sz w:val="20"/>
                <w:szCs w:val="20"/>
              </w:rPr>
            </w:pPr>
          </w:p>
        </w:tc>
      </w:tr>
      <w:tr w:rsidR="009C7371" w:rsidRPr="00403149" w:rsidTr="00190453">
        <w:tc>
          <w:tcPr>
            <w:tcW w:w="2427" w:type="pct"/>
          </w:tcPr>
          <w:p w:rsidR="009C7371" w:rsidRPr="00403149" w:rsidRDefault="009C7371" w:rsidP="00190453">
            <w:pPr>
              <w:jc w:val="both"/>
              <w:rPr>
                <w:rFonts w:eastAsia="Calibri"/>
                <w:sz w:val="20"/>
                <w:szCs w:val="20"/>
              </w:rPr>
            </w:pPr>
            <w:r w:rsidRPr="00403149">
              <w:rPr>
                <w:rFonts w:eastAsia="Calibri"/>
                <w:sz w:val="20"/>
                <w:szCs w:val="20"/>
              </w:rPr>
              <w:t>May 2, 2013</w:t>
            </w:r>
          </w:p>
          <w:p w:rsidR="009C7371" w:rsidRPr="00403149" w:rsidRDefault="009C7371" w:rsidP="00190453">
            <w:pPr>
              <w:jc w:val="both"/>
              <w:rPr>
                <w:rFonts w:eastAsia="Calibri"/>
                <w:sz w:val="20"/>
                <w:szCs w:val="20"/>
              </w:rPr>
            </w:pPr>
            <w:r w:rsidRPr="00403149">
              <w:rPr>
                <w:rFonts w:eastAsia="Calibri"/>
                <w:sz w:val="20"/>
                <w:szCs w:val="20"/>
              </w:rPr>
              <w:t>Quebec Superior Court</w:t>
            </w:r>
          </w:p>
          <w:p w:rsidR="009C7371" w:rsidRPr="00403149" w:rsidRDefault="009C7371" w:rsidP="00190453">
            <w:pPr>
              <w:jc w:val="both"/>
              <w:rPr>
                <w:rFonts w:eastAsia="Calibri"/>
                <w:sz w:val="20"/>
                <w:szCs w:val="20"/>
              </w:rPr>
            </w:pPr>
            <w:r w:rsidRPr="00403149">
              <w:rPr>
                <w:rFonts w:eastAsia="Calibri"/>
                <w:sz w:val="20"/>
                <w:szCs w:val="20"/>
              </w:rPr>
              <w:t>(Perrault J.)</w:t>
            </w:r>
          </w:p>
          <w:p w:rsidR="009C7371" w:rsidRPr="00403149" w:rsidRDefault="009C7371" w:rsidP="00190453">
            <w:pPr>
              <w:jc w:val="both"/>
              <w:rPr>
                <w:rFonts w:eastAsia="Calibri"/>
                <w:sz w:val="20"/>
                <w:szCs w:val="20"/>
              </w:rPr>
            </w:pPr>
            <w:r w:rsidRPr="00403149">
              <w:rPr>
                <w:rFonts w:eastAsia="Calibri"/>
                <w:sz w:val="20"/>
                <w:szCs w:val="20"/>
              </w:rPr>
              <w:t>2013 QCCS 1864</w:t>
            </w:r>
          </w:p>
          <w:p w:rsidR="009C7371" w:rsidRPr="00403149" w:rsidRDefault="009C7371" w:rsidP="00190453">
            <w:pPr>
              <w:jc w:val="both"/>
              <w:rPr>
                <w:rFonts w:eastAsia="Calibri"/>
                <w:sz w:val="20"/>
                <w:szCs w:val="20"/>
              </w:rPr>
            </w:pPr>
          </w:p>
        </w:tc>
        <w:tc>
          <w:tcPr>
            <w:tcW w:w="243" w:type="pct"/>
          </w:tcPr>
          <w:p w:rsidR="009C7371" w:rsidRPr="00403149" w:rsidRDefault="009C7371" w:rsidP="00190453">
            <w:pPr>
              <w:jc w:val="both"/>
              <w:rPr>
                <w:rFonts w:eastAsia="Calibri"/>
                <w:sz w:val="20"/>
                <w:szCs w:val="20"/>
              </w:rPr>
            </w:pPr>
          </w:p>
        </w:tc>
        <w:tc>
          <w:tcPr>
            <w:tcW w:w="2330" w:type="pct"/>
          </w:tcPr>
          <w:p w:rsidR="009C7371" w:rsidRPr="00403149" w:rsidRDefault="009C7371" w:rsidP="00190453">
            <w:pPr>
              <w:jc w:val="both"/>
              <w:rPr>
                <w:rFonts w:eastAsia="Calibri"/>
                <w:sz w:val="20"/>
                <w:szCs w:val="20"/>
              </w:rPr>
            </w:pPr>
            <w:r w:rsidRPr="00403149">
              <w:rPr>
                <w:rFonts w:eastAsia="Calibri"/>
                <w:sz w:val="20"/>
                <w:szCs w:val="20"/>
              </w:rPr>
              <w:t>Motion to dismiss allowed and action dismissed</w:t>
            </w:r>
          </w:p>
        </w:tc>
      </w:tr>
      <w:tr w:rsidR="009C7371" w:rsidRPr="00403149" w:rsidTr="00190453">
        <w:tc>
          <w:tcPr>
            <w:tcW w:w="2427" w:type="pct"/>
          </w:tcPr>
          <w:p w:rsidR="009C7371" w:rsidRPr="00403149" w:rsidRDefault="009C7371" w:rsidP="00190453">
            <w:pPr>
              <w:jc w:val="both"/>
              <w:rPr>
                <w:rFonts w:eastAsia="Calibri"/>
                <w:sz w:val="20"/>
                <w:szCs w:val="20"/>
              </w:rPr>
            </w:pPr>
            <w:r w:rsidRPr="00403149">
              <w:rPr>
                <w:rFonts w:eastAsia="Calibri"/>
                <w:sz w:val="20"/>
                <w:szCs w:val="20"/>
              </w:rPr>
              <w:t>November 11, 2013</w:t>
            </w:r>
          </w:p>
          <w:p w:rsidR="009C7371" w:rsidRPr="00403149" w:rsidRDefault="009C7371" w:rsidP="00190453">
            <w:pPr>
              <w:jc w:val="both"/>
              <w:rPr>
                <w:rFonts w:eastAsia="Calibri"/>
                <w:sz w:val="20"/>
                <w:szCs w:val="20"/>
              </w:rPr>
            </w:pPr>
            <w:r w:rsidRPr="00403149">
              <w:rPr>
                <w:rFonts w:eastAsia="Calibri"/>
                <w:sz w:val="20"/>
                <w:szCs w:val="20"/>
              </w:rPr>
              <w:t>Quebec Court of Appeal (Montréal)</w:t>
            </w:r>
          </w:p>
          <w:p w:rsidR="009C7371" w:rsidRPr="00403149" w:rsidRDefault="009C7371" w:rsidP="00190453">
            <w:pPr>
              <w:jc w:val="both"/>
              <w:rPr>
                <w:rFonts w:eastAsia="Calibri"/>
                <w:sz w:val="20"/>
                <w:szCs w:val="20"/>
              </w:rPr>
            </w:pPr>
            <w:r w:rsidRPr="00403149">
              <w:rPr>
                <w:rFonts w:eastAsia="Calibri"/>
                <w:sz w:val="20"/>
                <w:szCs w:val="20"/>
              </w:rPr>
              <w:t>(Duval Hesler, Vézina and Lévesque JJ.A.)</w:t>
            </w:r>
          </w:p>
          <w:p w:rsidR="009C7371" w:rsidRPr="00403149" w:rsidRDefault="004F01F8" w:rsidP="00190453">
            <w:pPr>
              <w:jc w:val="both"/>
              <w:rPr>
                <w:rFonts w:eastAsia="Calibri"/>
                <w:sz w:val="20"/>
                <w:szCs w:val="20"/>
              </w:rPr>
            </w:pPr>
            <w:hyperlink r:id="rId34" w:history="1">
              <w:r w:rsidR="009C7371" w:rsidRPr="00403149">
                <w:rPr>
                  <w:rFonts w:eastAsia="Calibri"/>
                  <w:color w:val="0000FF"/>
                  <w:sz w:val="20"/>
                  <w:szCs w:val="20"/>
                  <w:u w:val="single"/>
                </w:rPr>
                <w:t>2013 QCCA 1975</w:t>
              </w:r>
            </w:hyperlink>
          </w:p>
          <w:p w:rsidR="009C7371" w:rsidRPr="00403149" w:rsidRDefault="009C7371" w:rsidP="00190453">
            <w:pPr>
              <w:jc w:val="both"/>
              <w:rPr>
                <w:rFonts w:eastAsia="Calibri"/>
                <w:sz w:val="20"/>
                <w:szCs w:val="20"/>
              </w:rPr>
            </w:pPr>
          </w:p>
        </w:tc>
        <w:tc>
          <w:tcPr>
            <w:tcW w:w="243" w:type="pct"/>
          </w:tcPr>
          <w:p w:rsidR="009C7371" w:rsidRPr="00403149" w:rsidRDefault="009C7371" w:rsidP="00190453">
            <w:pPr>
              <w:jc w:val="both"/>
              <w:rPr>
                <w:rFonts w:eastAsia="Calibri"/>
                <w:sz w:val="20"/>
                <w:szCs w:val="20"/>
              </w:rPr>
            </w:pPr>
          </w:p>
        </w:tc>
        <w:tc>
          <w:tcPr>
            <w:tcW w:w="2330" w:type="pct"/>
          </w:tcPr>
          <w:p w:rsidR="009C7371" w:rsidRPr="00403149" w:rsidRDefault="009C7371" w:rsidP="00190453">
            <w:pPr>
              <w:jc w:val="both"/>
              <w:rPr>
                <w:rFonts w:eastAsia="Calibri"/>
                <w:sz w:val="20"/>
                <w:szCs w:val="20"/>
              </w:rPr>
            </w:pPr>
            <w:r w:rsidRPr="00403149">
              <w:rPr>
                <w:rFonts w:eastAsia="Calibri"/>
                <w:sz w:val="20"/>
                <w:szCs w:val="20"/>
              </w:rPr>
              <w:t>Motion to dismiss appeal allowed and appeal dismissed</w:t>
            </w:r>
          </w:p>
        </w:tc>
      </w:tr>
      <w:tr w:rsidR="009C7371" w:rsidRPr="00403149" w:rsidTr="00190453">
        <w:tc>
          <w:tcPr>
            <w:tcW w:w="2427" w:type="pct"/>
          </w:tcPr>
          <w:p w:rsidR="009C7371" w:rsidRPr="00403149" w:rsidRDefault="009C7371" w:rsidP="00190453">
            <w:pPr>
              <w:jc w:val="both"/>
              <w:rPr>
                <w:rFonts w:eastAsia="Calibri"/>
                <w:sz w:val="20"/>
                <w:szCs w:val="20"/>
              </w:rPr>
            </w:pPr>
            <w:r w:rsidRPr="00403149">
              <w:rPr>
                <w:rFonts w:eastAsia="Calibri"/>
                <w:sz w:val="20"/>
                <w:szCs w:val="20"/>
              </w:rPr>
              <w:t>January 9, 2014</w:t>
            </w:r>
          </w:p>
          <w:p w:rsidR="009C7371" w:rsidRPr="00403149" w:rsidRDefault="009C7371" w:rsidP="00190453">
            <w:pPr>
              <w:jc w:val="both"/>
              <w:rPr>
                <w:rFonts w:eastAsia="Calibri"/>
                <w:sz w:val="20"/>
                <w:szCs w:val="20"/>
              </w:rPr>
            </w:pPr>
            <w:r w:rsidRPr="00403149">
              <w:rPr>
                <w:rFonts w:eastAsia="Calibri"/>
                <w:sz w:val="20"/>
                <w:szCs w:val="20"/>
              </w:rPr>
              <w:t>Supreme Court of Canada</w:t>
            </w:r>
          </w:p>
        </w:tc>
        <w:tc>
          <w:tcPr>
            <w:tcW w:w="243" w:type="pct"/>
          </w:tcPr>
          <w:p w:rsidR="009C7371" w:rsidRPr="00403149" w:rsidRDefault="009C7371" w:rsidP="00190453">
            <w:pPr>
              <w:jc w:val="both"/>
              <w:rPr>
                <w:rFonts w:eastAsia="Calibri"/>
                <w:sz w:val="20"/>
                <w:szCs w:val="20"/>
              </w:rPr>
            </w:pPr>
          </w:p>
        </w:tc>
        <w:tc>
          <w:tcPr>
            <w:tcW w:w="2330" w:type="pct"/>
          </w:tcPr>
          <w:p w:rsidR="009C7371" w:rsidRPr="00403149" w:rsidRDefault="009C7371" w:rsidP="00190453">
            <w:pPr>
              <w:jc w:val="both"/>
              <w:rPr>
                <w:rFonts w:eastAsia="Calibri"/>
                <w:sz w:val="20"/>
                <w:szCs w:val="20"/>
              </w:rPr>
            </w:pPr>
            <w:r w:rsidRPr="00403149">
              <w:rPr>
                <w:rFonts w:eastAsia="Calibri"/>
                <w:sz w:val="20"/>
                <w:szCs w:val="20"/>
              </w:rPr>
              <w:t>Application for leave to appeal filed</w:t>
            </w:r>
          </w:p>
          <w:p w:rsidR="009C7371" w:rsidRPr="00403149" w:rsidRDefault="009C7371" w:rsidP="00190453">
            <w:pPr>
              <w:jc w:val="both"/>
              <w:rPr>
                <w:rFonts w:eastAsia="Calibri"/>
                <w:sz w:val="20"/>
                <w:szCs w:val="20"/>
              </w:rPr>
            </w:pPr>
          </w:p>
        </w:tc>
      </w:tr>
    </w:tbl>
    <w:p w:rsidR="00600C23" w:rsidRDefault="00600C23" w:rsidP="00600C23">
      <w:pPr>
        <w:rPr>
          <w:sz w:val="20"/>
          <w:szCs w:val="20"/>
        </w:rPr>
      </w:pPr>
    </w:p>
    <w:p w:rsidR="00600C23" w:rsidRPr="00C50A5C" w:rsidRDefault="004F01F8" w:rsidP="00600C23">
      <w:pPr>
        <w:rPr>
          <w:sz w:val="20"/>
          <w:szCs w:val="20"/>
        </w:rPr>
      </w:pPr>
      <w:r>
        <w:rPr>
          <w:sz w:val="20"/>
          <w:szCs w:val="20"/>
          <w:lang w:val="fr-CA"/>
        </w:rPr>
        <w:pict>
          <v:rect id="_x0000_i1044" style="width:2in;height:1pt" o:hrpct="0" o:hralign="center" o:hrstd="t" o:hrnoshade="t" o:hr="t" fillcolor="black [3213]" stroked="f"/>
        </w:pict>
      </w:r>
    </w:p>
    <w:p w:rsidR="00600C23" w:rsidRDefault="00600C23" w:rsidP="00600C23">
      <w:pPr>
        <w:rPr>
          <w:sz w:val="20"/>
          <w:szCs w:val="20"/>
        </w:rPr>
      </w:pPr>
    </w:p>
    <w:p w:rsidR="00600C23" w:rsidRPr="001B157C" w:rsidRDefault="00600C23" w:rsidP="00600C23">
      <w:pPr>
        <w:rPr>
          <w:sz w:val="20"/>
          <w:szCs w:val="20"/>
          <w:u w:val="single"/>
          <w:lang w:val="fr-CA"/>
        </w:rPr>
      </w:pPr>
      <w:r w:rsidRPr="001B157C">
        <w:rPr>
          <w:sz w:val="20"/>
          <w:szCs w:val="20"/>
          <w:u w:val="single"/>
          <w:lang w:val="fr-CA"/>
        </w:rPr>
        <w:t>RÉSUMÉ DE L’AFFAIRE</w:t>
      </w:r>
    </w:p>
    <w:p w:rsidR="00600C23" w:rsidRDefault="00600C23" w:rsidP="00600C2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C7371" w:rsidRPr="00403149" w:rsidTr="00190453">
        <w:tc>
          <w:tcPr>
            <w:tcW w:w="5000" w:type="pct"/>
            <w:gridSpan w:val="3"/>
          </w:tcPr>
          <w:p w:rsidR="009C7371" w:rsidRPr="00403149" w:rsidRDefault="009C7371" w:rsidP="00190453">
            <w:pPr>
              <w:jc w:val="both"/>
              <w:rPr>
                <w:sz w:val="20"/>
                <w:szCs w:val="20"/>
              </w:rPr>
            </w:pPr>
            <w:r w:rsidRPr="00403149">
              <w:rPr>
                <w:sz w:val="20"/>
                <w:szCs w:val="20"/>
                <w:lang w:val="fr-CA"/>
              </w:rPr>
              <w:t>Assurances — Assurance automobile — Régime public d’assurance automobile sans égard à la responsabilité — Procédure civile — Moyens de non</w:t>
            </w:r>
            <w:r w:rsidRPr="00403149">
              <w:rPr>
                <w:sz w:val="20"/>
                <w:szCs w:val="20"/>
                <w:lang w:val="fr-CA"/>
              </w:rPr>
              <w:noBreakHyphen/>
              <w:t>recevabilité — Morceau de béton du plafond d’un stationnement souterrain s’effondrant sur un véhicule stationné et causant la mort du conducteur — Poursuite en dommages</w:t>
            </w:r>
            <w:r w:rsidRPr="00403149">
              <w:rPr>
                <w:sz w:val="20"/>
                <w:szCs w:val="20"/>
                <w:lang w:val="fr-CA"/>
              </w:rPr>
              <w:noBreakHyphen/>
              <w:t>intérêts contre le propriétaire de l’immeuble intentée par les membres de la famille du conducteur — L’événement qui a causé le décès du conducteur est</w:t>
            </w:r>
            <w:r w:rsidRPr="00403149">
              <w:rPr>
                <w:sz w:val="20"/>
                <w:szCs w:val="20"/>
                <w:lang w:val="fr-CA"/>
              </w:rPr>
              <w:noBreakHyphen/>
              <w:t xml:space="preserve">il un accident d’automobile au sens de la </w:t>
            </w:r>
            <w:r w:rsidRPr="00403149">
              <w:rPr>
                <w:i/>
                <w:sz w:val="20"/>
                <w:szCs w:val="20"/>
                <w:lang w:val="fr-CA"/>
              </w:rPr>
              <w:t>Loi sur l’assurance automobile</w:t>
            </w:r>
            <w:r w:rsidRPr="00403149">
              <w:rPr>
                <w:sz w:val="20"/>
                <w:szCs w:val="20"/>
                <w:lang w:val="fr-CA"/>
              </w:rPr>
              <w:t>? — Est</w:t>
            </w:r>
            <w:r w:rsidRPr="00403149">
              <w:rPr>
                <w:sz w:val="20"/>
                <w:szCs w:val="20"/>
                <w:lang w:val="fr-CA"/>
              </w:rPr>
              <w:noBreakHyphen/>
              <w:t xml:space="preserve">ce que l’art. 83.57 de cette loi interdit le recours pour dommages punitifs en vertu de l’art. 49 de la </w:t>
            </w:r>
            <w:r w:rsidRPr="00403149">
              <w:rPr>
                <w:i/>
                <w:sz w:val="20"/>
                <w:szCs w:val="20"/>
                <w:lang w:val="fr-FR"/>
              </w:rPr>
              <w:t>Charte des droits et libertés de la personne</w:t>
            </w:r>
            <w:r w:rsidRPr="00403149">
              <w:rPr>
                <w:sz w:val="20"/>
                <w:szCs w:val="20"/>
                <w:lang w:val="fr-FR"/>
              </w:rPr>
              <w:t>, L.R.Q., ch. C</w:t>
            </w:r>
            <w:r w:rsidRPr="00403149">
              <w:rPr>
                <w:sz w:val="20"/>
                <w:szCs w:val="20"/>
                <w:lang w:val="fr-FR"/>
              </w:rPr>
              <w:noBreakHyphen/>
              <w:t>12</w:t>
            </w:r>
            <w:r w:rsidRPr="00403149">
              <w:rPr>
                <w:sz w:val="20"/>
                <w:szCs w:val="20"/>
                <w:lang w:val="fr-CA"/>
              </w:rPr>
              <w:t xml:space="preserve">? — </w:t>
            </w:r>
            <w:r w:rsidRPr="00403149">
              <w:rPr>
                <w:i/>
                <w:sz w:val="20"/>
                <w:szCs w:val="20"/>
                <w:lang w:val="fr-CA"/>
              </w:rPr>
              <w:t>Loi sur l’assurance automobile</w:t>
            </w:r>
            <w:r w:rsidRPr="00403149">
              <w:rPr>
                <w:sz w:val="20"/>
                <w:szCs w:val="20"/>
                <w:lang w:val="fr-CA"/>
              </w:rPr>
              <w:t>, L.R.Q., ch. A</w:t>
            </w:r>
            <w:r w:rsidRPr="00403149">
              <w:rPr>
                <w:rFonts w:eastAsia="MS Mincho" w:hAnsi="MS Mincho"/>
                <w:sz w:val="20"/>
                <w:szCs w:val="20"/>
                <w:lang w:val="fr-CA"/>
              </w:rPr>
              <w:t>‑</w:t>
            </w:r>
            <w:r w:rsidRPr="00403149">
              <w:rPr>
                <w:sz w:val="20"/>
                <w:szCs w:val="20"/>
                <w:lang w:val="fr-CA"/>
              </w:rPr>
              <w:t xml:space="preserve">25, art. 1 « accident », « préjudice </w:t>
            </w:r>
            <w:r w:rsidRPr="00403149">
              <w:rPr>
                <w:sz w:val="20"/>
                <w:szCs w:val="20"/>
                <w:lang w:val="fr-CA"/>
              </w:rPr>
              <w:lastRenderedPageBreak/>
              <w:t xml:space="preserve">causé par une automobile » — </w:t>
            </w:r>
            <w:r w:rsidRPr="00403149">
              <w:rPr>
                <w:i/>
                <w:sz w:val="20"/>
                <w:szCs w:val="20"/>
                <w:lang w:val="fr-CA"/>
              </w:rPr>
              <w:t>Code de procédure civile</w:t>
            </w:r>
            <w:r w:rsidRPr="00403149">
              <w:rPr>
                <w:sz w:val="20"/>
                <w:szCs w:val="20"/>
                <w:lang w:val="fr-CA"/>
              </w:rPr>
              <w:t>, L.R.Q., ch. </w:t>
            </w:r>
            <w:r w:rsidRPr="00403149">
              <w:rPr>
                <w:sz w:val="20"/>
                <w:szCs w:val="20"/>
              </w:rPr>
              <w:t>C</w:t>
            </w:r>
            <w:r w:rsidRPr="00403149">
              <w:rPr>
                <w:rFonts w:eastAsia="MS Mincho" w:hAnsi="MS Mincho"/>
                <w:sz w:val="20"/>
                <w:szCs w:val="20"/>
              </w:rPr>
              <w:t>‑</w:t>
            </w:r>
            <w:r w:rsidRPr="00403149">
              <w:rPr>
                <w:sz w:val="20"/>
                <w:szCs w:val="20"/>
              </w:rPr>
              <w:t>25, art. 165(4).</w:t>
            </w:r>
          </w:p>
          <w:p w:rsidR="009C7371" w:rsidRPr="00403149" w:rsidRDefault="009C7371" w:rsidP="00190453">
            <w:pPr>
              <w:jc w:val="both"/>
              <w:rPr>
                <w:sz w:val="20"/>
                <w:szCs w:val="20"/>
              </w:rPr>
            </w:pPr>
            <w:r w:rsidRPr="00403149">
              <w:rPr>
                <w:sz w:val="20"/>
                <w:szCs w:val="20"/>
              </w:rPr>
              <w:t xml:space="preserve"> </w:t>
            </w:r>
          </w:p>
        </w:tc>
      </w:tr>
      <w:tr w:rsidR="009C7371" w:rsidRPr="004F01F8" w:rsidTr="00190453">
        <w:tc>
          <w:tcPr>
            <w:tcW w:w="5000" w:type="pct"/>
            <w:gridSpan w:val="3"/>
          </w:tcPr>
          <w:p w:rsidR="009C7371" w:rsidRPr="00403149" w:rsidRDefault="009C7371" w:rsidP="00190453">
            <w:pPr>
              <w:jc w:val="both"/>
              <w:rPr>
                <w:sz w:val="20"/>
                <w:szCs w:val="20"/>
                <w:lang w:val="fr-CA"/>
              </w:rPr>
            </w:pPr>
            <w:r w:rsidRPr="00403149">
              <w:rPr>
                <w:sz w:val="20"/>
                <w:szCs w:val="20"/>
                <w:lang w:val="fr-CA"/>
              </w:rPr>
              <w:lastRenderedPageBreak/>
              <w:t>Le présent litige résulte d’un tragique accident ayant causé le décès de M. Saleh Khazali, employé d’une entreprise de messagerie.  Alors qu’il se trouvait dans son véhicule stationné et toujours en marche dans le stationnement souterrain d’un immeuble appartenant à l’intimée Capreit, en attendant la distribution de colis, une section de la dalle de béton s’est détachée du plafond du stationnement et s’est effondrée sur son véhicule, causant son décès par asphyxie positionnelle.  Les parents et les enfants de M. Khazali intentent une poursuite contre Capreit lui réclamant des dommages</w:t>
            </w:r>
            <w:r w:rsidRPr="00403149">
              <w:rPr>
                <w:sz w:val="20"/>
                <w:szCs w:val="20"/>
                <w:lang w:val="fr-CA"/>
              </w:rPr>
              <w:noBreakHyphen/>
              <w:t xml:space="preserve">intérêts compensatoires.  Alléguant qu’elle n’a pas entretenu adéquatement son immeuble malgré les dégradations manifestes, ils lui réclament également des dommages exemplaires.  L’intimée se défend par une requête en irrecevabilité fondée sur l’art. 83.57 de la </w:t>
            </w:r>
            <w:r w:rsidRPr="00403149">
              <w:rPr>
                <w:i/>
                <w:sz w:val="20"/>
                <w:szCs w:val="20"/>
                <w:lang w:val="fr-CA"/>
              </w:rPr>
              <w:t>Loi sur l’assurance automobile</w:t>
            </w:r>
            <w:r w:rsidRPr="00403149">
              <w:rPr>
                <w:sz w:val="20"/>
                <w:szCs w:val="20"/>
                <w:lang w:val="fr-CA"/>
              </w:rPr>
              <w:t xml:space="preserve"> (« </w:t>
            </w:r>
            <w:r w:rsidRPr="00403149">
              <w:rPr>
                <w:i/>
                <w:sz w:val="20"/>
                <w:szCs w:val="20"/>
                <w:lang w:val="fr-CA"/>
              </w:rPr>
              <w:t>LAA</w:t>
            </w:r>
            <w:r w:rsidRPr="00403149">
              <w:rPr>
                <w:sz w:val="20"/>
                <w:szCs w:val="20"/>
                <w:lang w:val="fr-CA"/>
              </w:rPr>
              <w:t> »), dont le premier alinéa se lit ainsi :</w:t>
            </w:r>
          </w:p>
          <w:p w:rsidR="009C7371" w:rsidRPr="00403149" w:rsidRDefault="009C7371" w:rsidP="00190453">
            <w:pPr>
              <w:jc w:val="both"/>
              <w:rPr>
                <w:sz w:val="20"/>
                <w:szCs w:val="20"/>
                <w:lang w:val="fr-CA"/>
              </w:rPr>
            </w:pPr>
          </w:p>
          <w:p w:rsidR="009C7371" w:rsidRPr="00403149" w:rsidRDefault="009C7371" w:rsidP="00190453">
            <w:pPr>
              <w:ind w:left="555" w:right="713"/>
              <w:jc w:val="both"/>
              <w:rPr>
                <w:sz w:val="20"/>
                <w:szCs w:val="20"/>
                <w:lang w:val="fr-CA"/>
              </w:rPr>
            </w:pPr>
            <w:r w:rsidRPr="00403149">
              <w:rPr>
                <w:sz w:val="20"/>
                <w:szCs w:val="20"/>
                <w:lang w:val="fr-CA"/>
              </w:rPr>
              <w:t>« 83.57 Les indemnités prévues au présent titre tiennent lieu de tous les droits et recours en raison d’un préjudice corporel et nulle action à ce sujet n’est reçue devant un tribunal. »</w:t>
            </w:r>
          </w:p>
          <w:p w:rsidR="009C7371" w:rsidRPr="00403149" w:rsidRDefault="009C7371" w:rsidP="00190453">
            <w:pPr>
              <w:jc w:val="both"/>
              <w:rPr>
                <w:sz w:val="20"/>
                <w:szCs w:val="20"/>
                <w:lang w:val="fr-CA"/>
              </w:rPr>
            </w:pPr>
          </w:p>
          <w:p w:rsidR="009C7371" w:rsidRPr="00403149" w:rsidRDefault="009C7371" w:rsidP="00190453">
            <w:pPr>
              <w:jc w:val="both"/>
              <w:rPr>
                <w:sz w:val="20"/>
                <w:szCs w:val="20"/>
                <w:lang w:val="fr-CA"/>
              </w:rPr>
            </w:pPr>
            <w:r w:rsidRPr="00403149">
              <w:rPr>
                <w:sz w:val="20"/>
                <w:szCs w:val="20"/>
                <w:lang w:val="fr-CA"/>
              </w:rPr>
              <w:t xml:space="preserve">L’intimée et la Société de l’assurance automobile du Québec, mise en cause en première instance, soutiennent que l’action des demandeurs est irrecevable car non fondée en droit même en tenant les faits allégués pour avérés (art. 165(4) </w:t>
            </w:r>
            <w:r w:rsidRPr="00403149">
              <w:rPr>
                <w:i/>
                <w:sz w:val="20"/>
                <w:szCs w:val="20"/>
                <w:lang w:val="fr-CA"/>
              </w:rPr>
              <w:t>C.p.c.</w:t>
            </w:r>
            <w:r w:rsidRPr="00403149">
              <w:rPr>
                <w:sz w:val="20"/>
                <w:szCs w:val="20"/>
                <w:lang w:val="fr-CA"/>
              </w:rPr>
              <w:t>).  Elles plaident que le préjudice subi par M. Khazali résulte d’un « accident » causé par une « automobile » au sens de la</w:t>
            </w:r>
            <w:r w:rsidRPr="00403149">
              <w:rPr>
                <w:i/>
                <w:sz w:val="20"/>
                <w:szCs w:val="20"/>
                <w:lang w:val="fr-CA"/>
              </w:rPr>
              <w:t xml:space="preserve"> LAA</w:t>
            </w:r>
            <w:r w:rsidRPr="00403149">
              <w:rPr>
                <w:sz w:val="20"/>
                <w:szCs w:val="20"/>
                <w:lang w:val="fr-CA"/>
              </w:rPr>
              <w:t xml:space="preserve"> et que les demandeurs ne peuvent donc poursuivre en vertu du droit général de la responsabilité civile.  Les demandeurs répondent que le stationnement souterrain de l’immeuble ne constitue pas un « chemin public » au sens de la </w:t>
            </w:r>
            <w:r w:rsidRPr="00403149">
              <w:rPr>
                <w:i/>
                <w:sz w:val="20"/>
                <w:szCs w:val="20"/>
                <w:lang w:val="fr-CA"/>
              </w:rPr>
              <w:t>LAA</w:t>
            </w:r>
            <w:r w:rsidRPr="00403149">
              <w:rPr>
                <w:sz w:val="20"/>
                <w:szCs w:val="20"/>
                <w:lang w:val="fr-CA"/>
              </w:rPr>
              <w:t xml:space="preserve">, que l’accident est survenu dans un endroit privé, que le véhicule était immobile, et par conséquent que la </w:t>
            </w:r>
            <w:r w:rsidRPr="00403149">
              <w:rPr>
                <w:i/>
                <w:sz w:val="20"/>
                <w:szCs w:val="20"/>
                <w:lang w:val="fr-CA"/>
              </w:rPr>
              <w:t>LAA</w:t>
            </w:r>
            <w:r w:rsidRPr="00403149">
              <w:rPr>
                <w:sz w:val="20"/>
                <w:szCs w:val="20"/>
                <w:lang w:val="fr-CA"/>
              </w:rPr>
              <w:t xml:space="preserve"> ne s’applique pas au présent litige.</w:t>
            </w:r>
          </w:p>
        </w:tc>
      </w:tr>
      <w:tr w:rsidR="009C7371" w:rsidRPr="004F01F8" w:rsidTr="00190453">
        <w:tc>
          <w:tcPr>
            <w:tcW w:w="5000" w:type="pct"/>
            <w:gridSpan w:val="3"/>
          </w:tcPr>
          <w:p w:rsidR="009C7371" w:rsidRPr="00403149" w:rsidRDefault="009C7371" w:rsidP="00190453">
            <w:pPr>
              <w:jc w:val="both"/>
              <w:rPr>
                <w:sz w:val="20"/>
                <w:szCs w:val="20"/>
                <w:lang w:val="fr-CA"/>
              </w:rPr>
            </w:pPr>
          </w:p>
        </w:tc>
      </w:tr>
      <w:tr w:rsidR="009C7371" w:rsidRPr="004F01F8" w:rsidTr="00190453">
        <w:tc>
          <w:tcPr>
            <w:tcW w:w="2427" w:type="pct"/>
          </w:tcPr>
          <w:p w:rsidR="009C7371" w:rsidRPr="00403149" w:rsidRDefault="009C7371" w:rsidP="00190453">
            <w:pPr>
              <w:jc w:val="both"/>
              <w:rPr>
                <w:sz w:val="20"/>
                <w:szCs w:val="20"/>
                <w:lang w:val="fr-CA"/>
              </w:rPr>
            </w:pPr>
            <w:r w:rsidRPr="00403149">
              <w:rPr>
                <w:sz w:val="20"/>
                <w:szCs w:val="20"/>
                <w:lang w:val="fr-CA"/>
              </w:rPr>
              <w:t>Le 2 mai 2013</w:t>
            </w:r>
          </w:p>
          <w:p w:rsidR="009C7371" w:rsidRPr="00403149" w:rsidRDefault="009C7371" w:rsidP="00190453">
            <w:pPr>
              <w:jc w:val="both"/>
              <w:rPr>
                <w:sz w:val="20"/>
                <w:szCs w:val="20"/>
                <w:lang w:val="fr-CA"/>
              </w:rPr>
            </w:pPr>
            <w:r w:rsidRPr="00403149">
              <w:rPr>
                <w:sz w:val="20"/>
                <w:szCs w:val="20"/>
                <w:lang w:val="fr-CA"/>
              </w:rPr>
              <w:t>Cour supérieure du Québec</w:t>
            </w:r>
          </w:p>
          <w:p w:rsidR="009C7371" w:rsidRPr="00403149" w:rsidRDefault="009C7371" w:rsidP="00190453">
            <w:pPr>
              <w:jc w:val="both"/>
              <w:rPr>
                <w:sz w:val="20"/>
                <w:szCs w:val="20"/>
              </w:rPr>
            </w:pPr>
            <w:r w:rsidRPr="00403149">
              <w:rPr>
                <w:sz w:val="20"/>
                <w:szCs w:val="20"/>
              </w:rPr>
              <w:t>(La juge Perrault)</w:t>
            </w:r>
          </w:p>
          <w:p w:rsidR="009C7371" w:rsidRPr="00403149" w:rsidRDefault="009C7371" w:rsidP="00190453">
            <w:pPr>
              <w:jc w:val="both"/>
              <w:rPr>
                <w:sz w:val="20"/>
                <w:szCs w:val="20"/>
              </w:rPr>
            </w:pPr>
            <w:r w:rsidRPr="00403149">
              <w:rPr>
                <w:sz w:val="20"/>
                <w:szCs w:val="20"/>
              </w:rPr>
              <w:t>2013 QCCS 1864</w:t>
            </w:r>
          </w:p>
          <w:p w:rsidR="009C7371" w:rsidRPr="00403149" w:rsidRDefault="009C7371" w:rsidP="00190453">
            <w:pPr>
              <w:jc w:val="both"/>
              <w:rPr>
                <w:sz w:val="20"/>
                <w:szCs w:val="20"/>
              </w:rPr>
            </w:pPr>
          </w:p>
        </w:tc>
        <w:tc>
          <w:tcPr>
            <w:tcW w:w="243" w:type="pct"/>
          </w:tcPr>
          <w:p w:rsidR="009C7371" w:rsidRPr="00403149" w:rsidRDefault="009C7371" w:rsidP="00190453">
            <w:pPr>
              <w:jc w:val="both"/>
              <w:rPr>
                <w:sz w:val="20"/>
                <w:szCs w:val="20"/>
              </w:rPr>
            </w:pPr>
          </w:p>
        </w:tc>
        <w:tc>
          <w:tcPr>
            <w:tcW w:w="2330" w:type="pct"/>
          </w:tcPr>
          <w:p w:rsidR="009C7371" w:rsidRPr="00403149" w:rsidRDefault="009C7371" w:rsidP="00190453">
            <w:pPr>
              <w:jc w:val="both"/>
              <w:rPr>
                <w:sz w:val="20"/>
                <w:szCs w:val="20"/>
                <w:lang w:val="fr-CA"/>
              </w:rPr>
            </w:pPr>
            <w:r w:rsidRPr="00403149">
              <w:rPr>
                <w:sz w:val="20"/>
                <w:szCs w:val="20"/>
                <w:lang w:val="fr-CA"/>
              </w:rPr>
              <w:t>Requête en irrecevabilité accueillie et action rejetée</w:t>
            </w:r>
          </w:p>
        </w:tc>
      </w:tr>
      <w:tr w:rsidR="009C7371" w:rsidRPr="004F01F8" w:rsidTr="00190453">
        <w:tc>
          <w:tcPr>
            <w:tcW w:w="2427" w:type="pct"/>
          </w:tcPr>
          <w:p w:rsidR="009C7371" w:rsidRPr="00403149" w:rsidRDefault="009C7371" w:rsidP="00190453">
            <w:pPr>
              <w:jc w:val="both"/>
              <w:rPr>
                <w:sz w:val="20"/>
                <w:szCs w:val="20"/>
                <w:lang w:val="fr-CA"/>
              </w:rPr>
            </w:pPr>
            <w:r w:rsidRPr="00403149">
              <w:rPr>
                <w:sz w:val="20"/>
                <w:szCs w:val="20"/>
                <w:lang w:val="fr-CA"/>
              </w:rPr>
              <w:t>Le 11 novembre 2013</w:t>
            </w:r>
          </w:p>
          <w:p w:rsidR="009C7371" w:rsidRPr="00403149" w:rsidRDefault="009C7371" w:rsidP="00190453">
            <w:pPr>
              <w:jc w:val="both"/>
              <w:rPr>
                <w:sz w:val="20"/>
                <w:szCs w:val="20"/>
                <w:lang w:val="fr-CA"/>
              </w:rPr>
            </w:pPr>
            <w:r w:rsidRPr="00403149">
              <w:rPr>
                <w:sz w:val="20"/>
                <w:szCs w:val="20"/>
                <w:lang w:val="fr-CA"/>
              </w:rPr>
              <w:t>Cour d’appel du Québec (Montréal)</w:t>
            </w:r>
          </w:p>
          <w:p w:rsidR="009C7371" w:rsidRPr="00403149" w:rsidRDefault="009C7371" w:rsidP="00190453">
            <w:pPr>
              <w:jc w:val="both"/>
              <w:rPr>
                <w:sz w:val="20"/>
                <w:szCs w:val="20"/>
                <w:lang w:val="fr-CA"/>
              </w:rPr>
            </w:pPr>
            <w:r w:rsidRPr="00403149">
              <w:rPr>
                <w:sz w:val="20"/>
                <w:szCs w:val="20"/>
                <w:lang w:val="fr-CA"/>
              </w:rPr>
              <w:t>(Les juges Duval Hesler, Vézina et Lévesque)</w:t>
            </w:r>
          </w:p>
          <w:p w:rsidR="009C7371" w:rsidRPr="00403149" w:rsidRDefault="004F01F8" w:rsidP="00190453">
            <w:pPr>
              <w:jc w:val="both"/>
              <w:rPr>
                <w:sz w:val="20"/>
                <w:szCs w:val="20"/>
              </w:rPr>
            </w:pPr>
            <w:hyperlink r:id="rId35" w:history="1">
              <w:r w:rsidR="009C7371" w:rsidRPr="00403149">
                <w:rPr>
                  <w:rStyle w:val="Hyperlink"/>
                  <w:sz w:val="20"/>
                  <w:szCs w:val="20"/>
                </w:rPr>
                <w:t>2013 QCCA 1975</w:t>
              </w:r>
            </w:hyperlink>
          </w:p>
          <w:p w:rsidR="009C7371" w:rsidRPr="00403149" w:rsidRDefault="009C7371" w:rsidP="00190453">
            <w:pPr>
              <w:jc w:val="both"/>
              <w:rPr>
                <w:sz w:val="20"/>
                <w:szCs w:val="20"/>
                <w:lang w:val="fr-FR"/>
              </w:rPr>
            </w:pPr>
          </w:p>
        </w:tc>
        <w:tc>
          <w:tcPr>
            <w:tcW w:w="243" w:type="pct"/>
          </w:tcPr>
          <w:p w:rsidR="009C7371" w:rsidRPr="00403149" w:rsidRDefault="009C7371" w:rsidP="00190453">
            <w:pPr>
              <w:jc w:val="both"/>
              <w:rPr>
                <w:sz w:val="20"/>
                <w:szCs w:val="20"/>
                <w:lang w:val="fr-FR"/>
              </w:rPr>
            </w:pPr>
          </w:p>
        </w:tc>
        <w:tc>
          <w:tcPr>
            <w:tcW w:w="2330" w:type="pct"/>
          </w:tcPr>
          <w:p w:rsidR="009C7371" w:rsidRPr="00403149" w:rsidRDefault="009C7371" w:rsidP="00190453">
            <w:pPr>
              <w:jc w:val="both"/>
              <w:rPr>
                <w:sz w:val="20"/>
                <w:szCs w:val="20"/>
                <w:lang w:val="fr-CA"/>
              </w:rPr>
            </w:pPr>
            <w:r w:rsidRPr="00403149">
              <w:rPr>
                <w:sz w:val="20"/>
                <w:szCs w:val="20"/>
                <w:lang w:val="fr-CA"/>
              </w:rPr>
              <w:t>Requête en rejet d’appel accueillie et appel rejeté</w:t>
            </w:r>
          </w:p>
        </w:tc>
      </w:tr>
      <w:tr w:rsidR="009C7371" w:rsidRPr="00403149" w:rsidTr="00190453">
        <w:tc>
          <w:tcPr>
            <w:tcW w:w="2427" w:type="pct"/>
          </w:tcPr>
          <w:p w:rsidR="009C7371" w:rsidRPr="00403149" w:rsidRDefault="009C7371" w:rsidP="00190453">
            <w:pPr>
              <w:jc w:val="both"/>
              <w:rPr>
                <w:sz w:val="20"/>
                <w:szCs w:val="20"/>
                <w:lang w:val="fr-CA"/>
              </w:rPr>
            </w:pPr>
            <w:r w:rsidRPr="00403149">
              <w:rPr>
                <w:sz w:val="20"/>
                <w:szCs w:val="20"/>
                <w:lang w:val="fr-CA"/>
              </w:rPr>
              <w:t>Le 9 janvier 2014</w:t>
            </w:r>
          </w:p>
          <w:p w:rsidR="009C7371" w:rsidRPr="00403149" w:rsidRDefault="009C7371" w:rsidP="00190453">
            <w:pPr>
              <w:jc w:val="both"/>
              <w:rPr>
                <w:sz w:val="20"/>
                <w:szCs w:val="20"/>
                <w:lang w:val="fr-FR"/>
              </w:rPr>
            </w:pPr>
            <w:r w:rsidRPr="00403149">
              <w:rPr>
                <w:sz w:val="20"/>
                <w:szCs w:val="20"/>
                <w:lang w:val="fr-CA"/>
              </w:rPr>
              <w:t>Cour suprême du Canada</w:t>
            </w:r>
          </w:p>
        </w:tc>
        <w:tc>
          <w:tcPr>
            <w:tcW w:w="243" w:type="pct"/>
          </w:tcPr>
          <w:p w:rsidR="009C7371" w:rsidRPr="00403149" w:rsidRDefault="009C7371" w:rsidP="00190453">
            <w:pPr>
              <w:jc w:val="both"/>
              <w:rPr>
                <w:sz w:val="20"/>
                <w:szCs w:val="20"/>
                <w:lang w:val="fr-FR"/>
              </w:rPr>
            </w:pPr>
          </w:p>
        </w:tc>
        <w:tc>
          <w:tcPr>
            <w:tcW w:w="2330" w:type="pct"/>
          </w:tcPr>
          <w:p w:rsidR="009C7371" w:rsidRPr="009C7371" w:rsidRDefault="009C7371" w:rsidP="00190453">
            <w:pPr>
              <w:jc w:val="both"/>
              <w:rPr>
                <w:sz w:val="20"/>
                <w:szCs w:val="20"/>
                <w:lang w:val="fr-CA"/>
              </w:rPr>
            </w:pPr>
            <w:r w:rsidRPr="009C7371">
              <w:rPr>
                <w:sz w:val="20"/>
                <w:szCs w:val="20"/>
                <w:lang w:val="fr-CA"/>
              </w:rPr>
              <w:t>Demande d’autorisation d’appel déposée</w:t>
            </w:r>
          </w:p>
        </w:tc>
      </w:tr>
    </w:tbl>
    <w:p w:rsidR="00600C23" w:rsidRDefault="00600C23" w:rsidP="00600C23">
      <w:pPr>
        <w:rPr>
          <w:sz w:val="20"/>
          <w:szCs w:val="20"/>
        </w:rPr>
      </w:pPr>
    </w:p>
    <w:p w:rsidR="00600C23" w:rsidRDefault="004F01F8" w:rsidP="00600C23">
      <w:pPr>
        <w:rPr>
          <w:sz w:val="20"/>
          <w:szCs w:val="20"/>
        </w:rPr>
      </w:pPr>
      <w:r>
        <w:rPr>
          <w:sz w:val="20"/>
          <w:szCs w:val="20"/>
          <w:lang w:val="fr-CA"/>
        </w:rPr>
        <w:pict>
          <v:rect id="_x0000_i1045" style="width:2in;height:1pt" o:hrpct="0" o:hralign="center" o:hrstd="t" o:hrnoshade="t" o:hr="t" fillcolor="black [3213]" stroked="f"/>
        </w:pict>
      </w:r>
    </w:p>
    <w:p w:rsidR="00600C23" w:rsidRDefault="00600C23" w:rsidP="00600C23">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04EDE" w:rsidRPr="00582BFB" w:rsidTr="007A5AE5">
        <w:trPr>
          <w:cantSplit/>
        </w:trPr>
        <w:tc>
          <w:tcPr>
            <w:tcW w:w="1458" w:type="dxa"/>
          </w:tcPr>
          <w:p w:rsidR="00004EDE" w:rsidRPr="00582BFB" w:rsidRDefault="00004EDE" w:rsidP="007A5AE5">
            <w:pPr>
              <w:rPr>
                <w:sz w:val="20"/>
                <w:szCs w:val="20"/>
              </w:rPr>
            </w:pPr>
            <w:r w:rsidRPr="00582BFB">
              <w:rPr>
                <w:rStyle w:val="SCCFileNumberChar"/>
                <w:sz w:val="20"/>
                <w:szCs w:val="20"/>
              </w:rPr>
              <w:t>35683</w:t>
            </w:r>
          </w:p>
          <w:p w:rsidR="00004EDE" w:rsidRPr="00582BFB" w:rsidRDefault="00004EDE" w:rsidP="007A5AE5">
            <w:pPr>
              <w:rPr>
                <w:b/>
                <w:sz w:val="20"/>
                <w:szCs w:val="20"/>
                <w:lang w:val="fr-CA"/>
              </w:rPr>
            </w:pPr>
          </w:p>
        </w:tc>
        <w:tc>
          <w:tcPr>
            <w:tcW w:w="8118" w:type="dxa"/>
          </w:tcPr>
          <w:p w:rsidR="00004EDE" w:rsidRPr="00582BFB" w:rsidRDefault="00004EDE" w:rsidP="007A5AE5">
            <w:pPr>
              <w:rPr>
                <w:sz w:val="20"/>
                <w:szCs w:val="20"/>
              </w:rPr>
            </w:pPr>
            <w:r w:rsidRPr="00582BFB">
              <w:rPr>
                <w:rStyle w:val="SCCLsocChar"/>
                <w:sz w:val="20"/>
                <w:szCs w:val="20"/>
                <w:lang w:val="en-CA"/>
              </w:rPr>
              <w:t>Veena Malhotra v. State Farm Fire and Casualty Company</w:t>
            </w:r>
            <w:r w:rsidRPr="00582BFB">
              <w:rPr>
                <w:sz w:val="20"/>
                <w:szCs w:val="20"/>
              </w:rPr>
              <w:t xml:space="preserve"> (Ont.) (Civil) (By Leave)</w:t>
            </w:r>
          </w:p>
          <w:p w:rsidR="00004EDE" w:rsidRPr="00582BFB" w:rsidRDefault="00004EDE" w:rsidP="007A5AE5">
            <w:pPr>
              <w:rPr>
                <w:sz w:val="20"/>
                <w:szCs w:val="20"/>
              </w:rPr>
            </w:pPr>
          </w:p>
        </w:tc>
      </w:tr>
      <w:tr w:rsidR="00004EDE" w:rsidRPr="00582BFB" w:rsidTr="007A5AE5">
        <w:trPr>
          <w:cantSplit/>
        </w:trPr>
        <w:tc>
          <w:tcPr>
            <w:tcW w:w="1458" w:type="dxa"/>
          </w:tcPr>
          <w:p w:rsidR="00004EDE" w:rsidRPr="00582BFB" w:rsidRDefault="00004EDE" w:rsidP="007A5AE5">
            <w:pPr>
              <w:rPr>
                <w:sz w:val="20"/>
                <w:szCs w:val="20"/>
              </w:rPr>
            </w:pPr>
            <w:r w:rsidRPr="00582BFB">
              <w:rPr>
                <w:sz w:val="20"/>
                <w:szCs w:val="20"/>
              </w:rPr>
              <w:t>Coram :</w:t>
            </w:r>
          </w:p>
        </w:tc>
        <w:tc>
          <w:tcPr>
            <w:tcW w:w="8118" w:type="dxa"/>
          </w:tcPr>
          <w:p w:rsidR="00004EDE" w:rsidRPr="00582BFB" w:rsidRDefault="00004EDE" w:rsidP="007A5AE5">
            <w:pPr>
              <w:rPr>
                <w:sz w:val="20"/>
                <w:szCs w:val="20"/>
              </w:rPr>
            </w:pPr>
            <w:r w:rsidRPr="00582BFB">
              <w:rPr>
                <w:rStyle w:val="SCCCoramChar"/>
                <w:sz w:val="20"/>
                <w:szCs w:val="20"/>
                <w:lang w:val="en-CA"/>
              </w:rPr>
              <w:t>LeBel, Karakatsanis and Wagner JJ.</w:t>
            </w:r>
          </w:p>
          <w:p w:rsidR="00004EDE" w:rsidRPr="00582BFB" w:rsidRDefault="00004EDE" w:rsidP="007A5AE5">
            <w:pPr>
              <w:rPr>
                <w:sz w:val="20"/>
                <w:szCs w:val="20"/>
                <w:u w:val="single"/>
              </w:rPr>
            </w:pPr>
          </w:p>
        </w:tc>
      </w:tr>
      <w:tr w:rsidR="00004EDE" w:rsidRPr="004F01F8" w:rsidTr="007A5AE5">
        <w:trPr>
          <w:cantSplit/>
        </w:trPr>
        <w:tc>
          <w:tcPr>
            <w:tcW w:w="9576" w:type="dxa"/>
            <w:gridSpan w:val="2"/>
          </w:tcPr>
          <w:p w:rsidR="00004EDE" w:rsidRPr="00582BFB" w:rsidRDefault="00004EDE" w:rsidP="007A5AE5">
            <w:pPr>
              <w:pStyle w:val="SCCShortJudgment"/>
              <w:rPr>
                <w:szCs w:val="20"/>
              </w:rPr>
            </w:pPr>
            <w:r w:rsidRPr="00582BFB">
              <w:rPr>
                <w:szCs w:val="20"/>
              </w:rPr>
              <w:lastRenderedPageBreak/>
              <w:t>The motion for an extension of time to serve and file the application for leave to appeal is granted. The application for leave to appeal from the judgment of the Court of Appeal for Ontario, Numbers C54793 and C56509, 2013 ONCA 326, dated May 13, 2013, is dismissed with costs.</w:t>
            </w:r>
          </w:p>
          <w:p w:rsidR="00004EDE" w:rsidRPr="00582BFB" w:rsidRDefault="00004EDE" w:rsidP="007A5AE5">
            <w:pPr>
              <w:pStyle w:val="SCCShortJudgment"/>
              <w:ind w:firstLine="0"/>
              <w:rPr>
                <w:szCs w:val="20"/>
              </w:rPr>
            </w:pPr>
          </w:p>
          <w:p w:rsidR="00004EDE" w:rsidRPr="00582BFB" w:rsidRDefault="00004EDE" w:rsidP="007A5AE5">
            <w:pPr>
              <w:pStyle w:val="SCCShortJudgment"/>
              <w:rPr>
                <w:szCs w:val="20"/>
                <w:lang w:val="fr-CA"/>
              </w:rPr>
            </w:pPr>
            <w:r w:rsidRPr="00582BFB">
              <w:rPr>
                <w:szCs w:val="20"/>
                <w:lang w:val="fr-CA"/>
              </w:rPr>
              <w:t>La requête en prorogation du délai de signification et de dépôt de la demande d’autorisation d’appel est accueillie. La demande d’autorisation d’appel de l’arrêt de la Cour d’appel de l’Ontario, numéros C54793 et C56509, 2013 ONCA 326, daté du 13 mai 2013, est rejetée avec dépens.</w:t>
            </w:r>
          </w:p>
        </w:tc>
      </w:tr>
    </w:tbl>
    <w:p w:rsidR="000E2959" w:rsidRPr="00004EDE" w:rsidRDefault="000E2959" w:rsidP="000E2959">
      <w:pPr>
        <w:rPr>
          <w:sz w:val="20"/>
          <w:szCs w:val="20"/>
          <w:lang w:val="fr-CA"/>
        </w:rPr>
      </w:pPr>
    </w:p>
    <w:p w:rsidR="00600C23" w:rsidRPr="001B157C" w:rsidRDefault="00600C23" w:rsidP="00600C23">
      <w:pPr>
        <w:rPr>
          <w:sz w:val="20"/>
          <w:szCs w:val="20"/>
          <w:u w:val="single"/>
        </w:rPr>
      </w:pPr>
      <w:r w:rsidRPr="001B157C">
        <w:rPr>
          <w:sz w:val="20"/>
          <w:szCs w:val="20"/>
          <w:u w:val="single"/>
        </w:rPr>
        <w:t>CASE SUMMARY</w:t>
      </w:r>
    </w:p>
    <w:p w:rsidR="00600C23" w:rsidRDefault="00600C23" w:rsidP="00600C2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C7371" w:rsidRPr="00403149" w:rsidTr="00190453">
        <w:tc>
          <w:tcPr>
            <w:tcW w:w="5000" w:type="pct"/>
            <w:gridSpan w:val="3"/>
          </w:tcPr>
          <w:p w:rsidR="009C7371" w:rsidRPr="00403149" w:rsidRDefault="009C7371" w:rsidP="00190453">
            <w:pPr>
              <w:jc w:val="both"/>
              <w:rPr>
                <w:rFonts w:eastAsia="Calibri"/>
                <w:sz w:val="20"/>
                <w:szCs w:val="20"/>
              </w:rPr>
            </w:pPr>
            <w:r w:rsidRPr="00403149">
              <w:rPr>
                <w:rFonts w:eastAsia="Calibri"/>
                <w:sz w:val="20"/>
                <w:szCs w:val="20"/>
              </w:rPr>
              <w:t xml:space="preserve">Legislation ― Interpretation ― Insurance ― Property insurance ― Appraisal ― Appointment of umpire ― Appeals from decisions of judges of the Ontario Superior Court of Justice appointing an umpire under s. 128(5) of the </w:t>
            </w:r>
            <w:r w:rsidRPr="00403149">
              <w:rPr>
                <w:rFonts w:eastAsia="Calibri"/>
                <w:i/>
                <w:sz w:val="20"/>
                <w:szCs w:val="20"/>
              </w:rPr>
              <w:t>Insurance Act</w:t>
            </w:r>
            <w:r w:rsidRPr="00403149">
              <w:rPr>
                <w:rFonts w:eastAsia="Calibri"/>
                <w:sz w:val="20"/>
                <w:szCs w:val="20"/>
              </w:rPr>
              <w:t>, R.S.O. 1990, c. I.8 ― Whether an insured is entitled to have a separate umpire appointed for each of her five insured properties? ― Whether appraisers required to determine matters in disagreement prior to submitting their differences to an umpire?</w:t>
            </w:r>
          </w:p>
        </w:tc>
      </w:tr>
      <w:tr w:rsidR="009C7371" w:rsidRPr="00403149" w:rsidTr="00190453">
        <w:tc>
          <w:tcPr>
            <w:tcW w:w="5000" w:type="pct"/>
            <w:gridSpan w:val="3"/>
          </w:tcPr>
          <w:p w:rsidR="009C7371" w:rsidRPr="00403149" w:rsidRDefault="009C7371" w:rsidP="00190453">
            <w:pPr>
              <w:jc w:val="both"/>
              <w:rPr>
                <w:rFonts w:eastAsia="Calibri"/>
                <w:sz w:val="20"/>
                <w:szCs w:val="20"/>
              </w:rPr>
            </w:pPr>
          </w:p>
        </w:tc>
      </w:tr>
      <w:tr w:rsidR="009C7371" w:rsidRPr="00403149" w:rsidTr="00190453">
        <w:tc>
          <w:tcPr>
            <w:tcW w:w="5000" w:type="pct"/>
            <w:gridSpan w:val="3"/>
          </w:tcPr>
          <w:p w:rsidR="009C7371" w:rsidRPr="00403149" w:rsidRDefault="009C7371" w:rsidP="00190453">
            <w:pPr>
              <w:jc w:val="both"/>
              <w:rPr>
                <w:rFonts w:eastAsia="Calibri"/>
                <w:sz w:val="20"/>
                <w:szCs w:val="20"/>
              </w:rPr>
            </w:pPr>
            <w:r w:rsidRPr="00403149">
              <w:rPr>
                <w:rFonts w:eastAsia="Calibri"/>
                <w:sz w:val="20"/>
                <w:szCs w:val="20"/>
              </w:rPr>
              <w:t xml:space="preserve">This application for leave to appeal concerns two orders appointing an umpire under s. 128 of the Ontario </w:t>
            </w:r>
            <w:r w:rsidRPr="00403149">
              <w:rPr>
                <w:rFonts w:eastAsia="Calibri"/>
                <w:i/>
                <w:sz w:val="20"/>
                <w:szCs w:val="20"/>
              </w:rPr>
              <w:t>Insurance Act</w:t>
            </w:r>
            <w:r w:rsidRPr="00403149">
              <w:rPr>
                <w:rFonts w:eastAsia="Calibri"/>
                <w:sz w:val="20"/>
                <w:szCs w:val="20"/>
              </w:rPr>
              <w:t xml:space="preserve"> to resolve a dispute between the parties regarding five properties owned by the applicant, Ms. Malhotra, and insured by the respondent, State Farm Fire and Casualty Company.</w:t>
            </w:r>
          </w:p>
          <w:p w:rsidR="009C7371" w:rsidRPr="00403149" w:rsidRDefault="009C7371" w:rsidP="00190453">
            <w:pPr>
              <w:jc w:val="both"/>
              <w:rPr>
                <w:rFonts w:eastAsia="Calibri"/>
                <w:sz w:val="20"/>
                <w:szCs w:val="20"/>
              </w:rPr>
            </w:pPr>
          </w:p>
          <w:p w:rsidR="009C7371" w:rsidRPr="00403149" w:rsidRDefault="009C7371" w:rsidP="00190453">
            <w:pPr>
              <w:jc w:val="both"/>
              <w:rPr>
                <w:rFonts w:eastAsia="Calibri"/>
                <w:sz w:val="20"/>
                <w:szCs w:val="20"/>
              </w:rPr>
            </w:pPr>
            <w:r w:rsidRPr="00403149">
              <w:rPr>
                <w:rFonts w:eastAsia="Calibri"/>
                <w:sz w:val="20"/>
                <w:szCs w:val="20"/>
              </w:rPr>
              <w:t xml:space="preserve">The Court of Appeal dismissed Ms. Malhotra’s appeal of these two decisions.  In its view, the power to appoint an umpire under s. 128 of the </w:t>
            </w:r>
            <w:r w:rsidRPr="00403149">
              <w:rPr>
                <w:rFonts w:eastAsia="Calibri"/>
                <w:i/>
                <w:sz w:val="20"/>
                <w:szCs w:val="20"/>
              </w:rPr>
              <w:t>Insurance Act</w:t>
            </w:r>
            <w:r w:rsidRPr="00403149">
              <w:rPr>
                <w:rFonts w:eastAsia="Calibri"/>
                <w:sz w:val="20"/>
                <w:szCs w:val="20"/>
              </w:rPr>
              <w:t xml:space="preserve"> is discretionary, and nothing in s. 128 prohibits a judge from appointing a single umpire to deal with multiple properties.  In the Court of Appeal’s view, Ms. Malhotra had not identified on appeal an error that would justify interfering with the judges’ exercise of their discretion. </w:t>
            </w:r>
          </w:p>
          <w:p w:rsidR="009C7371" w:rsidRPr="00403149" w:rsidRDefault="009C7371" w:rsidP="00190453">
            <w:pPr>
              <w:jc w:val="both"/>
              <w:rPr>
                <w:rFonts w:eastAsia="Calibri"/>
                <w:sz w:val="20"/>
                <w:szCs w:val="20"/>
              </w:rPr>
            </w:pPr>
          </w:p>
        </w:tc>
      </w:tr>
      <w:tr w:rsidR="009C7371" w:rsidRPr="00403149" w:rsidTr="00190453">
        <w:tc>
          <w:tcPr>
            <w:tcW w:w="2427" w:type="pct"/>
          </w:tcPr>
          <w:p w:rsidR="009C7371" w:rsidRPr="00403149" w:rsidRDefault="009C7371" w:rsidP="00190453">
            <w:pPr>
              <w:jc w:val="both"/>
              <w:rPr>
                <w:rFonts w:eastAsia="Calibri"/>
                <w:sz w:val="20"/>
                <w:szCs w:val="20"/>
              </w:rPr>
            </w:pPr>
            <w:r w:rsidRPr="00403149">
              <w:rPr>
                <w:rFonts w:eastAsia="Calibri"/>
                <w:sz w:val="20"/>
                <w:szCs w:val="20"/>
              </w:rPr>
              <w:t>August 6, 2009</w:t>
            </w:r>
          </w:p>
          <w:p w:rsidR="009C7371" w:rsidRPr="00403149" w:rsidRDefault="009C7371" w:rsidP="00190453">
            <w:pPr>
              <w:jc w:val="both"/>
              <w:rPr>
                <w:rFonts w:eastAsia="Calibri"/>
                <w:sz w:val="20"/>
                <w:szCs w:val="20"/>
              </w:rPr>
            </w:pPr>
            <w:r w:rsidRPr="00403149">
              <w:rPr>
                <w:rFonts w:eastAsia="Calibri"/>
                <w:sz w:val="20"/>
                <w:szCs w:val="20"/>
              </w:rPr>
              <w:t>Ontario Superior Court of Justice</w:t>
            </w:r>
          </w:p>
          <w:p w:rsidR="009C7371" w:rsidRPr="00403149" w:rsidRDefault="009C7371" w:rsidP="00190453">
            <w:pPr>
              <w:jc w:val="both"/>
              <w:rPr>
                <w:rFonts w:eastAsia="Calibri"/>
                <w:sz w:val="20"/>
                <w:szCs w:val="20"/>
              </w:rPr>
            </w:pPr>
            <w:r w:rsidRPr="00403149">
              <w:rPr>
                <w:rFonts w:eastAsia="Calibri"/>
                <w:sz w:val="20"/>
                <w:szCs w:val="20"/>
              </w:rPr>
              <w:t>(Maddalena J.)</w:t>
            </w:r>
          </w:p>
          <w:p w:rsidR="009C7371" w:rsidRPr="00403149" w:rsidRDefault="009C7371" w:rsidP="00190453">
            <w:pPr>
              <w:jc w:val="both"/>
              <w:rPr>
                <w:rFonts w:eastAsia="Calibri"/>
                <w:sz w:val="20"/>
                <w:szCs w:val="20"/>
              </w:rPr>
            </w:pPr>
          </w:p>
        </w:tc>
        <w:tc>
          <w:tcPr>
            <w:tcW w:w="243" w:type="pct"/>
          </w:tcPr>
          <w:p w:rsidR="009C7371" w:rsidRPr="00403149" w:rsidRDefault="009C7371" w:rsidP="00190453">
            <w:pPr>
              <w:jc w:val="both"/>
              <w:rPr>
                <w:rFonts w:eastAsia="Calibri"/>
                <w:sz w:val="20"/>
                <w:szCs w:val="20"/>
              </w:rPr>
            </w:pPr>
          </w:p>
        </w:tc>
        <w:tc>
          <w:tcPr>
            <w:tcW w:w="2330" w:type="pct"/>
          </w:tcPr>
          <w:p w:rsidR="009C7371" w:rsidRPr="00403149" w:rsidRDefault="009C7371" w:rsidP="00190453">
            <w:pPr>
              <w:jc w:val="both"/>
              <w:rPr>
                <w:rFonts w:eastAsia="Calibri"/>
                <w:sz w:val="20"/>
                <w:szCs w:val="20"/>
              </w:rPr>
            </w:pPr>
            <w:r w:rsidRPr="00403149">
              <w:rPr>
                <w:rFonts w:eastAsia="Calibri"/>
                <w:sz w:val="20"/>
                <w:szCs w:val="20"/>
              </w:rPr>
              <w:t xml:space="preserve">Motion to appoint an umpire under s. 128 of the </w:t>
            </w:r>
            <w:r w:rsidRPr="00403149">
              <w:rPr>
                <w:rFonts w:eastAsia="Calibri"/>
                <w:i/>
                <w:sz w:val="20"/>
                <w:szCs w:val="20"/>
              </w:rPr>
              <w:t>Insurance Act</w:t>
            </w:r>
            <w:r w:rsidRPr="00403149">
              <w:rPr>
                <w:rFonts w:eastAsia="Calibri"/>
                <w:sz w:val="20"/>
                <w:szCs w:val="20"/>
              </w:rPr>
              <w:t xml:space="preserve"> granted; G.W. Cleary appointed as sole umpire with regard to all five properties</w:t>
            </w:r>
          </w:p>
          <w:p w:rsidR="009C7371" w:rsidRPr="00403149" w:rsidRDefault="009C7371" w:rsidP="00190453">
            <w:pPr>
              <w:jc w:val="both"/>
              <w:rPr>
                <w:rFonts w:eastAsia="Calibri"/>
                <w:sz w:val="20"/>
                <w:szCs w:val="20"/>
              </w:rPr>
            </w:pPr>
          </w:p>
        </w:tc>
      </w:tr>
      <w:tr w:rsidR="009C7371" w:rsidRPr="00403149" w:rsidTr="00004EDE">
        <w:trPr>
          <w:cantSplit/>
        </w:trPr>
        <w:tc>
          <w:tcPr>
            <w:tcW w:w="2427" w:type="pct"/>
          </w:tcPr>
          <w:p w:rsidR="009C7371" w:rsidRPr="00403149" w:rsidRDefault="009C7371" w:rsidP="00190453">
            <w:pPr>
              <w:jc w:val="both"/>
              <w:rPr>
                <w:rFonts w:eastAsia="Calibri"/>
                <w:sz w:val="20"/>
                <w:szCs w:val="20"/>
              </w:rPr>
            </w:pPr>
            <w:r w:rsidRPr="00403149">
              <w:rPr>
                <w:rFonts w:eastAsia="Calibri"/>
                <w:sz w:val="20"/>
                <w:szCs w:val="20"/>
              </w:rPr>
              <w:t>November 29, 2011</w:t>
            </w:r>
          </w:p>
          <w:p w:rsidR="009C7371" w:rsidRPr="00403149" w:rsidRDefault="009C7371" w:rsidP="00190453">
            <w:pPr>
              <w:jc w:val="both"/>
              <w:rPr>
                <w:rFonts w:eastAsia="Calibri"/>
                <w:sz w:val="20"/>
                <w:szCs w:val="20"/>
              </w:rPr>
            </w:pPr>
            <w:r w:rsidRPr="00403149">
              <w:rPr>
                <w:rFonts w:eastAsia="Calibri"/>
                <w:sz w:val="20"/>
                <w:szCs w:val="20"/>
              </w:rPr>
              <w:t>Ontario Superior Court of Justice</w:t>
            </w:r>
          </w:p>
          <w:p w:rsidR="009C7371" w:rsidRPr="00403149" w:rsidRDefault="009C7371" w:rsidP="00190453">
            <w:pPr>
              <w:jc w:val="both"/>
              <w:rPr>
                <w:rFonts w:eastAsia="Calibri"/>
                <w:sz w:val="20"/>
                <w:szCs w:val="20"/>
              </w:rPr>
            </w:pPr>
            <w:r w:rsidRPr="00403149">
              <w:rPr>
                <w:rFonts w:eastAsia="Calibri"/>
                <w:sz w:val="20"/>
                <w:szCs w:val="20"/>
              </w:rPr>
              <w:t>(Arrell J.)</w:t>
            </w:r>
          </w:p>
          <w:p w:rsidR="009C7371" w:rsidRPr="00403149" w:rsidRDefault="009C7371" w:rsidP="00190453">
            <w:pPr>
              <w:jc w:val="both"/>
              <w:rPr>
                <w:rFonts w:eastAsia="Calibri"/>
                <w:sz w:val="20"/>
                <w:szCs w:val="20"/>
              </w:rPr>
            </w:pPr>
          </w:p>
        </w:tc>
        <w:tc>
          <w:tcPr>
            <w:tcW w:w="243" w:type="pct"/>
          </w:tcPr>
          <w:p w:rsidR="009C7371" w:rsidRPr="00403149" w:rsidRDefault="009C7371" w:rsidP="00190453">
            <w:pPr>
              <w:jc w:val="both"/>
              <w:rPr>
                <w:rFonts w:eastAsia="Calibri"/>
                <w:sz w:val="20"/>
                <w:szCs w:val="20"/>
              </w:rPr>
            </w:pPr>
          </w:p>
        </w:tc>
        <w:tc>
          <w:tcPr>
            <w:tcW w:w="2330" w:type="pct"/>
          </w:tcPr>
          <w:p w:rsidR="009C7371" w:rsidRPr="00403149" w:rsidRDefault="009C7371" w:rsidP="00190453">
            <w:pPr>
              <w:jc w:val="both"/>
              <w:rPr>
                <w:rFonts w:eastAsia="Calibri"/>
                <w:sz w:val="20"/>
                <w:szCs w:val="20"/>
              </w:rPr>
            </w:pPr>
            <w:r w:rsidRPr="00403149">
              <w:rPr>
                <w:rFonts w:eastAsia="Calibri"/>
                <w:sz w:val="20"/>
                <w:szCs w:val="20"/>
              </w:rPr>
              <w:t>Motion to appoint new umpire granted; G.T. Gibson appointed as sole umpire for the properties</w:t>
            </w:r>
          </w:p>
          <w:p w:rsidR="009C7371" w:rsidRPr="00403149" w:rsidRDefault="009C7371" w:rsidP="00190453">
            <w:pPr>
              <w:jc w:val="both"/>
              <w:rPr>
                <w:rFonts w:eastAsia="Calibri"/>
                <w:sz w:val="20"/>
                <w:szCs w:val="20"/>
              </w:rPr>
            </w:pPr>
          </w:p>
        </w:tc>
      </w:tr>
      <w:tr w:rsidR="009C7371" w:rsidRPr="00403149" w:rsidTr="00004EDE">
        <w:trPr>
          <w:cantSplit/>
        </w:trPr>
        <w:tc>
          <w:tcPr>
            <w:tcW w:w="2427" w:type="pct"/>
          </w:tcPr>
          <w:p w:rsidR="009C7371" w:rsidRPr="00403149" w:rsidRDefault="009C7371" w:rsidP="00190453">
            <w:pPr>
              <w:jc w:val="both"/>
              <w:rPr>
                <w:rFonts w:eastAsia="Calibri"/>
                <w:sz w:val="20"/>
                <w:szCs w:val="20"/>
              </w:rPr>
            </w:pPr>
            <w:r w:rsidRPr="00403149">
              <w:rPr>
                <w:rFonts w:eastAsia="Calibri"/>
                <w:sz w:val="20"/>
                <w:szCs w:val="20"/>
              </w:rPr>
              <w:t>May 1</w:t>
            </w:r>
            <w:r w:rsidR="002F2845">
              <w:rPr>
                <w:rFonts w:eastAsia="Calibri"/>
                <w:sz w:val="20"/>
                <w:szCs w:val="20"/>
              </w:rPr>
              <w:t>3</w:t>
            </w:r>
            <w:r w:rsidRPr="00403149">
              <w:rPr>
                <w:rFonts w:eastAsia="Calibri"/>
                <w:sz w:val="20"/>
                <w:szCs w:val="20"/>
              </w:rPr>
              <w:t>, 2013</w:t>
            </w:r>
          </w:p>
          <w:p w:rsidR="009C7371" w:rsidRPr="00403149" w:rsidRDefault="009C7371" w:rsidP="00190453">
            <w:pPr>
              <w:jc w:val="both"/>
              <w:rPr>
                <w:rFonts w:eastAsia="Calibri"/>
                <w:sz w:val="20"/>
                <w:szCs w:val="20"/>
              </w:rPr>
            </w:pPr>
            <w:r w:rsidRPr="00403149">
              <w:rPr>
                <w:rFonts w:eastAsia="Calibri"/>
                <w:sz w:val="20"/>
                <w:szCs w:val="20"/>
              </w:rPr>
              <w:t>Court of Appeal for Ontario</w:t>
            </w:r>
          </w:p>
          <w:p w:rsidR="009C7371" w:rsidRPr="00403149" w:rsidRDefault="009C7371" w:rsidP="00190453">
            <w:pPr>
              <w:jc w:val="both"/>
              <w:rPr>
                <w:rFonts w:eastAsia="Calibri"/>
                <w:sz w:val="20"/>
                <w:szCs w:val="20"/>
              </w:rPr>
            </w:pPr>
            <w:r w:rsidRPr="00403149">
              <w:rPr>
                <w:rFonts w:eastAsia="Calibri"/>
                <w:sz w:val="20"/>
                <w:szCs w:val="20"/>
              </w:rPr>
              <w:t>(Simmons, Hoy and Strathy (</w:t>
            </w:r>
            <w:r w:rsidRPr="00403149">
              <w:rPr>
                <w:rFonts w:eastAsia="Calibri"/>
                <w:i/>
                <w:sz w:val="20"/>
                <w:szCs w:val="20"/>
              </w:rPr>
              <w:t>ad hoc</w:t>
            </w:r>
            <w:r w:rsidRPr="00403149">
              <w:rPr>
                <w:rFonts w:eastAsia="Calibri"/>
                <w:sz w:val="20"/>
                <w:szCs w:val="20"/>
              </w:rPr>
              <w:t>) JJ.A.)</w:t>
            </w:r>
          </w:p>
          <w:p w:rsidR="009C7371" w:rsidRPr="00403149" w:rsidRDefault="009C7371" w:rsidP="00190453">
            <w:pPr>
              <w:jc w:val="both"/>
              <w:rPr>
                <w:rFonts w:eastAsia="Calibri"/>
                <w:sz w:val="20"/>
                <w:szCs w:val="20"/>
              </w:rPr>
            </w:pPr>
            <w:r w:rsidRPr="00403149">
              <w:rPr>
                <w:rFonts w:eastAsia="Calibri"/>
                <w:sz w:val="20"/>
                <w:szCs w:val="20"/>
              </w:rPr>
              <w:t xml:space="preserve">C54793/C56509; </w:t>
            </w:r>
            <w:hyperlink r:id="rId36" w:history="1">
              <w:r w:rsidRPr="00403149">
                <w:rPr>
                  <w:rFonts w:eastAsia="Calibri"/>
                  <w:color w:val="0000FF"/>
                  <w:sz w:val="20"/>
                  <w:szCs w:val="20"/>
                  <w:u w:val="single"/>
                </w:rPr>
                <w:t>2013 ONCA 326</w:t>
              </w:r>
            </w:hyperlink>
          </w:p>
          <w:p w:rsidR="009C7371" w:rsidRPr="00403149" w:rsidRDefault="009C7371" w:rsidP="00190453">
            <w:pPr>
              <w:jc w:val="both"/>
              <w:rPr>
                <w:rFonts w:eastAsia="Calibri"/>
                <w:sz w:val="20"/>
                <w:szCs w:val="20"/>
              </w:rPr>
            </w:pPr>
          </w:p>
        </w:tc>
        <w:tc>
          <w:tcPr>
            <w:tcW w:w="243" w:type="pct"/>
          </w:tcPr>
          <w:p w:rsidR="009C7371" w:rsidRPr="00403149" w:rsidRDefault="009C7371" w:rsidP="00190453">
            <w:pPr>
              <w:jc w:val="both"/>
              <w:rPr>
                <w:rFonts w:eastAsia="Calibri"/>
                <w:sz w:val="20"/>
                <w:szCs w:val="20"/>
              </w:rPr>
            </w:pPr>
          </w:p>
        </w:tc>
        <w:tc>
          <w:tcPr>
            <w:tcW w:w="2330" w:type="pct"/>
          </w:tcPr>
          <w:p w:rsidR="009C7371" w:rsidRPr="00403149" w:rsidRDefault="009C7371" w:rsidP="00190453">
            <w:pPr>
              <w:jc w:val="both"/>
              <w:rPr>
                <w:rFonts w:eastAsia="Calibri"/>
                <w:sz w:val="20"/>
                <w:szCs w:val="20"/>
              </w:rPr>
            </w:pPr>
            <w:r w:rsidRPr="00403149">
              <w:rPr>
                <w:rFonts w:eastAsia="Calibri"/>
                <w:sz w:val="20"/>
                <w:szCs w:val="20"/>
              </w:rPr>
              <w:t>Appeals dismissed</w:t>
            </w:r>
          </w:p>
          <w:p w:rsidR="009C7371" w:rsidRPr="00403149" w:rsidRDefault="009C7371" w:rsidP="00190453">
            <w:pPr>
              <w:jc w:val="both"/>
              <w:rPr>
                <w:rFonts w:eastAsia="Calibri"/>
                <w:sz w:val="20"/>
                <w:szCs w:val="20"/>
              </w:rPr>
            </w:pPr>
          </w:p>
        </w:tc>
      </w:tr>
      <w:tr w:rsidR="009C7371" w:rsidRPr="00403149" w:rsidTr="00004EDE">
        <w:trPr>
          <w:cantSplit/>
        </w:trPr>
        <w:tc>
          <w:tcPr>
            <w:tcW w:w="2427" w:type="pct"/>
          </w:tcPr>
          <w:p w:rsidR="009C7371" w:rsidRPr="00403149" w:rsidRDefault="009C7371" w:rsidP="00190453">
            <w:pPr>
              <w:jc w:val="both"/>
              <w:rPr>
                <w:rFonts w:eastAsia="Calibri"/>
                <w:sz w:val="20"/>
                <w:szCs w:val="20"/>
              </w:rPr>
            </w:pPr>
            <w:r w:rsidRPr="00403149">
              <w:rPr>
                <w:rFonts w:eastAsia="Calibri"/>
                <w:sz w:val="20"/>
                <w:szCs w:val="20"/>
              </w:rPr>
              <w:t>August 22, 2013</w:t>
            </w:r>
          </w:p>
          <w:p w:rsidR="009C7371" w:rsidRPr="00403149" w:rsidRDefault="009C7371" w:rsidP="00190453">
            <w:pPr>
              <w:jc w:val="both"/>
              <w:rPr>
                <w:rFonts w:eastAsia="Calibri"/>
                <w:sz w:val="20"/>
                <w:szCs w:val="20"/>
              </w:rPr>
            </w:pPr>
            <w:r w:rsidRPr="00403149">
              <w:rPr>
                <w:rFonts w:eastAsia="Calibri"/>
                <w:sz w:val="20"/>
                <w:szCs w:val="20"/>
              </w:rPr>
              <w:t>Supreme Court of Canada</w:t>
            </w:r>
          </w:p>
          <w:p w:rsidR="009C7371" w:rsidRPr="00403149" w:rsidRDefault="009C7371" w:rsidP="00190453">
            <w:pPr>
              <w:jc w:val="both"/>
              <w:rPr>
                <w:rFonts w:eastAsia="Calibri"/>
                <w:sz w:val="20"/>
                <w:szCs w:val="20"/>
              </w:rPr>
            </w:pPr>
          </w:p>
        </w:tc>
        <w:tc>
          <w:tcPr>
            <w:tcW w:w="243" w:type="pct"/>
          </w:tcPr>
          <w:p w:rsidR="009C7371" w:rsidRPr="00403149" w:rsidRDefault="009C7371" w:rsidP="00190453">
            <w:pPr>
              <w:jc w:val="both"/>
              <w:rPr>
                <w:rFonts w:eastAsia="Calibri"/>
                <w:sz w:val="20"/>
                <w:szCs w:val="20"/>
              </w:rPr>
            </w:pPr>
          </w:p>
        </w:tc>
        <w:tc>
          <w:tcPr>
            <w:tcW w:w="2330" w:type="pct"/>
          </w:tcPr>
          <w:p w:rsidR="009C7371" w:rsidRPr="00403149" w:rsidRDefault="009C7371" w:rsidP="00190453">
            <w:pPr>
              <w:jc w:val="both"/>
              <w:rPr>
                <w:rFonts w:eastAsia="Calibri"/>
                <w:sz w:val="20"/>
                <w:szCs w:val="20"/>
              </w:rPr>
            </w:pPr>
            <w:r w:rsidRPr="00403149">
              <w:rPr>
                <w:rFonts w:eastAsia="Calibri"/>
                <w:sz w:val="20"/>
                <w:szCs w:val="20"/>
              </w:rPr>
              <w:t>Application for leave to appeal filed</w:t>
            </w:r>
          </w:p>
          <w:p w:rsidR="009C7371" w:rsidRPr="00403149" w:rsidRDefault="009C7371" w:rsidP="00190453">
            <w:pPr>
              <w:jc w:val="both"/>
              <w:rPr>
                <w:rFonts w:eastAsia="Calibri"/>
                <w:sz w:val="20"/>
                <w:szCs w:val="20"/>
              </w:rPr>
            </w:pPr>
          </w:p>
        </w:tc>
      </w:tr>
      <w:tr w:rsidR="009C7371" w:rsidRPr="00403149" w:rsidTr="00004EDE">
        <w:trPr>
          <w:cantSplit/>
        </w:trPr>
        <w:tc>
          <w:tcPr>
            <w:tcW w:w="2427" w:type="pct"/>
          </w:tcPr>
          <w:p w:rsidR="009C7371" w:rsidRPr="00403149" w:rsidRDefault="009C7371" w:rsidP="00190453">
            <w:pPr>
              <w:jc w:val="both"/>
              <w:rPr>
                <w:rFonts w:eastAsia="Calibri"/>
                <w:sz w:val="20"/>
                <w:szCs w:val="20"/>
              </w:rPr>
            </w:pPr>
            <w:r w:rsidRPr="00403149">
              <w:rPr>
                <w:rFonts w:eastAsia="Calibri"/>
                <w:sz w:val="20"/>
                <w:szCs w:val="20"/>
              </w:rPr>
              <w:t>December 23, 2013</w:t>
            </w:r>
          </w:p>
          <w:p w:rsidR="009C7371" w:rsidRPr="00403149" w:rsidRDefault="009C7371" w:rsidP="00190453">
            <w:pPr>
              <w:jc w:val="both"/>
              <w:rPr>
                <w:rFonts w:eastAsia="Calibri"/>
                <w:sz w:val="20"/>
                <w:szCs w:val="20"/>
              </w:rPr>
            </w:pPr>
            <w:r w:rsidRPr="00403149">
              <w:rPr>
                <w:rFonts w:eastAsia="Calibri"/>
                <w:sz w:val="20"/>
                <w:szCs w:val="20"/>
              </w:rPr>
              <w:t>Supreme Court of Canada</w:t>
            </w:r>
          </w:p>
        </w:tc>
        <w:tc>
          <w:tcPr>
            <w:tcW w:w="243" w:type="pct"/>
          </w:tcPr>
          <w:p w:rsidR="009C7371" w:rsidRPr="00403149" w:rsidRDefault="009C7371" w:rsidP="00190453">
            <w:pPr>
              <w:jc w:val="both"/>
              <w:rPr>
                <w:rFonts w:eastAsia="Calibri"/>
                <w:sz w:val="20"/>
                <w:szCs w:val="20"/>
              </w:rPr>
            </w:pPr>
          </w:p>
        </w:tc>
        <w:tc>
          <w:tcPr>
            <w:tcW w:w="2330" w:type="pct"/>
          </w:tcPr>
          <w:p w:rsidR="009C7371" w:rsidRPr="00403149" w:rsidRDefault="009C7371" w:rsidP="00190453">
            <w:pPr>
              <w:jc w:val="both"/>
              <w:rPr>
                <w:rFonts w:eastAsia="Calibri"/>
                <w:sz w:val="20"/>
                <w:szCs w:val="20"/>
              </w:rPr>
            </w:pPr>
            <w:r w:rsidRPr="00403149">
              <w:rPr>
                <w:rFonts w:eastAsia="Calibri"/>
                <w:sz w:val="20"/>
                <w:szCs w:val="20"/>
              </w:rPr>
              <w:t>Motion for an extension of time to serve and file an application for leave to appeal filed</w:t>
            </w:r>
          </w:p>
        </w:tc>
      </w:tr>
    </w:tbl>
    <w:p w:rsidR="00600C23" w:rsidRDefault="00600C23" w:rsidP="00600C23">
      <w:pPr>
        <w:rPr>
          <w:sz w:val="20"/>
          <w:szCs w:val="20"/>
        </w:rPr>
      </w:pPr>
    </w:p>
    <w:p w:rsidR="00600C23" w:rsidRPr="00C50A5C" w:rsidRDefault="004F01F8" w:rsidP="00600C23">
      <w:pPr>
        <w:rPr>
          <w:sz w:val="20"/>
          <w:szCs w:val="20"/>
        </w:rPr>
      </w:pPr>
      <w:r>
        <w:rPr>
          <w:sz w:val="20"/>
          <w:szCs w:val="20"/>
          <w:lang w:val="fr-CA"/>
        </w:rPr>
        <w:pict>
          <v:rect id="_x0000_i1046" style="width:2in;height:1pt" o:hrpct="0" o:hralign="center" o:hrstd="t" o:hrnoshade="t" o:hr="t" fillcolor="black [3213]" stroked="f"/>
        </w:pict>
      </w:r>
    </w:p>
    <w:p w:rsidR="00600C23" w:rsidRDefault="00600C23" w:rsidP="00600C23">
      <w:pPr>
        <w:rPr>
          <w:sz w:val="20"/>
          <w:szCs w:val="20"/>
        </w:rPr>
      </w:pPr>
    </w:p>
    <w:p w:rsidR="00600C23" w:rsidRPr="001B157C" w:rsidRDefault="00600C23" w:rsidP="00600C23">
      <w:pPr>
        <w:rPr>
          <w:sz w:val="20"/>
          <w:szCs w:val="20"/>
          <w:u w:val="single"/>
          <w:lang w:val="fr-CA"/>
        </w:rPr>
      </w:pPr>
      <w:r w:rsidRPr="001B157C">
        <w:rPr>
          <w:sz w:val="20"/>
          <w:szCs w:val="20"/>
          <w:u w:val="single"/>
          <w:lang w:val="fr-CA"/>
        </w:rPr>
        <w:t>RÉSUMÉ DE L’AFFAIRE</w:t>
      </w:r>
    </w:p>
    <w:p w:rsidR="00600C23" w:rsidRDefault="00600C23" w:rsidP="00600C2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C7371" w:rsidRPr="004F01F8" w:rsidTr="00190453">
        <w:tc>
          <w:tcPr>
            <w:tcW w:w="5000" w:type="pct"/>
            <w:gridSpan w:val="3"/>
          </w:tcPr>
          <w:p w:rsidR="009C7371" w:rsidRPr="00403149" w:rsidRDefault="009C7371" w:rsidP="00190453">
            <w:pPr>
              <w:jc w:val="both"/>
              <w:rPr>
                <w:rFonts w:eastAsia="Calibri"/>
                <w:sz w:val="20"/>
                <w:szCs w:val="20"/>
                <w:lang w:val="fr-CA"/>
              </w:rPr>
            </w:pPr>
            <w:r w:rsidRPr="00403149">
              <w:rPr>
                <w:rFonts w:eastAsia="Calibri"/>
                <w:sz w:val="20"/>
                <w:szCs w:val="20"/>
                <w:lang w:val="fr-CA"/>
              </w:rPr>
              <w:t xml:space="preserve">Législation ― Interprétation ― Assurance ― Assurance de biens ― Estimation ― Nomination d’un arbitre ― Appel </w:t>
            </w:r>
            <w:r w:rsidRPr="00403149">
              <w:rPr>
                <w:rFonts w:eastAsia="Calibri"/>
                <w:sz w:val="20"/>
                <w:szCs w:val="20"/>
                <w:lang w:val="fr-CA"/>
              </w:rPr>
              <w:lastRenderedPageBreak/>
              <w:t xml:space="preserve">de décisions rendues par des juges de la Cour supérieure de justice de l’Ontario nommant un arbitre en application du par. 128(5) de la </w:t>
            </w:r>
            <w:r w:rsidRPr="00403149">
              <w:rPr>
                <w:rFonts w:eastAsia="Calibri"/>
                <w:i/>
                <w:sz w:val="20"/>
                <w:szCs w:val="20"/>
                <w:lang w:val="fr-CA"/>
              </w:rPr>
              <w:t>Loi sur les assurances</w:t>
            </w:r>
            <w:r w:rsidRPr="00403149">
              <w:rPr>
                <w:rFonts w:eastAsia="Calibri"/>
                <w:sz w:val="20"/>
                <w:szCs w:val="20"/>
                <w:lang w:val="fr-CA"/>
              </w:rPr>
              <w:t>, L.R.O. 1990, ch. I.8 ― Une assurée a</w:t>
            </w:r>
            <w:r w:rsidRPr="00403149">
              <w:rPr>
                <w:rFonts w:eastAsia="Calibri"/>
                <w:sz w:val="20"/>
                <w:szCs w:val="20"/>
                <w:lang w:val="fr-CA"/>
              </w:rPr>
              <w:noBreakHyphen/>
              <w:t>t</w:t>
            </w:r>
            <w:r w:rsidRPr="00403149">
              <w:rPr>
                <w:rFonts w:eastAsia="Calibri"/>
                <w:sz w:val="20"/>
                <w:szCs w:val="20"/>
                <w:lang w:val="fr-CA"/>
              </w:rPr>
              <w:noBreakHyphen/>
              <w:t>elle le droit de faire nommer un arbitre distinct pour chacune de ses cinq propriétés assurées? ― Les estimateurs sont</w:t>
            </w:r>
            <w:r w:rsidRPr="00403149">
              <w:rPr>
                <w:rFonts w:eastAsia="Calibri"/>
                <w:sz w:val="20"/>
                <w:szCs w:val="20"/>
                <w:lang w:val="fr-CA"/>
              </w:rPr>
              <w:noBreakHyphen/>
              <w:t>ils tenus de régler les questions qui font l’objet d’un désaccord avant de soumettre leurs différends à un arbitre?</w:t>
            </w:r>
          </w:p>
        </w:tc>
      </w:tr>
      <w:tr w:rsidR="009C7371" w:rsidRPr="004F01F8" w:rsidTr="00190453">
        <w:tc>
          <w:tcPr>
            <w:tcW w:w="5000" w:type="pct"/>
            <w:gridSpan w:val="3"/>
          </w:tcPr>
          <w:p w:rsidR="009C7371" w:rsidRPr="00403149" w:rsidRDefault="009C7371" w:rsidP="00190453">
            <w:pPr>
              <w:jc w:val="both"/>
              <w:rPr>
                <w:rFonts w:eastAsia="Calibri"/>
                <w:sz w:val="20"/>
                <w:szCs w:val="20"/>
                <w:lang w:val="fr-CA"/>
              </w:rPr>
            </w:pPr>
          </w:p>
        </w:tc>
      </w:tr>
      <w:tr w:rsidR="009C7371" w:rsidRPr="004F01F8" w:rsidTr="00190453">
        <w:tc>
          <w:tcPr>
            <w:tcW w:w="5000" w:type="pct"/>
            <w:gridSpan w:val="3"/>
          </w:tcPr>
          <w:p w:rsidR="009C7371" w:rsidRPr="00403149" w:rsidRDefault="009C7371" w:rsidP="00190453">
            <w:pPr>
              <w:jc w:val="both"/>
              <w:rPr>
                <w:rFonts w:eastAsia="Calibri"/>
                <w:sz w:val="20"/>
                <w:szCs w:val="20"/>
                <w:lang w:val="fr-CA"/>
              </w:rPr>
            </w:pPr>
            <w:r w:rsidRPr="00403149">
              <w:rPr>
                <w:rFonts w:eastAsia="Calibri"/>
                <w:sz w:val="20"/>
                <w:szCs w:val="20"/>
                <w:lang w:val="fr-CA"/>
              </w:rPr>
              <w:t>La présente demande d’autorisation d’appel concerne deux ordonnances de nomination d’un arbitre en application de l’art. 128 de la</w:t>
            </w:r>
            <w:r w:rsidRPr="00403149">
              <w:rPr>
                <w:rFonts w:eastAsia="Calibri"/>
                <w:i/>
                <w:sz w:val="20"/>
                <w:szCs w:val="20"/>
                <w:lang w:val="fr-CA"/>
              </w:rPr>
              <w:t xml:space="preserve"> Loi sur les assurances </w:t>
            </w:r>
            <w:r w:rsidRPr="00403149">
              <w:rPr>
                <w:rFonts w:eastAsia="Calibri"/>
                <w:sz w:val="20"/>
                <w:szCs w:val="20"/>
                <w:lang w:val="fr-CA"/>
              </w:rPr>
              <w:t>de l’Ontario pour régler un différend opposant les parties relativement à cinq propriétés appartenant à la demanderesse, Mme Malhotra, et assurées par l’intimée, State Farm Fire and Casualty Company.</w:t>
            </w:r>
          </w:p>
          <w:p w:rsidR="009C7371" w:rsidRPr="00403149" w:rsidRDefault="009C7371" w:rsidP="00190453">
            <w:pPr>
              <w:jc w:val="both"/>
              <w:rPr>
                <w:rFonts w:eastAsia="Calibri"/>
                <w:sz w:val="20"/>
                <w:szCs w:val="20"/>
                <w:lang w:val="fr-CA"/>
              </w:rPr>
            </w:pPr>
          </w:p>
          <w:p w:rsidR="009C7371" w:rsidRPr="00403149" w:rsidRDefault="009C7371" w:rsidP="00190453">
            <w:pPr>
              <w:jc w:val="both"/>
              <w:rPr>
                <w:rFonts w:eastAsia="Calibri"/>
                <w:sz w:val="20"/>
                <w:szCs w:val="20"/>
                <w:lang w:val="fr-CA"/>
              </w:rPr>
            </w:pPr>
            <w:r w:rsidRPr="00403149">
              <w:rPr>
                <w:rFonts w:eastAsia="Calibri"/>
                <w:sz w:val="20"/>
                <w:szCs w:val="20"/>
                <w:lang w:val="fr-CA"/>
              </w:rPr>
              <w:t>La Cour d’appel a rejeté l’appel de ces deux décisions interjeté par Mme Malhotra.  À son avis, le pouvoir de nommer un arbitre en application de l’art. 128 de la</w:t>
            </w:r>
            <w:r w:rsidRPr="00403149">
              <w:rPr>
                <w:rFonts w:eastAsia="Calibri"/>
                <w:i/>
                <w:sz w:val="20"/>
                <w:szCs w:val="20"/>
                <w:lang w:val="fr-CA"/>
              </w:rPr>
              <w:t xml:space="preserve"> Loi sur les assurances </w:t>
            </w:r>
            <w:r w:rsidRPr="00403149">
              <w:rPr>
                <w:rFonts w:eastAsia="Calibri"/>
                <w:sz w:val="20"/>
                <w:szCs w:val="20"/>
                <w:lang w:val="fr-CA"/>
              </w:rPr>
              <w:t xml:space="preserve">revêt un caractère discrétionnaire, et l’art. 128 n’a pas pour effet d’interdire à un juge de nommer un seul arbitre pour traiter plusieurs propriétés.  De l’avis de la Cour d’appel, Mme Malhotra n’a pas, dans son appel, identifié d’erreur qui justifierait que la Cour s’immisce dans l’exercice du pouvoir discrétionnaire des juges. </w:t>
            </w:r>
          </w:p>
          <w:p w:rsidR="009C7371" w:rsidRPr="00403149" w:rsidRDefault="009C7371" w:rsidP="00190453">
            <w:pPr>
              <w:jc w:val="both"/>
              <w:rPr>
                <w:rFonts w:eastAsia="Calibri"/>
                <w:sz w:val="20"/>
                <w:szCs w:val="20"/>
                <w:lang w:val="fr-CA"/>
              </w:rPr>
            </w:pPr>
          </w:p>
        </w:tc>
      </w:tr>
      <w:tr w:rsidR="009C7371" w:rsidRPr="004F01F8" w:rsidTr="00190453">
        <w:tc>
          <w:tcPr>
            <w:tcW w:w="2427" w:type="pct"/>
          </w:tcPr>
          <w:p w:rsidR="009C7371" w:rsidRPr="00403149" w:rsidRDefault="009C7371" w:rsidP="00190453">
            <w:pPr>
              <w:jc w:val="both"/>
              <w:rPr>
                <w:rFonts w:eastAsia="Calibri"/>
                <w:sz w:val="20"/>
                <w:szCs w:val="20"/>
                <w:lang w:val="fr-CA"/>
              </w:rPr>
            </w:pPr>
            <w:r w:rsidRPr="00403149">
              <w:rPr>
                <w:rFonts w:eastAsia="Calibri"/>
                <w:sz w:val="20"/>
                <w:szCs w:val="20"/>
                <w:lang w:val="fr-CA"/>
              </w:rPr>
              <w:t>6 août 2009</w:t>
            </w:r>
          </w:p>
          <w:p w:rsidR="009C7371" w:rsidRPr="00403149" w:rsidRDefault="009C7371" w:rsidP="00190453">
            <w:pPr>
              <w:jc w:val="both"/>
              <w:rPr>
                <w:rFonts w:eastAsia="Calibri"/>
                <w:sz w:val="20"/>
                <w:szCs w:val="20"/>
                <w:lang w:val="fr-CA"/>
              </w:rPr>
            </w:pPr>
            <w:r w:rsidRPr="00403149">
              <w:rPr>
                <w:rFonts w:eastAsia="Calibri"/>
                <w:sz w:val="20"/>
                <w:szCs w:val="20"/>
                <w:lang w:val="fr-CA"/>
              </w:rPr>
              <w:t>Cour supérieure de justice de l’Ontario</w:t>
            </w:r>
          </w:p>
          <w:p w:rsidR="009C7371" w:rsidRPr="00403149" w:rsidRDefault="009C7371" w:rsidP="00190453">
            <w:pPr>
              <w:jc w:val="both"/>
              <w:rPr>
                <w:rFonts w:eastAsia="Calibri"/>
                <w:sz w:val="20"/>
                <w:szCs w:val="20"/>
                <w:lang w:val="fr-CA"/>
              </w:rPr>
            </w:pPr>
            <w:r w:rsidRPr="00403149">
              <w:rPr>
                <w:rFonts w:eastAsia="Calibri"/>
                <w:sz w:val="20"/>
                <w:szCs w:val="20"/>
                <w:lang w:val="fr-CA"/>
              </w:rPr>
              <w:t>(Juge Maddalena)</w:t>
            </w:r>
          </w:p>
          <w:p w:rsidR="009C7371" w:rsidRPr="00403149" w:rsidRDefault="009C7371" w:rsidP="00190453">
            <w:pPr>
              <w:jc w:val="both"/>
              <w:rPr>
                <w:rFonts w:eastAsia="Calibri"/>
                <w:sz w:val="20"/>
                <w:szCs w:val="20"/>
                <w:lang w:val="fr-CA"/>
              </w:rPr>
            </w:pPr>
          </w:p>
        </w:tc>
        <w:tc>
          <w:tcPr>
            <w:tcW w:w="243" w:type="pct"/>
          </w:tcPr>
          <w:p w:rsidR="009C7371" w:rsidRPr="00403149" w:rsidRDefault="009C7371" w:rsidP="00190453">
            <w:pPr>
              <w:jc w:val="both"/>
              <w:rPr>
                <w:rFonts w:eastAsia="Calibri"/>
                <w:sz w:val="20"/>
                <w:szCs w:val="20"/>
                <w:lang w:val="fr-CA"/>
              </w:rPr>
            </w:pPr>
          </w:p>
        </w:tc>
        <w:tc>
          <w:tcPr>
            <w:tcW w:w="2330" w:type="pct"/>
          </w:tcPr>
          <w:p w:rsidR="009C7371" w:rsidRPr="00403149" w:rsidRDefault="009C7371" w:rsidP="00190453">
            <w:pPr>
              <w:jc w:val="both"/>
              <w:rPr>
                <w:rFonts w:eastAsia="Calibri"/>
                <w:sz w:val="20"/>
                <w:szCs w:val="20"/>
                <w:lang w:val="fr-CA"/>
              </w:rPr>
            </w:pPr>
            <w:r w:rsidRPr="00403149">
              <w:rPr>
                <w:rFonts w:eastAsia="Calibri"/>
                <w:sz w:val="20"/>
                <w:szCs w:val="20"/>
                <w:lang w:val="fr-CA"/>
              </w:rPr>
              <w:t>Motion en nomination d’un arbitre en application de l’art. 128 de la</w:t>
            </w:r>
            <w:r w:rsidRPr="00403149">
              <w:rPr>
                <w:rFonts w:eastAsia="Calibri"/>
                <w:i/>
                <w:sz w:val="20"/>
                <w:szCs w:val="20"/>
                <w:lang w:val="fr-CA"/>
              </w:rPr>
              <w:t xml:space="preserve"> Loi sur les assurances</w:t>
            </w:r>
            <w:r w:rsidRPr="00403149">
              <w:rPr>
                <w:rFonts w:eastAsia="Calibri"/>
                <w:sz w:val="20"/>
                <w:szCs w:val="20"/>
                <w:lang w:val="fr-CA"/>
              </w:rPr>
              <w:t>, accueillie; G.W. Cleary nommé arbitre à l’égard des cinq propriétés</w:t>
            </w:r>
          </w:p>
          <w:p w:rsidR="009C7371" w:rsidRPr="00403149" w:rsidRDefault="009C7371" w:rsidP="00190453">
            <w:pPr>
              <w:jc w:val="both"/>
              <w:rPr>
                <w:rFonts w:eastAsia="Calibri"/>
                <w:sz w:val="20"/>
                <w:szCs w:val="20"/>
                <w:lang w:val="fr-CA"/>
              </w:rPr>
            </w:pPr>
          </w:p>
        </w:tc>
      </w:tr>
      <w:tr w:rsidR="009C7371" w:rsidRPr="004F01F8" w:rsidTr="00190453">
        <w:tc>
          <w:tcPr>
            <w:tcW w:w="2427" w:type="pct"/>
          </w:tcPr>
          <w:p w:rsidR="009C7371" w:rsidRPr="00403149" w:rsidRDefault="009C7371" w:rsidP="00190453">
            <w:pPr>
              <w:jc w:val="both"/>
              <w:rPr>
                <w:rFonts w:eastAsia="Calibri"/>
                <w:sz w:val="20"/>
                <w:szCs w:val="20"/>
                <w:lang w:val="fr-CA"/>
              </w:rPr>
            </w:pPr>
            <w:r w:rsidRPr="00403149">
              <w:rPr>
                <w:rFonts w:eastAsia="Calibri"/>
                <w:sz w:val="20"/>
                <w:szCs w:val="20"/>
                <w:lang w:val="fr-CA"/>
              </w:rPr>
              <w:t>29 novembre 2011</w:t>
            </w:r>
          </w:p>
          <w:p w:rsidR="009C7371" w:rsidRPr="00403149" w:rsidRDefault="009C7371" w:rsidP="00190453">
            <w:pPr>
              <w:jc w:val="both"/>
              <w:rPr>
                <w:rFonts w:eastAsia="Calibri"/>
                <w:sz w:val="20"/>
                <w:szCs w:val="20"/>
                <w:lang w:val="fr-CA"/>
              </w:rPr>
            </w:pPr>
            <w:r w:rsidRPr="00403149">
              <w:rPr>
                <w:rFonts w:eastAsia="Calibri"/>
                <w:sz w:val="20"/>
                <w:szCs w:val="20"/>
                <w:lang w:val="fr-CA"/>
              </w:rPr>
              <w:t>Cour supérieure de justice de l’Ontario</w:t>
            </w:r>
          </w:p>
          <w:p w:rsidR="009C7371" w:rsidRPr="00403149" w:rsidRDefault="009C7371" w:rsidP="00190453">
            <w:pPr>
              <w:jc w:val="both"/>
              <w:rPr>
                <w:rFonts w:eastAsia="Calibri"/>
                <w:sz w:val="20"/>
                <w:szCs w:val="20"/>
                <w:lang w:val="fr-CA"/>
              </w:rPr>
            </w:pPr>
            <w:r w:rsidRPr="00403149">
              <w:rPr>
                <w:rFonts w:eastAsia="Calibri"/>
                <w:sz w:val="20"/>
                <w:szCs w:val="20"/>
                <w:lang w:val="fr-CA"/>
              </w:rPr>
              <w:t>(Juge Arrell)</w:t>
            </w:r>
          </w:p>
          <w:p w:rsidR="009C7371" w:rsidRPr="00403149" w:rsidRDefault="009C7371" w:rsidP="00190453">
            <w:pPr>
              <w:jc w:val="both"/>
              <w:rPr>
                <w:rFonts w:eastAsia="Calibri"/>
                <w:sz w:val="20"/>
                <w:szCs w:val="20"/>
                <w:lang w:val="fr-CA"/>
              </w:rPr>
            </w:pPr>
          </w:p>
        </w:tc>
        <w:tc>
          <w:tcPr>
            <w:tcW w:w="243" w:type="pct"/>
          </w:tcPr>
          <w:p w:rsidR="009C7371" w:rsidRPr="00403149" w:rsidRDefault="009C7371" w:rsidP="00190453">
            <w:pPr>
              <w:jc w:val="both"/>
              <w:rPr>
                <w:rFonts w:eastAsia="Calibri"/>
                <w:sz w:val="20"/>
                <w:szCs w:val="20"/>
                <w:lang w:val="fr-CA"/>
              </w:rPr>
            </w:pPr>
          </w:p>
        </w:tc>
        <w:tc>
          <w:tcPr>
            <w:tcW w:w="2330" w:type="pct"/>
          </w:tcPr>
          <w:p w:rsidR="009C7371" w:rsidRPr="00403149" w:rsidRDefault="009C7371" w:rsidP="00190453">
            <w:pPr>
              <w:jc w:val="both"/>
              <w:rPr>
                <w:rFonts w:eastAsia="Calibri"/>
                <w:sz w:val="20"/>
                <w:szCs w:val="20"/>
                <w:lang w:val="fr-CA"/>
              </w:rPr>
            </w:pPr>
            <w:r w:rsidRPr="00403149">
              <w:rPr>
                <w:rFonts w:eastAsia="Calibri"/>
                <w:sz w:val="20"/>
                <w:szCs w:val="20"/>
                <w:lang w:val="fr-CA"/>
              </w:rPr>
              <w:t>Motion en nomination d’un nouvel arbitre, accueillie; G.T. Gibson nommé arbitre à l’égard des propriétés</w:t>
            </w:r>
          </w:p>
          <w:p w:rsidR="009C7371" w:rsidRPr="00403149" w:rsidRDefault="009C7371" w:rsidP="00190453">
            <w:pPr>
              <w:jc w:val="both"/>
              <w:rPr>
                <w:rFonts w:eastAsia="Calibri"/>
                <w:sz w:val="20"/>
                <w:szCs w:val="20"/>
                <w:lang w:val="fr-CA"/>
              </w:rPr>
            </w:pPr>
          </w:p>
        </w:tc>
      </w:tr>
      <w:tr w:rsidR="009C7371" w:rsidRPr="00403149" w:rsidTr="00190453">
        <w:tc>
          <w:tcPr>
            <w:tcW w:w="2427" w:type="pct"/>
          </w:tcPr>
          <w:p w:rsidR="009C7371" w:rsidRPr="00403149" w:rsidRDefault="009C7371" w:rsidP="00190453">
            <w:pPr>
              <w:jc w:val="both"/>
              <w:rPr>
                <w:rFonts w:eastAsia="Calibri"/>
                <w:sz w:val="20"/>
                <w:szCs w:val="20"/>
                <w:lang w:val="fr-CA"/>
              </w:rPr>
            </w:pPr>
            <w:r w:rsidRPr="00403149">
              <w:rPr>
                <w:rFonts w:eastAsia="Calibri"/>
                <w:sz w:val="20"/>
                <w:szCs w:val="20"/>
                <w:lang w:val="fr-CA"/>
              </w:rPr>
              <w:t>1</w:t>
            </w:r>
            <w:r w:rsidR="002F2845">
              <w:rPr>
                <w:rFonts w:eastAsia="Calibri"/>
                <w:sz w:val="20"/>
                <w:szCs w:val="20"/>
                <w:lang w:val="fr-CA"/>
              </w:rPr>
              <w:t>3</w:t>
            </w:r>
            <w:r w:rsidRPr="00403149">
              <w:rPr>
                <w:rFonts w:eastAsia="Calibri"/>
                <w:sz w:val="20"/>
                <w:szCs w:val="20"/>
                <w:lang w:val="fr-CA"/>
              </w:rPr>
              <w:t> mai 2013</w:t>
            </w:r>
          </w:p>
          <w:p w:rsidR="009C7371" w:rsidRPr="00403149" w:rsidRDefault="009C7371" w:rsidP="00190453">
            <w:pPr>
              <w:jc w:val="both"/>
              <w:rPr>
                <w:rFonts w:eastAsia="Calibri"/>
                <w:sz w:val="20"/>
                <w:szCs w:val="20"/>
                <w:lang w:val="fr-CA"/>
              </w:rPr>
            </w:pPr>
            <w:r w:rsidRPr="00403149">
              <w:rPr>
                <w:rFonts w:eastAsia="Calibri"/>
                <w:sz w:val="20"/>
                <w:szCs w:val="20"/>
                <w:lang w:val="fr-CA"/>
              </w:rPr>
              <w:t>Cour d’appel de l’Ontario</w:t>
            </w:r>
          </w:p>
          <w:p w:rsidR="009C7371" w:rsidRPr="00403149" w:rsidRDefault="009C7371" w:rsidP="00190453">
            <w:pPr>
              <w:jc w:val="both"/>
              <w:rPr>
                <w:rFonts w:eastAsia="Calibri"/>
                <w:sz w:val="20"/>
                <w:szCs w:val="20"/>
                <w:lang w:val="fr-CA"/>
              </w:rPr>
            </w:pPr>
            <w:r w:rsidRPr="00403149">
              <w:rPr>
                <w:rFonts w:eastAsia="Calibri"/>
                <w:sz w:val="20"/>
                <w:szCs w:val="20"/>
                <w:lang w:val="fr-CA"/>
              </w:rPr>
              <w:t>(Juges Simmons, Hoy et Strathy (</w:t>
            </w:r>
            <w:r w:rsidRPr="00403149">
              <w:rPr>
                <w:rFonts w:eastAsia="Calibri"/>
                <w:i/>
                <w:sz w:val="20"/>
                <w:szCs w:val="20"/>
                <w:lang w:val="fr-CA"/>
              </w:rPr>
              <w:t>ad hoc</w:t>
            </w:r>
            <w:r w:rsidRPr="00403149">
              <w:rPr>
                <w:rFonts w:eastAsia="Calibri"/>
                <w:sz w:val="20"/>
                <w:szCs w:val="20"/>
                <w:lang w:val="fr-CA"/>
              </w:rPr>
              <w:t>))</w:t>
            </w:r>
          </w:p>
          <w:p w:rsidR="009C7371" w:rsidRPr="00403149" w:rsidRDefault="009C7371" w:rsidP="00190453">
            <w:pPr>
              <w:jc w:val="both"/>
              <w:rPr>
                <w:rFonts w:eastAsia="Calibri"/>
                <w:sz w:val="20"/>
                <w:szCs w:val="20"/>
                <w:lang w:val="fr-CA"/>
              </w:rPr>
            </w:pPr>
            <w:r w:rsidRPr="00403149">
              <w:rPr>
                <w:rFonts w:eastAsia="Calibri"/>
                <w:sz w:val="20"/>
                <w:szCs w:val="20"/>
                <w:lang w:val="fr-CA"/>
              </w:rPr>
              <w:t xml:space="preserve">C54793/C56509; </w:t>
            </w:r>
            <w:hyperlink r:id="rId37" w:history="1">
              <w:r w:rsidRPr="00403149">
                <w:rPr>
                  <w:rFonts w:eastAsia="Calibri"/>
                  <w:color w:val="0000FF"/>
                  <w:sz w:val="20"/>
                  <w:szCs w:val="20"/>
                  <w:u w:val="single"/>
                  <w:lang w:val="fr-CA"/>
                </w:rPr>
                <w:t>2013 ONCA 326</w:t>
              </w:r>
            </w:hyperlink>
          </w:p>
          <w:p w:rsidR="009C7371" w:rsidRPr="00403149" w:rsidRDefault="009C7371" w:rsidP="00190453">
            <w:pPr>
              <w:jc w:val="both"/>
              <w:rPr>
                <w:rFonts w:eastAsia="Calibri"/>
                <w:sz w:val="20"/>
                <w:szCs w:val="20"/>
                <w:lang w:val="fr-CA"/>
              </w:rPr>
            </w:pPr>
          </w:p>
        </w:tc>
        <w:tc>
          <w:tcPr>
            <w:tcW w:w="243" w:type="pct"/>
          </w:tcPr>
          <w:p w:rsidR="009C7371" w:rsidRPr="00403149" w:rsidRDefault="009C7371" w:rsidP="00190453">
            <w:pPr>
              <w:jc w:val="both"/>
              <w:rPr>
                <w:rFonts w:eastAsia="Calibri"/>
                <w:sz w:val="20"/>
                <w:szCs w:val="20"/>
                <w:lang w:val="fr-CA"/>
              </w:rPr>
            </w:pPr>
          </w:p>
        </w:tc>
        <w:tc>
          <w:tcPr>
            <w:tcW w:w="2330" w:type="pct"/>
          </w:tcPr>
          <w:p w:rsidR="009C7371" w:rsidRPr="00403149" w:rsidRDefault="009C7371" w:rsidP="00190453">
            <w:pPr>
              <w:jc w:val="both"/>
              <w:rPr>
                <w:rFonts w:eastAsia="Calibri"/>
                <w:sz w:val="20"/>
                <w:szCs w:val="20"/>
                <w:lang w:val="fr-CA"/>
              </w:rPr>
            </w:pPr>
            <w:r w:rsidRPr="00403149">
              <w:rPr>
                <w:rFonts w:eastAsia="Calibri"/>
                <w:sz w:val="20"/>
                <w:szCs w:val="20"/>
                <w:lang w:val="fr-CA"/>
              </w:rPr>
              <w:t>Appels rejetés</w:t>
            </w:r>
          </w:p>
          <w:p w:rsidR="009C7371" w:rsidRPr="00403149" w:rsidRDefault="009C7371" w:rsidP="00190453">
            <w:pPr>
              <w:jc w:val="both"/>
              <w:rPr>
                <w:rFonts w:eastAsia="Calibri"/>
                <w:sz w:val="20"/>
                <w:szCs w:val="20"/>
                <w:lang w:val="fr-CA"/>
              </w:rPr>
            </w:pPr>
          </w:p>
        </w:tc>
      </w:tr>
      <w:tr w:rsidR="009C7371" w:rsidRPr="00403149" w:rsidTr="00190453">
        <w:tc>
          <w:tcPr>
            <w:tcW w:w="2427" w:type="pct"/>
          </w:tcPr>
          <w:p w:rsidR="009C7371" w:rsidRPr="00403149" w:rsidRDefault="009C7371" w:rsidP="00190453">
            <w:pPr>
              <w:jc w:val="both"/>
              <w:rPr>
                <w:rFonts w:eastAsia="Calibri"/>
                <w:sz w:val="20"/>
                <w:szCs w:val="20"/>
                <w:lang w:val="fr-CA"/>
              </w:rPr>
            </w:pPr>
            <w:r w:rsidRPr="00403149">
              <w:rPr>
                <w:rFonts w:eastAsia="Calibri"/>
                <w:sz w:val="20"/>
                <w:szCs w:val="20"/>
                <w:lang w:val="fr-CA"/>
              </w:rPr>
              <w:t>22 août 2013</w:t>
            </w:r>
          </w:p>
          <w:p w:rsidR="009C7371" w:rsidRPr="00403149" w:rsidRDefault="009C7371" w:rsidP="00190453">
            <w:pPr>
              <w:jc w:val="both"/>
              <w:rPr>
                <w:rFonts w:eastAsia="Calibri"/>
                <w:sz w:val="20"/>
                <w:szCs w:val="20"/>
                <w:lang w:val="fr-CA"/>
              </w:rPr>
            </w:pPr>
            <w:r w:rsidRPr="00403149">
              <w:rPr>
                <w:rFonts w:eastAsia="Calibri"/>
                <w:sz w:val="20"/>
                <w:szCs w:val="20"/>
                <w:lang w:val="fr-CA"/>
              </w:rPr>
              <w:t>Cour suprême du Canada</w:t>
            </w:r>
          </w:p>
          <w:p w:rsidR="009C7371" w:rsidRPr="00403149" w:rsidRDefault="009C7371" w:rsidP="00190453">
            <w:pPr>
              <w:jc w:val="both"/>
              <w:rPr>
                <w:rFonts w:eastAsia="Calibri"/>
                <w:sz w:val="20"/>
                <w:szCs w:val="20"/>
                <w:lang w:val="fr-CA"/>
              </w:rPr>
            </w:pPr>
          </w:p>
        </w:tc>
        <w:tc>
          <w:tcPr>
            <w:tcW w:w="243" w:type="pct"/>
          </w:tcPr>
          <w:p w:rsidR="009C7371" w:rsidRPr="00403149" w:rsidRDefault="009C7371" w:rsidP="00190453">
            <w:pPr>
              <w:jc w:val="both"/>
              <w:rPr>
                <w:rFonts w:eastAsia="Calibri"/>
                <w:sz w:val="20"/>
                <w:szCs w:val="20"/>
                <w:lang w:val="fr-CA"/>
              </w:rPr>
            </w:pPr>
          </w:p>
        </w:tc>
        <w:tc>
          <w:tcPr>
            <w:tcW w:w="2330" w:type="pct"/>
          </w:tcPr>
          <w:p w:rsidR="009C7371" w:rsidRPr="00403149" w:rsidRDefault="009C7371" w:rsidP="00190453">
            <w:pPr>
              <w:jc w:val="both"/>
              <w:rPr>
                <w:rFonts w:eastAsia="Calibri"/>
                <w:sz w:val="20"/>
                <w:szCs w:val="20"/>
                <w:lang w:val="fr-CA"/>
              </w:rPr>
            </w:pPr>
            <w:r w:rsidRPr="00403149">
              <w:rPr>
                <w:rFonts w:eastAsia="Calibri"/>
                <w:sz w:val="20"/>
                <w:szCs w:val="20"/>
                <w:lang w:val="fr-CA"/>
              </w:rPr>
              <w:t>Demande autorisation d’appel, déposée</w:t>
            </w:r>
          </w:p>
          <w:p w:rsidR="009C7371" w:rsidRPr="00403149" w:rsidRDefault="009C7371" w:rsidP="00190453">
            <w:pPr>
              <w:jc w:val="both"/>
              <w:rPr>
                <w:rFonts w:eastAsia="Calibri"/>
                <w:sz w:val="20"/>
                <w:szCs w:val="20"/>
                <w:lang w:val="fr-CA"/>
              </w:rPr>
            </w:pPr>
          </w:p>
        </w:tc>
      </w:tr>
      <w:tr w:rsidR="009C7371" w:rsidRPr="004F01F8" w:rsidTr="00190453">
        <w:tc>
          <w:tcPr>
            <w:tcW w:w="2427" w:type="pct"/>
          </w:tcPr>
          <w:p w:rsidR="009C7371" w:rsidRPr="00403149" w:rsidRDefault="009C7371" w:rsidP="00190453">
            <w:pPr>
              <w:jc w:val="both"/>
              <w:rPr>
                <w:rFonts w:eastAsia="Calibri"/>
                <w:sz w:val="20"/>
                <w:szCs w:val="20"/>
                <w:lang w:val="fr-CA"/>
              </w:rPr>
            </w:pPr>
            <w:r w:rsidRPr="00403149">
              <w:rPr>
                <w:rFonts w:eastAsia="Calibri"/>
                <w:sz w:val="20"/>
                <w:szCs w:val="20"/>
                <w:lang w:val="fr-CA"/>
              </w:rPr>
              <w:t>23 décembre 2013</w:t>
            </w:r>
          </w:p>
          <w:p w:rsidR="009C7371" w:rsidRPr="00403149" w:rsidRDefault="009C7371" w:rsidP="00190453">
            <w:pPr>
              <w:jc w:val="both"/>
              <w:rPr>
                <w:rFonts w:eastAsia="Calibri"/>
                <w:sz w:val="20"/>
                <w:szCs w:val="20"/>
                <w:lang w:val="fr-CA"/>
              </w:rPr>
            </w:pPr>
            <w:r w:rsidRPr="00403149">
              <w:rPr>
                <w:rFonts w:eastAsia="Calibri"/>
                <w:sz w:val="20"/>
                <w:szCs w:val="20"/>
                <w:lang w:val="fr-CA"/>
              </w:rPr>
              <w:t>Cour suprême du Canada</w:t>
            </w:r>
          </w:p>
        </w:tc>
        <w:tc>
          <w:tcPr>
            <w:tcW w:w="243" w:type="pct"/>
          </w:tcPr>
          <w:p w:rsidR="009C7371" w:rsidRPr="00403149" w:rsidRDefault="009C7371" w:rsidP="00190453">
            <w:pPr>
              <w:jc w:val="both"/>
              <w:rPr>
                <w:rFonts w:eastAsia="Calibri"/>
                <w:sz w:val="20"/>
                <w:szCs w:val="20"/>
                <w:lang w:val="fr-CA"/>
              </w:rPr>
            </w:pPr>
          </w:p>
        </w:tc>
        <w:tc>
          <w:tcPr>
            <w:tcW w:w="2330" w:type="pct"/>
          </w:tcPr>
          <w:p w:rsidR="009C7371" w:rsidRPr="00403149" w:rsidRDefault="009C7371" w:rsidP="00190453">
            <w:pPr>
              <w:jc w:val="both"/>
              <w:rPr>
                <w:rFonts w:eastAsia="Calibri"/>
                <w:sz w:val="20"/>
                <w:szCs w:val="20"/>
                <w:lang w:val="fr-CA"/>
              </w:rPr>
            </w:pPr>
            <w:r w:rsidRPr="00403149">
              <w:rPr>
                <w:rFonts w:eastAsia="Calibri"/>
                <w:sz w:val="20"/>
                <w:szCs w:val="20"/>
                <w:lang w:val="fr-CA"/>
              </w:rPr>
              <w:t>Requête en prorogation du délai de signification et de dépôt d’une demande d’autorisation d’appel, déposée</w:t>
            </w:r>
          </w:p>
        </w:tc>
      </w:tr>
    </w:tbl>
    <w:p w:rsidR="00600C23" w:rsidRPr="009C7371" w:rsidRDefault="00600C23" w:rsidP="00600C23">
      <w:pPr>
        <w:rPr>
          <w:sz w:val="20"/>
          <w:szCs w:val="20"/>
          <w:lang w:val="fr-CA"/>
        </w:rPr>
      </w:pPr>
    </w:p>
    <w:p w:rsidR="00600C23" w:rsidRDefault="004F01F8" w:rsidP="00600C23">
      <w:pPr>
        <w:rPr>
          <w:sz w:val="20"/>
          <w:szCs w:val="20"/>
          <w:lang w:val="fr-CA"/>
        </w:rPr>
      </w:pPr>
      <w:r>
        <w:rPr>
          <w:sz w:val="20"/>
          <w:szCs w:val="20"/>
          <w:lang w:val="fr-CA"/>
        </w:rPr>
        <w:pict>
          <v:rect id="_x0000_i1047" style="width:2in;height:1pt" o:hrpct="0" o:hralign="center" o:hrstd="t" o:hrnoshade="t" o:hr="t" fillcolor="black [3213]" stroked="f"/>
        </w:pict>
      </w:r>
    </w:p>
    <w:p w:rsidR="00600C23" w:rsidRDefault="00600C23" w:rsidP="00600C23">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04EDE" w:rsidRPr="00582BFB" w:rsidTr="007A5AE5">
        <w:trPr>
          <w:cantSplit/>
        </w:trPr>
        <w:tc>
          <w:tcPr>
            <w:tcW w:w="1458" w:type="dxa"/>
          </w:tcPr>
          <w:p w:rsidR="00004EDE" w:rsidRPr="00582BFB" w:rsidRDefault="00004EDE" w:rsidP="007A5AE5">
            <w:pPr>
              <w:rPr>
                <w:sz w:val="20"/>
                <w:szCs w:val="20"/>
              </w:rPr>
            </w:pPr>
            <w:r w:rsidRPr="00582BFB">
              <w:rPr>
                <w:rStyle w:val="SCCFileNumberChar"/>
                <w:sz w:val="20"/>
                <w:szCs w:val="20"/>
              </w:rPr>
              <w:t>35694</w:t>
            </w:r>
          </w:p>
          <w:p w:rsidR="00004EDE" w:rsidRPr="00582BFB" w:rsidRDefault="00004EDE" w:rsidP="007A5AE5">
            <w:pPr>
              <w:rPr>
                <w:b/>
                <w:sz w:val="20"/>
                <w:szCs w:val="20"/>
                <w:lang w:val="fr-CA"/>
              </w:rPr>
            </w:pPr>
          </w:p>
        </w:tc>
        <w:tc>
          <w:tcPr>
            <w:tcW w:w="8118" w:type="dxa"/>
          </w:tcPr>
          <w:p w:rsidR="00004EDE" w:rsidRPr="00582BFB" w:rsidRDefault="00004EDE" w:rsidP="007A5AE5">
            <w:pPr>
              <w:rPr>
                <w:sz w:val="20"/>
                <w:szCs w:val="20"/>
              </w:rPr>
            </w:pPr>
            <w:r w:rsidRPr="00582BFB">
              <w:rPr>
                <w:rStyle w:val="SCCLsocChar"/>
                <w:sz w:val="20"/>
                <w:szCs w:val="20"/>
                <w:lang w:val="en-CA"/>
              </w:rPr>
              <w:t>Helen Laidman v. Estate of Melba Burnet</w:t>
            </w:r>
            <w:r w:rsidRPr="00582BFB">
              <w:rPr>
                <w:sz w:val="20"/>
                <w:szCs w:val="20"/>
              </w:rPr>
              <w:t xml:space="preserve"> (Ont.) (Civil) (By Leave)</w:t>
            </w:r>
          </w:p>
          <w:p w:rsidR="00004EDE" w:rsidRPr="00582BFB" w:rsidRDefault="00004EDE" w:rsidP="007A5AE5">
            <w:pPr>
              <w:rPr>
                <w:sz w:val="20"/>
                <w:szCs w:val="20"/>
              </w:rPr>
            </w:pPr>
          </w:p>
        </w:tc>
      </w:tr>
      <w:tr w:rsidR="00004EDE" w:rsidRPr="00582BFB" w:rsidTr="007A5AE5">
        <w:trPr>
          <w:cantSplit/>
        </w:trPr>
        <w:tc>
          <w:tcPr>
            <w:tcW w:w="1458" w:type="dxa"/>
          </w:tcPr>
          <w:p w:rsidR="00004EDE" w:rsidRPr="00582BFB" w:rsidRDefault="00004EDE" w:rsidP="007A5AE5">
            <w:pPr>
              <w:rPr>
                <w:sz w:val="20"/>
                <w:szCs w:val="20"/>
              </w:rPr>
            </w:pPr>
            <w:r w:rsidRPr="00582BFB">
              <w:rPr>
                <w:sz w:val="20"/>
                <w:szCs w:val="20"/>
              </w:rPr>
              <w:t>Coram :</w:t>
            </w:r>
          </w:p>
        </w:tc>
        <w:tc>
          <w:tcPr>
            <w:tcW w:w="8118" w:type="dxa"/>
          </w:tcPr>
          <w:p w:rsidR="00004EDE" w:rsidRPr="00582BFB" w:rsidRDefault="00004EDE" w:rsidP="007A5AE5">
            <w:pPr>
              <w:rPr>
                <w:sz w:val="20"/>
                <w:szCs w:val="20"/>
              </w:rPr>
            </w:pPr>
            <w:r w:rsidRPr="00582BFB">
              <w:rPr>
                <w:rStyle w:val="SCCCoramChar"/>
                <w:sz w:val="20"/>
                <w:szCs w:val="20"/>
                <w:lang w:val="en-CA"/>
              </w:rPr>
              <w:t>Abella, Rothstein and Moldaver JJ.</w:t>
            </w:r>
          </w:p>
          <w:p w:rsidR="00004EDE" w:rsidRPr="00582BFB" w:rsidRDefault="00004EDE" w:rsidP="007A5AE5">
            <w:pPr>
              <w:rPr>
                <w:sz w:val="20"/>
                <w:szCs w:val="20"/>
                <w:u w:val="single"/>
              </w:rPr>
            </w:pPr>
          </w:p>
        </w:tc>
      </w:tr>
      <w:tr w:rsidR="00004EDE" w:rsidRPr="004F01F8" w:rsidTr="007A5AE5">
        <w:trPr>
          <w:cantSplit/>
        </w:trPr>
        <w:tc>
          <w:tcPr>
            <w:tcW w:w="9576" w:type="dxa"/>
            <w:gridSpan w:val="2"/>
          </w:tcPr>
          <w:p w:rsidR="00004EDE" w:rsidRPr="00582BFB" w:rsidRDefault="00004EDE" w:rsidP="007A5AE5">
            <w:pPr>
              <w:pStyle w:val="SCCShortJudgment"/>
              <w:rPr>
                <w:szCs w:val="20"/>
              </w:rPr>
            </w:pPr>
            <w:r w:rsidRPr="00582BFB">
              <w:rPr>
                <w:szCs w:val="20"/>
              </w:rPr>
              <w:lastRenderedPageBreak/>
              <w:t>The motion for an extension of time to serve and file the application for leave to appeal from the judgment of the Ontario Superior Court of Justice (Divisional Court), Number 657/00, dated September 29, 2005, is dismissed without costs.</w:t>
            </w:r>
          </w:p>
          <w:p w:rsidR="00004EDE" w:rsidRPr="00582BFB" w:rsidRDefault="00004EDE" w:rsidP="007A5AE5">
            <w:pPr>
              <w:pStyle w:val="SCCShortJudgment"/>
              <w:ind w:firstLine="0"/>
              <w:rPr>
                <w:szCs w:val="20"/>
              </w:rPr>
            </w:pPr>
          </w:p>
          <w:p w:rsidR="00004EDE" w:rsidRPr="00582BFB" w:rsidRDefault="00004EDE" w:rsidP="007A5AE5">
            <w:pPr>
              <w:pStyle w:val="SCCShortJudgment"/>
              <w:rPr>
                <w:szCs w:val="20"/>
                <w:lang w:val="fr-CA"/>
              </w:rPr>
            </w:pPr>
            <w:r w:rsidRPr="00582BFB">
              <w:rPr>
                <w:szCs w:val="20"/>
                <w:lang w:val="fr-CA"/>
              </w:rPr>
              <w:t>La requête en prorogation du délai de signification et de dépôt de la demande d’autorisation d’appel de la décision de la cour supérieure de justice de l’Ontario (Cour divisionnaire), numéro 657/00, datée du 29 septembre 2005, est rejetée sans dépens.</w:t>
            </w:r>
          </w:p>
        </w:tc>
      </w:tr>
    </w:tbl>
    <w:p w:rsidR="00600C23" w:rsidRPr="00004EDE" w:rsidRDefault="00600C23" w:rsidP="00600C23">
      <w:pPr>
        <w:rPr>
          <w:sz w:val="20"/>
          <w:szCs w:val="20"/>
          <w:lang w:val="fr-CA"/>
        </w:rPr>
      </w:pPr>
    </w:p>
    <w:p w:rsidR="00600C23" w:rsidRPr="001B157C" w:rsidRDefault="00600C23" w:rsidP="00600C23">
      <w:pPr>
        <w:rPr>
          <w:sz w:val="20"/>
          <w:szCs w:val="20"/>
          <w:u w:val="single"/>
        </w:rPr>
      </w:pPr>
      <w:r w:rsidRPr="001B157C">
        <w:rPr>
          <w:sz w:val="20"/>
          <w:szCs w:val="20"/>
          <w:u w:val="single"/>
        </w:rPr>
        <w:t>CASE SUMMARY</w:t>
      </w:r>
    </w:p>
    <w:p w:rsidR="00600C23" w:rsidRDefault="00600C23" w:rsidP="00600C2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C7371" w:rsidRPr="00403149" w:rsidTr="00190453">
        <w:tc>
          <w:tcPr>
            <w:tcW w:w="5000" w:type="pct"/>
            <w:gridSpan w:val="3"/>
          </w:tcPr>
          <w:p w:rsidR="009C7371" w:rsidRPr="00403149" w:rsidRDefault="009C7371" w:rsidP="00190453">
            <w:pPr>
              <w:jc w:val="both"/>
              <w:rPr>
                <w:rFonts w:eastAsia="Calibri"/>
                <w:sz w:val="20"/>
                <w:szCs w:val="20"/>
              </w:rPr>
            </w:pPr>
            <w:r w:rsidRPr="00403149">
              <w:rPr>
                <w:rFonts w:eastAsia="Calibri"/>
                <w:sz w:val="20"/>
                <w:szCs w:val="20"/>
              </w:rPr>
              <w:t>Civil procedure — Appeals — Divisional Court dismissing an appeal from an order passing the accounts of an estate — Whether the appeal should have been granted — Whether an extension of time to appeal from that judgment should have been granted.</w:t>
            </w:r>
          </w:p>
        </w:tc>
      </w:tr>
      <w:tr w:rsidR="009C7371" w:rsidRPr="00403149" w:rsidTr="00190453">
        <w:tc>
          <w:tcPr>
            <w:tcW w:w="5000" w:type="pct"/>
            <w:gridSpan w:val="3"/>
          </w:tcPr>
          <w:p w:rsidR="009C7371" w:rsidRPr="00403149" w:rsidRDefault="009C7371" w:rsidP="00190453">
            <w:pPr>
              <w:jc w:val="both"/>
              <w:rPr>
                <w:rFonts w:eastAsia="Calibri"/>
                <w:sz w:val="20"/>
                <w:szCs w:val="20"/>
              </w:rPr>
            </w:pPr>
          </w:p>
        </w:tc>
      </w:tr>
      <w:tr w:rsidR="009C7371" w:rsidRPr="00403149" w:rsidTr="00190453">
        <w:tc>
          <w:tcPr>
            <w:tcW w:w="5000" w:type="pct"/>
            <w:gridSpan w:val="3"/>
          </w:tcPr>
          <w:p w:rsidR="009C7371" w:rsidRPr="00403149" w:rsidRDefault="009C7371" w:rsidP="00190453">
            <w:pPr>
              <w:jc w:val="both"/>
              <w:rPr>
                <w:rFonts w:eastAsia="Calibri"/>
                <w:sz w:val="20"/>
                <w:szCs w:val="20"/>
              </w:rPr>
            </w:pPr>
            <w:r w:rsidRPr="00403149">
              <w:rPr>
                <w:rFonts w:eastAsia="Calibri"/>
                <w:sz w:val="20"/>
                <w:szCs w:val="20"/>
              </w:rPr>
              <w:t>Ms. Laidman is one of the beneficiaries of her mother’s estate.  In 2003, Crane J. of the Ontario Superior Court of Justice signed an order passing the accounts of the estate.  Ms. Laidman appealed Crane J.’s order to the Divisional Court, which dismissed her appeal on September 29, 2005.  Six</w:t>
            </w:r>
            <w:r w:rsidRPr="00403149">
              <w:rPr>
                <w:rFonts w:eastAsia="Calibri"/>
                <w:sz w:val="20"/>
                <w:szCs w:val="20"/>
              </w:rPr>
              <w:noBreakHyphen/>
              <w:t>and</w:t>
            </w:r>
            <w:r w:rsidRPr="00403149">
              <w:rPr>
                <w:rFonts w:eastAsia="Calibri"/>
                <w:sz w:val="20"/>
                <w:szCs w:val="20"/>
              </w:rPr>
              <w:noBreakHyphen/>
              <w:t>a</w:t>
            </w:r>
            <w:r w:rsidRPr="00403149">
              <w:rPr>
                <w:rFonts w:eastAsia="Calibri"/>
                <w:sz w:val="20"/>
                <w:szCs w:val="20"/>
              </w:rPr>
              <w:noBreakHyphen/>
              <w:t>half years later, she moved for an order from the Court of Appeal granting leave to extend the time to file an appeal from the judgment of the Divisional Court, but was unsuccessful.  She then brought a motion to the Court of Appeal seeking an extension of time to file a review of that decision.  Blair J.A. dismissed the motion.  Ms Laidman seeks leave to appeal the 2005 decision of the Divisional Court.</w:t>
            </w:r>
          </w:p>
          <w:p w:rsidR="009C7371" w:rsidRPr="00403149" w:rsidRDefault="009C7371" w:rsidP="00190453">
            <w:pPr>
              <w:jc w:val="both"/>
              <w:rPr>
                <w:rFonts w:eastAsia="Calibri"/>
                <w:sz w:val="20"/>
                <w:szCs w:val="20"/>
              </w:rPr>
            </w:pPr>
          </w:p>
        </w:tc>
      </w:tr>
      <w:tr w:rsidR="009C7371" w:rsidRPr="00403149" w:rsidTr="00190453">
        <w:tc>
          <w:tcPr>
            <w:tcW w:w="2427" w:type="pct"/>
          </w:tcPr>
          <w:p w:rsidR="009C7371" w:rsidRPr="00403149" w:rsidRDefault="009C7371" w:rsidP="00190453">
            <w:pPr>
              <w:jc w:val="both"/>
              <w:rPr>
                <w:rFonts w:eastAsia="Calibri"/>
                <w:sz w:val="20"/>
                <w:szCs w:val="20"/>
              </w:rPr>
            </w:pPr>
            <w:r w:rsidRPr="00403149">
              <w:rPr>
                <w:rFonts w:eastAsia="Calibri"/>
                <w:sz w:val="20"/>
                <w:szCs w:val="20"/>
              </w:rPr>
              <w:t>September 12, 2003</w:t>
            </w:r>
          </w:p>
          <w:p w:rsidR="009C7371" w:rsidRPr="00403149" w:rsidRDefault="009C7371" w:rsidP="00190453">
            <w:pPr>
              <w:jc w:val="both"/>
              <w:rPr>
                <w:rFonts w:eastAsia="Calibri"/>
                <w:sz w:val="20"/>
                <w:szCs w:val="20"/>
              </w:rPr>
            </w:pPr>
            <w:r w:rsidRPr="00403149">
              <w:rPr>
                <w:rFonts w:eastAsia="Calibri"/>
                <w:sz w:val="20"/>
                <w:szCs w:val="20"/>
              </w:rPr>
              <w:t>Ontario Superior Court of Justice</w:t>
            </w:r>
          </w:p>
          <w:p w:rsidR="009C7371" w:rsidRPr="00403149" w:rsidRDefault="009C7371" w:rsidP="00190453">
            <w:pPr>
              <w:jc w:val="both"/>
              <w:rPr>
                <w:rFonts w:eastAsia="Calibri"/>
                <w:sz w:val="20"/>
                <w:szCs w:val="20"/>
              </w:rPr>
            </w:pPr>
            <w:r w:rsidRPr="00403149">
              <w:rPr>
                <w:rFonts w:eastAsia="Calibri"/>
                <w:sz w:val="20"/>
                <w:szCs w:val="20"/>
              </w:rPr>
              <w:t>(Crane J.)</w:t>
            </w:r>
          </w:p>
          <w:p w:rsidR="009C7371" w:rsidRPr="00403149" w:rsidRDefault="009C7371" w:rsidP="00190453">
            <w:pPr>
              <w:jc w:val="both"/>
              <w:rPr>
                <w:rFonts w:eastAsia="Calibri"/>
                <w:sz w:val="20"/>
                <w:szCs w:val="20"/>
              </w:rPr>
            </w:pPr>
          </w:p>
        </w:tc>
        <w:tc>
          <w:tcPr>
            <w:tcW w:w="243" w:type="pct"/>
          </w:tcPr>
          <w:p w:rsidR="009C7371" w:rsidRPr="00403149" w:rsidRDefault="009C7371" w:rsidP="00190453">
            <w:pPr>
              <w:jc w:val="both"/>
              <w:rPr>
                <w:rFonts w:eastAsia="Calibri"/>
                <w:sz w:val="20"/>
                <w:szCs w:val="20"/>
              </w:rPr>
            </w:pPr>
          </w:p>
        </w:tc>
        <w:tc>
          <w:tcPr>
            <w:tcW w:w="2330" w:type="pct"/>
          </w:tcPr>
          <w:p w:rsidR="009C7371" w:rsidRPr="00403149" w:rsidRDefault="009C7371" w:rsidP="00190453">
            <w:pPr>
              <w:jc w:val="both"/>
              <w:rPr>
                <w:rFonts w:eastAsia="Calibri"/>
                <w:sz w:val="20"/>
                <w:szCs w:val="20"/>
              </w:rPr>
            </w:pPr>
            <w:r w:rsidRPr="00403149">
              <w:rPr>
                <w:rFonts w:eastAsia="Calibri"/>
                <w:sz w:val="20"/>
                <w:szCs w:val="20"/>
              </w:rPr>
              <w:t>Order passing the accounts of an estate issued.</w:t>
            </w:r>
          </w:p>
          <w:p w:rsidR="009C7371" w:rsidRPr="00403149" w:rsidRDefault="009C7371" w:rsidP="00190453">
            <w:pPr>
              <w:jc w:val="both"/>
              <w:rPr>
                <w:rFonts w:eastAsia="Calibri"/>
                <w:sz w:val="20"/>
                <w:szCs w:val="20"/>
              </w:rPr>
            </w:pPr>
          </w:p>
        </w:tc>
      </w:tr>
      <w:tr w:rsidR="009C7371" w:rsidRPr="00403149" w:rsidTr="00190453">
        <w:tc>
          <w:tcPr>
            <w:tcW w:w="2427" w:type="pct"/>
          </w:tcPr>
          <w:p w:rsidR="009C7371" w:rsidRPr="00403149" w:rsidRDefault="009C7371" w:rsidP="00190453">
            <w:pPr>
              <w:jc w:val="both"/>
              <w:rPr>
                <w:rFonts w:eastAsia="Calibri"/>
                <w:sz w:val="20"/>
                <w:szCs w:val="20"/>
              </w:rPr>
            </w:pPr>
            <w:r w:rsidRPr="00403149">
              <w:rPr>
                <w:rFonts w:eastAsia="Calibri"/>
                <w:sz w:val="20"/>
                <w:szCs w:val="20"/>
              </w:rPr>
              <w:t>September 29, 2005</w:t>
            </w:r>
          </w:p>
          <w:p w:rsidR="009C7371" w:rsidRPr="00403149" w:rsidRDefault="009C7371" w:rsidP="00190453">
            <w:pPr>
              <w:jc w:val="both"/>
              <w:rPr>
                <w:rFonts w:eastAsia="Calibri"/>
                <w:sz w:val="20"/>
                <w:szCs w:val="20"/>
              </w:rPr>
            </w:pPr>
            <w:r w:rsidRPr="00403149">
              <w:rPr>
                <w:rFonts w:eastAsia="Calibri"/>
                <w:sz w:val="20"/>
                <w:szCs w:val="20"/>
              </w:rPr>
              <w:t>Ontario Superior Court of Justice</w:t>
            </w:r>
          </w:p>
          <w:p w:rsidR="009C7371" w:rsidRPr="00403149" w:rsidRDefault="009C7371" w:rsidP="00190453">
            <w:pPr>
              <w:jc w:val="both"/>
              <w:rPr>
                <w:rFonts w:eastAsia="Calibri"/>
                <w:sz w:val="20"/>
                <w:szCs w:val="20"/>
              </w:rPr>
            </w:pPr>
            <w:r w:rsidRPr="00403149">
              <w:rPr>
                <w:rFonts w:eastAsia="Calibri"/>
                <w:sz w:val="20"/>
                <w:szCs w:val="20"/>
              </w:rPr>
              <w:t>(Killeen, Sachs, and Stayshyn JJ.)</w:t>
            </w:r>
          </w:p>
          <w:p w:rsidR="009C7371" w:rsidRPr="00403149" w:rsidRDefault="009C7371" w:rsidP="00190453">
            <w:pPr>
              <w:jc w:val="both"/>
              <w:rPr>
                <w:rFonts w:eastAsia="Calibri"/>
                <w:sz w:val="20"/>
                <w:szCs w:val="20"/>
              </w:rPr>
            </w:pPr>
          </w:p>
        </w:tc>
        <w:tc>
          <w:tcPr>
            <w:tcW w:w="243" w:type="pct"/>
          </w:tcPr>
          <w:p w:rsidR="009C7371" w:rsidRPr="00403149" w:rsidRDefault="009C7371" w:rsidP="00190453">
            <w:pPr>
              <w:jc w:val="both"/>
              <w:rPr>
                <w:rFonts w:eastAsia="Calibri"/>
                <w:sz w:val="20"/>
                <w:szCs w:val="20"/>
              </w:rPr>
            </w:pPr>
          </w:p>
        </w:tc>
        <w:tc>
          <w:tcPr>
            <w:tcW w:w="2330" w:type="pct"/>
          </w:tcPr>
          <w:p w:rsidR="009C7371" w:rsidRPr="00403149" w:rsidRDefault="009C7371" w:rsidP="00190453">
            <w:pPr>
              <w:jc w:val="both"/>
              <w:rPr>
                <w:rFonts w:eastAsia="Calibri"/>
                <w:sz w:val="20"/>
                <w:szCs w:val="20"/>
              </w:rPr>
            </w:pPr>
            <w:r w:rsidRPr="00403149">
              <w:rPr>
                <w:rFonts w:eastAsia="Calibri"/>
                <w:sz w:val="20"/>
                <w:szCs w:val="20"/>
              </w:rPr>
              <w:t>Appeal dismissed.</w:t>
            </w:r>
          </w:p>
          <w:p w:rsidR="009C7371" w:rsidRPr="00403149" w:rsidRDefault="009C7371" w:rsidP="00190453">
            <w:pPr>
              <w:jc w:val="both"/>
              <w:rPr>
                <w:rFonts w:eastAsia="Calibri"/>
                <w:sz w:val="20"/>
                <w:szCs w:val="20"/>
              </w:rPr>
            </w:pPr>
          </w:p>
        </w:tc>
      </w:tr>
      <w:tr w:rsidR="009C7371" w:rsidRPr="00403149" w:rsidTr="00190453">
        <w:tc>
          <w:tcPr>
            <w:tcW w:w="2427" w:type="pct"/>
          </w:tcPr>
          <w:p w:rsidR="009C7371" w:rsidRPr="00403149" w:rsidRDefault="009C7371" w:rsidP="00190453">
            <w:pPr>
              <w:jc w:val="both"/>
              <w:rPr>
                <w:rFonts w:eastAsia="Calibri"/>
                <w:sz w:val="20"/>
                <w:szCs w:val="20"/>
              </w:rPr>
            </w:pPr>
            <w:r w:rsidRPr="00403149">
              <w:rPr>
                <w:rFonts w:eastAsia="Calibri"/>
                <w:sz w:val="20"/>
                <w:szCs w:val="20"/>
              </w:rPr>
              <w:t>March 12, 2012</w:t>
            </w:r>
          </w:p>
          <w:p w:rsidR="009C7371" w:rsidRPr="00403149" w:rsidRDefault="009C7371" w:rsidP="00190453">
            <w:pPr>
              <w:jc w:val="both"/>
              <w:rPr>
                <w:rFonts w:eastAsia="Calibri"/>
                <w:sz w:val="20"/>
                <w:szCs w:val="20"/>
              </w:rPr>
            </w:pPr>
            <w:r w:rsidRPr="00403149">
              <w:rPr>
                <w:rFonts w:eastAsia="Calibri"/>
                <w:sz w:val="20"/>
                <w:szCs w:val="20"/>
              </w:rPr>
              <w:t>Court of Appeal for Ontario</w:t>
            </w:r>
          </w:p>
          <w:p w:rsidR="009C7371" w:rsidRPr="00403149" w:rsidRDefault="009C7371" w:rsidP="00190453">
            <w:pPr>
              <w:jc w:val="both"/>
              <w:rPr>
                <w:rFonts w:eastAsia="Calibri"/>
                <w:sz w:val="20"/>
                <w:szCs w:val="20"/>
              </w:rPr>
            </w:pPr>
            <w:r w:rsidRPr="00403149">
              <w:rPr>
                <w:rFonts w:eastAsia="Calibri"/>
                <w:sz w:val="20"/>
                <w:szCs w:val="20"/>
              </w:rPr>
              <w:t>(Feldman J.A.)</w:t>
            </w:r>
          </w:p>
          <w:p w:rsidR="009C7371" w:rsidRPr="00403149" w:rsidRDefault="009C7371" w:rsidP="00190453">
            <w:pPr>
              <w:jc w:val="both"/>
              <w:rPr>
                <w:rFonts w:eastAsia="Calibri"/>
                <w:sz w:val="20"/>
                <w:szCs w:val="20"/>
              </w:rPr>
            </w:pPr>
          </w:p>
        </w:tc>
        <w:tc>
          <w:tcPr>
            <w:tcW w:w="243" w:type="pct"/>
          </w:tcPr>
          <w:p w:rsidR="009C7371" w:rsidRPr="00403149" w:rsidRDefault="009C7371" w:rsidP="00190453">
            <w:pPr>
              <w:jc w:val="both"/>
              <w:rPr>
                <w:rFonts w:eastAsia="Calibri"/>
                <w:sz w:val="20"/>
                <w:szCs w:val="20"/>
              </w:rPr>
            </w:pPr>
          </w:p>
        </w:tc>
        <w:tc>
          <w:tcPr>
            <w:tcW w:w="2330" w:type="pct"/>
          </w:tcPr>
          <w:p w:rsidR="009C7371" w:rsidRPr="00403149" w:rsidRDefault="009C7371" w:rsidP="00190453">
            <w:pPr>
              <w:jc w:val="both"/>
              <w:rPr>
                <w:rFonts w:eastAsia="Calibri"/>
                <w:sz w:val="20"/>
                <w:szCs w:val="20"/>
              </w:rPr>
            </w:pPr>
            <w:r w:rsidRPr="00403149">
              <w:rPr>
                <w:rFonts w:eastAsia="Calibri"/>
                <w:sz w:val="20"/>
                <w:szCs w:val="20"/>
              </w:rPr>
              <w:t>Motion for an extension of time to file a Notice of Appeal from an order of the Divisional Court dismissed.</w:t>
            </w:r>
          </w:p>
          <w:p w:rsidR="009C7371" w:rsidRPr="00403149" w:rsidRDefault="009C7371" w:rsidP="00190453">
            <w:pPr>
              <w:jc w:val="both"/>
              <w:rPr>
                <w:rFonts w:eastAsia="Calibri"/>
                <w:sz w:val="20"/>
                <w:szCs w:val="20"/>
              </w:rPr>
            </w:pPr>
          </w:p>
        </w:tc>
      </w:tr>
      <w:tr w:rsidR="009C7371" w:rsidRPr="00403149" w:rsidTr="00004EDE">
        <w:trPr>
          <w:cantSplit/>
        </w:trPr>
        <w:tc>
          <w:tcPr>
            <w:tcW w:w="2427" w:type="pct"/>
          </w:tcPr>
          <w:p w:rsidR="009C7371" w:rsidRPr="00403149" w:rsidRDefault="009C7371" w:rsidP="00190453">
            <w:pPr>
              <w:jc w:val="both"/>
              <w:rPr>
                <w:rFonts w:eastAsia="Calibri"/>
                <w:sz w:val="20"/>
                <w:szCs w:val="20"/>
              </w:rPr>
            </w:pPr>
            <w:r w:rsidRPr="00403149">
              <w:rPr>
                <w:rFonts w:eastAsia="Calibri"/>
                <w:sz w:val="20"/>
                <w:szCs w:val="20"/>
              </w:rPr>
              <w:t>April 30, 2012</w:t>
            </w:r>
          </w:p>
          <w:p w:rsidR="009C7371" w:rsidRPr="00403149" w:rsidRDefault="009C7371" w:rsidP="00190453">
            <w:pPr>
              <w:jc w:val="both"/>
              <w:rPr>
                <w:rFonts w:eastAsia="Calibri"/>
                <w:sz w:val="20"/>
                <w:szCs w:val="20"/>
              </w:rPr>
            </w:pPr>
            <w:r w:rsidRPr="00403149">
              <w:rPr>
                <w:rFonts w:eastAsia="Calibri"/>
                <w:sz w:val="20"/>
                <w:szCs w:val="20"/>
              </w:rPr>
              <w:t>Court of Appeal for Ontario</w:t>
            </w:r>
          </w:p>
          <w:p w:rsidR="009C7371" w:rsidRPr="00403149" w:rsidRDefault="009C7371" w:rsidP="00190453">
            <w:pPr>
              <w:jc w:val="both"/>
              <w:rPr>
                <w:rFonts w:eastAsia="Calibri"/>
                <w:sz w:val="20"/>
                <w:szCs w:val="20"/>
              </w:rPr>
            </w:pPr>
            <w:r w:rsidRPr="00403149">
              <w:rPr>
                <w:rFonts w:eastAsia="Calibri"/>
                <w:sz w:val="20"/>
                <w:szCs w:val="20"/>
              </w:rPr>
              <w:t>(Blair J.A.)</w:t>
            </w:r>
          </w:p>
          <w:p w:rsidR="009C7371" w:rsidRPr="00403149" w:rsidRDefault="009C7371" w:rsidP="00190453">
            <w:pPr>
              <w:jc w:val="both"/>
              <w:rPr>
                <w:rFonts w:eastAsia="Calibri"/>
                <w:sz w:val="20"/>
                <w:szCs w:val="20"/>
              </w:rPr>
            </w:pPr>
          </w:p>
        </w:tc>
        <w:tc>
          <w:tcPr>
            <w:tcW w:w="243" w:type="pct"/>
          </w:tcPr>
          <w:p w:rsidR="009C7371" w:rsidRPr="00403149" w:rsidRDefault="009C7371" w:rsidP="00190453">
            <w:pPr>
              <w:jc w:val="both"/>
              <w:rPr>
                <w:rFonts w:eastAsia="Calibri"/>
                <w:sz w:val="20"/>
                <w:szCs w:val="20"/>
              </w:rPr>
            </w:pPr>
          </w:p>
        </w:tc>
        <w:tc>
          <w:tcPr>
            <w:tcW w:w="2330" w:type="pct"/>
          </w:tcPr>
          <w:p w:rsidR="009C7371" w:rsidRPr="00403149" w:rsidRDefault="009C7371" w:rsidP="00190453">
            <w:pPr>
              <w:jc w:val="both"/>
              <w:rPr>
                <w:rFonts w:eastAsia="Calibri"/>
                <w:sz w:val="20"/>
                <w:szCs w:val="20"/>
              </w:rPr>
            </w:pPr>
            <w:r w:rsidRPr="00403149">
              <w:rPr>
                <w:rFonts w:eastAsia="Calibri"/>
                <w:sz w:val="20"/>
                <w:szCs w:val="20"/>
              </w:rPr>
              <w:t>Motion for an extension of time to file a motion to set aside or vary Feldman J.A.’s order dismissed.</w:t>
            </w:r>
          </w:p>
          <w:p w:rsidR="009C7371" w:rsidRPr="00403149" w:rsidRDefault="009C7371" w:rsidP="00190453">
            <w:pPr>
              <w:jc w:val="both"/>
              <w:rPr>
                <w:rFonts w:eastAsia="Calibri"/>
                <w:sz w:val="20"/>
                <w:szCs w:val="20"/>
              </w:rPr>
            </w:pPr>
          </w:p>
        </w:tc>
      </w:tr>
      <w:tr w:rsidR="009C7371" w:rsidRPr="00403149" w:rsidTr="00004EDE">
        <w:trPr>
          <w:cantSplit/>
        </w:trPr>
        <w:tc>
          <w:tcPr>
            <w:tcW w:w="2427" w:type="pct"/>
          </w:tcPr>
          <w:p w:rsidR="009C7371" w:rsidRPr="00403149" w:rsidRDefault="009C7371" w:rsidP="00190453">
            <w:pPr>
              <w:jc w:val="both"/>
              <w:rPr>
                <w:rFonts w:eastAsia="Calibri"/>
                <w:sz w:val="20"/>
                <w:szCs w:val="20"/>
              </w:rPr>
            </w:pPr>
            <w:r w:rsidRPr="00403149">
              <w:rPr>
                <w:rFonts w:eastAsia="Calibri"/>
                <w:sz w:val="20"/>
                <w:szCs w:val="20"/>
              </w:rPr>
              <w:t>January 8, 2014</w:t>
            </w:r>
          </w:p>
          <w:p w:rsidR="009C7371" w:rsidRPr="00403149" w:rsidRDefault="009C7371" w:rsidP="00190453">
            <w:pPr>
              <w:jc w:val="both"/>
              <w:rPr>
                <w:rFonts w:eastAsia="Calibri"/>
                <w:sz w:val="20"/>
                <w:szCs w:val="20"/>
              </w:rPr>
            </w:pPr>
            <w:r w:rsidRPr="00403149">
              <w:rPr>
                <w:rFonts w:eastAsia="Calibri"/>
                <w:sz w:val="20"/>
                <w:szCs w:val="20"/>
              </w:rPr>
              <w:t>Supreme Court of Canada</w:t>
            </w:r>
          </w:p>
          <w:p w:rsidR="009C7371" w:rsidRPr="00403149" w:rsidRDefault="009C7371" w:rsidP="00190453">
            <w:pPr>
              <w:jc w:val="both"/>
              <w:rPr>
                <w:rFonts w:eastAsia="Calibri"/>
                <w:sz w:val="20"/>
                <w:szCs w:val="20"/>
              </w:rPr>
            </w:pPr>
          </w:p>
          <w:p w:rsidR="009C7371" w:rsidRPr="00403149" w:rsidRDefault="009C7371" w:rsidP="00190453">
            <w:pPr>
              <w:jc w:val="both"/>
              <w:rPr>
                <w:rFonts w:eastAsia="Calibri"/>
                <w:sz w:val="20"/>
                <w:szCs w:val="20"/>
              </w:rPr>
            </w:pPr>
          </w:p>
        </w:tc>
        <w:tc>
          <w:tcPr>
            <w:tcW w:w="243" w:type="pct"/>
          </w:tcPr>
          <w:p w:rsidR="009C7371" w:rsidRPr="00403149" w:rsidRDefault="009C7371" w:rsidP="00190453">
            <w:pPr>
              <w:jc w:val="both"/>
              <w:rPr>
                <w:rFonts w:eastAsia="Calibri"/>
                <w:sz w:val="20"/>
                <w:szCs w:val="20"/>
              </w:rPr>
            </w:pPr>
          </w:p>
        </w:tc>
        <w:tc>
          <w:tcPr>
            <w:tcW w:w="2330" w:type="pct"/>
          </w:tcPr>
          <w:p w:rsidR="009C7371" w:rsidRPr="00403149" w:rsidRDefault="009C7371" w:rsidP="00190453">
            <w:pPr>
              <w:jc w:val="both"/>
              <w:rPr>
                <w:rFonts w:eastAsia="Calibri"/>
                <w:sz w:val="20"/>
                <w:szCs w:val="20"/>
              </w:rPr>
            </w:pPr>
            <w:r w:rsidRPr="00403149">
              <w:rPr>
                <w:rFonts w:eastAsia="Calibri"/>
                <w:sz w:val="20"/>
                <w:szCs w:val="20"/>
              </w:rPr>
              <w:t>Motion for an extension of time to serve and file an application for leave to appeal and application for leave to appeal from the judgment of the Ontario Superior Court of Justice dated September 29, 2005 filed.</w:t>
            </w:r>
          </w:p>
        </w:tc>
      </w:tr>
    </w:tbl>
    <w:p w:rsidR="00600C23" w:rsidRDefault="00600C23" w:rsidP="00600C23">
      <w:pPr>
        <w:rPr>
          <w:sz w:val="20"/>
          <w:szCs w:val="20"/>
        </w:rPr>
      </w:pPr>
    </w:p>
    <w:p w:rsidR="00600C23" w:rsidRPr="00C50A5C" w:rsidRDefault="004F01F8" w:rsidP="00600C23">
      <w:pPr>
        <w:rPr>
          <w:sz w:val="20"/>
          <w:szCs w:val="20"/>
        </w:rPr>
      </w:pPr>
      <w:r>
        <w:rPr>
          <w:sz w:val="20"/>
          <w:szCs w:val="20"/>
          <w:lang w:val="fr-CA"/>
        </w:rPr>
        <w:pict>
          <v:rect id="_x0000_i1048" style="width:2in;height:1pt" o:hrpct="0" o:hralign="center" o:hrstd="t" o:hrnoshade="t" o:hr="t" fillcolor="black [3213]" stroked="f"/>
        </w:pict>
      </w:r>
    </w:p>
    <w:p w:rsidR="00600C23" w:rsidRDefault="00600C23" w:rsidP="00600C23">
      <w:pPr>
        <w:rPr>
          <w:sz w:val="20"/>
          <w:szCs w:val="20"/>
        </w:rPr>
      </w:pPr>
    </w:p>
    <w:p w:rsidR="00600C23" w:rsidRPr="001B157C" w:rsidRDefault="00600C23" w:rsidP="00600C23">
      <w:pPr>
        <w:rPr>
          <w:sz w:val="20"/>
          <w:szCs w:val="20"/>
          <w:u w:val="single"/>
          <w:lang w:val="fr-CA"/>
        </w:rPr>
      </w:pPr>
      <w:r w:rsidRPr="001B157C">
        <w:rPr>
          <w:sz w:val="20"/>
          <w:szCs w:val="20"/>
          <w:u w:val="single"/>
          <w:lang w:val="fr-CA"/>
        </w:rPr>
        <w:t>RÉSUMÉ DE L’AFFAIRE</w:t>
      </w:r>
    </w:p>
    <w:p w:rsidR="00600C23" w:rsidRDefault="00600C23" w:rsidP="00600C2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C7371" w:rsidRPr="004F01F8" w:rsidTr="00190453">
        <w:tc>
          <w:tcPr>
            <w:tcW w:w="5000" w:type="pct"/>
            <w:gridSpan w:val="3"/>
          </w:tcPr>
          <w:p w:rsidR="009C7371" w:rsidRPr="00403149" w:rsidRDefault="009C7371" w:rsidP="00190453">
            <w:pPr>
              <w:jc w:val="both"/>
              <w:rPr>
                <w:rFonts w:eastAsia="Calibri"/>
                <w:sz w:val="20"/>
                <w:szCs w:val="20"/>
                <w:lang w:val="fr-CA"/>
              </w:rPr>
            </w:pPr>
            <w:r w:rsidRPr="00403149">
              <w:rPr>
                <w:rFonts w:eastAsia="Calibri"/>
                <w:sz w:val="20"/>
                <w:szCs w:val="20"/>
                <w:lang w:val="fr-CA"/>
              </w:rPr>
              <w:t>Procédure civile — Appels — La Cour divisionnaire a rejeté l’appel d’une ordonnance de reddition de compte d’une succession — L’appel aurait</w:t>
            </w:r>
            <w:r w:rsidRPr="00403149">
              <w:rPr>
                <w:rFonts w:eastAsia="Calibri"/>
                <w:sz w:val="20"/>
                <w:szCs w:val="20"/>
                <w:lang w:val="fr-CA"/>
              </w:rPr>
              <w:noBreakHyphen/>
              <w:t>il dû être accueilli? — Une prorogation du délai d’appel de ce jugement aurait</w:t>
            </w:r>
            <w:r w:rsidRPr="00403149">
              <w:rPr>
                <w:rFonts w:eastAsia="Calibri"/>
                <w:sz w:val="20"/>
                <w:szCs w:val="20"/>
                <w:lang w:val="fr-CA"/>
              </w:rPr>
              <w:noBreakHyphen/>
              <w:t xml:space="preserve">elle dû </w:t>
            </w:r>
            <w:r w:rsidRPr="00403149">
              <w:rPr>
                <w:rFonts w:eastAsia="Calibri"/>
                <w:sz w:val="20"/>
                <w:szCs w:val="20"/>
                <w:lang w:val="fr-CA"/>
              </w:rPr>
              <w:lastRenderedPageBreak/>
              <w:t>être accordée?</w:t>
            </w:r>
          </w:p>
        </w:tc>
      </w:tr>
      <w:tr w:rsidR="009C7371" w:rsidRPr="004F01F8" w:rsidTr="00190453">
        <w:tc>
          <w:tcPr>
            <w:tcW w:w="5000" w:type="pct"/>
            <w:gridSpan w:val="3"/>
          </w:tcPr>
          <w:p w:rsidR="009C7371" w:rsidRPr="00403149" w:rsidRDefault="009C7371" w:rsidP="00190453">
            <w:pPr>
              <w:jc w:val="both"/>
              <w:rPr>
                <w:rFonts w:eastAsia="Calibri"/>
                <w:sz w:val="20"/>
                <w:szCs w:val="20"/>
                <w:lang w:val="fr-CA"/>
              </w:rPr>
            </w:pPr>
          </w:p>
        </w:tc>
      </w:tr>
      <w:tr w:rsidR="009C7371" w:rsidRPr="004F01F8" w:rsidTr="00190453">
        <w:tc>
          <w:tcPr>
            <w:tcW w:w="5000" w:type="pct"/>
            <w:gridSpan w:val="3"/>
          </w:tcPr>
          <w:p w:rsidR="009C7371" w:rsidRPr="00403149" w:rsidRDefault="009C7371" w:rsidP="00190453">
            <w:pPr>
              <w:jc w:val="both"/>
              <w:rPr>
                <w:rFonts w:eastAsia="Calibri"/>
                <w:sz w:val="20"/>
                <w:szCs w:val="20"/>
                <w:lang w:val="fr-CA"/>
              </w:rPr>
            </w:pPr>
            <w:r w:rsidRPr="00403149">
              <w:rPr>
                <w:rFonts w:eastAsia="Calibri"/>
                <w:sz w:val="20"/>
                <w:szCs w:val="20"/>
                <w:lang w:val="fr-CA"/>
              </w:rPr>
              <w:t>Madame Laidman est l’une des ayants droit de la succession de sa mère.  En 2003, le juge Crane de la Cour supérieure de justice de l’Ontario a signé une ordonnance de reddition de compte de la succession.  Madame Laidman a interjeté appel de l’ordonnance du juge Crane à la Cour divisionnaire qui a rejeté son appel le 29 septembre 2005.  Six ans et demi plus tard, elle a demandé par motion à la Cour d’appel une ordonnance autorisant la prorogation du délai de dépôt d’un appel du jugement de la Cour divisionnaire, mais elle a été déboutée.  Elle a ensuite présenté une motion à la Cour d’appel en prorogation du délai de dépôt d’une demande de révision de cette décision.  Le juge Blair a rejeté la motion.  Madame Laidman demande l’autorisation d’appel de la décision rendue par la Cour divisionnaire en 2005.</w:t>
            </w:r>
          </w:p>
          <w:p w:rsidR="009C7371" w:rsidRPr="00403149" w:rsidRDefault="009C7371" w:rsidP="00190453">
            <w:pPr>
              <w:jc w:val="both"/>
              <w:rPr>
                <w:rFonts w:eastAsia="Calibri"/>
                <w:sz w:val="20"/>
                <w:szCs w:val="20"/>
                <w:lang w:val="fr-CA"/>
              </w:rPr>
            </w:pPr>
          </w:p>
        </w:tc>
      </w:tr>
      <w:tr w:rsidR="009C7371" w:rsidRPr="004F01F8" w:rsidTr="00190453">
        <w:tc>
          <w:tcPr>
            <w:tcW w:w="2427" w:type="pct"/>
          </w:tcPr>
          <w:p w:rsidR="009C7371" w:rsidRPr="00403149" w:rsidRDefault="009C7371" w:rsidP="00190453">
            <w:pPr>
              <w:jc w:val="both"/>
              <w:rPr>
                <w:rFonts w:eastAsia="Calibri"/>
                <w:sz w:val="20"/>
                <w:szCs w:val="20"/>
                <w:lang w:val="fr-CA"/>
              </w:rPr>
            </w:pPr>
            <w:r w:rsidRPr="00403149">
              <w:rPr>
                <w:rFonts w:eastAsia="Calibri"/>
                <w:sz w:val="20"/>
                <w:szCs w:val="20"/>
                <w:lang w:val="fr-CA"/>
              </w:rPr>
              <w:t>12 septembre 2003</w:t>
            </w:r>
          </w:p>
          <w:p w:rsidR="009C7371" w:rsidRPr="00403149" w:rsidRDefault="009C7371" w:rsidP="00190453">
            <w:pPr>
              <w:jc w:val="both"/>
              <w:rPr>
                <w:rFonts w:eastAsia="Calibri"/>
                <w:sz w:val="20"/>
                <w:szCs w:val="20"/>
                <w:lang w:val="fr-CA"/>
              </w:rPr>
            </w:pPr>
            <w:r w:rsidRPr="00403149">
              <w:rPr>
                <w:rFonts w:eastAsia="Calibri"/>
                <w:sz w:val="20"/>
                <w:szCs w:val="20"/>
                <w:lang w:val="fr-CA"/>
              </w:rPr>
              <w:t>Cour supérieure de justice de l’Ontario</w:t>
            </w:r>
          </w:p>
          <w:p w:rsidR="009C7371" w:rsidRPr="00403149" w:rsidRDefault="009C7371" w:rsidP="00190453">
            <w:pPr>
              <w:jc w:val="both"/>
              <w:rPr>
                <w:rFonts w:eastAsia="Calibri"/>
                <w:sz w:val="20"/>
                <w:szCs w:val="20"/>
                <w:lang w:val="fr-CA"/>
              </w:rPr>
            </w:pPr>
            <w:r w:rsidRPr="00403149">
              <w:rPr>
                <w:rFonts w:eastAsia="Calibri"/>
                <w:sz w:val="20"/>
                <w:szCs w:val="20"/>
                <w:lang w:val="fr-CA"/>
              </w:rPr>
              <w:t>(Juge Crane)</w:t>
            </w:r>
          </w:p>
          <w:p w:rsidR="009C7371" w:rsidRPr="00403149" w:rsidRDefault="009C7371" w:rsidP="00190453">
            <w:pPr>
              <w:jc w:val="both"/>
              <w:rPr>
                <w:rFonts w:eastAsia="Calibri"/>
                <w:sz w:val="20"/>
                <w:szCs w:val="20"/>
                <w:lang w:val="fr-CA"/>
              </w:rPr>
            </w:pPr>
          </w:p>
        </w:tc>
        <w:tc>
          <w:tcPr>
            <w:tcW w:w="243" w:type="pct"/>
          </w:tcPr>
          <w:p w:rsidR="009C7371" w:rsidRPr="00403149" w:rsidRDefault="009C7371" w:rsidP="00190453">
            <w:pPr>
              <w:jc w:val="both"/>
              <w:rPr>
                <w:rFonts w:eastAsia="Calibri"/>
                <w:sz w:val="20"/>
                <w:szCs w:val="20"/>
                <w:lang w:val="fr-CA"/>
              </w:rPr>
            </w:pPr>
          </w:p>
        </w:tc>
        <w:tc>
          <w:tcPr>
            <w:tcW w:w="2330" w:type="pct"/>
          </w:tcPr>
          <w:p w:rsidR="009C7371" w:rsidRPr="00403149" w:rsidRDefault="009C7371" w:rsidP="00190453">
            <w:pPr>
              <w:jc w:val="both"/>
              <w:rPr>
                <w:rFonts w:eastAsia="Calibri"/>
                <w:sz w:val="20"/>
                <w:szCs w:val="20"/>
                <w:lang w:val="fr-CA"/>
              </w:rPr>
            </w:pPr>
            <w:r w:rsidRPr="00403149">
              <w:rPr>
                <w:rFonts w:eastAsia="Calibri"/>
                <w:sz w:val="20"/>
                <w:szCs w:val="20"/>
                <w:lang w:val="fr-CA"/>
              </w:rPr>
              <w:t>Ordonnance de reddition de compte d’une succession.</w:t>
            </w:r>
          </w:p>
          <w:p w:rsidR="009C7371" w:rsidRPr="00403149" w:rsidRDefault="009C7371" w:rsidP="00190453">
            <w:pPr>
              <w:jc w:val="both"/>
              <w:rPr>
                <w:rFonts w:eastAsia="Calibri"/>
                <w:sz w:val="20"/>
                <w:szCs w:val="20"/>
                <w:lang w:val="fr-CA"/>
              </w:rPr>
            </w:pPr>
          </w:p>
        </w:tc>
      </w:tr>
      <w:tr w:rsidR="009C7371" w:rsidRPr="00403149" w:rsidTr="00190453">
        <w:tc>
          <w:tcPr>
            <w:tcW w:w="2427" w:type="pct"/>
          </w:tcPr>
          <w:p w:rsidR="009C7371" w:rsidRPr="00403149" w:rsidRDefault="009C7371" w:rsidP="00190453">
            <w:pPr>
              <w:jc w:val="both"/>
              <w:rPr>
                <w:rFonts w:eastAsia="Calibri"/>
                <w:sz w:val="20"/>
                <w:szCs w:val="20"/>
                <w:lang w:val="fr-CA"/>
              </w:rPr>
            </w:pPr>
            <w:r w:rsidRPr="00403149">
              <w:rPr>
                <w:rFonts w:eastAsia="Calibri"/>
                <w:sz w:val="20"/>
                <w:szCs w:val="20"/>
                <w:lang w:val="fr-CA"/>
              </w:rPr>
              <w:t>29 septembre 2005</w:t>
            </w:r>
          </w:p>
          <w:p w:rsidR="009C7371" w:rsidRPr="00403149" w:rsidRDefault="009C7371" w:rsidP="00190453">
            <w:pPr>
              <w:jc w:val="both"/>
              <w:rPr>
                <w:rFonts w:eastAsia="Calibri"/>
                <w:sz w:val="20"/>
                <w:szCs w:val="20"/>
                <w:lang w:val="fr-CA"/>
              </w:rPr>
            </w:pPr>
            <w:r w:rsidRPr="00403149">
              <w:rPr>
                <w:rFonts w:eastAsia="Calibri"/>
                <w:sz w:val="20"/>
                <w:szCs w:val="20"/>
                <w:lang w:val="fr-CA"/>
              </w:rPr>
              <w:t>Cour supérieure de justice de l’Ontario</w:t>
            </w:r>
          </w:p>
          <w:p w:rsidR="009C7371" w:rsidRPr="00403149" w:rsidRDefault="009C7371" w:rsidP="00190453">
            <w:pPr>
              <w:jc w:val="both"/>
              <w:rPr>
                <w:rFonts w:eastAsia="Calibri"/>
                <w:sz w:val="20"/>
                <w:szCs w:val="20"/>
                <w:lang w:val="fr-CA"/>
              </w:rPr>
            </w:pPr>
            <w:r w:rsidRPr="00403149">
              <w:rPr>
                <w:rFonts w:eastAsia="Calibri"/>
                <w:sz w:val="20"/>
                <w:szCs w:val="20"/>
                <w:lang w:val="fr-CA"/>
              </w:rPr>
              <w:t>(Juges Killeen, Sachs et Stayshyn)</w:t>
            </w:r>
          </w:p>
          <w:p w:rsidR="009C7371" w:rsidRPr="00403149" w:rsidRDefault="009C7371" w:rsidP="00190453">
            <w:pPr>
              <w:jc w:val="both"/>
              <w:rPr>
                <w:rFonts w:eastAsia="Calibri"/>
                <w:sz w:val="20"/>
                <w:szCs w:val="20"/>
                <w:lang w:val="fr-CA"/>
              </w:rPr>
            </w:pPr>
          </w:p>
        </w:tc>
        <w:tc>
          <w:tcPr>
            <w:tcW w:w="243" w:type="pct"/>
          </w:tcPr>
          <w:p w:rsidR="009C7371" w:rsidRPr="00403149" w:rsidRDefault="009C7371" w:rsidP="00190453">
            <w:pPr>
              <w:jc w:val="both"/>
              <w:rPr>
                <w:rFonts w:eastAsia="Calibri"/>
                <w:sz w:val="20"/>
                <w:szCs w:val="20"/>
                <w:lang w:val="fr-CA"/>
              </w:rPr>
            </w:pPr>
          </w:p>
        </w:tc>
        <w:tc>
          <w:tcPr>
            <w:tcW w:w="2330" w:type="pct"/>
          </w:tcPr>
          <w:p w:rsidR="009C7371" w:rsidRPr="00403149" w:rsidRDefault="009C7371" w:rsidP="00190453">
            <w:pPr>
              <w:jc w:val="both"/>
              <w:rPr>
                <w:rFonts w:eastAsia="Calibri"/>
                <w:sz w:val="20"/>
                <w:szCs w:val="20"/>
                <w:lang w:val="fr-CA"/>
              </w:rPr>
            </w:pPr>
            <w:r w:rsidRPr="00403149">
              <w:rPr>
                <w:rFonts w:eastAsia="Calibri"/>
                <w:sz w:val="20"/>
                <w:szCs w:val="20"/>
                <w:lang w:val="fr-CA"/>
              </w:rPr>
              <w:t>Appel rejeté.</w:t>
            </w:r>
          </w:p>
          <w:p w:rsidR="009C7371" w:rsidRPr="00403149" w:rsidRDefault="009C7371" w:rsidP="00190453">
            <w:pPr>
              <w:jc w:val="both"/>
              <w:rPr>
                <w:rFonts w:eastAsia="Calibri"/>
                <w:sz w:val="20"/>
                <w:szCs w:val="20"/>
                <w:lang w:val="fr-CA"/>
              </w:rPr>
            </w:pPr>
          </w:p>
        </w:tc>
      </w:tr>
      <w:tr w:rsidR="009C7371" w:rsidRPr="004F01F8" w:rsidTr="00190453">
        <w:tc>
          <w:tcPr>
            <w:tcW w:w="2427" w:type="pct"/>
          </w:tcPr>
          <w:p w:rsidR="009C7371" w:rsidRPr="00403149" w:rsidRDefault="009C7371" w:rsidP="00190453">
            <w:pPr>
              <w:jc w:val="both"/>
              <w:rPr>
                <w:rFonts w:eastAsia="Calibri"/>
                <w:sz w:val="20"/>
                <w:szCs w:val="20"/>
                <w:lang w:val="fr-CA"/>
              </w:rPr>
            </w:pPr>
            <w:r w:rsidRPr="00403149">
              <w:rPr>
                <w:rFonts w:eastAsia="Calibri"/>
                <w:sz w:val="20"/>
                <w:szCs w:val="20"/>
                <w:lang w:val="fr-CA"/>
              </w:rPr>
              <w:t>12 mars 2012</w:t>
            </w:r>
          </w:p>
          <w:p w:rsidR="009C7371" w:rsidRPr="00403149" w:rsidRDefault="009C7371" w:rsidP="00190453">
            <w:pPr>
              <w:jc w:val="both"/>
              <w:rPr>
                <w:rFonts w:eastAsia="Calibri"/>
                <w:sz w:val="20"/>
                <w:szCs w:val="20"/>
                <w:lang w:val="fr-CA"/>
              </w:rPr>
            </w:pPr>
            <w:r w:rsidRPr="00403149">
              <w:rPr>
                <w:rFonts w:eastAsia="Calibri"/>
                <w:sz w:val="20"/>
                <w:szCs w:val="20"/>
                <w:lang w:val="fr-CA"/>
              </w:rPr>
              <w:t>Cour d’appel de l’Ontario</w:t>
            </w:r>
          </w:p>
          <w:p w:rsidR="009C7371" w:rsidRPr="00403149" w:rsidRDefault="009C7371" w:rsidP="00190453">
            <w:pPr>
              <w:jc w:val="both"/>
              <w:rPr>
                <w:rFonts w:eastAsia="Calibri"/>
                <w:sz w:val="20"/>
                <w:szCs w:val="20"/>
                <w:lang w:val="fr-CA"/>
              </w:rPr>
            </w:pPr>
            <w:r w:rsidRPr="00403149">
              <w:rPr>
                <w:rFonts w:eastAsia="Calibri"/>
                <w:sz w:val="20"/>
                <w:szCs w:val="20"/>
                <w:lang w:val="fr-CA"/>
              </w:rPr>
              <w:t>(Juge Feldman)</w:t>
            </w:r>
          </w:p>
          <w:p w:rsidR="009C7371" w:rsidRPr="00403149" w:rsidRDefault="009C7371" w:rsidP="00190453">
            <w:pPr>
              <w:jc w:val="both"/>
              <w:rPr>
                <w:rFonts w:eastAsia="Calibri"/>
                <w:sz w:val="20"/>
                <w:szCs w:val="20"/>
                <w:lang w:val="fr-CA"/>
              </w:rPr>
            </w:pPr>
          </w:p>
        </w:tc>
        <w:tc>
          <w:tcPr>
            <w:tcW w:w="243" w:type="pct"/>
          </w:tcPr>
          <w:p w:rsidR="009C7371" w:rsidRPr="00403149" w:rsidRDefault="009C7371" w:rsidP="00190453">
            <w:pPr>
              <w:jc w:val="both"/>
              <w:rPr>
                <w:rFonts w:eastAsia="Calibri"/>
                <w:sz w:val="20"/>
                <w:szCs w:val="20"/>
                <w:lang w:val="fr-CA"/>
              </w:rPr>
            </w:pPr>
          </w:p>
        </w:tc>
        <w:tc>
          <w:tcPr>
            <w:tcW w:w="2330" w:type="pct"/>
          </w:tcPr>
          <w:p w:rsidR="009C7371" w:rsidRPr="00403149" w:rsidRDefault="009C7371" w:rsidP="00190453">
            <w:pPr>
              <w:jc w:val="both"/>
              <w:rPr>
                <w:rFonts w:eastAsia="Calibri"/>
                <w:sz w:val="20"/>
                <w:szCs w:val="20"/>
                <w:lang w:val="fr-CA"/>
              </w:rPr>
            </w:pPr>
            <w:r w:rsidRPr="00403149">
              <w:rPr>
                <w:rFonts w:eastAsia="Calibri"/>
                <w:sz w:val="20"/>
                <w:szCs w:val="20"/>
                <w:lang w:val="fr-CA"/>
              </w:rPr>
              <w:t>Motion en prorogation du délai de dépôt d’un avis d’appel de l’ordonnance de la Cour divisionnaire, rejetée.</w:t>
            </w:r>
          </w:p>
          <w:p w:rsidR="009C7371" w:rsidRPr="00403149" w:rsidRDefault="009C7371" w:rsidP="00190453">
            <w:pPr>
              <w:jc w:val="both"/>
              <w:rPr>
                <w:rFonts w:eastAsia="Calibri"/>
                <w:sz w:val="20"/>
                <w:szCs w:val="20"/>
                <w:lang w:val="fr-CA"/>
              </w:rPr>
            </w:pPr>
          </w:p>
        </w:tc>
      </w:tr>
      <w:tr w:rsidR="009C7371" w:rsidRPr="004F01F8" w:rsidTr="00190453">
        <w:tc>
          <w:tcPr>
            <w:tcW w:w="2427" w:type="pct"/>
          </w:tcPr>
          <w:p w:rsidR="009C7371" w:rsidRPr="00403149" w:rsidRDefault="009C7371" w:rsidP="00190453">
            <w:pPr>
              <w:jc w:val="both"/>
              <w:rPr>
                <w:rFonts w:eastAsia="Calibri"/>
                <w:sz w:val="20"/>
                <w:szCs w:val="20"/>
                <w:lang w:val="fr-CA"/>
              </w:rPr>
            </w:pPr>
            <w:r w:rsidRPr="00403149">
              <w:rPr>
                <w:rFonts w:eastAsia="Calibri"/>
                <w:sz w:val="20"/>
                <w:szCs w:val="20"/>
                <w:lang w:val="fr-CA"/>
              </w:rPr>
              <w:t>30 avril 2012</w:t>
            </w:r>
          </w:p>
          <w:p w:rsidR="009C7371" w:rsidRPr="00403149" w:rsidRDefault="009C7371" w:rsidP="00190453">
            <w:pPr>
              <w:jc w:val="both"/>
              <w:rPr>
                <w:rFonts w:eastAsia="Calibri"/>
                <w:sz w:val="20"/>
                <w:szCs w:val="20"/>
                <w:lang w:val="fr-CA"/>
              </w:rPr>
            </w:pPr>
            <w:r w:rsidRPr="00403149">
              <w:rPr>
                <w:rFonts w:eastAsia="Calibri"/>
                <w:sz w:val="20"/>
                <w:szCs w:val="20"/>
                <w:lang w:val="fr-CA"/>
              </w:rPr>
              <w:t>Cour d’appel de l’Ontario</w:t>
            </w:r>
          </w:p>
          <w:p w:rsidR="009C7371" w:rsidRPr="00403149" w:rsidRDefault="009C7371" w:rsidP="00190453">
            <w:pPr>
              <w:jc w:val="both"/>
              <w:rPr>
                <w:rFonts w:eastAsia="Calibri"/>
                <w:sz w:val="20"/>
                <w:szCs w:val="20"/>
                <w:lang w:val="fr-CA"/>
              </w:rPr>
            </w:pPr>
            <w:r w:rsidRPr="00403149">
              <w:rPr>
                <w:rFonts w:eastAsia="Calibri"/>
                <w:sz w:val="20"/>
                <w:szCs w:val="20"/>
                <w:lang w:val="fr-CA"/>
              </w:rPr>
              <w:t>(Juge Blair)</w:t>
            </w:r>
          </w:p>
          <w:p w:rsidR="009C7371" w:rsidRPr="00403149" w:rsidRDefault="009C7371" w:rsidP="00190453">
            <w:pPr>
              <w:jc w:val="both"/>
              <w:rPr>
                <w:rFonts w:eastAsia="Calibri"/>
                <w:sz w:val="20"/>
                <w:szCs w:val="20"/>
                <w:lang w:val="fr-CA"/>
              </w:rPr>
            </w:pPr>
          </w:p>
        </w:tc>
        <w:tc>
          <w:tcPr>
            <w:tcW w:w="243" w:type="pct"/>
          </w:tcPr>
          <w:p w:rsidR="009C7371" w:rsidRPr="00403149" w:rsidRDefault="009C7371" w:rsidP="00190453">
            <w:pPr>
              <w:jc w:val="both"/>
              <w:rPr>
                <w:rFonts w:eastAsia="Calibri"/>
                <w:sz w:val="20"/>
                <w:szCs w:val="20"/>
                <w:lang w:val="fr-CA"/>
              </w:rPr>
            </w:pPr>
          </w:p>
        </w:tc>
        <w:tc>
          <w:tcPr>
            <w:tcW w:w="2330" w:type="pct"/>
          </w:tcPr>
          <w:p w:rsidR="009C7371" w:rsidRPr="00403149" w:rsidRDefault="009C7371" w:rsidP="00190453">
            <w:pPr>
              <w:jc w:val="both"/>
              <w:rPr>
                <w:rFonts w:eastAsia="Calibri"/>
                <w:sz w:val="20"/>
                <w:szCs w:val="20"/>
                <w:lang w:val="fr-CA"/>
              </w:rPr>
            </w:pPr>
            <w:r w:rsidRPr="00403149">
              <w:rPr>
                <w:rFonts w:eastAsia="Calibri"/>
                <w:sz w:val="20"/>
                <w:szCs w:val="20"/>
                <w:lang w:val="fr-CA"/>
              </w:rPr>
              <w:t>Motion en prorogation du délai de dépôt d’une motion en annulation ou en modification de l’ordonnance du juge Feldman, rejetée.</w:t>
            </w:r>
          </w:p>
          <w:p w:rsidR="009C7371" w:rsidRPr="00403149" w:rsidRDefault="009C7371" w:rsidP="00190453">
            <w:pPr>
              <w:jc w:val="both"/>
              <w:rPr>
                <w:rFonts w:eastAsia="Calibri"/>
                <w:sz w:val="20"/>
                <w:szCs w:val="20"/>
                <w:lang w:val="fr-CA"/>
              </w:rPr>
            </w:pPr>
          </w:p>
        </w:tc>
      </w:tr>
      <w:tr w:rsidR="009C7371" w:rsidRPr="004F01F8" w:rsidTr="00190453">
        <w:tc>
          <w:tcPr>
            <w:tcW w:w="2427" w:type="pct"/>
          </w:tcPr>
          <w:p w:rsidR="009C7371" w:rsidRPr="00403149" w:rsidRDefault="009C7371" w:rsidP="00190453">
            <w:pPr>
              <w:jc w:val="both"/>
              <w:rPr>
                <w:rFonts w:eastAsia="Calibri"/>
                <w:sz w:val="20"/>
                <w:szCs w:val="20"/>
                <w:lang w:val="fr-CA"/>
              </w:rPr>
            </w:pPr>
            <w:r w:rsidRPr="00403149">
              <w:rPr>
                <w:rFonts w:eastAsia="Calibri"/>
                <w:sz w:val="20"/>
                <w:szCs w:val="20"/>
                <w:lang w:val="fr-CA"/>
              </w:rPr>
              <w:t>8 janvier 2014</w:t>
            </w:r>
          </w:p>
          <w:p w:rsidR="009C7371" w:rsidRPr="00403149" w:rsidRDefault="009C7371" w:rsidP="00190453">
            <w:pPr>
              <w:jc w:val="both"/>
              <w:rPr>
                <w:rFonts w:eastAsia="Calibri"/>
                <w:sz w:val="20"/>
                <w:szCs w:val="20"/>
                <w:lang w:val="fr-CA"/>
              </w:rPr>
            </w:pPr>
            <w:r w:rsidRPr="00403149">
              <w:rPr>
                <w:rFonts w:eastAsia="Calibri"/>
                <w:sz w:val="20"/>
                <w:szCs w:val="20"/>
                <w:lang w:val="fr-CA"/>
              </w:rPr>
              <w:t>Cour suprême du Canada</w:t>
            </w:r>
          </w:p>
          <w:p w:rsidR="009C7371" w:rsidRPr="00403149" w:rsidRDefault="009C7371" w:rsidP="00190453">
            <w:pPr>
              <w:jc w:val="both"/>
              <w:rPr>
                <w:rFonts w:eastAsia="Calibri"/>
                <w:sz w:val="20"/>
                <w:szCs w:val="20"/>
                <w:lang w:val="fr-CA"/>
              </w:rPr>
            </w:pPr>
          </w:p>
          <w:p w:rsidR="009C7371" w:rsidRPr="00403149" w:rsidRDefault="009C7371" w:rsidP="00190453">
            <w:pPr>
              <w:jc w:val="both"/>
              <w:rPr>
                <w:rFonts w:eastAsia="Calibri"/>
                <w:sz w:val="20"/>
                <w:szCs w:val="20"/>
                <w:lang w:val="fr-CA"/>
              </w:rPr>
            </w:pPr>
          </w:p>
        </w:tc>
        <w:tc>
          <w:tcPr>
            <w:tcW w:w="243" w:type="pct"/>
          </w:tcPr>
          <w:p w:rsidR="009C7371" w:rsidRPr="00403149" w:rsidRDefault="009C7371" w:rsidP="00190453">
            <w:pPr>
              <w:jc w:val="both"/>
              <w:rPr>
                <w:rFonts w:eastAsia="Calibri"/>
                <w:sz w:val="20"/>
                <w:szCs w:val="20"/>
                <w:lang w:val="fr-CA"/>
              </w:rPr>
            </w:pPr>
          </w:p>
        </w:tc>
        <w:tc>
          <w:tcPr>
            <w:tcW w:w="2330" w:type="pct"/>
          </w:tcPr>
          <w:p w:rsidR="009C7371" w:rsidRPr="00403149" w:rsidRDefault="009C7371" w:rsidP="00190453">
            <w:pPr>
              <w:jc w:val="both"/>
              <w:rPr>
                <w:rFonts w:eastAsia="Calibri"/>
                <w:sz w:val="20"/>
                <w:szCs w:val="20"/>
                <w:lang w:val="fr-CA"/>
              </w:rPr>
            </w:pPr>
            <w:r w:rsidRPr="00403149">
              <w:rPr>
                <w:rFonts w:eastAsia="Calibri"/>
                <w:sz w:val="20"/>
                <w:szCs w:val="20"/>
                <w:lang w:val="fr-CA"/>
              </w:rPr>
              <w:t>Requête en prorogation du délai de signification et de dépôt d’une demande d’autorisation d’appel et demande d’autorisation d’appel du jugement de la Cour supérieure de justice de l’Ontario daté du 29 septembre 2005, déposées.</w:t>
            </w:r>
          </w:p>
        </w:tc>
      </w:tr>
    </w:tbl>
    <w:p w:rsidR="00600C23" w:rsidRPr="009C7371" w:rsidRDefault="00600C23" w:rsidP="00600C23">
      <w:pPr>
        <w:rPr>
          <w:sz w:val="20"/>
          <w:szCs w:val="20"/>
          <w:lang w:val="fr-CA"/>
        </w:rPr>
      </w:pPr>
    </w:p>
    <w:p w:rsidR="00600C23" w:rsidRDefault="004F01F8" w:rsidP="00600C23">
      <w:pPr>
        <w:rPr>
          <w:sz w:val="20"/>
          <w:szCs w:val="20"/>
        </w:rPr>
      </w:pPr>
      <w:r>
        <w:rPr>
          <w:sz w:val="20"/>
          <w:szCs w:val="20"/>
          <w:lang w:val="fr-CA"/>
        </w:rPr>
        <w:pict>
          <v:rect id="_x0000_i1049" style="width:2in;height:1pt" o:hrpct="0" o:hralign="center" o:hrstd="t" o:hrnoshade="t" o:hr="t" fillcolor="black [3213]" stroked="f"/>
        </w:pict>
      </w:r>
    </w:p>
    <w:p w:rsidR="00600C23" w:rsidRDefault="00600C23" w:rsidP="00600C23">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04EDE" w:rsidRPr="004F01F8" w:rsidTr="007A5AE5">
        <w:trPr>
          <w:cantSplit/>
        </w:trPr>
        <w:tc>
          <w:tcPr>
            <w:tcW w:w="1458" w:type="dxa"/>
          </w:tcPr>
          <w:p w:rsidR="00004EDE" w:rsidRPr="00582BFB" w:rsidRDefault="00004EDE" w:rsidP="007A5AE5">
            <w:pPr>
              <w:rPr>
                <w:sz w:val="20"/>
                <w:szCs w:val="20"/>
              </w:rPr>
            </w:pPr>
            <w:r w:rsidRPr="00582BFB">
              <w:rPr>
                <w:rStyle w:val="SCCFileNumberChar"/>
                <w:sz w:val="20"/>
                <w:szCs w:val="20"/>
              </w:rPr>
              <w:t>35721</w:t>
            </w:r>
          </w:p>
          <w:p w:rsidR="00004EDE" w:rsidRPr="00582BFB" w:rsidRDefault="00004EDE" w:rsidP="007A5AE5">
            <w:pPr>
              <w:rPr>
                <w:b/>
                <w:sz w:val="20"/>
                <w:szCs w:val="20"/>
                <w:lang w:val="fr-CA"/>
              </w:rPr>
            </w:pPr>
          </w:p>
        </w:tc>
        <w:tc>
          <w:tcPr>
            <w:tcW w:w="8118" w:type="dxa"/>
          </w:tcPr>
          <w:p w:rsidR="00004EDE" w:rsidRPr="00582BFB" w:rsidRDefault="00004EDE" w:rsidP="007A5AE5">
            <w:pPr>
              <w:rPr>
                <w:sz w:val="20"/>
                <w:szCs w:val="20"/>
                <w:lang w:val="fr-CA"/>
              </w:rPr>
            </w:pPr>
            <w:r w:rsidRPr="00582BFB">
              <w:rPr>
                <w:rStyle w:val="SCCLsocChar"/>
                <w:sz w:val="20"/>
                <w:szCs w:val="20"/>
              </w:rPr>
              <w:t>Yves Leroy c. Fédération compagnie d'assurance du Canada</w:t>
            </w:r>
            <w:r w:rsidRPr="00582BFB">
              <w:rPr>
                <w:sz w:val="20"/>
                <w:szCs w:val="20"/>
                <w:lang w:val="fr-CA"/>
              </w:rPr>
              <w:t xml:space="preserve"> (Qc) (Civile) (Autorisation)</w:t>
            </w:r>
          </w:p>
          <w:p w:rsidR="00004EDE" w:rsidRPr="00582BFB" w:rsidRDefault="00004EDE" w:rsidP="007A5AE5">
            <w:pPr>
              <w:rPr>
                <w:sz w:val="20"/>
                <w:szCs w:val="20"/>
                <w:lang w:val="fr-CA"/>
              </w:rPr>
            </w:pPr>
          </w:p>
        </w:tc>
      </w:tr>
      <w:tr w:rsidR="00004EDE" w:rsidRPr="004F01F8" w:rsidTr="007A5AE5">
        <w:trPr>
          <w:cantSplit/>
        </w:trPr>
        <w:tc>
          <w:tcPr>
            <w:tcW w:w="1458" w:type="dxa"/>
          </w:tcPr>
          <w:p w:rsidR="00004EDE" w:rsidRPr="00582BFB" w:rsidRDefault="00004EDE" w:rsidP="007A5AE5">
            <w:pPr>
              <w:rPr>
                <w:sz w:val="20"/>
                <w:szCs w:val="20"/>
              </w:rPr>
            </w:pPr>
            <w:r w:rsidRPr="00582BFB">
              <w:rPr>
                <w:sz w:val="20"/>
                <w:szCs w:val="20"/>
              </w:rPr>
              <w:t>Coram :</w:t>
            </w:r>
          </w:p>
        </w:tc>
        <w:tc>
          <w:tcPr>
            <w:tcW w:w="8118" w:type="dxa"/>
          </w:tcPr>
          <w:p w:rsidR="00004EDE" w:rsidRPr="00582BFB" w:rsidRDefault="00004EDE" w:rsidP="007A5AE5">
            <w:pPr>
              <w:rPr>
                <w:sz w:val="20"/>
                <w:szCs w:val="20"/>
                <w:lang w:val="fr-CA"/>
              </w:rPr>
            </w:pPr>
            <w:r w:rsidRPr="00582BFB">
              <w:rPr>
                <w:rStyle w:val="SCCCoramChar"/>
                <w:sz w:val="20"/>
                <w:szCs w:val="20"/>
              </w:rPr>
              <w:t>Les juges LeBel, Karakatsanis et Wagner</w:t>
            </w:r>
          </w:p>
          <w:p w:rsidR="00004EDE" w:rsidRPr="00582BFB" w:rsidRDefault="00004EDE" w:rsidP="007A5AE5">
            <w:pPr>
              <w:rPr>
                <w:sz w:val="20"/>
                <w:szCs w:val="20"/>
                <w:u w:val="single"/>
                <w:lang w:val="fr-CA"/>
              </w:rPr>
            </w:pPr>
          </w:p>
        </w:tc>
      </w:tr>
      <w:tr w:rsidR="00004EDE" w:rsidRPr="00582BFB" w:rsidTr="007A5AE5">
        <w:trPr>
          <w:cantSplit/>
        </w:trPr>
        <w:tc>
          <w:tcPr>
            <w:tcW w:w="9576" w:type="dxa"/>
            <w:gridSpan w:val="2"/>
          </w:tcPr>
          <w:p w:rsidR="00004EDE" w:rsidRPr="00582BFB" w:rsidRDefault="00004EDE" w:rsidP="007A5AE5">
            <w:pPr>
              <w:pStyle w:val="SCCShortJudgment"/>
              <w:rPr>
                <w:szCs w:val="20"/>
                <w:lang w:val="fr-CA"/>
              </w:rPr>
            </w:pPr>
            <w:r w:rsidRPr="00582BFB">
              <w:rPr>
                <w:szCs w:val="20"/>
                <w:lang w:val="fr-CA"/>
              </w:rPr>
              <w:t>La requête en prorogation du délai de signification et de dépôt de la demande d’autorisation d’appel est accueillie. La demande d’autorisation d’appel de l’arrêt de la Cour d’appel du Québec (Montréal), numéro 500-09-021455-118, 2013 QCCA 1958, daté du 8 novembre 2013, est rejetée avec dépens.</w:t>
            </w:r>
          </w:p>
          <w:p w:rsidR="00004EDE" w:rsidRPr="00582BFB" w:rsidRDefault="00004EDE" w:rsidP="007A5AE5">
            <w:pPr>
              <w:pStyle w:val="SCCShortJudgment"/>
              <w:ind w:firstLine="0"/>
              <w:rPr>
                <w:szCs w:val="20"/>
                <w:lang w:val="fr-CA"/>
              </w:rPr>
            </w:pPr>
          </w:p>
          <w:p w:rsidR="00004EDE" w:rsidRPr="00582BFB" w:rsidRDefault="00004EDE" w:rsidP="007A5AE5">
            <w:pPr>
              <w:pStyle w:val="SCCShortJudgment"/>
              <w:rPr>
                <w:szCs w:val="20"/>
              </w:rPr>
            </w:pPr>
            <w:r w:rsidRPr="00582BFB">
              <w:rPr>
                <w:szCs w:val="20"/>
              </w:rPr>
              <w:t>The motion for an extension of time to serve and file the application for leave to appeal is granted. The application for leave to appeal from the judgment of the Court of Appeal of Quebec (Montréal), Number 500-09-021455-118, 2013 QCCA 1958, dated November 8, 2013, is dismissed with costs.</w:t>
            </w:r>
          </w:p>
        </w:tc>
      </w:tr>
    </w:tbl>
    <w:p w:rsidR="00600C23" w:rsidRDefault="00600C23" w:rsidP="000E2959">
      <w:pPr>
        <w:rPr>
          <w:sz w:val="20"/>
          <w:szCs w:val="20"/>
        </w:rPr>
      </w:pPr>
    </w:p>
    <w:p w:rsidR="00600C23" w:rsidRPr="001B157C" w:rsidRDefault="00600C23" w:rsidP="00600C23">
      <w:pPr>
        <w:rPr>
          <w:sz w:val="20"/>
          <w:szCs w:val="20"/>
          <w:u w:val="single"/>
        </w:rPr>
      </w:pPr>
      <w:r w:rsidRPr="001B157C">
        <w:rPr>
          <w:sz w:val="20"/>
          <w:szCs w:val="20"/>
          <w:u w:val="single"/>
        </w:rPr>
        <w:t>CASE SUMMARY</w:t>
      </w:r>
    </w:p>
    <w:p w:rsidR="00600C23" w:rsidRDefault="00600C23" w:rsidP="00600C2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C7371" w:rsidRPr="00403149" w:rsidTr="00190453">
        <w:tc>
          <w:tcPr>
            <w:tcW w:w="5000" w:type="pct"/>
            <w:gridSpan w:val="3"/>
          </w:tcPr>
          <w:p w:rsidR="009C7371" w:rsidRPr="00403149" w:rsidRDefault="009C7371" w:rsidP="00190453">
            <w:pPr>
              <w:jc w:val="both"/>
              <w:rPr>
                <w:rFonts w:eastAsia="Calibri"/>
                <w:sz w:val="20"/>
                <w:szCs w:val="20"/>
              </w:rPr>
            </w:pPr>
            <w:r w:rsidRPr="00403149">
              <w:rPr>
                <w:rFonts w:eastAsia="Calibri"/>
                <w:sz w:val="20"/>
                <w:szCs w:val="20"/>
              </w:rPr>
              <w:t xml:space="preserve">Insurance — Property insurance — Evidence — Burden of proof — Proof of loss — Proof of insured’s intentional </w:t>
            </w:r>
            <w:r w:rsidRPr="00403149">
              <w:rPr>
                <w:rFonts w:eastAsia="Calibri"/>
                <w:sz w:val="20"/>
                <w:szCs w:val="20"/>
              </w:rPr>
              <w:lastRenderedPageBreak/>
              <w:t>fault — Proof by presumption — Whether insured discharged burden of proving that loss occurred — Whether trial judge could conclude on basis of presumptions that insured had made deceitful representations to insurer — Whether insurer’s witness wrongly qualified as expert.</w:t>
            </w:r>
          </w:p>
        </w:tc>
      </w:tr>
      <w:tr w:rsidR="009C7371" w:rsidRPr="00403149" w:rsidTr="00190453">
        <w:tc>
          <w:tcPr>
            <w:tcW w:w="5000" w:type="pct"/>
            <w:gridSpan w:val="3"/>
          </w:tcPr>
          <w:p w:rsidR="009C7371" w:rsidRPr="00403149" w:rsidRDefault="009C7371" w:rsidP="00190453">
            <w:pPr>
              <w:jc w:val="both"/>
              <w:rPr>
                <w:rFonts w:eastAsia="Calibri"/>
                <w:sz w:val="20"/>
                <w:szCs w:val="20"/>
              </w:rPr>
            </w:pPr>
          </w:p>
        </w:tc>
      </w:tr>
      <w:tr w:rsidR="009C7371" w:rsidRPr="00403149" w:rsidTr="00190453">
        <w:tc>
          <w:tcPr>
            <w:tcW w:w="5000" w:type="pct"/>
            <w:gridSpan w:val="3"/>
          </w:tcPr>
          <w:p w:rsidR="009C7371" w:rsidRPr="00403149" w:rsidRDefault="009C7371" w:rsidP="00190453">
            <w:pPr>
              <w:jc w:val="both"/>
              <w:rPr>
                <w:rFonts w:eastAsia="Calibri"/>
                <w:sz w:val="20"/>
                <w:szCs w:val="20"/>
              </w:rPr>
            </w:pPr>
            <w:r w:rsidRPr="00403149">
              <w:rPr>
                <w:rFonts w:eastAsia="Calibri"/>
                <w:sz w:val="20"/>
                <w:szCs w:val="20"/>
              </w:rPr>
              <w:t>In April 2007, Mr. Leroy leased a Volvo from a dealer for 24 months and took out an automobile insurance policy with the respondent that included coverage for theft.  Mr. Leroy later filed an insurance claim on the ground that the vehicle and the movable property in the vehicle had been stolen on November 12, 2007.  After investigating, the respondent denied an indemnity.  Mr. Leroy therefore brought an action claiming $36,193.34, which represented the value of his loss and the damages sustained following the theft.  In a cross demand, the respondent claimed $53,600, the amount it had been required to pay the dealer.</w:t>
            </w:r>
          </w:p>
          <w:p w:rsidR="009C7371" w:rsidRPr="00403149" w:rsidRDefault="009C7371" w:rsidP="00190453">
            <w:pPr>
              <w:jc w:val="both"/>
              <w:rPr>
                <w:rFonts w:eastAsia="Calibri"/>
                <w:sz w:val="20"/>
                <w:szCs w:val="20"/>
              </w:rPr>
            </w:pPr>
          </w:p>
          <w:p w:rsidR="009C7371" w:rsidRPr="00403149" w:rsidRDefault="009C7371" w:rsidP="00190453">
            <w:pPr>
              <w:jc w:val="both"/>
              <w:rPr>
                <w:rFonts w:eastAsia="Calibri"/>
                <w:sz w:val="20"/>
                <w:szCs w:val="20"/>
              </w:rPr>
            </w:pPr>
            <w:r w:rsidRPr="00403149">
              <w:rPr>
                <w:rFonts w:eastAsia="Calibri"/>
                <w:sz w:val="20"/>
                <w:szCs w:val="20"/>
              </w:rPr>
              <w:t>The Court of Québec dismissed Mr. Leroy’s action and allowed the respondent’s cross demand.  The Court of Appeal dismissed the appeal, finding that the trial judge had correctly imposed a burden on Mr. Leroy to prove that the vehicle’s disappearance resulted from theft, since a mere allegation of loss was insufficient.  In its opinion, the evidence also supported the conclusion that there had been no theft, that Mr. Leroy had made deceitful representations and, in the alternative, that Mr. Leroy had committed an intentional fault.  Absent a palpable and overriding error, the Court of Appeal’s intervention was not warranted.  Finally, the Court of Appeal rejected Mr. Leroy’s argument that the insurer’s expert was unqualified or biased.  In its opinion, the trial judge had not erred on this question of fact.</w:t>
            </w:r>
          </w:p>
          <w:p w:rsidR="009C7371" w:rsidRPr="00403149" w:rsidRDefault="009C7371" w:rsidP="00190453">
            <w:pPr>
              <w:jc w:val="both"/>
              <w:rPr>
                <w:rFonts w:eastAsia="Calibri"/>
                <w:sz w:val="20"/>
                <w:szCs w:val="20"/>
              </w:rPr>
            </w:pPr>
          </w:p>
        </w:tc>
      </w:tr>
      <w:tr w:rsidR="009C7371" w:rsidRPr="00403149" w:rsidTr="00190453">
        <w:tc>
          <w:tcPr>
            <w:tcW w:w="2427" w:type="pct"/>
          </w:tcPr>
          <w:p w:rsidR="009C7371" w:rsidRPr="00403149" w:rsidRDefault="009C7371" w:rsidP="00190453">
            <w:pPr>
              <w:jc w:val="both"/>
              <w:rPr>
                <w:rFonts w:eastAsia="Calibri"/>
                <w:sz w:val="20"/>
                <w:szCs w:val="20"/>
              </w:rPr>
            </w:pPr>
            <w:r w:rsidRPr="00403149">
              <w:rPr>
                <w:rFonts w:eastAsia="Calibri"/>
                <w:sz w:val="20"/>
                <w:szCs w:val="20"/>
              </w:rPr>
              <w:t>January 26, 2011</w:t>
            </w:r>
          </w:p>
          <w:p w:rsidR="009C7371" w:rsidRPr="00403149" w:rsidRDefault="009C7371" w:rsidP="00190453">
            <w:pPr>
              <w:jc w:val="both"/>
              <w:rPr>
                <w:rFonts w:eastAsia="Calibri"/>
                <w:sz w:val="20"/>
                <w:szCs w:val="20"/>
              </w:rPr>
            </w:pPr>
            <w:r w:rsidRPr="00403149">
              <w:rPr>
                <w:rFonts w:eastAsia="Calibri"/>
                <w:sz w:val="20"/>
                <w:szCs w:val="20"/>
              </w:rPr>
              <w:t>Court of Québec</w:t>
            </w:r>
          </w:p>
          <w:p w:rsidR="009C7371" w:rsidRPr="00403149" w:rsidRDefault="009C7371" w:rsidP="00190453">
            <w:pPr>
              <w:jc w:val="both"/>
              <w:rPr>
                <w:rFonts w:eastAsia="Calibri"/>
                <w:sz w:val="20"/>
                <w:szCs w:val="20"/>
              </w:rPr>
            </w:pPr>
            <w:r w:rsidRPr="00403149">
              <w:rPr>
                <w:rFonts w:eastAsia="Calibri"/>
                <w:sz w:val="20"/>
                <w:szCs w:val="20"/>
              </w:rPr>
              <w:t>(Judge Shamie)</w:t>
            </w:r>
          </w:p>
          <w:p w:rsidR="009C7371" w:rsidRPr="00403149" w:rsidRDefault="004F01F8" w:rsidP="00190453">
            <w:pPr>
              <w:jc w:val="both"/>
              <w:rPr>
                <w:rFonts w:eastAsia="Calibri"/>
                <w:sz w:val="20"/>
                <w:szCs w:val="20"/>
              </w:rPr>
            </w:pPr>
            <w:hyperlink r:id="rId38" w:history="1">
              <w:r w:rsidR="009C7371" w:rsidRPr="00403149">
                <w:rPr>
                  <w:rFonts w:eastAsia="Calibri"/>
                  <w:color w:val="0000FF"/>
                  <w:sz w:val="20"/>
                  <w:szCs w:val="20"/>
                  <w:u w:val="single"/>
                </w:rPr>
                <w:t>2011 QCCQ 866</w:t>
              </w:r>
            </w:hyperlink>
          </w:p>
          <w:p w:rsidR="009C7371" w:rsidRPr="00403149" w:rsidRDefault="009C7371" w:rsidP="00190453">
            <w:pPr>
              <w:jc w:val="both"/>
              <w:rPr>
                <w:rFonts w:eastAsia="Calibri"/>
                <w:sz w:val="20"/>
                <w:szCs w:val="20"/>
              </w:rPr>
            </w:pPr>
          </w:p>
        </w:tc>
        <w:tc>
          <w:tcPr>
            <w:tcW w:w="243" w:type="pct"/>
          </w:tcPr>
          <w:p w:rsidR="009C7371" w:rsidRPr="00403149" w:rsidRDefault="009C7371" w:rsidP="00190453">
            <w:pPr>
              <w:jc w:val="both"/>
              <w:rPr>
                <w:rFonts w:eastAsia="Calibri"/>
                <w:sz w:val="20"/>
                <w:szCs w:val="20"/>
              </w:rPr>
            </w:pPr>
          </w:p>
        </w:tc>
        <w:tc>
          <w:tcPr>
            <w:tcW w:w="2330" w:type="pct"/>
          </w:tcPr>
          <w:p w:rsidR="009C7371" w:rsidRPr="00403149" w:rsidRDefault="009C7371" w:rsidP="00190453">
            <w:pPr>
              <w:jc w:val="both"/>
              <w:rPr>
                <w:rFonts w:eastAsia="Calibri"/>
                <w:sz w:val="20"/>
                <w:szCs w:val="20"/>
              </w:rPr>
            </w:pPr>
            <w:r w:rsidRPr="00403149">
              <w:rPr>
                <w:rFonts w:eastAsia="Calibri"/>
                <w:sz w:val="20"/>
                <w:szCs w:val="20"/>
              </w:rPr>
              <w:t>Principal demand dismissed; cross demand allowed</w:t>
            </w:r>
          </w:p>
          <w:p w:rsidR="009C7371" w:rsidRPr="00403149" w:rsidRDefault="009C7371" w:rsidP="00190453">
            <w:pPr>
              <w:jc w:val="both"/>
              <w:rPr>
                <w:rFonts w:eastAsia="Calibri"/>
                <w:sz w:val="20"/>
                <w:szCs w:val="20"/>
              </w:rPr>
            </w:pPr>
          </w:p>
        </w:tc>
      </w:tr>
      <w:tr w:rsidR="009C7371" w:rsidRPr="00403149" w:rsidTr="00190453">
        <w:tc>
          <w:tcPr>
            <w:tcW w:w="2427" w:type="pct"/>
          </w:tcPr>
          <w:p w:rsidR="009C7371" w:rsidRPr="00403149" w:rsidRDefault="009C7371" w:rsidP="00190453">
            <w:pPr>
              <w:jc w:val="both"/>
              <w:rPr>
                <w:rFonts w:eastAsia="Calibri"/>
                <w:sz w:val="20"/>
                <w:szCs w:val="20"/>
              </w:rPr>
            </w:pPr>
            <w:r w:rsidRPr="00403149">
              <w:rPr>
                <w:rFonts w:eastAsia="Calibri"/>
                <w:sz w:val="20"/>
                <w:szCs w:val="20"/>
              </w:rPr>
              <w:t>November 8, 2013</w:t>
            </w:r>
          </w:p>
          <w:p w:rsidR="009C7371" w:rsidRPr="00403149" w:rsidRDefault="009C7371" w:rsidP="00190453">
            <w:pPr>
              <w:jc w:val="both"/>
              <w:rPr>
                <w:rFonts w:eastAsia="Calibri"/>
                <w:sz w:val="20"/>
                <w:szCs w:val="20"/>
              </w:rPr>
            </w:pPr>
            <w:r w:rsidRPr="00403149">
              <w:rPr>
                <w:rFonts w:eastAsia="Calibri"/>
                <w:sz w:val="20"/>
                <w:szCs w:val="20"/>
              </w:rPr>
              <w:t>Quebec Court of Appeal (Montréal)</w:t>
            </w:r>
          </w:p>
          <w:p w:rsidR="009C7371" w:rsidRPr="00403149" w:rsidRDefault="009C7371" w:rsidP="00190453">
            <w:pPr>
              <w:jc w:val="both"/>
              <w:rPr>
                <w:rFonts w:eastAsia="Calibri"/>
                <w:sz w:val="20"/>
                <w:szCs w:val="20"/>
              </w:rPr>
            </w:pPr>
            <w:r w:rsidRPr="00403149">
              <w:rPr>
                <w:rFonts w:eastAsia="Calibri"/>
                <w:sz w:val="20"/>
                <w:szCs w:val="20"/>
              </w:rPr>
              <w:t>(Hilton, Giroux and Dufresne JJ.A.)</w:t>
            </w:r>
          </w:p>
          <w:p w:rsidR="009C7371" w:rsidRPr="00403149" w:rsidRDefault="009C7371" w:rsidP="00190453">
            <w:pPr>
              <w:jc w:val="both"/>
              <w:rPr>
                <w:rFonts w:eastAsia="Calibri"/>
                <w:sz w:val="20"/>
                <w:szCs w:val="20"/>
              </w:rPr>
            </w:pPr>
            <w:r w:rsidRPr="00403149">
              <w:rPr>
                <w:rFonts w:eastAsia="Calibri"/>
                <w:sz w:val="20"/>
                <w:szCs w:val="20"/>
              </w:rPr>
              <w:t>500</w:t>
            </w:r>
            <w:r w:rsidRPr="00403149">
              <w:rPr>
                <w:rFonts w:eastAsia="Calibri"/>
                <w:sz w:val="20"/>
                <w:szCs w:val="20"/>
              </w:rPr>
              <w:noBreakHyphen/>
              <w:t>09</w:t>
            </w:r>
            <w:r w:rsidRPr="00403149">
              <w:rPr>
                <w:rFonts w:eastAsia="Calibri"/>
                <w:sz w:val="20"/>
                <w:szCs w:val="20"/>
              </w:rPr>
              <w:noBreakHyphen/>
              <w:t>021455</w:t>
            </w:r>
            <w:r w:rsidRPr="00403149">
              <w:rPr>
                <w:rFonts w:eastAsia="Calibri"/>
                <w:sz w:val="20"/>
                <w:szCs w:val="20"/>
              </w:rPr>
              <w:noBreakHyphen/>
              <w:t xml:space="preserve">118; </w:t>
            </w:r>
            <w:hyperlink r:id="rId39" w:history="1">
              <w:r w:rsidRPr="00403149">
                <w:rPr>
                  <w:rFonts w:eastAsia="Calibri"/>
                  <w:color w:val="0000FF"/>
                  <w:sz w:val="20"/>
                  <w:szCs w:val="20"/>
                  <w:u w:val="single"/>
                </w:rPr>
                <w:t>2013 QCCA 1958</w:t>
              </w:r>
            </w:hyperlink>
          </w:p>
          <w:p w:rsidR="009C7371" w:rsidRPr="00403149" w:rsidRDefault="009C7371" w:rsidP="00190453">
            <w:pPr>
              <w:jc w:val="both"/>
              <w:rPr>
                <w:rFonts w:eastAsia="Calibri"/>
                <w:sz w:val="20"/>
                <w:szCs w:val="20"/>
              </w:rPr>
            </w:pPr>
          </w:p>
        </w:tc>
        <w:tc>
          <w:tcPr>
            <w:tcW w:w="243" w:type="pct"/>
          </w:tcPr>
          <w:p w:rsidR="009C7371" w:rsidRPr="00403149" w:rsidRDefault="009C7371" w:rsidP="00190453">
            <w:pPr>
              <w:jc w:val="both"/>
              <w:rPr>
                <w:rFonts w:eastAsia="Calibri"/>
                <w:sz w:val="20"/>
                <w:szCs w:val="20"/>
              </w:rPr>
            </w:pPr>
          </w:p>
        </w:tc>
        <w:tc>
          <w:tcPr>
            <w:tcW w:w="2330" w:type="pct"/>
          </w:tcPr>
          <w:p w:rsidR="009C7371" w:rsidRPr="00403149" w:rsidRDefault="009C7371" w:rsidP="00190453">
            <w:pPr>
              <w:jc w:val="both"/>
              <w:rPr>
                <w:rFonts w:eastAsia="Calibri"/>
                <w:sz w:val="20"/>
                <w:szCs w:val="20"/>
              </w:rPr>
            </w:pPr>
            <w:r w:rsidRPr="00403149">
              <w:rPr>
                <w:rFonts w:eastAsia="Calibri"/>
                <w:sz w:val="20"/>
                <w:szCs w:val="20"/>
              </w:rPr>
              <w:t>Appeal dismissed</w:t>
            </w:r>
          </w:p>
          <w:p w:rsidR="009C7371" w:rsidRPr="00403149" w:rsidRDefault="009C7371" w:rsidP="00190453">
            <w:pPr>
              <w:jc w:val="both"/>
              <w:rPr>
                <w:rFonts w:eastAsia="Calibri"/>
                <w:sz w:val="20"/>
                <w:szCs w:val="20"/>
              </w:rPr>
            </w:pPr>
          </w:p>
        </w:tc>
      </w:tr>
      <w:tr w:rsidR="009C7371" w:rsidRPr="00403149" w:rsidTr="00190453">
        <w:tc>
          <w:tcPr>
            <w:tcW w:w="2427" w:type="pct"/>
          </w:tcPr>
          <w:p w:rsidR="009C7371" w:rsidRPr="00403149" w:rsidRDefault="009C7371" w:rsidP="00190453">
            <w:pPr>
              <w:jc w:val="both"/>
              <w:rPr>
                <w:rFonts w:eastAsia="Calibri"/>
                <w:sz w:val="20"/>
                <w:szCs w:val="20"/>
              </w:rPr>
            </w:pPr>
            <w:r w:rsidRPr="00403149">
              <w:rPr>
                <w:rFonts w:eastAsia="Calibri"/>
                <w:sz w:val="20"/>
                <w:szCs w:val="20"/>
              </w:rPr>
              <w:t>February 7, 2014</w:t>
            </w:r>
          </w:p>
          <w:p w:rsidR="009C7371" w:rsidRPr="00403149" w:rsidRDefault="009C7371" w:rsidP="006A176F">
            <w:pPr>
              <w:jc w:val="both"/>
              <w:rPr>
                <w:rFonts w:eastAsia="Calibri"/>
                <w:sz w:val="20"/>
                <w:szCs w:val="20"/>
              </w:rPr>
            </w:pPr>
            <w:r w:rsidRPr="00403149">
              <w:rPr>
                <w:rFonts w:eastAsia="Calibri"/>
                <w:sz w:val="20"/>
                <w:szCs w:val="20"/>
              </w:rPr>
              <w:t>Supreme Court of Canada</w:t>
            </w:r>
          </w:p>
        </w:tc>
        <w:tc>
          <w:tcPr>
            <w:tcW w:w="243" w:type="pct"/>
          </w:tcPr>
          <w:p w:rsidR="009C7371" w:rsidRPr="00403149" w:rsidRDefault="009C7371" w:rsidP="00190453">
            <w:pPr>
              <w:jc w:val="both"/>
              <w:rPr>
                <w:rFonts w:eastAsia="Calibri"/>
                <w:sz w:val="20"/>
                <w:szCs w:val="20"/>
              </w:rPr>
            </w:pPr>
          </w:p>
        </w:tc>
        <w:tc>
          <w:tcPr>
            <w:tcW w:w="2330" w:type="pct"/>
          </w:tcPr>
          <w:p w:rsidR="009C7371" w:rsidRPr="00403149" w:rsidRDefault="009C7371" w:rsidP="00190453">
            <w:pPr>
              <w:jc w:val="both"/>
              <w:rPr>
                <w:rFonts w:eastAsia="Calibri"/>
                <w:sz w:val="20"/>
                <w:szCs w:val="20"/>
              </w:rPr>
            </w:pPr>
            <w:r w:rsidRPr="00403149">
              <w:rPr>
                <w:rFonts w:eastAsia="Calibri"/>
                <w:sz w:val="20"/>
                <w:szCs w:val="20"/>
              </w:rPr>
              <w:t>Motion to extend time to serve and file application for leave to appeal and application for leave to appeal filed</w:t>
            </w:r>
          </w:p>
        </w:tc>
      </w:tr>
    </w:tbl>
    <w:p w:rsidR="00600C23" w:rsidRDefault="00600C23" w:rsidP="00600C23">
      <w:pPr>
        <w:rPr>
          <w:sz w:val="20"/>
          <w:szCs w:val="20"/>
        </w:rPr>
      </w:pPr>
    </w:p>
    <w:p w:rsidR="00600C23" w:rsidRPr="00C50A5C" w:rsidRDefault="004F01F8" w:rsidP="00600C23">
      <w:pPr>
        <w:rPr>
          <w:sz w:val="20"/>
          <w:szCs w:val="20"/>
        </w:rPr>
      </w:pPr>
      <w:r>
        <w:rPr>
          <w:sz w:val="20"/>
          <w:szCs w:val="20"/>
          <w:lang w:val="fr-CA"/>
        </w:rPr>
        <w:pict>
          <v:rect id="_x0000_i1050" style="width:2in;height:1pt" o:hrpct="0" o:hralign="center" o:hrstd="t" o:hrnoshade="t" o:hr="t" fillcolor="black [3213]" stroked="f"/>
        </w:pict>
      </w:r>
    </w:p>
    <w:p w:rsidR="00004EDE" w:rsidRDefault="00004EDE">
      <w:pPr>
        <w:rPr>
          <w:sz w:val="20"/>
          <w:szCs w:val="20"/>
          <w:u w:val="single"/>
          <w:lang w:val="fr-CA"/>
        </w:rPr>
      </w:pPr>
      <w:r>
        <w:rPr>
          <w:sz w:val="20"/>
          <w:szCs w:val="20"/>
          <w:u w:val="single"/>
          <w:lang w:val="fr-CA"/>
        </w:rPr>
        <w:br w:type="page"/>
      </w:r>
    </w:p>
    <w:p w:rsidR="00600C23" w:rsidRPr="001B157C" w:rsidRDefault="00600C23" w:rsidP="00600C23">
      <w:pPr>
        <w:rPr>
          <w:sz w:val="20"/>
          <w:szCs w:val="20"/>
          <w:u w:val="single"/>
          <w:lang w:val="fr-CA"/>
        </w:rPr>
      </w:pPr>
      <w:r w:rsidRPr="001B157C">
        <w:rPr>
          <w:sz w:val="20"/>
          <w:szCs w:val="20"/>
          <w:u w:val="single"/>
          <w:lang w:val="fr-CA"/>
        </w:rPr>
        <w:lastRenderedPageBreak/>
        <w:t>RÉSUMÉ DE L’AFFAIRE</w:t>
      </w:r>
    </w:p>
    <w:p w:rsidR="00600C23" w:rsidRDefault="00600C23" w:rsidP="00600C2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C7371" w:rsidRPr="004F01F8" w:rsidTr="00190453">
        <w:tc>
          <w:tcPr>
            <w:tcW w:w="5000" w:type="pct"/>
            <w:gridSpan w:val="3"/>
          </w:tcPr>
          <w:p w:rsidR="009C7371" w:rsidRPr="00403149" w:rsidRDefault="009C7371" w:rsidP="00190453">
            <w:pPr>
              <w:jc w:val="both"/>
              <w:rPr>
                <w:rFonts w:eastAsia="Calibri"/>
                <w:sz w:val="20"/>
                <w:szCs w:val="20"/>
                <w:lang w:val="fr-CA"/>
              </w:rPr>
            </w:pPr>
            <w:r w:rsidRPr="00403149">
              <w:rPr>
                <w:rFonts w:eastAsia="Calibri"/>
                <w:sz w:val="20"/>
                <w:szCs w:val="20"/>
                <w:lang w:val="fr-CA"/>
              </w:rPr>
              <w:t>Assurances — Assurance de biens — Preuve — Fardeau — Preuve du sinistre — Preuve de la faute intentionnelle de l’assuré — Preuve par présomption — L’assuré s’est</w:t>
            </w:r>
            <w:r w:rsidRPr="00403149">
              <w:rPr>
                <w:rFonts w:eastAsia="Calibri"/>
                <w:sz w:val="20"/>
                <w:szCs w:val="20"/>
                <w:lang w:val="fr-CA"/>
              </w:rPr>
              <w:noBreakHyphen/>
              <w:t>il déchargé de son fardeau de prouver que le sinistre s’était produit? — Le premier juge pouvait</w:t>
            </w:r>
            <w:r w:rsidRPr="00403149">
              <w:rPr>
                <w:rFonts w:eastAsia="Calibri"/>
                <w:sz w:val="20"/>
                <w:szCs w:val="20"/>
                <w:lang w:val="fr-CA"/>
              </w:rPr>
              <w:noBreakHyphen/>
              <w:t>il conclure, sur la base de présomptions, que l’assuré avait fait des déclarations mensongères à l’assureur? — Est</w:t>
            </w:r>
            <w:r w:rsidRPr="00403149">
              <w:rPr>
                <w:rFonts w:eastAsia="Calibri"/>
                <w:sz w:val="20"/>
                <w:szCs w:val="20"/>
                <w:lang w:val="fr-CA"/>
              </w:rPr>
              <w:noBreakHyphen/>
              <w:t>ce à tort que le témoin de l’assureur a été admis à témoigner à titre d’expert?</w:t>
            </w:r>
          </w:p>
        </w:tc>
      </w:tr>
      <w:tr w:rsidR="009C7371" w:rsidRPr="004F01F8" w:rsidTr="00190453">
        <w:tc>
          <w:tcPr>
            <w:tcW w:w="5000" w:type="pct"/>
            <w:gridSpan w:val="3"/>
          </w:tcPr>
          <w:p w:rsidR="009C7371" w:rsidRPr="00403149" w:rsidRDefault="009C7371" w:rsidP="00190453">
            <w:pPr>
              <w:jc w:val="both"/>
              <w:rPr>
                <w:rFonts w:eastAsia="Calibri"/>
                <w:sz w:val="20"/>
                <w:szCs w:val="20"/>
                <w:lang w:val="fr-CA"/>
              </w:rPr>
            </w:pPr>
          </w:p>
        </w:tc>
      </w:tr>
      <w:tr w:rsidR="009C7371" w:rsidRPr="004F01F8" w:rsidTr="00190453">
        <w:tc>
          <w:tcPr>
            <w:tcW w:w="5000" w:type="pct"/>
            <w:gridSpan w:val="3"/>
          </w:tcPr>
          <w:p w:rsidR="009C7371" w:rsidRPr="00403149" w:rsidRDefault="009C7371" w:rsidP="00190453">
            <w:pPr>
              <w:jc w:val="both"/>
              <w:rPr>
                <w:rFonts w:eastAsia="Calibri"/>
                <w:sz w:val="20"/>
                <w:szCs w:val="20"/>
                <w:lang w:val="fr-CA"/>
              </w:rPr>
            </w:pPr>
            <w:r w:rsidRPr="00403149">
              <w:rPr>
                <w:rFonts w:eastAsia="Calibri"/>
                <w:sz w:val="20"/>
                <w:szCs w:val="20"/>
                <w:lang w:val="fr-CA"/>
              </w:rPr>
              <w:t>En avril 2007, M. Leroy loue chez un concessionnaire un véhicule Volvo pour une période de 24 mois et souscrit à une police d’assurance automobile auprès de l’intimée qui couvre notamment le vol.  M. Leroy présente plus tard une réclamation d’assurance au motif qu’il s’est fait voler le véhicule le 12 novembre 2007 ainsi que les biens meubles qui s’y trouvaient.  Après enquête, l’intimée refuse l’indemnisation.  M. Leroy intente alors une action où il réclame 36 193,34 $ représentant la valeur de sa perte et des dommages subis à la suite du vol.  En demande reconventionnelle, l’intimée réclame 53 600 $, soit la somme qu’elle a dû verser au concessionnaire.</w:t>
            </w:r>
          </w:p>
          <w:p w:rsidR="009C7371" w:rsidRPr="00403149" w:rsidRDefault="009C7371" w:rsidP="00190453">
            <w:pPr>
              <w:jc w:val="both"/>
              <w:rPr>
                <w:rFonts w:eastAsia="Calibri"/>
                <w:sz w:val="20"/>
                <w:szCs w:val="20"/>
                <w:lang w:val="fr-CA"/>
              </w:rPr>
            </w:pPr>
          </w:p>
          <w:p w:rsidR="009C7371" w:rsidRPr="00403149" w:rsidRDefault="009C7371" w:rsidP="00190453">
            <w:pPr>
              <w:jc w:val="both"/>
              <w:rPr>
                <w:rFonts w:eastAsia="Calibri"/>
                <w:sz w:val="20"/>
                <w:szCs w:val="20"/>
                <w:lang w:val="fr-CA"/>
              </w:rPr>
            </w:pPr>
            <w:r w:rsidRPr="00403149">
              <w:rPr>
                <w:rFonts w:eastAsia="Calibri"/>
                <w:sz w:val="20"/>
                <w:szCs w:val="20"/>
                <w:lang w:val="fr-CA"/>
              </w:rPr>
              <w:t>La Cour du Québec rejette l’action de M. Leroy et accueille la demande reconventionnelle de l’intimée.  La Cour d’appel rejette l’appel.  Elle estime que c’est à bon droit que le premier juge a imposé à M. Leroy le fardeau de prouver que la disparition du véhicule résultait d’un vol, car une simple allégation de sinistre est insuffisante.  De plus, selon elle, la preuve permettait de conclure à la non</w:t>
            </w:r>
            <w:r w:rsidRPr="00403149">
              <w:rPr>
                <w:rFonts w:eastAsia="Calibri"/>
                <w:sz w:val="20"/>
                <w:szCs w:val="20"/>
                <w:lang w:val="fr-CA"/>
              </w:rPr>
              <w:noBreakHyphen/>
              <w:t>survenance du vol, à l’existence de déclarations mensongères de M. Leroy et, subsidiairement, à la faute intentionnelle de celui</w:t>
            </w:r>
            <w:r w:rsidRPr="00403149">
              <w:rPr>
                <w:rFonts w:eastAsia="Calibri"/>
                <w:sz w:val="20"/>
                <w:szCs w:val="20"/>
                <w:lang w:val="fr-CA"/>
              </w:rPr>
              <w:noBreakHyphen/>
              <w:t>ci.  En l’absence d’erreur manifeste et dominante, l’intervention de la Cour d’appel n’est pas justifiée.  Enfin, la Cour d’appel rejette l’argument de M. Leroy selon lequel l’expert de l’assureur n’était pas qualifié ou était partial. Selon elle, le premier juge n’a pas commis d’erreur sur cette question de fait.</w:t>
            </w:r>
          </w:p>
          <w:p w:rsidR="009C7371" w:rsidRPr="00403149" w:rsidRDefault="009C7371" w:rsidP="00190453">
            <w:pPr>
              <w:jc w:val="both"/>
              <w:rPr>
                <w:rFonts w:eastAsia="Calibri"/>
                <w:sz w:val="20"/>
                <w:szCs w:val="20"/>
                <w:lang w:val="fr-CA"/>
              </w:rPr>
            </w:pPr>
          </w:p>
        </w:tc>
      </w:tr>
      <w:tr w:rsidR="009C7371" w:rsidRPr="004F01F8" w:rsidTr="00190453">
        <w:tc>
          <w:tcPr>
            <w:tcW w:w="2427" w:type="pct"/>
          </w:tcPr>
          <w:p w:rsidR="009C7371" w:rsidRPr="00403149" w:rsidRDefault="009C7371" w:rsidP="00190453">
            <w:pPr>
              <w:jc w:val="both"/>
              <w:rPr>
                <w:rFonts w:eastAsia="Calibri"/>
                <w:sz w:val="20"/>
                <w:szCs w:val="20"/>
                <w:lang w:val="fr-CA"/>
              </w:rPr>
            </w:pPr>
            <w:r w:rsidRPr="00403149">
              <w:rPr>
                <w:rFonts w:eastAsia="Calibri"/>
                <w:sz w:val="20"/>
                <w:szCs w:val="20"/>
                <w:lang w:val="fr-CA"/>
              </w:rPr>
              <w:t>Le 26 janvier 2011</w:t>
            </w:r>
          </w:p>
          <w:p w:rsidR="009C7371" w:rsidRPr="00403149" w:rsidRDefault="009C7371" w:rsidP="00190453">
            <w:pPr>
              <w:jc w:val="both"/>
              <w:rPr>
                <w:rFonts w:eastAsia="Calibri"/>
                <w:sz w:val="20"/>
                <w:szCs w:val="20"/>
                <w:lang w:val="fr-CA"/>
              </w:rPr>
            </w:pPr>
            <w:r w:rsidRPr="00403149">
              <w:rPr>
                <w:rFonts w:eastAsia="Calibri"/>
                <w:sz w:val="20"/>
                <w:szCs w:val="20"/>
                <w:lang w:val="fr-CA"/>
              </w:rPr>
              <w:t>Cour du Québec</w:t>
            </w:r>
          </w:p>
          <w:p w:rsidR="009C7371" w:rsidRPr="00403149" w:rsidRDefault="009C7371" w:rsidP="00190453">
            <w:pPr>
              <w:jc w:val="both"/>
              <w:rPr>
                <w:rFonts w:eastAsia="Calibri"/>
                <w:sz w:val="20"/>
                <w:szCs w:val="20"/>
                <w:lang w:val="fr-CA"/>
              </w:rPr>
            </w:pPr>
            <w:r w:rsidRPr="00403149">
              <w:rPr>
                <w:rFonts w:eastAsia="Calibri"/>
                <w:sz w:val="20"/>
                <w:szCs w:val="20"/>
                <w:lang w:val="fr-CA"/>
              </w:rPr>
              <w:t>(Le juge Shamie)</w:t>
            </w:r>
          </w:p>
          <w:p w:rsidR="009C7371" w:rsidRPr="00403149" w:rsidRDefault="004F01F8" w:rsidP="00190453">
            <w:pPr>
              <w:jc w:val="both"/>
              <w:rPr>
                <w:rFonts w:eastAsia="Calibri"/>
                <w:sz w:val="20"/>
                <w:szCs w:val="20"/>
                <w:lang w:val="fr-CA"/>
              </w:rPr>
            </w:pPr>
            <w:hyperlink r:id="rId40" w:history="1">
              <w:r w:rsidR="009C7371" w:rsidRPr="00403149">
                <w:rPr>
                  <w:rFonts w:eastAsia="Calibri"/>
                  <w:color w:val="0000FF"/>
                  <w:sz w:val="20"/>
                  <w:szCs w:val="20"/>
                  <w:u w:val="single"/>
                  <w:lang w:val="fr-CA"/>
                </w:rPr>
                <w:t>2011 QCCQ 866</w:t>
              </w:r>
            </w:hyperlink>
          </w:p>
          <w:p w:rsidR="009C7371" w:rsidRPr="00403149" w:rsidRDefault="009C7371" w:rsidP="00190453">
            <w:pPr>
              <w:jc w:val="both"/>
              <w:rPr>
                <w:rFonts w:eastAsia="Calibri"/>
                <w:sz w:val="20"/>
                <w:szCs w:val="20"/>
              </w:rPr>
            </w:pPr>
          </w:p>
        </w:tc>
        <w:tc>
          <w:tcPr>
            <w:tcW w:w="243" w:type="pct"/>
          </w:tcPr>
          <w:p w:rsidR="009C7371" w:rsidRPr="00403149" w:rsidRDefault="009C7371" w:rsidP="00190453">
            <w:pPr>
              <w:jc w:val="both"/>
              <w:rPr>
                <w:rFonts w:eastAsia="Calibri"/>
                <w:sz w:val="20"/>
                <w:szCs w:val="20"/>
              </w:rPr>
            </w:pPr>
          </w:p>
        </w:tc>
        <w:tc>
          <w:tcPr>
            <w:tcW w:w="2330" w:type="pct"/>
          </w:tcPr>
          <w:p w:rsidR="009C7371" w:rsidRPr="00403149" w:rsidRDefault="009C7371" w:rsidP="00190453">
            <w:pPr>
              <w:jc w:val="both"/>
              <w:rPr>
                <w:rFonts w:eastAsia="Calibri"/>
                <w:sz w:val="20"/>
                <w:szCs w:val="20"/>
                <w:lang w:val="fr-CA"/>
              </w:rPr>
            </w:pPr>
            <w:r w:rsidRPr="00403149">
              <w:rPr>
                <w:rFonts w:eastAsia="Calibri"/>
                <w:sz w:val="20"/>
                <w:szCs w:val="20"/>
                <w:lang w:val="fr-CA"/>
              </w:rPr>
              <w:t>Demande principale rejetée; demande reconventionnelle accueillie</w:t>
            </w:r>
          </w:p>
          <w:p w:rsidR="009C7371" w:rsidRPr="00403149" w:rsidRDefault="009C7371" w:rsidP="00190453">
            <w:pPr>
              <w:jc w:val="both"/>
              <w:rPr>
                <w:rFonts w:eastAsia="Calibri"/>
                <w:sz w:val="20"/>
                <w:szCs w:val="20"/>
                <w:lang w:val="fr-CA"/>
              </w:rPr>
            </w:pPr>
          </w:p>
        </w:tc>
      </w:tr>
      <w:tr w:rsidR="009C7371" w:rsidRPr="00403149" w:rsidTr="00190453">
        <w:tc>
          <w:tcPr>
            <w:tcW w:w="2427" w:type="pct"/>
          </w:tcPr>
          <w:p w:rsidR="009C7371" w:rsidRPr="00403149" w:rsidRDefault="009C7371" w:rsidP="00190453">
            <w:pPr>
              <w:jc w:val="both"/>
              <w:rPr>
                <w:rFonts w:eastAsia="Calibri"/>
                <w:sz w:val="20"/>
                <w:szCs w:val="20"/>
                <w:lang w:val="fr-CA"/>
              </w:rPr>
            </w:pPr>
            <w:r w:rsidRPr="00403149">
              <w:rPr>
                <w:rFonts w:eastAsia="Calibri"/>
                <w:sz w:val="20"/>
                <w:szCs w:val="20"/>
                <w:lang w:val="fr-CA"/>
              </w:rPr>
              <w:t>Le 8 novembre 2013</w:t>
            </w:r>
          </w:p>
          <w:p w:rsidR="009C7371" w:rsidRPr="00403149" w:rsidRDefault="009C7371" w:rsidP="00190453">
            <w:pPr>
              <w:jc w:val="both"/>
              <w:rPr>
                <w:rFonts w:eastAsia="Calibri"/>
                <w:sz w:val="20"/>
                <w:szCs w:val="20"/>
                <w:lang w:val="fr-CA"/>
              </w:rPr>
            </w:pPr>
            <w:r w:rsidRPr="00403149">
              <w:rPr>
                <w:rFonts w:eastAsia="Calibri"/>
                <w:sz w:val="20"/>
                <w:szCs w:val="20"/>
                <w:lang w:val="fr-CA"/>
              </w:rPr>
              <w:t>Cour d’appel du Québec (Montréal)</w:t>
            </w:r>
          </w:p>
          <w:p w:rsidR="009C7371" w:rsidRPr="00403149" w:rsidRDefault="009C7371" w:rsidP="00190453">
            <w:pPr>
              <w:jc w:val="both"/>
              <w:rPr>
                <w:rFonts w:eastAsia="Calibri"/>
                <w:sz w:val="20"/>
                <w:szCs w:val="20"/>
                <w:lang w:val="fr-CA"/>
              </w:rPr>
            </w:pPr>
            <w:r w:rsidRPr="00403149">
              <w:rPr>
                <w:rFonts w:eastAsia="Calibri"/>
                <w:sz w:val="20"/>
                <w:szCs w:val="20"/>
                <w:lang w:val="fr-CA"/>
              </w:rPr>
              <w:t>(Les juges Hilton, Giroux et Dufresne)</w:t>
            </w:r>
          </w:p>
          <w:p w:rsidR="009C7371" w:rsidRPr="00403149" w:rsidRDefault="009C7371" w:rsidP="00190453">
            <w:pPr>
              <w:jc w:val="both"/>
              <w:rPr>
                <w:rFonts w:eastAsia="Calibri"/>
                <w:sz w:val="20"/>
                <w:szCs w:val="20"/>
                <w:lang w:val="fr-CA"/>
              </w:rPr>
            </w:pPr>
            <w:r w:rsidRPr="00403149">
              <w:rPr>
                <w:rFonts w:eastAsia="Calibri"/>
                <w:sz w:val="20"/>
                <w:szCs w:val="20"/>
                <w:lang w:val="fr-CA"/>
              </w:rPr>
              <w:t>500</w:t>
            </w:r>
            <w:r w:rsidRPr="00403149">
              <w:rPr>
                <w:rFonts w:eastAsia="Calibri"/>
                <w:sz w:val="20"/>
                <w:szCs w:val="20"/>
                <w:lang w:val="fr-CA"/>
              </w:rPr>
              <w:noBreakHyphen/>
              <w:t>09</w:t>
            </w:r>
            <w:r w:rsidRPr="00403149">
              <w:rPr>
                <w:rFonts w:eastAsia="Calibri"/>
                <w:sz w:val="20"/>
                <w:szCs w:val="20"/>
                <w:lang w:val="fr-CA"/>
              </w:rPr>
              <w:noBreakHyphen/>
              <w:t>021455</w:t>
            </w:r>
            <w:r w:rsidRPr="00403149">
              <w:rPr>
                <w:rFonts w:eastAsia="Calibri"/>
                <w:sz w:val="20"/>
                <w:szCs w:val="20"/>
                <w:lang w:val="fr-CA"/>
              </w:rPr>
              <w:noBreakHyphen/>
              <w:t xml:space="preserve">118; </w:t>
            </w:r>
            <w:hyperlink r:id="rId41" w:history="1">
              <w:r w:rsidRPr="00403149">
                <w:rPr>
                  <w:rFonts w:eastAsia="Calibri"/>
                  <w:color w:val="0000FF"/>
                  <w:sz w:val="20"/>
                  <w:szCs w:val="20"/>
                  <w:u w:val="single"/>
                  <w:lang w:val="fr-CA"/>
                </w:rPr>
                <w:t>2013 QCCA 1958</w:t>
              </w:r>
            </w:hyperlink>
          </w:p>
          <w:p w:rsidR="009C7371" w:rsidRPr="00403149" w:rsidRDefault="009C7371" w:rsidP="00190453">
            <w:pPr>
              <w:jc w:val="both"/>
              <w:rPr>
                <w:rFonts w:eastAsia="Calibri"/>
                <w:sz w:val="20"/>
                <w:szCs w:val="20"/>
              </w:rPr>
            </w:pPr>
          </w:p>
        </w:tc>
        <w:tc>
          <w:tcPr>
            <w:tcW w:w="243" w:type="pct"/>
          </w:tcPr>
          <w:p w:rsidR="009C7371" w:rsidRPr="00403149" w:rsidRDefault="009C7371" w:rsidP="00190453">
            <w:pPr>
              <w:jc w:val="both"/>
              <w:rPr>
                <w:rFonts w:eastAsia="Calibri"/>
                <w:sz w:val="20"/>
                <w:szCs w:val="20"/>
              </w:rPr>
            </w:pPr>
          </w:p>
        </w:tc>
        <w:tc>
          <w:tcPr>
            <w:tcW w:w="2330" w:type="pct"/>
          </w:tcPr>
          <w:p w:rsidR="009C7371" w:rsidRPr="00403149" w:rsidRDefault="009C7371" w:rsidP="00190453">
            <w:pPr>
              <w:jc w:val="both"/>
              <w:rPr>
                <w:rFonts w:eastAsia="Calibri"/>
                <w:sz w:val="20"/>
                <w:szCs w:val="20"/>
                <w:lang w:val="fr-CA"/>
              </w:rPr>
            </w:pPr>
            <w:r w:rsidRPr="00403149">
              <w:rPr>
                <w:rFonts w:eastAsia="Calibri"/>
                <w:sz w:val="20"/>
                <w:szCs w:val="20"/>
                <w:lang w:val="fr-CA"/>
              </w:rPr>
              <w:t>Appel rejeté</w:t>
            </w:r>
          </w:p>
          <w:p w:rsidR="009C7371" w:rsidRPr="00403149" w:rsidRDefault="009C7371" w:rsidP="00190453">
            <w:pPr>
              <w:jc w:val="both"/>
              <w:rPr>
                <w:rFonts w:eastAsia="Calibri"/>
                <w:sz w:val="20"/>
                <w:szCs w:val="20"/>
                <w:lang w:val="fr-CA"/>
              </w:rPr>
            </w:pPr>
          </w:p>
        </w:tc>
      </w:tr>
      <w:tr w:rsidR="009C7371" w:rsidRPr="004F01F8" w:rsidTr="00190453">
        <w:tc>
          <w:tcPr>
            <w:tcW w:w="2427" w:type="pct"/>
          </w:tcPr>
          <w:p w:rsidR="009C7371" w:rsidRPr="00403149" w:rsidRDefault="009C7371" w:rsidP="00190453">
            <w:pPr>
              <w:jc w:val="both"/>
              <w:rPr>
                <w:rFonts w:eastAsia="Calibri"/>
                <w:sz w:val="20"/>
                <w:szCs w:val="20"/>
                <w:lang w:val="fr-CA"/>
              </w:rPr>
            </w:pPr>
            <w:r w:rsidRPr="00403149">
              <w:rPr>
                <w:rFonts w:eastAsia="Calibri"/>
                <w:sz w:val="20"/>
                <w:szCs w:val="20"/>
                <w:lang w:val="fr-CA"/>
              </w:rPr>
              <w:t>Le 7 février 2014</w:t>
            </w:r>
          </w:p>
          <w:p w:rsidR="009C7371" w:rsidRPr="00403149" w:rsidRDefault="009C7371" w:rsidP="00190453">
            <w:pPr>
              <w:jc w:val="both"/>
              <w:rPr>
                <w:rFonts w:eastAsia="Calibri"/>
                <w:sz w:val="20"/>
                <w:szCs w:val="20"/>
                <w:lang w:val="fr-CA"/>
              </w:rPr>
            </w:pPr>
            <w:r w:rsidRPr="00403149">
              <w:rPr>
                <w:rFonts w:eastAsia="Calibri"/>
                <w:sz w:val="20"/>
                <w:szCs w:val="20"/>
                <w:lang w:val="fr-CA"/>
              </w:rPr>
              <w:t>Cour suprême du Canada</w:t>
            </w:r>
          </w:p>
          <w:p w:rsidR="009C7371" w:rsidRPr="00403149" w:rsidRDefault="009C7371" w:rsidP="00190453">
            <w:pPr>
              <w:jc w:val="both"/>
              <w:rPr>
                <w:rFonts w:eastAsia="Calibri"/>
                <w:sz w:val="20"/>
                <w:szCs w:val="20"/>
                <w:lang w:val="fr-FR"/>
              </w:rPr>
            </w:pPr>
          </w:p>
        </w:tc>
        <w:tc>
          <w:tcPr>
            <w:tcW w:w="243" w:type="pct"/>
          </w:tcPr>
          <w:p w:rsidR="009C7371" w:rsidRPr="00403149" w:rsidRDefault="009C7371" w:rsidP="00190453">
            <w:pPr>
              <w:jc w:val="both"/>
              <w:rPr>
                <w:rFonts w:eastAsia="Calibri"/>
                <w:sz w:val="20"/>
                <w:szCs w:val="20"/>
                <w:lang w:val="fr-FR"/>
              </w:rPr>
            </w:pPr>
          </w:p>
        </w:tc>
        <w:tc>
          <w:tcPr>
            <w:tcW w:w="2330" w:type="pct"/>
          </w:tcPr>
          <w:p w:rsidR="009C7371" w:rsidRPr="00403149" w:rsidRDefault="009C7371" w:rsidP="00190453">
            <w:pPr>
              <w:jc w:val="both"/>
              <w:rPr>
                <w:rFonts w:eastAsia="Calibri"/>
                <w:sz w:val="20"/>
                <w:szCs w:val="20"/>
                <w:lang w:val="fr-CA"/>
              </w:rPr>
            </w:pPr>
            <w:r w:rsidRPr="00403149">
              <w:rPr>
                <w:rFonts w:eastAsia="Calibri"/>
                <w:sz w:val="20"/>
                <w:szCs w:val="20"/>
                <w:lang w:val="fr-CA"/>
              </w:rPr>
              <w:t>Requête en prorogation du délai de signification et dépôt d’une demande d’autorisation d’appel et demande d’autorisation d’appel déposées</w:t>
            </w:r>
          </w:p>
        </w:tc>
      </w:tr>
    </w:tbl>
    <w:p w:rsidR="00600C23" w:rsidRPr="009C7371" w:rsidRDefault="00600C23" w:rsidP="00600C23">
      <w:pPr>
        <w:rPr>
          <w:sz w:val="20"/>
          <w:szCs w:val="20"/>
          <w:lang w:val="fr-CA"/>
        </w:rPr>
      </w:pPr>
    </w:p>
    <w:p w:rsidR="00600C23" w:rsidRDefault="004F01F8" w:rsidP="00600C23">
      <w:pPr>
        <w:rPr>
          <w:sz w:val="20"/>
          <w:szCs w:val="20"/>
          <w:lang w:val="fr-CA"/>
        </w:rPr>
      </w:pPr>
      <w:r>
        <w:rPr>
          <w:sz w:val="20"/>
          <w:szCs w:val="20"/>
          <w:lang w:val="fr-CA"/>
        </w:rPr>
        <w:pict>
          <v:rect id="_x0000_i1051" style="width:2in;height:1pt" o:hrpct="0" o:hralign="center" o:hrstd="t" o:hrnoshade="t" o:hr="t" fillcolor="black [3213]" stroked="f"/>
        </w:pict>
      </w:r>
    </w:p>
    <w:p w:rsidR="00600C23" w:rsidRDefault="00600C23" w:rsidP="00600C23">
      <w:pPr>
        <w:rPr>
          <w:sz w:val="20"/>
          <w:szCs w:val="20"/>
          <w:lang w:val="fr-CA"/>
        </w:rPr>
      </w:pPr>
    </w:p>
    <w:p w:rsidR="00600C23" w:rsidRDefault="00600C23" w:rsidP="00600C23">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42"/>
          <w:headerReference w:type="default" r:id="rId43"/>
          <w:footerReference w:type="even" r:id="rId44"/>
          <w:footerReference w:type="default" r:id="rId45"/>
          <w:headerReference w:type="first" r:id="rId46"/>
          <w:footerReference w:type="first" r:id="rId4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2A4E0C" w:rsidRPr="002A4E0C" w:rsidRDefault="002A4E0C" w:rsidP="002A4E0C">
      <w:pPr>
        <w:tabs>
          <w:tab w:val="left" w:pos="-1440"/>
          <w:tab w:val="left" w:pos="-720"/>
        </w:tabs>
        <w:jc w:val="both"/>
        <w:rPr>
          <w:rFonts w:eastAsia="Times New Roman" w:cs="Times New Roman"/>
          <w:sz w:val="20"/>
          <w:szCs w:val="20"/>
          <w:lang w:val="fr-CA" w:eastAsia="en-CA"/>
        </w:rPr>
      </w:pPr>
      <w:r w:rsidRPr="002A4E0C">
        <w:rPr>
          <w:rFonts w:eastAsia="Times New Roman" w:cs="Times New Roman"/>
          <w:sz w:val="20"/>
          <w:szCs w:val="20"/>
          <w:lang w:val="fr-CA" w:eastAsia="en-CA"/>
        </w:rPr>
        <w:t>17.03.2014</w:t>
      </w:r>
    </w:p>
    <w:p w:rsidR="002A4E0C" w:rsidRPr="002A4E0C" w:rsidRDefault="002A4E0C" w:rsidP="002A4E0C">
      <w:pPr>
        <w:tabs>
          <w:tab w:val="left" w:pos="-1440"/>
          <w:tab w:val="left" w:pos="-720"/>
        </w:tabs>
        <w:jc w:val="both"/>
        <w:rPr>
          <w:rFonts w:eastAsia="Times New Roman" w:cs="Times New Roman"/>
          <w:sz w:val="20"/>
          <w:szCs w:val="20"/>
          <w:lang w:val="fr-CA" w:eastAsia="en-CA"/>
        </w:rPr>
      </w:pPr>
    </w:p>
    <w:p w:rsidR="002A4E0C" w:rsidRPr="002A4E0C" w:rsidRDefault="002A4E0C" w:rsidP="002A4E0C">
      <w:pPr>
        <w:tabs>
          <w:tab w:val="left" w:pos="-1440"/>
          <w:tab w:val="left" w:pos="-720"/>
        </w:tabs>
        <w:jc w:val="both"/>
        <w:rPr>
          <w:rFonts w:eastAsia="Times New Roman" w:cs="Times New Roman"/>
          <w:sz w:val="20"/>
          <w:szCs w:val="20"/>
          <w:lang w:val="fr-CA" w:eastAsia="en-CA"/>
        </w:rPr>
      </w:pPr>
      <w:r w:rsidRPr="002A4E0C">
        <w:rPr>
          <w:rFonts w:eastAsia="Times New Roman" w:cs="Times New Roman"/>
          <w:sz w:val="20"/>
          <w:szCs w:val="20"/>
          <w:lang w:val="fr-CA" w:eastAsia="en-CA"/>
        </w:rPr>
        <w:t>Before / Devant :   ABELLA J. / LA JUGE ABELLA</w:t>
      </w:r>
    </w:p>
    <w:p w:rsidR="002A4E0C" w:rsidRPr="002A4E0C" w:rsidRDefault="002A4E0C" w:rsidP="002A4E0C">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2A4E0C" w:rsidRPr="004F01F8" w:rsidTr="00190453">
        <w:tc>
          <w:tcPr>
            <w:tcW w:w="4338" w:type="dxa"/>
            <w:gridSpan w:val="2"/>
          </w:tcPr>
          <w:p w:rsidR="002A4E0C" w:rsidRPr="002A4E0C" w:rsidRDefault="002A4E0C" w:rsidP="002A4E0C">
            <w:pPr>
              <w:jc w:val="both"/>
              <w:rPr>
                <w:b/>
              </w:rPr>
            </w:pPr>
            <w:r w:rsidRPr="002A4E0C">
              <w:rPr>
                <w:b/>
                <w:lang w:val="en-US"/>
              </w:rPr>
              <w:t xml:space="preserve">Order on interventions with respect to oral argument </w:t>
            </w:r>
            <w:r w:rsidR="006A1D9A" w:rsidRPr="002A4E0C">
              <w:rPr>
                <w:b/>
                <w:lang w:val="en-US"/>
              </w:rPr>
              <w:fldChar w:fldCharType="begin"/>
            </w:r>
            <w:r w:rsidRPr="002A4E0C">
              <w:rPr>
                <w:b/>
              </w:rPr>
              <w:instrText xml:space="preserve"> SEQ CHAPTER \h \r 1</w:instrText>
            </w:r>
            <w:r w:rsidR="006A1D9A" w:rsidRPr="002A4E0C">
              <w:rPr>
                <w:b/>
                <w:lang w:val="en-US"/>
              </w:rPr>
              <w:fldChar w:fldCharType="end"/>
            </w:r>
          </w:p>
        </w:tc>
        <w:tc>
          <w:tcPr>
            <w:tcW w:w="1170" w:type="dxa"/>
          </w:tcPr>
          <w:p w:rsidR="002A4E0C" w:rsidRPr="002A4E0C" w:rsidRDefault="002A4E0C" w:rsidP="002A4E0C"/>
          <w:p w:rsidR="002A4E0C" w:rsidRPr="002A4E0C" w:rsidRDefault="002A4E0C" w:rsidP="002A4E0C"/>
          <w:p w:rsidR="002A4E0C" w:rsidRPr="002A4E0C" w:rsidRDefault="002A4E0C" w:rsidP="002A4E0C"/>
        </w:tc>
        <w:tc>
          <w:tcPr>
            <w:tcW w:w="4327" w:type="dxa"/>
          </w:tcPr>
          <w:p w:rsidR="002A4E0C" w:rsidRPr="002A4E0C" w:rsidRDefault="002A4E0C" w:rsidP="002A4E0C">
            <w:pPr>
              <w:jc w:val="both"/>
              <w:rPr>
                <w:b/>
                <w:lang w:val="fr-CA"/>
              </w:rPr>
            </w:pPr>
            <w:r w:rsidRPr="002A4E0C">
              <w:rPr>
                <w:b/>
                <w:lang w:val="fr-CA"/>
              </w:rPr>
              <w:t>Ordonnance relative à la présentation d’une plaidoirie orale par les intervenants</w:t>
            </w:r>
            <w:r w:rsidR="006A1D9A" w:rsidRPr="002A4E0C">
              <w:rPr>
                <w:b/>
                <w:lang w:val="en-US"/>
              </w:rPr>
              <w:fldChar w:fldCharType="begin"/>
            </w:r>
            <w:r w:rsidRPr="002A4E0C">
              <w:rPr>
                <w:b/>
                <w:lang w:val="fr-CA"/>
              </w:rPr>
              <w:instrText xml:space="preserve"> SEQ CHAPTER \h \r 1</w:instrText>
            </w:r>
            <w:r w:rsidR="006A1D9A" w:rsidRPr="002A4E0C">
              <w:rPr>
                <w:b/>
                <w:lang w:val="en-US"/>
              </w:rPr>
              <w:fldChar w:fldCharType="end"/>
            </w:r>
          </w:p>
        </w:tc>
      </w:tr>
      <w:tr w:rsidR="002A4E0C" w:rsidRPr="002A4E0C" w:rsidTr="00190453">
        <w:trPr>
          <w:trHeight w:hRule="exact" w:val="576"/>
        </w:trPr>
        <w:tc>
          <w:tcPr>
            <w:tcW w:w="1368" w:type="dxa"/>
          </w:tcPr>
          <w:p w:rsidR="002A4E0C" w:rsidRPr="002A4E0C" w:rsidRDefault="002A4E0C" w:rsidP="002A4E0C">
            <w:r w:rsidRPr="002A4E0C">
              <w:t>RE:</w:t>
            </w:r>
          </w:p>
        </w:tc>
        <w:tc>
          <w:tcPr>
            <w:tcW w:w="2970" w:type="dxa"/>
          </w:tcPr>
          <w:p w:rsidR="002A4E0C" w:rsidRPr="002A4E0C" w:rsidRDefault="002A4E0C" w:rsidP="002A4E0C">
            <w:r w:rsidRPr="002A4E0C">
              <w:rPr>
                <w:lang w:val="en-US"/>
              </w:rPr>
              <w:t>Director of Public Prosecutions of Canada;</w:t>
            </w:r>
          </w:p>
        </w:tc>
        <w:tc>
          <w:tcPr>
            <w:tcW w:w="1170" w:type="dxa"/>
          </w:tcPr>
          <w:p w:rsidR="002A4E0C" w:rsidRPr="002A4E0C" w:rsidRDefault="002A4E0C" w:rsidP="002A4E0C"/>
        </w:tc>
        <w:tc>
          <w:tcPr>
            <w:tcW w:w="4327" w:type="dxa"/>
          </w:tcPr>
          <w:p w:rsidR="002A4E0C" w:rsidRPr="002A4E0C" w:rsidRDefault="002A4E0C" w:rsidP="002A4E0C"/>
        </w:tc>
      </w:tr>
      <w:tr w:rsidR="002A4E0C" w:rsidRPr="002A4E0C" w:rsidTr="00190453">
        <w:trPr>
          <w:trHeight w:hRule="exact" w:val="331"/>
        </w:trPr>
        <w:tc>
          <w:tcPr>
            <w:tcW w:w="1368" w:type="dxa"/>
          </w:tcPr>
          <w:p w:rsidR="002A4E0C" w:rsidRPr="002A4E0C" w:rsidRDefault="002A4E0C" w:rsidP="002A4E0C"/>
        </w:tc>
        <w:tc>
          <w:tcPr>
            <w:tcW w:w="2970" w:type="dxa"/>
          </w:tcPr>
          <w:p w:rsidR="002A4E0C" w:rsidRPr="002A4E0C" w:rsidRDefault="002A4E0C" w:rsidP="002A4E0C">
            <w:r w:rsidRPr="002A4E0C">
              <w:rPr>
                <w:lang w:val="en-US"/>
              </w:rPr>
              <w:t>Attorney General of Ontario;</w:t>
            </w:r>
          </w:p>
        </w:tc>
        <w:tc>
          <w:tcPr>
            <w:tcW w:w="1170" w:type="dxa"/>
          </w:tcPr>
          <w:p w:rsidR="002A4E0C" w:rsidRPr="002A4E0C" w:rsidRDefault="002A4E0C" w:rsidP="002A4E0C"/>
        </w:tc>
        <w:tc>
          <w:tcPr>
            <w:tcW w:w="4327" w:type="dxa"/>
          </w:tcPr>
          <w:p w:rsidR="002A4E0C" w:rsidRPr="002A4E0C" w:rsidRDefault="002A4E0C" w:rsidP="002A4E0C"/>
        </w:tc>
      </w:tr>
      <w:tr w:rsidR="002A4E0C" w:rsidRPr="002A4E0C" w:rsidTr="00190453">
        <w:trPr>
          <w:trHeight w:hRule="exact" w:val="576"/>
        </w:trPr>
        <w:tc>
          <w:tcPr>
            <w:tcW w:w="1368" w:type="dxa"/>
          </w:tcPr>
          <w:p w:rsidR="002A4E0C" w:rsidRPr="002A4E0C" w:rsidRDefault="002A4E0C" w:rsidP="002A4E0C"/>
        </w:tc>
        <w:tc>
          <w:tcPr>
            <w:tcW w:w="2970" w:type="dxa"/>
          </w:tcPr>
          <w:p w:rsidR="002A4E0C" w:rsidRPr="002A4E0C" w:rsidRDefault="002A4E0C" w:rsidP="002A4E0C">
            <w:r w:rsidRPr="002A4E0C">
              <w:rPr>
                <w:lang w:val="en-US"/>
              </w:rPr>
              <w:t>Attorney General of New Brunswick</w:t>
            </w:r>
            <w:r w:rsidRPr="002A4E0C">
              <w:t>;</w:t>
            </w:r>
          </w:p>
        </w:tc>
        <w:tc>
          <w:tcPr>
            <w:tcW w:w="1170" w:type="dxa"/>
          </w:tcPr>
          <w:p w:rsidR="002A4E0C" w:rsidRPr="002A4E0C" w:rsidRDefault="002A4E0C" w:rsidP="002A4E0C"/>
        </w:tc>
        <w:tc>
          <w:tcPr>
            <w:tcW w:w="4327" w:type="dxa"/>
          </w:tcPr>
          <w:p w:rsidR="002A4E0C" w:rsidRPr="002A4E0C" w:rsidRDefault="002A4E0C" w:rsidP="002A4E0C"/>
        </w:tc>
      </w:tr>
      <w:tr w:rsidR="002A4E0C" w:rsidRPr="002A4E0C" w:rsidTr="00190453">
        <w:trPr>
          <w:trHeight w:hRule="exact" w:val="576"/>
        </w:trPr>
        <w:tc>
          <w:tcPr>
            <w:tcW w:w="1368" w:type="dxa"/>
          </w:tcPr>
          <w:p w:rsidR="002A4E0C" w:rsidRPr="002A4E0C" w:rsidRDefault="002A4E0C" w:rsidP="002A4E0C"/>
        </w:tc>
        <w:tc>
          <w:tcPr>
            <w:tcW w:w="2970" w:type="dxa"/>
          </w:tcPr>
          <w:p w:rsidR="002A4E0C" w:rsidRPr="002A4E0C" w:rsidRDefault="002A4E0C" w:rsidP="002A4E0C">
            <w:r w:rsidRPr="002A4E0C">
              <w:rPr>
                <w:lang w:val="en-US"/>
              </w:rPr>
              <w:t>Attorney General of British Columbia</w:t>
            </w:r>
            <w:r w:rsidRPr="002A4E0C">
              <w:t>;</w:t>
            </w:r>
          </w:p>
        </w:tc>
        <w:tc>
          <w:tcPr>
            <w:tcW w:w="1170" w:type="dxa"/>
          </w:tcPr>
          <w:p w:rsidR="002A4E0C" w:rsidRPr="002A4E0C" w:rsidRDefault="002A4E0C" w:rsidP="002A4E0C"/>
        </w:tc>
        <w:tc>
          <w:tcPr>
            <w:tcW w:w="4327" w:type="dxa"/>
          </w:tcPr>
          <w:p w:rsidR="002A4E0C" w:rsidRPr="002A4E0C" w:rsidRDefault="002A4E0C" w:rsidP="002A4E0C"/>
        </w:tc>
      </w:tr>
      <w:tr w:rsidR="002A4E0C" w:rsidRPr="002A4E0C" w:rsidTr="00190453">
        <w:trPr>
          <w:trHeight w:hRule="exact" w:val="1008"/>
        </w:trPr>
        <w:tc>
          <w:tcPr>
            <w:tcW w:w="1368" w:type="dxa"/>
          </w:tcPr>
          <w:p w:rsidR="002A4E0C" w:rsidRPr="002A4E0C" w:rsidRDefault="002A4E0C" w:rsidP="002A4E0C"/>
        </w:tc>
        <w:tc>
          <w:tcPr>
            <w:tcW w:w="2970" w:type="dxa"/>
          </w:tcPr>
          <w:p w:rsidR="002A4E0C" w:rsidRPr="002A4E0C" w:rsidRDefault="002A4E0C" w:rsidP="002A4E0C">
            <w:pPr>
              <w:rPr>
                <w:lang w:val="en-US"/>
              </w:rPr>
            </w:pPr>
            <w:r w:rsidRPr="002A4E0C">
              <w:rPr>
                <w:lang w:val="en-US"/>
              </w:rPr>
              <w:t>David Asper Centre for Constitutional Rights and University of Toronto Faculty of Law;</w:t>
            </w:r>
          </w:p>
        </w:tc>
        <w:tc>
          <w:tcPr>
            <w:tcW w:w="1170" w:type="dxa"/>
          </w:tcPr>
          <w:p w:rsidR="002A4E0C" w:rsidRPr="002A4E0C" w:rsidRDefault="002A4E0C" w:rsidP="002A4E0C"/>
        </w:tc>
        <w:tc>
          <w:tcPr>
            <w:tcW w:w="4327" w:type="dxa"/>
          </w:tcPr>
          <w:p w:rsidR="002A4E0C" w:rsidRPr="002A4E0C" w:rsidRDefault="002A4E0C" w:rsidP="002A4E0C"/>
        </w:tc>
      </w:tr>
      <w:tr w:rsidR="002A4E0C" w:rsidRPr="002A4E0C" w:rsidTr="00190453">
        <w:trPr>
          <w:trHeight w:val="576"/>
        </w:trPr>
        <w:tc>
          <w:tcPr>
            <w:tcW w:w="1368" w:type="dxa"/>
          </w:tcPr>
          <w:p w:rsidR="002A4E0C" w:rsidRPr="002A4E0C" w:rsidRDefault="002A4E0C" w:rsidP="002A4E0C"/>
        </w:tc>
        <w:tc>
          <w:tcPr>
            <w:tcW w:w="2970" w:type="dxa"/>
          </w:tcPr>
          <w:p w:rsidR="002A4E0C" w:rsidRPr="002A4E0C" w:rsidRDefault="002A4E0C" w:rsidP="002A4E0C">
            <w:r w:rsidRPr="002A4E0C">
              <w:rPr>
                <w:lang w:val="en-US"/>
              </w:rPr>
              <w:t>Aboriginal Legal Services of Toronto Inc.</w:t>
            </w:r>
          </w:p>
        </w:tc>
        <w:tc>
          <w:tcPr>
            <w:tcW w:w="1170" w:type="dxa"/>
          </w:tcPr>
          <w:p w:rsidR="002A4E0C" w:rsidRPr="002A4E0C" w:rsidRDefault="002A4E0C" w:rsidP="002A4E0C"/>
        </w:tc>
        <w:tc>
          <w:tcPr>
            <w:tcW w:w="4327" w:type="dxa"/>
          </w:tcPr>
          <w:p w:rsidR="002A4E0C" w:rsidRPr="002A4E0C" w:rsidRDefault="002A4E0C" w:rsidP="002A4E0C"/>
        </w:tc>
      </w:tr>
      <w:tr w:rsidR="002A4E0C" w:rsidRPr="002A4E0C" w:rsidTr="00190453">
        <w:tc>
          <w:tcPr>
            <w:tcW w:w="1368" w:type="dxa"/>
          </w:tcPr>
          <w:p w:rsidR="002A4E0C" w:rsidRPr="002A4E0C" w:rsidRDefault="002A4E0C" w:rsidP="002A4E0C"/>
        </w:tc>
        <w:tc>
          <w:tcPr>
            <w:tcW w:w="2970" w:type="dxa"/>
          </w:tcPr>
          <w:p w:rsidR="002A4E0C" w:rsidRPr="002A4E0C" w:rsidRDefault="002A4E0C" w:rsidP="002A4E0C"/>
        </w:tc>
        <w:tc>
          <w:tcPr>
            <w:tcW w:w="1170" w:type="dxa"/>
          </w:tcPr>
          <w:p w:rsidR="002A4E0C" w:rsidRPr="002A4E0C" w:rsidRDefault="002A4E0C" w:rsidP="002A4E0C"/>
        </w:tc>
        <w:tc>
          <w:tcPr>
            <w:tcW w:w="4327" w:type="dxa"/>
          </w:tcPr>
          <w:p w:rsidR="002A4E0C" w:rsidRPr="002A4E0C" w:rsidRDefault="002A4E0C" w:rsidP="002A4E0C"/>
        </w:tc>
      </w:tr>
      <w:tr w:rsidR="002A4E0C" w:rsidRPr="002A4E0C" w:rsidTr="00190453">
        <w:tc>
          <w:tcPr>
            <w:tcW w:w="1368" w:type="dxa"/>
          </w:tcPr>
          <w:p w:rsidR="002A4E0C" w:rsidRPr="002A4E0C" w:rsidRDefault="002A4E0C" w:rsidP="002A4E0C">
            <w:r w:rsidRPr="002A4E0C">
              <w:t>IN / DANS :</w:t>
            </w:r>
          </w:p>
        </w:tc>
        <w:tc>
          <w:tcPr>
            <w:tcW w:w="2970" w:type="dxa"/>
          </w:tcPr>
          <w:p w:rsidR="002A4E0C" w:rsidRPr="002A4E0C" w:rsidRDefault="002A4E0C" w:rsidP="002A4E0C">
            <w:r w:rsidRPr="002A4E0C">
              <w:t>Her Majesty the Queen</w:t>
            </w:r>
          </w:p>
          <w:p w:rsidR="002A4E0C" w:rsidRPr="002A4E0C" w:rsidRDefault="002A4E0C" w:rsidP="002A4E0C"/>
          <w:p w:rsidR="002A4E0C" w:rsidRPr="002A4E0C" w:rsidRDefault="002A4E0C" w:rsidP="002A4E0C">
            <w:r w:rsidRPr="002A4E0C">
              <w:tab/>
              <w:t>v. (35246)</w:t>
            </w:r>
          </w:p>
          <w:p w:rsidR="002A4E0C" w:rsidRPr="002A4E0C" w:rsidRDefault="002A4E0C" w:rsidP="002A4E0C"/>
          <w:p w:rsidR="002A4E0C" w:rsidRPr="002A4E0C" w:rsidRDefault="002A4E0C" w:rsidP="002A4E0C">
            <w:r w:rsidRPr="002A4E0C">
              <w:t>Frederick Anderson (Crim.) (N.L.)</w:t>
            </w:r>
          </w:p>
        </w:tc>
        <w:tc>
          <w:tcPr>
            <w:tcW w:w="1170" w:type="dxa"/>
          </w:tcPr>
          <w:p w:rsidR="002A4E0C" w:rsidRPr="002A4E0C" w:rsidRDefault="002A4E0C" w:rsidP="002A4E0C"/>
        </w:tc>
        <w:tc>
          <w:tcPr>
            <w:tcW w:w="4327" w:type="dxa"/>
          </w:tcPr>
          <w:p w:rsidR="002A4E0C" w:rsidRPr="002A4E0C" w:rsidRDefault="002A4E0C" w:rsidP="002A4E0C"/>
        </w:tc>
      </w:tr>
    </w:tbl>
    <w:p w:rsidR="002A4E0C" w:rsidRPr="002A4E0C" w:rsidRDefault="002A4E0C" w:rsidP="002A4E0C">
      <w:pPr>
        <w:tabs>
          <w:tab w:val="left" w:pos="-1440"/>
          <w:tab w:val="left" w:pos="-720"/>
        </w:tabs>
        <w:jc w:val="both"/>
        <w:rPr>
          <w:rFonts w:eastAsia="Times New Roman" w:cs="Times New Roman"/>
          <w:sz w:val="20"/>
          <w:szCs w:val="20"/>
          <w:lang w:eastAsia="en-CA"/>
        </w:rPr>
      </w:pPr>
    </w:p>
    <w:p w:rsidR="002A4E0C" w:rsidRPr="002A4E0C" w:rsidRDefault="002A4E0C" w:rsidP="002A4E0C">
      <w:pPr>
        <w:spacing w:line="233" w:lineRule="auto"/>
        <w:jc w:val="both"/>
        <w:rPr>
          <w:rFonts w:eastAsia="Times New Roman" w:cs="Times New Roman"/>
          <w:b/>
          <w:bCs/>
          <w:sz w:val="20"/>
          <w:szCs w:val="20"/>
          <w:lang w:eastAsia="en-CA"/>
        </w:rPr>
      </w:pPr>
      <w:r w:rsidRPr="002A4E0C">
        <w:rPr>
          <w:rFonts w:eastAsia="Times New Roman" w:cs="Times New Roman"/>
          <w:b/>
          <w:bCs/>
          <w:sz w:val="20"/>
          <w:szCs w:val="20"/>
          <w:lang w:eastAsia="en-CA"/>
        </w:rPr>
        <w:t>FURTHER TO THE ORDER</w:t>
      </w:r>
      <w:r w:rsidRPr="002A4E0C">
        <w:rPr>
          <w:rFonts w:eastAsia="Times New Roman" w:cs="Times New Roman"/>
          <w:sz w:val="20"/>
          <w:szCs w:val="20"/>
          <w:lang w:eastAsia="en-CA"/>
        </w:rPr>
        <w:t xml:space="preserve"> dated January 20, 2014, granting leave to intervene to</w:t>
      </w:r>
      <w:r w:rsidRPr="002A4E0C">
        <w:rPr>
          <w:rFonts w:eastAsia="Times New Roman" w:cs="Times New Roman"/>
          <w:b/>
          <w:bCs/>
          <w:sz w:val="20"/>
          <w:szCs w:val="20"/>
          <w:lang w:eastAsia="en-CA"/>
        </w:rPr>
        <w:t xml:space="preserve"> </w:t>
      </w:r>
      <w:r w:rsidRPr="002A4E0C">
        <w:rPr>
          <w:rFonts w:eastAsia="Times New Roman" w:cs="Times New Roman"/>
          <w:sz w:val="20"/>
          <w:szCs w:val="20"/>
          <w:lang w:eastAsia="en-CA"/>
        </w:rPr>
        <w:t>the Director of Public Prosecutions of Canada, the Attorney General of Ontario, the Attorney General of New Brunswick, the Attorney General of British Columbia, the David Asper Centre for Constitutional Rights and University of Toronto Faculty of Law and the Aboriginal Legal Services of Toronto Inc.;</w:t>
      </w:r>
    </w:p>
    <w:p w:rsidR="002A4E0C" w:rsidRPr="002A4E0C" w:rsidRDefault="002A4E0C" w:rsidP="002A4E0C">
      <w:pPr>
        <w:spacing w:line="233" w:lineRule="auto"/>
        <w:jc w:val="both"/>
        <w:rPr>
          <w:rFonts w:eastAsia="Times New Roman" w:cs="Times New Roman"/>
          <w:sz w:val="20"/>
          <w:szCs w:val="20"/>
          <w:lang w:eastAsia="en-CA"/>
        </w:rPr>
      </w:pPr>
    </w:p>
    <w:p w:rsidR="002A4E0C" w:rsidRPr="002A4E0C" w:rsidRDefault="002A4E0C" w:rsidP="002A4E0C">
      <w:pPr>
        <w:spacing w:line="230" w:lineRule="auto"/>
        <w:jc w:val="both"/>
        <w:rPr>
          <w:rFonts w:eastAsia="Times New Roman" w:cs="Times New Roman"/>
          <w:sz w:val="20"/>
          <w:szCs w:val="20"/>
          <w:lang w:eastAsia="en-CA"/>
        </w:rPr>
      </w:pPr>
      <w:r w:rsidRPr="002A4E0C">
        <w:rPr>
          <w:rFonts w:eastAsia="Times New Roman" w:cs="Times New Roman"/>
          <w:b/>
          <w:bCs/>
          <w:sz w:val="20"/>
          <w:szCs w:val="20"/>
          <w:lang w:eastAsia="en-CA"/>
        </w:rPr>
        <w:t xml:space="preserve">IT IS HEREBY FURTHER ORDERED THAT: </w:t>
      </w:r>
      <w:r w:rsidRPr="002A4E0C">
        <w:rPr>
          <w:rFonts w:eastAsia="Times New Roman" w:cs="Times New Roman"/>
          <w:sz w:val="20"/>
          <w:szCs w:val="20"/>
          <w:lang w:eastAsia="en-CA"/>
        </w:rPr>
        <w:t>the said six interveners are each granted permission to present oral argument not exceeding ten (10) minutes at the hearing of the appeal.</w:t>
      </w:r>
    </w:p>
    <w:p w:rsidR="002A4E0C" w:rsidRPr="002A4E0C" w:rsidRDefault="002A4E0C" w:rsidP="002A4E0C">
      <w:pPr>
        <w:spacing w:line="230" w:lineRule="auto"/>
        <w:rPr>
          <w:rFonts w:eastAsia="Times New Roman" w:cs="Times New Roman"/>
          <w:bCs/>
          <w:sz w:val="20"/>
          <w:szCs w:val="20"/>
          <w:lang w:eastAsia="en-CA"/>
        </w:rPr>
      </w:pPr>
    </w:p>
    <w:p w:rsidR="002A4E0C" w:rsidRPr="002A4E0C" w:rsidRDefault="002A4E0C" w:rsidP="002A4E0C">
      <w:pPr>
        <w:spacing w:line="233" w:lineRule="auto"/>
        <w:rPr>
          <w:rFonts w:eastAsia="Times New Roman" w:cs="Times New Roman"/>
          <w:sz w:val="20"/>
          <w:szCs w:val="20"/>
          <w:lang w:val="en-US" w:eastAsia="en-CA"/>
        </w:rPr>
      </w:pPr>
    </w:p>
    <w:p w:rsidR="002A4E0C" w:rsidRPr="002A4E0C" w:rsidRDefault="002A4E0C" w:rsidP="002A4E0C">
      <w:pPr>
        <w:spacing w:line="233" w:lineRule="auto"/>
        <w:rPr>
          <w:rFonts w:eastAsia="Times New Roman" w:cs="Times New Roman"/>
          <w:sz w:val="20"/>
          <w:szCs w:val="20"/>
          <w:lang w:val="en-US" w:eastAsia="en-CA"/>
        </w:rPr>
      </w:pPr>
    </w:p>
    <w:p w:rsidR="002A4E0C" w:rsidRPr="002A4E0C" w:rsidRDefault="002A4E0C" w:rsidP="002A4E0C">
      <w:pPr>
        <w:spacing w:line="233" w:lineRule="auto"/>
        <w:jc w:val="both"/>
        <w:rPr>
          <w:rFonts w:eastAsia="Times New Roman" w:cs="Times New Roman"/>
          <w:sz w:val="20"/>
          <w:szCs w:val="20"/>
          <w:lang w:val="fr-CA" w:eastAsia="en-CA"/>
        </w:rPr>
      </w:pPr>
      <w:r w:rsidRPr="002A4E0C">
        <w:rPr>
          <w:rFonts w:eastAsia="Times New Roman" w:cs="Times New Roman"/>
          <w:b/>
          <w:sz w:val="20"/>
          <w:szCs w:val="20"/>
          <w:lang w:val="fr-CA" w:eastAsia="en-CA"/>
        </w:rPr>
        <w:t>À LA SUITE DE L’ORDONNANCE</w:t>
      </w:r>
      <w:r w:rsidRPr="002A4E0C">
        <w:rPr>
          <w:rFonts w:eastAsia="Times New Roman" w:cs="Times New Roman"/>
          <w:sz w:val="20"/>
          <w:szCs w:val="20"/>
          <w:lang w:val="fr-CA" w:eastAsia="en-CA"/>
        </w:rPr>
        <w:t xml:space="preserve"> datée du 20 janvier 2014, accordant l’autorisation d’intervenir au Directeur des poursuites pénales du Canada, au procureur général de l’Ontario, au procureur général du Nouveau-Brunswick, au procureur général de la Colombie-Britannique, au David Asper Centre for Constitutional Rights et à la Faculté de droit de l’Université de Toronto et aux Aboriginal Legal Services of Toronto Inc.;</w:t>
      </w:r>
    </w:p>
    <w:p w:rsidR="002A4E0C" w:rsidRPr="002A4E0C" w:rsidRDefault="002A4E0C" w:rsidP="002A4E0C">
      <w:pPr>
        <w:spacing w:line="233" w:lineRule="auto"/>
        <w:jc w:val="both"/>
        <w:rPr>
          <w:rFonts w:eastAsia="Times New Roman" w:cs="Times New Roman"/>
          <w:sz w:val="20"/>
          <w:szCs w:val="20"/>
          <w:lang w:val="fr-CA" w:eastAsia="en-CA"/>
        </w:rPr>
      </w:pPr>
    </w:p>
    <w:p w:rsidR="002A4E0C" w:rsidRPr="002A4E0C" w:rsidRDefault="002A4E0C" w:rsidP="002A4E0C">
      <w:pPr>
        <w:spacing w:line="233" w:lineRule="auto"/>
        <w:jc w:val="both"/>
        <w:rPr>
          <w:rFonts w:eastAsia="Times New Roman" w:cs="Times New Roman"/>
          <w:sz w:val="20"/>
          <w:szCs w:val="20"/>
          <w:lang w:val="fr-CA" w:eastAsia="en-CA"/>
        </w:rPr>
      </w:pPr>
      <w:r w:rsidRPr="002A4E0C">
        <w:rPr>
          <w:rFonts w:eastAsia="Times New Roman" w:cs="Times New Roman"/>
          <w:b/>
          <w:sz w:val="20"/>
          <w:szCs w:val="20"/>
          <w:lang w:val="fr-CA" w:eastAsia="en-CA"/>
        </w:rPr>
        <w:t>IL EST EN OUTRE ORDONNÉ QUE</w:t>
      </w:r>
      <w:r w:rsidRPr="002A4E0C">
        <w:rPr>
          <w:rFonts w:eastAsia="Times New Roman" w:cs="Times New Roman"/>
          <w:sz w:val="20"/>
          <w:szCs w:val="20"/>
          <w:lang w:val="fr-CA" w:eastAsia="en-CA"/>
        </w:rPr>
        <w:t xml:space="preserve"> chacun de ces six intervenants ou groupes d’intervenants pourra présenter une plaidoirie orale d’au plus dix (10) minutes lors de l’audition de l’appel.</w:t>
      </w:r>
    </w:p>
    <w:p w:rsidR="002A4E0C" w:rsidRPr="002A4E0C" w:rsidRDefault="002A4E0C" w:rsidP="002A4E0C">
      <w:pPr>
        <w:spacing w:line="233" w:lineRule="auto"/>
        <w:jc w:val="both"/>
        <w:rPr>
          <w:rFonts w:eastAsia="Times New Roman" w:cs="Times New Roman"/>
          <w:sz w:val="20"/>
          <w:szCs w:val="20"/>
          <w:lang w:val="fr-CA" w:eastAsia="en-CA"/>
        </w:rPr>
      </w:pPr>
    </w:p>
    <w:p w:rsidR="002A4E0C" w:rsidRPr="002A4E0C" w:rsidRDefault="004F01F8" w:rsidP="002A4E0C">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54" style="width:2in;height:1pt" o:hrpct="0" o:hralign="center" o:hrstd="t" o:hrnoshade="t" o:hr="t" fillcolor="black [3213]" stroked="f"/>
        </w:pict>
      </w:r>
    </w:p>
    <w:p w:rsidR="002A4E0C" w:rsidRPr="002A4E0C" w:rsidRDefault="002A4E0C" w:rsidP="002A4E0C">
      <w:pPr>
        <w:rPr>
          <w:rFonts w:eastAsia="Times New Roman" w:cs="Times New Roman"/>
          <w:sz w:val="20"/>
          <w:szCs w:val="20"/>
          <w:lang w:val="fr-CA" w:eastAsia="en-CA"/>
        </w:rPr>
      </w:pPr>
      <w:r w:rsidRPr="002A4E0C">
        <w:rPr>
          <w:rFonts w:eastAsia="Times New Roman" w:cs="Times New Roman"/>
          <w:sz w:val="20"/>
          <w:szCs w:val="20"/>
          <w:lang w:val="fr-CA" w:eastAsia="en-CA"/>
        </w:rPr>
        <w:br w:type="page"/>
      </w:r>
    </w:p>
    <w:p w:rsidR="002A4E0C" w:rsidRPr="002A4E0C" w:rsidRDefault="002A4E0C" w:rsidP="002A4E0C">
      <w:pPr>
        <w:tabs>
          <w:tab w:val="left" w:pos="-1440"/>
          <w:tab w:val="left" w:pos="-720"/>
        </w:tabs>
        <w:jc w:val="both"/>
        <w:rPr>
          <w:rFonts w:eastAsia="Times New Roman" w:cs="Times New Roman"/>
          <w:sz w:val="20"/>
          <w:szCs w:val="20"/>
          <w:lang w:val="fr-CA" w:eastAsia="en-CA"/>
        </w:rPr>
      </w:pPr>
      <w:r w:rsidRPr="002A4E0C">
        <w:rPr>
          <w:rFonts w:eastAsia="Times New Roman" w:cs="Times New Roman"/>
          <w:sz w:val="20"/>
          <w:szCs w:val="20"/>
          <w:lang w:val="fr-CA" w:eastAsia="en-CA"/>
        </w:rPr>
        <w:lastRenderedPageBreak/>
        <w:t>17.03.2014</w:t>
      </w:r>
    </w:p>
    <w:p w:rsidR="002A4E0C" w:rsidRPr="002A4E0C" w:rsidRDefault="002A4E0C" w:rsidP="002A4E0C">
      <w:pPr>
        <w:tabs>
          <w:tab w:val="left" w:pos="-1440"/>
          <w:tab w:val="left" w:pos="-720"/>
        </w:tabs>
        <w:jc w:val="both"/>
        <w:rPr>
          <w:rFonts w:eastAsia="Times New Roman" w:cs="Times New Roman"/>
          <w:sz w:val="20"/>
          <w:szCs w:val="20"/>
          <w:lang w:val="fr-CA" w:eastAsia="en-CA"/>
        </w:rPr>
      </w:pPr>
    </w:p>
    <w:p w:rsidR="002A4E0C" w:rsidRPr="002A4E0C" w:rsidRDefault="002A4E0C" w:rsidP="002A4E0C">
      <w:pPr>
        <w:tabs>
          <w:tab w:val="left" w:pos="-1440"/>
          <w:tab w:val="left" w:pos="-720"/>
        </w:tabs>
        <w:jc w:val="both"/>
        <w:rPr>
          <w:rFonts w:eastAsia="Times New Roman" w:cs="Times New Roman"/>
          <w:sz w:val="20"/>
          <w:szCs w:val="20"/>
          <w:lang w:val="fr-CA" w:eastAsia="en-CA"/>
        </w:rPr>
      </w:pPr>
      <w:r w:rsidRPr="002A4E0C">
        <w:rPr>
          <w:rFonts w:eastAsia="Times New Roman" w:cs="Times New Roman"/>
          <w:sz w:val="20"/>
          <w:szCs w:val="20"/>
          <w:lang w:val="fr-CA" w:eastAsia="en-CA"/>
        </w:rPr>
        <w:t>Before / Devant :   LEBEL J. / LE JUGE LEBEL</w:t>
      </w:r>
    </w:p>
    <w:p w:rsidR="002A4E0C" w:rsidRPr="002A4E0C" w:rsidRDefault="002A4E0C" w:rsidP="002A4E0C">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2A4E0C" w:rsidRPr="004F01F8" w:rsidTr="00190453">
        <w:tc>
          <w:tcPr>
            <w:tcW w:w="4338" w:type="dxa"/>
            <w:gridSpan w:val="2"/>
          </w:tcPr>
          <w:p w:rsidR="002A4E0C" w:rsidRPr="002A4E0C" w:rsidRDefault="002A4E0C" w:rsidP="002A4E0C">
            <w:pPr>
              <w:jc w:val="both"/>
              <w:rPr>
                <w:b/>
              </w:rPr>
            </w:pPr>
            <w:r w:rsidRPr="002A4E0C">
              <w:rPr>
                <w:b/>
                <w:lang w:val="en-US"/>
              </w:rPr>
              <w:t xml:space="preserve">Order on interventions with respect to oral argument </w:t>
            </w:r>
            <w:r w:rsidR="006A1D9A" w:rsidRPr="002A4E0C">
              <w:rPr>
                <w:b/>
                <w:lang w:val="en-US"/>
              </w:rPr>
              <w:fldChar w:fldCharType="begin"/>
            </w:r>
            <w:r w:rsidRPr="002A4E0C">
              <w:rPr>
                <w:b/>
              </w:rPr>
              <w:instrText xml:space="preserve"> SEQ CHAPTER \h \r 1</w:instrText>
            </w:r>
            <w:r w:rsidR="006A1D9A" w:rsidRPr="002A4E0C">
              <w:rPr>
                <w:b/>
                <w:lang w:val="en-US"/>
              </w:rPr>
              <w:fldChar w:fldCharType="end"/>
            </w:r>
          </w:p>
        </w:tc>
        <w:tc>
          <w:tcPr>
            <w:tcW w:w="1170" w:type="dxa"/>
          </w:tcPr>
          <w:p w:rsidR="002A4E0C" w:rsidRPr="002A4E0C" w:rsidRDefault="002A4E0C" w:rsidP="002A4E0C"/>
          <w:p w:rsidR="002A4E0C" w:rsidRPr="002A4E0C" w:rsidRDefault="002A4E0C" w:rsidP="002A4E0C"/>
          <w:p w:rsidR="002A4E0C" w:rsidRPr="002A4E0C" w:rsidRDefault="002A4E0C" w:rsidP="002A4E0C"/>
        </w:tc>
        <w:tc>
          <w:tcPr>
            <w:tcW w:w="4327" w:type="dxa"/>
          </w:tcPr>
          <w:p w:rsidR="002A4E0C" w:rsidRPr="002A4E0C" w:rsidRDefault="002A4E0C" w:rsidP="002A4E0C">
            <w:pPr>
              <w:jc w:val="both"/>
              <w:rPr>
                <w:b/>
                <w:lang w:val="fr-CA"/>
              </w:rPr>
            </w:pPr>
            <w:r w:rsidRPr="002A4E0C">
              <w:rPr>
                <w:b/>
                <w:lang w:val="fr-CA"/>
              </w:rPr>
              <w:t>Ordonnance relative à la présentation d’une plaidoirie orale par les intervenants</w:t>
            </w:r>
            <w:r w:rsidR="006A1D9A" w:rsidRPr="002A4E0C">
              <w:rPr>
                <w:b/>
                <w:lang w:val="en-US"/>
              </w:rPr>
              <w:fldChar w:fldCharType="begin"/>
            </w:r>
            <w:r w:rsidRPr="002A4E0C">
              <w:rPr>
                <w:b/>
                <w:lang w:val="fr-CA"/>
              </w:rPr>
              <w:instrText xml:space="preserve"> SEQ CHAPTER \h \r 1</w:instrText>
            </w:r>
            <w:r w:rsidR="006A1D9A" w:rsidRPr="002A4E0C">
              <w:rPr>
                <w:b/>
                <w:lang w:val="en-US"/>
              </w:rPr>
              <w:fldChar w:fldCharType="end"/>
            </w:r>
          </w:p>
        </w:tc>
      </w:tr>
      <w:tr w:rsidR="002A4E0C" w:rsidRPr="002A4E0C" w:rsidTr="00190453">
        <w:trPr>
          <w:trHeight w:hRule="exact" w:val="576"/>
        </w:trPr>
        <w:tc>
          <w:tcPr>
            <w:tcW w:w="1368" w:type="dxa"/>
          </w:tcPr>
          <w:p w:rsidR="002A4E0C" w:rsidRPr="002A4E0C" w:rsidRDefault="002A4E0C" w:rsidP="002A4E0C">
            <w:r w:rsidRPr="002A4E0C">
              <w:t>RE:</w:t>
            </w:r>
          </w:p>
        </w:tc>
        <w:tc>
          <w:tcPr>
            <w:tcW w:w="2970" w:type="dxa"/>
          </w:tcPr>
          <w:p w:rsidR="002A4E0C" w:rsidRPr="002A4E0C" w:rsidRDefault="002A4E0C" w:rsidP="002A4E0C">
            <w:r w:rsidRPr="002A4E0C">
              <w:rPr>
                <w:lang w:val="en-US"/>
              </w:rPr>
              <w:t>Canadian Council of Christian Charities;</w:t>
            </w:r>
          </w:p>
        </w:tc>
        <w:tc>
          <w:tcPr>
            <w:tcW w:w="1170" w:type="dxa"/>
          </w:tcPr>
          <w:p w:rsidR="002A4E0C" w:rsidRPr="002A4E0C" w:rsidRDefault="002A4E0C" w:rsidP="002A4E0C"/>
        </w:tc>
        <w:tc>
          <w:tcPr>
            <w:tcW w:w="4327" w:type="dxa"/>
          </w:tcPr>
          <w:p w:rsidR="002A4E0C" w:rsidRPr="002A4E0C" w:rsidRDefault="002A4E0C" w:rsidP="002A4E0C"/>
        </w:tc>
      </w:tr>
      <w:tr w:rsidR="002A4E0C" w:rsidRPr="002A4E0C" w:rsidTr="00190453">
        <w:trPr>
          <w:trHeight w:hRule="exact" w:val="576"/>
        </w:trPr>
        <w:tc>
          <w:tcPr>
            <w:tcW w:w="1368" w:type="dxa"/>
          </w:tcPr>
          <w:p w:rsidR="002A4E0C" w:rsidRPr="002A4E0C" w:rsidRDefault="002A4E0C" w:rsidP="002A4E0C"/>
        </w:tc>
        <w:tc>
          <w:tcPr>
            <w:tcW w:w="2970" w:type="dxa"/>
          </w:tcPr>
          <w:p w:rsidR="002A4E0C" w:rsidRPr="002A4E0C" w:rsidRDefault="002A4E0C" w:rsidP="002A4E0C">
            <w:r w:rsidRPr="002A4E0C">
              <w:rPr>
                <w:lang w:val="en-US"/>
              </w:rPr>
              <w:t>Evangelical Fellowship of Canada;</w:t>
            </w:r>
          </w:p>
        </w:tc>
        <w:tc>
          <w:tcPr>
            <w:tcW w:w="1170" w:type="dxa"/>
          </w:tcPr>
          <w:p w:rsidR="002A4E0C" w:rsidRPr="002A4E0C" w:rsidRDefault="002A4E0C" w:rsidP="002A4E0C"/>
        </w:tc>
        <w:tc>
          <w:tcPr>
            <w:tcW w:w="4327" w:type="dxa"/>
          </w:tcPr>
          <w:p w:rsidR="002A4E0C" w:rsidRPr="002A4E0C" w:rsidRDefault="002A4E0C" w:rsidP="002A4E0C"/>
        </w:tc>
      </w:tr>
      <w:tr w:rsidR="002A4E0C" w:rsidRPr="002A4E0C" w:rsidTr="00190453">
        <w:trPr>
          <w:trHeight w:hRule="exact" w:val="331"/>
        </w:trPr>
        <w:tc>
          <w:tcPr>
            <w:tcW w:w="1368" w:type="dxa"/>
          </w:tcPr>
          <w:p w:rsidR="002A4E0C" w:rsidRPr="002A4E0C" w:rsidRDefault="002A4E0C" w:rsidP="002A4E0C"/>
        </w:tc>
        <w:tc>
          <w:tcPr>
            <w:tcW w:w="2970" w:type="dxa"/>
          </w:tcPr>
          <w:p w:rsidR="002A4E0C" w:rsidRPr="002A4E0C" w:rsidRDefault="002A4E0C" w:rsidP="002A4E0C">
            <w:r w:rsidRPr="002A4E0C">
              <w:rPr>
                <w:lang w:val="en-US"/>
              </w:rPr>
              <w:t>Christian Legal Fellowship</w:t>
            </w:r>
            <w:r w:rsidRPr="002A4E0C">
              <w:t>;</w:t>
            </w:r>
          </w:p>
        </w:tc>
        <w:tc>
          <w:tcPr>
            <w:tcW w:w="1170" w:type="dxa"/>
          </w:tcPr>
          <w:p w:rsidR="002A4E0C" w:rsidRPr="002A4E0C" w:rsidRDefault="002A4E0C" w:rsidP="002A4E0C"/>
        </w:tc>
        <w:tc>
          <w:tcPr>
            <w:tcW w:w="4327" w:type="dxa"/>
          </w:tcPr>
          <w:p w:rsidR="002A4E0C" w:rsidRPr="002A4E0C" w:rsidRDefault="002A4E0C" w:rsidP="002A4E0C"/>
        </w:tc>
      </w:tr>
      <w:tr w:rsidR="002A4E0C" w:rsidRPr="002A4E0C" w:rsidTr="00190453">
        <w:trPr>
          <w:trHeight w:hRule="exact" w:val="576"/>
        </w:trPr>
        <w:tc>
          <w:tcPr>
            <w:tcW w:w="1368" w:type="dxa"/>
          </w:tcPr>
          <w:p w:rsidR="002A4E0C" w:rsidRPr="002A4E0C" w:rsidRDefault="002A4E0C" w:rsidP="002A4E0C"/>
        </w:tc>
        <w:tc>
          <w:tcPr>
            <w:tcW w:w="2970" w:type="dxa"/>
          </w:tcPr>
          <w:p w:rsidR="002A4E0C" w:rsidRPr="002A4E0C" w:rsidRDefault="002A4E0C" w:rsidP="002A4E0C">
            <w:r w:rsidRPr="002A4E0C">
              <w:rPr>
                <w:lang w:val="en-US"/>
              </w:rPr>
              <w:t>World Sikh Organization of Canada</w:t>
            </w:r>
            <w:r w:rsidRPr="002A4E0C">
              <w:t>;</w:t>
            </w:r>
          </w:p>
        </w:tc>
        <w:tc>
          <w:tcPr>
            <w:tcW w:w="1170" w:type="dxa"/>
          </w:tcPr>
          <w:p w:rsidR="002A4E0C" w:rsidRPr="002A4E0C" w:rsidRDefault="002A4E0C" w:rsidP="002A4E0C"/>
        </w:tc>
        <w:tc>
          <w:tcPr>
            <w:tcW w:w="4327" w:type="dxa"/>
          </w:tcPr>
          <w:p w:rsidR="002A4E0C" w:rsidRPr="002A4E0C" w:rsidRDefault="002A4E0C" w:rsidP="002A4E0C"/>
        </w:tc>
      </w:tr>
      <w:tr w:rsidR="002A4E0C" w:rsidRPr="002A4E0C" w:rsidTr="00190453">
        <w:trPr>
          <w:trHeight w:hRule="exact" w:val="576"/>
        </w:trPr>
        <w:tc>
          <w:tcPr>
            <w:tcW w:w="1368" w:type="dxa"/>
          </w:tcPr>
          <w:p w:rsidR="002A4E0C" w:rsidRPr="002A4E0C" w:rsidRDefault="002A4E0C" w:rsidP="002A4E0C"/>
        </w:tc>
        <w:tc>
          <w:tcPr>
            <w:tcW w:w="2970" w:type="dxa"/>
          </w:tcPr>
          <w:p w:rsidR="002A4E0C" w:rsidRPr="002A4E0C" w:rsidRDefault="002A4E0C" w:rsidP="002A4E0C">
            <w:r w:rsidRPr="002A4E0C">
              <w:rPr>
                <w:lang w:val="en-US"/>
              </w:rPr>
              <w:t>Association of Christians Educators and Schools Canada</w:t>
            </w:r>
            <w:r w:rsidRPr="002A4E0C">
              <w:t>;</w:t>
            </w:r>
          </w:p>
        </w:tc>
        <w:tc>
          <w:tcPr>
            <w:tcW w:w="1170" w:type="dxa"/>
          </w:tcPr>
          <w:p w:rsidR="002A4E0C" w:rsidRPr="002A4E0C" w:rsidRDefault="002A4E0C" w:rsidP="002A4E0C"/>
        </w:tc>
        <w:tc>
          <w:tcPr>
            <w:tcW w:w="4327" w:type="dxa"/>
          </w:tcPr>
          <w:p w:rsidR="002A4E0C" w:rsidRPr="002A4E0C" w:rsidRDefault="002A4E0C" w:rsidP="002A4E0C"/>
        </w:tc>
      </w:tr>
      <w:tr w:rsidR="002A4E0C" w:rsidRPr="002A4E0C" w:rsidTr="00190453">
        <w:trPr>
          <w:trHeight w:hRule="exact" w:val="576"/>
        </w:trPr>
        <w:tc>
          <w:tcPr>
            <w:tcW w:w="1368" w:type="dxa"/>
          </w:tcPr>
          <w:p w:rsidR="002A4E0C" w:rsidRPr="002A4E0C" w:rsidRDefault="002A4E0C" w:rsidP="002A4E0C"/>
        </w:tc>
        <w:tc>
          <w:tcPr>
            <w:tcW w:w="2970" w:type="dxa"/>
          </w:tcPr>
          <w:p w:rsidR="002A4E0C" w:rsidRPr="002A4E0C" w:rsidRDefault="002A4E0C" w:rsidP="002A4E0C">
            <w:r w:rsidRPr="002A4E0C">
              <w:rPr>
                <w:lang w:val="en-US"/>
              </w:rPr>
              <w:t>Canadian Civil Liberties Association</w:t>
            </w:r>
            <w:r w:rsidRPr="002A4E0C">
              <w:t>;</w:t>
            </w:r>
          </w:p>
        </w:tc>
        <w:tc>
          <w:tcPr>
            <w:tcW w:w="1170" w:type="dxa"/>
          </w:tcPr>
          <w:p w:rsidR="002A4E0C" w:rsidRPr="002A4E0C" w:rsidRDefault="002A4E0C" w:rsidP="002A4E0C"/>
        </w:tc>
        <w:tc>
          <w:tcPr>
            <w:tcW w:w="4327" w:type="dxa"/>
          </w:tcPr>
          <w:p w:rsidR="002A4E0C" w:rsidRPr="002A4E0C" w:rsidRDefault="002A4E0C" w:rsidP="002A4E0C"/>
        </w:tc>
      </w:tr>
      <w:tr w:rsidR="002A4E0C" w:rsidRPr="004F01F8" w:rsidTr="00190453">
        <w:trPr>
          <w:trHeight w:hRule="exact" w:val="1728"/>
        </w:trPr>
        <w:tc>
          <w:tcPr>
            <w:tcW w:w="1368" w:type="dxa"/>
          </w:tcPr>
          <w:p w:rsidR="002A4E0C" w:rsidRPr="002A4E0C" w:rsidRDefault="002A4E0C" w:rsidP="002A4E0C"/>
        </w:tc>
        <w:tc>
          <w:tcPr>
            <w:tcW w:w="2970" w:type="dxa"/>
          </w:tcPr>
          <w:p w:rsidR="002A4E0C" w:rsidRPr="002A4E0C" w:rsidRDefault="002A4E0C" w:rsidP="002A4E0C">
            <w:pPr>
              <w:rPr>
                <w:lang w:val="fr-CA"/>
              </w:rPr>
            </w:pPr>
            <w:r w:rsidRPr="002A4E0C">
              <w:rPr>
                <w:lang w:val="fr-CA"/>
              </w:rPr>
              <w:t>Catholic Civil Rights League, Association des parents catholiques du Québec, Faith and Freedom Alliance and Association de la communauté copte orthodoxe du grand Montréal;</w:t>
            </w:r>
          </w:p>
        </w:tc>
        <w:tc>
          <w:tcPr>
            <w:tcW w:w="1170" w:type="dxa"/>
          </w:tcPr>
          <w:p w:rsidR="002A4E0C" w:rsidRPr="002A4E0C" w:rsidRDefault="002A4E0C" w:rsidP="002A4E0C">
            <w:pPr>
              <w:rPr>
                <w:lang w:val="fr-CA"/>
              </w:rPr>
            </w:pPr>
          </w:p>
        </w:tc>
        <w:tc>
          <w:tcPr>
            <w:tcW w:w="4327" w:type="dxa"/>
          </w:tcPr>
          <w:p w:rsidR="002A4E0C" w:rsidRPr="002A4E0C" w:rsidRDefault="002A4E0C" w:rsidP="002A4E0C">
            <w:pPr>
              <w:rPr>
                <w:lang w:val="fr-CA"/>
              </w:rPr>
            </w:pPr>
          </w:p>
        </w:tc>
      </w:tr>
      <w:tr w:rsidR="002A4E0C" w:rsidRPr="002A4E0C" w:rsidTr="00190453">
        <w:trPr>
          <w:trHeight w:hRule="exact" w:val="331"/>
        </w:trPr>
        <w:tc>
          <w:tcPr>
            <w:tcW w:w="1368" w:type="dxa"/>
          </w:tcPr>
          <w:p w:rsidR="002A4E0C" w:rsidRPr="002A4E0C" w:rsidRDefault="002A4E0C" w:rsidP="002A4E0C">
            <w:pPr>
              <w:rPr>
                <w:lang w:val="fr-CA"/>
              </w:rPr>
            </w:pPr>
          </w:p>
        </w:tc>
        <w:tc>
          <w:tcPr>
            <w:tcW w:w="2970" w:type="dxa"/>
          </w:tcPr>
          <w:p w:rsidR="002A4E0C" w:rsidRPr="002A4E0C" w:rsidRDefault="002A4E0C" w:rsidP="002A4E0C">
            <w:r w:rsidRPr="002A4E0C">
              <w:rPr>
                <w:lang w:val="en-US"/>
              </w:rPr>
              <w:t>Faith, Fealty and Creed Society;</w:t>
            </w:r>
          </w:p>
        </w:tc>
        <w:tc>
          <w:tcPr>
            <w:tcW w:w="1170" w:type="dxa"/>
          </w:tcPr>
          <w:p w:rsidR="002A4E0C" w:rsidRPr="002A4E0C" w:rsidRDefault="002A4E0C" w:rsidP="002A4E0C"/>
        </w:tc>
        <w:tc>
          <w:tcPr>
            <w:tcW w:w="4327" w:type="dxa"/>
          </w:tcPr>
          <w:p w:rsidR="002A4E0C" w:rsidRPr="002A4E0C" w:rsidRDefault="002A4E0C" w:rsidP="002A4E0C"/>
        </w:tc>
      </w:tr>
      <w:tr w:rsidR="002A4E0C" w:rsidRPr="002A4E0C" w:rsidTr="00190453">
        <w:trPr>
          <w:trHeight w:hRule="exact" w:val="576"/>
        </w:trPr>
        <w:tc>
          <w:tcPr>
            <w:tcW w:w="1368" w:type="dxa"/>
          </w:tcPr>
          <w:p w:rsidR="002A4E0C" w:rsidRPr="002A4E0C" w:rsidRDefault="002A4E0C" w:rsidP="002A4E0C"/>
        </w:tc>
        <w:tc>
          <w:tcPr>
            <w:tcW w:w="2970" w:type="dxa"/>
          </w:tcPr>
          <w:p w:rsidR="002A4E0C" w:rsidRPr="002A4E0C" w:rsidRDefault="002A4E0C" w:rsidP="002A4E0C">
            <w:r w:rsidRPr="002A4E0C">
              <w:rPr>
                <w:lang w:val="en-US"/>
              </w:rPr>
              <w:t>Home School Legal Defence Association of Canada;</w:t>
            </w:r>
          </w:p>
        </w:tc>
        <w:tc>
          <w:tcPr>
            <w:tcW w:w="1170" w:type="dxa"/>
          </w:tcPr>
          <w:p w:rsidR="002A4E0C" w:rsidRPr="002A4E0C" w:rsidRDefault="002A4E0C" w:rsidP="002A4E0C"/>
        </w:tc>
        <w:tc>
          <w:tcPr>
            <w:tcW w:w="4327" w:type="dxa"/>
          </w:tcPr>
          <w:p w:rsidR="002A4E0C" w:rsidRPr="002A4E0C" w:rsidRDefault="002A4E0C" w:rsidP="002A4E0C"/>
        </w:tc>
      </w:tr>
      <w:tr w:rsidR="002A4E0C" w:rsidRPr="002A4E0C" w:rsidTr="00190453">
        <w:trPr>
          <w:trHeight w:hRule="exact" w:val="1008"/>
        </w:trPr>
        <w:tc>
          <w:tcPr>
            <w:tcW w:w="1368" w:type="dxa"/>
          </w:tcPr>
          <w:p w:rsidR="002A4E0C" w:rsidRPr="002A4E0C" w:rsidRDefault="002A4E0C" w:rsidP="002A4E0C"/>
        </w:tc>
        <w:tc>
          <w:tcPr>
            <w:tcW w:w="2970" w:type="dxa"/>
          </w:tcPr>
          <w:p w:rsidR="002A4E0C" w:rsidRPr="002A4E0C" w:rsidRDefault="002A4E0C" w:rsidP="002A4E0C">
            <w:pPr>
              <w:rPr>
                <w:lang w:val="en-US"/>
              </w:rPr>
            </w:pPr>
            <w:r w:rsidRPr="002A4E0C">
              <w:rPr>
                <w:lang w:val="en-US"/>
              </w:rPr>
              <w:t>Seventh-day Adventist Church in Canada and Seventh-day Adventist Church - Quebec Conference;</w:t>
            </w:r>
          </w:p>
        </w:tc>
        <w:tc>
          <w:tcPr>
            <w:tcW w:w="1170" w:type="dxa"/>
          </w:tcPr>
          <w:p w:rsidR="002A4E0C" w:rsidRPr="002A4E0C" w:rsidRDefault="002A4E0C" w:rsidP="002A4E0C"/>
        </w:tc>
        <w:tc>
          <w:tcPr>
            <w:tcW w:w="4327" w:type="dxa"/>
          </w:tcPr>
          <w:p w:rsidR="002A4E0C" w:rsidRPr="002A4E0C" w:rsidRDefault="002A4E0C" w:rsidP="002A4E0C"/>
        </w:tc>
      </w:tr>
      <w:tr w:rsidR="002A4E0C" w:rsidRPr="004F01F8" w:rsidTr="00190453">
        <w:trPr>
          <w:trHeight w:hRule="exact" w:val="1008"/>
        </w:trPr>
        <w:tc>
          <w:tcPr>
            <w:tcW w:w="1368" w:type="dxa"/>
          </w:tcPr>
          <w:p w:rsidR="002A4E0C" w:rsidRPr="002A4E0C" w:rsidRDefault="002A4E0C" w:rsidP="002A4E0C"/>
        </w:tc>
        <w:tc>
          <w:tcPr>
            <w:tcW w:w="2970" w:type="dxa"/>
          </w:tcPr>
          <w:p w:rsidR="002A4E0C" w:rsidRPr="002A4E0C" w:rsidRDefault="002A4E0C" w:rsidP="002A4E0C">
            <w:pPr>
              <w:rPr>
                <w:lang w:val="fr-CA"/>
              </w:rPr>
            </w:pPr>
            <w:r w:rsidRPr="002A4E0C">
              <w:rPr>
                <w:lang w:val="fr-CA"/>
              </w:rPr>
              <w:t>Corporation Archiépiscopale Catholique Romaine de Montréal and l’Archevêque Catholique Romain de Montréal</w:t>
            </w:r>
          </w:p>
        </w:tc>
        <w:tc>
          <w:tcPr>
            <w:tcW w:w="1170" w:type="dxa"/>
          </w:tcPr>
          <w:p w:rsidR="002A4E0C" w:rsidRPr="002A4E0C" w:rsidRDefault="002A4E0C" w:rsidP="002A4E0C">
            <w:pPr>
              <w:rPr>
                <w:lang w:val="fr-CA"/>
              </w:rPr>
            </w:pPr>
          </w:p>
        </w:tc>
        <w:tc>
          <w:tcPr>
            <w:tcW w:w="4327" w:type="dxa"/>
          </w:tcPr>
          <w:p w:rsidR="002A4E0C" w:rsidRPr="002A4E0C" w:rsidRDefault="002A4E0C" w:rsidP="002A4E0C">
            <w:pPr>
              <w:rPr>
                <w:lang w:val="fr-CA"/>
              </w:rPr>
            </w:pPr>
          </w:p>
        </w:tc>
      </w:tr>
      <w:tr w:rsidR="002A4E0C" w:rsidRPr="004F01F8" w:rsidTr="00190453">
        <w:tc>
          <w:tcPr>
            <w:tcW w:w="1368" w:type="dxa"/>
          </w:tcPr>
          <w:p w:rsidR="002A4E0C" w:rsidRPr="002A4E0C" w:rsidRDefault="002A4E0C" w:rsidP="002A4E0C">
            <w:pPr>
              <w:rPr>
                <w:lang w:val="fr-CA"/>
              </w:rPr>
            </w:pPr>
          </w:p>
        </w:tc>
        <w:tc>
          <w:tcPr>
            <w:tcW w:w="2970" w:type="dxa"/>
          </w:tcPr>
          <w:p w:rsidR="002A4E0C" w:rsidRPr="002A4E0C" w:rsidRDefault="002A4E0C" w:rsidP="002A4E0C">
            <w:pPr>
              <w:rPr>
                <w:lang w:val="fr-CA"/>
              </w:rPr>
            </w:pPr>
          </w:p>
        </w:tc>
        <w:tc>
          <w:tcPr>
            <w:tcW w:w="1170" w:type="dxa"/>
          </w:tcPr>
          <w:p w:rsidR="002A4E0C" w:rsidRPr="002A4E0C" w:rsidRDefault="002A4E0C" w:rsidP="002A4E0C">
            <w:pPr>
              <w:rPr>
                <w:lang w:val="fr-CA"/>
              </w:rPr>
            </w:pPr>
          </w:p>
        </w:tc>
        <w:tc>
          <w:tcPr>
            <w:tcW w:w="4327" w:type="dxa"/>
          </w:tcPr>
          <w:p w:rsidR="002A4E0C" w:rsidRPr="002A4E0C" w:rsidRDefault="002A4E0C" w:rsidP="002A4E0C">
            <w:pPr>
              <w:rPr>
                <w:lang w:val="fr-CA"/>
              </w:rPr>
            </w:pPr>
          </w:p>
        </w:tc>
      </w:tr>
      <w:tr w:rsidR="002A4E0C" w:rsidRPr="002A4E0C" w:rsidTr="00190453">
        <w:tc>
          <w:tcPr>
            <w:tcW w:w="1368" w:type="dxa"/>
          </w:tcPr>
          <w:p w:rsidR="002A4E0C" w:rsidRPr="002A4E0C" w:rsidRDefault="002A4E0C" w:rsidP="002A4E0C">
            <w:r w:rsidRPr="002A4E0C">
              <w:t>IN / DANS :</w:t>
            </w:r>
          </w:p>
        </w:tc>
        <w:tc>
          <w:tcPr>
            <w:tcW w:w="2970" w:type="dxa"/>
          </w:tcPr>
          <w:p w:rsidR="002A4E0C" w:rsidRPr="002A4E0C" w:rsidRDefault="002A4E0C" w:rsidP="002A4E0C">
            <w:r w:rsidRPr="002A4E0C">
              <w:t>Loyola High School et al.</w:t>
            </w:r>
          </w:p>
          <w:p w:rsidR="002A4E0C" w:rsidRPr="002A4E0C" w:rsidRDefault="002A4E0C" w:rsidP="002A4E0C"/>
          <w:p w:rsidR="002A4E0C" w:rsidRPr="002A4E0C" w:rsidRDefault="002A4E0C" w:rsidP="002A4E0C">
            <w:r w:rsidRPr="002A4E0C">
              <w:tab/>
              <w:t>v. (35201)</w:t>
            </w:r>
          </w:p>
          <w:p w:rsidR="002A4E0C" w:rsidRPr="002A4E0C" w:rsidRDefault="002A4E0C" w:rsidP="002A4E0C"/>
          <w:p w:rsidR="002A4E0C" w:rsidRPr="002A4E0C" w:rsidRDefault="002A4E0C" w:rsidP="002A4E0C">
            <w:r w:rsidRPr="002A4E0C">
              <w:t>Attorney General of Quebec (Que.)</w:t>
            </w:r>
          </w:p>
        </w:tc>
        <w:tc>
          <w:tcPr>
            <w:tcW w:w="1170" w:type="dxa"/>
          </w:tcPr>
          <w:p w:rsidR="002A4E0C" w:rsidRPr="002A4E0C" w:rsidRDefault="002A4E0C" w:rsidP="002A4E0C"/>
        </w:tc>
        <w:tc>
          <w:tcPr>
            <w:tcW w:w="4327" w:type="dxa"/>
          </w:tcPr>
          <w:p w:rsidR="002A4E0C" w:rsidRPr="002A4E0C" w:rsidRDefault="002A4E0C" w:rsidP="002A4E0C"/>
        </w:tc>
      </w:tr>
    </w:tbl>
    <w:p w:rsidR="002A4E0C" w:rsidRPr="002A4E0C" w:rsidRDefault="002A4E0C" w:rsidP="002A4E0C">
      <w:pPr>
        <w:tabs>
          <w:tab w:val="left" w:pos="-1440"/>
          <w:tab w:val="left" w:pos="-720"/>
        </w:tabs>
        <w:jc w:val="both"/>
        <w:rPr>
          <w:rFonts w:eastAsia="Times New Roman" w:cs="Times New Roman"/>
          <w:sz w:val="20"/>
          <w:szCs w:val="20"/>
          <w:lang w:eastAsia="en-CA"/>
        </w:rPr>
      </w:pPr>
    </w:p>
    <w:p w:rsidR="002A4E0C" w:rsidRPr="002A4E0C" w:rsidRDefault="002A4E0C" w:rsidP="002A4E0C">
      <w:pPr>
        <w:spacing w:line="233" w:lineRule="auto"/>
        <w:jc w:val="both"/>
        <w:rPr>
          <w:rFonts w:eastAsia="Times New Roman" w:cs="Times New Roman"/>
          <w:sz w:val="20"/>
          <w:szCs w:val="20"/>
          <w:lang w:val="en-US" w:eastAsia="en-CA"/>
        </w:rPr>
      </w:pPr>
    </w:p>
    <w:p w:rsidR="002A4E0C" w:rsidRPr="002A4E0C" w:rsidRDefault="002A4E0C" w:rsidP="002A4E0C">
      <w:pPr>
        <w:spacing w:line="233" w:lineRule="auto"/>
        <w:jc w:val="both"/>
        <w:rPr>
          <w:rFonts w:eastAsia="Times New Roman" w:cs="Times New Roman"/>
          <w:b/>
          <w:bCs/>
          <w:sz w:val="20"/>
          <w:szCs w:val="20"/>
          <w:lang w:val="en-US" w:eastAsia="en-CA"/>
        </w:rPr>
      </w:pPr>
      <w:r w:rsidRPr="002A4E0C">
        <w:rPr>
          <w:rFonts w:eastAsia="Times New Roman" w:cs="Times New Roman"/>
          <w:b/>
          <w:bCs/>
          <w:sz w:val="20"/>
          <w:szCs w:val="20"/>
          <w:lang w:val="en-US" w:eastAsia="en-CA"/>
        </w:rPr>
        <w:t>FURTHER TO THE ORDER</w:t>
      </w:r>
      <w:r w:rsidRPr="002A4E0C">
        <w:rPr>
          <w:rFonts w:eastAsia="Times New Roman" w:cs="Times New Roman"/>
          <w:sz w:val="20"/>
          <w:szCs w:val="20"/>
          <w:lang w:val="en-US" w:eastAsia="en-CA"/>
        </w:rPr>
        <w:t xml:space="preserve"> dated January 16, 2014, granting leave to intervene to</w:t>
      </w:r>
      <w:r w:rsidRPr="002A4E0C">
        <w:rPr>
          <w:rFonts w:eastAsia="Times New Roman" w:cs="Times New Roman"/>
          <w:b/>
          <w:bCs/>
          <w:sz w:val="20"/>
          <w:szCs w:val="20"/>
          <w:lang w:val="en-US" w:eastAsia="en-CA"/>
        </w:rPr>
        <w:t xml:space="preserve"> </w:t>
      </w:r>
      <w:r w:rsidRPr="002A4E0C">
        <w:rPr>
          <w:rFonts w:eastAsia="Times New Roman" w:cs="Times New Roman"/>
          <w:sz w:val="20"/>
          <w:szCs w:val="20"/>
          <w:lang w:eastAsia="en-CA"/>
        </w:rPr>
        <w:t>the</w:t>
      </w:r>
      <w:r w:rsidRPr="002A4E0C">
        <w:rPr>
          <w:rFonts w:eastAsia="Times New Roman" w:cs="Times New Roman"/>
          <w:sz w:val="20"/>
          <w:szCs w:val="20"/>
          <w:lang w:val="en-US" w:eastAsia="en-CA"/>
        </w:rPr>
        <w:t xml:space="preserve"> Canadian Council of Christian Charities, the Evangelical Fellowship of Canada, the Christian Legal Fellowship, the World Sikh Organization of Canada, the Association of Christians Educators and Schools Canada, the Canadian Civil Liberties Association, the Catholic Civil Rights League, Association des parents catholiques du Québec, Faith and Freedom Alliance and Association de la communauté copte orthodoxe du grand Montréal, the Faith, Fealty and Creed Society, </w:t>
      </w:r>
      <w:r w:rsidRPr="002A4E0C">
        <w:rPr>
          <w:rFonts w:eastAsia="Times New Roman" w:cs="Times New Roman"/>
          <w:sz w:val="20"/>
          <w:szCs w:val="20"/>
          <w:lang w:val="en-US" w:eastAsia="en-CA"/>
        </w:rPr>
        <w:lastRenderedPageBreak/>
        <w:t>the Home School Legal Defence Association of Canada, the Seventh-day Adventist Church in Canada and Seventh-day Adventist Church - Quebec Conference and the Corporation Archiépiscopale Catholique Romaine de Montréal and l’Archevêque Catholique Romain de Montréal;</w:t>
      </w:r>
    </w:p>
    <w:p w:rsidR="002A4E0C" w:rsidRPr="002A4E0C" w:rsidRDefault="002A4E0C" w:rsidP="002A4E0C">
      <w:pPr>
        <w:spacing w:line="233" w:lineRule="auto"/>
        <w:jc w:val="both"/>
        <w:rPr>
          <w:rFonts w:eastAsia="Times New Roman" w:cs="Times New Roman"/>
          <w:sz w:val="20"/>
          <w:szCs w:val="20"/>
          <w:lang w:val="en-US" w:eastAsia="en-CA"/>
        </w:rPr>
      </w:pPr>
    </w:p>
    <w:p w:rsidR="002A4E0C" w:rsidRPr="002A4E0C" w:rsidRDefault="002A4E0C" w:rsidP="002A4E0C">
      <w:pPr>
        <w:spacing w:line="233" w:lineRule="auto"/>
        <w:jc w:val="both"/>
        <w:rPr>
          <w:rFonts w:eastAsia="Times New Roman" w:cs="Times New Roman"/>
          <w:b/>
          <w:bCs/>
          <w:sz w:val="20"/>
          <w:szCs w:val="20"/>
          <w:lang w:val="en-US" w:eastAsia="en-CA"/>
        </w:rPr>
      </w:pPr>
      <w:r w:rsidRPr="002A4E0C">
        <w:rPr>
          <w:rFonts w:eastAsia="Times New Roman" w:cs="Times New Roman"/>
          <w:b/>
          <w:bCs/>
          <w:sz w:val="20"/>
          <w:szCs w:val="20"/>
          <w:lang w:val="en-US" w:eastAsia="en-CA"/>
        </w:rPr>
        <w:t xml:space="preserve">IT IS HEREBY FURTHER ORDERED THAT: </w:t>
      </w:r>
    </w:p>
    <w:p w:rsidR="002A4E0C" w:rsidRPr="002A4E0C" w:rsidRDefault="002A4E0C" w:rsidP="002A4E0C">
      <w:pPr>
        <w:spacing w:line="233" w:lineRule="auto"/>
        <w:jc w:val="both"/>
        <w:rPr>
          <w:rFonts w:eastAsia="Times New Roman" w:cs="Times New Roman"/>
          <w:b/>
          <w:bCs/>
          <w:sz w:val="20"/>
          <w:szCs w:val="20"/>
          <w:lang w:val="en-US" w:eastAsia="en-CA"/>
        </w:rPr>
      </w:pPr>
    </w:p>
    <w:p w:rsidR="002A4E0C" w:rsidRPr="002A4E0C" w:rsidRDefault="002A4E0C" w:rsidP="002A4E0C">
      <w:pPr>
        <w:widowControl w:val="0"/>
        <w:numPr>
          <w:ilvl w:val="0"/>
          <w:numId w:val="7"/>
        </w:numPr>
        <w:autoSpaceDE w:val="0"/>
        <w:autoSpaceDN w:val="0"/>
        <w:adjustRightInd w:val="0"/>
        <w:spacing w:line="233" w:lineRule="auto"/>
        <w:contextualSpacing/>
        <w:jc w:val="both"/>
        <w:rPr>
          <w:rFonts w:cs="Times New Roman"/>
          <w:sz w:val="20"/>
          <w:szCs w:val="20"/>
        </w:rPr>
      </w:pPr>
      <w:r w:rsidRPr="002A4E0C">
        <w:rPr>
          <w:rFonts w:cs="Times New Roman"/>
          <w:bCs/>
          <w:sz w:val="20"/>
          <w:szCs w:val="20"/>
        </w:rPr>
        <w:t xml:space="preserve">The interveners Evangelical Fellowship of Canada, the Christian Legal Fellowship, the World Sikh Organization of Canada, the Canadian Civil Liberties Association, the Catholic Civil Rights League, </w:t>
      </w:r>
      <w:r w:rsidRPr="002A4E0C">
        <w:rPr>
          <w:rFonts w:cs="Times New Roman"/>
          <w:sz w:val="20"/>
          <w:szCs w:val="20"/>
        </w:rPr>
        <w:t xml:space="preserve">Association des parents catholiques du Québec, Faith and Freedom Alliance and Association de la communauté copte orthodoxe du grand Montréal, </w:t>
      </w:r>
      <w:r w:rsidRPr="002A4E0C">
        <w:rPr>
          <w:rFonts w:cs="Times New Roman"/>
          <w:bCs/>
          <w:sz w:val="20"/>
          <w:szCs w:val="20"/>
        </w:rPr>
        <w:t>the Seventh-Day Adventist Church in Canada and Seventh-day Adventist Church – Quebec Conference and the Corporation Archiépiscopale Catholique Romaine de Montréal</w:t>
      </w:r>
      <w:r w:rsidRPr="002A4E0C">
        <w:rPr>
          <w:rFonts w:cs="Times New Roman"/>
          <w:sz w:val="20"/>
          <w:szCs w:val="20"/>
        </w:rPr>
        <w:t xml:space="preserve"> and l’Archevêque Catholique Romain de Montréal</w:t>
      </w:r>
      <w:r w:rsidRPr="002A4E0C">
        <w:rPr>
          <w:rFonts w:cs="Times New Roman"/>
          <w:bCs/>
          <w:sz w:val="20"/>
          <w:szCs w:val="20"/>
        </w:rPr>
        <w:t xml:space="preserve"> are each granted permission to present oral argument not exceeding 10 minutes at the hearing of the appeal;</w:t>
      </w:r>
    </w:p>
    <w:p w:rsidR="002A4E0C" w:rsidRPr="002A4E0C" w:rsidRDefault="002A4E0C" w:rsidP="002A4E0C">
      <w:pPr>
        <w:spacing w:line="233" w:lineRule="auto"/>
        <w:ind w:left="720"/>
        <w:contextualSpacing/>
        <w:jc w:val="both"/>
        <w:rPr>
          <w:rFonts w:cs="Times New Roman"/>
          <w:sz w:val="20"/>
          <w:szCs w:val="20"/>
        </w:rPr>
      </w:pPr>
    </w:p>
    <w:p w:rsidR="002A4E0C" w:rsidRPr="002A4E0C" w:rsidRDefault="002A4E0C" w:rsidP="002A4E0C">
      <w:pPr>
        <w:widowControl w:val="0"/>
        <w:numPr>
          <w:ilvl w:val="0"/>
          <w:numId w:val="7"/>
        </w:numPr>
        <w:autoSpaceDE w:val="0"/>
        <w:autoSpaceDN w:val="0"/>
        <w:adjustRightInd w:val="0"/>
        <w:spacing w:line="233" w:lineRule="auto"/>
        <w:contextualSpacing/>
        <w:jc w:val="both"/>
        <w:rPr>
          <w:rFonts w:cs="Times New Roman"/>
          <w:sz w:val="20"/>
          <w:szCs w:val="20"/>
        </w:rPr>
      </w:pPr>
      <w:r w:rsidRPr="002A4E0C">
        <w:rPr>
          <w:rFonts w:cs="Times New Roman"/>
          <w:sz w:val="20"/>
          <w:szCs w:val="20"/>
        </w:rPr>
        <w:t xml:space="preserve">The factums of the Canadian Council of Christian Charities, the Association of Christians Educators and Schools Canada, the Faith, Fealty and Creed Society and the Home School Legal Defence Association of Canada will be considered without the need for oral argument. </w:t>
      </w:r>
    </w:p>
    <w:p w:rsidR="002A4E0C" w:rsidRPr="002A4E0C" w:rsidRDefault="002A4E0C" w:rsidP="002A4E0C">
      <w:pPr>
        <w:spacing w:line="230" w:lineRule="auto"/>
        <w:jc w:val="both"/>
        <w:rPr>
          <w:rFonts w:eastAsia="Times New Roman" w:cs="Times New Roman"/>
          <w:sz w:val="20"/>
          <w:szCs w:val="20"/>
          <w:lang w:val="en-US" w:eastAsia="en-CA"/>
        </w:rPr>
      </w:pPr>
    </w:p>
    <w:p w:rsidR="002A4E0C" w:rsidRPr="002A4E0C" w:rsidRDefault="002A4E0C" w:rsidP="002A4E0C">
      <w:pPr>
        <w:spacing w:line="233" w:lineRule="auto"/>
        <w:jc w:val="both"/>
        <w:rPr>
          <w:rFonts w:eastAsia="Times New Roman" w:cs="Times New Roman"/>
          <w:sz w:val="20"/>
          <w:szCs w:val="20"/>
          <w:lang w:val="en-US" w:eastAsia="en-CA"/>
        </w:rPr>
      </w:pPr>
    </w:p>
    <w:p w:rsidR="002A4E0C" w:rsidRPr="002A4E0C" w:rsidRDefault="002A4E0C" w:rsidP="002A4E0C">
      <w:pPr>
        <w:spacing w:line="233" w:lineRule="auto"/>
        <w:jc w:val="both"/>
        <w:rPr>
          <w:rFonts w:eastAsia="Times New Roman" w:cs="Times New Roman"/>
          <w:sz w:val="20"/>
          <w:szCs w:val="20"/>
          <w:lang w:val="en-US" w:eastAsia="en-CA"/>
        </w:rPr>
      </w:pPr>
    </w:p>
    <w:p w:rsidR="002A4E0C" w:rsidRPr="002A4E0C" w:rsidRDefault="002A4E0C" w:rsidP="002A4E0C">
      <w:pPr>
        <w:spacing w:line="233" w:lineRule="auto"/>
        <w:jc w:val="both"/>
        <w:rPr>
          <w:rFonts w:eastAsia="Times New Roman" w:cs="Times New Roman"/>
          <w:sz w:val="20"/>
          <w:szCs w:val="20"/>
          <w:lang w:val="fr-CA" w:eastAsia="en-CA"/>
        </w:rPr>
      </w:pPr>
      <w:r w:rsidRPr="002A4E0C">
        <w:rPr>
          <w:rFonts w:eastAsia="Times New Roman" w:cs="Times New Roman"/>
          <w:b/>
          <w:bCs/>
          <w:sz w:val="20"/>
          <w:szCs w:val="20"/>
          <w:lang w:val="fr-CA" w:eastAsia="en-CA"/>
        </w:rPr>
        <w:t xml:space="preserve">À LA SUITE DE L’ORDONNANCE </w:t>
      </w:r>
      <w:r w:rsidRPr="002A4E0C">
        <w:rPr>
          <w:rFonts w:eastAsia="Times New Roman" w:cs="Times New Roman"/>
          <w:bCs/>
          <w:sz w:val="20"/>
          <w:szCs w:val="20"/>
          <w:lang w:val="fr-CA" w:eastAsia="en-CA"/>
        </w:rPr>
        <w:t>datée du 16 janvier 2014, autorisant</w:t>
      </w:r>
      <w:r w:rsidRPr="002A4E0C">
        <w:rPr>
          <w:rFonts w:eastAsia="Times New Roman" w:cs="Times New Roman"/>
          <w:sz w:val="20"/>
          <w:szCs w:val="20"/>
          <w:lang w:val="fr-CA" w:eastAsia="en-CA"/>
        </w:rPr>
        <w:t xml:space="preserve"> le Conseil canadien des oeuvres de charité chrétiennes, l’Alliance évangélique du Canada, l’Alliance des chrétiens en droit, la World Sikh Organization of Canada, l’Association of Christians Educators and Schools Canada, l’Association canadienne des libertés civiles, la Ligue Catholique des Droits de l’Homme, l’Association des parents catholiques du Québec, la Faith and Freedom Alliance et l’Association de la communauté copte orthodoxe du grand Montréal, la Faith, Fealty and Creed Society, la Home School Legal Defence Association of Canada, l’Église adventiste du septième jour au Canada et l’Église adventiste du septième jour-fédération du Québec, la Corporation archiépiscopale catholique romaine de Montréal et l’Archevêque catholique romain de Montréal à intervenir;</w:t>
      </w:r>
    </w:p>
    <w:p w:rsidR="002A4E0C" w:rsidRPr="002A4E0C" w:rsidRDefault="002A4E0C" w:rsidP="002A4E0C">
      <w:pPr>
        <w:spacing w:line="233" w:lineRule="auto"/>
        <w:jc w:val="both"/>
        <w:rPr>
          <w:rFonts w:eastAsia="Times New Roman" w:cs="Times New Roman"/>
          <w:sz w:val="20"/>
          <w:szCs w:val="20"/>
          <w:lang w:val="fr-CA" w:eastAsia="en-CA"/>
        </w:rPr>
      </w:pPr>
    </w:p>
    <w:p w:rsidR="002A4E0C" w:rsidRPr="002A4E0C" w:rsidRDefault="002A4E0C" w:rsidP="002A4E0C">
      <w:pPr>
        <w:spacing w:line="233" w:lineRule="auto"/>
        <w:jc w:val="both"/>
        <w:rPr>
          <w:rFonts w:eastAsia="Times New Roman" w:cs="Times New Roman"/>
          <w:b/>
          <w:bCs/>
          <w:sz w:val="20"/>
          <w:szCs w:val="20"/>
          <w:lang w:val="fr-CA" w:eastAsia="en-CA"/>
        </w:rPr>
      </w:pPr>
      <w:r w:rsidRPr="002A4E0C">
        <w:rPr>
          <w:rFonts w:eastAsia="Times New Roman" w:cs="Times New Roman"/>
          <w:b/>
          <w:bCs/>
          <w:sz w:val="20"/>
          <w:szCs w:val="20"/>
          <w:lang w:val="fr-CA" w:eastAsia="en-CA"/>
        </w:rPr>
        <w:t>IL EST EN OUTRE ORDONNÉ CE QUI SUIT </w:t>
      </w:r>
      <w:r w:rsidRPr="002A4E0C">
        <w:rPr>
          <w:rFonts w:eastAsia="Times New Roman" w:cs="Times New Roman"/>
          <w:bCs/>
          <w:sz w:val="20"/>
          <w:szCs w:val="20"/>
          <w:lang w:val="fr-CA" w:eastAsia="en-CA"/>
        </w:rPr>
        <w:t>:</w:t>
      </w:r>
      <w:r w:rsidRPr="002A4E0C">
        <w:rPr>
          <w:rFonts w:eastAsia="Times New Roman" w:cs="Times New Roman"/>
          <w:b/>
          <w:bCs/>
          <w:sz w:val="20"/>
          <w:szCs w:val="20"/>
          <w:lang w:val="fr-CA" w:eastAsia="en-CA"/>
        </w:rPr>
        <w:t xml:space="preserve"> </w:t>
      </w:r>
    </w:p>
    <w:p w:rsidR="002A4E0C" w:rsidRPr="002A4E0C" w:rsidRDefault="002A4E0C" w:rsidP="002A4E0C">
      <w:pPr>
        <w:spacing w:line="233" w:lineRule="auto"/>
        <w:jc w:val="both"/>
        <w:rPr>
          <w:rFonts w:eastAsia="Times New Roman" w:cs="Times New Roman"/>
          <w:b/>
          <w:bCs/>
          <w:sz w:val="20"/>
          <w:szCs w:val="20"/>
          <w:lang w:val="fr-CA" w:eastAsia="en-CA"/>
        </w:rPr>
      </w:pPr>
    </w:p>
    <w:p w:rsidR="002A4E0C" w:rsidRPr="002A4E0C" w:rsidRDefault="002A4E0C" w:rsidP="002A4E0C">
      <w:pPr>
        <w:widowControl w:val="0"/>
        <w:numPr>
          <w:ilvl w:val="0"/>
          <w:numId w:val="8"/>
        </w:numPr>
        <w:autoSpaceDE w:val="0"/>
        <w:autoSpaceDN w:val="0"/>
        <w:adjustRightInd w:val="0"/>
        <w:spacing w:line="233" w:lineRule="auto"/>
        <w:contextualSpacing/>
        <w:jc w:val="both"/>
        <w:rPr>
          <w:rFonts w:cs="Times New Roman"/>
          <w:sz w:val="20"/>
          <w:szCs w:val="20"/>
          <w:lang w:val="fr-CA"/>
        </w:rPr>
      </w:pPr>
      <w:r w:rsidRPr="002A4E0C">
        <w:rPr>
          <w:rFonts w:cs="Times New Roman"/>
          <w:sz w:val="20"/>
          <w:szCs w:val="20"/>
          <w:lang w:val="fr-CA"/>
        </w:rPr>
        <w:t>Les intervenants l’Alliance évangélique du Canada, l’Alliance des chrétiens en droit, la World Sikh Organization of Canada, l’Association canadienne des libertés civiles, la Ligue Catholique des Droits de l’Homme, l’Association des parents catholiques du Québec, la Faith and Freedom Alliance et l’Association de la communauté copte orthodoxe du grand Montréal, l’Église adventiste du septième jour au Canada et l’Église adventiste du septième jour-fédération du Québec et la Corporation archiépiscopale catholique romaine de Montréal et l’Archevêque catholique romain de Montréal sont chacun autorisés à présenter une plaidoirie orale d’au plus 10 minutes lors de l’audition de l’appel;</w:t>
      </w:r>
    </w:p>
    <w:p w:rsidR="002A4E0C" w:rsidRPr="002A4E0C" w:rsidRDefault="002A4E0C" w:rsidP="002A4E0C">
      <w:pPr>
        <w:spacing w:line="233" w:lineRule="auto"/>
        <w:jc w:val="both"/>
        <w:rPr>
          <w:rFonts w:eastAsia="Times New Roman" w:cs="Times New Roman"/>
          <w:sz w:val="20"/>
          <w:szCs w:val="20"/>
          <w:lang w:val="fr-CA" w:eastAsia="en-CA"/>
        </w:rPr>
      </w:pPr>
    </w:p>
    <w:p w:rsidR="002A4E0C" w:rsidRPr="002A4E0C" w:rsidRDefault="002A4E0C" w:rsidP="002A4E0C">
      <w:pPr>
        <w:widowControl w:val="0"/>
        <w:numPr>
          <w:ilvl w:val="0"/>
          <w:numId w:val="8"/>
        </w:numPr>
        <w:autoSpaceDE w:val="0"/>
        <w:autoSpaceDN w:val="0"/>
        <w:adjustRightInd w:val="0"/>
        <w:spacing w:line="233" w:lineRule="auto"/>
        <w:contextualSpacing/>
        <w:jc w:val="both"/>
        <w:rPr>
          <w:rFonts w:cs="Times New Roman"/>
          <w:sz w:val="20"/>
          <w:szCs w:val="20"/>
          <w:lang w:val="fr-CA"/>
        </w:rPr>
      </w:pPr>
      <w:r w:rsidRPr="002A4E0C">
        <w:rPr>
          <w:rFonts w:cs="Times New Roman"/>
          <w:sz w:val="20"/>
          <w:szCs w:val="20"/>
          <w:lang w:val="fr-CA"/>
        </w:rPr>
        <w:t>Les mémoires du Conseil canadien des oeuvres de charité chrétiennes, de l’Association of Christians Educators and Schools Canada, de la Faith, Fealty and Creed Society et de la Home School Legal Defence Association of Canada seront examinés sans qu’il soit nécessaire que ces intervenants présentent des plaidoiries orales.</w:t>
      </w:r>
    </w:p>
    <w:p w:rsidR="002A4E0C" w:rsidRPr="002A4E0C" w:rsidRDefault="002A4E0C" w:rsidP="002A4E0C">
      <w:pPr>
        <w:spacing w:line="233" w:lineRule="auto"/>
        <w:jc w:val="both"/>
        <w:rPr>
          <w:rFonts w:eastAsia="Times New Roman" w:cs="Times New Roman"/>
          <w:sz w:val="20"/>
          <w:szCs w:val="20"/>
          <w:lang w:val="fr-CA" w:eastAsia="en-CA"/>
        </w:rPr>
      </w:pPr>
    </w:p>
    <w:p w:rsidR="002A4E0C" w:rsidRPr="002A4E0C" w:rsidRDefault="004F01F8" w:rsidP="002A4E0C">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55" style="width:2in;height:1pt" o:hrpct="0" o:hralign="center" o:hrstd="t" o:hrnoshade="t" o:hr="t" fillcolor="black [3213]" stroked="f"/>
        </w:pict>
      </w:r>
    </w:p>
    <w:p w:rsidR="002A4E0C" w:rsidRPr="002A4E0C" w:rsidRDefault="002A4E0C" w:rsidP="002A4E0C">
      <w:pPr>
        <w:tabs>
          <w:tab w:val="left" w:pos="-1440"/>
          <w:tab w:val="left" w:pos="-720"/>
        </w:tabs>
        <w:jc w:val="both"/>
        <w:rPr>
          <w:rFonts w:eastAsia="Times New Roman" w:cs="Times New Roman"/>
          <w:sz w:val="20"/>
          <w:szCs w:val="20"/>
          <w:lang w:val="fr-CA" w:eastAsia="en-CA"/>
        </w:rPr>
      </w:pPr>
    </w:p>
    <w:p w:rsidR="002A4E0C" w:rsidRPr="002A4E0C" w:rsidRDefault="002A4E0C" w:rsidP="002A4E0C">
      <w:pPr>
        <w:tabs>
          <w:tab w:val="left" w:pos="-1440"/>
          <w:tab w:val="left" w:pos="-720"/>
        </w:tabs>
        <w:jc w:val="both"/>
        <w:rPr>
          <w:rFonts w:eastAsia="Times New Roman" w:cs="Times New Roman"/>
          <w:sz w:val="20"/>
          <w:szCs w:val="20"/>
          <w:lang w:val="fr-CA" w:eastAsia="en-CA"/>
        </w:rPr>
      </w:pPr>
      <w:r w:rsidRPr="002A4E0C">
        <w:rPr>
          <w:rFonts w:eastAsia="Times New Roman" w:cs="Times New Roman"/>
          <w:sz w:val="20"/>
          <w:szCs w:val="20"/>
          <w:lang w:val="fr-CA" w:eastAsia="en-CA"/>
        </w:rPr>
        <w:t>18.03.2014</w:t>
      </w:r>
    </w:p>
    <w:p w:rsidR="002A4E0C" w:rsidRPr="002A4E0C" w:rsidRDefault="002A4E0C" w:rsidP="002A4E0C">
      <w:pPr>
        <w:tabs>
          <w:tab w:val="left" w:pos="-1440"/>
          <w:tab w:val="left" w:pos="-720"/>
        </w:tabs>
        <w:jc w:val="both"/>
        <w:rPr>
          <w:rFonts w:eastAsia="Times New Roman" w:cs="Times New Roman"/>
          <w:sz w:val="20"/>
          <w:szCs w:val="20"/>
          <w:lang w:val="fr-CA" w:eastAsia="en-CA"/>
        </w:rPr>
      </w:pPr>
    </w:p>
    <w:p w:rsidR="002A4E0C" w:rsidRPr="002A4E0C" w:rsidRDefault="002A4E0C" w:rsidP="002A4E0C">
      <w:pPr>
        <w:tabs>
          <w:tab w:val="left" w:pos="-1440"/>
          <w:tab w:val="left" w:pos="-720"/>
        </w:tabs>
        <w:jc w:val="both"/>
        <w:rPr>
          <w:rFonts w:eastAsia="Times New Roman" w:cs="Times New Roman"/>
          <w:sz w:val="20"/>
          <w:szCs w:val="20"/>
          <w:lang w:val="fr-CA" w:eastAsia="en-CA"/>
        </w:rPr>
      </w:pPr>
      <w:r w:rsidRPr="002A4E0C">
        <w:rPr>
          <w:rFonts w:eastAsia="Times New Roman" w:cs="Times New Roman"/>
          <w:sz w:val="20"/>
          <w:szCs w:val="20"/>
          <w:lang w:val="fr-CA" w:eastAsia="en-CA"/>
        </w:rPr>
        <w:t>Before / Devant :   ABELLA J. / LA JUGE ABELLA</w:t>
      </w:r>
    </w:p>
    <w:p w:rsidR="002A4E0C" w:rsidRPr="002A4E0C" w:rsidRDefault="002A4E0C" w:rsidP="002A4E0C">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2A4E0C" w:rsidRPr="004F01F8" w:rsidTr="00190453">
        <w:tc>
          <w:tcPr>
            <w:tcW w:w="4338" w:type="dxa"/>
            <w:gridSpan w:val="2"/>
          </w:tcPr>
          <w:p w:rsidR="002A4E0C" w:rsidRPr="002A4E0C" w:rsidRDefault="002A4E0C" w:rsidP="002A4E0C">
            <w:pPr>
              <w:jc w:val="both"/>
              <w:rPr>
                <w:b/>
              </w:rPr>
            </w:pPr>
            <w:r w:rsidRPr="002A4E0C">
              <w:rPr>
                <w:b/>
                <w:lang w:val="en-US"/>
              </w:rPr>
              <w:t xml:space="preserve">Order on interventions with respect to oral argument </w:t>
            </w:r>
            <w:r w:rsidR="006A1D9A" w:rsidRPr="002A4E0C">
              <w:rPr>
                <w:b/>
                <w:lang w:val="en-US"/>
              </w:rPr>
              <w:fldChar w:fldCharType="begin"/>
            </w:r>
            <w:r w:rsidRPr="002A4E0C">
              <w:rPr>
                <w:b/>
              </w:rPr>
              <w:instrText xml:space="preserve"> SEQ CHAPTER \h \r 1</w:instrText>
            </w:r>
            <w:r w:rsidR="006A1D9A" w:rsidRPr="002A4E0C">
              <w:rPr>
                <w:b/>
                <w:lang w:val="en-US"/>
              </w:rPr>
              <w:fldChar w:fldCharType="end"/>
            </w:r>
          </w:p>
        </w:tc>
        <w:tc>
          <w:tcPr>
            <w:tcW w:w="1170" w:type="dxa"/>
          </w:tcPr>
          <w:p w:rsidR="002A4E0C" w:rsidRPr="002A4E0C" w:rsidRDefault="002A4E0C" w:rsidP="002A4E0C"/>
          <w:p w:rsidR="002A4E0C" w:rsidRPr="002A4E0C" w:rsidRDefault="002A4E0C" w:rsidP="002A4E0C"/>
          <w:p w:rsidR="002A4E0C" w:rsidRPr="002A4E0C" w:rsidRDefault="002A4E0C" w:rsidP="002A4E0C"/>
        </w:tc>
        <w:tc>
          <w:tcPr>
            <w:tcW w:w="4327" w:type="dxa"/>
          </w:tcPr>
          <w:p w:rsidR="002A4E0C" w:rsidRPr="002A4E0C" w:rsidRDefault="002A4E0C" w:rsidP="002A4E0C">
            <w:pPr>
              <w:jc w:val="both"/>
              <w:rPr>
                <w:b/>
                <w:lang w:val="fr-CA"/>
              </w:rPr>
            </w:pPr>
            <w:r w:rsidRPr="002A4E0C">
              <w:rPr>
                <w:b/>
                <w:lang w:val="fr-CA"/>
              </w:rPr>
              <w:t>Ordonnance relative à la présentation d’une plaidoirie orale par les intervenants</w:t>
            </w:r>
            <w:r w:rsidR="006A1D9A" w:rsidRPr="002A4E0C">
              <w:rPr>
                <w:b/>
                <w:lang w:val="en-US"/>
              </w:rPr>
              <w:fldChar w:fldCharType="begin"/>
            </w:r>
            <w:r w:rsidRPr="002A4E0C">
              <w:rPr>
                <w:b/>
                <w:lang w:val="fr-CA"/>
              </w:rPr>
              <w:instrText xml:space="preserve"> SEQ CHAPTER \h \r 1</w:instrText>
            </w:r>
            <w:r w:rsidR="006A1D9A" w:rsidRPr="002A4E0C">
              <w:rPr>
                <w:b/>
                <w:lang w:val="en-US"/>
              </w:rPr>
              <w:fldChar w:fldCharType="end"/>
            </w:r>
          </w:p>
        </w:tc>
      </w:tr>
      <w:tr w:rsidR="002A4E0C" w:rsidRPr="002A4E0C" w:rsidTr="00190453">
        <w:trPr>
          <w:trHeight w:hRule="exact" w:val="331"/>
        </w:trPr>
        <w:tc>
          <w:tcPr>
            <w:tcW w:w="1368" w:type="dxa"/>
          </w:tcPr>
          <w:p w:rsidR="002A4E0C" w:rsidRPr="002A4E0C" w:rsidRDefault="002A4E0C" w:rsidP="002A4E0C">
            <w:r w:rsidRPr="002A4E0C">
              <w:t>RE:</w:t>
            </w:r>
          </w:p>
        </w:tc>
        <w:tc>
          <w:tcPr>
            <w:tcW w:w="2970" w:type="dxa"/>
          </w:tcPr>
          <w:p w:rsidR="002A4E0C" w:rsidRPr="002A4E0C" w:rsidRDefault="002A4E0C" w:rsidP="002A4E0C">
            <w:r w:rsidRPr="002A4E0C">
              <w:rPr>
                <w:bCs/>
                <w:lang w:val="en-US"/>
              </w:rPr>
              <w:t>A</w:t>
            </w:r>
            <w:r w:rsidRPr="002A4E0C">
              <w:t>mnesty International</w:t>
            </w:r>
            <w:r w:rsidRPr="002A4E0C">
              <w:rPr>
                <w:lang w:val="en-US"/>
              </w:rPr>
              <w:t>;</w:t>
            </w:r>
          </w:p>
        </w:tc>
        <w:tc>
          <w:tcPr>
            <w:tcW w:w="1170" w:type="dxa"/>
          </w:tcPr>
          <w:p w:rsidR="002A4E0C" w:rsidRPr="002A4E0C" w:rsidRDefault="002A4E0C" w:rsidP="002A4E0C"/>
        </w:tc>
        <w:tc>
          <w:tcPr>
            <w:tcW w:w="4327" w:type="dxa"/>
          </w:tcPr>
          <w:p w:rsidR="002A4E0C" w:rsidRPr="002A4E0C" w:rsidRDefault="002A4E0C" w:rsidP="002A4E0C"/>
        </w:tc>
      </w:tr>
      <w:tr w:rsidR="002A4E0C" w:rsidRPr="002A4E0C" w:rsidTr="00190453">
        <w:trPr>
          <w:trHeight w:hRule="exact" w:val="576"/>
        </w:trPr>
        <w:tc>
          <w:tcPr>
            <w:tcW w:w="1368" w:type="dxa"/>
          </w:tcPr>
          <w:p w:rsidR="002A4E0C" w:rsidRPr="002A4E0C" w:rsidRDefault="002A4E0C" w:rsidP="002A4E0C"/>
        </w:tc>
        <w:tc>
          <w:tcPr>
            <w:tcW w:w="2970" w:type="dxa"/>
          </w:tcPr>
          <w:p w:rsidR="002A4E0C" w:rsidRPr="002A4E0C" w:rsidRDefault="002A4E0C" w:rsidP="002A4E0C">
            <w:r w:rsidRPr="002A4E0C">
              <w:t>United Nations High Commissioner for Refugees</w:t>
            </w:r>
            <w:r w:rsidRPr="002A4E0C">
              <w:rPr>
                <w:lang w:val="en-US"/>
              </w:rPr>
              <w:t>;</w:t>
            </w:r>
          </w:p>
        </w:tc>
        <w:tc>
          <w:tcPr>
            <w:tcW w:w="1170" w:type="dxa"/>
          </w:tcPr>
          <w:p w:rsidR="002A4E0C" w:rsidRPr="002A4E0C" w:rsidRDefault="002A4E0C" w:rsidP="002A4E0C"/>
        </w:tc>
        <w:tc>
          <w:tcPr>
            <w:tcW w:w="4327" w:type="dxa"/>
          </w:tcPr>
          <w:p w:rsidR="002A4E0C" w:rsidRPr="002A4E0C" w:rsidRDefault="002A4E0C" w:rsidP="002A4E0C"/>
        </w:tc>
      </w:tr>
      <w:tr w:rsidR="002A4E0C" w:rsidRPr="002A4E0C" w:rsidTr="00190453">
        <w:trPr>
          <w:trHeight w:hRule="exact" w:val="576"/>
        </w:trPr>
        <w:tc>
          <w:tcPr>
            <w:tcW w:w="1368" w:type="dxa"/>
          </w:tcPr>
          <w:p w:rsidR="002A4E0C" w:rsidRPr="002A4E0C" w:rsidRDefault="002A4E0C" w:rsidP="002A4E0C"/>
        </w:tc>
        <w:tc>
          <w:tcPr>
            <w:tcW w:w="2970" w:type="dxa"/>
          </w:tcPr>
          <w:p w:rsidR="002A4E0C" w:rsidRPr="002A4E0C" w:rsidRDefault="002A4E0C" w:rsidP="002A4E0C">
            <w:r w:rsidRPr="002A4E0C">
              <w:t>Canadian Association of Refugee Lawyers;</w:t>
            </w:r>
          </w:p>
        </w:tc>
        <w:tc>
          <w:tcPr>
            <w:tcW w:w="1170" w:type="dxa"/>
          </w:tcPr>
          <w:p w:rsidR="002A4E0C" w:rsidRPr="002A4E0C" w:rsidRDefault="002A4E0C" w:rsidP="002A4E0C"/>
        </w:tc>
        <w:tc>
          <w:tcPr>
            <w:tcW w:w="4327" w:type="dxa"/>
          </w:tcPr>
          <w:p w:rsidR="002A4E0C" w:rsidRPr="002A4E0C" w:rsidRDefault="002A4E0C" w:rsidP="002A4E0C"/>
        </w:tc>
      </w:tr>
      <w:tr w:rsidR="002A4E0C" w:rsidRPr="002A4E0C" w:rsidTr="00190453">
        <w:trPr>
          <w:trHeight w:hRule="exact" w:val="331"/>
        </w:trPr>
        <w:tc>
          <w:tcPr>
            <w:tcW w:w="1368" w:type="dxa"/>
          </w:tcPr>
          <w:p w:rsidR="002A4E0C" w:rsidRPr="002A4E0C" w:rsidRDefault="002A4E0C" w:rsidP="002A4E0C"/>
        </w:tc>
        <w:tc>
          <w:tcPr>
            <w:tcW w:w="2970" w:type="dxa"/>
          </w:tcPr>
          <w:p w:rsidR="002A4E0C" w:rsidRPr="002A4E0C" w:rsidRDefault="002A4E0C" w:rsidP="002A4E0C">
            <w:r w:rsidRPr="002A4E0C">
              <w:t>Canadian Council for Refugees;</w:t>
            </w:r>
          </w:p>
        </w:tc>
        <w:tc>
          <w:tcPr>
            <w:tcW w:w="1170" w:type="dxa"/>
          </w:tcPr>
          <w:p w:rsidR="002A4E0C" w:rsidRPr="002A4E0C" w:rsidRDefault="002A4E0C" w:rsidP="002A4E0C"/>
        </w:tc>
        <w:tc>
          <w:tcPr>
            <w:tcW w:w="4327" w:type="dxa"/>
          </w:tcPr>
          <w:p w:rsidR="002A4E0C" w:rsidRPr="002A4E0C" w:rsidRDefault="002A4E0C" w:rsidP="002A4E0C"/>
        </w:tc>
      </w:tr>
      <w:tr w:rsidR="002A4E0C" w:rsidRPr="002A4E0C" w:rsidTr="00190453">
        <w:trPr>
          <w:trHeight w:hRule="exact" w:val="576"/>
        </w:trPr>
        <w:tc>
          <w:tcPr>
            <w:tcW w:w="1368" w:type="dxa"/>
          </w:tcPr>
          <w:p w:rsidR="002A4E0C" w:rsidRPr="002A4E0C" w:rsidRDefault="002A4E0C" w:rsidP="002A4E0C"/>
        </w:tc>
        <w:tc>
          <w:tcPr>
            <w:tcW w:w="2970" w:type="dxa"/>
          </w:tcPr>
          <w:p w:rsidR="002A4E0C" w:rsidRPr="002A4E0C" w:rsidRDefault="002A4E0C" w:rsidP="002A4E0C">
            <w:r w:rsidRPr="002A4E0C">
              <w:t>Canadian Civil Liberties Association</w:t>
            </w:r>
          </w:p>
        </w:tc>
        <w:tc>
          <w:tcPr>
            <w:tcW w:w="1170" w:type="dxa"/>
          </w:tcPr>
          <w:p w:rsidR="002A4E0C" w:rsidRPr="002A4E0C" w:rsidRDefault="002A4E0C" w:rsidP="002A4E0C"/>
        </w:tc>
        <w:tc>
          <w:tcPr>
            <w:tcW w:w="4327" w:type="dxa"/>
          </w:tcPr>
          <w:p w:rsidR="002A4E0C" w:rsidRPr="002A4E0C" w:rsidRDefault="002A4E0C" w:rsidP="002A4E0C"/>
        </w:tc>
      </w:tr>
      <w:tr w:rsidR="002A4E0C" w:rsidRPr="002A4E0C" w:rsidTr="00190453">
        <w:tc>
          <w:tcPr>
            <w:tcW w:w="1368" w:type="dxa"/>
          </w:tcPr>
          <w:p w:rsidR="002A4E0C" w:rsidRPr="002A4E0C" w:rsidRDefault="002A4E0C" w:rsidP="002A4E0C"/>
        </w:tc>
        <w:tc>
          <w:tcPr>
            <w:tcW w:w="2970" w:type="dxa"/>
          </w:tcPr>
          <w:p w:rsidR="002A4E0C" w:rsidRPr="002A4E0C" w:rsidRDefault="002A4E0C" w:rsidP="002A4E0C"/>
        </w:tc>
        <w:tc>
          <w:tcPr>
            <w:tcW w:w="1170" w:type="dxa"/>
          </w:tcPr>
          <w:p w:rsidR="002A4E0C" w:rsidRPr="002A4E0C" w:rsidRDefault="002A4E0C" w:rsidP="002A4E0C"/>
        </w:tc>
        <w:tc>
          <w:tcPr>
            <w:tcW w:w="4327" w:type="dxa"/>
          </w:tcPr>
          <w:p w:rsidR="002A4E0C" w:rsidRPr="002A4E0C" w:rsidRDefault="002A4E0C" w:rsidP="002A4E0C"/>
        </w:tc>
      </w:tr>
      <w:tr w:rsidR="002A4E0C" w:rsidRPr="002A4E0C" w:rsidTr="00190453">
        <w:tc>
          <w:tcPr>
            <w:tcW w:w="1368" w:type="dxa"/>
          </w:tcPr>
          <w:p w:rsidR="002A4E0C" w:rsidRPr="002A4E0C" w:rsidRDefault="002A4E0C" w:rsidP="002A4E0C">
            <w:r w:rsidRPr="002A4E0C">
              <w:t>IN / DANS :</w:t>
            </w:r>
          </w:p>
        </w:tc>
        <w:tc>
          <w:tcPr>
            <w:tcW w:w="2970" w:type="dxa"/>
          </w:tcPr>
          <w:p w:rsidR="002A4E0C" w:rsidRPr="002A4E0C" w:rsidRDefault="002A4E0C" w:rsidP="002A4E0C">
            <w:r w:rsidRPr="002A4E0C">
              <w:t>Luis Alberto Hernandez Febles</w:t>
            </w:r>
          </w:p>
          <w:p w:rsidR="002A4E0C" w:rsidRPr="002A4E0C" w:rsidRDefault="002A4E0C" w:rsidP="002A4E0C"/>
          <w:p w:rsidR="002A4E0C" w:rsidRPr="002A4E0C" w:rsidRDefault="002A4E0C" w:rsidP="002A4E0C">
            <w:r w:rsidRPr="002A4E0C">
              <w:tab/>
              <w:t>v. (35215)</w:t>
            </w:r>
          </w:p>
          <w:p w:rsidR="002A4E0C" w:rsidRPr="002A4E0C" w:rsidRDefault="002A4E0C" w:rsidP="002A4E0C"/>
          <w:p w:rsidR="002A4E0C" w:rsidRPr="002A4E0C" w:rsidRDefault="002A4E0C" w:rsidP="002A4E0C">
            <w:r w:rsidRPr="002A4E0C">
              <w:t>Minister of Citizenship and Immigration (F.C.)</w:t>
            </w:r>
          </w:p>
        </w:tc>
        <w:tc>
          <w:tcPr>
            <w:tcW w:w="1170" w:type="dxa"/>
          </w:tcPr>
          <w:p w:rsidR="002A4E0C" w:rsidRPr="002A4E0C" w:rsidRDefault="002A4E0C" w:rsidP="002A4E0C"/>
        </w:tc>
        <w:tc>
          <w:tcPr>
            <w:tcW w:w="4327" w:type="dxa"/>
          </w:tcPr>
          <w:p w:rsidR="002A4E0C" w:rsidRPr="002A4E0C" w:rsidRDefault="002A4E0C" w:rsidP="002A4E0C"/>
        </w:tc>
      </w:tr>
    </w:tbl>
    <w:p w:rsidR="002A4E0C" w:rsidRPr="002A4E0C" w:rsidRDefault="002A4E0C" w:rsidP="002A4E0C">
      <w:pPr>
        <w:tabs>
          <w:tab w:val="left" w:pos="-1440"/>
          <w:tab w:val="left" w:pos="-720"/>
        </w:tabs>
        <w:jc w:val="both"/>
        <w:rPr>
          <w:rFonts w:eastAsia="Times New Roman" w:cs="Times New Roman"/>
          <w:sz w:val="20"/>
          <w:szCs w:val="20"/>
          <w:lang w:eastAsia="en-CA"/>
        </w:rPr>
      </w:pPr>
    </w:p>
    <w:p w:rsidR="002A4E0C" w:rsidRPr="002A4E0C" w:rsidRDefault="002A4E0C" w:rsidP="002A4E0C">
      <w:pPr>
        <w:spacing w:line="233" w:lineRule="auto"/>
        <w:jc w:val="both"/>
        <w:rPr>
          <w:rFonts w:eastAsia="Times New Roman" w:cs="Times New Roman"/>
          <w:b/>
          <w:bCs/>
          <w:sz w:val="20"/>
          <w:szCs w:val="20"/>
          <w:lang w:eastAsia="en-CA"/>
        </w:rPr>
      </w:pPr>
      <w:r w:rsidRPr="002A4E0C">
        <w:rPr>
          <w:rFonts w:eastAsia="Times New Roman" w:cs="Times New Roman"/>
          <w:b/>
          <w:bCs/>
          <w:sz w:val="20"/>
          <w:szCs w:val="20"/>
          <w:lang w:eastAsia="en-CA"/>
        </w:rPr>
        <w:t>FURTHER TO THE ORDER</w:t>
      </w:r>
      <w:r w:rsidRPr="002A4E0C">
        <w:rPr>
          <w:rFonts w:eastAsia="Times New Roman" w:cs="Times New Roman"/>
          <w:sz w:val="20"/>
          <w:szCs w:val="20"/>
          <w:lang w:eastAsia="en-CA"/>
        </w:rPr>
        <w:t xml:space="preserve"> dated January 29, 2014, granting leave to intervene to</w:t>
      </w:r>
      <w:r w:rsidRPr="002A4E0C">
        <w:rPr>
          <w:rFonts w:eastAsia="Times New Roman" w:cs="Times New Roman"/>
          <w:b/>
          <w:bCs/>
          <w:sz w:val="20"/>
          <w:szCs w:val="20"/>
          <w:lang w:eastAsia="en-CA"/>
        </w:rPr>
        <w:t xml:space="preserve"> </w:t>
      </w:r>
      <w:r w:rsidRPr="002A4E0C">
        <w:rPr>
          <w:rFonts w:eastAsia="Times New Roman" w:cs="Times New Roman"/>
          <w:bCs/>
          <w:sz w:val="20"/>
          <w:szCs w:val="20"/>
          <w:lang w:eastAsia="en-CA"/>
        </w:rPr>
        <w:t>A</w:t>
      </w:r>
      <w:r w:rsidRPr="002A4E0C">
        <w:rPr>
          <w:rFonts w:eastAsia="Times New Roman" w:cs="Times New Roman"/>
          <w:sz w:val="20"/>
          <w:szCs w:val="20"/>
          <w:lang w:eastAsia="en-CA"/>
        </w:rPr>
        <w:t>mnisty International, the United Nations High Commissioner for Refugees, the Canadian Association of Refugee Lawyers, the Canadian Council for Refugees and the Canadian Civil Liberties Association;</w:t>
      </w:r>
    </w:p>
    <w:p w:rsidR="002A4E0C" w:rsidRPr="002A4E0C" w:rsidRDefault="002A4E0C" w:rsidP="002A4E0C">
      <w:pPr>
        <w:spacing w:line="233" w:lineRule="auto"/>
        <w:jc w:val="both"/>
        <w:rPr>
          <w:rFonts w:eastAsia="Times New Roman" w:cs="Times New Roman"/>
          <w:sz w:val="20"/>
          <w:szCs w:val="20"/>
          <w:lang w:eastAsia="en-CA"/>
        </w:rPr>
      </w:pPr>
    </w:p>
    <w:p w:rsidR="002A4E0C" w:rsidRPr="002A4E0C" w:rsidRDefault="002A4E0C" w:rsidP="002A4E0C">
      <w:pPr>
        <w:spacing w:line="230" w:lineRule="auto"/>
        <w:jc w:val="both"/>
        <w:rPr>
          <w:rFonts w:eastAsia="Times New Roman" w:cs="Times New Roman"/>
          <w:sz w:val="20"/>
          <w:szCs w:val="20"/>
          <w:lang w:eastAsia="en-CA"/>
        </w:rPr>
      </w:pPr>
      <w:r w:rsidRPr="002A4E0C">
        <w:rPr>
          <w:rFonts w:eastAsia="Times New Roman" w:cs="Times New Roman"/>
          <w:b/>
          <w:bCs/>
          <w:sz w:val="20"/>
          <w:szCs w:val="20"/>
          <w:lang w:eastAsia="en-CA"/>
        </w:rPr>
        <w:t xml:space="preserve">IT IS HEREBY FURTHER ORDERED THAT: </w:t>
      </w:r>
      <w:r w:rsidRPr="002A4E0C">
        <w:rPr>
          <w:rFonts w:eastAsia="Times New Roman" w:cs="Times New Roman"/>
          <w:sz w:val="20"/>
          <w:szCs w:val="20"/>
          <w:lang w:eastAsia="en-CA"/>
        </w:rPr>
        <w:t>the said interveners are each granted permission to present oral argument not exceeding ten (10) minutes at the hearing of the appeal.</w:t>
      </w:r>
    </w:p>
    <w:p w:rsidR="002A4E0C" w:rsidRPr="002A4E0C" w:rsidRDefault="002A4E0C" w:rsidP="002A4E0C">
      <w:pPr>
        <w:spacing w:line="233" w:lineRule="auto"/>
        <w:jc w:val="both"/>
        <w:rPr>
          <w:rFonts w:eastAsia="Times New Roman" w:cs="Times New Roman"/>
          <w:sz w:val="20"/>
          <w:szCs w:val="20"/>
          <w:lang w:val="en-US" w:eastAsia="en-CA"/>
        </w:rPr>
      </w:pPr>
    </w:p>
    <w:p w:rsidR="002A4E0C" w:rsidRPr="002A4E0C" w:rsidRDefault="002A4E0C" w:rsidP="002A4E0C">
      <w:pPr>
        <w:spacing w:line="233" w:lineRule="auto"/>
        <w:jc w:val="both"/>
        <w:rPr>
          <w:rFonts w:eastAsia="Times New Roman" w:cs="Times New Roman"/>
          <w:sz w:val="20"/>
          <w:szCs w:val="20"/>
          <w:lang w:val="en-US" w:eastAsia="en-CA"/>
        </w:rPr>
      </w:pPr>
    </w:p>
    <w:p w:rsidR="002A4E0C" w:rsidRPr="002A4E0C" w:rsidRDefault="002A4E0C" w:rsidP="002A4E0C">
      <w:pPr>
        <w:spacing w:line="233" w:lineRule="auto"/>
        <w:jc w:val="both"/>
        <w:rPr>
          <w:rFonts w:eastAsia="Times New Roman" w:cs="Times New Roman"/>
          <w:sz w:val="20"/>
          <w:szCs w:val="20"/>
          <w:lang w:val="en-US" w:eastAsia="en-CA"/>
        </w:rPr>
      </w:pPr>
    </w:p>
    <w:p w:rsidR="002A4E0C" w:rsidRPr="002A4E0C" w:rsidRDefault="002A4E0C" w:rsidP="002A4E0C">
      <w:pPr>
        <w:spacing w:line="233" w:lineRule="auto"/>
        <w:jc w:val="both"/>
        <w:rPr>
          <w:rFonts w:eastAsia="Times New Roman" w:cs="Times New Roman"/>
          <w:sz w:val="20"/>
          <w:szCs w:val="20"/>
          <w:lang w:val="fr-CA" w:eastAsia="en-CA"/>
        </w:rPr>
      </w:pPr>
      <w:r w:rsidRPr="002A4E0C">
        <w:rPr>
          <w:rFonts w:eastAsia="Times New Roman" w:cs="Times New Roman"/>
          <w:b/>
          <w:sz w:val="20"/>
          <w:szCs w:val="20"/>
          <w:lang w:val="fr-CA" w:eastAsia="en-CA"/>
        </w:rPr>
        <w:t xml:space="preserve">À LA SUITE DE L’ORDONNANCE </w:t>
      </w:r>
      <w:r w:rsidRPr="002A4E0C">
        <w:rPr>
          <w:rFonts w:eastAsia="Times New Roman" w:cs="Times New Roman"/>
          <w:sz w:val="20"/>
          <w:szCs w:val="20"/>
          <w:lang w:val="fr-CA" w:eastAsia="en-CA"/>
        </w:rPr>
        <w:t xml:space="preserve">datée du 29 janvier 2014, accordant l’autorisation d’intervenir à </w:t>
      </w:r>
      <w:r w:rsidRPr="002A4E0C">
        <w:rPr>
          <w:rFonts w:eastAsia="Times New Roman" w:cs="Times New Roman"/>
          <w:bCs/>
          <w:sz w:val="20"/>
          <w:szCs w:val="20"/>
          <w:lang w:val="fr-CA" w:eastAsia="en-CA"/>
        </w:rPr>
        <w:t>A</w:t>
      </w:r>
      <w:r w:rsidRPr="002A4E0C">
        <w:rPr>
          <w:rFonts w:eastAsia="Times New Roman" w:cs="Times New Roman"/>
          <w:sz w:val="20"/>
          <w:szCs w:val="20"/>
          <w:lang w:val="fr-CA" w:eastAsia="en-CA"/>
        </w:rPr>
        <w:t xml:space="preserve">mnistie Internationale, au Haut Commissariat des Nations unies pour les réfugiés, à l’Association canadienne des avocats et avocates en droit des réfugiés, au Conseil canadien pour les réfugiés et à l’Association canadienne des libertés civiles; </w:t>
      </w:r>
    </w:p>
    <w:p w:rsidR="002A4E0C" w:rsidRPr="002A4E0C" w:rsidRDefault="002A4E0C" w:rsidP="002A4E0C">
      <w:pPr>
        <w:spacing w:line="233" w:lineRule="auto"/>
        <w:jc w:val="both"/>
        <w:rPr>
          <w:rFonts w:eastAsia="Times New Roman" w:cs="Times New Roman"/>
          <w:sz w:val="20"/>
          <w:szCs w:val="20"/>
          <w:lang w:val="fr-CA" w:eastAsia="en-CA"/>
        </w:rPr>
      </w:pPr>
    </w:p>
    <w:p w:rsidR="002A4E0C" w:rsidRPr="002A4E0C" w:rsidRDefault="002A4E0C" w:rsidP="002A4E0C">
      <w:pPr>
        <w:spacing w:line="233" w:lineRule="auto"/>
        <w:jc w:val="both"/>
        <w:rPr>
          <w:rFonts w:eastAsia="Times New Roman" w:cs="Times New Roman"/>
          <w:sz w:val="20"/>
          <w:szCs w:val="20"/>
          <w:lang w:val="fr-CA" w:eastAsia="en-CA"/>
        </w:rPr>
      </w:pPr>
      <w:r w:rsidRPr="002A4E0C">
        <w:rPr>
          <w:rFonts w:eastAsia="Times New Roman" w:cs="Times New Roman"/>
          <w:b/>
          <w:sz w:val="20"/>
          <w:szCs w:val="20"/>
          <w:lang w:val="fr-CA" w:eastAsia="en-CA"/>
        </w:rPr>
        <w:t>IL EST EN OUTRE ORDONNÉ QUE</w:t>
      </w:r>
      <w:r w:rsidRPr="002A4E0C">
        <w:rPr>
          <w:rFonts w:eastAsia="Times New Roman" w:cs="Times New Roman"/>
          <w:sz w:val="20"/>
          <w:szCs w:val="20"/>
          <w:lang w:val="fr-CA" w:eastAsia="en-CA"/>
        </w:rPr>
        <w:t xml:space="preserve"> chacun des intervenants pourra présenter une plaidoirie orale d’au plus dix (10) minutes lors de l’audition de l’appel.</w:t>
      </w:r>
    </w:p>
    <w:p w:rsidR="002A4E0C" w:rsidRPr="002A4E0C" w:rsidRDefault="002A4E0C" w:rsidP="002A4E0C">
      <w:pPr>
        <w:spacing w:line="233" w:lineRule="auto"/>
        <w:jc w:val="both"/>
        <w:rPr>
          <w:rFonts w:eastAsia="Times New Roman" w:cs="Times New Roman"/>
          <w:sz w:val="20"/>
          <w:szCs w:val="20"/>
          <w:lang w:val="fr-CA" w:eastAsia="en-CA"/>
        </w:rPr>
      </w:pPr>
    </w:p>
    <w:p w:rsidR="002A4E0C" w:rsidRPr="002A4E0C" w:rsidRDefault="004F01F8" w:rsidP="002A4E0C">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56" style="width:2in;height:1pt" o:hrpct="0" o:hralign="center" o:hrstd="t" o:hrnoshade="t" o:hr="t" fillcolor="black [3213]" stroked="f"/>
        </w:pict>
      </w:r>
    </w:p>
    <w:p w:rsidR="002A4E0C" w:rsidRPr="002A4E0C" w:rsidRDefault="002A4E0C" w:rsidP="002A4E0C">
      <w:pPr>
        <w:tabs>
          <w:tab w:val="left" w:pos="-1440"/>
          <w:tab w:val="left" w:pos="-720"/>
        </w:tabs>
        <w:jc w:val="both"/>
        <w:rPr>
          <w:rFonts w:eastAsia="Times New Roman" w:cs="Times New Roman"/>
          <w:sz w:val="20"/>
          <w:szCs w:val="20"/>
          <w:lang w:val="fr-CA" w:eastAsia="en-CA"/>
        </w:rPr>
      </w:pPr>
    </w:p>
    <w:p w:rsidR="002A4E0C" w:rsidRPr="002A4E0C" w:rsidRDefault="002A4E0C" w:rsidP="002A4E0C">
      <w:pPr>
        <w:tabs>
          <w:tab w:val="left" w:pos="-1440"/>
          <w:tab w:val="left" w:pos="-720"/>
        </w:tabs>
        <w:jc w:val="both"/>
        <w:rPr>
          <w:rFonts w:eastAsia="Times New Roman" w:cs="Times New Roman"/>
          <w:sz w:val="20"/>
          <w:szCs w:val="20"/>
          <w:lang w:eastAsia="en-CA"/>
        </w:rPr>
      </w:pPr>
      <w:r w:rsidRPr="002A4E0C">
        <w:rPr>
          <w:rFonts w:eastAsia="Times New Roman" w:cs="Times New Roman"/>
          <w:sz w:val="20"/>
          <w:szCs w:val="20"/>
          <w:lang w:eastAsia="en-CA"/>
        </w:rPr>
        <w:t>19.03.2014</w:t>
      </w:r>
    </w:p>
    <w:p w:rsidR="002A4E0C" w:rsidRPr="002A4E0C" w:rsidRDefault="002A4E0C" w:rsidP="002A4E0C">
      <w:pPr>
        <w:tabs>
          <w:tab w:val="left" w:pos="-1440"/>
          <w:tab w:val="left" w:pos="-720"/>
        </w:tabs>
        <w:jc w:val="both"/>
        <w:rPr>
          <w:rFonts w:eastAsia="Times New Roman" w:cs="Times New Roman"/>
          <w:sz w:val="20"/>
          <w:szCs w:val="20"/>
          <w:lang w:eastAsia="en-CA"/>
        </w:rPr>
      </w:pPr>
    </w:p>
    <w:p w:rsidR="002A4E0C" w:rsidRPr="002A4E0C" w:rsidRDefault="002A4E0C" w:rsidP="002A4E0C">
      <w:pPr>
        <w:jc w:val="both"/>
        <w:rPr>
          <w:rFonts w:eastAsia="Times New Roman" w:cs="Times New Roman"/>
          <w:sz w:val="20"/>
          <w:szCs w:val="20"/>
          <w:lang w:val="fr-CA" w:eastAsia="en-CA"/>
        </w:rPr>
      </w:pPr>
      <w:r w:rsidRPr="002A4E0C">
        <w:rPr>
          <w:rFonts w:eastAsia="Times New Roman" w:cs="Times New Roman"/>
          <w:sz w:val="20"/>
          <w:szCs w:val="20"/>
          <w:lang w:val="fr-CA" w:eastAsia="en-CA"/>
        </w:rPr>
        <w:t>Before / Devant:   THE REGISTRAR / LE REGISTRAIRE</w:t>
      </w:r>
    </w:p>
    <w:p w:rsidR="002A4E0C" w:rsidRPr="002A4E0C" w:rsidRDefault="002A4E0C" w:rsidP="002A4E0C">
      <w:pPr>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2A4E0C" w:rsidRPr="004F01F8" w:rsidTr="00190453">
        <w:trPr>
          <w:trHeight w:val="151"/>
        </w:trPr>
        <w:tc>
          <w:tcPr>
            <w:tcW w:w="4338" w:type="dxa"/>
          </w:tcPr>
          <w:p w:rsidR="002A4E0C" w:rsidRPr="002A4E0C" w:rsidRDefault="006A1D9A" w:rsidP="002A4E0C">
            <w:pPr>
              <w:jc w:val="both"/>
              <w:rPr>
                <w:lang w:val="en-US"/>
              </w:rPr>
            </w:pPr>
            <w:r w:rsidRPr="002A4E0C">
              <w:rPr>
                <w:lang w:val="en-US"/>
              </w:rPr>
              <w:fldChar w:fldCharType="begin"/>
            </w:r>
            <w:r w:rsidR="002A4E0C" w:rsidRPr="002A4E0C">
              <w:rPr>
                <w:lang w:val="en-US"/>
              </w:rPr>
              <w:instrText xml:space="preserve"> SEQ CHAPTER \h \r 1</w:instrText>
            </w:r>
            <w:r w:rsidRPr="002A4E0C">
              <w:rPr>
                <w:lang w:val="en-US"/>
              </w:rPr>
              <w:fldChar w:fldCharType="end"/>
            </w:r>
            <w:r w:rsidR="002A4E0C" w:rsidRPr="002A4E0C">
              <w:rPr>
                <w:b/>
                <w:bCs/>
                <w:lang w:val="en-US"/>
              </w:rPr>
              <w:t xml:space="preserve">Motion to extend the time </w:t>
            </w:r>
          </w:p>
        </w:tc>
        <w:tc>
          <w:tcPr>
            <w:tcW w:w="1170" w:type="dxa"/>
          </w:tcPr>
          <w:p w:rsidR="002A4E0C" w:rsidRPr="002A4E0C" w:rsidRDefault="002A4E0C" w:rsidP="002A4E0C">
            <w:pPr>
              <w:jc w:val="both"/>
            </w:pPr>
          </w:p>
          <w:p w:rsidR="002A4E0C" w:rsidRPr="002A4E0C" w:rsidRDefault="002A4E0C" w:rsidP="002A4E0C">
            <w:pPr>
              <w:jc w:val="both"/>
            </w:pPr>
          </w:p>
        </w:tc>
        <w:tc>
          <w:tcPr>
            <w:tcW w:w="4327" w:type="dxa"/>
          </w:tcPr>
          <w:p w:rsidR="002A4E0C" w:rsidRPr="002A4E0C" w:rsidRDefault="006A1D9A" w:rsidP="002A4E0C">
            <w:pPr>
              <w:jc w:val="both"/>
              <w:rPr>
                <w:b/>
                <w:lang w:val="fr-CA"/>
              </w:rPr>
            </w:pPr>
            <w:r w:rsidRPr="002A4E0C">
              <w:rPr>
                <w:lang w:val="en-US"/>
              </w:rPr>
              <w:fldChar w:fldCharType="begin"/>
            </w:r>
            <w:r w:rsidR="002A4E0C" w:rsidRPr="002A4E0C">
              <w:rPr>
                <w:lang w:val="fr-CA"/>
              </w:rPr>
              <w:instrText xml:space="preserve"> SEQ CHAPTER \h \r 1</w:instrText>
            </w:r>
            <w:r w:rsidRPr="002A4E0C">
              <w:rPr>
                <w:lang w:val="en-US"/>
              </w:rPr>
              <w:fldChar w:fldCharType="end"/>
            </w:r>
            <w:r w:rsidR="002A4E0C" w:rsidRPr="002A4E0C">
              <w:rPr>
                <w:b/>
                <w:bCs/>
                <w:lang w:val="fr-CA"/>
              </w:rPr>
              <w:t xml:space="preserve">Requête en prorogation de délai </w:t>
            </w:r>
            <w:r w:rsidRPr="002A4E0C">
              <w:rPr>
                <w:b/>
                <w:lang w:val="en-US"/>
              </w:rPr>
              <w:fldChar w:fldCharType="begin"/>
            </w:r>
            <w:r w:rsidR="002A4E0C" w:rsidRPr="002A4E0C">
              <w:rPr>
                <w:b/>
                <w:lang w:val="fr-CA"/>
              </w:rPr>
              <w:instrText xml:space="preserve"> SEQ CHAPTER \h \r 1</w:instrText>
            </w:r>
            <w:r w:rsidRPr="002A4E0C">
              <w:rPr>
                <w:b/>
                <w:lang w:val="en-US"/>
              </w:rPr>
              <w:fldChar w:fldCharType="end"/>
            </w:r>
          </w:p>
        </w:tc>
      </w:tr>
      <w:tr w:rsidR="002A4E0C" w:rsidRPr="004F01F8" w:rsidTr="00190453">
        <w:trPr>
          <w:trHeight w:val="150"/>
        </w:trPr>
        <w:tc>
          <w:tcPr>
            <w:tcW w:w="4338" w:type="dxa"/>
          </w:tcPr>
          <w:p w:rsidR="002A4E0C" w:rsidRPr="002A4E0C" w:rsidRDefault="002A4E0C" w:rsidP="002A4E0C">
            <w:pPr>
              <w:tabs>
                <w:tab w:val="left" w:pos="-1440"/>
                <w:tab w:val="left" w:pos="-720"/>
              </w:tabs>
              <w:jc w:val="both"/>
              <w:rPr>
                <w:lang w:val="fr-CA"/>
              </w:rPr>
            </w:pPr>
            <w:r w:rsidRPr="002A4E0C">
              <w:rPr>
                <w:lang w:val="fr-CA"/>
              </w:rPr>
              <w:t>Robert Hryniak</w:t>
            </w:r>
          </w:p>
          <w:p w:rsidR="002A4E0C" w:rsidRPr="002A4E0C" w:rsidRDefault="002A4E0C" w:rsidP="002A4E0C">
            <w:pPr>
              <w:tabs>
                <w:tab w:val="left" w:pos="-1440"/>
                <w:tab w:val="left" w:pos="-720"/>
              </w:tabs>
              <w:jc w:val="both"/>
              <w:rPr>
                <w:lang w:val="fr-CA"/>
              </w:rPr>
            </w:pPr>
          </w:p>
          <w:p w:rsidR="002A4E0C" w:rsidRPr="002A4E0C" w:rsidRDefault="002A4E0C" w:rsidP="002A4E0C">
            <w:pPr>
              <w:tabs>
                <w:tab w:val="left" w:pos="-1440"/>
                <w:tab w:val="left" w:pos="-720"/>
              </w:tabs>
              <w:jc w:val="both"/>
              <w:rPr>
                <w:lang w:val="fr-CA"/>
              </w:rPr>
            </w:pPr>
            <w:r w:rsidRPr="002A4E0C">
              <w:rPr>
                <w:lang w:val="fr-CA"/>
              </w:rPr>
              <w:tab/>
              <w:t>v. (34641)</w:t>
            </w:r>
          </w:p>
          <w:p w:rsidR="002A4E0C" w:rsidRPr="002A4E0C" w:rsidRDefault="002A4E0C" w:rsidP="002A4E0C">
            <w:pPr>
              <w:tabs>
                <w:tab w:val="left" w:pos="-1440"/>
                <w:tab w:val="left" w:pos="-720"/>
              </w:tabs>
              <w:jc w:val="both"/>
              <w:rPr>
                <w:lang w:val="fr-CA"/>
              </w:rPr>
            </w:pPr>
          </w:p>
          <w:p w:rsidR="002A4E0C" w:rsidRPr="002A4E0C" w:rsidRDefault="002A4E0C" w:rsidP="002A4E0C">
            <w:pPr>
              <w:tabs>
                <w:tab w:val="left" w:pos="-1440"/>
                <w:tab w:val="left" w:pos="-720"/>
              </w:tabs>
              <w:jc w:val="both"/>
              <w:rPr>
                <w:lang w:val="fr-CA"/>
              </w:rPr>
            </w:pPr>
            <w:r w:rsidRPr="002A4E0C">
              <w:rPr>
                <w:lang w:val="fr-CA"/>
              </w:rPr>
              <w:t>Fred Mauldin et al. (Ont.)</w:t>
            </w:r>
          </w:p>
        </w:tc>
        <w:tc>
          <w:tcPr>
            <w:tcW w:w="1170" w:type="dxa"/>
          </w:tcPr>
          <w:p w:rsidR="002A4E0C" w:rsidRPr="002A4E0C" w:rsidRDefault="002A4E0C" w:rsidP="002A4E0C">
            <w:pPr>
              <w:jc w:val="both"/>
              <w:rPr>
                <w:lang w:val="fr-CA"/>
              </w:rPr>
            </w:pPr>
          </w:p>
        </w:tc>
        <w:tc>
          <w:tcPr>
            <w:tcW w:w="4327" w:type="dxa"/>
          </w:tcPr>
          <w:p w:rsidR="002A4E0C" w:rsidRPr="002A4E0C" w:rsidRDefault="002A4E0C" w:rsidP="002A4E0C">
            <w:pPr>
              <w:jc w:val="both"/>
              <w:rPr>
                <w:lang w:val="fr-CA"/>
              </w:rPr>
            </w:pPr>
          </w:p>
        </w:tc>
      </w:tr>
    </w:tbl>
    <w:p w:rsidR="002A4E0C" w:rsidRPr="002A4E0C" w:rsidRDefault="002A4E0C" w:rsidP="002A4E0C">
      <w:pPr>
        <w:tabs>
          <w:tab w:val="left" w:pos="-1440"/>
          <w:tab w:val="left" w:pos="-720"/>
        </w:tabs>
        <w:jc w:val="both"/>
        <w:rPr>
          <w:rFonts w:eastAsia="Times New Roman" w:cs="Times New Roman"/>
          <w:sz w:val="20"/>
          <w:szCs w:val="20"/>
          <w:lang w:val="fr-CA" w:eastAsia="en-CA"/>
        </w:rPr>
      </w:pPr>
    </w:p>
    <w:p w:rsidR="002A4E0C" w:rsidRPr="002A4E0C" w:rsidRDefault="002A4E0C" w:rsidP="002A4E0C">
      <w:pPr>
        <w:tabs>
          <w:tab w:val="left" w:pos="-1440"/>
          <w:tab w:val="left" w:pos="-720"/>
        </w:tabs>
        <w:jc w:val="both"/>
        <w:rPr>
          <w:rFonts w:eastAsia="Times New Roman" w:cs="Times New Roman"/>
          <w:sz w:val="20"/>
          <w:szCs w:val="20"/>
          <w:lang w:eastAsia="en-CA"/>
        </w:rPr>
      </w:pPr>
      <w:r w:rsidRPr="002A4E0C">
        <w:rPr>
          <w:rFonts w:eastAsia="Times New Roman" w:cs="Times New Roman"/>
          <w:b/>
          <w:sz w:val="20"/>
          <w:szCs w:val="20"/>
          <w:lang w:eastAsia="en-CA"/>
        </w:rPr>
        <w:t>GRANTED / ACCORDÉE</w:t>
      </w:r>
    </w:p>
    <w:p w:rsidR="002A4E0C" w:rsidRPr="002A4E0C" w:rsidRDefault="002A4E0C" w:rsidP="002A4E0C">
      <w:pPr>
        <w:tabs>
          <w:tab w:val="left" w:pos="-1440"/>
          <w:tab w:val="left" w:pos="-720"/>
        </w:tabs>
        <w:jc w:val="both"/>
        <w:rPr>
          <w:rFonts w:eastAsia="Times New Roman" w:cs="Times New Roman"/>
          <w:sz w:val="20"/>
          <w:szCs w:val="20"/>
          <w:lang w:eastAsia="en-CA"/>
        </w:rPr>
      </w:pPr>
    </w:p>
    <w:p w:rsidR="002A4E0C" w:rsidRPr="002A4E0C" w:rsidRDefault="002A4E0C" w:rsidP="002A4E0C">
      <w:pPr>
        <w:spacing w:line="233" w:lineRule="auto"/>
        <w:jc w:val="both"/>
        <w:rPr>
          <w:rFonts w:eastAsia="Times New Roman" w:cs="Times New Roman"/>
          <w:sz w:val="20"/>
          <w:szCs w:val="20"/>
          <w:lang w:eastAsia="en-CA"/>
        </w:rPr>
      </w:pPr>
      <w:r w:rsidRPr="002A4E0C">
        <w:rPr>
          <w:rFonts w:eastAsia="Times New Roman" w:cs="Times New Roman"/>
          <w:b/>
          <w:sz w:val="20"/>
          <w:szCs w:val="20"/>
          <w:lang w:eastAsia="en-CA"/>
        </w:rPr>
        <w:t xml:space="preserve">UPON APPLICATION </w:t>
      </w:r>
      <w:r w:rsidRPr="002A4E0C">
        <w:rPr>
          <w:rFonts w:eastAsia="Times New Roman" w:cs="Times New Roman"/>
          <w:sz w:val="20"/>
          <w:szCs w:val="20"/>
          <w:lang w:eastAsia="en-CA"/>
        </w:rPr>
        <w:t>by the respondents for an extension of time to</w:t>
      </w:r>
      <w:r w:rsidRPr="002A4E0C">
        <w:rPr>
          <w:rFonts w:eastAsia="Times New Roman" w:cs="Times New Roman"/>
          <w:b/>
          <w:sz w:val="20"/>
          <w:szCs w:val="20"/>
          <w:lang w:eastAsia="en-CA"/>
        </w:rPr>
        <w:t xml:space="preserve"> </w:t>
      </w:r>
      <w:r w:rsidRPr="002A4E0C">
        <w:rPr>
          <w:rFonts w:eastAsia="Times New Roman" w:cs="Times New Roman"/>
          <w:sz w:val="20"/>
          <w:szCs w:val="20"/>
          <w:lang w:eastAsia="en-CA"/>
        </w:rPr>
        <w:t>serve and file the response to a motion for a re-hearing of the appeal to April 4, 2014;</w:t>
      </w:r>
    </w:p>
    <w:p w:rsidR="002A4E0C" w:rsidRPr="002A4E0C" w:rsidRDefault="002A4E0C" w:rsidP="002A4E0C">
      <w:pPr>
        <w:spacing w:line="233" w:lineRule="auto"/>
        <w:jc w:val="both"/>
        <w:rPr>
          <w:rFonts w:eastAsia="Times New Roman" w:cs="Times New Roman"/>
          <w:b/>
          <w:sz w:val="20"/>
          <w:szCs w:val="20"/>
          <w:lang w:eastAsia="en-CA"/>
        </w:rPr>
      </w:pPr>
    </w:p>
    <w:p w:rsidR="002A4E0C" w:rsidRPr="002A4E0C" w:rsidRDefault="002A4E0C" w:rsidP="002A4E0C">
      <w:pPr>
        <w:spacing w:line="233" w:lineRule="auto"/>
        <w:jc w:val="both"/>
        <w:rPr>
          <w:rFonts w:eastAsia="Times New Roman" w:cs="Times New Roman"/>
          <w:sz w:val="20"/>
          <w:szCs w:val="20"/>
          <w:lang w:eastAsia="en-CA"/>
        </w:rPr>
      </w:pPr>
      <w:r w:rsidRPr="002A4E0C">
        <w:rPr>
          <w:rFonts w:eastAsia="Times New Roman" w:cs="Times New Roman"/>
          <w:b/>
          <w:bCs/>
          <w:sz w:val="20"/>
          <w:szCs w:val="20"/>
          <w:lang w:eastAsia="en-CA"/>
        </w:rPr>
        <w:t>AND THE MATERIAL FILED</w:t>
      </w:r>
      <w:r w:rsidRPr="002A4E0C">
        <w:rPr>
          <w:rFonts w:eastAsia="Times New Roman" w:cs="Times New Roman"/>
          <w:sz w:val="20"/>
          <w:szCs w:val="20"/>
          <w:lang w:eastAsia="en-CA"/>
        </w:rPr>
        <w:t xml:space="preserve"> having been read;</w:t>
      </w:r>
    </w:p>
    <w:p w:rsidR="002A4E0C" w:rsidRPr="002A4E0C" w:rsidRDefault="002A4E0C" w:rsidP="002A4E0C">
      <w:pPr>
        <w:spacing w:line="233" w:lineRule="auto"/>
        <w:jc w:val="both"/>
        <w:rPr>
          <w:rFonts w:eastAsia="Times New Roman" w:cs="Times New Roman"/>
          <w:sz w:val="20"/>
          <w:szCs w:val="20"/>
          <w:lang w:eastAsia="en-CA"/>
        </w:rPr>
      </w:pPr>
    </w:p>
    <w:p w:rsidR="002A4E0C" w:rsidRPr="002A4E0C" w:rsidRDefault="002A4E0C" w:rsidP="002A4E0C">
      <w:pPr>
        <w:spacing w:line="233" w:lineRule="auto"/>
        <w:jc w:val="both"/>
        <w:rPr>
          <w:rFonts w:eastAsia="Times New Roman" w:cs="Times New Roman"/>
          <w:b/>
          <w:bCs/>
          <w:sz w:val="20"/>
          <w:szCs w:val="20"/>
          <w:lang w:eastAsia="en-CA"/>
        </w:rPr>
      </w:pPr>
      <w:r w:rsidRPr="002A4E0C">
        <w:rPr>
          <w:rFonts w:eastAsia="Times New Roman" w:cs="Times New Roman"/>
          <w:b/>
          <w:bCs/>
          <w:sz w:val="20"/>
          <w:szCs w:val="20"/>
          <w:lang w:eastAsia="en-CA"/>
        </w:rPr>
        <w:t>IT IS HEREBY ORDERED THAT:</w:t>
      </w:r>
    </w:p>
    <w:p w:rsidR="002A4E0C" w:rsidRPr="002A4E0C" w:rsidRDefault="002A4E0C" w:rsidP="002A4E0C">
      <w:pPr>
        <w:spacing w:line="233" w:lineRule="auto"/>
        <w:jc w:val="both"/>
        <w:rPr>
          <w:rFonts w:eastAsia="Times New Roman" w:cs="Times New Roman"/>
          <w:b/>
          <w:bCs/>
          <w:sz w:val="20"/>
          <w:szCs w:val="20"/>
          <w:lang w:eastAsia="en-CA"/>
        </w:rPr>
      </w:pPr>
    </w:p>
    <w:p w:rsidR="002A4E0C" w:rsidRPr="002A4E0C" w:rsidRDefault="002A4E0C" w:rsidP="002A4E0C">
      <w:pPr>
        <w:ind w:firstLine="720"/>
        <w:jc w:val="both"/>
        <w:rPr>
          <w:rFonts w:eastAsia="Times New Roman" w:cs="Times New Roman"/>
          <w:sz w:val="20"/>
          <w:szCs w:val="20"/>
          <w:lang w:val="fr-CA" w:eastAsia="en-CA"/>
        </w:rPr>
      </w:pPr>
      <w:r w:rsidRPr="002A4E0C">
        <w:rPr>
          <w:rFonts w:eastAsia="Times New Roman" w:cs="Times New Roman"/>
          <w:sz w:val="20"/>
          <w:szCs w:val="20"/>
          <w:lang w:val="fr-CA" w:eastAsia="en-CA"/>
        </w:rPr>
        <w:t>The motion is granted. </w:t>
      </w:r>
    </w:p>
    <w:p w:rsidR="002A4E0C" w:rsidRPr="002A4E0C" w:rsidRDefault="002A4E0C" w:rsidP="002A4E0C">
      <w:pPr>
        <w:spacing w:line="233" w:lineRule="auto"/>
        <w:jc w:val="both"/>
        <w:rPr>
          <w:rFonts w:eastAsia="Times New Roman" w:cs="Times New Roman"/>
          <w:sz w:val="20"/>
          <w:szCs w:val="20"/>
          <w:lang w:val="fr-CA" w:eastAsia="en-CA"/>
        </w:rPr>
      </w:pPr>
    </w:p>
    <w:p w:rsidR="002A4E0C" w:rsidRPr="002A4E0C" w:rsidRDefault="002A4E0C" w:rsidP="002A4E0C">
      <w:pPr>
        <w:spacing w:line="233" w:lineRule="auto"/>
        <w:jc w:val="both"/>
        <w:rPr>
          <w:rFonts w:eastAsia="Times New Roman" w:cs="Times New Roman"/>
          <w:sz w:val="20"/>
          <w:szCs w:val="20"/>
          <w:lang w:val="fr-CA" w:eastAsia="en-CA"/>
        </w:rPr>
      </w:pPr>
    </w:p>
    <w:p w:rsidR="002A4E0C" w:rsidRPr="002A4E0C" w:rsidRDefault="002A4E0C" w:rsidP="002A4E0C">
      <w:pPr>
        <w:spacing w:line="233" w:lineRule="auto"/>
        <w:jc w:val="both"/>
        <w:rPr>
          <w:rFonts w:eastAsia="Times New Roman" w:cs="Times New Roman"/>
          <w:sz w:val="20"/>
          <w:szCs w:val="20"/>
          <w:lang w:val="fr-CA" w:eastAsia="en-CA"/>
        </w:rPr>
      </w:pPr>
      <w:r w:rsidRPr="002A4E0C">
        <w:rPr>
          <w:rFonts w:eastAsia="Times New Roman" w:cs="Times New Roman"/>
          <w:b/>
          <w:sz w:val="20"/>
          <w:szCs w:val="20"/>
          <w:lang w:val="fr-CA" w:eastAsia="en-CA"/>
        </w:rPr>
        <w:lastRenderedPageBreak/>
        <w:t>À LA SUITE DE LA DEMANDE</w:t>
      </w:r>
      <w:r w:rsidRPr="002A4E0C">
        <w:rPr>
          <w:rFonts w:eastAsia="Times New Roman" w:cs="Times New Roman"/>
          <w:sz w:val="20"/>
          <w:szCs w:val="20"/>
          <w:lang w:val="fr-CA" w:eastAsia="en-CA"/>
        </w:rPr>
        <w:t xml:space="preserve"> présentée par les intimées visant la prorogation du délai pour signifier et déposer la réponse à une requête en réaudition de l’appel jusqu’au 4 avril 2014;</w:t>
      </w:r>
    </w:p>
    <w:p w:rsidR="002A4E0C" w:rsidRPr="002A4E0C" w:rsidRDefault="002A4E0C" w:rsidP="002A4E0C">
      <w:pPr>
        <w:spacing w:line="233" w:lineRule="auto"/>
        <w:jc w:val="both"/>
        <w:rPr>
          <w:rFonts w:eastAsia="Times New Roman" w:cs="Times New Roman"/>
          <w:sz w:val="20"/>
          <w:szCs w:val="20"/>
          <w:lang w:val="fr-CA" w:eastAsia="en-CA"/>
        </w:rPr>
      </w:pPr>
    </w:p>
    <w:p w:rsidR="002A4E0C" w:rsidRPr="002A4E0C" w:rsidRDefault="002A4E0C" w:rsidP="002A4E0C">
      <w:pPr>
        <w:spacing w:line="233" w:lineRule="auto"/>
        <w:jc w:val="both"/>
        <w:rPr>
          <w:rFonts w:eastAsia="Times New Roman" w:cs="Times New Roman"/>
          <w:sz w:val="20"/>
          <w:szCs w:val="20"/>
          <w:lang w:val="fr-CA" w:eastAsia="en-CA"/>
        </w:rPr>
      </w:pPr>
      <w:r w:rsidRPr="002A4E0C">
        <w:rPr>
          <w:rFonts w:eastAsia="Times New Roman" w:cs="Times New Roman"/>
          <w:b/>
          <w:sz w:val="20"/>
          <w:szCs w:val="20"/>
          <w:lang w:val="fr-CA" w:eastAsia="en-CA"/>
        </w:rPr>
        <w:t>ET APRÈS EXAMEN</w:t>
      </w:r>
      <w:r w:rsidRPr="002A4E0C">
        <w:rPr>
          <w:rFonts w:eastAsia="Times New Roman" w:cs="Times New Roman"/>
          <w:sz w:val="20"/>
          <w:szCs w:val="20"/>
          <w:lang w:val="fr-CA" w:eastAsia="en-CA"/>
        </w:rPr>
        <w:t xml:space="preserve"> des documents déposés;</w:t>
      </w:r>
    </w:p>
    <w:p w:rsidR="002A4E0C" w:rsidRPr="002A4E0C" w:rsidRDefault="002A4E0C" w:rsidP="002A4E0C">
      <w:pPr>
        <w:spacing w:line="233" w:lineRule="auto"/>
        <w:jc w:val="both"/>
        <w:rPr>
          <w:rFonts w:eastAsia="Times New Roman" w:cs="Times New Roman"/>
          <w:sz w:val="20"/>
          <w:szCs w:val="20"/>
          <w:lang w:val="fr-CA" w:eastAsia="en-CA"/>
        </w:rPr>
      </w:pPr>
    </w:p>
    <w:p w:rsidR="002A4E0C" w:rsidRPr="002A4E0C" w:rsidRDefault="002A4E0C" w:rsidP="002A4E0C">
      <w:pPr>
        <w:spacing w:line="233" w:lineRule="auto"/>
        <w:jc w:val="both"/>
        <w:rPr>
          <w:rFonts w:eastAsia="Times New Roman" w:cs="Times New Roman"/>
          <w:caps/>
          <w:sz w:val="20"/>
          <w:szCs w:val="20"/>
          <w:lang w:val="fr-CA" w:eastAsia="en-CA"/>
        </w:rPr>
      </w:pPr>
      <w:r w:rsidRPr="002A4E0C">
        <w:rPr>
          <w:rFonts w:eastAsia="Times New Roman" w:cs="Times New Roman"/>
          <w:b/>
          <w:caps/>
          <w:sz w:val="20"/>
          <w:szCs w:val="20"/>
          <w:lang w:val="fr-CA" w:eastAsia="en-CA"/>
        </w:rPr>
        <w:t>il est ordonné ce qui suit :</w:t>
      </w:r>
    </w:p>
    <w:p w:rsidR="002A4E0C" w:rsidRPr="002A4E0C" w:rsidRDefault="002A4E0C" w:rsidP="002A4E0C">
      <w:pPr>
        <w:spacing w:line="233" w:lineRule="auto"/>
        <w:jc w:val="both"/>
        <w:rPr>
          <w:rFonts w:eastAsia="Times New Roman" w:cs="Times New Roman"/>
          <w:caps/>
          <w:sz w:val="20"/>
          <w:szCs w:val="20"/>
          <w:lang w:val="fr-CA" w:eastAsia="en-CA"/>
        </w:rPr>
      </w:pPr>
    </w:p>
    <w:p w:rsidR="002A4E0C" w:rsidRPr="002A4E0C" w:rsidRDefault="002A4E0C" w:rsidP="002A4E0C">
      <w:pPr>
        <w:spacing w:line="233" w:lineRule="auto"/>
        <w:jc w:val="both"/>
        <w:rPr>
          <w:rFonts w:eastAsia="Times New Roman" w:cs="Times New Roman"/>
          <w:sz w:val="20"/>
          <w:szCs w:val="20"/>
          <w:lang w:val="fr-CA" w:eastAsia="en-CA"/>
        </w:rPr>
      </w:pPr>
      <w:r w:rsidRPr="002A4E0C">
        <w:rPr>
          <w:rFonts w:eastAsia="Times New Roman" w:cs="Times New Roman"/>
          <w:caps/>
          <w:sz w:val="20"/>
          <w:szCs w:val="20"/>
          <w:lang w:val="fr-CA" w:eastAsia="en-CA"/>
        </w:rPr>
        <w:tab/>
      </w:r>
      <w:r w:rsidRPr="002A4E0C">
        <w:rPr>
          <w:rFonts w:eastAsia="Times New Roman" w:cs="Times New Roman"/>
          <w:sz w:val="20"/>
          <w:szCs w:val="20"/>
          <w:lang w:val="fr-CA" w:eastAsia="en-CA"/>
        </w:rPr>
        <w:t>La requête est accueillie.</w:t>
      </w:r>
    </w:p>
    <w:p w:rsidR="002A4E0C" w:rsidRPr="002A4E0C" w:rsidRDefault="002A4E0C" w:rsidP="002A4E0C">
      <w:pPr>
        <w:tabs>
          <w:tab w:val="left" w:pos="-1440"/>
          <w:tab w:val="left" w:pos="-720"/>
        </w:tabs>
        <w:jc w:val="both"/>
        <w:rPr>
          <w:rFonts w:eastAsia="Times New Roman" w:cs="Times New Roman"/>
          <w:sz w:val="20"/>
          <w:szCs w:val="20"/>
          <w:lang w:val="fr-CA" w:eastAsia="en-CA"/>
        </w:rPr>
      </w:pPr>
    </w:p>
    <w:p w:rsidR="002A4E0C" w:rsidRPr="002A4E0C" w:rsidRDefault="004F01F8" w:rsidP="002A4E0C">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57" style="width:2in;height:1pt" o:hrpct="0" o:hralign="center" o:hrstd="t" o:hrnoshade="t" o:hr="t" fillcolor="black [3213]" stroked="f"/>
        </w:pict>
      </w: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48"/>
          <w:headerReference w:type="default" r:id="rId49"/>
          <w:footerReference w:type="even" r:id="rId50"/>
          <w:footerReference w:type="default" r:id="rId51"/>
          <w:headerReference w:type="first" r:id="rId52"/>
          <w:footerReference w:type="first" r:id="rId53"/>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4F01F8"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10587F" w:rsidRPr="003B3977" w:rsidTr="0010587F">
        <w:trPr>
          <w:cantSplit/>
        </w:trPr>
        <w:tc>
          <w:tcPr>
            <w:tcW w:w="2206" w:type="pct"/>
            <w:tcMar>
              <w:left w:w="0" w:type="dxa"/>
              <w:right w:w="0" w:type="dxa"/>
            </w:tcMar>
          </w:tcPr>
          <w:p w:rsidR="0010587F" w:rsidRPr="003B3977" w:rsidRDefault="00615D6E" w:rsidP="003B3977">
            <w:pPr>
              <w:rPr>
                <w:sz w:val="20"/>
                <w:szCs w:val="20"/>
              </w:rPr>
            </w:pPr>
            <w:r>
              <w:rPr>
                <w:sz w:val="20"/>
                <w:szCs w:val="20"/>
              </w:rPr>
              <w:t>21</w:t>
            </w:r>
            <w:r w:rsidR="0010587F" w:rsidRPr="003B3977">
              <w:rPr>
                <w:sz w:val="20"/>
                <w:szCs w:val="20"/>
              </w:rPr>
              <w:t>.0</w:t>
            </w:r>
            <w:r>
              <w:rPr>
                <w:sz w:val="20"/>
                <w:szCs w:val="20"/>
              </w:rPr>
              <w:t>3</w:t>
            </w:r>
            <w:r w:rsidR="0010587F" w:rsidRPr="003B3977">
              <w:rPr>
                <w:sz w:val="20"/>
                <w:szCs w:val="20"/>
              </w:rPr>
              <w:t>.201</w:t>
            </w:r>
            <w:r>
              <w:rPr>
                <w:sz w:val="20"/>
                <w:szCs w:val="20"/>
              </w:rPr>
              <w:t>4</w:t>
            </w:r>
          </w:p>
          <w:p w:rsidR="0010587F" w:rsidRPr="003B3977" w:rsidRDefault="0010587F" w:rsidP="003B3977">
            <w:pPr>
              <w:rPr>
                <w:sz w:val="20"/>
                <w:szCs w:val="20"/>
              </w:rPr>
            </w:pPr>
          </w:p>
          <w:p w:rsidR="0010587F" w:rsidRPr="003B3977" w:rsidRDefault="002F3225" w:rsidP="003B3977">
            <w:pPr>
              <w:rPr>
                <w:b/>
                <w:sz w:val="20"/>
                <w:szCs w:val="20"/>
              </w:rPr>
            </w:pPr>
            <w:r>
              <w:rPr>
                <w:b/>
                <w:sz w:val="20"/>
                <w:szCs w:val="20"/>
              </w:rPr>
              <w:t>Christophe</w:t>
            </w:r>
            <w:r w:rsidR="0010587F" w:rsidRPr="003B3977">
              <w:rPr>
                <w:b/>
                <w:sz w:val="20"/>
                <w:szCs w:val="20"/>
              </w:rPr>
              <w:t>r</w:t>
            </w:r>
            <w:r>
              <w:rPr>
                <w:b/>
                <w:sz w:val="20"/>
                <w:szCs w:val="20"/>
              </w:rPr>
              <w:t xml:space="preserve"> Dunn</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2F3225">
              <w:rPr>
                <w:b/>
                <w:sz w:val="20"/>
                <w:szCs w:val="20"/>
              </w:rPr>
              <w:t>55</w:t>
            </w:r>
            <w:r w:rsidRPr="003B3977">
              <w:rPr>
                <w:b/>
                <w:sz w:val="20"/>
                <w:szCs w:val="20"/>
              </w:rPr>
              <w:t>9</w:t>
            </w:r>
            <w:r w:rsidR="002F3225">
              <w:rPr>
                <w:b/>
                <w:sz w:val="20"/>
                <w:szCs w:val="20"/>
              </w:rPr>
              <w:t>9</w:t>
            </w:r>
            <w:r w:rsidRPr="003B3977">
              <w:rPr>
                <w:b/>
                <w:sz w:val="20"/>
                <w:szCs w:val="20"/>
              </w:rPr>
              <w:t>)</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Her Majesty the Queen (</w:t>
            </w:r>
            <w:r w:rsidR="002F3225">
              <w:rPr>
                <w:b/>
                <w:sz w:val="20"/>
                <w:szCs w:val="20"/>
              </w:rPr>
              <w:t>On</w:t>
            </w:r>
            <w:r w:rsidRPr="003B3977">
              <w:rPr>
                <w:b/>
                <w:sz w:val="20"/>
                <w:szCs w:val="20"/>
              </w:rPr>
              <w:t>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w:t>
            </w:r>
            <w:r w:rsidR="000E6EFC">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4F01F8" w:rsidP="003B3977">
            <w:pPr>
              <w:rPr>
                <w:sz w:val="20"/>
                <w:szCs w:val="20"/>
                <w:lang w:val="fr-CA"/>
              </w:rPr>
            </w:pPr>
            <w:r>
              <w:rPr>
                <w:sz w:val="20"/>
                <w:szCs w:val="20"/>
                <w:lang w:val="fr-CA"/>
              </w:rPr>
              <w:pict>
                <v:rect id="_x0000_i1060"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2A4E0C" w:rsidRDefault="00615D6E" w:rsidP="003B3977">
            <w:pPr>
              <w:rPr>
                <w:sz w:val="20"/>
                <w:szCs w:val="20"/>
                <w:lang w:val="fr-CA"/>
              </w:rPr>
            </w:pPr>
            <w:r w:rsidRPr="002A4E0C">
              <w:rPr>
                <w:sz w:val="20"/>
                <w:szCs w:val="20"/>
                <w:lang w:val="fr-CA"/>
              </w:rPr>
              <w:t>24</w:t>
            </w:r>
            <w:r w:rsidR="0010587F" w:rsidRPr="002A4E0C">
              <w:rPr>
                <w:sz w:val="20"/>
                <w:szCs w:val="20"/>
                <w:lang w:val="fr-CA"/>
              </w:rPr>
              <w:t>.0</w:t>
            </w:r>
            <w:r w:rsidRPr="002A4E0C">
              <w:rPr>
                <w:sz w:val="20"/>
                <w:szCs w:val="20"/>
                <w:lang w:val="fr-CA"/>
              </w:rPr>
              <w:t>3</w:t>
            </w:r>
            <w:r w:rsidR="0010587F" w:rsidRPr="002A4E0C">
              <w:rPr>
                <w:sz w:val="20"/>
                <w:szCs w:val="20"/>
                <w:lang w:val="fr-CA"/>
              </w:rPr>
              <w:t>.201</w:t>
            </w:r>
            <w:r w:rsidRPr="002A4E0C">
              <w:rPr>
                <w:sz w:val="20"/>
                <w:szCs w:val="20"/>
                <w:lang w:val="fr-CA"/>
              </w:rPr>
              <w:t>4</w:t>
            </w:r>
          </w:p>
          <w:p w:rsidR="0010587F" w:rsidRPr="002A4E0C" w:rsidRDefault="0010587F" w:rsidP="003B3977">
            <w:pPr>
              <w:rPr>
                <w:sz w:val="20"/>
                <w:szCs w:val="20"/>
                <w:lang w:val="fr-CA"/>
              </w:rPr>
            </w:pPr>
          </w:p>
          <w:p w:rsidR="0010587F" w:rsidRPr="002A4E0C" w:rsidRDefault="002F3225" w:rsidP="003B3977">
            <w:pPr>
              <w:rPr>
                <w:b/>
                <w:sz w:val="20"/>
                <w:szCs w:val="20"/>
                <w:lang w:val="fr-CA"/>
              </w:rPr>
            </w:pPr>
            <w:r w:rsidRPr="002A4E0C">
              <w:rPr>
                <w:b/>
                <w:sz w:val="20"/>
                <w:szCs w:val="20"/>
                <w:lang w:val="fr-CA"/>
              </w:rPr>
              <w:t xml:space="preserve">Theratechnologies inc. </w:t>
            </w:r>
            <w:r w:rsidR="0010587F" w:rsidRPr="002A4E0C">
              <w:rPr>
                <w:b/>
                <w:sz w:val="20"/>
                <w:szCs w:val="20"/>
                <w:lang w:val="fr-CA"/>
              </w:rPr>
              <w:t>et</w:t>
            </w:r>
            <w:r w:rsidRPr="002A4E0C">
              <w:rPr>
                <w:b/>
                <w:sz w:val="20"/>
                <w:szCs w:val="20"/>
                <w:lang w:val="fr-CA"/>
              </w:rPr>
              <w:t xml:space="preserve"> au</w:t>
            </w:r>
            <w:r w:rsidR="0010587F" w:rsidRPr="002A4E0C">
              <w:rPr>
                <w:b/>
                <w:sz w:val="20"/>
                <w:szCs w:val="20"/>
                <w:lang w:val="fr-CA"/>
              </w:rPr>
              <w:t>t</w:t>
            </w:r>
            <w:r w:rsidRPr="002A4E0C">
              <w:rPr>
                <w:b/>
                <w:sz w:val="20"/>
                <w:szCs w:val="20"/>
                <w:lang w:val="fr-CA"/>
              </w:rPr>
              <w:t>r</w:t>
            </w:r>
            <w:r w:rsidR="0010587F" w:rsidRPr="002A4E0C">
              <w:rPr>
                <w:b/>
                <w:sz w:val="20"/>
                <w:szCs w:val="20"/>
                <w:lang w:val="fr-CA"/>
              </w:rPr>
              <w:t>e</w:t>
            </w:r>
            <w:r w:rsidRPr="002A4E0C">
              <w:rPr>
                <w:b/>
                <w:sz w:val="20"/>
                <w:szCs w:val="20"/>
                <w:lang w:val="fr-CA"/>
              </w:rPr>
              <w:t>s</w:t>
            </w:r>
          </w:p>
          <w:p w:rsidR="0010587F" w:rsidRPr="002A4E0C" w:rsidRDefault="0010587F" w:rsidP="003B3977">
            <w:pPr>
              <w:rPr>
                <w:b/>
                <w:sz w:val="20"/>
                <w:szCs w:val="20"/>
                <w:lang w:val="fr-CA"/>
              </w:rPr>
            </w:pPr>
          </w:p>
          <w:p w:rsidR="0010587F" w:rsidRPr="002A4E0C" w:rsidRDefault="0010587F" w:rsidP="003B3977">
            <w:pPr>
              <w:rPr>
                <w:b/>
                <w:sz w:val="20"/>
                <w:szCs w:val="20"/>
                <w:lang w:val="fr-CA"/>
              </w:rPr>
            </w:pPr>
            <w:r w:rsidRPr="002A4E0C">
              <w:rPr>
                <w:b/>
                <w:sz w:val="20"/>
                <w:szCs w:val="20"/>
                <w:lang w:val="fr-CA"/>
              </w:rPr>
              <w:tab/>
            </w:r>
            <w:r w:rsidR="002F3225" w:rsidRPr="002A4E0C">
              <w:rPr>
                <w:b/>
                <w:sz w:val="20"/>
                <w:szCs w:val="20"/>
                <w:lang w:val="fr-CA"/>
              </w:rPr>
              <w:t>c</w:t>
            </w:r>
            <w:r w:rsidRPr="002A4E0C">
              <w:rPr>
                <w:b/>
                <w:sz w:val="20"/>
                <w:szCs w:val="20"/>
                <w:lang w:val="fr-CA"/>
              </w:rPr>
              <w:t>. (3</w:t>
            </w:r>
            <w:r w:rsidR="002F3225" w:rsidRPr="002A4E0C">
              <w:rPr>
                <w:b/>
                <w:sz w:val="20"/>
                <w:szCs w:val="20"/>
                <w:lang w:val="fr-CA"/>
              </w:rPr>
              <w:t>5550</w:t>
            </w:r>
            <w:r w:rsidRPr="002A4E0C">
              <w:rPr>
                <w:b/>
                <w:sz w:val="20"/>
                <w:szCs w:val="20"/>
                <w:lang w:val="fr-CA"/>
              </w:rPr>
              <w:t>)</w:t>
            </w:r>
          </w:p>
          <w:p w:rsidR="0010587F" w:rsidRPr="002A4E0C" w:rsidRDefault="0010587F" w:rsidP="003B3977">
            <w:pPr>
              <w:rPr>
                <w:b/>
                <w:sz w:val="20"/>
                <w:szCs w:val="20"/>
                <w:lang w:val="fr-CA"/>
              </w:rPr>
            </w:pPr>
          </w:p>
          <w:p w:rsidR="0010587F" w:rsidRPr="002F3225" w:rsidRDefault="002F3225" w:rsidP="003B3977">
            <w:pPr>
              <w:rPr>
                <w:b/>
                <w:sz w:val="20"/>
                <w:szCs w:val="20"/>
              </w:rPr>
            </w:pPr>
            <w:r>
              <w:rPr>
                <w:b/>
                <w:sz w:val="20"/>
                <w:szCs w:val="20"/>
              </w:rPr>
              <w:t>121851 C</w:t>
            </w:r>
            <w:r w:rsidR="0010587F" w:rsidRPr="002F3225">
              <w:rPr>
                <w:b/>
                <w:sz w:val="20"/>
                <w:szCs w:val="20"/>
              </w:rPr>
              <w:t>ana</w:t>
            </w:r>
            <w:r>
              <w:rPr>
                <w:b/>
                <w:sz w:val="20"/>
                <w:szCs w:val="20"/>
              </w:rPr>
              <w:t>da inc.</w:t>
            </w:r>
            <w:r w:rsidR="0010587F" w:rsidRPr="002F3225">
              <w:rPr>
                <w:b/>
                <w:sz w:val="20"/>
                <w:szCs w:val="20"/>
              </w:rPr>
              <w:t xml:space="preserve"> (</w:t>
            </w:r>
            <w:r w:rsidRPr="002F3225">
              <w:rPr>
                <w:b/>
                <w:sz w:val="20"/>
                <w:szCs w:val="20"/>
              </w:rPr>
              <w:t>Qc</w:t>
            </w:r>
            <w:r w:rsidR="0010587F" w:rsidRPr="002F3225">
              <w:rPr>
                <w:b/>
                <w:sz w:val="20"/>
                <w:szCs w:val="20"/>
              </w:rPr>
              <w:t>)</w:t>
            </w:r>
          </w:p>
          <w:p w:rsidR="0010587F" w:rsidRPr="002F3225" w:rsidRDefault="0010587F" w:rsidP="003B3977">
            <w:pPr>
              <w:rPr>
                <w:sz w:val="20"/>
                <w:szCs w:val="20"/>
              </w:rPr>
            </w:pPr>
          </w:p>
          <w:p w:rsidR="0010587F" w:rsidRPr="003B3977" w:rsidRDefault="0010587F" w:rsidP="003B3977">
            <w:pPr>
              <w:rPr>
                <w:sz w:val="20"/>
                <w:szCs w:val="20"/>
              </w:rPr>
            </w:pPr>
            <w:r w:rsidRPr="003B3977">
              <w:rPr>
                <w:sz w:val="20"/>
                <w:szCs w:val="20"/>
              </w:rPr>
              <w:t>(A</w:t>
            </w:r>
            <w:r w:rsidR="002F3225">
              <w:rPr>
                <w:sz w:val="20"/>
                <w:szCs w:val="20"/>
              </w:rPr>
              <w:t>utori</w:t>
            </w:r>
            <w:r w:rsidRPr="003B3977">
              <w:rPr>
                <w:sz w:val="20"/>
                <w:szCs w:val="20"/>
              </w:rPr>
              <w:t>s</w:t>
            </w:r>
            <w:r w:rsidR="002F3225">
              <w:rPr>
                <w:sz w:val="20"/>
                <w:szCs w:val="20"/>
              </w:rPr>
              <w:t>a</w:t>
            </w:r>
            <w:r w:rsidRPr="003B3977">
              <w:rPr>
                <w:sz w:val="20"/>
                <w:szCs w:val="20"/>
              </w:rPr>
              <w:t>t</w:t>
            </w:r>
            <w:r w:rsidR="002F3225">
              <w:rPr>
                <w:sz w:val="20"/>
                <w:szCs w:val="20"/>
              </w:rPr>
              <w:t>ion</w:t>
            </w:r>
            <w:r w:rsidRPr="003B3977">
              <w:rPr>
                <w:sz w:val="20"/>
                <w:szCs w:val="20"/>
              </w:rPr>
              <w:t>)</w:t>
            </w:r>
          </w:p>
          <w:p w:rsidR="0010587F" w:rsidRPr="003B3977" w:rsidRDefault="0010587F" w:rsidP="003B3977">
            <w:pPr>
              <w:rPr>
                <w:sz w:val="20"/>
                <w:szCs w:val="20"/>
              </w:rPr>
            </w:pPr>
          </w:p>
          <w:p w:rsidR="0010587F" w:rsidRPr="003B3977" w:rsidRDefault="004F01F8" w:rsidP="003B3977">
            <w:pPr>
              <w:rPr>
                <w:sz w:val="20"/>
                <w:szCs w:val="20"/>
              </w:rPr>
            </w:pPr>
            <w:r>
              <w:rPr>
                <w:sz w:val="20"/>
                <w:szCs w:val="20"/>
                <w:lang w:val="fr-CA"/>
              </w:rPr>
              <w:pict>
                <v:rect id="_x0000_i1061" style="width:106.1pt;height:1pt" o:hrpct="500" o:hralign="center" o:hrstd="t" o:hrnoshade="t" o:hr="t" fillcolor="black [3213]" stroked="f"/>
              </w:pict>
            </w: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54"/>
          <w:headerReference w:type="default" r:id="rId55"/>
          <w:footerReference w:type="even" r:id="rId56"/>
          <w:footerReference w:type="default" r:id="rId57"/>
          <w:headerReference w:type="first" r:id="rId58"/>
          <w:footerReference w:type="first" r:id="rId59"/>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080"/>
        <w:gridCol w:w="4410"/>
      </w:tblGrid>
      <w:tr w:rsidR="00802863" w:rsidRPr="004F01F8" w:rsidTr="0085476B">
        <w:tc>
          <w:tcPr>
            <w:tcW w:w="4230" w:type="dxa"/>
            <w:shd w:val="clear" w:color="auto" w:fill="auto"/>
            <w:tcMar>
              <w:left w:w="0" w:type="dxa"/>
              <w:right w:w="0" w:type="dxa"/>
            </w:tcMar>
          </w:tcPr>
          <w:p w:rsidR="00802863" w:rsidRPr="00C1697B" w:rsidRDefault="00802863" w:rsidP="00697C62">
            <w:pPr>
              <w:rPr>
                <w:b/>
                <w:szCs w:val="24"/>
              </w:rPr>
            </w:pPr>
            <w:r w:rsidRPr="00C1697B">
              <w:rPr>
                <w:b/>
                <w:szCs w:val="24"/>
              </w:rPr>
              <w:lastRenderedPageBreak/>
              <w:t>NOTICES OF DISCONTINUANCE FILED SINCE LAST ISSUE</w:t>
            </w:r>
          </w:p>
        </w:tc>
        <w:tc>
          <w:tcPr>
            <w:tcW w:w="1080" w:type="dxa"/>
            <w:shd w:val="clear" w:color="auto" w:fill="auto"/>
            <w:tcMar>
              <w:left w:w="0" w:type="dxa"/>
              <w:right w:w="0" w:type="dxa"/>
            </w:tcMar>
          </w:tcPr>
          <w:p w:rsidR="00802863" w:rsidRPr="00C1697B" w:rsidRDefault="00802863" w:rsidP="00802863">
            <w:pPr>
              <w:jc w:val="center"/>
              <w:rPr>
                <w:b/>
                <w:szCs w:val="24"/>
              </w:rPr>
            </w:pPr>
          </w:p>
          <w:p w:rsidR="00802863" w:rsidRPr="00C1697B" w:rsidRDefault="00802863" w:rsidP="00802863">
            <w:pPr>
              <w:jc w:val="center"/>
              <w:rPr>
                <w:b/>
                <w:szCs w:val="24"/>
              </w:rPr>
            </w:pPr>
          </w:p>
          <w:p w:rsidR="00802863" w:rsidRPr="00C1697B" w:rsidRDefault="00802863" w:rsidP="00802863">
            <w:pPr>
              <w:jc w:val="center"/>
              <w:rPr>
                <w:b/>
                <w:szCs w:val="24"/>
              </w:rPr>
            </w:pPr>
          </w:p>
        </w:tc>
        <w:tc>
          <w:tcPr>
            <w:tcW w:w="4410" w:type="dxa"/>
            <w:shd w:val="clear" w:color="auto" w:fill="auto"/>
            <w:tcMar>
              <w:left w:w="0" w:type="dxa"/>
              <w:right w:w="0" w:type="dxa"/>
            </w:tcMar>
          </w:tcPr>
          <w:p w:rsidR="00802863" w:rsidRPr="00C1697B" w:rsidRDefault="00802863" w:rsidP="00697C62">
            <w:pPr>
              <w:rPr>
                <w:b/>
                <w:szCs w:val="24"/>
                <w:lang w:val="fr-CA"/>
              </w:rPr>
            </w:pPr>
            <w:r w:rsidRPr="002A4E0C">
              <w:rPr>
                <w:b/>
                <w:szCs w:val="24"/>
                <w:lang w:val="fr-CA"/>
              </w:rPr>
              <w:t>AVIS DE DÉSISTEMENT DÉPOSÉS DEPUIS LA DERNIÈRE PA</w:t>
            </w:r>
            <w:r w:rsidRPr="00C1697B">
              <w:rPr>
                <w:b/>
                <w:szCs w:val="24"/>
                <w:lang w:val="fr-CA"/>
              </w:rPr>
              <w:t>RUTION</w:t>
            </w:r>
          </w:p>
        </w:tc>
      </w:tr>
    </w:tbl>
    <w:p w:rsidR="00802863" w:rsidRPr="00C50A5C" w:rsidRDefault="00802863" w:rsidP="00802863">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080"/>
        <w:gridCol w:w="4417"/>
      </w:tblGrid>
      <w:tr w:rsidR="00802863" w:rsidRPr="00C50A5C" w:rsidTr="00C1697B">
        <w:trPr>
          <w:cantSplit/>
        </w:trPr>
        <w:tc>
          <w:tcPr>
            <w:tcW w:w="4338" w:type="dxa"/>
            <w:shd w:val="clear" w:color="auto" w:fill="auto"/>
          </w:tcPr>
          <w:p w:rsidR="00C1697B" w:rsidRPr="00C50A5C" w:rsidRDefault="00C1697B" w:rsidP="00C1697B">
            <w:pPr>
              <w:rPr>
                <w:sz w:val="20"/>
                <w:szCs w:val="20"/>
              </w:rPr>
            </w:pPr>
            <w:r w:rsidRPr="00C50A5C">
              <w:rPr>
                <w:sz w:val="20"/>
                <w:szCs w:val="20"/>
              </w:rPr>
              <w:t>17.0</w:t>
            </w:r>
            <w:r w:rsidR="00615D6E">
              <w:rPr>
                <w:sz w:val="20"/>
                <w:szCs w:val="20"/>
              </w:rPr>
              <w:t>3</w:t>
            </w:r>
            <w:r w:rsidRPr="00C50A5C">
              <w:rPr>
                <w:sz w:val="20"/>
                <w:szCs w:val="20"/>
              </w:rPr>
              <w:t>.201</w:t>
            </w:r>
            <w:r w:rsidR="00615D6E">
              <w:rPr>
                <w:sz w:val="20"/>
                <w:szCs w:val="20"/>
              </w:rPr>
              <w:t>4</w:t>
            </w:r>
          </w:p>
          <w:p w:rsidR="00C1697B" w:rsidRPr="00C50A5C" w:rsidRDefault="00C1697B" w:rsidP="00C1697B">
            <w:pPr>
              <w:rPr>
                <w:sz w:val="20"/>
                <w:szCs w:val="20"/>
              </w:rPr>
            </w:pPr>
          </w:p>
          <w:p w:rsidR="00C1697B" w:rsidRPr="00C1697B" w:rsidRDefault="00615D6E" w:rsidP="00C1697B">
            <w:pPr>
              <w:rPr>
                <w:b/>
                <w:sz w:val="20"/>
                <w:szCs w:val="20"/>
              </w:rPr>
            </w:pPr>
            <w:r>
              <w:rPr>
                <w:b/>
                <w:sz w:val="20"/>
                <w:szCs w:val="20"/>
              </w:rPr>
              <w:t>ABB</w:t>
            </w:r>
            <w:r w:rsidR="00C1697B" w:rsidRPr="00C1697B">
              <w:rPr>
                <w:b/>
                <w:sz w:val="20"/>
                <w:szCs w:val="20"/>
              </w:rPr>
              <w:t xml:space="preserve"> Inc.</w:t>
            </w:r>
          </w:p>
          <w:p w:rsidR="00C1697B" w:rsidRPr="00C1697B" w:rsidRDefault="00C1697B" w:rsidP="00C1697B">
            <w:pPr>
              <w:rPr>
                <w:b/>
                <w:sz w:val="20"/>
                <w:szCs w:val="20"/>
              </w:rPr>
            </w:pPr>
          </w:p>
          <w:p w:rsidR="00C1697B" w:rsidRPr="00C1697B" w:rsidRDefault="00C1697B" w:rsidP="00C1697B">
            <w:pPr>
              <w:rPr>
                <w:b/>
                <w:sz w:val="20"/>
                <w:szCs w:val="20"/>
              </w:rPr>
            </w:pPr>
            <w:r w:rsidRPr="00C1697B">
              <w:rPr>
                <w:b/>
                <w:sz w:val="20"/>
                <w:szCs w:val="20"/>
              </w:rPr>
              <w:tab/>
              <w:t>v. (3</w:t>
            </w:r>
            <w:r w:rsidR="00615D6E">
              <w:rPr>
                <w:b/>
                <w:sz w:val="20"/>
                <w:szCs w:val="20"/>
              </w:rPr>
              <w:t>5718</w:t>
            </w:r>
            <w:r w:rsidRPr="00C1697B">
              <w:rPr>
                <w:b/>
                <w:sz w:val="20"/>
                <w:szCs w:val="20"/>
              </w:rPr>
              <w:t>)</w:t>
            </w:r>
          </w:p>
          <w:p w:rsidR="00C1697B" w:rsidRPr="00C1697B" w:rsidRDefault="00C1697B" w:rsidP="00C1697B">
            <w:pPr>
              <w:rPr>
                <w:b/>
                <w:sz w:val="20"/>
                <w:szCs w:val="20"/>
              </w:rPr>
            </w:pPr>
          </w:p>
          <w:p w:rsidR="00C1697B" w:rsidRPr="00C1697B" w:rsidRDefault="00615D6E" w:rsidP="00C1697B">
            <w:pPr>
              <w:rPr>
                <w:b/>
                <w:sz w:val="20"/>
                <w:szCs w:val="20"/>
              </w:rPr>
            </w:pPr>
            <w:r>
              <w:rPr>
                <w:b/>
                <w:sz w:val="20"/>
                <w:szCs w:val="20"/>
              </w:rPr>
              <w:t>Hyunda</w:t>
            </w:r>
            <w:r w:rsidR="00C1697B" w:rsidRPr="00C1697B">
              <w:rPr>
                <w:b/>
                <w:sz w:val="20"/>
                <w:szCs w:val="20"/>
              </w:rPr>
              <w:t>i</w:t>
            </w:r>
            <w:r>
              <w:rPr>
                <w:b/>
                <w:sz w:val="20"/>
                <w:szCs w:val="20"/>
              </w:rPr>
              <w:t xml:space="preserve"> He</w:t>
            </w:r>
            <w:r w:rsidR="00C1697B" w:rsidRPr="00C1697B">
              <w:rPr>
                <w:b/>
                <w:sz w:val="20"/>
                <w:szCs w:val="20"/>
              </w:rPr>
              <w:t>a</w:t>
            </w:r>
            <w:r>
              <w:rPr>
                <w:b/>
                <w:sz w:val="20"/>
                <w:szCs w:val="20"/>
              </w:rPr>
              <w:t>vy I</w:t>
            </w:r>
            <w:r w:rsidR="00C1697B" w:rsidRPr="00C1697B">
              <w:rPr>
                <w:b/>
                <w:sz w:val="20"/>
                <w:szCs w:val="20"/>
              </w:rPr>
              <w:t>n</w:t>
            </w:r>
            <w:r>
              <w:rPr>
                <w:b/>
                <w:sz w:val="20"/>
                <w:szCs w:val="20"/>
              </w:rPr>
              <w:t xml:space="preserve">dustries Co., Ltd. et al. </w:t>
            </w:r>
            <w:r w:rsidR="00C1697B" w:rsidRPr="00C1697B">
              <w:rPr>
                <w:b/>
                <w:sz w:val="20"/>
                <w:szCs w:val="20"/>
              </w:rPr>
              <w:t>(</w:t>
            </w:r>
            <w:r>
              <w:rPr>
                <w:b/>
                <w:sz w:val="20"/>
                <w:szCs w:val="20"/>
              </w:rPr>
              <w:t>F</w:t>
            </w:r>
            <w:r w:rsidR="00C1697B" w:rsidRPr="00C1697B">
              <w:rPr>
                <w:b/>
                <w:sz w:val="20"/>
                <w:szCs w:val="20"/>
              </w:rPr>
              <w:t>.</w:t>
            </w:r>
            <w:r>
              <w:rPr>
                <w:b/>
                <w:sz w:val="20"/>
                <w:szCs w:val="20"/>
              </w:rPr>
              <w:t>C.</w:t>
            </w:r>
            <w:r w:rsidR="00C1697B" w:rsidRPr="00C1697B">
              <w:rPr>
                <w:b/>
                <w:sz w:val="20"/>
                <w:szCs w:val="20"/>
              </w:rPr>
              <w:t xml:space="preserve">) </w:t>
            </w:r>
          </w:p>
          <w:p w:rsidR="00C1697B" w:rsidRPr="00C50A5C" w:rsidRDefault="00C1697B" w:rsidP="00C1697B">
            <w:pPr>
              <w:rPr>
                <w:sz w:val="20"/>
                <w:szCs w:val="20"/>
              </w:rPr>
            </w:pPr>
          </w:p>
          <w:p w:rsidR="00C1697B" w:rsidRPr="00C50A5C" w:rsidRDefault="00C1697B" w:rsidP="00C1697B">
            <w:pPr>
              <w:rPr>
                <w:sz w:val="20"/>
                <w:szCs w:val="20"/>
              </w:rPr>
            </w:pPr>
            <w:r w:rsidRPr="00C50A5C">
              <w:rPr>
                <w:sz w:val="20"/>
                <w:szCs w:val="20"/>
              </w:rPr>
              <w:t>(By Leave)</w:t>
            </w:r>
          </w:p>
          <w:p w:rsidR="00802863" w:rsidRPr="00C50A5C" w:rsidRDefault="00802863" w:rsidP="00697C62">
            <w:pPr>
              <w:rPr>
                <w:sz w:val="20"/>
                <w:szCs w:val="20"/>
              </w:rPr>
            </w:pPr>
          </w:p>
          <w:p w:rsidR="00802863" w:rsidRPr="00615D6E" w:rsidRDefault="004F01F8" w:rsidP="00697C62">
            <w:pPr>
              <w:rPr>
                <w:sz w:val="20"/>
                <w:szCs w:val="20"/>
              </w:rPr>
            </w:pPr>
            <w:r>
              <w:rPr>
                <w:sz w:val="20"/>
                <w:szCs w:val="20"/>
                <w:lang w:val="fr-CA"/>
              </w:rPr>
              <w:pict>
                <v:rect id="_x0000_i1064" style="width:108pt;height:1pt" o:hrpct="0" o:hralign="center" o:hrstd="t" o:hrnoshade="t" o:hr="t" fillcolor="black [3213]" stroked="f"/>
              </w:pict>
            </w:r>
          </w:p>
        </w:tc>
        <w:tc>
          <w:tcPr>
            <w:tcW w:w="1080" w:type="dxa"/>
            <w:shd w:val="clear" w:color="auto" w:fill="auto"/>
          </w:tcPr>
          <w:p w:rsidR="00802863" w:rsidRPr="00615D6E" w:rsidRDefault="00802863" w:rsidP="00802863">
            <w:pPr>
              <w:jc w:val="center"/>
              <w:rPr>
                <w:sz w:val="20"/>
                <w:szCs w:val="20"/>
              </w:rPr>
            </w:pPr>
          </w:p>
          <w:p w:rsidR="003B3977" w:rsidRPr="00615D6E" w:rsidRDefault="003B3977" w:rsidP="00802863">
            <w:pPr>
              <w:jc w:val="center"/>
              <w:rPr>
                <w:sz w:val="20"/>
                <w:szCs w:val="20"/>
              </w:rPr>
            </w:pPr>
          </w:p>
          <w:p w:rsidR="003B3977" w:rsidRPr="00615D6E" w:rsidRDefault="003B3977" w:rsidP="00802863">
            <w:pPr>
              <w:jc w:val="center"/>
              <w:rPr>
                <w:sz w:val="20"/>
                <w:szCs w:val="20"/>
              </w:rPr>
            </w:pPr>
          </w:p>
          <w:p w:rsidR="003B3977" w:rsidRPr="00615D6E" w:rsidRDefault="003B3977" w:rsidP="00802863">
            <w:pPr>
              <w:jc w:val="center"/>
              <w:rPr>
                <w:sz w:val="20"/>
                <w:szCs w:val="20"/>
              </w:rPr>
            </w:pPr>
          </w:p>
          <w:p w:rsidR="003B3977" w:rsidRPr="00615D6E" w:rsidRDefault="003B3977" w:rsidP="00802863">
            <w:pPr>
              <w:jc w:val="center"/>
              <w:rPr>
                <w:sz w:val="20"/>
                <w:szCs w:val="20"/>
              </w:rPr>
            </w:pPr>
          </w:p>
          <w:p w:rsidR="003B3977" w:rsidRPr="00615D6E" w:rsidRDefault="003B3977" w:rsidP="00802863">
            <w:pPr>
              <w:jc w:val="center"/>
              <w:rPr>
                <w:sz w:val="20"/>
                <w:szCs w:val="20"/>
              </w:rPr>
            </w:pPr>
          </w:p>
          <w:p w:rsidR="003B3977" w:rsidRPr="00615D6E" w:rsidRDefault="003B3977" w:rsidP="00802863">
            <w:pPr>
              <w:jc w:val="center"/>
              <w:rPr>
                <w:sz w:val="20"/>
                <w:szCs w:val="20"/>
              </w:rPr>
            </w:pPr>
          </w:p>
          <w:p w:rsidR="003B3977" w:rsidRPr="00615D6E" w:rsidRDefault="003B3977" w:rsidP="00802863">
            <w:pPr>
              <w:jc w:val="center"/>
              <w:rPr>
                <w:sz w:val="20"/>
                <w:szCs w:val="20"/>
              </w:rPr>
            </w:pPr>
          </w:p>
          <w:p w:rsidR="003B3977" w:rsidRPr="00615D6E" w:rsidRDefault="003B3977" w:rsidP="00802863">
            <w:pPr>
              <w:jc w:val="center"/>
              <w:rPr>
                <w:sz w:val="20"/>
                <w:szCs w:val="20"/>
              </w:rPr>
            </w:pPr>
          </w:p>
          <w:p w:rsidR="003B3977" w:rsidRPr="00615D6E" w:rsidRDefault="003B3977" w:rsidP="00802863">
            <w:pPr>
              <w:jc w:val="center"/>
              <w:rPr>
                <w:sz w:val="20"/>
                <w:szCs w:val="20"/>
              </w:rPr>
            </w:pPr>
          </w:p>
          <w:p w:rsidR="003B3977" w:rsidRPr="00615D6E" w:rsidRDefault="003B3977" w:rsidP="00802863">
            <w:pPr>
              <w:jc w:val="center"/>
              <w:rPr>
                <w:sz w:val="20"/>
                <w:szCs w:val="20"/>
              </w:rPr>
            </w:pPr>
          </w:p>
          <w:p w:rsidR="003B3977" w:rsidRPr="00615D6E" w:rsidRDefault="003B3977" w:rsidP="00802863">
            <w:pPr>
              <w:jc w:val="center"/>
              <w:rPr>
                <w:sz w:val="20"/>
                <w:szCs w:val="20"/>
              </w:rPr>
            </w:pPr>
          </w:p>
        </w:tc>
        <w:tc>
          <w:tcPr>
            <w:tcW w:w="4417" w:type="dxa"/>
            <w:shd w:val="clear" w:color="auto" w:fill="auto"/>
          </w:tcPr>
          <w:p w:rsidR="00802863" w:rsidRPr="00615D6E" w:rsidRDefault="00802863" w:rsidP="00802863">
            <w:pPr>
              <w:rPr>
                <w:sz w:val="20"/>
                <w:szCs w:val="20"/>
              </w:rPr>
            </w:pPr>
          </w:p>
        </w:tc>
      </w:tr>
    </w:tbl>
    <w:p w:rsidR="00802863" w:rsidRDefault="00802863" w:rsidP="00802863">
      <w:pPr>
        <w:rPr>
          <w:sz w:val="20"/>
          <w:szCs w:val="20"/>
          <w:lang w:val="fr-CA"/>
        </w:rPr>
      </w:pPr>
    </w:p>
    <w:p w:rsidR="00D94028" w:rsidRPr="00C50A5C" w:rsidRDefault="00D94028" w:rsidP="00802863">
      <w:pPr>
        <w:rPr>
          <w:sz w:val="20"/>
          <w:szCs w:val="20"/>
          <w:lang w:val="fr-CA"/>
        </w:rPr>
      </w:pPr>
    </w:p>
    <w:p w:rsidR="00802863" w:rsidRPr="00C50A5C" w:rsidRDefault="00802863" w:rsidP="00802863">
      <w:pPr>
        <w:rPr>
          <w:sz w:val="20"/>
          <w:szCs w:val="20"/>
        </w:rPr>
      </w:pPr>
    </w:p>
    <w:p w:rsidR="00802863" w:rsidRPr="00C50A5C" w:rsidRDefault="00802863" w:rsidP="00831CA9">
      <w:pPr>
        <w:jc w:val="both"/>
        <w:rPr>
          <w:sz w:val="20"/>
          <w:szCs w:val="20"/>
        </w:rPr>
        <w:sectPr w:rsidR="00802863" w:rsidRPr="00C50A5C" w:rsidSect="00802863">
          <w:headerReference w:type="even" r:id="rId60"/>
          <w:headerReference w:type="default" r:id="rId61"/>
          <w:footerReference w:type="even" r:id="rId62"/>
          <w:footerReference w:type="default" r:id="rId63"/>
          <w:headerReference w:type="first" r:id="rId64"/>
          <w:footerReference w:type="first" r:id="rId65"/>
          <w:pgSz w:w="12240" w:h="15840"/>
          <w:pgMar w:top="720" w:right="965" w:bottom="1080" w:left="1656" w:header="720" w:footer="965"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4F01F8"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Default="00732DB7" w:rsidP="00732DB7">
      <w:pPr>
        <w:widowControl w:val="0"/>
        <w:rPr>
          <w:sz w:val="20"/>
          <w:szCs w:val="20"/>
          <w:lang w:val="fr-CA"/>
        </w:rPr>
      </w:pPr>
    </w:p>
    <w:p w:rsidR="001B1E7F" w:rsidRPr="00C50A5C" w:rsidRDefault="001B1E7F" w:rsidP="001B1E7F">
      <w:pPr>
        <w:widowControl w:val="0"/>
        <w:rPr>
          <w:sz w:val="20"/>
          <w:szCs w:val="20"/>
        </w:rPr>
      </w:pPr>
      <w:r>
        <w:rPr>
          <w:sz w:val="20"/>
          <w:szCs w:val="20"/>
        </w:rPr>
        <w:t>21</w:t>
      </w:r>
      <w:r w:rsidRPr="00C50A5C">
        <w:rPr>
          <w:sz w:val="20"/>
          <w:szCs w:val="20"/>
        </w:rPr>
        <w:t>.0</w:t>
      </w:r>
      <w:r>
        <w:rPr>
          <w:sz w:val="20"/>
          <w:szCs w:val="20"/>
        </w:rPr>
        <w:t>3</w:t>
      </w:r>
      <w:r w:rsidRPr="00C50A5C">
        <w:rPr>
          <w:sz w:val="20"/>
          <w:szCs w:val="20"/>
        </w:rPr>
        <w:t>.201</w:t>
      </w:r>
      <w:r>
        <w:rPr>
          <w:sz w:val="20"/>
          <w:szCs w:val="20"/>
        </w:rPr>
        <w:t>4</w:t>
      </w:r>
    </w:p>
    <w:p w:rsidR="001B1E7F" w:rsidRPr="00C50A5C" w:rsidRDefault="001B1E7F" w:rsidP="001B1E7F">
      <w:pPr>
        <w:widowControl w:val="0"/>
        <w:rPr>
          <w:sz w:val="20"/>
          <w:szCs w:val="20"/>
        </w:rPr>
      </w:pPr>
    </w:p>
    <w:p w:rsidR="001B1E7F" w:rsidRDefault="001B1E7F" w:rsidP="001B1E7F">
      <w:pPr>
        <w:widowControl w:val="0"/>
        <w:ind w:left="720" w:hanging="720"/>
        <w:rPr>
          <w:sz w:val="20"/>
          <w:szCs w:val="20"/>
        </w:rPr>
      </w:pPr>
      <w:r w:rsidRPr="00C50A5C">
        <w:rPr>
          <w:sz w:val="20"/>
          <w:szCs w:val="20"/>
        </w:rPr>
        <w:t xml:space="preserve">Coram: </w:t>
      </w:r>
      <w:r w:rsidRPr="00C50A5C">
        <w:rPr>
          <w:sz w:val="20"/>
          <w:szCs w:val="20"/>
        </w:rPr>
        <w:tab/>
      </w:r>
      <w:r w:rsidRPr="00C50A5C">
        <w:rPr>
          <w:sz w:val="20"/>
          <w:szCs w:val="20"/>
          <w:u w:val="single"/>
        </w:rPr>
        <w:t xml:space="preserve">LeBel, </w:t>
      </w:r>
      <w:r>
        <w:rPr>
          <w:sz w:val="20"/>
          <w:szCs w:val="20"/>
          <w:u w:val="single"/>
        </w:rPr>
        <w:t xml:space="preserve">Abella, </w:t>
      </w:r>
      <w:r w:rsidRPr="00C50A5C">
        <w:rPr>
          <w:sz w:val="20"/>
          <w:szCs w:val="20"/>
          <w:u w:val="single"/>
        </w:rPr>
        <w:t>Rothstein</w:t>
      </w:r>
      <w:r>
        <w:rPr>
          <w:sz w:val="20"/>
          <w:szCs w:val="20"/>
          <w:u w:val="single"/>
        </w:rPr>
        <w:t xml:space="preserve">, Moldaver and Karakatsanis </w:t>
      </w:r>
      <w:r w:rsidRPr="00C50A5C">
        <w:rPr>
          <w:sz w:val="20"/>
          <w:szCs w:val="20"/>
          <w:u w:val="single"/>
        </w:rPr>
        <w:t>JJ.</w:t>
      </w:r>
      <w:r w:rsidRPr="00C50A5C">
        <w:rPr>
          <w:sz w:val="20"/>
          <w:szCs w:val="20"/>
        </w:rPr>
        <w:t xml:space="preserve"> </w:t>
      </w:r>
    </w:p>
    <w:p w:rsidR="001B1E7F" w:rsidRPr="00C50A5C" w:rsidRDefault="001B1E7F" w:rsidP="001B1E7F">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1B1E7F" w:rsidRPr="00C50A5C" w:rsidTr="001B1E7F">
        <w:tc>
          <w:tcPr>
            <w:tcW w:w="4380" w:type="dxa"/>
            <w:tcMar>
              <w:left w:w="0" w:type="dxa"/>
              <w:right w:w="0" w:type="dxa"/>
            </w:tcMar>
          </w:tcPr>
          <w:p w:rsidR="001B1E7F" w:rsidRPr="00C50A5C" w:rsidRDefault="001B1E7F" w:rsidP="001B1E7F">
            <w:pPr>
              <w:widowControl w:val="0"/>
              <w:jc w:val="both"/>
              <w:rPr>
                <w:b/>
                <w:sz w:val="20"/>
                <w:szCs w:val="20"/>
              </w:rPr>
            </w:pPr>
            <w:r>
              <w:rPr>
                <w:b/>
                <w:sz w:val="20"/>
                <w:szCs w:val="20"/>
              </w:rPr>
              <w:t>Eric Vokurka</w:t>
            </w:r>
          </w:p>
          <w:p w:rsidR="001B1E7F" w:rsidRPr="00C50A5C" w:rsidRDefault="001B1E7F" w:rsidP="001B1E7F">
            <w:pPr>
              <w:widowControl w:val="0"/>
              <w:jc w:val="both"/>
              <w:rPr>
                <w:b/>
                <w:sz w:val="20"/>
                <w:szCs w:val="20"/>
              </w:rPr>
            </w:pPr>
          </w:p>
          <w:p w:rsidR="001B1E7F" w:rsidRPr="00C50A5C" w:rsidRDefault="001B1E7F" w:rsidP="001B1E7F">
            <w:pPr>
              <w:widowControl w:val="0"/>
              <w:tabs>
                <w:tab w:val="left" w:pos="736"/>
              </w:tabs>
              <w:jc w:val="both"/>
              <w:rPr>
                <w:b/>
                <w:sz w:val="20"/>
                <w:szCs w:val="20"/>
              </w:rPr>
            </w:pPr>
            <w:r w:rsidRPr="00C50A5C">
              <w:rPr>
                <w:b/>
                <w:sz w:val="20"/>
                <w:szCs w:val="20"/>
              </w:rPr>
              <w:tab/>
              <w:t xml:space="preserve">v. </w:t>
            </w:r>
            <w:r w:rsidR="005E31A3" w:rsidRPr="00765D4A">
              <w:rPr>
                <w:sz w:val="20"/>
                <w:szCs w:val="20"/>
              </w:rPr>
              <w:t>(</w:t>
            </w:r>
            <w:hyperlink r:id="rId66" w:history="1">
              <w:r w:rsidR="005E31A3" w:rsidRPr="00765D4A">
                <w:rPr>
                  <w:rStyle w:val="Hyperlink"/>
                  <w:sz w:val="20"/>
                  <w:szCs w:val="20"/>
                </w:rPr>
                <w:t>35510</w:t>
              </w:r>
            </w:hyperlink>
            <w:r w:rsidR="005E31A3" w:rsidRPr="00765D4A">
              <w:rPr>
                <w:sz w:val="20"/>
                <w:szCs w:val="20"/>
              </w:rPr>
              <w:t>)</w:t>
            </w:r>
          </w:p>
          <w:p w:rsidR="001B1E7F" w:rsidRPr="00C50A5C" w:rsidRDefault="001B1E7F" w:rsidP="001B1E7F">
            <w:pPr>
              <w:widowControl w:val="0"/>
              <w:jc w:val="both"/>
              <w:rPr>
                <w:b/>
                <w:sz w:val="20"/>
                <w:szCs w:val="20"/>
              </w:rPr>
            </w:pPr>
          </w:p>
          <w:p w:rsidR="001B1E7F" w:rsidRPr="00893C7B" w:rsidRDefault="001B1E7F" w:rsidP="001B1E7F">
            <w:pPr>
              <w:widowControl w:val="0"/>
              <w:jc w:val="both"/>
              <w:rPr>
                <w:sz w:val="20"/>
                <w:szCs w:val="20"/>
              </w:rPr>
            </w:pPr>
            <w:r>
              <w:rPr>
                <w:b/>
                <w:sz w:val="20"/>
                <w:szCs w:val="20"/>
              </w:rPr>
              <w:t>Her Majesty the Queen</w:t>
            </w:r>
            <w:r w:rsidRPr="00C50A5C">
              <w:rPr>
                <w:b/>
                <w:sz w:val="20"/>
                <w:szCs w:val="20"/>
              </w:rPr>
              <w:t xml:space="preserve"> (</w:t>
            </w:r>
            <w:r>
              <w:rPr>
                <w:b/>
                <w:sz w:val="20"/>
                <w:szCs w:val="20"/>
              </w:rPr>
              <w:t>N</w:t>
            </w:r>
            <w:r w:rsidRPr="00C50A5C">
              <w:rPr>
                <w:b/>
                <w:sz w:val="20"/>
                <w:szCs w:val="20"/>
              </w:rPr>
              <w:t>.</w:t>
            </w:r>
            <w:r>
              <w:rPr>
                <w:b/>
                <w:sz w:val="20"/>
                <w:szCs w:val="20"/>
              </w:rPr>
              <w:t>L.</w:t>
            </w:r>
            <w:r w:rsidRPr="00C50A5C">
              <w:rPr>
                <w:b/>
                <w:sz w:val="20"/>
                <w:szCs w:val="20"/>
              </w:rPr>
              <w:t>) (C</w:t>
            </w:r>
            <w:r>
              <w:rPr>
                <w:b/>
                <w:sz w:val="20"/>
                <w:szCs w:val="20"/>
              </w:rPr>
              <w:t>r</w:t>
            </w:r>
            <w:r w:rsidRPr="00C50A5C">
              <w:rPr>
                <w:b/>
                <w:sz w:val="20"/>
                <w:szCs w:val="20"/>
              </w:rPr>
              <w:t>i</w:t>
            </w:r>
            <w:r>
              <w:rPr>
                <w:b/>
                <w:sz w:val="20"/>
                <w:szCs w:val="20"/>
              </w:rPr>
              <w:t>m</w:t>
            </w:r>
            <w:r w:rsidRPr="00C50A5C">
              <w:rPr>
                <w:b/>
                <w:sz w:val="20"/>
                <w:szCs w:val="20"/>
              </w:rPr>
              <w:t>i</w:t>
            </w:r>
            <w:r>
              <w:rPr>
                <w:b/>
                <w:sz w:val="20"/>
                <w:szCs w:val="20"/>
              </w:rPr>
              <w:t>na</w:t>
            </w:r>
            <w:r w:rsidRPr="00C50A5C">
              <w:rPr>
                <w:b/>
                <w:sz w:val="20"/>
                <w:szCs w:val="20"/>
              </w:rPr>
              <w:t>l) (</w:t>
            </w:r>
            <w:r>
              <w:rPr>
                <w:b/>
                <w:sz w:val="20"/>
                <w:szCs w:val="20"/>
              </w:rPr>
              <w:t>As of Right</w:t>
            </w:r>
            <w:r w:rsidRPr="00C50A5C">
              <w:rPr>
                <w:b/>
                <w:sz w:val="20"/>
                <w:szCs w:val="20"/>
              </w:rPr>
              <w:t>)</w:t>
            </w:r>
          </w:p>
        </w:tc>
        <w:tc>
          <w:tcPr>
            <w:tcW w:w="720" w:type="dxa"/>
            <w:tcMar>
              <w:left w:w="0" w:type="dxa"/>
              <w:right w:w="0" w:type="dxa"/>
            </w:tcMar>
          </w:tcPr>
          <w:p w:rsidR="001B1E7F" w:rsidRPr="00893C7B" w:rsidRDefault="001B1E7F" w:rsidP="001B1E7F">
            <w:pPr>
              <w:widowControl w:val="0"/>
              <w:jc w:val="center"/>
              <w:rPr>
                <w:sz w:val="20"/>
                <w:szCs w:val="20"/>
              </w:rPr>
            </w:pPr>
          </w:p>
        </w:tc>
        <w:tc>
          <w:tcPr>
            <w:tcW w:w="4380" w:type="dxa"/>
            <w:tcMar>
              <w:left w:w="0" w:type="dxa"/>
              <w:right w:w="0" w:type="dxa"/>
            </w:tcMar>
          </w:tcPr>
          <w:p w:rsidR="00190453" w:rsidRPr="00A038C1" w:rsidRDefault="00190453" w:rsidP="00190453">
            <w:pPr>
              <w:jc w:val="both"/>
              <w:rPr>
                <w:sz w:val="20"/>
                <w:szCs w:val="20"/>
              </w:rPr>
            </w:pPr>
            <w:r w:rsidRPr="00A038C1">
              <w:rPr>
                <w:sz w:val="20"/>
                <w:szCs w:val="20"/>
              </w:rPr>
              <w:t>Keir O’Flaherty</w:t>
            </w:r>
            <w:r>
              <w:rPr>
                <w:sz w:val="20"/>
                <w:szCs w:val="20"/>
              </w:rPr>
              <w:t xml:space="preserve"> and </w:t>
            </w:r>
            <w:r w:rsidRPr="00A038C1">
              <w:rPr>
                <w:sz w:val="20"/>
                <w:szCs w:val="20"/>
              </w:rPr>
              <w:t>Bob Buckingham</w:t>
            </w:r>
            <w:r>
              <w:rPr>
                <w:sz w:val="20"/>
                <w:szCs w:val="20"/>
              </w:rPr>
              <w:t xml:space="preserve"> f</w:t>
            </w:r>
            <w:r w:rsidRPr="00A038C1">
              <w:rPr>
                <w:sz w:val="20"/>
                <w:szCs w:val="20"/>
              </w:rPr>
              <w:t xml:space="preserve">or the </w:t>
            </w:r>
            <w:r>
              <w:rPr>
                <w:sz w:val="20"/>
                <w:szCs w:val="20"/>
              </w:rPr>
              <w:t>a</w:t>
            </w:r>
            <w:r w:rsidRPr="00A038C1">
              <w:rPr>
                <w:sz w:val="20"/>
                <w:szCs w:val="20"/>
              </w:rPr>
              <w:t>ppellant.</w:t>
            </w:r>
          </w:p>
          <w:p w:rsidR="00190453" w:rsidRPr="00A038C1" w:rsidRDefault="00190453" w:rsidP="00190453">
            <w:pPr>
              <w:jc w:val="both"/>
              <w:rPr>
                <w:sz w:val="20"/>
                <w:szCs w:val="20"/>
              </w:rPr>
            </w:pPr>
          </w:p>
          <w:p w:rsidR="001B1E7F" w:rsidRPr="00C50A5C" w:rsidRDefault="00190453" w:rsidP="00190453">
            <w:pPr>
              <w:widowControl w:val="0"/>
              <w:jc w:val="both"/>
              <w:rPr>
                <w:sz w:val="20"/>
                <w:szCs w:val="20"/>
              </w:rPr>
            </w:pPr>
            <w:r w:rsidRPr="00A038C1">
              <w:rPr>
                <w:sz w:val="20"/>
                <w:szCs w:val="20"/>
              </w:rPr>
              <w:t>Iain R.W. Hollett</w:t>
            </w:r>
            <w:r>
              <w:rPr>
                <w:sz w:val="20"/>
                <w:szCs w:val="20"/>
              </w:rPr>
              <w:t xml:space="preserve"> f</w:t>
            </w:r>
            <w:r w:rsidRPr="00A038C1">
              <w:rPr>
                <w:sz w:val="20"/>
                <w:szCs w:val="20"/>
              </w:rPr>
              <w:t xml:space="preserve">or the </w:t>
            </w:r>
            <w:r>
              <w:rPr>
                <w:sz w:val="20"/>
                <w:szCs w:val="20"/>
              </w:rPr>
              <w:t>re</w:t>
            </w:r>
            <w:r w:rsidRPr="00A038C1">
              <w:rPr>
                <w:sz w:val="20"/>
                <w:szCs w:val="20"/>
              </w:rPr>
              <w:t>spondent.</w:t>
            </w:r>
          </w:p>
        </w:tc>
      </w:tr>
    </w:tbl>
    <w:p w:rsidR="001B1E7F" w:rsidRPr="005E31A3" w:rsidRDefault="001B1E7F" w:rsidP="001B1E7F">
      <w:pPr>
        <w:widowControl w:val="0"/>
        <w:rPr>
          <w:sz w:val="20"/>
          <w:szCs w:val="20"/>
        </w:rPr>
      </w:pPr>
    </w:p>
    <w:p w:rsidR="005E31A3" w:rsidRPr="00E829A1" w:rsidRDefault="005E31A3" w:rsidP="005E31A3">
      <w:pPr>
        <w:rPr>
          <w:rFonts w:eastAsia="Calibri" w:cs="Times New Roman"/>
          <w:b/>
          <w:bCs/>
          <w:sz w:val="20"/>
          <w:szCs w:val="20"/>
          <w:lang w:val="fr-CA"/>
        </w:rPr>
      </w:pPr>
      <w:r w:rsidRPr="00E829A1">
        <w:rPr>
          <w:rFonts w:eastAsia="Calibri" w:cs="Times New Roman"/>
          <w:b/>
          <w:bCs/>
          <w:sz w:val="20"/>
          <w:szCs w:val="20"/>
          <w:lang w:val="fr-CA"/>
        </w:rPr>
        <w:t>201</w:t>
      </w:r>
      <w:r>
        <w:rPr>
          <w:rFonts w:eastAsia="Calibri" w:cs="Times New Roman"/>
          <w:b/>
          <w:bCs/>
          <w:sz w:val="20"/>
          <w:szCs w:val="20"/>
          <w:lang w:val="fr-CA"/>
        </w:rPr>
        <w:t>4</w:t>
      </w:r>
      <w:r w:rsidRPr="00E829A1">
        <w:rPr>
          <w:rFonts w:eastAsia="Calibri" w:cs="Times New Roman"/>
          <w:b/>
          <w:bCs/>
          <w:sz w:val="20"/>
          <w:szCs w:val="20"/>
          <w:lang w:val="fr-CA"/>
        </w:rPr>
        <w:t xml:space="preserve"> </w:t>
      </w:r>
      <w:r w:rsidRPr="00E829A1">
        <w:rPr>
          <w:rFonts w:eastAsia="Calibri" w:cs="Times New Roman"/>
          <w:b/>
          <w:bCs/>
          <w:sz w:val="20"/>
          <w:szCs w:val="20"/>
        </w:rPr>
        <w:t xml:space="preserve">SCC </w:t>
      </w:r>
      <w:r>
        <w:rPr>
          <w:rFonts w:eastAsia="Calibri" w:cs="Times New Roman"/>
          <w:b/>
          <w:bCs/>
          <w:sz w:val="20"/>
          <w:szCs w:val="20"/>
        </w:rPr>
        <w:t>22</w:t>
      </w:r>
      <w:r w:rsidRPr="00E829A1">
        <w:rPr>
          <w:rFonts w:eastAsia="Calibri" w:cs="Times New Roman"/>
          <w:b/>
          <w:bCs/>
          <w:sz w:val="20"/>
          <w:szCs w:val="20"/>
          <w:lang w:val="fr-CA"/>
        </w:rPr>
        <w:t xml:space="preserve"> / 201</w:t>
      </w:r>
      <w:r>
        <w:rPr>
          <w:rFonts w:eastAsia="Calibri" w:cs="Times New Roman"/>
          <w:b/>
          <w:bCs/>
          <w:sz w:val="20"/>
          <w:szCs w:val="20"/>
          <w:lang w:val="fr-CA"/>
        </w:rPr>
        <w:t>4</w:t>
      </w:r>
      <w:r w:rsidRPr="00E829A1">
        <w:rPr>
          <w:rFonts w:eastAsia="Calibri" w:cs="Times New Roman"/>
          <w:b/>
          <w:bCs/>
          <w:sz w:val="20"/>
          <w:szCs w:val="20"/>
          <w:lang w:val="fr-CA"/>
        </w:rPr>
        <w:t xml:space="preserve"> CSC </w:t>
      </w:r>
      <w:r>
        <w:rPr>
          <w:rFonts w:eastAsia="Calibri" w:cs="Times New Roman"/>
          <w:b/>
          <w:bCs/>
          <w:sz w:val="20"/>
          <w:szCs w:val="20"/>
          <w:lang w:val="fr-CA"/>
        </w:rPr>
        <w:t>22</w:t>
      </w:r>
    </w:p>
    <w:p w:rsidR="005E31A3" w:rsidRPr="005E31A3" w:rsidRDefault="005E31A3" w:rsidP="001B1E7F">
      <w:pPr>
        <w:widowControl w:val="0"/>
        <w:rPr>
          <w:sz w:val="20"/>
          <w:szCs w:val="20"/>
        </w:rPr>
      </w:pPr>
    </w:p>
    <w:p w:rsidR="001B1E7F" w:rsidRPr="0085476B" w:rsidRDefault="005E31A3" w:rsidP="001B1E7F">
      <w:pPr>
        <w:widowControl w:val="0"/>
        <w:rPr>
          <w:sz w:val="20"/>
          <w:szCs w:val="20"/>
        </w:rPr>
      </w:pPr>
      <w:r>
        <w:rPr>
          <w:b/>
          <w:sz w:val="20"/>
          <w:szCs w:val="20"/>
        </w:rPr>
        <w:t>DISMISS</w:t>
      </w:r>
      <w:r w:rsidR="001B1E7F" w:rsidRPr="0085476B">
        <w:rPr>
          <w:b/>
          <w:sz w:val="20"/>
          <w:szCs w:val="20"/>
        </w:rPr>
        <w:t xml:space="preserve">ED / </w:t>
      </w:r>
      <w:r>
        <w:rPr>
          <w:b/>
          <w:sz w:val="20"/>
          <w:szCs w:val="20"/>
        </w:rPr>
        <w:t>REJ</w:t>
      </w:r>
      <w:r w:rsidR="001B1E7F" w:rsidRPr="0085476B">
        <w:rPr>
          <w:b/>
          <w:sz w:val="20"/>
          <w:szCs w:val="20"/>
          <w:lang w:val="fr-CA"/>
        </w:rPr>
        <w:t>E</w:t>
      </w:r>
      <w:r>
        <w:rPr>
          <w:b/>
          <w:sz w:val="20"/>
          <w:szCs w:val="20"/>
          <w:lang w:val="fr-CA"/>
        </w:rPr>
        <w:t>T</w:t>
      </w:r>
      <w:r w:rsidR="001B1E7F" w:rsidRPr="0085476B">
        <w:rPr>
          <w:b/>
          <w:sz w:val="20"/>
          <w:szCs w:val="20"/>
          <w:lang w:val="fr-CA"/>
        </w:rPr>
        <w:t>É</w:t>
      </w:r>
    </w:p>
    <w:p w:rsidR="001B1E7F" w:rsidRPr="005E31A3" w:rsidRDefault="001B1E7F" w:rsidP="001B1E7F">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5E31A3" w:rsidRPr="005E31A3" w:rsidTr="00392239">
        <w:tc>
          <w:tcPr>
            <w:tcW w:w="4380" w:type="dxa"/>
            <w:tcMar>
              <w:left w:w="0" w:type="dxa"/>
              <w:right w:w="0" w:type="dxa"/>
            </w:tcMar>
          </w:tcPr>
          <w:p w:rsidR="005E31A3" w:rsidRPr="00CC4D84" w:rsidRDefault="005E31A3" w:rsidP="00392239">
            <w:pPr>
              <w:widowControl w:val="0"/>
              <w:jc w:val="both"/>
              <w:rPr>
                <w:b/>
                <w:sz w:val="20"/>
                <w:szCs w:val="20"/>
                <w:u w:val="single"/>
              </w:rPr>
            </w:pPr>
            <w:r>
              <w:rPr>
                <w:b/>
                <w:sz w:val="20"/>
                <w:szCs w:val="20"/>
                <w:u w:val="single"/>
              </w:rPr>
              <w:t>JUDGMENT</w:t>
            </w:r>
            <w:r w:rsidRPr="00CC4D84">
              <w:rPr>
                <w:b/>
                <w:sz w:val="20"/>
                <w:szCs w:val="20"/>
                <w:u w:val="single"/>
              </w:rPr>
              <w:t>:</w:t>
            </w:r>
          </w:p>
          <w:p w:rsidR="005E31A3" w:rsidRPr="001A663B" w:rsidRDefault="005E31A3" w:rsidP="00392239">
            <w:pPr>
              <w:widowControl w:val="0"/>
              <w:jc w:val="both"/>
              <w:rPr>
                <w:b/>
                <w:sz w:val="20"/>
                <w:szCs w:val="20"/>
              </w:rPr>
            </w:pPr>
          </w:p>
          <w:p w:rsidR="00190453" w:rsidRPr="0056108D" w:rsidRDefault="00190453" w:rsidP="00190453">
            <w:pPr>
              <w:jc w:val="both"/>
              <w:rPr>
                <w:sz w:val="20"/>
                <w:szCs w:val="20"/>
              </w:rPr>
            </w:pPr>
            <w:r w:rsidRPr="0056108D">
              <w:rPr>
                <w:sz w:val="20"/>
                <w:szCs w:val="20"/>
              </w:rPr>
              <w:t xml:space="preserve">The appeal from the judgment of the Supreme Court of Newfoundland and Labrador - Court of Appeal, Number 12/76, 2013 NLCA 51, dated August 5, 2013, was heard on March 21, 2014, and the Court on that day delivered the following judgment orally: </w:t>
            </w:r>
          </w:p>
          <w:p w:rsidR="00190453" w:rsidRDefault="00190453" w:rsidP="00190453">
            <w:pPr>
              <w:jc w:val="both"/>
              <w:rPr>
                <w:sz w:val="20"/>
                <w:szCs w:val="20"/>
              </w:rPr>
            </w:pPr>
          </w:p>
          <w:p w:rsidR="00151FF0" w:rsidRPr="0056108D" w:rsidRDefault="00151FF0" w:rsidP="00190453">
            <w:pPr>
              <w:jc w:val="both"/>
              <w:rPr>
                <w:sz w:val="20"/>
                <w:szCs w:val="20"/>
              </w:rPr>
            </w:pPr>
          </w:p>
          <w:p w:rsidR="00190453" w:rsidRPr="0056108D" w:rsidRDefault="00190453" w:rsidP="00190453">
            <w:pPr>
              <w:jc w:val="both"/>
              <w:rPr>
                <w:sz w:val="20"/>
                <w:szCs w:val="20"/>
              </w:rPr>
            </w:pPr>
            <w:r w:rsidRPr="0056108D">
              <w:rPr>
                <w:smallCaps/>
                <w:sz w:val="20"/>
                <w:szCs w:val="20"/>
              </w:rPr>
              <w:t>Abella J.</w:t>
            </w:r>
            <w:r w:rsidRPr="0056108D">
              <w:rPr>
                <w:sz w:val="20"/>
                <w:szCs w:val="20"/>
              </w:rPr>
              <w:t xml:space="preserve"> </w:t>
            </w:r>
            <w:r w:rsidRPr="0056108D">
              <w:rPr>
                <w:rFonts w:cs="Times New Roman"/>
                <w:sz w:val="20"/>
                <w:szCs w:val="20"/>
              </w:rPr>
              <w:t xml:space="preserve">— </w:t>
            </w:r>
            <w:r w:rsidRPr="0056108D">
              <w:rPr>
                <w:sz w:val="20"/>
                <w:szCs w:val="20"/>
              </w:rPr>
              <w:t xml:space="preserve">The critical issue at trial was whether Mr. Vokurka intentionally inflicted the victim’s injuries. The majority in the Court of Appeal found that the trial judge’s findings of fact, inferences drawn from those facts, and the finding of guilt were reasonable.  </w:t>
            </w:r>
          </w:p>
          <w:p w:rsidR="00190453" w:rsidRPr="0056108D" w:rsidRDefault="00190453" w:rsidP="00190453">
            <w:pPr>
              <w:jc w:val="both"/>
              <w:rPr>
                <w:sz w:val="20"/>
                <w:szCs w:val="20"/>
              </w:rPr>
            </w:pPr>
          </w:p>
          <w:p w:rsidR="00151FF0" w:rsidRPr="0056108D" w:rsidRDefault="00151FF0" w:rsidP="00190453">
            <w:pPr>
              <w:jc w:val="both"/>
              <w:rPr>
                <w:sz w:val="20"/>
                <w:szCs w:val="20"/>
              </w:rPr>
            </w:pPr>
          </w:p>
          <w:p w:rsidR="005E31A3" w:rsidRPr="00C1697B" w:rsidRDefault="00190453" w:rsidP="00190453">
            <w:pPr>
              <w:jc w:val="both"/>
              <w:rPr>
                <w:b/>
                <w:sz w:val="20"/>
                <w:szCs w:val="20"/>
              </w:rPr>
            </w:pPr>
            <w:r w:rsidRPr="0056108D">
              <w:rPr>
                <w:sz w:val="20"/>
                <w:szCs w:val="20"/>
              </w:rPr>
              <w:t xml:space="preserve">The dissenting judge was of the view that the trial judge erred in failing to adequately consider and explain why, in her view, the “equally plausible explanation” supporting the defence of accident was not accepted.  We do not agree, and agree instead with the majority that the trial judge adequately explained why he rejected the possibility of accident and found that the charge was proved beyond a reasonable doubt.  The trial judge set out the evidence of the victim’s statements, a doctor’s expert evidence about the nature of the wound, and the victim’s reaction to being cut, all of which led him clearly to the view that there was </w:t>
            </w:r>
            <w:r w:rsidRPr="0056108D">
              <w:rPr>
                <w:i/>
                <w:sz w:val="20"/>
                <w:szCs w:val="20"/>
              </w:rPr>
              <w:t>no</w:t>
            </w:r>
            <w:r w:rsidRPr="0056108D">
              <w:rPr>
                <w:sz w:val="20"/>
                <w:szCs w:val="20"/>
              </w:rPr>
              <w:t xml:space="preserve"> “equally plausible explanation” for the cutting. He reviewed the relevant evidence and set out his reasons for concluding beyond a reasonable doubt that the injuries were intentionally inflicted. His inferences were reasonably supported by the evidence. Like the majority in the Court of Appeal, we see no </w:t>
            </w:r>
            <w:r w:rsidRPr="0056108D">
              <w:rPr>
                <w:sz w:val="20"/>
                <w:szCs w:val="20"/>
              </w:rPr>
              <w:lastRenderedPageBreak/>
              <w:t xml:space="preserve">error on his approach. It was not open to the dissenting judge, with respect, to reweigh the evidence by substituting her own view of it. </w:t>
            </w:r>
            <w:r w:rsidRPr="0056108D">
              <w:rPr>
                <w:sz w:val="20"/>
                <w:szCs w:val="20"/>
                <w:lang w:val="fr-CA"/>
              </w:rPr>
              <w:t xml:space="preserve">The appeal is therefore dismissed.  </w:t>
            </w:r>
          </w:p>
        </w:tc>
        <w:tc>
          <w:tcPr>
            <w:tcW w:w="720" w:type="dxa"/>
            <w:tcMar>
              <w:left w:w="0" w:type="dxa"/>
              <w:right w:w="0" w:type="dxa"/>
            </w:tcMar>
          </w:tcPr>
          <w:p w:rsidR="005E31A3" w:rsidRPr="00C1697B" w:rsidRDefault="005E31A3" w:rsidP="00392239">
            <w:pPr>
              <w:widowControl w:val="0"/>
              <w:jc w:val="center"/>
              <w:rPr>
                <w:sz w:val="20"/>
                <w:szCs w:val="20"/>
              </w:rPr>
            </w:pPr>
          </w:p>
        </w:tc>
        <w:tc>
          <w:tcPr>
            <w:tcW w:w="4380" w:type="dxa"/>
            <w:tcMar>
              <w:left w:w="0" w:type="dxa"/>
              <w:right w:w="0" w:type="dxa"/>
            </w:tcMar>
          </w:tcPr>
          <w:p w:rsidR="005E31A3" w:rsidRPr="00CC4D84" w:rsidRDefault="005E31A3" w:rsidP="00392239">
            <w:pPr>
              <w:widowControl w:val="0"/>
              <w:jc w:val="both"/>
              <w:rPr>
                <w:b/>
                <w:sz w:val="20"/>
                <w:szCs w:val="20"/>
                <w:u w:val="single"/>
                <w:lang w:val="fr-CA"/>
              </w:rPr>
            </w:pPr>
            <w:r>
              <w:rPr>
                <w:b/>
                <w:sz w:val="20"/>
                <w:szCs w:val="20"/>
                <w:u w:val="single"/>
                <w:lang w:val="fr-CA"/>
              </w:rPr>
              <w:t>JUGEMENT</w:t>
            </w:r>
            <w:r w:rsidRPr="00CC4D84">
              <w:rPr>
                <w:b/>
                <w:sz w:val="20"/>
                <w:szCs w:val="20"/>
                <w:u w:val="single"/>
                <w:lang w:val="fr-CA"/>
              </w:rPr>
              <w:t xml:space="preserve"> :</w:t>
            </w:r>
          </w:p>
          <w:p w:rsidR="005E31A3" w:rsidRPr="00C1697B" w:rsidRDefault="005E31A3" w:rsidP="00392239">
            <w:pPr>
              <w:widowControl w:val="0"/>
              <w:jc w:val="both"/>
              <w:rPr>
                <w:sz w:val="20"/>
                <w:szCs w:val="20"/>
                <w:lang w:val="fr-CA"/>
              </w:rPr>
            </w:pPr>
          </w:p>
          <w:p w:rsidR="00151FF0" w:rsidRPr="0056108D" w:rsidRDefault="00151FF0" w:rsidP="00151FF0">
            <w:pPr>
              <w:jc w:val="both"/>
              <w:rPr>
                <w:sz w:val="20"/>
                <w:szCs w:val="20"/>
                <w:lang w:val="fr-CA"/>
              </w:rPr>
            </w:pPr>
            <w:r w:rsidRPr="0056108D">
              <w:rPr>
                <w:sz w:val="20"/>
                <w:szCs w:val="20"/>
                <w:lang w:val="fr-CA"/>
              </w:rPr>
              <w:t>L’appel interjeté contre l’arrêt de la Cour suprême de Terre-Neuve-et-Labrador -  Cour d'appel, numéro 12/76, 2013 NLCA 51, en date du 5 août 2013, a été entendu le 21 mars 2014, et la Cour a prononcé oralement le même jour le jugement suivant :</w:t>
            </w:r>
          </w:p>
          <w:p w:rsidR="00151FF0" w:rsidRPr="0056108D" w:rsidRDefault="00151FF0" w:rsidP="00151FF0">
            <w:pPr>
              <w:jc w:val="both"/>
              <w:rPr>
                <w:sz w:val="20"/>
                <w:szCs w:val="20"/>
                <w:lang w:val="fr-CA"/>
              </w:rPr>
            </w:pPr>
          </w:p>
          <w:p w:rsidR="00151FF0" w:rsidRPr="0056108D" w:rsidRDefault="00151FF0" w:rsidP="00151FF0">
            <w:pPr>
              <w:jc w:val="both"/>
              <w:rPr>
                <w:sz w:val="20"/>
                <w:szCs w:val="20"/>
                <w:lang w:val="fr-CA"/>
              </w:rPr>
            </w:pPr>
            <w:r w:rsidRPr="0056108D">
              <w:rPr>
                <w:sz w:val="20"/>
                <w:szCs w:val="20"/>
                <w:lang w:val="fr-CA"/>
              </w:rPr>
              <w:t>[</w:t>
            </w:r>
            <w:r w:rsidRPr="0056108D">
              <w:rPr>
                <w:smallCaps/>
                <w:sz w:val="20"/>
                <w:szCs w:val="20"/>
                <w:lang w:val="fr-CA"/>
              </w:rPr>
              <w:t>traduction</w:t>
            </w:r>
            <w:r w:rsidRPr="0056108D">
              <w:rPr>
                <w:sz w:val="20"/>
                <w:szCs w:val="20"/>
                <w:lang w:val="fr-CA"/>
              </w:rPr>
              <w:t xml:space="preserve">] </w:t>
            </w:r>
          </w:p>
          <w:p w:rsidR="00151FF0" w:rsidRPr="0056108D" w:rsidRDefault="00151FF0" w:rsidP="00151FF0">
            <w:pPr>
              <w:jc w:val="both"/>
              <w:rPr>
                <w:sz w:val="20"/>
                <w:szCs w:val="20"/>
                <w:lang w:val="fr-CA"/>
              </w:rPr>
            </w:pPr>
            <w:r w:rsidRPr="0056108D">
              <w:rPr>
                <w:smallCaps/>
                <w:sz w:val="20"/>
                <w:szCs w:val="20"/>
                <w:lang w:val="fr-CA"/>
              </w:rPr>
              <w:t>La juge Abella</w:t>
            </w:r>
            <w:r w:rsidRPr="0056108D">
              <w:rPr>
                <w:sz w:val="20"/>
                <w:szCs w:val="20"/>
                <w:lang w:val="fr-CA"/>
              </w:rPr>
              <w:t xml:space="preserve"> – La question déterminante au procès était de savoir si M. Vokurka avait intentionnellement infligé les blessures à la victime.  La majorité de la Cour d’appel a décidé que les constatations de fait du juge du procès, les inférences tirées de ces faits et la conclusion de culpabilité étaient raisonnables.  </w:t>
            </w:r>
          </w:p>
          <w:p w:rsidR="00151FF0" w:rsidRPr="0056108D" w:rsidRDefault="00151FF0" w:rsidP="00151FF0">
            <w:pPr>
              <w:jc w:val="both"/>
              <w:rPr>
                <w:sz w:val="20"/>
                <w:szCs w:val="20"/>
                <w:lang w:val="fr-CA"/>
              </w:rPr>
            </w:pPr>
          </w:p>
          <w:p w:rsidR="005E31A3" w:rsidRPr="00C1697B" w:rsidRDefault="00151FF0" w:rsidP="00151FF0">
            <w:pPr>
              <w:jc w:val="both"/>
              <w:rPr>
                <w:sz w:val="20"/>
                <w:szCs w:val="20"/>
                <w:lang w:val="fr-CA"/>
              </w:rPr>
            </w:pPr>
            <w:r w:rsidRPr="0056108D">
              <w:rPr>
                <w:sz w:val="20"/>
                <w:szCs w:val="20"/>
                <w:lang w:val="fr-CA"/>
              </w:rPr>
              <w:t>De l’avis de la juge dissidente, le juge du procès a fait erreur en n’examinant pas l’« explication tout aussi plausible » qui, selon elle, appuyait la défense d’accident et en n’expliquant pas adéquatement pourquoi il ne l’acceptait pas.  Nous ne partageons pas cet avis, mais souscrivons plutôt à l’opinion des juges majoritaires portant que le juge du procès a expliqué adéquatement pourquoi il rejetait la possibilité d’un accident et concluait que l’accusation avait été prouvée hors de tout doute raisonnable.  Le juge de première instance a fait état des déclarations de la victime, du témoignage d’expert d’un médecin sur la nature de la blessure et de la réaction de la victime au fait d’avoir été coupée, autant d’éléments qui l’ont clairement amené à conclure à l’</w:t>
            </w:r>
            <w:r w:rsidRPr="0056108D">
              <w:rPr>
                <w:i/>
                <w:sz w:val="20"/>
                <w:szCs w:val="20"/>
                <w:lang w:val="fr-CA"/>
              </w:rPr>
              <w:t>absence</w:t>
            </w:r>
            <w:r w:rsidRPr="0056108D">
              <w:rPr>
                <w:sz w:val="20"/>
                <w:szCs w:val="20"/>
                <w:lang w:val="fr-CA"/>
              </w:rPr>
              <w:t xml:space="preserve"> d’« explication tout aussi plausible » en ce qui concerne la coupure.  Il a examiné les éléments de preuve pertinents et exposé les raisons pour lesquelles </w:t>
            </w:r>
            <w:r w:rsidRPr="0056108D">
              <w:rPr>
                <w:sz w:val="20"/>
                <w:szCs w:val="20"/>
                <w:lang w:val="fr-CA"/>
              </w:rPr>
              <w:lastRenderedPageBreak/>
              <w:t>il concluait hors de tout doute raisonnable que les blessures avaient été infligées intentionnellement.  Ses inférences étaient raisonnablement étayées par la preuve.  À l’instar des juges majoritaires de la Cour d’appel, nous ne voyons aucune erreur dans cette approche.  Avec égards, il n’était pas loisible à la juge dissidente de soupeser à nouveau la preuve et de substituer sa propre appréciation à celle du premier juge.  Le pourvoi est donc rejeté.</w:t>
            </w:r>
          </w:p>
        </w:tc>
      </w:tr>
    </w:tbl>
    <w:p w:rsidR="005E31A3" w:rsidRPr="005E31A3" w:rsidRDefault="005E31A3" w:rsidP="005E31A3">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1B1E7F" w:rsidRPr="004F01F8" w:rsidTr="001B1E7F">
        <w:tc>
          <w:tcPr>
            <w:tcW w:w="4380" w:type="dxa"/>
            <w:tcMar>
              <w:left w:w="0" w:type="dxa"/>
              <w:right w:w="0" w:type="dxa"/>
            </w:tcMar>
          </w:tcPr>
          <w:p w:rsidR="001B1E7F" w:rsidRPr="00CC4D84" w:rsidRDefault="001B1E7F" w:rsidP="001B1E7F">
            <w:pPr>
              <w:widowControl w:val="0"/>
              <w:jc w:val="both"/>
              <w:rPr>
                <w:b/>
                <w:sz w:val="20"/>
                <w:szCs w:val="20"/>
                <w:u w:val="single"/>
              </w:rPr>
            </w:pPr>
            <w:r w:rsidRPr="00CC4D84">
              <w:rPr>
                <w:b/>
                <w:sz w:val="20"/>
                <w:szCs w:val="20"/>
                <w:u w:val="single"/>
              </w:rPr>
              <w:t>Nature of the case:</w:t>
            </w:r>
          </w:p>
          <w:p w:rsidR="001B1E7F" w:rsidRPr="00C1697B" w:rsidRDefault="001B1E7F" w:rsidP="001B1E7F">
            <w:pPr>
              <w:widowControl w:val="0"/>
              <w:jc w:val="both"/>
              <w:rPr>
                <w:b/>
                <w:sz w:val="20"/>
                <w:szCs w:val="20"/>
              </w:rPr>
            </w:pPr>
          </w:p>
          <w:p w:rsidR="001B1E7F" w:rsidRPr="00C1697B" w:rsidRDefault="00831D9E" w:rsidP="001B1E7F">
            <w:pPr>
              <w:widowControl w:val="0"/>
              <w:jc w:val="both"/>
              <w:rPr>
                <w:b/>
                <w:sz w:val="20"/>
                <w:szCs w:val="20"/>
              </w:rPr>
            </w:pPr>
            <w:r w:rsidRPr="003B6BEB">
              <w:rPr>
                <w:sz w:val="20"/>
                <w:szCs w:val="20"/>
              </w:rPr>
              <w:t>Criminal law - Aggravated assault - Defence of accident - Misapprehension of evidence - Whether the trial judge erred by failing to explain why inferences supporting the defence of accident were not accepted.</w:t>
            </w:r>
          </w:p>
        </w:tc>
        <w:tc>
          <w:tcPr>
            <w:tcW w:w="720" w:type="dxa"/>
            <w:tcMar>
              <w:left w:w="0" w:type="dxa"/>
              <w:right w:w="0" w:type="dxa"/>
            </w:tcMar>
          </w:tcPr>
          <w:p w:rsidR="001B1E7F" w:rsidRPr="00C1697B" w:rsidRDefault="001B1E7F" w:rsidP="001B1E7F">
            <w:pPr>
              <w:widowControl w:val="0"/>
              <w:jc w:val="center"/>
              <w:rPr>
                <w:sz w:val="20"/>
                <w:szCs w:val="20"/>
              </w:rPr>
            </w:pPr>
          </w:p>
        </w:tc>
        <w:tc>
          <w:tcPr>
            <w:tcW w:w="4380" w:type="dxa"/>
            <w:tcMar>
              <w:left w:w="0" w:type="dxa"/>
              <w:right w:w="0" w:type="dxa"/>
            </w:tcMar>
          </w:tcPr>
          <w:p w:rsidR="001B1E7F" w:rsidRPr="00CC4D84" w:rsidRDefault="001B1E7F" w:rsidP="001B1E7F">
            <w:pPr>
              <w:widowControl w:val="0"/>
              <w:jc w:val="both"/>
              <w:rPr>
                <w:b/>
                <w:sz w:val="20"/>
                <w:szCs w:val="20"/>
                <w:u w:val="single"/>
                <w:lang w:val="fr-CA"/>
              </w:rPr>
            </w:pPr>
            <w:r w:rsidRPr="00CC4D84">
              <w:rPr>
                <w:b/>
                <w:sz w:val="20"/>
                <w:szCs w:val="20"/>
                <w:u w:val="single"/>
                <w:lang w:val="fr-CA"/>
              </w:rPr>
              <w:t>Nature de la cause :</w:t>
            </w:r>
          </w:p>
          <w:p w:rsidR="001B1E7F" w:rsidRPr="00C1697B" w:rsidRDefault="001B1E7F" w:rsidP="001B1E7F">
            <w:pPr>
              <w:widowControl w:val="0"/>
              <w:jc w:val="both"/>
              <w:rPr>
                <w:sz w:val="20"/>
                <w:szCs w:val="20"/>
                <w:lang w:val="fr-CA"/>
              </w:rPr>
            </w:pPr>
          </w:p>
          <w:p w:rsidR="001B1E7F" w:rsidRPr="00C1697B" w:rsidRDefault="00831D9E" w:rsidP="001B1E7F">
            <w:pPr>
              <w:widowControl w:val="0"/>
              <w:jc w:val="both"/>
              <w:rPr>
                <w:sz w:val="20"/>
                <w:szCs w:val="20"/>
                <w:lang w:val="fr-CA"/>
              </w:rPr>
            </w:pPr>
            <w:r w:rsidRPr="00724A51">
              <w:rPr>
                <w:sz w:val="20"/>
                <w:szCs w:val="20"/>
                <w:lang w:val="fr-CA"/>
              </w:rPr>
              <w:t>Droit criminel - Voies de fait graves - Défense d’accident - Interprétation erronée de la preuve - Le juge du procès a-t-il eu tort de ne pas expliquer pourquoi les inférences qui appuyaient la défense d’accident n’avaient pas été acceptées?</w:t>
            </w:r>
          </w:p>
        </w:tc>
      </w:tr>
    </w:tbl>
    <w:p w:rsidR="001B1E7F" w:rsidRDefault="001B1E7F" w:rsidP="001B1E7F">
      <w:pPr>
        <w:widowControl w:val="0"/>
        <w:rPr>
          <w:sz w:val="20"/>
          <w:szCs w:val="20"/>
          <w:lang w:val="fr-CA"/>
        </w:rPr>
      </w:pPr>
    </w:p>
    <w:p w:rsidR="001B1E7F" w:rsidRDefault="004F01F8" w:rsidP="001B1E7F">
      <w:pPr>
        <w:widowControl w:val="0"/>
        <w:rPr>
          <w:sz w:val="20"/>
          <w:szCs w:val="20"/>
        </w:rPr>
      </w:pPr>
      <w:r>
        <w:rPr>
          <w:sz w:val="20"/>
          <w:szCs w:val="20"/>
          <w:lang w:val="fr-CA"/>
        </w:rPr>
        <w:pict>
          <v:rect id="_x0000_i1067" style="width:2in;height:1pt" o:hrpct="0" o:hralign="center" o:hrstd="t" o:hrnoshade="t" o:hr="t" fillcolor="black [3213]" stroked="f"/>
        </w:pict>
      </w:r>
    </w:p>
    <w:p w:rsidR="001B1E7F" w:rsidRDefault="001B1E7F" w:rsidP="001B1E7F">
      <w:pPr>
        <w:widowControl w:val="0"/>
        <w:rPr>
          <w:sz w:val="20"/>
          <w:szCs w:val="20"/>
        </w:rPr>
      </w:pPr>
    </w:p>
    <w:p w:rsidR="001B1E7F" w:rsidRPr="00C50A5C" w:rsidRDefault="001B1E7F" w:rsidP="001B1E7F">
      <w:pPr>
        <w:widowControl w:val="0"/>
        <w:rPr>
          <w:sz w:val="20"/>
          <w:szCs w:val="20"/>
        </w:rPr>
      </w:pPr>
      <w:r>
        <w:rPr>
          <w:sz w:val="20"/>
          <w:szCs w:val="20"/>
        </w:rPr>
        <w:t>21</w:t>
      </w:r>
      <w:r w:rsidRPr="00C50A5C">
        <w:rPr>
          <w:sz w:val="20"/>
          <w:szCs w:val="20"/>
        </w:rPr>
        <w:t>.0</w:t>
      </w:r>
      <w:r>
        <w:rPr>
          <w:sz w:val="20"/>
          <w:szCs w:val="20"/>
        </w:rPr>
        <w:t>3</w:t>
      </w:r>
      <w:r w:rsidRPr="00C50A5C">
        <w:rPr>
          <w:sz w:val="20"/>
          <w:szCs w:val="20"/>
        </w:rPr>
        <w:t>.201</w:t>
      </w:r>
      <w:r>
        <w:rPr>
          <w:sz w:val="20"/>
          <w:szCs w:val="20"/>
        </w:rPr>
        <w:t>4</w:t>
      </w:r>
    </w:p>
    <w:p w:rsidR="001B1E7F" w:rsidRPr="00C50A5C" w:rsidRDefault="001B1E7F" w:rsidP="001B1E7F">
      <w:pPr>
        <w:widowControl w:val="0"/>
        <w:rPr>
          <w:sz w:val="20"/>
          <w:szCs w:val="20"/>
        </w:rPr>
      </w:pPr>
    </w:p>
    <w:p w:rsidR="001B1E7F" w:rsidRDefault="001B1E7F" w:rsidP="001B1E7F">
      <w:pPr>
        <w:widowControl w:val="0"/>
        <w:ind w:left="720" w:hanging="720"/>
        <w:rPr>
          <w:sz w:val="20"/>
          <w:szCs w:val="20"/>
        </w:rPr>
      </w:pPr>
      <w:r w:rsidRPr="00C50A5C">
        <w:rPr>
          <w:sz w:val="20"/>
          <w:szCs w:val="20"/>
        </w:rPr>
        <w:t xml:space="preserve">Coram: </w:t>
      </w:r>
      <w:r w:rsidRPr="00C50A5C">
        <w:rPr>
          <w:sz w:val="20"/>
          <w:szCs w:val="20"/>
        </w:rPr>
        <w:tab/>
      </w:r>
      <w:r w:rsidRPr="00C50A5C">
        <w:rPr>
          <w:sz w:val="20"/>
          <w:szCs w:val="20"/>
          <w:u w:val="single"/>
        </w:rPr>
        <w:t xml:space="preserve">LeBel, </w:t>
      </w:r>
      <w:r>
        <w:rPr>
          <w:sz w:val="20"/>
          <w:szCs w:val="20"/>
          <w:u w:val="single"/>
        </w:rPr>
        <w:t xml:space="preserve">Abella, </w:t>
      </w:r>
      <w:r w:rsidRPr="00C50A5C">
        <w:rPr>
          <w:sz w:val="20"/>
          <w:szCs w:val="20"/>
          <w:u w:val="single"/>
        </w:rPr>
        <w:t>Rothstein</w:t>
      </w:r>
      <w:r>
        <w:rPr>
          <w:sz w:val="20"/>
          <w:szCs w:val="20"/>
          <w:u w:val="single"/>
        </w:rPr>
        <w:t xml:space="preserve">, Cromwell, Moldaver, Karakatsanis and Wagner </w:t>
      </w:r>
      <w:r w:rsidRPr="00C50A5C">
        <w:rPr>
          <w:sz w:val="20"/>
          <w:szCs w:val="20"/>
          <w:u w:val="single"/>
        </w:rPr>
        <w:t>JJ.</w:t>
      </w:r>
      <w:r w:rsidRPr="00C50A5C">
        <w:rPr>
          <w:sz w:val="20"/>
          <w:szCs w:val="20"/>
        </w:rPr>
        <w:t xml:space="preserve"> </w:t>
      </w:r>
    </w:p>
    <w:p w:rsidR="001B1E7F" w:rsidRPr="00C50A5C" w:rsidRDefault="001B1E7F" w:rsidP="001B1E7F">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1B1E7F" w:rsidRPr="00C50A5C" w:rsidTr="001B1E7F">
        <w:tc>
          <w:tcPr>
            <w:tcW w:w="4380" w:type="dxa"/>
            <w:tcMar>
              <w:left w:w="0" w:type="dxa"/>
              <w:right w:w="0" w:type="dxa"/>
            </w:tcMar>
          </w:tcPr>
          <w:p w:rsidR="001B1E7F" w:rsidRPr="00C50A5C" w:rsidRDefault="001B1E7F" w:rsidP="001B1E7F">
            <w:pPr>
              <w:widowControl w:val="0"/>
              <w:jc w:val="both"/>
              <w:rPr>
                <w:b/>
                <w:sz w:val="20"/>
                <w:szCs w:val="20"/>
              </w:rPr>
            </w:pPr>
            <w:r>
              <w:rPr>
                <w:b/>
                <w:sz w:val="20"/>
                <w:szCs w:val="20"/>
              </w:rPr>
              <w:t>Her Majesty the Queen</w:t>
            </w:r>
          </w:p>
          <w:p w:rsidR="001B1E7F" w:rsidRPr="00C50A5C" w:rsidRDefault="001B1E7F" w:rsidP="001B1E7F">
            <w:pPr>
              <w:widowControl w:val="0"/>
              <w:jc w:val="both"/>
              <w:rPr>
                <w:b/>
                <w:sz w:val="20"/>
                <w:szCs w:val="20"/>
              </w:rPr>
            </w:pPr>
          </w:p>
          <w:p w:rsidR="001B1E7F" w:rsidRPr="00C50A5C" w:rsidRDefault="001B1E7F" w:rsidP="001B1E7F">
            <w:pPr>
              <w:widowControl w:val="0"/>
              <w:tabs>
                <w:tab w:val="left" w:pos="736"/>
              </w:tabs>
              <w:jc w:val="both"/>
              <w:rPr>
                <w:b/>
                <w:sz w:val="20"/>
                <w:szCs w:val="20"/>
              </w:rPr>
            </w:pPr>
            <w:r w:rsidRPr="00C50A5C">
              <w:rPr>
                <w:b/>
                <w:sz w:val="20"/>
                <w:szCs w:val="20"/>
              </w:rPr>
              <w:tab/>
              <w:t xml:space="preserve">v. </w:t>
            </w:r>
            <w:r w:rsidR="005E31A3" w:rsidRPr="00765D4A">
              <w:rPr>
                <w:sz w:val="20"/>
                <w:szCs w:val="20"/>
              </w:rPr>
              <w:t>(</w:t>
            </w:r>
            <w:hyperlink r:id="rId67" w:history="1">
              <w:r w:rsidR="005E31A3" w:rsidRPr="00765D4A">
                <w:rPr>
                  <w:rStyle w:val="Hyperlink"/>
                  <w:sz w:val="20"/>
                  <w:szCs w:val="20"/>
                </w:rPr>
                <w:t>35531</w:t>
              </w:r>
            </w:hyperlink>
            <w:r w:rsidR="005E31A3" w:rsidRPr="00765D4A">
              <w:rPr>
                <w:sz w:val="20"/>
                <w:szCs w:val="20"/>
              </w:rPr>
              <w:t>)</w:t>
            </w:r>
          </w:p>
          <w:p w:rsidR="001B1E7F" w:rsidRPr="00C50A5C" w:rsidRDefault="001B1E7F" w:rsidP="001B1E7F">
            <w:pPr>
              <w:widowControl w:val="0"/>
              <w:jc w:val="both"/>
              <w:rPr>
                <w:b/>
                <w:sz w:val="20"/>
                <w:szCs w:val="20"/>
              </w:rPr>
            </w:pPr>
          </w:p>
          <w:p w:rsidR="001B1E7F" w:rsidRPr="00893C7B" w:rsidRDefault="001B1E7F" w:rsidP="00072C86">
            <w:pPr>
              <w:widowControl w:val="0"/>
              <w:jc w:val="both"/>
              <w:rPr>
                <w:sz w:val="20"/>
                <w:szCs w:val="20"/>
              </w:rPr>
            </w:pPr>
            <w:r w:rsidRPr="00072C86">
              <w:rPr>
                <w:b/>
                <w:sz w:val="20"/>
                <w:szCs w:val="20"/>
              </w:rPr>
              <w:t xml:space="preserve">Jeffrey Kevin Leinen (Alta.) </w:t>
            </w:r>
            <w:r w:rsidRPr="00C50A5C">
              <w:rPr>
                <w:b/>
                <w:sz w:val="20"/>
                <w:szCs w:val="20"/>
              </w:rPr>
              <w:t>(C</w:t>
            </w:r>
            <w:r>
              <w:rPr>
                <w:b/>
                <w:sz w:val="20"/>
                <w:szCs w:val="20"/>
              </w:rPr>
              <w:t>r</w:t>
            </w:r>
            <w:r w:rsidRPr="00C50A5C">
              <w:rPr>
                <w:b/>
                <w:sz w:val="20"/>
                <w:szCs w:val="20"/>
              </w:rPr>
              <w:t>i</w:t>
            </w:r>
            <w:r>
              <w:rPr>
                <w:b/>
                <w:sz w:val="20"/>
                <w:szCs w:val="20"/>
              </w:rPr>
              <w:t>m</w:t>
            </w:r>
            <w:r w:rsidRPr="00C50A5C">
              <w:rPr>
                <w:b/>
                <w:sz w:val="20"/>
                <w:szCs w:val="20"/>
              </w:rPr>
              <w:t>i</w:t>
            </w:r>
            <w:r>
              <w:rPr>
                <w:b/>
                <w:sz w:val="20"/>
                <w:szCs w:val="20"/>
              </w:rPr>
              <w:t>na</w:t>
            </w:r>
            <w:r w:rsidRPr="00C50A5C">
              <w:rPr>
                <w:b/>
                <w:sz w:val="20"/>
                <w:szCs w:val="20"/>
              </w:rPr>
              <w:t>l) (</w:t>
            </w:r>
            <w:r w:rsidR="00072C86">
              <w:rPr>
                <w:b/>
                <w:sz w:val="20"/>
                <w:szCs w:val="20"/>
              </w:rPr>
              <w:t>As of Right</w:t>
            </w:r>
            <w:r w:rsidRPr="00C50A5C">
              <w:rPr>
                <w:b/>
                <w:sz w:val="20"/>
                <w:szCs w:val="20"/>
              </w:rPr>
              <w:t>)</w:t>
            </w:r>
          </w:p>
        </w:tc>
        <w:tc>
          <w:tcPr>
            <w:tcW w:w="720" w:type="dxa"/>
            <w:tcMar>
              <w:left w:w="0" w:type="dxa"/>
              <w:right w:w="0" w:type="dxa"/>
            </w:tcMar>
          </w:tcPr>
          <w:p w:rsidR="001B1E7F" w:rsidRPr="00893C7B" w:rsidRDefault="001B1E7F" w:rsidP="001B1E7F">
            <w:pPr>
              <w:widowControl w:val="0"/>
              <w:jc w:val="center"/>
              <w:rPr>
                <w:sz w:val="20"/>
                <w:szCs w:val="20"/>
              </w:rPr>
            </w:pPr>
          </w:p>
        </w:tc>
        <w:tc>
          <w:tcPr>
            <w:tcW w:w="4380" w:type="dxa"/>
            <w:tcMar>
              <w:left w:w="0" w:type="dxa"/>
              <w:right w:w="0" w:type="dxa"/>
            </w:tcMar>
          </w:tcPr>
          <w:p w:rsidR="00C344E7" w:rsidRPr="000F31EA" w:rsidRDefault="00C344E7" w:rsidP="00C344E7">
            <w:pPr>
              <w:jc w:val="both"/>
              <w:rPr>
                <w:sz w:val="20"/>
                <w:szCs w:val="20"/>
              </w:rPr>
            </w:pPr>
            <w:r w:rsidRPr="000F31EA">
              <w:rPr>
                <w:sz w:val="20"/>
                <w:szCs w:val="20"/>
              </w:rPr>
              <w:t>Josh Hawkes, Q.C.</w:t>
            </w:r>
            <w:r>
              <w:rPr>
                <w:sz w:val="20"/>
                <w:szCs w:val="20"/>
              </w:rPr>
              <w:t xml:space="preserve"> f</w:t>
            </w:r>
            <w:r w:rsidRPr="000F31EA">
              <w:rPr>
                <w:sz w:val="20"/>
                <w:szCs w:val="20"/>
              </w:rPr>
              <w:t xml:space="preserve">or the </w:t>
            </w:r>
            <w:r>
              <w:rPr>
                <w:sz w:val="20"/>
                <w:szCs w:val="20"/>
              </w:rPr>
              <w:t>a</w:t>
            </w:r>
            <w:r w:rsidRPr="000F31EA">
              <w:rPr>
                <w:sz w:val="20"/>
                <w:szCs w:val="20"/>
              </w:rPr>
              <w:t>ppellant.</w:t>
            </w:r>
          </w:p>
          <w:p w:rsidR="00C344E7" w:rsidRPr="000F31EA" w:rsidRDefault="00C344E7" w:rsidP="00C344E7">
            <w:pPr>
              <w:jc w:val="both"/>
              <w:rPr>
                <w:sz w:val="20"/>
                <w:szCs w:val="20"/>
              </w:rPr>
            </w:pPr>
          </w:p>
          <w:p w:rsidR="001B1E7F" w:rsidRPr="00C50A5C" w:rsidRDefault="00C344E7" w:rsidP="00C344E7">
            <w:pPr>
              <w:widowControl w:val="0"/>
              <w:jc w:val="both"/>
              <w:rPr>
                <w:sz w:val="20"/>
                <w:szCs w:val="20"/>
              </w:rPr>
            </w:pPr>
            <w:r w:rsidRPr="000F31EA">
              <w:rPr>
                <w:sz w:val="20"/>
                <w:szCs w:val="20"/>
              </w:rPr>
              <w:t>Jennifer Ruttan</w:t>
            </w:r>
            <w:r>
              <w:rPr>
                <w:sz w:val="20"/>
                <w:szCs w:val="20"/>
              </w:rPr>
              <w:t xml:space="preserve"> and </w:t>
            </w:r>
            <w:r w:rsidRPr="000F31EA">
              <w:rPr>
                <w:sz w:val="20"/>
                <w:szCs w:val="20"/>
              </w:rPr>
              <w:t>Karen B. Molle</w:t>
            </w:r>
            <w:r>
              <w:rPr>
                <w:sz w:val="20"/>
                <w:szCs w:val="20"/>
              </w:rPr>
              <w:t xml:space="preserve"> f</w:t>
            </w:r>
            <w:r w:rsidRPr="000F31EA">
              <w:rPr>
                <w:sz w:val="20"/>
                <w:szCs w:val="20"/>
              </w:rPr>
              <w:t xml:space="preserve">or the </w:t>
            </w:r>
            <w:r>
              <w:rPr>
                <w:sz w:val="20"/>
                <w:szCs w:val="20"/>
              </w:rPr>
              <w:t>r</w:t>
            </w:r>
            <w:r w:rsidRPr="000F31EA">
              <w:rPr>
                <w:sz w:val="20"/>
                <w:szCs w:val="20"/>
              </w:rPr>
              <w:t>espondent.</w:t>
            </w:r>
          </w:p>
        </w:tc>
      </w:tr>
    </w:tbl>
    <w:p w:rsidR="001B1E7F" w:rsidRDefault="001B1E7F" w:rsidP="001B1E7F">
      <w:pPr>
        <w:widowControl w:val="0"/>
      </w:pPr>
    </w:p>
    <w:p w:rsidR="005E31A3" w:rsidRPr="00E829A1" w:rsidRDefault="005E31A3" w:rsidP="005E31A3">
      <w:pPr>
        <w:rPr>
          <w:rFonts w:eastAsia="Calibri" w:cs="Times New Roman"/>
          <w:b/>
          <w:bCs/>
          <w:sz w:val="20"/>
          <w:szCs w:val="20"/>
          <w:lang w:val="fr-CA"/>
        </w:rPr>
      </w:pPr>
      <w:r w:rsidRPr="00E829A1">
        <w:rPr>
          <w:rFonts w:eastAsia="Calibri" w:cs="Times New Roman"/>
          <w:b/>
          <w:bCs/>
          <w:sz w:val="20"/>
          <w:szCs w:val="20"/>
          <w:lang w:val="fr-CA"/>
        </w:rPr>
        <w:t>201</w:t>
      </w:r>
      <w:r>
        <w:rPr>
          <w:rFonts w:eastAsia="Calibri" w:cs="Times New Roman"/>
          <w:b/>
          <w:bCs/>
          <w:sz w:val="20"/>
          <w:szCs w:val="20"/>
          <w:lang w:val="fr-CA"/>
        </w:rPr>
        <w:t>4</w:t>
      </w:r>
      <w:r w:rsidRPr="00E829A1">
        <w:rPr>
          <w:rFonts w:eastAsia="Calibri" w:cs="Times New Roman"/>
          <w:b/>
          <w:bCs/>
          <w:sz w:val="20"/>
          <w:szCs w:val="20"/>
          <w:lang w:val="fr-CA"/>
        </w:rPr>
        <w:t xml:space="preserve"> </w:t>
      </w:r>
      <w:r w:rsidRPr="00E829A1">
        <w:rPr>
          <w:rFonts w:eastAsia="Calibri" w:cs="Times New Roman"/>
          <w:b/>
          <w:bCs/>
          <w:sz w:val="20"/>
          <w:szCs w:val="20"/>
        </w:rPr>
        <w:t xml:space="preserve">SCC </w:t>
      </w:r>
      <w:r>
        <w:rPr>
          <w:rFonts w:eastAsia="Calibri" w:cs="Times New Roman"/>
          <w:b/>
          <w:bCs/>
          <w:sz w:val="20"/>
          <w:szCs w:val="20"/>
        </w:rPr>
        <w:t>23</w:t>
      </w:r>
      <w:r w:rsidRPr="00E829A1">
        <w:rPr>
          <w:rFonts w:eastAsia="Calibri" w:cs="Times New Roman"/>
          <w:b/>
          <w:bCs/>
          <w:sz w:val="20"/>
          <w:szCs w:val="20"/>
          <w:lang w:val="fr-CA"/>
        </w:rPr>
        <w:t xml:space="preserve"> / 201</w:t>
      </w:r>
      <w:r>
        <w:rPr>
          <w:rFonts w:eastAsia="Calibri" w:cs="Times New Roman"/>
          <w:b/>
          <w:bCs/>
          <w:sz w:val="20"/>
          <w:szCs w:val="20"/>
          <w:lang w:val="fr-CA"/>
        </w:rPr>
        <w:t>4</w:t>
      </w:r>
      <w:r w:rsidRPr="00E829A1">
        <w:rPr>
          <w:rFonts w:eastAsia="Calibri" w:cs="Times New Roman"/>
          <w:b/>
          <w:bCs/>
          <w:sz w:val="20"/>
          <w:szCs w:val="20"/>
          <w:lang w:val="fr-CA"/>
        </w:rPr>
        <w:t xml:space="preserve"> CSC </w:t>
      </w:r>
      <w:r>
        <w:rPr>
          <w:rFonts w:eastAsia="Calibri" w:cs="Times New Roman"/>
          <w:b/>
          <w:bCs/>
          <w:sz w:val="20"/>
          <w:szCs w:val="20"/>
          <w:lang w:val="fr-CA"/>
        </w:rPr>
        <w:t>23</w:t>
      </w:r>
    </w:p>
    <w:p w:rsidR="005E31A3" w:rsidRPr="005E31A3" w:rsidRDefault="005E31A3" w:rsidP="005E31A3">
      <w:pPr>
        <w:widowControl w:val="0"/>
        <w:rPr>
          <w:sz w:val="20"/>
          <w:szCs w:val="20"/>
        </w:rPr>
      </w:pPr>
    </w:p>
    <w:p w:rsidR="005E31A3" w:rsidRPr="0085476B" w:rsidRDefault="005E31A3" w:rsidP="005E31A3">
      <w:pPr>
        <w:widowControl w:val="0"/>
        <w:rPr>
          <w:sz w:val="20"/>
          <w:szCs w:val="20"/>
        </w:rPr>
      </w:pPr>
      <w:r>
        <w:rPr>
          <w:b/>
          <w:sz w:val="20"/>
          <w:szCs w:val="20"/>
        </w:rPr>
        <w:t>ALLOW</w:t>
      </w:r>
      <w:r w:rsidRPr="0085476B">
        <w:rPr>
          <w:b/>
          <w:sz w:val="20"/>
          <w:szCs w:val="20"/>
        </w:rPr>
        <w:t xml:space="preserve">ED / </w:t>
      </w:r>
      <w:r>
        <w:rPr>
          <w:b/>
          <w:sz w:val="20"/>
          <w:szCs w:val="20"/>
        </w:rPr>
        <w:t>ACCU</w:t>
      </w:r>
      <w:r w:rsidRPr="0085476B">
        <w:rPr>
          <w:b/>
          <w:sz w:val="20"/>
          <w:szCs w:val="20"/>
          <w:lang w:val="fr-CA"/>
        </w:rPr>
        <w:t>EI</w:t>
      </w:r>
      <w:r>
        <w:rPr>
          <w:b/>
          <w:sz w:val="20"/>
          <w:szCs w:val="20"/>
          <w:lang w:val="fr-CA"/>
        </w:rPr>
        <w:t>LLI</w:t>
      </w:r>
    </w:p>
    <w:p w:rsidR="005E31A3" w:rsidRPr="005E31A3" w:rsidRDefault="005E31A3" w:rsidP="005E31A3">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5E31A3" w:rsidRPr="004F01F8" w:rsidTr="00392239">
        <w:tc>
          <w:tcPr>
            <w:tcW w:w="4380" w:type="dxa"/>
            <w:tcMar>
              <w:left w:w="0" w:type="dxa"/>
              <w:right w:w="0" w:type="dxa"/>
            </w:tcMar>
          </w:tcPr>
          <w:p w:rsidR="005E31A3" w:rsidRPr="00CC4D84" w:rsidRDefault="005E31A3" w:rsidP="00392239">
            <w:pPr>
              <w:widowControl w:val="0"/>
              <w:jc w:val="both"/>
              <w:rPr>
                <w:b/>
                <w:sz w:val="20"/>
                <w:szCs w:val="20"/>
                <w:u w:val="single"/>
              </w:rPr>
            </w:pPr>
            <w:r>
              <w:rPr>
                <w:b/>
                <w:sz w:val="20"/>
                <w:szCs w:val="20"/>
                <w:u w:val="single"/>
              </w:rPr>
              <w:t>JUDGMENT</w:t>
            </w:r>
            <w:r w:rsidRPr="00CC4D84">
              <w:rPr>
                <w:b/>
                <w:sz w:val="20"/>
                <w:szCs w:val="20"/>
                <w:u w:val="single"/>
              </w:rPr>
              <w:t>:</w:t>
            </w:r>
          </w:p>
          <w:p w:rsidR="005E31A3" w:rsidRPr="001A663B" w:rsidRDefault="005E31A3" w:rsidP="00392239">
            <w:pPr>
              <w:widowControl w:val="0"/>
              <w:jc w:val="both"/>
              <w:rPr>
                <w:b/>
                <w:sz w:val="20"/>
                <w:szCs w:val="20"/>
              </w:rPr>
            </w:pPr>
          </w:p>
          <w:p w:rsidR="00BD6A0C" w:rsidRPr="00BD0326" w:rsidRDefault="00BD6A0C" w:rsidP="00BD6A0C">
            <w:pPr>
              <w:jc w:val="both"/>
              <w:rPr>
                <w:sz w:val="20"/>
                <w:szCs w:val="20"/>
              </w:rPr>
            </w:pPr>
            <w:r w:rsidRPr="00BD0326">
              <w:rPr>
                <w:sz w:val="20"/>
                <w:szCs w:val="20"/>
              </w:rPr>
              <w:t xml:space="preserve">The appeal from the judgment of the Court of Appeal of Alberta (Calgary), Number 1201-0002-A, 2013 ABCA 283, dated August 12, 2013, was heard on March 21, 2014, and the Court on that day delivered the following judgment orally: </w:t>
            </w:r>
          </w:p>
          <w:p w:rsidR="00BD6A0C" w:rsidRPr="00BD0326" w:rsidRDefault="00BD6A0C" w:rsidP="00BD6A0C">
            <w:pPr>
              <w:jc w:val="both"/>
              <w:rPr>
                <w:sz w:val="20"/>
                <w:szCs w:val="20"/>
              </w:rPr>
            </w:pPr>
          </w:p>
          <w:p w:rsidR="00BD6A0C" w:rsidRPr="00BD0326" w:rsidRDefault="00BD6A0C" w:rsidP="00BD6A0C">
            <w:pPr>
              <w:jc w:val="both"/>
              <w:rPr>
                <w:sz w:val="20"/>
                <w:szCs w:val="20"/>
              </w:rPr>
            </w:pPr>
          </w:p>
          <w:p w:rsidR="005E31A3" w:rsidRPr="00C1697B" w:rsidRDefault="00BD6A0C" w:rsidP="00BD6A0C">
            <w:pPr>
              <w:jc w:val="both"/>
              <w:rPr>
                <w:b/>
                <w:sz w:val="20"/>
                <w:szCs w:val="20"/>
              </w:rPr>
            </w:pPr>
            <w:r w:rsidRPr="00BD0326">
              <w:rPr>
                <w:smallCaps/>
                <w:sz w:val="20"/>
                <w:szCs w:val="20"/>
                <w:lang w:val="en-US"/>
              </w:rPr>
              <w:t>LeBel J.</w:t>
            </w:r>
            <w:r w:rsidRPr="00BD0326">
              <w:rPr>
                <w:sz w:val="20"/>
                <w:szCs w:val="20"/>
                <w:lang w:val="en-US"/>
              </w:rPr>
              <w:t xml:space="preserve"> — We are al</w:t>
            </w:r>
            <w:r w:rsidRPr="00BD0326">
              <w:rPr>
                <w:sz w:val="20"/>
                <w:szCs w:val="20"/>
              </w:rPr>
              <w:t>l</w:t>
            </w:r>
            <w:r w:rsidRPr="00BD0326">
              <w:rPr>
                <w:sz w:val="20"/>
                <w:szCs w:val="20"/>
                <w:lang w:val="en-US"/>
              </w:rPr>
              <w:t xml:space="preserve"> of the view that the charge to the jury</w:t>
            </w:r>
            <w:r w:rsidRPr="00BD0326">
              <w:rPr>
                <w:sz w:val="20"/>
                <w:szCs w:val="20"/>
              </w:rPr>
              <w:t>,</w:t>
            </w:r>
            <w:r w:rsidRPr="00BD0326">
              <w:rPr>
                <w:sz w:val="20"/>
                <w:szCs w:val="20"/>
                <w:lang w:val="en-US"/>
              </w:rPr>
              <w:t xml:space="preserve"> read as a whole, contained no reversible error in relation to either voluntariness or intent. </w:t>
            </w:r>
            <w:r w:rsidRPr="00BD0326">
              <w:rPr>
                <w:sz w:val="20"/>
                <w:szCs w:val="20"/>
              </w:rPr>
              <w:t>For these reasons, the appeal is allowed and the convictions are restored.</w:t>
            </w:r>
          </w:p>
        </w:tc>
        <w:tc>
          <w:tcPr>
            <w:tcW w:w="720" w:type="dxa"/>
            <w:tcMar>
              <w:left w:w="0" w:type="dxa"/>
              <w:right w:w="0" w:type="dxa"/>
            </w:tcMar>
          </w:tcPr>
          <w:p w:rsidR="005E31A3" w:rsidRPr="00C1697B" w:rsidRDefault="005E31A3" w:rsidP="00392239">
            <w:pPr>
              <w:widowControl w:val="0"/>
              <w:jc w:val="center"/>
              <w:rPr>
                <w:sz w:val="20"/>
                <w:szCs w:val="20"/>
              </w:rPr>
            </w:pPr>
          </w:p>
        </w:tc>
        <w:tc>
          <w:tcPr>
            <w:tcW w:w="4380" w:type="dxa"/>
            <w:tcMar>
              <w:left w:w="0" w:type="dxa"/>
              <w:right w:w="0" w:type="dxa"/>
            </w:tcMar>
          </w:tcPr>
          <w:p w:rsidR="005E31A3" w:rsidRPr="00CC4D84" w:rsidRDefault="005E31A3" w:rsidP="00392239">
            <w:pPr>
              <w:widowControl w:val="0"/>
              <w:jc w:val="both"/>
              <w:rPr>
                <w:b/>
                <w:sz w:val="20"/>
                <w:szCs w:val="20"/>
                <w:u w:val="single"/>
                <w:lang w:val="fr-CA"/>
              </w:rPr>
            </w:pPr>
            <w:r>
              <w:rPr>
                <w:b/>
                <w:sz w:val="20"/>
                <w:szCs w:val="20"/>
                <w:u w:val="single"/>
                <w:lang w:val="fr-CA"/>
              </w:rPr>
              <w:t>JUGEMENT</w:t>
            </w:r>
            <w:r w:rsidRPr="00CC4D84">
              <w:rPr>
                <w:b/>
                <w:sz w:val="20"/>
                <w:szCs w:val="20"/>
                <w:u w:val="single"/>
                <w:lang w:val="fr-CA"/>
              </w:rPr>
              <w:t xml:space="preserve"> :</w:t>
            </w:r>
          </w:p>
          <w:p w:rsidR="005E31A3" w:rsidRPr="00C1697B" w:rsidRDefault="005E31A3" w:rsidP="00392239">
            <w:pPr>
              <w:widowControl w:val="0"/>
              <w:jc w:val="both"/>
              <w:rPr>
                <w:sz w:val="20"/>
                <w:szCs w:val="20"/>
                <w:lang w:val="fr-CA"/>
              </w:rPr>
            </w:pPr>
          </w:p>
          <w:p w:rsidR="00BD6A0C" w:rsidRPr="00BD0326" w:rsidRDefault="00BD6A0C" w:rsidP="00BD6A0C">
            <w:pPr>
              <w:jc w:val="both"/>
              <w:rPr>
                <w:sz w:val="20"/>
                <w:szCs w:val="20"/>
                <w:lang w:val="fr-CA"/>
              </w:rPr>
            </w:pPr>
            <w:r w:rsidRPr="00BD0326">
              <w:rPr>
                <w:sz w:val="20"/>
                <w:szCs w:val="20"/>
                <w:lang w:val="fr-CA"/>
              </w:rPr>
              <w:t>L’appel interjeté contre l’arrêt de la Cour d’appel de l’Alberta (Calgary), numéro 1201-0002-A, 2013 ABCA 283, en date du 12 août 2013, a été entendu le 21 mars 2014, et la Cour a prononcé oralement le même jour le jugement suivant :</w:t>
            </w:r>
          </w:p>
          <w:p w:rsidR="00BD6A0C" w:rsidRPr="00BD0326" w:rsidRDefault="00BD6A0C" w:rsidP="00BD6A0C">
            <w:pPr>
              <w:jc w:val="both"/>
              <w:rPr>
                <w:sz w:val="20"/>
                <w:szCs w:val="20"/>
                <w:lang w:val="fr-CA"/>
              </w:rPr>
            </w:pPr>
          </w:p>
          <w:p w:rsidR="00BD6A0C" w:rsidRPr="00BD0326" w:rsidRDefault="00BD6A0C" w:rsidP="00BD6A0C">
            <w:pPr>
              <w:jc w:val="both"/>
              <w:rPr>
                <w:sz w:val="20"/>
                <w:szCs w:val="20"/>
                <w:lang w:val="fr-CA"/>
              </w:rPr>
            </w:pPr>
            <w:r w:rsidRPr="00BD0326">
              <w:rPr>
                <w:sz w:val="20"/>
                <w:szCs w:val="20"/>
                <w:lang w:val="fr-CA"/>
              </w:rPr>
              <w:t>[</w:t>
            </w:r>
            <w:r w:rsidRPr="00BD0326">
              <w:rPr>
                <w:smallCaps/>
                <w:sz w:val="20"/>
                <w:szCs w:val="20"/>
                <w:lang w:val="fr-CA"/>
              </w:rPr>
              <w:t>traduction</w:t>
            </w:r>
            <w:r w:rsidRPr="00BD0326">
              <w:rPr>
                <w:sz w:val="20"/>
                <w:szCs w:val="20"/>
                <w:lang w:val="fr-CA"/>
              </w:rPr>
              <w:t>]</w:t>
            </w:r>
          </w:p>
          <w:p w:rsidR="005E31A3" w:rsidRPr="00C1697B" w:rsidRDefault="00BD6A0C" w:rsidP="00BD6A0C">
            <w:pPr>
              <w:jc w:val="both"/>
              <w:rPr>
                <w:sz w:val="20"/>
                <w:szCs w:val="20"/>
                <w:lang w:val="fr-CA"/>
              </w:rPr>
            </w:pPr>
            <w:r w:rsidRPr="00BD0326">
              <w:rPr>
                <w:smallCaps/>
                <w:sz w:val="20"/>
                <w:szCs w:val="20"/>
                <w:lang w:val="fr-CA"/>
              </w:rPr>
              <w:t>Le juge LeBel</w:t>
            </w:r>
            <w:r w:rsidRPr="00BD0326">
              <w:rPr>
                <w:sz w:val="20"/>
                <w:szCs w:val="20"/>
                <w:lang w:val="fr-CA"/>
              </w:rPr>
              <w:t xml:space="preserve"> — Nous sommes tous d’avis que, considéré globalement, l’exposé au jury ne renfermait aucune erreur susceptible de révision à l’égard soit du caractère volontaire soit de l’intention.  Pour ces motifs, l’appel est accueilli et les déclarations de culpabilité sont rétablies.</w:t>
            </w:r>
          </w:p>
        </w:tc>
      </w:tr>
    </w:tbl>
    <w:p w:rsidR="005E31A3" w:rsidRPr="005E31A3" w:rsidRDefault="005E31A3" w:rsidP="005E31A3">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1B1E7F" w:rsidRPr="004F01F8" w:rsidTr="001B1E7F">
        <w:tc>
          <w:tcPr>
            <w:tcW w:w="4380" w:type="dxa"/>
            <w:tcMar>
              <w:left w:w="0" w:type="dxa"/>
              <w:right w:w="0" w:type="dxa"/>
            </w:tcMar>
          </w:tcPr>
          <w:p w:rsidR="001B1E7F" w:rsidRPr="00CC4D84" w:rsidRDefault="001B1E7F" w:rsidP="001B1E7F">
            <w:pPr>
              <w:widowControl w:val="0"/>
              <w:jc w:val="both"/>
              <w:rPr>
                <w:b/>
                <w:sz w:val="20"/>
                <w:szCs w:val="20"/>
                <w:u w:val="single"/>
              </w:rPr>
            </w:pPr>
            <w:r w:rsidRPr="00CC4D84">
              <w:rPr>
                <w:b/>
                <w:sz w:val="20"/>
                <w:szCs w:val="20"/>
                <w:u w:val="single"/>
              </w:rPr>
              <w:t>Nature of the case:</w:t>
            </w:r>
          </w:p>
          <w:p w:rsidR="001B1E7F" w:rsidRPr="00C1697B" w:rsidRDefault="001B1E7F" w:rsidP="001B1E7F">
            <w:pPr>
              <w:widowControl w:val="0"/>
              <w:jc w:val="both"/>
              <w:rPr>
                <w:b/>
                <w:sz w:val="20"/>
                <w:szCs w:val="20"/>
              </w:rPr>
            </w:pPr>
          </w:p>
          <w:p w:rsidR="001B1E7F" w:rsidRPr="00C1697B" w:rsidRDefault="00831D9E" w:rsidP="001B1E7F">
            <w:pPr>
              <w:widowControl w:val="0"/>
              <w:jc w:val="both"/>
              <w:rPr>
                <w:b/>
                <w:sz w:val="20"/>
                <w:szCs w:val="20"/>
              </w:rPr>
            </w:pPr>
            <w:r w:rsidRPr="0018250E">
              <w:rPr>
                <w:sz w:val="20"/>
                <w:szCs w:val="20"/>
              </w:rPr>
              <w:t xml:space="preserve">Criminal law - Charge to jury - Defences - Air of reality - Curative proviso - Whether the jury instructions on intent and accident were adequate - Whether there was an air of reality to the panic defence - Whether the curative proviso in s. 686(1)(b)(iii) of the </w:t>
            </w:r>
            <w:r w:rsidRPr="0018250E">
              <w:rPr>
                <w:i/>
                <w:sz w:val="20"/>
                <w:szCs w:val="20"/>
              </w:rPr>
              <w:t>Criminal Code</w:t>
            </w:r>
            <w:r w:rsidRPr="0018250E">
              <w:rPr>
                <w:sz w:val="20"/>
                <w:szCs w:val="20"/>
              </w:rPr>
              <w:t>, R.S.C. 1985, c. C-46, was applicable.</w:t>
            </w:r>
          </w:p>
        </w:tc>
        <w:tc>
          <w:tcPr>
            <w:tcW w:w="720" w:type="dxa"/>
            <w:tcMar>
              <w:left w:w="0" w:type="dxa"/>
              <w:right w:w="0" w:type="dxa"/>
            </w:tcMar>
          </w:tcPr>
          <w:p w:rsidR="001B1E7F" w:rsidRPr="00C1697B" w:rsidRDefault="001B1E7F" w:rsidP="001B1E7F">
            <w:pPr>
              <w:widowControl w:val="0"/>
              <w:jc w:val="center"/>
              <w:rPr>
                <w:sz w:val="20"/>
                <w:szCs w:val="20"/>
              </w:rPr>
            </w:pPr>
          </w:p>
        </w:tc>
        <w:tc>
          <w:tcPr>
            <w:tcW w:w="4380" w:type="dxa"/>
            <w:tcMar>
              <w:left w:w="0" w:type="dxa"/>
              <w:right w:w="0" w:type="dxa"/>
            </w:tcMar>
          </w:tcPr>
          <w:p w:rsidR="001B1E7F" w:rsidRPr="00CC4D84" w:rsidRDefault="001B1E7F" w:rsidP="001B1E7F">
            <w:pPr>
              <w:widowControl w:val="0"/>
              <w:jc w:val="both"/>
              <w:rPr>
                <w:b/>
                <w:sz w:val="20"/>
                <w:szCs w:val="20"/>
                <w:u w:val="single"/>
                <w:lang w:val="fr-CA"/>
              </w:rPr>
            </w:pPr>
            <w:r w:rsidRPr="00CC4D84">
              <w:rPr>
                <w:b/>
                <w:sz w:val="20"/>
                <w:szCs w:val="20"/>
                <w:u w:val="single"/>
                <w:lang w:val="fr-CA"/>
              </w:rPr>
              <w:t>Nature de la cause :</w:t>
            </w:r>
          </w:p>
          <w:p w:rsidR="001B1E7F" w:rsidRPr="00C1697B" w:rsidRDefault="001B1E7F" w:rsidP="001B1E7F">
            <w:pPr>
              <w:widowControl w:val="0"/>
              <w:jc w:val="both"/>
              <w:rPr>
                <w:sz w:val="20"/>
                <w:szCs w:val="20"/>
                <w:lang w:val="fr-CA"/>
              </w:rPr>
            </w:pPr>
          </w:p>
          <w:p w:rsidR="001B1E7F" w:rsidRPr="00C1697B" w:rsidRDefault="00831D9E" w:rsidP="001B1E7F">
            <w:pPr>
              <w:widowControl w:val="0"/>
              <w:jc w:val="both"/>
              <w:rPr>
                <w:sz w:val="20"/>
                <w:szCs w:val="20"/>
                <w:lang w:val="fr-CA"/>
              </w:rPr>
            </w:pPr>
            <w:r w:rsidRPr="008E67A9">
              <w:rPr>
                <w:sz w:val="20"/>
                <w:szCs w:val="20"/>
                <w:lang w:val="fr-CA"/>
              </w:rPr>
              <w:t>Droit criminel - Exposé au jury - Moyens de défense - Vraisemblance - Disposition réparatrice - Les directives au jury sur l’intention et l’accident étaient-elles adéquates? - La défense de panique présentait-elle de la vraisemblance? - La disposition réparatrice du sous-al. 686(1)</w:t>
            </w:r>
            <w:r w:rsidRPr="008E67A9">
              <w:rPr>
                <w:i/>
                <w:sz w:val="20"/>
                <w:szCs w:val="20"/>
                <w:lang w:val="fr-CA"/>
              </w:rPr>
              <w:t>b)</w:t>
            </w:r>
            <w:r w:rsidRPr="008E67A9">
              <w:rPr>
                <w:sz w:val="20"/>
                <w:szCs w:val="20"/>
                <w:lang w:val="fr-CA"/>
              </w:rPr>
              <w:t>(iii) du</w:t>
            </w:r>
            <w:r w:rsidRPr="008E67A9">
              <w:rPr>
                <w:i/>
                <w:sz w:val="20"/>
                <w:szCs w:val="20"/>
                <w:lang w:val="fr-CA"/>
              </w:rPr>
              <w:t xml:space="preserve"> Code criminel</w:t>
            </w:r>
            <w:r w:rsidRPr="008E67A9">
              <w:rPr>
                <w:sz w:val="20"/>
                <w:szCs w:val="20"/>
                <w:lang w:val="fr-CA"/>
              </w:rPr>
              <w:t>, L.R.C. 1985, ch. C-46, était-elle applicable?</w:t>
            </w:r>
          </w:p>
        </w:tc>
      </w:tr>
    </w:tbl>
    <w:p w:rsidR="001B1E7F" w:rsidRDefault="001B1E7F" w:rsidP="001B1E7F">
      <w:pPr>
        <w:widowControl w:val="0"/>
        <w:rPr>
          <w:sz w:val="20"/>
          <w:szCs w:val="20"/>
          <w:lang w:val="fr-CA"/>
        </w:rPr>
      </w:pPr>
    </w:p>
    <w:p w:rsidR="001B1E7F" w:rsidRDefault="004F01F8" w:rsidP="001B1E7F">
      <w:pPr>
        <w:widowControl w:val="0"/>
        <w:rPr>
          <w:sz w:val="20"/>
          <w:szCs w:val="20"/>
        </w:rPr>
      </w:pPr>
      <w:r>
        <w:rPr>
          <w:sz w:val="20"/>
          <w:szCs w:val="20"/>
          <w:lang w:val="fr-CA"/>
        </w:rPr>
        <w:pict>
          <v:rect id="_x0000_i1068" style="width:2in;height:1pt" o:hrpct="0" o:hralign="center" o:hrstd="t" o:hrnoshade="t" o:hr="t" fillcolor="black [3213]" stroked="f"/>
        </w:pict>
      </w:r>
    </w:p>
    <w:p w:rsidR="001B1E7F" w:rsidRDefault="001B1E7F" w:rsidP="001B1E7F">
      <w:pPr>
        <w:widowControl w:val="0"/>
        <w:rPr>
          <w:sz w:val="20"/>
          <w:szCs w:val="20"/>
        </w:rPr>
      </w:pPr>
    </w:p>
    <w:p w:rsidR="001B1E7F" w:rsidRPr="00C50A5C" w:rsidRDefault="001B1E7F" w:rsidP="001B1E7F">
      <w:pPr>
        <w:widowControl w:val="0"/>
        <w:rPr>
          <w:sz w:val="20"/>
          <w:szCs w:val="20"/>
        </w:rPr>
      </w:pPr>
      <w:r>
        <w:rPr>
          <w:sz w:val="20"/>
          <w:szCs w:val="20"/>
        </w:rPr>
        <w:t>24</w:t>
      </w:r>
      <w:r w:rsidRPr="00C50A5C">
        <w:rPr>
          <w:sz w:val="20"/>
          <w:szCs w:val="20"/>
        </w:rPr>
        <w:t>.0</w:t>
      </w:r>
      <w:r>
        <w:rPr>
          <w:sz w:val="20"/>
          <w:szCs w:val="20"/>
        </w:rPr>
        <w:t>3</w:t>
      </w:r>
      <w:r w:rsidRPr="00C50A5C">
        <w:rPr>
          <w:sz w:val="20"/>
          <w:szCs w:val="20"/>
        </w:rPr>
        <w:t>.201</w:t>
      </w:r>
      <w:r>
        <w:rPr>
          <w:sz w:val="20"/>
          <w:szCs w:val="20"/>
        </w:rPr>
        <w:t>4</w:t>
      </w:r>
    </w:p>
    <w:p w:rsidR="001B1E7F" w:rsidRPr="00C50A5C" w:rsidRDefault="001B1E7F" w:rsidP="001B1E7F">
      <w:pPr>
        <w:widowControl w:val="0"/>
        <w:rPr>
          <w:sz w:val="20"/>
          <w:szCs w:val="20"/>
        </w:rPr>
      </w:pPr>
    </w:p>
    <w:p w:rsidR="001B1E7F" w:rsidRPr="00C50A5C" w:rsidRDefault="001B1E7F" w:rsidP="001B1E7F">
      <w:pPr>
        <w:widowControl w:val="0"/>
        <w:ind w:left="720" w:hanging="720"/>
        <w:rPr>
          <w:b/>
          <w:sz w:val="20"/>
          <w:szCs w:val="20"/>
        </w:rPr>
      </w:pPr>
      <w:r w:rsidRPr="00C50A5C">
        <w:rPr>
          <w:sz w:val="20"/>
          <w:szCs w:val="20"/>
        </w:rPr>
        <w:t xml:space="preserve">Coram: </w:t>
      </w:r>
      <w:r w:rsidRPr="00C50A5C">
        <w:rPr>
          <w:sz w:val="20"/>
          <w:szCs w:val="20"/>
        </w:rPr>
        <w:tab/>
      </w:r>
      <w:r w:rsidRPr="00C50A5C">
        <w:rPr>
          <w:sz w:val="20"/>
          <w:szCs w:val="20"/>
          <w:u w:val="single"/>
        </w:rPr>
        <w:t>McLachlin C.J. and LeBel, Abella, Rothstein</w:t>
      </w:r>
      <w:r>
        <w:rPr>
          <w:sz w:val="20"/>
          <w:szCs w:val="20"/>
          <w:u w:val="single"/>
        </w:rPr>
        <w:t xml:space="preserve">, </w:t>
      </w:r>
      <w:r w:rsidR="00072C86">
        <w:rPr>
          <w:sz w:val="20"/>
          <w:szCs w:val="20"/>
          <w:u w:val="single"/>
        </w:rPr>
        <w:t xml:space="preserve">Cromwell, </w:t>
      </w:r>
      <w:r>
        <w:rPr>
          <w:sz w:val="20"/>
          <w:szCs w:val="20"/>
          <w:u w:val="single"/>
        </w:rPr>
        <w:t>Moldaver</w:t>
      </w:r>
      <w:r w:rsidR="00072C86">
        <w:rPr>
          <w:sz w:val="20"/>
          <w:szCs w:val="20"/>
          <w:u w:val="single"/>
        </w:rPr>
        <w:t xml:space="preserve"> and</w:t>
      </w:r>
      <w:r>
        <w:rPr>
          <w:sz w:val="20"/>
          <w:szCs w:val="20"/>
          <w:u w:val="single"/>
        </w:rPr>
        <w:t xml:space="preserve"> Karakatsanis </w:t>
      </w:r>
      <w:r w:rsidRPr="00C50A5C">
        <w:rPr>
          <w:sz w:val="20"/>
          <w:szCs w:val="20"/>
          <w:u w:val="single"/>
        </w:rPr>
        <w:t>JJ.</w:t>
      </w:r>
      <w:r w:rsidRPr="00C50A5C">
        <w:rPr>
          <w:sz w:val="20"/>
          <w:szCs w:val="20"/>
        </w:rPr>
        <w:t xml:space="preserve"> </w:t>
      </w:r>
    </w:p>
    <w:p w:rsidR="001B1E7F" w:rsidRPr="00C50A5C" w:rsidRDefault="001B1E7F" w:rsidP="001B1E7F">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1B1E7F" w:rsidRPr="004F01F8" w:rsidTr="001B1E7F">
        <w:tc>
          <w:tcPr>
            <w:tcW w:w="4380" w:type="dxa"/>
            <w:tcMar>
              <w:left w:w="0" w:type="dxa"/>
              <w:right w:w="0" w:type="dxa"/>
            </w:tcMar>
          </w:tcPr>
          <w:p w:rsidR="001B1E7F" w:rsidRDefault="00072C86" w:rsidP="001B1E7F">
            <w:pPr>
              <w:widowControl w:val="0"/>
              <w:jc w:val="both"/>
              <w:rPr>
                <w:b/>
                <w:sz w:val="20"/>
                <w:szCs w:val="20"/>
              </w:rPr>
            </w:pPr>
            <w:r>
              <w:rPr>
                <w:b/>
                <w:sz w:val="20"/>
                <w:szCs w:val="20"/>
              </w:rPr>
              <w:t>Loyola High School et al.</w:t>
            </w:r>
          </w:p>
          <w:p w:rsidR="00072C86" w:rsidRPr="00C50A5C" w:rsidRDefault="00072C86" w:rsidP="001B1E7F">
            <w:pPr>
              <w:widowControl w:val="0"/>
              <w:jc w:val="both"/>
              <w:rPr>
                <w:b/>
                <w:sz w:val="20"/>
                <w:szCs w:val="20"/>
              </w:rPr>
            </w:pPr>
          </w:p>
          <w:p w:rsidR="001B1E7F" w:rsidRPr="00C50A5C" w:rsidRDefault="001B1E7F" w:rsidP="001B1E7F">
            <w:pPr>
              <w:widowControl w:val="0"/>
              <w:tabs>
                <w:tab w:val="left" w:pos="736"/>
              </w:tabs>
              <w:jc w:val="both"/>
              <w:rPr>
                <w:b/>
                <w:sz w:val="20"/>
                <w:szCs w:val="20"/>
              </w:rPr>
            </w:pPr>
            <w:r w:rsidRPr="00C50A5C">
              <w:rPr>
                <w:b/>
                <w:sz w:val="20"/>
                <w:szCs w:val="20"/>
              </w:rPr>
              <w:tab/>
              <w:t xml:space="preserve">v. </w:t>
            </w:r>
            <w:r w:rsidR="00B70321" w:rsidRPr="00BE1F26">
              <w:rPr>
                <w:rFonts w:eastAsia="Calibri"/>
                <w:sz w:val="20"/>
                <w:szCs w:val="20"/>
              </w:rPr>
              <w:t>(</w:t>
            </w:r>
            <w:hyperlink r:id="rId68" w:history="1">
              <w:r w:rsidR="00B70321" w:rsidRPr="00BE1F26">
                <w:rPr>
                  <w:rStyle w:val="Hyperlink"/>
                  <w:rFonts w:eastAsia="Calibri"/>
                  <w:sz w:val="20"/>
                  <w:szCs w:val="20"/>
                </w:rPr>
                <w:t>35201</w:t>
              </w:r>
            </w:hyperlink>
            <w:r w:rsidR="00B70321" w:rsidRPr="00BE1F26">
              <w:rPr>
                <w:rFonts w:eastAsia="Calibri"/>
                <w:sz w:val="20"/>
                <w:szCs w:val="20"/>
              </w:rPr>
              <w:t>)</w:t>
            </w:r>
          </w:p>
          <w:p w:rsidR="001B1E7F" w:rsidRPr="00C50A5C" w:rsidRDefault="001B1E7F" w:rsidP="001B1E7F">
            <w:pPr>
              <w:widowControl w:val="0"/>
              <w:jc w:val="both"/>
              <w:rPr>
                <w:b/>
                <w:sz w:val="20"/>
                <w:szCs w:val="20"/>
              </w:rPr>
            </w:pPr>
          </w:p>
          <w:p w:rsidR="001B1E7F" w:rsidRPr="00893C7B" w:rsidRDefault="00072C86" w:rsidP="00072C86">
            <w:pPr>
              <w:widowControl w:val="0"/>
              <w:jc w:val="both"/>
              <w:rPr>
                <w:sz w:val="20"/>
                <w:szCs w:val="20"/>
              </w:rPr>
            </w:pPr>
            <w:r>
              <w:rPr>
                <w:b/>
                <w:sz w:val="20"/>
                <w:szCs w:val="20"/>
              </w:rPr>
              <w:t>Attorney Ge</w:t>
            </w:r>
            <w:r w:rsidR="001B1E7F">
              <w:rPr>
                <w:b/>
                <w:sz w:val="20"/>
                <w:szCs w:val="20"/>
              </w:rPr>
              <w:t>ne</w:t>
            </w:r>
            <w:r>
              <w:rPr>
                <w:b/>
                <w:sz w:val="20"/>
                <w:szCs w:val="20"/>
              </w:rPr>
              <w:t xml:space="preserve">ral of </w:t>
            </w:r>
            <w:r w:rsidR="001B1E7F">
              <w:rPr>
                <w:b/>
                <w:sz w:val="20"/>
                <w:szCs w:val="20"/>
              </w:rPr>
              <w:t>Que</w:t>
            </w:r>
            <w:r>
              <w:rPr>
                <w:b/>
                <w:sz w:val="20"/>
                <w:szCs w:val="20"/>
              </w:rPr>
              <w:t>b</w:t>
            </w:r>
            <w:r w:rsidR="001B1E7F">
              <w:rPr>
                <w:b/>
                <w:sz w:val="20"/>
                <w:szCs w:val="20"/>
              </w:rPr>
              <w:t>e</w:t>
            </w:r>
            <w:r>
              <w:rPr>
                <w:b/>
                <w:sz w:val="20"/>
                <w:szCs w:val="20"/>
              </w:rPr>
              <w:t>c</w:t>
            </w:r>
            <w:r w:rsidR="001B1E7F" w:rsidRPr="00C50A5C">
              <w:rPr>
                <w:b/>
                <w:sz w:val="20"/>
                <w:szCs w:val="20"/>
              </w:rPr>
              <w:t xml:space="preserve"> (</w:t>
            </w:r>
            <w:r>
              <w:rPr>
                <w:b/>
                <w:sz w:val="20"/>
                <w:szCs w:val="20"/>
              </w:rPr>
              <w:t>Que</w:t>
            </w:r>
            <w:r w:rsidR="001B1E7F" w:rsidRPr="00C50A5C">
              <w:rPr>
                <w:b/>
                <w:sz w:val="20"/>
                <w:szCs w:val="20"/>
              </w:rPr>
              <w:t>.) (Ci</w:t>
            </w:r>
            <w:r>
              <w:rPr>
                <w:b/>
                <w:sz w:val="20"/>
                <w:szCs w:val="20"/>
              </w:rPr>
              <w:t>v</w:t>
            </w:r>
            <w:r w:rsidR="001B1E7F" w:rsidRPr="00C50A5C">
              <w:rPr>
                <w:b/>
                <w:sz w:val="20"/>
                <w:szCs w:val="20"/>
              </w:rPr>
              <w:t>il) (By</w:t>
            </w:r>
            <w:r>
              <w:rPr>
                <w:b/>
                <w:sz w:val="20"/>
                <w:szCs w:val="20"/>
              </w:rPr>
              <w:t> </w:t>
            </w:r>
            <w:r w:rsidR="001B1E7F" w:rsidRPr="00C50A5C">
              <w:rPr>
                <w:b/>
                <w:sz w:val="20"/>
                <w:szCs w:val="20"/>
              </w:rPr>
              <w:t>Leave)</w:t>
            </w:r>
          </w:p>
        </w:tc>
        <w:tc>
          <w:tcPr>
            <w:tcW w:w="720" w:type="dxa"/>
            <w:tcMar>
              <w:left w:w="0" w:type="dxa"/>
              <w:right w:w="0" w:type="dxa"/>
            </w:tcMar>
          </w:tcPr>
          <w:p w:rsidR="001B1E7F" w:rsidRPr="00893C7B" w:rsidRDefault="001B1E7F" w:rsidP="001B1E7F">
            <w:pPr>
              <w:widowControl w:val="0"/>
              <w:jc w:val="center"/>
              <w:rPr>
                <w:sz w:val="20"/>
                <w:szCs w:val="20"/>
              </w:rPr>
            </w:pPr>
          </w:p>
        </w:tc>
        <w:tc>
          <w:tcPr>
            <w:tcW w:w="4380" w:type="dxa"/>
            <w:tcMar>
              <w:left w:w="0" w:type="dxa"/>
              <w:right w:w="0" w:type="dxa"/>
            </w:tcMar>
          </w:tcPr>
          <w:p w:rsidR="00C05C25" w:rsidRPr="004B640F" w:rsidRDefault="00C05C25" w:rsidP="00C05C25">
            <w:pPr>
              <w:jc w:val="both"/>
              <w:rPr>
                <w:sz w:val="20"/>
                <w:szCs w:val="20"/>
                <w:lang w:val="en-US"/>
              </w:rPr>
            </w:pPr>
            <w:r w:rsidRPr="004B640F">
              <w:rPr>
                <w:sz w:val="20"/>
                <w:szCs w:val="20"/>
                <w:lang w:val="en-US"/>
              </w:rPr>
              <w:t>Mark Phillips</w:t>
            </w:r>
            <w:r>
              <w:rPr>
                <w:sz w:val="20"/>
                <w:szCs w:val="20"/>
                <w:lang w:val="en-US"/>
              </w:rPr>
              <w:t xml:space="preserve"> and </w:t>
            </w:r>
            <w:r w:rsidRPr="004B640F">
              <w:rPr>
                <w:sz w:val="20"/>
                <w:szCs w:val="20"/>
              </w:rPr>
              <w:t>Jacques S. Darche</w:t>
            </w:r>
            <w:r>
              <w:rPr>
                <w:sz w:val="20"/>
                <w:szCs w:val="20"/>
              </w:rPr>
              <w:t xml:space="preserve"> f</w:t>
            </w:r>
            <w:r w:rsidRPr="004B640F">
              <w:rPr>
                <w:sz w:val="20"/>
                <w:szCs w:val="20"/>
                <w:lang w:val="en-US"/>
              </w:rPr>
              <w:t xml:space="preserve">or the </w:t>
            </w:r>
            <w:r>
              <w:rPr>
                <w:sz w:val="20"/>
                <w:szCs w:val="20"/>
                <w:lang w:val="en-US"/>
              </w:rPr>
              <w:t>a</w:t>
            </w:r>
            <w:r w:rsidRPr="004B640F">
              <w:rPr>
                <w:sz w:val="20"/>
                <w:szCs w:val="20"/>
                <w:lang w:val="en-US"/>
              </w:rPr>
              <w:t>ppellants.</w:t>
            </w:r>
          </w:p>
          <w:p w:rsidR="00C05C25" w:rsidRPr="004B640F" w:rsidRDefault="00C05C25" w:rsidP="00C05C25">
            <w:pPr>
              <w:jc w:val="both"/>
              <w:rPr>
                <w:sz w:val="20"/>
                <w:szCs w:val="20"/>
              </w:rPr>
            </w:pPr>
          </w:p>
          <w:p w:rsidR="00C05C25" w:rsidRPr="004B640F" w:rsidRDefault="00C05C25" w:rsidP="00C05C25">
            <w:pPr>
              <w:jc w:val="both"/>
              <w:rPr>
                <w:sz w:val="20"/>
                <w:szCs w:val="20"/>
              </w:rPr>
            </w:pPr>
            <w:r w:rsidRPr="004B640F">
              <w:rPr>
                <w:sz w:val="20"/>
                <w:szCs w:val="20"/>
              </w:rPr>
              <w:t xml:space="preserve">Jean-Philippe Groleau, Guy Du Pont, Ad.E. and Léon H. Moubayed </w:t>
            </w:r>
            <w:r>
              <w:rPr>
                <w:sz w:val="20"/>
                <w:szCs w:val="20"/>
              </w:rPr>
              <w:t>f</w:t>
            </w:r>
            <w:r w:rsidRPr="004B640F">
              <w:rPr>
                <w:sz w:val="20"/>
                <w:szCs w:val="20"/>
              </w:rPr>
              <w:t xml:space="preserve">or the </w:t>
            </w:r>
            <w:r>
              <w:rPr>
                <w:sz w:val="20"/>
                <w:szCs w:val="20"/>
              </w:rPr>
              <w:t>i</w:t>
            </w:r>
            <w:r w:rsidRPr="004B640F">
              <w:rPr>
                <w:sz w:val="20"/>
                <w:szCs w:val="20"/>
              </w:rPr>
              <w:t>ntervener</w:t>
            </w:r>
            <w:r>
              <w:rPr>
                <w:sz w:val="20"/>
                <w:szCs w:val="20"/>
              </w:rPr>
              <w:t xml:space="preserve"> </w:t>
            </w:r>
            <w:r w:rsidRPr="004B640F">
              <w:rPr>
                <w:sz w:val="20"/>
                <w:szCs w:val="20"/>
              </w:rPr>
              <w:t>Canadian Civil Liberties Association</w:t>
            </w:r>
            <w:r>
              <w:rPr>
                <w:sz w:val="20"/>
                <w:szCs w:val="20"/>
              </w:rPr>
              <w:t>.</w:t>
            </w:r>
          </w:p>
          <w:p w:rsidR="00C05C25" w:rsidRPr="004B640F" w:rsidRDefault="00C05C25" w:rsidP="00C05C25">
            <w:pPr>
              <w:jc w:val="both"/>
              <w:rPr>
                <w:sz w:val="20"/>
                <w:szCs w:val="20"/>
                <w:lang w:val="en-US"/>
              </w:rPr>
            </w:pPr>
          </w:p>
          <w:p w:rsidR="00C05C25" w:rsidRPr="004B640F" w:rsidRDefault="00C05C25" w:rsidP="00C05C25">
            <w:pPr>
              <w:jc w:val="both"/>
              <w:rPr>
                <w:sz w:val="20"/>
                <w:szCs w:val="20"/>
              </w:rPr>
            </w:pPr>
            <w:r w:rsidRPr="004B640F">
              <w:rPr>
                <w:sz w:val="20"/>
                <w:szCs w:val="20"/>
                <w:lang w:val="en-US"/>
              </w:rPr>
              <w:t>Albertos Polizogopoulos</w:t>
            </w:r>
            <w:r>
              <w:rPr>
                <w:sz w:val="20"/>
                <w:szCs w:val="20"/>
                <w:lang w:val="en-US"/>
              </w:rPr>
              <w:t xml:space="preserve"> and </w:t>
            </w:r>
            <w:r w:rsidRPr="004B640F">
              <w:rPr>
                <w:sz w:val="20"/>
                <w:szCs w:val="20"/>
                <w:lang w:val="en-US"/>
              </w:rPr>
              <w:t>Don Hutchinson</w:t>
            </w:r>
            <w:r>
              <w:rPr>
                <w:sz w:val="20"/>
                <w:szCs w:val="20"/>
                <w:lang w:val="en-US"/>
              </w:rPr>
              <w:t xml:space="preserve"> f</w:t>
            </w:r>
            <w:r w:rsidRPr="004B640F">
              <w:rPr>
                <w:sz w:val="20"/>
                <w:szCs w:val="20"/>
                <w:lang w:val="en-US"/>
              </w:rPr>
              <w:t xml:space="preserve">or the </w:t>
            </w:r>
            <w:r>
              <w:rPr>
                <w:sz w:val="20"/>
                <w:szCs w:val="20"/>
                <w:lang w:val="en-US"/>
              </w:rPr>
              <w:t>i</w:t>
            </w:r>
            <w:r w:rsidRPr="004B640F">
              <w:rPr>
                <w:sz w:val="20"/>
                <w:szCs w:val="20"/>
                <w:lang w:val="en-US"/>
              </w:rPr>
              <w:t>ntervener</w:t>
            </w:r>
            <w:r>
              <w:rPr>
                <w:sz w:val="20"/>
                <w:szCs w:val="20"/>
                <w:lang w:val="en-US"/>
              </w:rPr>
              <w:t xml:space="preserve"> </w:t>
            </w:r>
            <w:r w:rsidRPr="004B640F">
              <w:rPr>
                <w:sz w:val="20"/>
                <w:szCs w:val="20"/>
              </w:rPr>
              <w:t>Evangelical Fellowship of Canada</w:t>
            </w:r>
            <w:r>
              <w:rPr>
                <w:sz w:val="20"/>
                <w:szCs w:val="20"/>
              </w:rPr>
              <w:t>.</w:t>
            </w:r>
          </w:p>
          <w:p w:rsidR="00C05C25" w:rsidRPr="004B640F" w:rsidRDefault="00C05C25" w:rsidP="00C05C25">
            <w:pPr>
              <w:jc w:val="both"/>
              <w:rPr>
                <w:sz w:val="20"/>
                <w:szCs w:val="20"/>
              </w:rPr>
            </w:pPr>
          </w:p>
          <w:p w:rsidR="00C05C25" w:rsidRPr="004B640F" w:rsidRDefault="00C05C25" w:rsidP="00C05C25">
            <w:pPr>
              <w:jc w:val="both"/>
              <w:rPr>
                <w:sz w:val="20"/>
                <w:szCs w:val="20"/>
              </w:rPr>
            </w:pPr>
            <w:r w:rsidRPr="004B640F">
              <w:rPr>
                <w:sz w:val="20"/>
                <w:szCs w:val="20"/>
                <w:lang w:val="en-US"/>
              </w:rPr>
              <w:t>Ranjan K. Agarwal</w:t>
            </w:r>
            <w:r>
              <w:rPr>
                <w:sz w:val="20"/>
                <w:szCs w:val="20"/>
                <w:lang w:val="en-US"/>
              </w:rPr>
              <w:t xml:space="preserve"> and </w:t>
            </w:r>
            <w:r w:rsidRPr="004B640F">
              <w:rPr>
                <w:sz w:val="20"/>
                <w:szCs w:val="20"/>
                <w:lang w:val="en-US"/>
              </w:rPr>
              <w:t xml:space="preserve">Jack R. Maslen </w:t>
            </w:r>
            <w:r>
              <w:rPr>
                <w:sz w:val="20"/>
                <w:szCs w:val="20"/>
                <w:lang w:val="en-US"/>
              </w:rPr>
              <w:t>f</w:t>
            </w:r>
            <w:r w:rsidRPr="004B640F">
              <w:rPr>
                <w:sz w:val="20"/>
                <w:szCs w:val="20"/>
                <w:lang w:val="en-US"/>
              </w:rPr>
              <w:t xml:space="preserve">or the </w:t>
            </w:r>
            <w:r>
              <w:rPr>
                <w:sz w:val="20"/>
                <w:szCs w:val="20"/>
                <w:lang w:val="en-US"/>
              </w:rPr>
              <w:t>i</w:t>
            </w:r>
            <w:r w:rsidRPr="004B640F">
              <w:rPr>
                <w:sz w:val="20"/>
                <w:szCs w:val="20"/>
                <w:lang w:val="en-US"/>
              </w:rPr>
              <w:t>nterveners</w:t>
            </w:r>
            <w:r>
              <w:rPr>
                <w:sz w:val="20"/>
                <w:szCs w:val="20"/>
                <w:lang w:val="en-US"/>
              </w:rPr>
              <w:t xml:space="preserve"> </w:t>
            </w:r>
            <w:r w:rsidRPr="004B640F">
              <w:rPr>
                <w:sz w:val="20"/>
                <w:szCs w:val="20"/>
              </w:rPr>
              <w:t>Catholic Civil Rights League et al.</w:t>
            </w:r>
          </w:p>
          <w:p w:rsidR="00C05C25" w:rsidRPr="004B640F" w:rsidRDefault="00C05C25" w:rsidP="00C05C25">
            <w:pPr>
              <w:jc w:val="both"/>
              <w:rPr>
                <w:sz w:val="20"/>
                <w:szCs w:val="20"/>
              </w:rPr>
            </w:pPr>
          </w:p>
          <w:p w:rsidR="00C05C25" w:rsidRPr="004B640F" w:rsidRDefault="00C05C25" w:rsidP="00C05C25">
            <w:pPr>
              <w:jc w:val="both"/>
              <w:rPr>
                <w:sz w:val="20"/>
                <w:szCs w:val="20"/>
              </w:rPr>
            </w:pPr>
            <w:r w:rsidRPr="004B640F">
              <w:rPr>
                <w:sz w:val="20"/>
                <w:szCs w:val="20"/>
                <w:lang w:val="en-US"/>
              </w:rPr>
              <w:t>Milton James Fernandes</w:t>
            </w:r>
            <w:r>
              <w:rPr>
                <w:sz w:val="20"/>
                <w:szCs w:val="20"/>
                <w:lang w:val="en-US"/>
              </w:rPr>
              <w:t xml:space="preserve"> and </w:t>
            </w:r>
            <w:r w:rsidRPr="004B640F">
              <w:rPr>
                <w:sz w:val="20"/>
                <w:szCs w:val="20"/>
              </w:rPr>
              <w:t>Sergio G. Famularo</w:t>
            </w:r>
            <w:r w:rsidRPr="004B640F">
              <w:rPr>
                <w:sz w:val="20"/>
                <w:szCs w:val="20"/>
                <w:lang w:val="en-US"/>
              </w:rPr>
              <w:t xml:space="preserve"> </w:t>
            </w:r>
            <w:r>
              <w:rPr>
                <w:sz w:val="20"/>
                <w:szCs w:val="20"/>
                <w:lang w:val="en-US"/>
              </w:rPr>
              <w:t>f</w:t>
            </w:r>
            <w:r w:rsidRPr="004B640F">
              <w:rPr>
                <w:sz w:val="20"/>
                <w:szCs w:val="20"/>
                <w:lang w:val="en-US"/>
              </w:rPr>
              <w:t xml:space="preserve">or the </w:t>
            </w:r>
            <w:r>
              <w:rPr>
                <w:sz w:val="20"/>
                <w:szCs w:val="20"/>
                <w:lang w:val="en-US"/>
              </w:rPr>
              <w:t>i</w:t>
            </w:r>
            <w:r w:rsidRPr="004B640F">
              <w:rPr>
                <w:sz w:val="20"/>
                <w:szCs w:val="20"/>
                <w:lang w:val="en-US"/>
              </w:rPr>
              <w:t>nterveners</w:t>
            </w:r>
            <w:r>
              <w:rPr>
                <w:sz w:val="20"/>
                <w:szCs w:val="20"/>
                <w:lang w:val="en-US"/>
              </w:rPr>
              <w:t xml:space="preserve"> </w:t>
            </w:r>
            <w:r w:rsidRPr="004B640F">
              <w:rPr>
                <w:sz w:val="20"/>
                <w:szCs w:val="20"/>
              </w:rPr>
              <w:t>Corporation Archiépiscopale Catholique</w:t>
            </w:r>
            <w:r>
              <w:rPr>
                <w:sz w:val="20"/>
                <w:szCs w:val="20"/>
              </w:rPr>
              <w:t xml:space="preserve"> </w:t>
            </w:r>
            <w:r w:rsidRPr="004B640F">
              <w:rPr>
                <w:sz w:val="20"/>
                <w:szCs w:val="20"/>
              </w:rPr>
              <w:t>Romaine de Montréal et al.</w:t>
            </w:r>
          </w:p>
          <w:p w:rsidR="00C05C25" w:rsidRPr="004B640F" w:rsidRDefault="00C05C25" w:rsidP="00C05C25">
            <w:pPr>
              <w:jc w:val="both"/>
              <w:rPr>
                <w:sz w:val="20"/>
                <w:szCs w:val="20"/>
              </w:rPr>
            </w:pPr>
          </w:p>
          <w:p w:rsidR="00C05C25" w:rsidRPr="004B640F" w:rsidRDefault="00C05C25" w:rsidP="00C05C25">
            <w:pPr>
              <w:jc w:val="both"/>
              <w:rPr>
                <w:sz w:val="20"/>
                <w:szCs w:val="20"/>
              </w:rPr>
            </w:pPr>
            <w:r w:rsidRPr="004B640F">
              <w:rPr>
                <w:sz w:val="20"/>
                <w:szCs w:val="20"/>
                <w:lang w:val="en-US"/>
              </w:rPr>
              <w:t>Palbinder K. Shergill, Q.C.</w:t>
            </w:r>
            <w:r>
              <w:rPr>
                <w:sz w:val="20"/>
                <w:szCs w:val="20"/>
                <w:lang w:val="en-US"/>
              </w:rPr>
              <w:t xml:space="preserve"> and </w:t>
            </w:r>
            <w:r w:rsidRPr="004B640F">
              <w:rPr>
                <w:sz w:val="20"/>
                <w:szCs w:val="20"/>
                <w:lang w:val="en-US"/>
              </w:rPr>
              <w:t xml:space="preserve">Balpreet Singh Boparai </w:t>
            </w:r>
            <w:r>
              <w:rPr>
                <w:sz w:val="20"/>
                <w:szCs w:val="20"/>
                <w:lang w:val="en-US"/>
              </w:rPr>
              <w:t>f</w:t>
            </w:r>
            <w:r w:rsidRPr="004B640F">
              <w:rPr>
                <w:sz w:val="20"/>
                <w:szCs w:val="20"/>
                <w:lang w:val="en-US"/>
              </w:rPr>
              <w:t xml:space="preserve">or the </w:t>
            </w:r>
            <w:r>
              <w:rPr>
                <w:sz w:val="20"/>
                <w:szCs w:val="20"/>
                <w:lang w:val="en-US"/>
              </w:rPr>
              <w:t>i</w:t>
            </w:r>
            <w:r w:rsidRPr="004B640F">
              <w:rPr>
                <w:sz w:val="20"/>
                <w:szCs w:val="20"/>
                <w:lang w:val="en-US"/>
              </w:rPr>
              <w:t>ntervener</w:t>
            </w:r>
            <w:r>
              <w:rPr>
                <w:sz w:val="20"/>
                <w:szCs w:val="20"/>
                <w:lang w:val="en-US"/>
              </w:rPr>
              <w:t xml:space="preserve"> </w:t>
            </w:r>
            <w:r w:rsidRPr="004B640F">
              <w:rPr>
                <w:sz w:val="20"/>
                <w:szCs w:val="20"/>
              </w:rPr>
              <w:t>World Sikh Organization of Canada</w:t>
            </w:r>
            <w:r>
              <w:rPr>
                <w:sz w:val="20"/>
                <w:szCs w:val="20"/>
              </w:rPr>
              <w:t>.</w:t>
            </w:r>
          </w:p>
          <w:p w:rsidR="00C05C25" w:rsidRPr="004B640F" w:rsidRDefault="00C05C25" w:rsidP="00C05C25">
            <w:pPr>
              <w:jc w:val="both"/>
              <w:rPr>
                <w:sz w:val="20"/>
                <w:szCs w:val="20"/>
              </w:rPr>
            </w:pPr>
          </w:p>
          <w:p w:rsidR="00C05C25" w:rsidRPr="004B640F" w:rsidRDefault="00C05C25" w:rsidP="00C05C25">
            <w:pPr>
              <w:jc w:val="both"/>
              <w:rPr>
                <w:sz w:val="20"/>
                <w:szCs w:val="20"/>
              </w:rPr>
            </w:pPr>
            <w:r w:rsidRPr="004B640F">
              <w:rPr>
                <w:sz w:val="20"/>
                <w:szCs w:val="20"/>
                <w:lang w:val="en-US"/>
              </w:rPr>
              <w:t>Robert E. Reynolds</w:t>
            </w:r>
            <w:r>
              <w:rPr>
                <w:sz w:val="20"/>
                <w:szCs w:val="20"/>
                <w:lang w:val="en-US"/>
              </w:rPr>
              <w:t xml:space="preserve"> and </w:t>
            </w:r>
            <w:r w:rsidRPr="004B640F">
              <w:rPr>
                <w:sz w:val="20"/>
                <w:szCs w:val="20"/>
                <w:lang w:val="en-US"/>
              </w:rPr>
              <w:t>Ruth Ross</w:t>
            </w:r>
            <w:r>
              <w:rPr>
                <w:sz w:val="20"/>
                <w:szCs w:val="20"/>
                <w:lang w:val="en-US"/>
              </w:rPr>
              <w:t xml:space="preserve"> f</w:t>
            </w:r>
            <w:r w:rsidRPr="004B640F">
              <w:rPr>
                <w:sz w:val="20"/>
                <w:szCs w:val="20"/>
                <w:lang w:val="en-US"/>
              </w:rPr>
              <w:t xml:space="preserve">or the </w:t>
            </w:r>
            <w:r>
              <w:rPr>
                <w:sz w:val="20"/>
                <w:szCs w:val="20"/>
                <w:lang w:val="en-US"/>
              </w:rPr>
              <w:t>i</w:t>
            </w:r>
            <w:r w:rsidRPr="004B640F">
              <w:rPr>
                <w:sz w:val="20"/>
                <w:szCs w:val="20"/>
                <w:lang w:val="en-US"/>
              </w:rPr>
              <w:t>ntervener</w:t>
            </w:r>
            <w:r>
              <w:rPr>
                <w:sz w:val="20"/>
                <w:szCs w:val="20"/>
                <w:lang w:val="en-US"/>
              </w:rPr>
              <w:t xml:space="preserve"> </w:t>
            </w:r>
            <w:r w:rsidRPr="004B640F">
              <w:rPr>
                <w:sz w:val="20"/>
                <w:szCs w:val="20"/>
              </w:rPr>
              <w:t>Christian Legal Fellowship</w:t>
            </w:r>
            <w:r>
              <w:rPr>
                <w:sz w:val="20"/>
                <w:szCs w:val="20"/>
              </w:rPr>
              <w:t>.</w:t>
            </w:r>
          </w:p>
          <w:p w:rsidR="00C05C25" w:rsidRPr="004B640F" w:rsidRDefault="00C05C25" w:rsidP="00C05C25">
            <w:pPr>
              <w:jc w:val="both"/>
              <w:rPr>
                <w:sz w:val="20"/>
                <w:szCs w:val="20"/>
              </w:rPr>
            </w:pPr>
          </w:p>
          <w:p w:rsidR="00C05C25" w:rsidRPr="004B640F" w:rsidRDefault="00C05C25" w:rsidP="00C05C25">
            <w:pPr>
              <w:jc w:val="both"/>
              <w:rPr>
                <w:sz w:val="20"/>
                <w:szCs w:val="20"/>
                <w:lang w:val="en-US"/>
              </w:rPr>
            </w:pPr>
            <w:r w:rsidRPr="004B640F">
              <w:rPr>
                <w:sz w:val="20"/>
                <w:szCs w:val="20"/>
                <w:lang w:val="en-US"/>
              </w:rPr>
              <w:t>Gerald D. Chipeur, Q.C.</w:t>
            </w:r>
            <w:r>
              <w:rPr>
                <w:sz w:val="20"/>
                <w:szCs w:val="20"/>
                <w:lang w:val="en-US"/>
              </w:rPr>
              <w:t xml:space="preserve"> and </w:t>
            </w:r>
            <w:r w:rsidRPr="004B640F">
              <w:rPr>
                <w:sz w:val="20"/>
                <w:szCs w:val="20"/>
                <w:lang w:val="en-US"/>
              </w:rPr>
              <w:t xml:space="preserve">Grace Mackintosh </w:t>
            </w:r>
            <w:r>
              <w:rPr>
                <w:sz w:val="20"/>
                <w:szCs w:val="20"/>
                <w:lang w:val="en-US"/>
              </w:rPr>
              <w:t>f</w:t>
            </w:r>
            <w:r w:rsidRPr="004B640F">
              <w:rPr>
                <w:sz w:val="20"/>
                <w:szCs w:val="20"/>
                <w:lang w:val="en-US"/>
              </w:rPr>
              <w:t xml:space="preserve">or the </w:t>
            </w:r>
            <w:r>
              <w:rPr>
                <w:sz w:val="20"/>
                <w:szCs w:val="20"/>
                <w:lang w:val="en-US"/>
              </w:rPr>
              <w:t>i</w:t>
            </w:r>
            <w:r w:rsidRPr="004B640F">
              <w:rPr>
                <w:sz w:val="20"/>
                <w:szCs w:val="20"/>
                <w:lang w:val="en-US"/>
              </w:rPr>
              <w:t>nterveners</w:t>
            </w:r>
            <w:r>
              <w:rPr>
                <w:sz w:val="20"/>
                <w:szCs w:val="20"/>
                <w:lang w:val="en-US"/>
              </w:rPr>
              <w:t xml:space="preserve"> </w:t>
            </w:r>
            <w:r w:rsidRPr="004B640F">
              <w:rPr>
                <w:sz w:val="20"/>
                <w:szCs w:val="20"/>
              </w:rPr>
              <w:t>Seventh-day Adventist Church in Canada et al.</w:t>
            </w:r>
          </w:p>
          <w:p w:rsidR="00C05C25" w:rsidRPr="004B640F" w:rsidRDefault="00C05C25" w:rsidP="00C05C25">
            <w:pPr>
              <w:jc w:val="both"/>
              <w:rPr>
                <w:sz w:val="20"/>
                <w:szCs w:val="20"/>
                <w:lang w:val="en-US"/>
              </w:rPr>
            </w:pPr>
          </w:p>
          <w:p w:rsidR="00C05C25" w:rsidRPr="004B640F" w:rsidRDefault="00C05C25" w:rsidP="00C05C25">
            <w:pPr>
              <w:jc w:val="both"/>
              <w:rPr>
                <w:sz w:val="20"/>
                <w:szCs w:val="20"/>
              </w:rPr>
            </w:pPr>
            <w:r w:rsidRPr="004B640F">
              <w:rPr>
                <w:sz w:val="20"/>
                <w:szCs w:val="20"/>
                <w:lang w:val="en-US"/>
              </w:rPr>
              <w:t xml:space="preserve">Written submissions </w:t>
            </w:r>
            <w:r>
              <w:rPr>
                <w:sz w:val="20"/>
                <w:szCs w:val="20"/>
                <w:lang w:val="en-US"/>
              </w:rPr>
              <w:t xml:space="preserve">only by </w:t>
            </w:r>
            <w:r w:rsidRPr="004B640F">
              <w:rPr>
                <w:sz w:val="20"/>
                <w:szCs w:val="20"/>
                <w:lang w:val="en-US"/>
              </w:rPr>
              <w:t>Ian C. Moes</w:t>
            </w:r>
            <w:r>
              <w:rPr>
                <w:sz w:val="20"/>
                <w:szCs w:val="20"/>
                <w:lang w:val="en-US"/>
              </w:rPr>
              <w:t xml:space="preserve"> and </w:t>
            </w:r>
            <w:r w:rsidRPr="004B640F">
              <w:rPr>
                <w:sz w:val="20"/>
                <w:szCs w:val="20"/>
                <w:lang w:val="en-US"/>
              </w:rPr>
              <w:t xml:space="preserve">André Schutten </w:t>
            </w:r>
            <w:r>
              <w:rPr>
                <w:sz w:val="20"/>
                <w:szCs w:val="20"/>
                <w:lang w:val="en-US"/>
              </w:rPr>
              <w:t>f</w:t>
            </w:r>
            <w:r w:rsidRPr="004B640F">
              <w:rPr>
                <w:sz w:val="20"/>
                <w:szCs w:val="20"/>
                <w:lang w:val="en-US"/>
              </w:rPr>
              <w:t xml:space="preserve">or the </w:t>
            </w:r>
            <w:r>
              <w:rPr>
                <w:sz w:val="20"/>
                <w:szCs w:val="20"/>
                <w:lang w:val="en-US"/>
              </w:rPr>
              <w:t>i</w:t>
            </w:r>
            <w:r w:rsidRPr="004B640F">
              <w:rPr>
                <w:sz w:val="20"/>
                <w:szCs w:val="20"/>
                <w:lang w:val="en-US"/>
              </w:rPr>
              <w:t>ntervener</w:t>
            </w:r>
            <w:r>
              <w:rPr>
                <w:sz w:val="20"/>
                <w:szCs w:val="20"/>
                <w:lang w:val="en-US"/>
              </w:rPr>
              <w:t xml:space="preserve"> </w:t>
            </w:r>
            <w:r w:rsidRPr="004B640F">
              <w:rPr>
                <w:sz w:val="20"/>
                <w:szCs w:val="20"/>
              </w:rPr>
              <w:t>Association of Christians Educators and Schools Canada</w:t>
            </w:r>
            <w:r>
              <w:rPr>
                <w:sz w:val="20"/>
                <w:szCs w:val="20"/>
              </w:rPr>
              <w:t>.</w:t>
            </w:r>
          </w:p>
          <w:p w:rsidR="00C05C25" w:rsidRPr="004B640F" w:rsidRDefault="00C05C25" w:rsidP="00C05C25">
            <w:pPr>
              <w:ind w:left="2880" w:firstLine="720"/>
              <w:jc w:val="both"/>
              <w:rPr>
                <w:sz w:val="20"/>
                <w:szCs w:val="20"/>
              </w:rPr>
            </w:pPr>
          </w:p>
          <w:p w:rsidR="00C05C25" w:rsidRDefault="00C05C25" w:rsidP="00C05C25">
            <w:pPr>
              <w:jc w:val="both"/>
              <w:rPr>
                <w:sz w:val="20"/>
                <w:szCs w:val="20"/>
              </w:rPr>
            </w:pPr>
            <w:r w:rsidRPr="004B640F">
              <w:rPr>
                <w:sz w:val="20"/>
                <w:szCs w:val="20"/>
                <w:lang w:val="en-US"/>
              </w:rPr>
              <w:t xml:space="preserve">Written submissions </w:t>
            </w:r>
            <w:r>
              <w:rPr>
                <w:sz w:val="20"/>
                <w:szCs w:val="20"/>
                <w:lang w:val="en-US"/>
              </w:rPr>
              <w:t xml:space="preserve">only by </w:t>
            </w:r>
            <w:r w:rsidRPr="004B640F">
              <w:rPr>
                <w:sz w:val="20"/>
                <w:szCs w:val="20"/>
                <w:lang w:val="en-US"/>
              </w:rPr>
              <w:t>Barry W. Bussey</w:t>
            </w:r>
            <w:r>
              <w:rPr>
                <w:sz w:val="20"/>
                <w:szCs w:val="20"/>
                <w:lang w:val="en-US"/>
              </w:rPr>
              <w:t xml:space="preserve"> and </w:t>
            </w:r>
            <w:r w:rsidRPr="004B640F">
              <w:rPr>
                <w:sz w:val="20"/>
                <w:szCs w:val="20"/>
                <w:lang w:val="en-US"/>
              </w:rPr>
              <w:t>Derek Ross</w:t>
            </w:r>
            <w:r>
              <w:rPr>
                <w:sz w:val="20"/>
                <w:szCs w:val="20"/>
                <w:lang w:val="en-US"/>
              </w:rPr>
              <w:t xml:space="preserve"> f</w:t>
            </w:r>
            <w:r w:rsidRPr="004B640F">
              <w:rPr>
                <w:sz w:val="20"/>
                <w:szCs w:val="20"/>
                <w:lang w:val="en-US"/>
              </w:rPr>
              <w:t xml:space="preserve">or the </w:t>
            </w:r>
            <w:r>
              <w:rPr>
                <w:sz w:val="20"/>
                <w:szCs w:val="20"/>
                <w:lang w:val="en-US"/>
              </w:rPr>
              <w:t>i</w:t>
            </w:r>
            <w:r w:rsidRPr="004B640F">
              <w:rPr>
                <w:sz w:val="20"/>
                <w:szCs w:val="20"/>
                <w:lang w:val="en-US"/>
              </w:rPr>
              <w:t>ntervener</w:t>
            </w:r>
            <w:r>
              <w:rPr>
                <w:sz w:val="20"/>
                <w:szCs w:val="20"/>
                <w:lang w:val="en-US"/>
              </w:rPr>
              <w:t xml:space="preserve"> C</w:t>
            </w:r>
            <w:r w:rsidRPr="004B640F">
              <w:rPr>
                <w:sz w:val="20"/>
                <w:szCs w:val="20"/>
              </w:rPr>
              <w:t>anadian Council of Christian Charities</w:t>
            </w:r>
            <w:r>
              <w:rPr>
                <w:sz w:val="20"/>
                <w:szCs w:val="20"/>
              </w:rPr>
              <w:t>.</w:t>
            </w:r>
          </w:p>
          <w:p w:rsidR="00C05C25" w:rsidRDefault="00C05C25" w:rsidP="00C05C25">
            <w:pPr>
              <w:jc w:val="both"/>
              <w:rPr>
                <w:sz w:val="20"/>
                <w:szCs w:val="20"/>
              </w:rPr>
            </w:pPr>
          </w:p>
          <w:p w:rsidR="00C05C25" w:rsidRDefault="00C05C25" w:rsidP="00C05C25">
            <w:pPr>
              <w:jc w:val="both"/>
              <w:rPr>
                <w:sz w:val="20"/>
                <w:szCs w:val="20"/>
              </w:rPr>
            </w:pPr>
            <w:r w:rsidRPr="004B640F">
              <w:rPr>
                <w:sz w:val="20"/>
                <w:szCs w:val="20"/>
                <w:lang w:val="en-US"/>
              </w:rPr>
              <w:t>Written submissions</w:t>
            </w:r>
            <w:r>
              <w:rPr>
                <w:sz w:val="20"/>
                <w:szCs w:val="20"/>
                <w:lang w:val="en-US"/>
              </w:rPr>
              <w:t xml:space="preserve"> </w:t>
            </w:r>
            <w:r w:rsidRPr="004B640F">
              <w:rPr>
                <w:sz w:val="20"/>
                <w:szCs w:val="20"/>
              </w:rPr>
              <w:t>only</w:t>
            </w:r>
            <w:r w:rsidRPr="004B640F">
              <w:rPr>
                <w:sz w:val="20"/>
                <w:szCs w:val="20"/>
                <w:lang w:val="en-US"/>
              </w:rPr>
              <w:t xml:space="preserve"> </w:t>
            </w:r>
            <w:r>
              <w:rPr>
                <w:sz w:val="20"/>
                <w:szCs w:val="20"/>
                <w:lang w:val="en-US"/>
              </w:rPr>
              <w:t xml:space="preserve">by </w:t>
            </w:r>
            <w:r w:rsidRPr="004B640F">
              <w:rPr>
                <w:sz w:val="20"/>
                <w:szCs w:val="20"/>
                <w:lang w:val="en-US"/>
              </w:rPr>
              <w:t>Blake Bromley</w:t>
            </w:r>
            <w:r>
              <w:rPr>
                <w:sz w:val="20"/>
                <w:szCs w:val="20"/>
                <w:lang w:val="en-US"/>
              </w:rPr>
              <w:t xml:space="preserve"> f</w:t>
            </w:r>
            <w:r w:rsidRPr="004B640F">
              <w:rPr>
                <w:sz w:val="20"/>
                <w:szCs w:val="20"/>
                <w:lang w:val="en-US"/>
              </w:rPr>
              <w:t xml:space="preserve">or the </w:t>
            </w:r>
            <w:r>
              <w:rPr>
                <w:sz w:val="20"/>
                <w:szCs w:val="20"/>
                <w:lang w:val="en-US"/>
              </w:rPr>
              <w:t>i</w:t>
            </w:r>
            <w:r w:rsidRPr="004B640F">
              <w:rPr>
                <w:sz w:val="20"/>
                <w:szCs w:val="20"/>
                <w:lang w:val="en-US"/>
              </w:rPr>
              <w:t>ntervener</w:t>
            </w:r>
            <w:r>
              <w:rPr>
                <w:sz w:val="20"/>
                <w:szCs w:val="20"/>
                <w:lang w:val="en-US"/>
              </w:rPr>
              <w:t xml:space="preserve"> </w:t>
            </w:r>
            <w:r w:rsidRPr="004B640F">
              <w:rPr>
                <w:sz w:val="20"/>
                <w:szCs w:val="20"/>
              </w:rPr>
              <w:t>Faith, Fealty and Creed Society</w:t>
            </w:r>
            <w:r>
              <w:rPr>
                <w:sz w:val="20"/>
                <w:szCs w:val="20"/>
              </w:rPr>
              <w:t>.</w:t>
            </w:r>
          </w:p>
          <w:p w:rsidR="00C05C25" w:rsidRDefault="00C05C25" w:rsidP="00C05C25">
            <w:pPr>
              <w:jc w:val="both"/>
              <w:rPr>
                <w:sz w:val="20"/>
                <w:szCs w:val="20"/>
              </w:rPr>
            </w:pPr>
          </w:p>
          <w:p w:rsidR="00C05C25" w:rsidRPr="004B640F" w:rsidRDefault="00C05C25" w:rsidP="00C05C25">
            <w:pPr>
              <w:jc w:val="both"/>
              <w:rPr>
                <w:sz w:val="20"/>
                <w:szCs w:val="20"/>
              </w:rPr>
            </w:pPr>
            <w:r w:rsidRPr="004B640F">
              <w:rPr>
                <w:sz w:val="20"/>
                <w:szCs w:val="20"/>
                <w:lang w:val="en-US"/>
              </w:rPr>
              <w:lastRenderedPageBreak/>
              <w:t>Written submissions</w:t>
            </w:r>
            <w:r>
              <w:rPr>
                <w:sz w:val="20"/>
                <w:szCs w:val="20"/>
                <w:lang w:val="en-US"/>
              </w:rPr>
              <w:t xml:space="preserve"> </w:t>
            </w:r>
            <w:r w:rsidRPr="004B640F">
              <w:rPr>
                <w:sz w:val="20"/>
                <w:szCs w:val="20"/>
              </w:rPr>
              <w:t>only</w:t>
            </w:r>
            <w:r w:rsidRPr="004B640F">
              <w:rPr>
                <w:sz w:val="20"/>
                <w:szCs w:val="20"/>
                <w:lang w:val="en-US"/>
              </w:rPr>
              <w:t xml:space="preserve"> </w:t>
            </w:r>
            <w:r>
              <w:rPr>
                <w:sz w:val="20"/>
                <w:szCs w:val="20"/>
                <w:lang w:val="en-US"/>
              </w:rPr>
              <w:t xml:space="preserve">by </w:t>
            </w:r>
            <w:r w:rsidRPr="004B640F">
              <w:rPr>
                <w:sz w:val="20"/>
                <w:szCs w:val="20"/>
                <w:lang w:val="en-US"/>
              </w:rPr>
              <w:t>Jean-Yves Côté</w:t>
            </w:r>
            <w:r>
              <w:rPr>
                <w:sz w:val="20"/>
                <w:szCs w:val="20"/>
                <w:lang w:val="en-US"/>
              </w:rPr>
              <w:t xml:space="preserve"> and </w:t>
            </w:r>
            <w:r w:rsidRPr="004B640F">
              <w:rPr>
                <w:sz w:val="20"/>
                <w:szCs w:val="20"/>
                <w:lang w:val="en-US"/>
              </w:rPr>
              <w:t>Paul D. Farris</w:t>
            </w:r>
            <w:r>
              <w:rPr>
                <w:sz w:val="20"/>
                <w:szCs w:val="20"/>
                <w:lang w:val="en-US"/>
              </w:rPr>
              <w:t xml:space="preserve"> f</w:t>
            </w:r>
            <w:r w:rsidRPr="004B640F">
              <w:rPr>
                <w:sz w:val="20"/>
                <w:szCs w:val="20"/>
                <w:lang w:val="en-US"/>
              </w:rPr>
              <w:t xml:space="preserve">or the </w:t>
            </w:r>
            <w:r>
              <w:rPr>
                <w:sz w:val="20"/>
                <w:szCs w:val="20"/>
                <w:lang w:val="en-US"/>
              </w:rPr>
              <w:t>i</w:t>
            </w:r>
            <w:r w:rsidRPr="004B640F">
              <w:rPr>
                <w:sz w:val="20"/>
                <w:szCs w:val="20"/>
                <w:lang w:val="en-US"/>
              </w:rPr>
              <w:t>ntervener</w:t>
            </w:r>
            <w:r>
              <w:rPr>
                <w:sz w:val="20"/>
                <w:szCs w:val="20"/>
                <w:lang w:val="en-US"/>
              </w:rPr>
              <w:t xml:space="preserve"> </w:t>
            </w:r>
            <w:r w:rsidRPr="004B640F">
              <w:rPr>
                <w:sz w:val="20"/>
                <w:szCs w:val="20"/>
              </w:rPr>
              <w:t>Home School Legal Defence Association of Canada.</w:t>
            </w:r>
          </w:p>
          <w:p w:rsidR="00C05C25" w:rsidRDefault="00C05C25" w:rsidP="00C05C25">
            <w:pPr>
              <w:jc w:val="both"/>
              <w:rPr>
                <w:sz w:val="20"/>
                <w:szCs w:val="20"/>
              </w:rPr>
            </w:pPr>
          </w:p>
          <w:p w:rsidR="001B1E7F" w:rsidRPr="00C05C25" w:rsidRDefault="00C05C25" w:rsidP="00C05C25">
            <w:pPr>
              <w:widowControl w:val="0"/>
              <w:jc w:val="both"/>
              <w:rPr>
                <w:sz w:val="20"/>
                <w:szCs w:val="20"/>
                <w:lang w:val="fr-CA"/>
              </w:rPr>
            </w:pPr>
            <w:r w:rsidRPr="004B640F">
              <w:rPr>
                <w:sz w:val="20"/>
                <w:szCs w:val="20"/>
                <w:lang w:val="fr-CA"/>
              </w:rPr>
              <w:t>Benoit Boucher</w:t>
            </w:r>
            <w:r>
              <w:rPr>
                <w:sz w:val="20"/>
                <w:szCs w:val="20"/>
                <w:lang w:val="fr-CA"/>
              </w:rPr>
              <w:t xml:space="preserve">, </w:t>
            </w:r>
            <w:r w:rsidRPr="004B640F">
              <w:rPr>
                <w:sz w:val="20"/>
                <w:szCs w:val="20"/>
                <w:lang w:val="fr-CA"/>
              </w:rPr>
              <w:t>Dominique Legault</w:t>
            </w:r>
            <w:r>
              <w:rPr>
                <w:sz w:val="20"/>
                <w:szCs w:val="20"/>
                <w:lang w:val="fr-CA"/>
              </w:rPr>
              <w:t xml:space="preserve">, </w:t>
            </w:r>
            <w:r w:rsidRPr="004B640F">
              <w:rPr>
                <w:sz w:val="20"/>
                <w:szCs w:val="20"/>
                <w:lang w:val="fr-CA"/>
              </w:rPr>
              <w:t>Amélie Pelletier-Desrosiers</w:t>
            </w:r>
            <w:r>
              <w:rPr>
                <w:sz w:val="20"/>
                <w:szCs w:val="20"/>
                <w:lang w:val="fr-CA"/>
              </w:rPr>
              <w:t xml:space="preserve"> et </w:t>
            </w:r>
            <w:r w:rsidRPr="004B640F">
              <w:rPr>
                <w:sz w:val="20"/>
                <w:szCs w:val="20"/>
                <w:lang w:val="fr-CA"/>
              </w:rPr>
              <w:t>Caroline Renaud</w:t>
            </w:r>
            <w:r>
              <w:rPr>
                <w:sz w:val="20"/>
                <w:szCs w:val="20"/>
                <w:lang w:val="fr-CA"/>
              </w:rPr>
              <w:t xml:space="preserve"> p</w:t>
            </w:r>
            <w:r w:rsidRPr="004B640F">
              <w:rPr>
                <w:sz w:val="20"/>
                <w:szCs w:val="20"/>
                <w:lang w:val="fr-CA"/>
              </w:rPr>
              <w:t>our l’intimé</w:t>
            </w:r>
            <w:r>
              <w:rPr>
                <w:sz w:val="20"/>
                <w:szCs w:val="20"/>
                <w:lang w:val="fr-CA"/>
              </w:rPr>
              <w:t>.</w:t>
            </w:r>
          </w:p>
        </w:tc>
      </w:tr>
    </w:tbl>
    <w:p w:rsidR="001B1E7F" w:rsidRPr="00C05C25" w:rsidRDefault="001B1E7F" w:rsidP="001B1E7F">
      <w:pPr>
        <w:widowControl w:val="0"/>
        <w:rPr>
          <w:lang w:val="fr-CA"/>
        </w:rPr>
      </w:pPr>
    </w:p>
    <w:p w:rsidR="001B1E7F" w:rsidRPr="0085476B" w:rsidRDefault="001B1E7F" w:rsidP="001B1E7F">
      <w:pPr>
        <w:widowControl w:val="0"/>
        <w:rPr>
          <w:sz w:val="20"/>
          <w:szCs w:val="20"/>
        </w:rPr>
      </w:pPr>
      <w:r w:rsidRPr="0085476B">
        <w:rPr>
          <w:b/>
          <w:sz w:val="20"/>
          <w:szCs w:val="20"/>
        </w:rPr>
        <w:t xml:space="preserve">RESERVED / </w:t>
      </w:r>
      <w:r w:rsidRPr="0085476B">
        <w:rPr>
          <w:b/>
          <w:sz w:val="20"/>
          <w:szCs w:val="20"/>
          <w:lang w:val="fr-CA"/>
        </w:rPr>
        <w:t>EN DÉLIBÉRÉ</w:t>
      </w:r>
    </w:p>
    <w:p w:rsidR="001B1E7F" w:rsidRDefault="001B1E7F" w:rsidP="001B1E7F"/>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1B1E7F" w:rsidRPr="004F01F8" w:rsidTr="001B1E7F">
        <w:tc>
          <w:tcPr>
            <w:tcW w:w="4380" w:type="dxa"/>
            <w:tcMar>
              <w:left w:w="0" w:type="dxa"/>
              <w:right w:w="0" w:type="dxa"/>
            </w:tcMar>
          </w:tcPr>
          <w:p w:rsidR="001B1E7F" w:rsidRPr="00CC4D84" w:rsidRDefault="001B1E7F" w:rsidP="001B1E7F">
            <w:pPr>
              <w:widowControl w:val="0"/>
              <w:jc w:val="both"/>
              <w:rPr>
                <w:b/>
                <w:sz w:val="20"/>
                <w:szCs w:val="20"/>
                <w:u w:val="single"/>
              </w:rPr>
            </w:pPr>
            <w:r w:rsidRPr="00CC4D84">
              <w:rPr>
                <w:b/>
                <w:sz w:val="20"/>
                <w:szCs w:val="20"/>
                <w:u w:val="single"/>
              </w:rPr>
              <w:t>Nature of the case:</w:t>
            </w:r>
          </w:p>
          <w:p w:rsidR="001B1E7F" w:rsidRPr="00C1697B" w:rsidRDefault="001B1E7F" w:rsidP="001B1E7F">
            <w:pPr>
              <w:widowControl w:val="0"/>
              <w:jc w:val="both"/>
              <w:rPr>
                <w:b/>
                <w:sz w:val="20"/>
                <w:szCs w:val="20"/>
              </w:rPr>
            </w:pPr>
          </w:p>
          <w:p w:rsidR="001B1E7F" w:rsidRPr="00C1697B" w:rsidRDefault="00C05C25" w:rsidP="001B1E7F">
            <w:pPr>
              <w:widowControl w:val="0"/>
              <w:jc w:val="both"/>
              <w:rPr>
                <w:b/>
                <w:sz w:val="20"/>
                <w:szCs w:val="20"/>
              </w:rPr>
            </w:pPr>
            <w:r w:rsidRPr="00AD2778">
              <w:rPr>
                <w:i/>
                <w:sz w:val="20"/>
                <w:szCs w:val="20"/>
              </w:rPr>
              <w:t>Canadian Charter of Rights and Freedoms</w:t>
            </w:r>
            <w:r w:rsidRPr="00AD2778">
              <w:rPr>
                <w:sz w:val="20"/>
                <w:szCs w:val="20"/>
              </w:rPr>
              <w:t xml:space="preserve"> - </w:t>
            </w:r>
            <w:r w:rsidRPr="00AD2778">
              <w:rPr>
                <w:i/>
                <w:sz w:val="20"/>
                <w:szCs w:val="20"/>
              </w:rPr>
              <w:t>Charter of Human Rights and Freedoms</w:t>
            </w:r>
            <w:r w:rsidRPr="00AD2778">
              <w:rPr>
                <w:sz w:val="20"/>
                <w:szCs w:val="20"/>
              </w:rPr>
              <w:t xml:space="preserve"> of Québec - Freedom of conscience and religion - Mandatory ethics and religious culture (“ERC”) program - Catholic school invoking freedom of conscience and religion in support of request for exemption to teach ERC subject using its own program - Request for exemption denied by Minister - Whether Appellant, as a religious educational institution, enjoys fundamental right of freedom of religion entrenched in s. 2a) of the </w:t>
            </w:r>
            <w:r w:rsidRPr="00AD2778">
              <w:rPr>
                <w:i/>
                <w:sz w:val="20"/>
                <w:szCs w:val="20"/>
              </w:rPr>
              <w:t>Canadian Charter of Rights and Freedoms</w:t>
            </w:r>
            <w:r w:rsidRPr="00AD2778">
              <w:rPr>
                <w:sz w:val="20"/>
                <w:szCs w:val="20"/>
              </w:rPr>
              <w:t xml:space="preserve"> and s. 3 of the </w:t>
            </w:r>
            <w:r w:rsidRPr="00AD2778">
              <w:rPr>
                <w:i/>
                <w:sz w:val="20"/>
                <w:szCs w:val="20"/>
              </w:rPr>
              <w:t>Charter of Human Rights and Freedoms</w:t>
            </w:r>
            <w:r w:rsidRPr="00AD2778">
              <w:rPr>
                <w:sz w:val="20"/>
                <w:szCs w:val="20"/>
              </w:rPr>
              <w:t xml:space="preserve"> of Québec - Applicable standard of review - Whether Minister’s decision was defensible on applicable standard of review.</w:t>
            </w:r>
          </w:p>
        </w:tc>
        <w:tc>
          <w:tcPr>
            <w:tcW w:w="720" w:type="dxa"/>
            <w:tcMar>
              <w:left w:w="0" w:type="dxa"/>
              <w:right w:w="0" w:type="dxa"/>
            </w:tcMar>
          </w:tcPr>
          <w:p w:rsidR="001B1E7F" w:rsidRPr="00C1697B" w:rsidRDefault="001B1E7F" w:rsidP="001B1E7F">
            <w:pPr>
              <w:widowControl w:val="0"/>
              <w:jc w:val="center"/>
              <w:rPr>
                <w:sz w:val="20"/>
                <w:szCs w:val="20"/>
              </w:rPr>
            </w:pPr>
          </w:p>
        </w:tc>
        <w:tc>
          <w:tcPr>
            <w:tcW w:w="4380" w:type="dxa"/>
            <w:tcMar>
              <w:left w:w="0" w:type="dxa"/>
              <w:right w:w="0" w:type="dxa"/>
            </w:tcMar>
          </w:tcPr>
          <w:p w:rsidR="001B1E7F" w:rsidRPr="00CC4D84" w:rsidRDefault="001B1E7F" w:rsidP="001B1E7F">
            <w:pPr>
              <w:widowControl w:val="0"/>
              <w:jc w:val="both"/>
              <w:rPr>
                <w:b/>
                <w:sz w:val="20"/>
                <w:szCs w:val="20"/>
                <w:u w:val="single"/>
                <w:lang w:val="fr-CA"/>
              </w:rPr>
            </w:pPr>
            <w:r w:rsidRPr="00CC4D84">
              <w:rPr>
                <w:b/>
                <w:sz w:val="20"/>
                <w:szCs w:val="20"/>
                <w:u w:val="single"/>
                <w:lang w:val="fr-CA"/>
              </w:rPr>
              <w:t>Nature de la cause :</w:t>
            </w:r>
          </w:p>
          <w:p w:rsidR="001B1E7F" w:rsidRPr="00C1697B" w:rsidRDefault="001B1E7F" w:rsidP="001B1E7F">
            <w:pPr>
              <w:widowControl w:val="0"/>
              <w:jc w:val="both"/>
              <w:rPr>
                <w:sz w:val="20"/>
                <w:szCs w:val="20"/>
                <w:lang w:val="fr-CA"/>
              </w:rPr>
            </w:pPr>
          </w:p>
          <w:p w:rsidR="001B1E7F" w:rsidRPr="00C1697B" w:rsidRDefault="00C05C25" w:rsidP="001B1E7F">
            <w:pPr>
              <w:widowControl w:val="0"/>
              <w:jc w:val="both"/>
              <w:rPr>
                <w:sz w:val="20"/>
                <w:szCs w:val="20"/>
                <w:lang w:val="fr-CA"/>
              </w:rPr>
            </w:pPr>
            <w:r w:rsidRPr="001C2973">
              <w:rPr>
                <w:i/>
                <w:sz w:val="20"/>
                <w:szCs w:val="20"/>
                <w:lang w:val="fr-CA"/>
              </w:rPr>
              <w:t>Charte canadienne des droits et libertés</w:t>
            </w:r>
            <w:r w:rsidRPr="001C2973">
              <w:rPr>
                <w:sz w:val="20"/>
                <w:szCs w:val="20"/>
                <w:lang w:val="fr-CA"/>
              </w:rPr>
              <w:t xml:space="preserve"> - </w:t>
            </w:r>
            <w:r w:rsidRPr="001C2973">
              <w:rPr>
                <w:i/>
                <w:sz w:val="20"/>
                <w:szCs w:val="20"/>
                <w:lang w:val="fr-CA"/>
              </w:rPr>
              <w:t xml:space="preserve">Charte des droits et libertés de la personne </w:t>
            </w:r>
            <w:r w:rsidRPr="001C2973">
              <w:rPr>
                <w:sz w:val="20"/>
                <w:szCs w:val="20"/>
                <w:lang w:val="fr-CA"/>
              </w:rPr>
              <w:t>du Québec</w:t>
            </w:r>
            <w:r w:rsidRPr="001C2973">
              <w:rPr>
                <w:i/>
                <w:sz w:val="20"/>
                <w:szCs w:val="20"/>
                <w:lang w:val="fr-CA"/>
              </w:rPr>
              <w:t xml:space="preserve"> </w:t>
            </w:r>
            <w:r w:rsidRPr="001C2973">
              <w:rPr>
                <w:sz w:val="20"/>
                <w:szCs w:val="20"/>
                <w:lang w:val="fr-CA"/>
              </w:rPr>
              <w:t>- Liberté de conscience et de religion - Programme obligatoire d’éthique et de culture religieuse (« ÉCR ») - Liberté de conscience et de religion invoquée par une école catholique à l’appui de sa demande d’exemption et de son droit d’enseigner l’ÉCR au moyen de son propre programme - Demande d’exemption refusée par la ministre - L’appelante, en tant qu’établissement d’enseignement religieux, jouit-elle du droit fondamental à la liberté de religion enchâssée à l’al. 2</w:t>
            </w:r>
            <w:r w:rsidRPr="001C2973">
              <w:rPr>
                <w:i/>
                <w:sz w:val="20"/>
                <w:szCs w:val="20"/>
                <w:lang w:val="fr-CA"/>
              </w:rPr>
              <w:t>a</w:t>
            </w:r>
            <w:r w:rsidRPr="001C2973">
              <w:rPr>
                <w:sz w:val="20"/>
                <w:szCs w:val="20"/>
                <w:lang w:val="fr-CA"/>
              </w:rPr>
              <w:t xml:space="preserve">) de la </w:t>
            </w:r>
            <w:r w:rsidRPr="001C2973">
              <w:rPr>
                <w:i/>
                <w:sz w:val="20"/>
                <w:szCs w:val="20"/>
                <w:lang w:val="fr-CA"/>
              </w:rPr>
              <w:t>Charte canadienne des droits et libertés</w:t>
            </w:r>
            <w:r w:rsidRPr="001C2973">
              <w:rPr>
                <w:sz w:val="20"/>
                <w:szCs w:val="20"/>
                <w:lang w:val="fr-CA"/>
              </w:rPr>
              <w:t xml:space="preserve"> et à l’art. 3 de la </w:t>
            </w:r>
            <w:r w:rsidRPr="001C2973">
              <w:rPr>
                <w:i/>
                <w:sz w:val="20"/>
                <w:szCs w:val="20"/>
                <w:lang w:val="fr-CA"/>
              </w:rPr>
              <w:t xml:space="preserve">Charte des droits et libertés de la personne </w:t>
            </w:r>
            <w:r w:rsidRPr="001C2973">
              <w:rPr>
                <w:sz w:val="20"/>
                <w:szCs w:val="20"/>
                <w:lang w:val="fr-CA"/>
              </w:rPr>
              <w:t>du Québec? - Norme de contrôle applicable - La décision de la ministre pouvait-elle se justifier au regard de la norme de contrôle applicable?</w:t>
            </w:r>
          </w:p>
        </w:tc>
      </w:tr>
    </w:tbl>
    <w:p w:rsidR="001B1E7F" w:rsidRDefault="001B1E7F" w:rsidP="001B1E7F">
      <w:pPr>
        <w:widowControl w:val="0"/>
        <w:rPr>
          <w:sz w:val="20"/>
          <w:szCs w:val="20"/>
          <w:lang w:val="fr-CA"/>
        </w:rPr>
      </w:pPr>
    </w:p>
    <w:p w:rsidR="002A27D1" w:rsidRDefault="004F01F8" w:rsidP="002A27D1">
      <w:pPr>
        <w:widowControl w:val="0"/>
        <w:rPr>
          <w:sz w:val="20"/>
          <w:szCs w:val="20"/>
        </w:rPr>
      </w:pPr>
      <w:r>
        <w:rPr>
          <w:sz w:val="20"/>
          <w:szCs w:val="20"/>
          <w:lang w:val="fr-CA"/>
        </w:rPr>
        <w:pict>
          <v:rect id="_x0000_i1069" style="width:2in;height:1pt" o:hrpct="0" o:hralign="center" o:hrstd="t" o:hrnoshade="t" o:hr="t" fillcolor="black [3213]" stroked="f"/>
        </w:pict>
      </w:r>
    </w:p>
    <w:p w:rsidR="002A27D1" w:rsidRDefault="002A27D1" w:rsidP="002A27D1">
      <w:pPr>
        <w:widowControl w:val="0"/>
        <w:rPr>
          <w:sz w:val="20"/>
          <w:szCs w:val="20"/>
        </w:rPr>
      </w:pPr>
    </w:p>
    <w:p w:rsidR="001B1E7F" w:rsidRPr="00C50A5C" w:rsidRDefault="001B1E7F" w:rsidP="001B1E7F">
      <w:pPr>
        <w:widowControl w:val="0"/>
        <w:rPr>
          <w:sz w:val="20"/>
          <w:szCs w:val="20"/>
        </w:rPr>
      </w:pPr>
      <w:r>
        <w:rPr>
          <w:sz w:val="20"/>
          <w:szCs w:val="20"/>
        </w:rPr>
        <w:t>25</w:t>
      </w:r>
      <w:r w:rsidRPr="00C50A5C">
        <w:rPr>
          <w:sz w:val="20"/>
          <w:szCs w:val="20"/>
        </w:rPr>
        <w:t>.0</w:t>
      </w:r>
      <w:r>
        <w:rPr>
          <w:sz w:val="20"/>
          <w:szCs w:val="20"/>
        </w:rPr>
        <w:t>3</w:t>
      </w:r>
      <w:r w:rsidRPr="00C50A5C">
        <w:rPr>
          <w:sz w:val="20"/>
          <w:szCs w:val="20"/>
        </w:rPr>
        <w:t>.201</w:t>
      </w:r>
      <w:r>
        <w:rPr>
          <w:sz w:val="20"/>
          <w:szCs w:val="20"/>
        </w:rPr>
        <w:t>4</w:t>
      </w:r>
    </w:p>
    <w:p w:rsidR="001B1E7F" w:rsidRPr="00C50A5C" w:rsidRDefault="001B1E7F" w:rsidP="001B1E7F">
      <w:pPr>
        <w:widowControl w:val="0"/>
        <w:rPr>
          <w:sz w:val="20"/>
          <w:szCs w:val="20"/>
        </w:rPr>
      </w:pPr>
    </w:p>
    <w:p w:rsidR="001B1E7F" w:rsidRPr="00C50A5C" w:rsidRDefault="001B1E7F" w:rsidP="001B1E7F">
      <w:pPr>
        <w:widowControl w:val="0"/>
        <w:ind w:left="720" w:hanging="720"/>
        <w:rPr>
          <w:b/>
          <w:sz w:val="20"/>
          <w:szCs w:val="20"/>
        </w:rPr>
      </w:pPr>
      <w:r w:rsidRPr="00C50A5C">
        <w:rPr>
          <w:sz w:val="20"/>
          <w:szCs w:val="20"/>
        </w:rPr>
        <w:t xml:space="preserve">Coram: </w:t>
      </w:r>
      <w:r w:rsidRPr="00C50A5C">
        <w:rPr>
          <w:sz w:val="20"/>
          <w:szCs w:val="20"/>
        </w:rPr>
        <w:tab/>
      </w:r>
      <w:r w:rsidRPr="00C50A5C">
        <w:rPr>
          <w:sz w:val="20"/>
          <w:szCs w:val="20"/>
          <w:u w:val="single"/>
        </w:rPr>
        <w:t>McLachlin C.J. and LeBel, Abella, Rothstein</w:t>
      </w:r>
      <w:r>
        <w:rPr>
          <w:sz w:val="20"/>
          <w:szCs w:val="20"/>
          <w:u w:val="single"/>
        </w:rPr>
        <w:t xml:space="preserve">, </w:t>
      </w:r>
      <w:r w:rsidRPr="00C50A5C">
        <w:rPr>
          <w:sz w:val="20"/>
          <w:szCs w:val="20"/>
          <w:u w:val="single"/>
        </w:rPr>
        <w:t>Cromwell</w:t>
      </w:r>
      <w:r>
        <w:rPr>
          <w:sz w:val="20"/>
          <w:szCs w:val="20"/>
          <w:u w:val="single"/>
        </w:rPr>
        <w:t xml:space="preserve">, Moldaver and </w:t>
      </w:r>
      <w:r w:rsidR="00072C86">
        <w:rPr>
          <w:sz w:val="20"/>
          <w:szCs w:val="20"/>
          <w:u w:val="single"/>
        </w:rPr>
        <w:t>W</w:t>
      </w:r>
      <w:r>
        <w:rPr>
          <w:sz w:val="20"/>
          <w:szCs w:val="20"/>
          <w:u w:val="single"/>
        </w:rPr>
        <w:t>a</w:t>
      </w:r>
      <w:r w:rsidR="00072C86">
        <w:rPr>
          <w:sz w:val="20"/>
          <w:szCs w:val="20"/>
          <w:u w:val="single"/>
        </w:rPr>
        <w:t>gner</w:t>
      </w:r>
      <w:r w:rsidRPr="00C50A5C">
        <w:rPr>
          <w:sz w:val="20"/>
          <w:szCs w:val="20"/>
          <w:u w:val="single"/>
        </w:rPr>
        <w:t xml:space="preserve"> JJ.</w:t>
      </w:r>
      <w:r w:rsidRPr="00C50A5C">
        <w:rPr>
          <w:sz w:val="20"/>
          <w:szCs w:val="20"/>
        </w:rPr>
        <w:t xml:space="preserve"> </w:t>
      </w:r>
    </w:p>
    <w:p w:rsidR="001B1E7F" w:rsidRPr="00C50A5C" w:rsidRDefault="001B1E7F" w:rsidP="001B1E7F">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1B1E7F" w:rsidRPr="00C50A5C" w:rsidTr="001B1E7F">
        <w:tc>
          <w:tcPr>
            <w:tcW w:w="4380" w:type="dxa"/>
            <w:tcMar>
              <w:left w:w="0" w:type="dxa"/>
              <w:right w:w="0" w:type="dxa"/>
            </w:tcMar>
          </w:tcPr>
          <w:p w:rsidR="001B1E7F" w:rsidRPr="00C50A5C" w:rsidRDefault="00072C86" w:rsidP="001B1E7F">
            <w:pPr>
              <w:widowControl w:val="0"/>
              <w:jc w:val="both"/>
              <w:rPr>
                <w:b/>
                <w:sz w:val="20"/>
                <w:szCs w:val="20"/>
              </w:rPr>
            </w:pPr>
            <w:r>
              <w:rPr>
                <w:b/>
                <w:sz w:val="20"/>
                <w:szCs w:val="20"/>
              </w:rPr>
              <w:t>Lui</w:t>
            </w:r>
            <w:r w:rsidR="001B1E7F">
              <w:rPr>
                <w:b/>
                <w:sz w:val="20"/>
                <w:szCs w:val="20"/>
              </w:rPr>
              <w:t>s</w:t>
            </w:r>
            <w:r>
              <w:rPr>
                <w:b/>
                <w:sz w:val="20"/>
                <w:szCs w:val="20"/>
              </w:rPr>
              <w:t xml:space="preserve"> Alber</w:t>
            </w:r>
            <w:r w:rsidR="001B1E7F">
              <w:rPr>
                <w:b/>
                <w:sz w:val="20"/>
                <w:szCs w:val="20"/>
              </w:rPr>
              <w:t>to</w:t>
            </w:r>
            <w:r>
              <w:rPr>
                <w:b/>
                <w:sz w:val="20"/>
                <w:szCs w:val="20"/>
              </w:rPr>
              <w:t xml:space="preserve"> Hernandez F</w:t>
            </w:r>
            <w:r w:rsidR="001B1E7F">
              <w:rPr>
                <w:b/>
                <w:sz w:val="20"/>
                <w:szCs w:val="20"/>
              </w:rPr>
              <w:t>e</w:t>
            </w:r>
            <w:r>
              <w:rPr>
                <w:b/>
                <w:sz w:val="20"/>
                <w:szCs w:val="20"/>
              </w:rPr>
              <w:t>bl</w:t>
            </w:r>
            <w:r w:rsidR="001B1E7F">
              <w:rPr>
                <w:b/>
                <w:sz w:val="20"/>
                <w:szCs w:val="20"/>
              </w:rPr>
              <w:t>e</w:t>
            </w:r>
            <w:r>
              <w:rPr>
                <w:b/>
                <w:sz w:val="20"/>
                <w:szCs w:val="20"/>
              </w:rPr>
              <w:t>s</w:t>
            </w:r>
          </w:p>
          <w:p w:rsidR="001B1E7F" w:rsidRPr="00C50A5C" w:rsidRDefault="001B1E7F" w:rsidP="001B1E7F">
            <w:pPr>
              <w:widowControl w:val="0"/>
              <w:jc w:val="both"/>
              <w:rPr>
                <w:b/>
                <w:sz w:val="20"/>
                <w:szCs w:val="20"/>
              </w:rPr>
            </w:pPr>
          </w:p>
          <w:p w:rsidR="001B1E7F" w:rsidRPr="00C50A5C" w:rsidRDefault="001B1E7F" w:rsidP="001B1E7F">
            <w:pPr>
              <w:widowControl w:val="0"/>
              <w:tabs>
                <w:tab w:val="left" w:pos="736"/>
              </w:tabs>
              <w:jc w:val="both"/>
              <w:rPr>
                <w:b/>
                <w:sz w:val="20"/>
                <w:szCs w:val="20"/>
              </w:rPr>
            </w:pPr>
            <w:r w:rsidRPr="00C50A5C">
              <w:rPr>
                <w:b/>
                <w:sz w:val="20"/>
                <w:szCs w:val="20"/>
              </w:rPr>
              <w:tab/>
              <w:t xml:space="preserve">v. </w:t>
            </w:r>
            <w:r w:rsidR="00DE67B1" w:rsidRPr="00737B84">
              <w:rPr>
                <w:rFonts w:eastAsia="Calibri"/>
                <w:sz w:val="20"/>
                <w:szCs w:val="20"/>
              </w:rPr>
              <w:t>(</w:t>
            </w:r>
            <w:hyperlink r:id="rId69" w:history="1">
              <w:r w:rsidR="00DE67B1" w:rsidRPr="00737B84">
                <w:rPr>
                  <w:rStyle w:val="Hyperlink"/>
                  <w:rFonts w:eastAsia="Calibri"/>
                  <w:sz w:val="20"/>
                  <w:szCs w:val="20"/>
                </w:rPr>
                <w:t>35215</w:t>
              </w:r>
            </w:hyperlink>
            <w:r w:rsidR="00DE67B1" w:rsidRPr="00737B84">
              <w:rPr>
                <w:rFonts w:eastAsia="Calibri"/>
                <w:sz w:val="20"/>
                <w:szCs w:val="20"/>
              </w:rPr>
              <w:t>)</w:t>
            </w:r>
          </w:p>
          <w:p w:rsidR="001B1E7F" w:rsidRPr="00C50A5C" w:rsidRDefault="001B1E7F" w:rsidP="001B1E7F">
            <w:pPr>
              <w:widowControl w:val="0"/>
              <w:jc w:val="both"/>
              <w:rPr>
                <w:b/>
                <w:sz w:val="20"/>
                <w:szCs w:val="20"/>
              </w:rPr>
            </w:pPr>
          </w:p>
          <w:p w:rsidR="001B1E7F" w:rsidRPr="00893C7B" w:rsidRDefault="00072C86" w:rsidP="00072C86">
            <w:pPr>
              <w:widowControl w:val="0"/>
              <w:jc w:val="both"/>
              <w:rPr>
                <w:sz w:val="20"/>
                <w:szCs w:val="20"/>
              </w:rPr>
            </w:pPr>
            <w:r>
              <w:rPr>
                <w:b/>
                <w:sz w:val="20"/>
                <w:szCs w:val="20"/>
              </w:rPr>
              <w:t>Min</w:t>
            </w:r>
            <w:r w:rsidR="001B1E7F" w:rsidRPr="00C50A5C">
              <w:rPr>
                <w:b/>
                <w:sz w:val="20"/>
                <w:szCs w:val="20"/>
              </w:rPr>
              <w:t>i</w:t>
            </w:r>
            <w:r>
              <w:rPr>
                <w:b/>
                <w:sz w:val="20"/>
                <w:szCs w:val="20"/>
              </w:rPr>
              <w:t>ster of Citizensh</w:t>
            </w:r>
            <w:r w:rsidR="001B1E7F" w:rsidRPr="00C50A5C">
              <w:rPr>
                <w:b/>
                <w:sz w:val="20"/>
                <w:szCs w:val="20"/>
              </w:rPr>
              <w:t>i</w:t>
            </w:r>
            <w:r>
              <w:rPr>
                <w:b/>
                <w:sz w:val="20"/>
                <w:szCs w:val="20"/>
              </w:rPr>
              <w:t>p and</w:t>
            </w:r>
            <w:r w:rsidR="001B1E7F">
              <w:rPr>
                <w:b/>
                <w:sz w:val="20"/>
                <w:szCs w:val="20"/>
              </w:rPr>
              <w:t xml:space="preserve"> I</w:t>
            </w:r>
            <w:r>
              <w:rPr>
                <w:b/>
                <w:sz w:val="20"/>
                <w:szCs w:val="20"/>
              </w:rPr>
              <w:t>mmig</w:t>
            </w:r>
            <w:r w:rsidR="001B1E7F">
              <w:rPr>
                <w:b/>
                <w:sz w:val="20"/>
                <w:szCs w:val="20"/>
              </w:rPr>
              <w:t>ra</w:t>
            </w:r>
            <w:r>
              <w:rPr>
                <w:b/>
                <w:sz w:val="20"/>
                <w:szCs w:val="20"/>
              </w:rPr>
              <w:t>tio</w:t>
            </w:r>
            <w:r w:rsidR="001B1E7F">
              <w:rPr>
                <w:b/>
                <w:sz w:val="20"/>
                <w:szCs w:val="20"/>
              </w:rPr>
              <w:t>n</w:t>
            </w:r>
            <w:r w:rsidR="001B1E7F" w:rsidRPr="00C50A5C">
              <w:rPr>
                <w:b/>
                <w:sz w:val="20"/>
                <w:szCs w:val="20"/>
              </w:rPr>
              <w:t xml:space="preserve"> (</w:t>
            </w:r>
            <w:r>
              <w:rPr>
                <w:b/>
                <w:sz w:val="20"/>
                <w:szCs w:val="20"/>
              </w:rPr>
              <w:t>F.C</w:t>
            </w:r>
            <w:r w:rsidR="001B1E7F" w:rsidRPr="00C50A5C">
              <w:rPr>
                <w:b/>
                <w:sz w:val="20"/>
                <w:szCs w:val="20"/>
              </w:rPr>
              <w:t>.) (Civil) (By Leave)</w:t>
            </w:r>
          </w:p>
        </w:tc>
        <w:tc>
          <w:tcPr>
            <w:tcW w:w="720" w:type="dxa"/>
            <w:tcMar>
              <w:left w:w="0" w:type="dxa"/>
              <w:right w:w="0" w:type="dxa"/>
            </w:tcMar>
          </w:tcPr>
          <w:p w:rsidR="001B1E7F" w:rsidRPr="00893C7B" w:rsidRDefault="001B1E7F" w:rsidP="001B1E7F">
            <w:pPr>
              <w:widowControl w:val="0"/>
              <w:jc w:val="center"/>
              <w:rPr>
                <w:sz w:val="20"/>
                <w:szCs w:val="20"/>
              </w:rPr>
            </w:pPr>
          </w:p>
        </w:tc>
        <w:tc>
          <w:tcPr>
            <w:tcW w:w="4380" w:type="dxa"/>
            <w:tcMar>
              <w:left w:w="0" w:type="dxa"/>
              <w:right w:w="0" w:type="dxa"/>
            </w:tcMar>
          </w:tcPr>
          <w:p w:rsidR="006444F8" w:rsidRPr="009B348A" w:rsidRDefault="006444F8" w:rsidP="006444F8">
            <w:pPr>
              <w:jc w:val="both"/>
              <w:rPr>
                <w:sz w:val="20"/>
                <w:szCs w:val="20"/>
                <w:lang w:val="en-US"/>
              </w:rPr>
            </w:pPr>
            <w:r w:rsidRPr="009B348A">
              <w:rPr>
                <w:sz w:val="20"/>
                <w:szCs w:val="20"/>
                <w:lang w:val="en-US"/>
              </w:rPr>
              <w:t>Jared Will</w:t>
            </w:r>
            <w:r>
              <w:rPr>
                <w:sz w:val="20"/>
                <w:szCs w:val="20"/>
                <w:lang w:val="en-US"/>
              </w:rPr>
              <w:t xml:space="preserve"> and </w:t>
            </w:r>
            <w:r w:rsidRPr="009B348A">
              <w:rPr>
                <w:sz w:val="20"/>
                <w:szCs w:val="20"/>
                <w:lang w:val="en-US"/>
              </w:rPr>
              <w:t xml:space="preserve">Peter Shams </w:t>
            </w:r>
            <w:r>
              <w:rPr>
                <w:sz w:val="20"/>
                <w:szCs w:val="20"/>
                <w:lang w:val="en-US"/>
              </w:rPr>
              <w:t>f</w:t>
            </w:r>
            <w:r w:rsidRPr="009B348A">
              <w:rPr>
                <w:sz w:val="20"/>
                <w:szCs w:val="20"/>
                <w:lang w:val="en-US"/>
              </w:rPr>
              <w:t xml:space="preserve">or the </w:t>
            </w:r>
            <w:r>
              <w:rPr>
                <w:sz w:val="20"/>
                <w:szCs w:val="20"/>
                <w:lang w:val="en-US"/>
              </w:rPr>
              <w:t>a</w:t>
            </w:r>
            <w:r w:rsidRPr="009B348A">
              <w:rPr>
                <w:sz w:val="20"/>
                <w:szCs w:val="20"/>
                <w:lang w:val="en-US"/>
              </w:rPr>
              <w:t>ppellant.</w:t>
            </w:r>
          </w:p>
          <w:p w:rsidR="006444F8" w:rsidRPr="009B348A" w:rsidRDefault="006444F8" w:rsidP="006444F8">
            <w:pPr>
              <w:jc w:val="both"/>
              <w:rPr>
                <w:sz w:val="20"/>
                <w:szCs w:val="20"/>
                <w:lang w:val="en-US"/>
              </w:rPr>
            </w:pPr>
          </w:p>
          <w:p w:rsidR="006444F8" w:rsidRPr="009B348A" w:rsidRDefault="006444F8" w:rsidP="006444F8">
            <w:pPr>
              <w:jc w:val="both"/>
              <w:rPr>
                <w:sz w:val="20"/>
                <w:szCs w:val="20"/>
              </w:rPr>
            </w:pPr>
            <w:r w:rsidRPr="009B348A">
              <w:rPr>
                <w:sz w:val="20"/>
                <w:szCs w:val="20"/>
                <w:lang w:val="en-US"/>
              </w:rPr>
              <w:t>Jennifer Klinck</w:t>
            </w:r>
            <w:r>
              <w:rPr>
                <w:sz w:val="20"/>
                <w:szCs w:val="20"/>
                <w:lang w:val="en-US"/>
              </w:rPr>
              <w:t xml:space="preserve">, </w:t>
            </w:r>
            <w:r w:rsidRPr="009B348A">
              <w:rPr>
                <w:sz w:val="20"/>
                <w:szCs w:val="20"/>
              </w:rPr>
              <w:t>Perri Ravon</w:t>
            </w:r>
            <w:r>
              <w:rPr>
                <w:sz w:val="20"/>
                <w:szCs w:val="20"/>
              </w:rPr>
              <w:t xml:space="preserve">, </w:t>
            </w:r>
            <w:r w:rsidRPr="009B348A">
              <w:rPr>
                <w:sz w:val="20"/>
                <w:szCs w:val="20"/>
              </w:rPr>
              <w:t>Michael Sabet</w:t>
            </w:r>
            <w:r>
              <w:rPr>
                <w:sz w:val="20"/>
                <w:szCs w:val="20"/>
              </w:rPr>
              <w:t xml:space="preserve"> and </w:t>
            </w:r>
            <w:r w:rsidRPr="009B348A">
              <w:rPr>
                <w:sz w:val="20"/>
                <w:szCs w:val="20"/>
              </w:rPr>
              <w:t>Justin Dubois</w:t>
            </w:r>
            <w:r w:rsidRPr="009B348A">
              <w:rPr>
                <w:sz w:val="20"/>
                <w:szCs w:val="20"/>
                <w:lang w:val="en-US"/>
              </w:rPr>
              <w:t xml:space="preserve"> </w:t>
            </w:r>
            <w:r>
              <w:rPr>
                <w:sz w:val="20"/>
                <w:szCs w:val="20"/>
                <w:lang w:val="en-US"/>
              </w:rPr>
              <w:t>f</w:t>
            </w:r>
            <w:r w:rsidRPr="009B348A">
              <w:rPr>
                <w:sz w:val="20"/>
                <w:szCs w:val="20"/>
                <w:lang w:val="en-US"/>
              </w:rPr>
              <w:t>or the Intervener</w:t>
            </w:r>
            <w:r>
              <w:rPr>
                <w:sz w:val="20"/>
                <w:szCs w:val="20"/>
                <w:lang w:val="en-US"/>
              </w:rPr>
              <w:t xml:space="preserve"> A</w:t>
            </w:r>
            <w:r w:rsidRPr="009B348A">
              <w:rPr>
                <w:sz w:val="20"/>
                <w:szCs w:val="20"/>
              </w:rPr>
              <w:t>mnesty International</w:t>
            </w:r>
            <w:r>
              <w:rPr>
                <w:sz w:val="20"/>
                <w:szCs w:val="20"/>
              </w:rPr>
              <w:t>.</w:t>
            </w:r>
          </w:p>
          <w:p w:rsidR="006444F8" w:rsidRPr="009B348A" w:rsidRDefault="006444F8" w:rsidP="006444F8">
            <w:pPr>
              <w:jc w:val="both"/>
              <w:rPr>
                <w:sz w:val="20"/>
                <w:szCs w:val="20"/>
              </w:rPr>
            </w:pPr>
          </w:p>
          <w:p w:rsidR="006444F8" w:rsidRPr="009B348A" w:rsidRDefault="006444F8" w:rsidP="006444F8">
            <w:pPr>
              <w:jc w:val="both"/>
              <w:rPr>
                <w:sz w:val="20"/>
                <w:szCs w:val="20"/>
                <w:lang w:val="en-US"/>
              </w:rPr>
            </w:pPr>
            <w:r w:rsidRPr="009B348A">
              <w:rPr>
                <w:sz w:val="20"/>
                <w:szCs w:val="20"/>
                <w:lang w:val="en-US"/>
              </w:rPr>
              <w:t>John Terry</w:t>
            </w:r>
            <w:r>
              <w:rPr>
                <w:sz w:val="20"/>
                <w:szCs w:val="20"/>
                <w:lang w:val="en-US"/>
              </w:rPr>
              <w:t xml:space="preserve">, </w:t>
            </w:r>
            <w:r w:rsidRPr="009B348A">
              <w:rPr>
                <w:sz w:val="20"/>
                <w:szCs w:val="20"/>
                <w:lang w:val="en-US"/>
              </w:rPr>
              <w:t>Ryan Lax</w:t>
            </w:r>
            <w:r>
              <w:rPr>
                <w:sz w:val="20"/>
                <w:szCs w:val="20"/>
                <w:lang w:val="en-US"/>
              </w:rPr>
              <w:t xml:space="preserve"> and </w:t>
            </w:r>
            <w:r w:rsidRPr="009B348A">
              <w:rPr>
                <w:sz w:val="20"/>
                <w:szCs w:val="20"/>
                <w:lang w:val="en-US"/>
              </w:rPr>
              <w:t xml:space="preserve">Rana R. Khan </w:t>
            </w:r>
            <w:r>
              <w:rPr>
                <w:sz w:val="20"/>
                <w:szCs w:val="20"/>
                <w:lang w:val="en-US"/>
              </w:rPr>
              <w:t>f</w:t>
            </w:r>
            <w:r w:rsidRPr="009B348A">
              <w:rPr>
                <w:sz w:val="20"/>
                <w:szCs w:val="20"/>
                <w:lang w:val="en-US"/>
              </w:rPr>
              <w:t xml:space="preserve">or the </w:t>
            </w:r>
            <w:r>
              <w:rPr>
                <w:sz w:val="20"/>
                <w:szCs w:val="20"/>
                <w:lang w:val="en-US"/>
              </w:rPr>
              <w:t>i</w:t>
            </w:r>
            <w:r w:rsidRPr="009B348A">
              <w:rPr>
                <w:sz w:val="20"/>
                <w:szCs w:val="20"/>
                <w:lang w:val="en-US"/>
              </w:rPr>
              <w:t>ntervener</w:t>
            </w:r>
            <w:r>
              <w:rPr>
                <w:sz w:val="20"/>
                <w:szCs w:val="20"/>
                <w:lang w:val="en-US"/>
              </w:rPr>
              <w:t xml:space="preserve"> </w:t>
            </w:r>
            <w:r w:rsidRPr="009B348A">
              <w:rPr>
                <w:sz w:val="20"/>
                <w:szCs w:val="20"/>
              </w:rPr>
              <w:t>United Nations High Commissioner for Refugees</w:t>
            </w:r>
            <w:r>
              <w:rPr>
                <w:sz w:val="20"/>
                <w:szCs w:val="20"/>
              </w:rPr>
              <w:t>.</w:t>
            </w:r>
          </w:p>
          <w:p w:rsidR="006444F8" w:rsidRPr="009B348A" w:rsidRDefault="006444F8" w:rsidP="006444F8">
            <w:pPr>
              <w:jc w:val="both"/>
              <w:rPr>
                <w:sz w:val="20"/>
                <w:szCs w:val="20"/>
                <w:lang w:val="en-US"/>
              </w:rPr>
            </w:pPr>
          </w:p>
          <w:p w:rsidR="006444F8" w:rsidRPr="009B348A" w:rsidRDefault="006444F8" w:rsidP="006444F8">
            <w:pPr>
              <w:jc w:val="both"/>
              <w:rPr>
                <w:sz w:val="20"/>
                <w:szCs w:val="20"/>
              </w:rPr>
            </w:pPr>
            <w:r w:rsidRPr="009B348A">
              <w:rPr>
                <w:sz w:val="20"/>
                <w:szCs w:val="20"/>
                <w:lang w:val="en-US"/>
              </w:rPr>
              <w:t>Aviva Basman</w:t>
            </w:r>
            <w:r>
              <w:rPr>
                <w:sz w:val="20"/>
                <w:szCs w:val="20"/>
                <w:lang w:val="en-US"/>
              </w:rPr>
              <w:t xml:space="preserve"> and </w:t>
            </w:r>
            <w:r w:rsidRPr="009B348A">
              <w:rPr>
                <w:sz w:val="20"/>
                <w:szCs w:val="20"/>
                <w:lang w:val="en-US"/>
              </w:rPr>
              <w:t xml:space="preserve">Alyssa Manning </w:t>
            </w:r>
            <w:r>
              <w:rPr>
                <w:sz w:val="20"/>
                <w:szCs w:val="20"/>
                <w:lang w:val="en-US"/>
              </w:rPr>
              <w:t>f</w:t>
            </w:r>
            <w:r w:rsidRPr="009B348A">
              <w:rPr>
                <w:sz w:val="20"/>
                <w:szCs w:val="20"/>
                <w:lang w:val="en-US"/>
              </w:rPr>
              <w:t xml:space="preserve">or the </w:t>
            </w:r>
            <w:r>
              <w:rPr>
                <w:sz w:val="20"/>
                <w:szCs w:val="20"/>
                <w:lang w:val="en-US"/>
              </w:rPr>
              <w:t>i</w:t>
            </w:r>
            <w:r w:rsidRPr="009B348A">
              <w:rPr>
                <w:sz w:val="20"/>
                <w:szCs w:val="20"/>
                <w:lang w:val="en-US"/>
              </w:rPr>
              <w:t>ntervener</w:t>
            </w:r>
            <w:r>
              <w:rPr>
                <w:sz w:val="20"/>
                <w:szCs w:val="20"/>
                <w:lang w:val="en-US"/>
              </w:rPr>
              <w:t xml:space="preserve"> </w:t>
            </w:r>
            <w:r w:rsidRPr="009B348A">
              <w:rPr>
                <w:sz w:val="20"/>
                <w:szCs w:val="20"/>
              </w:rPr>
              <w:t>Canadian Association of Refugee Lawyers</w:t>
            </w:r>
            <w:r>
              <w:rPr>
                <w:sz w:val="20"/>
                <w:szCs w:val="20"/>
              </w:rPr>
              <w:t>.</w:t>
            </w:r>
          </w:p>
          <w:p w:rsidR="006444F8" w:rsidRPr="009B348A" w:rsidRDefault="006444F8" w:rsidP="006444F8">
            <w:pPr>
              <w:jc w:val="both"/>
              <w:rPr>
                <w:sz w:val="20"/>
                <w:szCs w:val="20"/>
              </w:rPr>
            </w:pPr>
          </w:p>
          <w:p w:rsidR="006444F8" w:rsidRPr="009B348A" w:rsidRDefault="006444F8" w:rsidP="006444F8">
            <w:pPr>
              <w:jc w:val="both"/>
              <w:rPr>
                <w:sz w:val="20"/>
                <w:szCs w:val="20"/>
                <w:lang w:val="en-US"/>
              </w:rPr>
            </w:pPr>
            <w:r w:rsidRPr="009B348A">
              <w:rPr>
                <w:sz w:val="20"/>
                <w:szCs w:val="20"/>
                <w:lang w:val="en-US"/>
              </w:rPr>
              <w:t>Catherine Dauvergne</w:t>
            </w:r>
            <w:r>
              <w:rPr>
                <w:sz w:val="20"/>
                <w:szCs w:val="20"/>
                <w:lang w:val="en-US"/>
              </w:rPr>
              <w:t xml:space="preserve">, </w:t>
            </w:r>
            <w:r w:rsidRPr="009B348A">
              <w:rPr>
                <w:sz w:val="20"/>
                <w:szCs w:val="20"/>
                <w:lang w:val="en-US"/>
              </w:rPr>
              <w:t xml:space="preserve">Angus Grant </w:t>
            </w:r>
            <w:r>
              <w:rPr>
                <w:sz w:val="20"/>
                <w:szCs w:val="20"/>
                <w:lang w:val="en-US"/>
              </w:rPr>
              <w:t xml:space="preserve">and </w:t>
            </w:r>
            <w:r w:rsidRPr="009B348A">
              <w:rPr>
                <w:sz w:val="20"/>
                <w:szCs w:val="20"/>
              </w:rPr>
              <w:t>Pia Zambelli</w:t>
            </w:r>
            <w:r>
              <w:rPr>
                <w:sz w:val="20"/>
                <w:szCs w:val="20"/>
                <w:lang w:val="en-US"/>
              </w:rPr>
              <w:t xml:space="preserve"> f</w:t>
            </w:r>
            <w:r w:rsidRPr="009B348A">
              <w:rPr>
                <w:sz w:val="20"/>
                <w:szCs w:val="20"/>
                <w:lang w:val="en-US"/>
              </w:rPr>
              <w:t xml:space="preserve">or the </w:t>
            </w:r>
            <w:r>
              <w:rPr>
                <w:sz w:val="20"/>
                <w:szCs w:val="20"/>
                <w:lang w:val="en-US"/>
              </w:rPr>
              <w:t>i</w:t>
            </w:r>
            <w:r w:rsidRPr="009B348A">
              <w:rPr>
                <w:sz w:val="20"/>
                <w:szCs w:val="20"/>
                <w:lang w:val="en-US"/>
              </w:rPr>
              <w:t>ntervener</w:t>
            </w:r>
            <w:r>
              <w:rPr>
                <w:sz w:val="20"/>
                <w:szCs w:val="20"/>
                <w:lang w:val="en-US"/>
              </w:rPr>
              <w:t xml:space="preserve"> </w:t>
            </w:r>
            <w:r w:rsidRPr="009B348A">
              <w:rPr>
                <w:sz w:val="20"/>
                <w:szCs w:val="20"/>
              </w:rPr>
              <w:t>Canadian Council for Refugees</w:t>
            </w:r>
            <w:r>
              <w:rPr>
                <w:sz w:val="20"/>
                <w:szCs w:val="20"/>
              </w:rPr>
              <w:t>.</w:t>
            </w:r>
          </w:p>
          <w:p w:rsidR="006444F8" w:rsidRPr="009B348A" w:rsidRDefault="006444F8" w:rsidP="006444F8">
            <w:pPr>
              <w:jc w:val="both"/>
              <w:rPr>
                <w:sz w:val="20"/>
                <w:szCs w:val="20"/>
              </w:rPr>
            </w:pPr>
          </w:p>
          <w:p w:rsidR="006444F8" w:rsidRPr="009B348A" w:rsidRDefault="006444F8" w:rsidP="006444F8">
            <w:pPr>
              <w:jc w:val="both"/>
              <w:rPr>
                <w:sz w:val="20"/>
                <w:szCs w:val="20"/>
                <w:lang w:val="en-US"/>
              </w:rPr>
            </w:pPr>
            <w:r w:rsidRPr="009B348A">
              <w:rPr>
                <w:sz w:val="20"/>
                <w:szCs w:val="20"/>
                <w:lang w:val="en-US"/>
              </w:rPr>
              <w:t>Peter Edelman</w:t>
            </w:r>
            <w:r>
              <w:rPr>
                <w:sz w:val="20"/>
                <w:szCs w:val="20"/>
                <w:lang w:val="en-US"/>
              </w:rPr>
              <w:t xml:space="preserve">, </w:t>
            </w:r>
            <w:r w:rsidRPr="009B348A">
              <w:rPr>
                <w:sz w:val="20"/>
                <w:szCs w:val="20"/>
                <w:lang w:val="en-US"/>
              </w:rPr>
              <w:t xml:space="preserve">Lorne Waldman </w:t>
            </w:r>
            <w:r>
              <w:rPr>
                <w:sz w:val="20"/>
                <w:szCs w:val="20"/>
                <w:lang w:val="en-US"/>
              </w:rPr>
              <w:t xml:space="preserve">and </w:t>
            </w:r>
            <w:r w:rsidRPr="009B348A">
              <w:rPr>
                <w:sz w:val="20"/>
                <w:szCs w:val="20"/>
                <w:lang w:val="en-US"/>
              </w:rPr>
              <w:t xml:space="preserve">Aris Daghighian </w:t>
            </w:r>
            <w:r>
              <w:rPr>
                <w:sz w:val="20"/>
                <w:szCs w:val="20"/>
                <w:lang w:val="en-US"/>
              </w:rPr>
              <w:t>f</w:t>
            </w:r>
            <w:r w:rsidRPr="009B348A">
              <w:rPr>
                <w:sz w:val="20"/>
                <w:szCs w:val="20"/>
                <w:lang w:val="en-US"/>
              </w:rPr>
              <w:t xml:space="preserve">or the </w:t>
            </w:r>
            <w:r>
              <w:rPr>
                <w:sz w:val="20"/>
                <w:szCs w:val="20"/>
                <w:lang w:val="en-US"/>
              </w:rPr>
              <w:t>i</w:t>
            </w:r>
            <w:r w:rsidRPr="009B348A">
              <w:rPr>
                <w:sz w:val="20"/>
                <w:szCs w:val="20"/>
                <w:lang w:val="en-US"/>
              </w:rPr>
              <w:t>ntervener</w:t>
            </w:r>
            <w:r>
              <w:rPr>
                <w:sz w:val="20"/>
                <w:szCs w:val="20"/>
                <w:lang w:val="en-US"/>
              </w:rPr>
              <w:t xml:space="preserve"> </w:t>
            </w:r>
            <w:r w:rsidRPr="009B348A">
              <w:rPr>
                <w:sz w:val="20"/>
                <w:szCs w:val="20"/>
              </w:rPr>
              <w:t>Canadian Civil Liberties Association</w:t>
            </w:r>
            <w:r>
              <w:rPr>
                <w:sz w:val="20"/>
                <w:szCs w:val="20"/>
              </w:rPr>
              <w:t>.</w:t>
            </w:r>
          </w:p>
          <w:p w:rsidR="006444F8" w:rsidRPr="009B348A" w:rsidRDefault="006444F8" w:rsidP="006444F8">
            <w:pPr>
              <w:jc w:val="both"/>
              <w:rPr>
                <w:sz w:val="20"/>
                <w:szCs w:val="20"/>
                <w:lang w:val="en-US"/>
              </w:rPr>
            </w:pPr>
          </w:p>
          <w:p w:rsidR="001B1E7F" w:rsidRPr="00C50A5C" w:rsidRDefault="006444F8" w:rsidP="006444F8">
            <w:pPr>
              <w:widowControl w:val="0"/>
              <w:jc w:val="both"/>
              <w:rPr>
                <w:sz w:val="20"/>
                <w:szCs w:val="20"/>
              </w:rPr>
            </w:pPr>
            <w:r w:rsidRPr="009B348A">
              <w:rPr>
                <w:sz w:val="20"/>
                <w:szCs w:val="20"/>
                <w:lang w:val="en-US"/>
              </w:rPr>
              <w:lastRenderedPageBreak/>
              <w:t>François Joyal</w:t>
            </w:r>
            <w:r>
              <w:rPr>
                <w:sz w:val="20"/>
                <w:szCs w:val="20"/>
                <w:lang w:val="en-US"/>
              </w:rPr>
              <w:t xml:space="preserve"> f</w:t>
            </w:r>
            <w:r w:rsidRPr="009B348A">
              <w:rPr>
                <w:sz w:val="20"/>
                <w:szCs w:val="20"/>
                <w:lang w:val="en-US"/>
              </w:rPr>
              <w:t xml:space="preserve">or the </w:t>
            </w:r>
            <w:r>
              <w:rPr>
                <w:sz w:val="20"/>
                <w:szCs w:val="20"/>
                <w:lang w:val="en-US"/>
              </w:rPr>
              <w:t>r</w:t>
            </w:r>
            <w:r w:rsidRPr="009B348A">
              <w:rPr>
                <w:sz w:val="20"/>
                <w:szCs w:val="20"/>
                <w:lang w:val="en-US"/>
              </w:rPr>
              <w:t>espondent.</w:t>
            </w:r>
          </w:p>
        </w:tc>
      </w:tr>
    </w:tbl>
    <w:p w:rsidR="001B1E7F" w:rsidRPr="005E31A3" w:rsidRDefault="001B1E7F" w:rsidP="001B1E7F">
      <w:pPr>
        <w:widowControl w:val="0"/>
        <w:rPr>
          <w:sz w:val="20"/>
          <w:szCs w:val="20"/>
        </w:rPr>
      </w:pPr>
    </w:p>
    <w:p w:rsidR="001B1E7F" w:rsidRPr="0085476B" w:rsidRDefault="001B1E7F" w:rsidP="001B1E7F">
      <w:pPr>
        <w:widowControl w:val="0"/>
        <w:rPr>
          <w:sz w:val="20"/>
          <w:szCs w:val="20"/>
        </w:rPr>
      </w:pPr>
      <w:r w:rsidRPr="0085476B">
        <w:rPr>
          <w:b/>
          <w:sz w:val="20"/>
          <w:szCs w:val="20"/>
        </w:rPr>
        <w:t xml:space="preserve">RESERVED / </w:t>
      </w:r>
      <w:r w:rsidRPr="0085476B">
        <w:rPr>
          <w:b/>
          <w:sz w:val="20"/>
          <w:szCs w:val="20"/>
          <w:lang w:val="fr-CA"/>
        </w:rPr>
        <w:t>EN DÉLIBÉRÉ</w:t>
      </w:r>
    </w:p>
    <w:p w:rsidR="006444F8" w:rsidRDefault="006444F8">
      <w:pPr>
        <w:rPr>
          <w:sz w:val="20"/>
          <w:szCs w:val="20"/>
        </w:rPr>
      </w:pPr>
      <w:r>
        <w:rPr>
          <w:sz w:val="20"/>
          <w:szCs w:val="20"/>
        </w:rPr>
        <w:br w:type="page"/>
      </w: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1B1E7F" w:rsidRPr="004F01F8" w:rsidTr="001B1E7F">
        <w:tc>
          <w:tcPr>
            <w:tcW w:w="4380" w:type="dxa"/>
            <w:tcMar>
              <w:left w:w="0" w:type="dxa"/>
              <w:right w:w="0" w:type="dxa"/>
            </w:tcMar>
          </w:tcPr>
          <w:p w:rsidR="001B1E7F" w:rsidRPr="00CC4D84" w:rsidRDefault="001B1E7F" w:rsidP="001B1E7F">
            <w:pPr>
              <w:widowControl w:val="0"/>
              <w:jc w:val="both"/>
              <w:rPr>
                <w:b/>
                <w:sz w:val="20"/>
                <w:szCs w:val="20"/>
                <w:u w:val="single"/>
              </w:rPr>
            </w:pPr>
            <w:r w:rsidRPr="00CC4D84">
              <w:rPr>
                <w:b/>
                <w:sz w:val="20"/>
                <w:szCs w:val="20"/>
                <w:u w:val="single"/>
              </w:rPr>
              <w:lastRenderedPageBreak/>
              <w:t>Nature of the case:</w:t>
            </w:r>
          </w:p>
          <w:p w:rsidR="001B1E7F" w:rsidRPr="00C1697B" w:rsidRDefault="001B1E7F" w:rsidP="001B1E7F">
            <w:pPr>
              <w:widowControl w:val="0"/>
              <w:jc w:val="both"/>
              <w:rPr>
                <w:b/>
                <w:sz w:val="20"/>
                <w:szCs w:val="20"/>
              </w:rPr>
            </w:pPr>
          </w:p>
          <w:p w:rsidR="001B1E7F" w:rsidRPr="00C1697B" w:rsidRDefault="006444F8" w:rsidP="001B1E7F">
            <w:pPr>
              <w:widowControl w:val="0"/>
              <w:jc w:val="both"/>
              <w:rPr>
                <w:b/>
                <w:sz w:val="20"/>
                <w:szCs w:val="20"/>
              </w:rPr>
            </w:pPr>
            <w:r w:rsidRPr="00E8176C">
              <w:rPr>
                <w:i/>
                <w:sz w:val="20"/>
                <w:szCs w:val="20"/>
              </w:rPr>
              <w:t>Canadian Charter of Rights and Freedoms</w:t>
            </w:r>
            <w:r w:rsidRPr="00E8176C">
              <w:rPr>
                <w:sz w:val="20"/>
                <w:szCs w:val="20"/>
              </w:rPr>
              <w:t xml:space="preserve"> - Security of person - Immigration - Convention refugee - Exclusion - Standard of judicial review applicable to interpretation of United Nations </w:t>
            </w:r>
            <w:r w:rsidRPr="00E8176C">
              <w:rPr>
                <w:i/>
                <w:sz w:val="20"/>
                <w:szCs w:val="20"/>
              </w:rPr>
              <w:t>Convention Relating to the Status of Refugees</w:t>
            </w:r>
            <w:r w:rsidRPr="00E8176C">
              <w:rPr>
                <w:sz w:val="20"/>
                <w:szCs w:val="20"/>
              </w:rPr>
              <w:t xml:space="preserve"> - Convention not applicable to refugee claimants believed to have committed serious non-political crime prior to admission to Canada - Appellant twice convicted in U.S. of assault with deadly weapon but having served sentences in U.S. prior to seeking refugee status in Canada - What is proper scope of Article 1F(b) of Convention - Whether post-conviction factors such as rehabilitation may be considered in determining admissibility as Convention refugee - </w:t>
            </w:r>
            <w:r w:rsidRPr="00E8176C">
              <w:rPr>
                <w:i/>
                <w:sz w:val="20"/>
                <w:szCs w:val="20"/>
              </w:rPr>
              <w:t>Canadian Charter of Rights and Freedoms</w:t>
            </w:r>
            <w:r w:rsidRPr="00E8176C">
              <w:rPr>
                <w:sz w:val="20"/>
                <w:szCs w:val="20"/>
              </w:rPr>
              <w:t xml:space="preserve">, s. 7 - </w:t>
            </w:r>
            <w:r w:rsidRPr="00E8176C">
              <w:rPr>
                <w:i/>
                <w:sz w:val="20"/>
                <w:szCs w:val="20"/>
              </w:rPr>
              <w:t>Immigration and Refugee Protection Act</w:t>
            </w:r>
            <w:r w:rsidRPr="00E8176C">
              <w:rPr>
                <w:sz w:val="20"/>
                <w:szCs w:val="20"/>
              </w:rPr>
              <w:t>, S.C. 2001, c. 27, s. 98.</w:t>
            </w:r>
          </w:p>
        </w:tc>
        <w:tc>
          <w:tcPr>
            <w:tcW w:w="720" w:type="dxa"/>
            <w:tcMar>
              <w:left w:w="0" w:type="dxa"/>
              <w:right w:w="0" w:type="dxa"/>
            </w:tcMar>
          </w:tcPr>
          <w:p w:rsidR="001B1E7F" w:rsidRPr="00C1697B" w:rsidRDefault="001B1E7F" w:rsidP="001B1E7F">
            <w:pPr>
              <w:widowControl w:val="0"/>
              <w:jc w:val="center"/>
              <w:rPr>
                <w:sz w:val="20"/>
                <w:szCs w:val="20"/>
              </w:rPr>
            </w:pPr>
          </w:p>
        </w:tc>
        <w:tc>
          <w:tcPr>
            <w:tcW w:w="4380" w:type="dxa"/>
            <w:tcMar>
              <w:left w:w="0" w:type="dxa"/>
              <w:right w:w="0" w:type="dxa"/>
            </w:tcMar>
          </w:tcPr>
          <w:p w:rsidR="001B1E7F" w:rsidRPr="00CC4D84" w:rsidRDefault="001B1E7F" w:rsidP="001B1E7F">
            <w:pPr>
              <w:widowControl w:val="0"/>
              <w:jc w:val="both"/>
              <w:rPr>
                <w:b/>
                <w:sz w:val="20"/>
                <w:szCs w:val="20"/>
                <w:u w:val="single"/>
                <w:lang w:val="fr-CA"/>
              </w:rPr>
            </w:pPr>
            <w:r w:rsidRPr="00CC4D84">
              <w:rPr>
                <w:b/>
                <w:sz w:val="20"/>
                <w:szCs w:val="20"/>
                <w:u w:val="single"/>
                <w:lang w:val="fr-CA"/>
              </w:rPr>
              <w:t>Nature de la cause :</w:t>
            </w:r>
          </w:p>
          <w:p w:rsidR="001B1E7F" w:rsidRPr="00C1697B" w:rsidRDefault="001B1E7F" w:rsidP="001B1E7F">
            <w:pPr>
              <w:widowControl w:val="0"/>
              <w:jc w:val="both"/>
              <w:rPr>
                <w:sz w:val="20"/>
                <w:szCs w:val="20"/>
                <w:lang w:val="fr-CA"/>
              </w:rPr>
            </w:pPr>
          </w:p>
          <w:p w:rsidR="001B1E7F" w:rsidRPr="00C1697B" w:rsidRDefault="006444F8" w:rsidP="001B1E7F">
            <w:pPr>
              <w:widowControl w:val="0"/>
              <w:jc w:val="both"/>
              <w:rPr>
                <w:sz w:val="20"/>
                <w:szCs w:val="20"/>
                <w:lang w:val="fr-CA"/>
              </w:rPr>
            </w:pPr>
            <w:r w:rsidRPr="0098593C">
              <w:rPr>
                <w:i/>
                <w:sz w:val="20"/>
                <w:szCs w:val="20"/>
                <w:lang w:val="fr-CA"/>
              </w:rPr>
              <w:t>Charte canadienne des droits et libertés</w:t>
            </w:r>
            <w:r w:rsidRPr="0098593C">
              <w:rPr>
                <w:sz w:val="20"/>
                <w:szCs w:val="20"/>
                <w:lang w:val="fr-CA"/>
              </w:rPr>
              <w:t xml:space="preserve"> - Sécurité de la personne - Immigration - Réfugié au sens de la Convention - Exclusion - Norme de contrôle judiciaire applicable à l’interprétation de la </w:t>
            </w:r>
            <w:r w:rsidRPr="0098593C">
              <w:rPr>
                <w:i/>
                <w:sz w:val="20"/>
                <w:szCs w:val="20"/>
                <w:lang w:val="fr-CA"/>
              </w:rPr>
              <w:t>Convention des Nations Unies relative au statut des réfugiés</w:t>
            </w:r>
            <w:r w:rsidRPr="0098593C">
              <w:rPr>
                <w:sz w:val="20"/>
                <w:szCs w:val="20"/>
                <w:lang w:val="fr-CA"/>
              </w:rPr>
              <w:t xml:space="preserve"> - Convention inapplicable aux demandeurs d’asile présumés avoir commis un crime grave de droit commun avant d’être admis au Canada - Appelant reconnu coupable deux fois aux É.-U. de voies de fait avec une arme meurtrière mais ayant purgé des peines aux É.-U. avant qu’il revendique le statut de réfugié au Canada - Quelle est la portée véritable de la section Fb) de l’article premier de la Convention? - Peut-on prendre en compte des faits postérieurs à la déclaration de culpabilité, par exemple la réadaptation, pour établir l’admissibilité comme réfugié au sens de la Convention? -</w:t>
            </w:r>
            <w:r w:rsidRPr="0098593C">
              <w:rPr>
                <w:i/>
                <w:sz w:val="20"/>
                <w:szCs w:val="20"/>
                <w:lang w:val="fr-CA"/>
              </w:rPr>
              <w:t xml:space="preserve"> Charte canadienne des droits et libertés</w:t>
            </w:r>
            <w:r w:rsidRPr="0098593C">
              <w:rPr>
                <w:sz w:val="20"/>
                <w:szCs w:val="20"/>
                <w:lang w:val="fr-CA"/>
              </w:rPr>
              <w:t xml:space="preserve">, art. 7 - </w:t>
            </w:r>
            <w:r w:rsidRPr="0098593C">
              <w:rPr>
                <w:i/>
                <w:sz w:val="20"/>
                <w:szCs w:val="20"/>
                <w:lang w:val="fr-CA"/>
              </w:rPr>
              <w:t>Loi sur l’immigration et la protection des réfugiés</w:t>
            </w:r>
            <w:r w:rsidRPr="0098593C">
              <w:rPr>
                <w:sz w:val="20"/>
                <w:szCs w:val="20"/>
                <w:lang w:val="fr-CA"/>
              </w:rPr>
              <w:t>, L.C. 2001, c. 27, art. 98.</w:t>
            </w:r>
          </w:p>
        </w:tc>
      </w:tr>
    </w:tbl>
    <w:p w:rsidR="001B1E7F" w:rsidRDefault="001B1E7F" w:rsidP="001B1E7F">
      <w:pPr>
        <w:widowControl w:val="0"/>
        <w:rPr>
          <w:sz w:val="20"/>
          <w:szCs w:val="20"/>
          <w:lang w:val="fr-CA"/>
        </w:rPr>
      </w:pPr>
    </w:p>
    <w:p w:rsidR="001B1E7F" w:rsidRDefault="004F01F8" w:rsidP="001B1E7F">
      <w:pPr>
        <w:widowControl w:val="0"/>
        <w:rPr>
          <w:sz w:val="20"/>
          <w:szCs w:val="20"/>
        </w:rPr>
      </w:pPr>
      <w:r>
        <w:rPr>
          <w:sz w:val="20"/>
          <w:szCs w:val="20"/>
          <w:lang w:val="fr-CA"/>
        </w:rPr>
        <w:pict>
          <v:rect id="_x0000_i1070" style="width:2in;height:1pt" o:hrpct="0" o:hralign="center" o:hrstd="t" o:hrnoshade="t" o:hr="t" fillcolor="black [3213]" stroked="f"/>
        </w:pict>
      </w:r>
    </w:p>
    <w:p w:rsidR="001B1E7F" w:rsidRDefault="001B1E7F" w:rsidP="001B1E7F">
      <w:pPr>
        <w:widowControl w:val="0"/>
        <w:rPr>
          <w:sz w:val="20"/>
          <w:szCs w:val="20"/>
        </w:rPr>
      </w:pPr>
    </w:p>
    <w:p w:rsidR="001B1E7F" w:rsidRPr="00072C86" w:rsidRDefault="001B1E7F" w:rsidP="001B1E7F">
      <w:pPr>
        <w:widowControl w:val="0"/>
        <w:rPr>
          <w:sz w:val="20"/>
          <w:szCs w:val="20"/>
          <w:lang w:val="fr-CA"/>
        </w:rPr>
      </w:pPr>
      <w:r w:rsidRPr="00072C86">
        <w:rPr>
          <w:sz w:val="20"/>
          <w:szCs w:val="20"/>
          <w:lang w:val="fr-CA"/>
        </w:rPr>
        <w:t>26.03.2014</w:t>
      </w:r>
    </w:p>
    <w:p w:rsidR="001B1E7F" w:rsidRPr="00072C86" w:rsidRDefault="001B1E7F" w:rsidP="001B1E7F">
      <w:pPr>
        <w:widowControl w:val="0"/>
        <w:rPr>
          <w:sz w:val="20"/>
          <w:szCs w:val="20"/>
          <w:lang w:val="fr-CA"/>
        </w:rPr>
      </w:pPr>
    </w:p>
    <w:p w:rsidR="00072C86" w:rsidRPr="00F34001" w:rsidRDefault="00072C86" w:rsidP="00072C86">
      <w:pPr>
        <w:widowControl w:val="0"/>
        <w:ind w:left="720" w:hanging="720"/>
        <w:rPr>
          <w:sz w:val="20"/>
          <w:szCs w:val="20"/>
          <w:u w:val="single"/>
          <w:lang w:val="fr-CA"/>
        </w:rPr>
      </w:pPr>
      <w:r w:rsidRPr="00F34001">
        <w:rPr>
          <w:sz w:val="20"/>
          <w:szCs w:val="20"/>
          <w:lang w:val="fr-CA"/>
        </w:rPr>
        <w:t xml:space="preserve">Coram: </w:t>
      </w:r>
      <w:r w:rsidRPr="00F34001">
        <w:rPr>
          <w:sz w:val="20"/>
          <w:szCs w:val="20"/>
          <w:lang w:val="fr-CA"/>
        </w:rPr>
        <w:tab/>
      </w:r>
      <w:r w:rsidRPr="00F34001">
        <w:rPr>
          <w:sz w:val="20"/>
          <w:szCs w:val="20"/>
          <w:u w:val="single"/>
          <w:lang w:val="fr-CA"/>
        </w:rPr>
        <w:t xml:space="preserve">La juge en chef McLachlin et les juges </w:t>
      </w:r>
      <w:r>
        <w:rPr>
          <w:sz w:val="20"/>
          <w:szCs w:val="20"/>
          <w:u w:val="single"/>
          <w:lang w:val="fr-CA"/>
        </w:rPr>
        <w:t xml:space="preserve">LeBel, </w:t>
      </w:r>
      <w:r w:rsidRPr="00F34001">
        <w:rPr>
          <w:sz w:val="20"/>
          <w:szCs w:val="20"/>
          <w:u w:val="single"/>
          <w:lang w:val="fr-CA"/>
        </w:rPr>
        <w:t xml:space="preserve">Abella, </w:t>
      </w:r>
      <w:r>
        <w:rPr>
          <w:sz w:val="20"/>
          <w:szCs w:val="20"/>
          <w:u w:val="single"/>
          <w:lang w:val="fr-CA"/>
        </w:rPr>
        <w:t xml:space="preserve">Rothstein, </w:t>
      </w:r>
      <w:r w:rsidRPr="00F34001">
        <w:rPr>
          <w:sz w:val="20"/>
          <w:szCs w:val="20"/>
          <w:u w:val="single"/>
          <w:lang w:val="fr-CA"/>
        </w:rPr>
        <w:t>Cromwell, Karakatsanis</w:t>
      </w:r>
      <w:r>
        <w:rPr>
          <w:sz w:val="20"/>
          <w:szCs w:val="20"/>
          <w:u w:val="single"/>
          <w:lang w:val="fr-CA"/>
        </w:rPr>
        <w:t xml:space="preserve"> et Wagner</w:t>
      </w:r>
    </w:p>
    <w:p w:rsidR="001B1E7F" w:rsidRPr="00072C86" w:rsidRDefault="001B1E7F" w:rsidP="001B1E7F">
      <w:pPr>
        <w:widowControl w:val="0"/>
        <w:rPr>
          <w:b/>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1B1E7F" w:rsidRPr="004F01F8" w:rsidTr="001B1E7F">
        <w:tc>
          <w:tcPr>
            <w:tcW w:w="4380" w:type="dxa"/>
            <w:tcMar>
              <w:left w:w="0" w:type="dxa"/>
              <w:right w:w="0" w:type="dxa"/>
            </w:tcMar>
          </w:tcPr>
          <w:p w:rsidR="001B1E7F" w:rsidRPr="00072C86" w:rsidRDefault="001B1E7F" w:rsidP="001B1E7F">
            <w:pPr>
              <w:widowControl w:val="0"/>
              <w:jc w:val="both"/>
              <w:rPr>
                <w:b/>
                <w:sz w:val="20"/>
                <w:szCs w:val="20"/>
                <w:lang w:val="fr-CA"/>
              </w:rPr>
            </w:pPr>
            <w:r w:rsidRPr="00072C86">
              <w:rPr>
                <w:b/>
                <w:sz w:val="20"/>
                <w:szCs w:val="20"/>
                <w:lang w:val="fr-CA"/>
              </w:rPr>
              <w:t>M</w:t>
            </w:r>
            <w:r w:rsidR="00072C86" w:rsidRPr="00072C86">
              <w:rPr>
                <w:b/>
                <w:sz w:val="20"/>
                <w:szCs w:val="20"/>
                <w:lang w:val="fr-CA"/>
              </w:rPr>
              <w:t>ich</w:t>
            </w:r>
            <w:r w:rsidRPr="00072C86">
              <w:rPr>
                <w:b/>
                <w:sz w:val="20"/>
                <w:szCs w:val="20"/>
                <w:lang w:val="fr-CA"/>
              </w:rPr>
              <w:t>e</w:t>
            </w:r>
            <w:r w:rsidR="00072C86" w:rsidRPr="00072C86">
              <w:rPr>
                <w:b/>
                <w:sz w:val="20"/>
                <w:szCs w:val="20"/>
                <w:lang w:val="fr-CA"/>
              </w:rPr>
              <w:t>l Thibodeau et autre</w:t>
            </w:r>
            <w:r w:rsidR="00072C86">
              <w:rPr>
                <w:b/>
                <w:sz w:val="20"/>
                <w:szCs w:val="20"/>
                <w:lang w:val="fr-CA"/>
              </w:rPr>
              <w:t>s</w:t>
            </w:r>
          </w:p>
          <w:p w:rsidR="001B1E7F" w:rsidRPr="00072C86" w:rsidRDefault="001B1E7F" w:rsidP="001B1E7F">
            <w:pPr>
              <w:widowControl w:val="0"/>
              <w:jc w:val="both"/>
              <w:rPr>
                <w:b/>
                <w:sz w:val="20"/>
                <w:szCs w:val="20"/>
                <w:lang w:val="fr-CA"/>
              </w:rPr>
            </w:pPr>
          </w:p>
          <w:p w:rsidR="001B1E7F" w:rsidRPr="00B93198" w:rsidRDefault="001B1E7F" w:rsidP="001B1E7F">
            <w:pPr>
              <w:widowControl w:val="0"/>
              <w:tabs>
                <w:tab w:val="left" w:pos="736"/>
              </w:tabs>
              <w:jc w:val="both"/>
              <w:rPr>
                <w:b/>
                <w:sz w:val="20"/>
                <w:szCs w:val="20"/>
                <w:lang w:val="fr-CA"/>
              </w:rPr>
            </w:pPr>
            <w:r w:rsidRPr="00072C86">
              <w:rPr>
                <w:b/>
                <w:sz w:val="20"/>
                <w:szCs w:val="20"/>
                <w:lang w:val="fr-CA"/>
              </w:rPr>
              <w:tab/>
            </w:r>
            <w:r w:rsidR="00072C86" w:rsidRPr="00B93198">
              <w:rPr>
                <w:b/>
                <w:sz w:val="20"/>
                <w:szCs w:val="20"/>
                <w:lang w:val="fr-CA"/>
              </w:rPr>
              <w:t>c</w:t>
            </w:r>
            <w:r w:rsidRPr="00B93198">
              <w:rPr>
                <w:b/>
                <w:sz w:val="20"/>
                <w:szCs w:val="20"/>
                <w:lang w:val="fr-CA"/>
              </w:rPr>
              <w:t xml:space="preserve">. </w:t>
            </w:r>
            <w:r w:rsidR="00BB27A8" w:rsidRPr="00B93198">
              <w:rPr>
                <w:rFonts w:eastAsia="Calibri"/>
                <w:sz w:val="20"/>
                <w:szCs w:val="20"/>
                <w:lang w:val="fr-CA"/>
              </w:rPr>
              <w:t>(</w:t>
            </w:r>
            <w:hyperlink r:id="rId70" w:history="1">
              <w:r w:rsidR="00BB27A8" w:rsidRPr="00B93198">
                <w:rPr>
                  <w:rStyle w:val="Hyperlink"/>
                  <w:rFonts w:eastAsia="Calibri"/>
                  <w:sz w:val="20"/>
                  <w:szCs w:val="20"/>
                  <w:lang w:val="fr-CA"/>
                </w:rPr>
                <w:t>35100</w:t>
              </w:r>
            </w:hyperlink>
            <w:r w:rsidR="00BB27A8" w:rsidRPr="00B93198">
              <w:rPr>
                <w:rFonts w:eastAsia="Calibri"/>
                <w:sz w:val="20"/>
                <w:szCs w:val="20"/>
                <w:lang w:val="fr-CA"/>
              </w:rPr>
              <w:t>)</w:t>
            </w:r>
          </w:p>
          <w:p w:rsidR="001B1E7F" w:rsidRPr="00B93198" w:rsidRDefault="001B1E7F" w:rsidP="001B1E7F">
            <w:pPr>
              <w:widowControl w:val="0"/>
              <w:jc w:val="both"/>
              <w:rPr>
                <w:b/>
                <w:sz w:val="20"/>
                <w:szCs w:val="20"/>
                <w:lang w:val="fr-CA"/>
              </w:rPr>
            </w:pPr>
          </w:p>
          <w:p w:rsidR="001B1E7F" w:rsidRPr="00072C86" w:rsidRDefault="00072C86" w:rsidP="00BB27A8">
            <w:pPr>
              <w:widowControl w:val="0"/>
              <w:jc w:val="both"/>
              <w:rPr>
                <w:sz w:val="20"/>
                <w:szCs w:val="20"/>
                <w:lang w:val="fr-CA"/>
              </w:rPr>
            </w:pPr>
            <w:r w:rsidRPr="00B93198">
              <w:rPr>
                <w:b/>
                <w:sz w:val="20"/>
                <w:szCs w:val="20"/>
                <w:lang w:val="fr-CA"/>
              </w:rPr>
              <w:t>Ai</w:t>
            </w:r>
            <w:r w:rsidR="001B1E7F" w:rsidRPr="00B93198">
              <w:rPr>
                <w:b/>
                <w:sz w:val="20"/>
                <w:szCs w:val="20"/>
                <w:lang w:val="fr-CA"/>
              </w:rPr>
              <w:t>r</w:t>
            </w:r>
            <w:r w:rsidRPr="00B93198">
              <w:rPr>
                <w:b/>
                <w:sz w:val="20"/>
                <w:szCs w:val="20"/>
                <w:lang w:val="fr-CA"/>
              </w:rPr>
              <w:t xml:space="preserve"> Ca</w:t>
            </w:r>
            <w:r w:rsidR="001B1E7F" w:rsidRPr="00B93198">
              <w:rPr>
                <w:b/>
                <w:sz w:val="20"/>
                <w:szCs w:val="20"/>
                <w:lang w:val="fr-CA"/>
              </w:rPr>
              <w:t>n</w:t>
            </w:r>
            <w:r w:rsidRPr="00B93198">
              <w:rPr>
                <w:b/>
                <w:sz w:val="20"/>
                <w:szCs w:val="20"/>
                <w:lang w:val="fr-CA"/>
              </w:rPr>
              <w:t xml:space="preserve">ada </w:t>
            </w:r>
            <w:r w:rsidR="001B1E7F" w:rsidRPr="00B93198">
              <w:rPr>
                <w:b/>
                <w:sz w:val="20"/>
                <w:szCs w:val="20"/>
                <w:lang w:val="fr-CA"/>
              </w:rPr>
              <w:t>(</w:t>
            </w:r>
            <w:r w:rsidRPr="00B93198">
              <w:rPr>
                <w:b/>
                <w:sz w:val="20"/>
                <w:szCs w:val="20"/>
                <w:lang w:val="fr-CA"/>
              </w:rPr>
              <w:t>C</w:t>
            </w:r>
            <w:r w:rsidR="001B1E7F" w:rsidRPr="00B93198">
              <w:rPr>
                <w:b/>
                <w:sz w:val="20"/>
                <w:szCs w:val="20"/>
                <w:lang w:val="fr-CA"/>
              </w:rPr>
              <w:t>.</w:t>
            </w:r>
            <w:r w:rsidRPr="00B93198">
              <w:rPr>
                <w:b/>
                <w:sz w:val="20"/>
                <w:szCs w:val="20"/>
                <w:lang w:val="fr-CA"/>
              </w:rPr>
              <w:t>F</w:t>
            </w:r>
            <w:r w:rsidR="001B1E7F" w:rsidRPr="00B93198">
              <w:rPr>
                <w:b/>
                <w:sz w:val="20"/>
                <w:szCs w:val="20"/>
                <w:lang w:val="fr-CA"/>
              </w:rPr>
              <w:t xml:space="preserve">.) </w:t>
            </w:r>
            <w:r w:rsidR="001B1E7F" w:rsidRPr="00072C86">
              <w:rPr>
                <w:b/>
                <w:sz w:val="20"/>
                <w:szCs w:val="20"/>
                <w:lang w:val="fr-CA"/>
              </w:rPr>
              <w:t>(Ci</w:t>
            </w:r>
            <w:r>
              <w:rPr>
                <w:b/>
                <w:sz w:val="20"/>
                <w:szCs w:val="20"/>
                <w:lang w:val="fr-CA"/>
              </w:rPr>
              <w:t>v</w:t>
            </w:r>
            <w:r w:rsidR="001B1E7F" w:rsidRPr="00072C86">
              <w:rPr>
                <w:b/>
                <w:sz w:val="20"/>
                <w:szCs w:val="20"/>
                <w:lang w:val="fr-CA"/>
              </w:rPr>
              <w:t>il</w:t>
            </w:r>
            <w:r>
              <w:rPr>
                <w:b/>
                <w:sz w:val="20"/>
                <w:szCs w:val="20"/>
                <w:lang w:val="fr-CA"/>
              </w:rPr>
              <w:t>e</w:t>
            </w:r>
            <w:r w:rsidR="001B1E7F" w:rsidRPr="00072C86">
              <w:rPr>
                <w:b/>
                <w:sz w:val="20"/>
                <w:szCs w:val="20"/>
                <w:lang w:val="fr-CA"/>
              </w:rPr>
              <w:t>) (</w:t>
            </w:r>
            <w:r>
              <w:rPr>
                <w:b/>
                <w:sz w:val="20"/>
                <w:szCs w:val="20"/>
                <w:lang w:val="fr-CA"/>
              </w:rPr>
              <w:t>Autorisation</w:t>
            </w:r>
            <w:r w:rsidR="001B1E7F" w:rsidRPr="00072C86">
              <w:rPr>
                <w:b/>
                <w:sz w:val="20"/>
                <w:szCs w:val="20"/>
                <w:lang w:val="fr-CA"/>
              </w:rPr>
              <w:t>)</w:t>
            </w:r>
          </w:p>
        </w:tc>
        <w:tc>
          <w:tcPr>
            <w:tcW w:w="720" w:type="dxa"/>
            <w:tcMar>
              <w:left w:w="0" w:type="dxa"/>
              <w:right w:w="0" w:type="dxa"/>
            </w:tcMar>
          </w:tcPr>
          <w:p w:rsidR="001B1E7F" w:rsidRPr="00072C86" w:rsidRDefault="001B1E7F" w:rsidP="001B1E7F">
            <w:pPr>
              <w:widowControl w:val="0"/>
              <w:jc w:val="center"/>
              <w:rPr>
                <w:sz w:val="20"/>
                <w:szCs w:val="20"/>
                <w:lang w:val="fr-CA"/>
              </w:rPr>
            </w:pPr>
          </w:p>
        </w:tc>
        <w:tc>
          <w:tcPr>
            <w:tcW w:w="4380" w:type="dxa"/>
            <w:tcMar>
              <w:left w:w="0" w:type="dxa"/>
              <w:right w:w="0" w:type="dxa"/>
            </w:tcMar>
          </w:tcPr>
          <w:p w:rsidR="00A8684C" w:rsidRPr="004D6957" w:rsidRDefault="00A8684C" w:rsidP="00A8684C">
            <w:pPr>
              <w:jc w:val="both"/>
              <w:rPr>
                <w:sz w:val="20"/>
                <w:szCs w:val="20"/>
                <w:lang w:val="fr-CA"/>
              </w:rPr>
            </w:pPr>
            <w:r w:rsidRPr="004D6957">
              <w:rPr>
                <w:sz w:val="20"/>
                <w:szCs w:val="20"/>
                <w:lang w:val="fr-CA"/>
              </w:rPr>
              <w:t>Pascale Giguère</w:t>
            </w:r>
            <w:r>
              <w:rPr>
                <w:sz w:val="20"/>
                <w:szCs w:val="20"/>
                <w:lang w:val="fr-CA"/>
              </w:rPr>
              <w:t xml:space="preserve">, </w:t>
            </w:r>
            <w:r w:rsidRPr="004D6957">
              <w:rPr>
                <w:sz w:val="20"/>
                <w:szCs w:val="20"/>
                <w:lang w:val="fr-CA"/>
              </w:rPr>
              <w:t xml:space="preserve">Kevin Shaar </w:t>
            </w:r>
            <w:r>
              <w:rPr>
                <w:sz w:val="20"/>
                <w:szCs w:val="20"/>
                <w:lang w:val="fr-CA"/>
              </w:rPr>
              <w:t xml:space="preserve">et </w:t>
            </w:r>
            <w:r w:rsidRPr="004D6957">
              <w:rPr>
                <w:sz w:val="20"/>
                <w:szCs w:val="20"/>
                <w:lang w:val="fr-CA"/>
              </w:rPr>
              <w:t>Mathew Croitoru</w:t>
            </w:r>
            <w:r>
              <w:rPr>
                <w:sz w:val="20"/>
                <w:szCs w:val="20"/>
                <w:lang w:val="fr-CA"/>
              </w:rPr>
              <w:t xml:space="preserve"> p</w:t>
            </w:r>
            <w:r w:rsidRPr="004D6957">
              <w:rPr>
                <w:sz w:val="20"/>
                <w:szCs w:val="20"/>
                <w:lang w:val="fr-CA"/>
              </w:rPr>
              <w:t>our l’appelant / Intervenant</w:t>
            </w:r>
            <w:r>
              <w:rPr>
                <w:sz w:val="20"/>
                <w:szCs w:val="20"/>
                <w:lang w:val="fr-CA"/>
              </w:rPr>
              <w:t xml:space="preserve"> </w:t>
            </w:r>
            <w:r w:rsidRPr="004D6957">
              <w:rPr>
                <w:sz w:val="20"/>
                <w:szCs w:val="20"/>
                <w:lang w:val="fr-CA"/>
              </w:rPr>
              <w:t>Commissaire aux langues officielles du Canada</w:t>
            </w:r>
            <w:r>
              <w:rPr>
                <w:sz w:val="20"/>
                <w:szCs w:val="20"/>
                <w:lang w:val="fr-CA"/>
              </w:rPr>
              <w:t>.</w:t>
            </w:r>
          </w:p>
          <w:p w:rsidR="00A8684C" w:rsidRPr="004D6957" w:rsidRDefault="00A8684C" w:rsidP="00A8684C">
            <w:pPr>
              <w:jc w:val="both"/>
              <w:rPr>
                <w:sz w:val="20"/>
                <w:szCs w:val="20"/>
                <w:lang w:val="fr-CA"/>
              </w:rPr>
            </w:pPr>
          </w:p>
          <w:p w:rsidR="00A8684C" w:rsidRPr="004D6957" w:rsidRDefault="00A8684C" w:rsidP="00A8684C">
            <w:pPr>
              <w:jc w:val="both"/>
              <w:rPr>
                <w:sz w:val="20"/>
                <w:szCs w:val="20"/>
                <w:lang w:val="fr-CA"/>
              </w:rPr>
            </w:pPr>
            <w:r w:rsidRPr="004D6957">
              <w:rPr>
                <w:sz w:val="20"/>
                <w:szCs w:val="20"/>
                <w:lang w:val="fr-CA"/>
              </w:rPr>
              <w:t>Éric Labelle-Eastaugh</w:t>
            </w:r>
            <w:r>
              <w:rPr>
                <w:sz w:val="20"/>
                <w:szCs w:val="20"/>
                <w:lang w:val="fr-CA"/>
              </w:rPr>
              <w:t xml:space="preserve">, </w:t>
            </w:r>
            <w:r w:rsidRPr="004D6957">
              <w:rPr>
                <w:sz w:val="20"/>
                <w:szCs w:val="20"/>
                <w:lang w:val="fr-CA"/>
              </w:rPr>
              <w:t>Ronald F. Caza</w:t>
            </w:r>
            <w:r>
              <w:rPr>
                <w:sz w:val="20"/>
                <w:szCs w:val="20"/>
                <w:lang w:val="fr-CA"/>
              </w:rPr>
              <w:t xml:space="preserve"> et </w:t>
            </w:r>
            <w:r w:rsidRPr="004D6957">
              <w:rPr>
                <w:sz w:val="20"/>
                <w:szCs w:val="20"/>
                <w:lang w:val="fr-CA"/>
              </w:rPr>
              <w:t xml:space="preserve">Alyssa Tomkins </w:t>
            </w:r>
            <w:r>
              <w:rPr>
                <w:sz w:val="20"/>
                <w:szCs w:val="20"/>
                <w:lang w:val="fr-CA"/>
              </w:rPr>
              <w:t>p</w:t>
            </w:r>
            <w:r w:rsidRPr="004D6957">
              <w:rPr>
                <w:sz w:val="20"/>
                <w:szCs w:val="20"/>
                <w:lang w:val="fr-CA"/>
              </w:rPr>
              <w:t>our l’appelant</w:t>
            </w:r>
            <w:r>
              <w:rPr>
                <w:sz w:val="20"/>
                <w:szCs w:val="20"/>
                <w:lang w:val="fr-CA"/>
              </w:rPr>
              <w:t xml:space="preserve"> </w:t>
            </w:r>
            <w:r w:rsidRPr="004D6957">
              <w:rPr>
                <w:sz w:val="20"/>
                <w:szCs w:val="20"/>
                <w:lang w:val="fr-CA"/>
              </w:rPr>
              <w:t>Michel Thibodeau et a</w:t>
            </w:r>
            <w:r>
              <w:rPr>
                <w:sz w:val="20"/>
                <w:szCs w:val="20"/>
                <w:lang w:val="fr-CA"/>
              </w:rPr>
              <w:t>utres.</w:t>
            </w:r>
          </w:p>
          <w:p w:rsidR="00A8684C" w:rsidRPr="004D6957" w:rsidRDefault="00A8684C" w:rsidP="00A8684C">
            <w:pPr>
              <w:jc w:val="both"/>
              <w:rPr>
                <w:sz w:val="20"/>
                <w:szCs w:val="20"/>
                <w:lang w:val="fr-CA"/>
              </w:rPr>
            </w:pPr>
          </w:p>
          <w:p w:rsidR="001B1E7F" w:rsidRPr="00072C86" w:rsidRDefault="00A8684C" w:rsidP="00A8684C">
            <w:pPr>
              <w:widowControl w:val="0"/>
              <w:jc w:val="both"/>
              <w:rPr>
                <w:sz w:val="20"/>
                <w:szCs w:val="20"/>
                <w:lang w:val="fr-CA"/>
              </w:rPr>
            </w:pPr>
            <w:r w:rsidRPr="004D6957">
              <w:rPr>
                <w:sz w:val="20"/>
                <w:szCs w:val="20"/>
                <w:lang w:val="fr-CA"/>
              </w:rPr>
              <w:t>Louise-Hélène Sénécal</w:t>
            </w:r>
            <w:r>
              <w:rPr>
                <w:sz w:val="20"/>
                <w:szCs w:val="20"/>
                <w:lang w:val="fr-CA"/>
              </w:rPr>
              <w:t xml:space="preserve">, </w:t>
            </w:r>
            <w:r w:rsidRPr="004D6957">
              <w:rPr>
                <w:sz w:val="20"/>
                <w:szCs w:val="20"/>
                <w:lang w:val="fr-CA"/>
              </w:rPr>
              <w:t>Pierre Bienvenu</w:t>
            </w:r>
            <w:r>
              <w:rPr>
                <w:sz w:val="20"/>
                <w:szCs w:val="20"/>
                <w:lang w:val="fr-CA"/>
              </w:rPr>
              <w:t xml:space="preserve"> et </w:t>
            </w:r>
            <w:r w:rsidRPr="004D6957">
              <w:rPr>
                <w:sz w:val="20"/>
                <w:szCs w:val="20"/>
                <w:lang w:val="fr-CA"/>
              </w:rPr>
              <w:t>Andres Garin</w:t>
            </w:r>
            <w:r>
              <w:rPr>
                <w:sz w:val="20"/>
                <w:szCs w:val="20"/>
                <w:lang w:val="fr-CA"/>
              </w:rPr>
              <w:t xml:space="preserve"> p</w:t>
            </w:r>
            <w:r w:rsidRPr="004D6957">
              <w:rPr>
                <w:sz w:val="20"/>
                <w:szCs w:val="20"/>
                <w:lang w:val="fr-CA"/>
              </w:rPr>
              <w:t>our l’intimé</w:t>
            </w:r>
            <w:r>
              <w:rPr>
                <w:sz w:val="20"/>
                <w:szCs w:val="20"/>
                <w:lang w:val="fr-CA"/>
              </w:rPr>
              <w:t>.</w:t>
            </w:r>
          </w:p>
        </w:tc>
      </w:tr>
    </w:tbl>
    <w:p w:rsidR="001B1E7F" w:rsidRPr="00072C86" w:rsidRDefault="001B1E7F" w:rsidP="001B1E7F">
      <w:pPr>
        <w:widowControl w:val="0"/>
        <w:rPr>
          <w:lang w:val="fr-CA"/>
        </w:rPr>
      </w:pPr>
    </w:p>
    <w:p w:rsidR="001B1E7F" w:rsidRPr="00072C86" w:rsidRDefault="001B1E7F" w:rsidP="001B1E7F">
      <w:pPr>
        <w:widowControl w:val="0"/>
        <w:rPr>
          <w:sz w:val="20"/>
          <w:szCs w:val="20"/>
          <w:lang w:val="fr-CA"/>
        </w:rPr>
      </w:pPr>
      <w:r w:rsidRPr="00072C86">
        <w:rPr>
          <w:b/>
          <w:sz w:val="20"/>
          <w:szCs w:val="20"/>
          <w:lang w:val="fr-CA"/>
        </w:rPr>
        <w:t xml:space="preserve">RESERVED / </w:t>
      </w:r>
      <w:r w:rsidRPr="0085476B">
        <w:rPr>
          <w:b/>
          <w:sz w:val="20"/>
          <w:szCs w:val="20"/>
          <w:lang w:val="fr-CA"/>
        </w:rPr>
        <w:t>EN DÉLIBÉRÉ</w:t>
      </w:r>
    </w:p>
    <w:p w:rsidR="001B1E7F" w:rsidRPr="00072C86" w:rsidRDefault="001B1E7F" w:rsidP="001B1E7F">
      <w:pPr>
        <w:rPr>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1B1E7F" w:rsidRPr="004F01F8" w:rsidTr="001B1E7F">
        <w:tc>
          <w:tcPr>
            <w:tcW w:w="4380" w:type="dxa"/>
            <w:tcMar>
              <w:left w:w="0" w:type="dxa"/>
              <w:right w:w="0" w:type="dxa"/>
            </w:tcMar>
          </w:tcPr>
          <w:p w:rsidR="001B1E7F" w:rsidRPr="00A8684C" w:rsidRDefault="001B1E7F" w:rsidP="001B1E7F">
            <w:pPr>
              <w:widowControl w:val="0"/>
              <w:jc w:val="both"/>
              <w:rPr>
                <w:b/>
                <w:sz w:val="20"/>
                <w:szCs w:val="20"/>
                <w:u w:val="single"/>
              </w:rPr>
            </w:pPr>
            <w:r w:rsidRPr="00A8684C">
              <w:rPr>
                <w:b/>
                <w:sz w:val="20"/>
                <w:szCs w:val="20"/>
                <w:u w:val="single"/>
              </w:rPr>
              <w:t>Nature of the case:</w:t>
            </w:r>
          </w:p>
          <w:p w:rsidR="001B1E7F" w:rsidRPr="00A8684C" w:rsidRDefault="001B1E7F" w:rsidP="001B1E7F">
            <w:pPr>
              <w:widowControl w:val="0"/>
              <w:jc w:val="both"/>
              <w:rPr>
                <w:b/>
                <w:sz w:val="20"/>
                <w:szCs w:val="20"/>
              </w:rPr>
            </w:pPr>
          </w:p>
          <w:p w:rsidR="001B1E7F" w:rsidRPr="00A8684C" w:rsidRDefault="00A8684C" w:rsidP="001B1E7F">
            <w:pPr>
              <w:widowControl w:val="0"/>
              <w:jc w:val="both"/>
              <w:rPr>
                <w:b/>
                <w:sz w:val="20"/>
                <w:szCs w:val="20"/>
              </w:rPr>
            </w:pPr>
            <w:r w:rsidRPr="00250647">
              <w:rPr>
                <w:sz w:val="20"/>
                <w:szCs w:val="20"/>
              </w:rPr>
              <w:t xml:space="preserve">Official languages - Compatibility of fundamental rights and legislation arising from treaty - Conflicting legislation and precedence - Canadian carrier violating language rights of Canadian travellers on ground and in flight, in Canada and in United States - </w:t>
            </w:r>
            <w:bookmarkStart w:id="2" w:name="OLE_LINK1"/>
            <w:bookmarkStart w:id="3" w:name="OLE_LINK2"/>
            <w:r w:rsidRPr="00250647">
              <w:rPr>
                <w:sz w:val="20"/>
                <w:szCs w:val="20"/>
              </w:rPr>
              <w:t xml:space="preserve">Whether statute incorporating into Canadian law treaty with respect to carriage by air can be relied on to restrict remedial power of court hearing complaint relating to language rights - Whether Federal Court of Appeal erred in characterizing application made to obtain remedy - Whether Federal Court of Appeal erred in </w:t>
            </w:r>
            <w:r w:rsidRPr="00250647">
              <w:rPr>
                <w:sz w:val="20"/>
                <w:szCs w:val="20"/>
              </w:rPr>
              <w:lastRenderedPageBreak/>
              <w:t xml:space="preserve">interpreting treaty in question - Whether </w:t>
            </w:r>
            <w:r w:rsidRPr="00250647">
              <w:rPr>
                <w:i/>
                <w:sz w:val="20"/>
                <w:szCs w:val="20"/>
              </w:rPr>
              <w:t>Montreal Convention</w:t>
            </w:r>
            <w:r w:rsidRPr="00250647">
              <w:rPr>
                <w:sz w:val="20"/>
                <w:szCs w:val="20"/>
              </w:rPr>
              <w:t xml:space="preserve"> applicable to public law proceedings - Whether two relevant statutes, if they apply concurrently to carrier’s obligations and to application made in this case, are compatible - Statute that should prevail if relevant statutes are incompatible - Whether Federal Court of Appeal erred in setting aside structural order made by Federal Court </w:t>
            </w:r>
            <w:bookmarkEnd w:id="2"/>
            <w:bookmarkEnd w:id="3"/>
            <w:r w:rsidRPr="00250647">
              <w:rPr>
                <w:sz w:val="20"/>
                <w:szCs w:val="20"/>
              </w:rPr>
              <w:t xml:space="preserve">- </w:t>
            </w:r>
            <w:r w:rsidRPr="00250647">
              <w:rPr>
                <w:i/>
                <w:sz w:val="20"/>
                <w:szCs w:val="20"/>
              </w:rPr>
              <w:t>Official Languages Act</w:t>
            </w:r>
            <w:r w:rsidRPr="00250647">
              <w:rPr>
                <w:sz w:val="20"/>
                <w:szCs w:val="20"/>
              </w:rPr>
              <w:t>, R.S.C. 1985, c. 31 (4th Supp.), ss. 77(4) and 82(1)(</w:t>
            </w:r>
            <w:r w:rsidRPr="00250647">
              <w:rPr>
                <w:i/>
                <w:sz w:val="20"/>
                <w:szCs w:val="20"/>
              </w:rPr>
              <w:t>d</w:t>
            </w:r>
            <w:r w:rsidRPr="00250647">
              <w:rPr>
                <w:sz w:val="20"/>
                <w:szCs w:val="20"/>
              </w:rPr>
              <w:t xml:space="preserve">) - </w:t>
            </w:r>
            <w:r w:rsidRPr="00250647">
              <w:rPr>
                <w:i/>
                <w:sz w:val="20"/>
                <w:szCs w:val="20"/>
              </w:rPr>
              <w:t>Carriage by Air Act</w:t>
            </w:r>
            <w:r w:rsidRPr="00250647">
              <w:rPr>
                <w:sz w:val="20"/>
                <w:szCs w:val="20"/>
              </w:rPr>
              <w:t>, R.S.C. 1985, c. C-26, Schedule VI (</w:t>
            </w:r>
            <w:r w:rsidRPr="00250647">
              <w:rPr>
                <w:i/>
                <w:sz w:val="20"/>
                <w:szCs w:val="20"/>
              </w:rPr>
              <w:t>Convention for the Unification of Certain Rules for International Carriage by Air</w:t>
            </w:r>
            <w:r w:rsidRPr="00250647">
              <w:rPr>
                <w:sz w:val="20"/>
                <w:szCs w:val="20"/>
              </w:rPr>
              <w:t xml:space="preserve">, UN 1999, known as the </w:t>
            </w:r>
            <w:r w:rsidRPr="00250647">
              <w:rPr>
                <w:i/>
                <w:sz w:val="20"/>
                <w:szCs w:val="20"/>
              </w:rPr>
              <w:t>Montreal Convention</w:t>
            </w:r>
            <w:r w:rsidRPr="00250647">
              <w:rPr>
                <w:sz w:val="20"/>
                <w:szCs w:val="20"/>
              </w:rPr>
              <w:t>), art. 29.</w:t>
            </w:r>
          </w:p>
        </w:tc>
        <w:tc>
          <w:tcPr>
            <w:tcW w:w="720" w:type="dxa"/>
            <w:tcMar>
              <w:left w:w="0" w:type="dxa"/>
              <w:right w:w="0" w:type="dxa"/>
            </w:tcMar>
          </w:tcPr>
          <w:p w:rsidR="001B1E7F" w:rsidRPr="00A8684C" w:rsidRDefault="001B1E7F" w:rsidP="001B1E7F">
            <w:pPr>
              <w:widowControl w:val="0"/>
              <w:jc w:val="center"/>
              <w:rPr>
                <w:sz w:val="20"/>
                <w:szCs w:val="20"/>
              </w:rPr>
            </w:pPr>
          </w:p>
        </w:tc>
        <w:tc>
          <w:tcPr>
            <w:tcW w:w="4380" w:type="dxa"/>
            <w:tcMar>
              <w:left w:w="0" w:type="dxa"/>
              <w:right w:w="0" w:type="dxa"/>
            </w:tcMar>
          </w:tcPr>
          <w:p w:rsidR="001B1E7F" w:rsidRPr="00CC4D84" w:rsidRDefault="001B1E7F" w:rsidP="001B1E7F">
            <w:pPr>
              <w:widowControl w:val="0"/>
              <w:jc w:val="both"/>
              <w:rPr>
                <w:b/>
                <w:sz w:val="20"/>
                <w:szCs w:val="20"/>
                <w:u w:val="single"/>
                <w:lang w:val="fr-CA"/>
              </w:rPr>
            </w:pPr>
            <w:r w:rsidRPr="00CC4D84">
              <w:rPr>
                <w:b/>
                <w:sz w:val="20"/>
                <w:szCs w:val="20"/>
                <w:u w:val="single"/>
                <w:lang w:val="fr-CA"/>
              </w:rPr>
              <w:t>Nature de la cause :</w:t>
            </w:r>
          </w:p>
          <w:p w:rsidR="001B1E7F" w:rsidRPr="00C1697B" w:rsidRDefault="001B1E7F" w:rsidP="001B1E7F">
            <w:pPr>
              <w:widowControl w:val="0"/>
              <w:jc w:val="both"/>
              <w:rPr>
                <w:sz w:val="20"/>
                <w:szCs w:val="20"/>
                <w:lang w:val="fr-CA"/>
              </w:rPr>
            </w:pPr>
          </w:p>
          <w:p w:rsidR="001B1E7F" w:rsidRPr="00C1697B" w:rsidRDefault="00A8684C" w:rsidP="001B1E7F">
            <w:pPr>
              <w:widowControl w:val="0"/>
              <w:jc w:val="both"/>
              <w:rPr>
                <w:sz w:val="20"/>
                <w:szCs w:val="20"/>
                <w:lang w:val="fr-CA"/>
              </w:rPr>
            </w:pPr>
            <w:r w:rsidRPr="00BA7986">
              <w:rPr>
                <w:sz w:val="20"/>
                <w:szCs w:val="20"/>
                <w:lang w:val="fr-CA"/>
              </w:rPr>
              <w:t xml:space="preserve">Langues officielles - Compatibilité de droits fondamentaux et d’une loi issue de traité - Conflit de lois et préséance - Contravention par un transporteur canadien aux droits linguistiques de voyageurs canadiens au sol et en vol, au Canada et aux États-Unis - La loi incorporant en droit canadien un traité en matière de transport aérien peut-elle être invoquée pour limiter le pouvoir réparateur du tribunal saisi d’une plainte en matière de droits linguistiques? - La Cour d’appel fédérale a-t-elle qualifié inadéquatement le recours en réparation entrepris? - La Cour d’appel </w:t>
            </w:r>
            <w:r w:rsidRPr="00BA7986">
              <w:rPr>
                <w:sz w:val="20"/>
                <w:szCs w:val="20"/>
                <w:lang w:val="fr-CA"/>
              </w:rPr>
              <w:lastRenderedPageBreak/>
              <w:t xml:space="preserve">fédérale a-t-elle mal interprété le traité concerné? - La </w:t>
            </w:r>
            <w:r w:rsidRPr="00BA7986">
              <w:rPr>
                <w:i/>
                <w:sz w:val="20"/>
                <w:szCs w:val="20"/>
                <w:lang w:val="fr-CA"/>
              </w:rPr>
              <w:t>Convention de Montréal</w:t>
            </w:r>
            <w:r w:rsidRPr="00BA7986">
              <w:rPr>
                <w:sz w:val="20"/>
                <w:szCs w:val="20"/>
                <w:lang w:val="fr-CA"/>
              </w:rPr>
              <w:t xml:space="preserve"> vise-t-elle les recours de droit public? - Si les deux lois pertinentes s’appliquent concurremment aux obligations du transporteur et au recours entrepris en l’espèce, sont-elles compatibles? – Si les lois pertinentes sont incompatibles, laquelle doit avoir préséance? – La Cour d’appel fédérale a-t-elle annulé à tort l’ordonnance structurelle prononcée par la Cour fédérale? - </w:t>
            </w:r>
            <w:r w:rsidRPr="00BA7986">
              <w:rPr>
                <w:i/>
                <w:sz w:val="20"/>
                <w:szCs w:val="20"/>
                <w:lang w:val="fr-CA"/>
              </w:rPr>
              <w:t>Loi sur les langues officielles</w:t>
            </w:r>
            <w:r w:rsidRPr="00BA7986">
              <w:rPr>
                <w:sz w:val="20"/>
                <w:szCs w:val="20"/>
                <w:lang w:val="fr-CA"/>
              </w:rPr>
              <w:t xml:space="preserve">, L.R. 1985, ch. 31, par. 77 (4) et al. 82 (1) d) - </w:t>
            </w:r>
            <w:r w:rsidRPr="00BA7986">
              <w:rPr>
                <w:i/>
                <w:sz w:val="20"/>
                <w:szCs w:val="20"/>
                <w:lang w:val="fr-FR"/>
              </w:rPr>
              <w:t>Loi sur le transport aérien</w:t>
            </w:r>
            <w:r w:rsidRPr="00BA7986">
              <w:rPr>
                <w:sz w:val="20"/>
                <w:szCs w:val="20"/>
                <w:lang w:val="fr-FR"/>
              </w:rPr>
              <w:t>, L.R.C. 1985, ch. C-26, annexe VI (</w:t>
            </w:r>
            <w:r w:rsidRPr="00BA7986">
              <w:rPr>
                <w:i/>
                <w:sz w:val="20"/>
                <w:szCs w:val="20"/>
                <w:lang w:val="fr-FR"/>
              </w:rPr>
              <w:t>Convention pour l’unification de certaines règles relatives au transport aérien international</w:t>
            </w:r>
            <w:r w:rsidRPr="00BA7986">
              <w:rPr>
                <w:sz w:val="20"/>
                <w:szCs w:val="20"/>
                <w:lang w:val="fr-FR"/>
              </w:rPr>
              <w:t xml:space="preserve">, ONU 1999, dite </w:t>
            </w:r>
            <w:r w:rsidRPr="00BA7986">
              <w:rPr>
                <w:i/>
                <w:sz w:val="20"/>
                <w:szCs w:val="20"/>
                <w:lang w:val="fr-FR"/>
              </w:rPr>
              <w:t>Convention de Montréal</w:t>
            </w:r>
            <w:r w:rsidRPr="00BA7986">
              <w:rPr>
                <w:sz w:val="20"/>
                <w:szCs w:val="20"/>
                <w:lang w:val="fr-FR"/>
              </w:rPr>
              <w:t>), art. 29</w:t>
            </w:r>
            <w:r w:rsidRPr="00BA7986">
              <w:rPr>
                <w:sz w:val="20"/>
                <w:szCs w:val="20"/>
                <w:lang w:val="fr-CA"/>
              </w:rPr>
              <w:t>.</w:t>
            </w:r>
          </w:p>
        </w:tc>
      </w:tr>
    </w:tbl>
    <w:p w:rsidR="001B1E7F" w:rsidRDefault="001B1E7F" w:rsidP="001B1E7F">
      <w:pPr>
        <w:widowControl w:val="0"/>
        <w:rPr>
          <w:sz w:val="20"/>
          <w:szCs w:val="20"/>
          <w:lang w:val="fr-CA"/>
        </w:rPr>
      </w:pPr>
    </w:p>
    <w:p w:rsidR="001B1E7F" w:rsidRPr="00072C86" w:rsidRDefault="004F01F8" w:rsidP="001B1E7F">
      <w:pPr>
        <w:widowControl w:val="0"/>
        <w:rPr>
          <w:sz w:val="20"/>
          <w:szCs w:val="20"/>
          <w:lang w:val="fr-CA"/>
        </w:rPr>
      </w:pPr>
      <w:r>
        <w:rPr>
          <w:sz w:val="20"/>
          <w:szCs w:val="20"/>
          <w:lang w:val="fr-CA"/>
        </w:rPr>
        <w:pict>
          <v:rect id="_x0000_i1071" style="width:2in;height:1pt" o:hrpct="0" o:hralign="center" o:hrstd="t" o:hrnoshade="t" o:hr="t" fillcolor="black [3213]" stroked="f"/>
        </w:pict>
      </w:r>
    </w:p>
    <w:p w:rsidR="001B1E7F" w:rsidRPr="00072C86" w:rsidRDefault="001B1E7F" w:rsidP="001B1E7F">
      <w:pPr>
        <w:widowControl w:val="0"/>
        <w:rPr>
          <w:sz w:val="20"/>
          <w:szCs w:val="20"/>
          <w:lang w:val="fr-CA"/>
        </w:rPr>
      </w:pPr>
    </w:p>
    <w:p w:rsidR="001B1E7F" w:rsidRPr="00A53D1B" w:rsidRDefault="001B1E7F" w:rsidP="001B1E7F">
      <w:pPr>
        <w:widowControl w:val="0"/>
        <w:rPr>
          <w:sz w:val="20"/>
          <w:szCs w:val="20"/>
        </w:rPr>
      </w:pPr>
      <w:r w:rsidRPr="00A53D1B">
        <w:rPr>
          <w:sz w:val="20"/>
          <w:szCs w:val="20"/>
        </w:rPr>
        <w:t>27.03.2014</w:t>
      </w:r>
    </w:p>
    <w:p w:rsidR="001B1E7F" w:rsidRPr="00A53D1B" w:rsidRDefault="001B1E7F" w:rsidP="001B1E7F">
      <w:pPr>
        <w:widowControl w:val="0"/>
        <w:rPr>
          <w:sz w:val="20"/>
          <w:szCs w:val="20"/>
        </w:rPr>
      </w:pPr>
    </w:p>
    <w:p w:rsidR="001B1E7F" w:rsidRPr="00C50A5C" w:rsidRDefault="001B1E7F" w:rsidP="001B1E7F">
      <w:pPr>
        <w:widowControl w:val="0"/>
        <w:ind w:left="720" w:hanging="720"/>
        <w:rPr>
          <w:b/>
          <w:sz w:val="20"/>
          <w:szCs w:val="20"/>
        </w:rPr>
      </w:pPr>
      <w:r w:rsidRPr="00072C86">
        <w:rPr>
          <w:sz w:val="20"/>
          <w:szCs w:val="20"/>
        </w:rPr>
        <w:t xml:space="preserve">Coram: </w:t>
      </w:r>
      <w:r w:rsidRPr="00072C86">
        <w:rPr>
          <w:sz w:val="20"/>
          <w:szCs w:val="20"/>
        </w:rPr>
        <w:tab/>
      </w:r>
      <w:r w:rsidRPr="00072C86">
        <w:rPr>
          <w:sz w:val="20"/>
          <w:szCs w:val="20"/>
          <w:u w:val="single"/>
        </w:rPr>
        <w:t>McLachlin C.J. and Ab</w:t>
      </w:r>
      <w:r w:rsidRPr="00C50A5C">
        <w:rPr>
          <w:sz w:val="20"/>
          <w:szCs w:val="20"/>
          <w:u w:val="single"/>
        </w:rPr>
        <w:t>ella, Rothstein</w:t>
      </w:r>
      <w:r>
        <w:rPr>
          <w:sz w:val="20"/>
          <w:szCs w:val="20"/>
          <w:u w:val="single"/>
        </w:rPr>
        <w:t xml:space="preserve">, </w:t>
      </w:r>
      <w:r w:rsidR="00072C86">
        <w:rPr>
          <w:sz w:val="20"/>
          <w:szCs w:val="20"/>
          <w:u w:val="single"/>
        </w:rPr>
        <w:t xml:space="preserve">Cromwell, </w:t>
      </w:r>
      <w:r>
        <w:rPr>
          <w:sz w:val="20"/>
          <w:szCs w:val="20"/>
          <w:u w:val="single"/>
        </w:rPr>
        <w:t>Moldaver, Karakatsanis and Wagner</w:t>
      </w:r>
      <w:r w:rsidRPr="00C50A5C">
        <w:rPr>
          <w:sz w:val="20"/>
          <w:szCs w:val="20"/>
          <w:u w:val="single"/>
        </w:rPr>
        <w:t xml:space="preserve"> JJ.</w:t>
      </w:r>
      <w:r w:rsidRPr="00C50A5C">
        <w:rPr>
          <w:sz w:val="20"/>
          <w:szCs w:val="20"/>
        </w:rPr>
        <w:t xml:space="preserve"> </w:t>
      </w:r>
    </w:p>
    <w:p w:rsidR="001B1E7F" w:rsidRPr="00C50A5C" w:rsidRDefault="001B1E7F" w:rsidP="001B1E7F">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1B1E7F" w:rsidRPr="00C50A5C" w:rsidTr="001B1E7F">
        <w:tc>
          <w:tcPr>
            <w:tcW w:w="4380" w:type="dxa"/>
            <w:tcMar>
              <w:left w:w="0" w:type="dxa"/>
              <w:right w:w="0" w:type="dxa"/>
            </w:tcMar>
          </w:tcPr>
          <w:p w:rsidR="001B1E7F" w:rsidRPr="00A53D1B" w:rsidRDefault="00072C86" w:rsidP="001B1E7F">
            <w:pPr>
              <w:widowControl w:val="0"/>
              <w:jc w:val="both"/>
              <w:rPr>
                <w:b/>
                <w:sz w:val="20"/>
                <w:szCs w:val="20"/>
                <w:lang w:val="fr-CA"/>
              </w:rPr>
            </w:pPr>
            <w:r w:rsidRPr="00A53D1B">
              <w:rPr>
                <w:b/>
                <w:sz w:val="20"/>
                <w:szCs w:val="20"/>
                <w:lang w:val="fr-CA"/>
              </w:rPr>
              <w:t>T</w:t>
            </w:r>
            <w:r w:rsidR="001B1E7F" w:rsidRPr="00A53D1B">
              <w:rPr>
                <w:b/>
                <w:sz w:val="20"/>
                <w:szCs w:val="20"/>
                <w:lang w:val="fr-CA"/>
              </w:rPr>
              <w:t>er</w:t>
            </w:r>
            <w:r w:rsidRPr="00A53D1B">
              <w:rPr>
                <w:b/>
                <w:sz w:val="20"/>
                <w:szCs w:val="20"/>
                <w:lang w:val="fr-CA"/>
              </w:rPr>
              <w:t>vit</w:t>
            </w:r>
            <w:r w:rsidR="001B1E7F" w:rsidRPr="00A53D1B">
              <w:rPr>
                <w:b/>
                <w:sz w:val="20"/>
                <w:szCs w:val="20"/>
                <w:lang w:val="fr-CA"/>
              </w:rPr>
              <w:t>a</w:t>
            </w:r>
            <w:r w:rsidRPr="00A53D1B">
              <w:rPr>
                <w:b/>
                <w:sz w:val="20"/>
                <w:szCs w:val="20"/>
                <w:lang w:val="fr-CA"/>
              </w:rPr>
              <w:t xml:space="preserve"> Corpora</w:t>
            </w:r>
            <w:r w:rsidR="001B1E7F" w:rsidRPr="00A53D1B">
              <w:rPr>
                <w:b/>
                <w:sz w:val="20"/>
                <w:szCs w:val="20"/>
                <w:lang w:val="fr-CA"/>
              </w:rPr>
              <w:t>t</w:t>
            </w:r>
            <w:r w:rsidRPr="00A53D1B">
              <w:rPr>
                <w:b/>
                <w:sz w:val="20"/>
                <w:szCs w:val="20"/>
                <w:lang w:val="fr-CA"/>
              </w:rPr>
              <w:t>ion e</w:t>
            </w:r>
            <w:r w:rsidR="001B1E7F" w:rsidRPr="00A53D1B">
              <w:rPr>
                <w:b/>
                <w:sz w:val="20"/>
                <w:szCs w:val="20"/>
                <w:lang w:val="fr-CA"/>
              </w:rPr>
              <w:t>t</w:t>
            </w:r>
            <w:r w:rsidRPr="00A53D1B">
              <w:rPr>
                <w:b/>
                <w:sz w:val="20"/>
                <w:szCs w:val="20"/>
                <w:lang w:val="fr-CA"/>
              </w:rPr>
              <w:t xml:space="preserve"> al.</w:t>
            </w:r>
          </w:p>
          <w:p w:rsidR="001B1E7F" w:rsidRPr="00A53D1B" w:rsidRDefault="001B1E7F" w:rsidP="001B1E7F">
            <w:pPr>
              <w:widowControl w:val="0"/>
              <w:jc w:val="both"/>
              <w:rPr>
                <w:b/>
                <w:sz w:val="20"/>
                <w:szCs w:val="20"/>
                <w:lang w:val="fr-CA"/>
              </w:rPr>
            </w:pPr>
          </w:p>
          <w:p w:rsidR="001B1E7F" w:rsidRPr="00A53D1B" w:rsidRDefault="001B1E7F" w:rsidP="001B1E7F">
            <w:pPr>
              <w:widowControl w:val="0"/>
              <w:tabs>
                <w:tab w:val="left" w:pos="736"/>
              </w:tabs>
              <w:jc w:val="both"/>
              <w:rPr>
                <w:b/>
                <w:sz w:val="20"/>
                <w:szCs w:val="20"/>
                <w:lang w:val="fr-CA"/>
              </w:rPr>
            </w:pPr>
            <w:r w:rsidRPr="00A53D1B">
              <w:rPr>
                <w:b/>
                <w:sz w:val="20"/>
                <w:szCs w:val="20"/>
                <w:lang w:val="fr-CA"/>
              </w:rPr>
              <w:tab/>
              <w:t>v. (35</w:t>
            </w:r>
            <w:r w:rsidR="003A098C">
              <w:rPr>
                <w:b/>
                <w:sz w:val="20"/>
                <w:szCs w:val="20"/>
                <w:lang w:val="fr-CA"/>
              </w:rPr>
              <w:t>314</w:t>
            </w:r>
            <w:r w:rsidRPr="00A53D1B">
              <w:rPr>
                <w:b/>
                <w:sz w:val="20"/>
                <w:szCs w:val="20"/>
                <w:lang w:val="fr-CA"/>
              </w:rPr>
              <w:t>)</w:t>
            </w:r>
          </w:p>
          <w:p w:rsidR="001B1E7F" w:rsidRPr="00A53D1B" w:rsidRDefault="001B1E7F" w:rsidP="001B1E7F">
            <w:pPr>
              <w:widowControl w:val="0"/>
              <w:jc w:val="both"/>
              <w:rPr>
                <w:b/>
                <w:sz w:val="20"/>
                <w:szCs w:val="20"/>
                <w:lang w:val="fr-CA"/>
              </w:rPr>
            </w:pPr>
          </w:p>
          <w:p w:rsidR="001B1E7F" w:rsidRPr="00893C7B" w:rsidRDefault="00072C86" w:rsidP="00072C86">
            <w:pPr>
              <w:widowControl w:val="0"/>
              <w:jc w:val="both"/>
              <w:rPr>
                <w:sz w:val="20"/>
                <w:szCs w:val="20"/>
              </w:rPr>
            </w:pPr>
            <w:r>
              <w:rPr>
                <w:b/>
                <w:sz w:val="20"/>
                <w:szCs w:val="20"/>
              </w:rPr>
              <w:t>Commissioner of Compe</w:t>
            </w:r>
            <w:r w:rsidR="001B1E7F">
              <w:rPr>
                <w:b/>
                <w:sz w:val="20"/>
                <w:szCs w:val="20"/>
              </w:rPr>
              <w:t>t</w:t>
            </w:r>
            <w:r>
              <w:rPr>
                <w:b/>
                <w:sz w:val="20"/>
                <w:szCs w:val="20"/>
              </w:rPr>
              <w:t>itio</w:t>
            </w:r>
            <w:r w:rsidR="001B1E7F">
              <w:rPr>
                <w:b/>
                <w:sz w:val="20"/>
                <w:szCs w:val="20"/>
              </w:rPr>
              <w:t>n</w:t>
            </w:r>
            <w:r w:rsidR="001B1E7F" w:rsidRPr="00C50A5C">
              <w:rPr>
                <w:b/>
                <w:sz w:val="20"/>
                <w:szCs w:val="20"/>
              </w:rPr>
              <w:t xml:space="preserve"> (</w:t>
            </w:r>
            <w:r>
              <w:rPr>
                <w:b/>
                <w:sz w:val="20"/>
                <w:szCs w:val="20"/>
              </w:rPr>
              <w:t>F</w:t>
            </w:r>
            <w:r w:rsidR="001B1E7F" w:rsidRPr="00C50A5C">
              <w:rPr>
                <w:b/>
                <w:sz w:val="20"/>
                <w:szCs w:val="20"/>
              </w:rPr>
              <w:t>.</w:t>
            </w:r>
            <w:r>
              <w:rPr>
                <w:b/>
                <w:sz w:val="20"/>
                <w:szCs w:val="20"/>
              </w:rPr>
              <w:t>C.</w:t>
            </w:r>
            <w:r w:rsidR="001B1E7F" w:rsidRPr="00C50A5C">
              <w:rPr>
                <w:b/>
                <w:sz w:val="20"/>
                <w:szCs w:val="20"/>
              </w:rPr>
              <w:t>) (Ci</w:t>
            </w:r>
            <w:r>
              <w:rPr>
                <w:b/>
                <w:sz w:val="20"/>
                <w:szCs w:val="20"/>
              </w:rPr>
              <w:t>v</w:t>
            </w:r>
            <w:r w:rsidR="001B1E7F" w:rsidRPr="00C50A5C">
              <w:rPr>
                <w:b/>
                <w:sz w:val="20"/>
                <w:szCs w:val="20"/>
              </w:rPr>
              <w:t>il) (By</w:t>
            </w:r>
            <w:r>
              <w:rPr>
                <w:b/>
                <w:sz w:val="20"/>
                <w:szCs w:val="20"/>
              </w:rPr>
              <w:t> </w:t>
            </w:r>
            <w:r w:rsidR="001B1E7F" w:rsidRPr="00C50A5C">
              <w:rPr>
                <w:b/>
                <w:sz w:val="20"/>
                <w:szCs w:val="20"/>
              </w:rPr>
              <w:t>Leave)</w:t>
            </w:r>
          </w:p>
        </w:tc>
        <w:tc>
          <w:tcPr>
            <w:tcW w:w="720" w:type="dxa"/>
            <w:tcMar>
              <w:left w:w="0" w:type="dxa"/>
              <w:right w:w="0" w:type="dxa"/>
            </w:tcMar>
          </w:tcPr>
          <w:p w:rsidR="001B1E7F" w:rsidRPr="00893C7B" w:rsidRDefault="001B1E7F" w:rsidP="001B1E7F">
            <w:pPr>
              <w:widowControl w:val="0"/>
              <w:jc w:val="center"/>
              <w:rPr>
                <w:sz w:val="20"/>
                <w:szCs w:val="20"/>
              </w:rPr>
            </w:pPr>
          </w:p>
        </w:tc>
        <w:tc>
          <w:tcPr>
            <w:tcW w:w="4380" w:type="dxa"/>
            <w:tcMar>
              <w:left w:w="0" w:type="dxa"/>
              <w:right w:w="0" w:type="dxa"/>
            </w:tcMar>
          </w:tcPr>
          <w:p w:rsidR="00FF6357" w:rsidRDefault="00FF6357" w:rsidP="00FF6357">
            <w:pPr>
              <w:jc w:val="both"/>
              <w:rPr>
                <w:sz w:val="20"/>
                <w:szCs w:val="20"/>
                <w:lang w:val="en-US"/>
              </w:rPr>
            </w:pPr>
            <w:r w:rsidRPr="00E02C62">
              <w:rPr>
                <w:sz w:val="20"/>
                <w:szCs w:val="20"/>
                <w:lang w:val="en-US"/>
              </w:rPr>
              <w:t>John B. Laskin</w:t>
            </w:r>
            <w:r>
              <w:rPr>
                <w:sz w:val="20"/>
                <w:szCs w:val="20"/>
                <w:lang w:val="en-US"/>
              </w:rPr>
              <w:t xml:space="preserve">, </w:t>
            </w:r>
            <w:r w:rsidRPr="00E02C62">
              <w:rPr>
                <w:sz w:val="20"/>
                <w:szCs w:val="20"/>
                <w:lang w:val="en-US"/>
              </w:rPr>
              <w:t>Linda M. Plumpton</w:t>
            </w:r>
            <w:r>
              <w:rPr>
                <w:sz w:val="20"/>
                <w:szCs w:val="20"/>
                <w:lang w:val="en-US"/>
              </w:rPr>
              <w:t xml:space="preserve">, </w:t>
            </w:r>
            <w:r w:rsidRPr="00E02C62">
              <w:rPr>
                <w:sz w:val="20"/>
                <w:szCs w:val="20"/>
                <w:lang w:val="en-US"/>
              </w:rPr>
              <w:t>Dany H. Assaf</w:t>
            </w:r>
            <w:r>
              <w:rPr>
                <w:sz w:val="20"/>
                <w:szCs w:val="20"/>
                <w:lang w:val="en-US"/>
              </w:rPr>
              <w:t xml:space="preserve"> and </w:t>
            </w:r>
            <w:r w:rsidRPr="00E02C62">
              <w:rPr>
                <w:sz w:val="20"/>
                <w:szCs w:val="20"/>
                <w:lang w:val="en-US"/>
              </w:rPr>
              <w:t>Crawford G. Smith</w:t>
            </w:r>
            <w:r>
              <w:rPr>
                <w:sz w:val="20"/>
                <w:szCs w:val="20"/>
                <w:lang w:val="en-US"/>
              </w:rPr>
              <w:t xml:space="preserve"> f</w:t>
            </w:r>
            <w:r w:rsidRPr="00E02C62">
              <w:rPr>
                <w:sz w:val="20"/>
                <w:szCs w:val="20"/>
                <w:lang w:val="en-US"/>
              </w:rPr>
              <w:t xml:space="preserve">or the </w:t>
            </w:r>
            <w:r>
              <w:rPr>
                <w:sz w:val="20"/>
                <w:szCs w:val="20"/>
                <w:lang w:val="en-US"/>
              </w:rPr>
              <w:t>a</w:t>
            </w:r>
            <w:r w:rsidRPr="00E02C62">
              <w:rPr>
                <w:sz w:val="20"/>
                <w:szCs w:val="20"/>
                <w:lang w:val="en-US"/>
              </w:rPr>
              <w:t>ppellants</w:t>
            </w:r>
            <w:r>
              <w:rPr>
                <w:sz w:val="20"/>
                <w:szCs w:val="20"/>
                <w:lang w:val="en-US"/>
              </w:rPr>
              <w:t>.</w:t>
            </w:r>
          </w:p>
          <w:p w:rsidR="00FF6357" w:rsidRDefault="00FF6357" w:rsidP="00FF6357">
            <w:pPr>
              <w:jc w:val="both"/>
              <w:rPr>
                <w:sz w:val="20"/>
                <w:szCs w:val="20"/>
                <w:lang w:val="en-US"/>
              </w:rPr>
            </w:pPr>
          </w:p>
          <w:p w:rsidR="001B1E7F" w:rsidRPr="00FF6357" w:rsidRDefault="00FF6357" w:rsidP="00FF6357">
            <w:pPr>
              <w:widowControl w:val="0"/>
              <w:jc w:val="both"/>
              <w:rPr>
                <w:b/>
                <w:sz w:val="20"/>
                <w:szCs w:val="20"/>
              </w:rPr>
            </w:pPr>
            <w:r w:rsidRPr="00E02C62">
              <w:rPr>
                <w:sz w:val="20"/>
                <w:szCs w:val="20"/>
                <w:lang w:val="en-US"/>
              </w:rPr>
              <w:t>Christopher Rupar</w:t>
            </w:r>
            <w:r>
              <w:rPr>
                <w:sz w:val="20"/>
                <w:szCs w:val="20"/>
                <w:lang w:val="en-US"/>
              </w:rPr>
              <w:t xml:space="preserve">, </w:t>
            </w:r>
            <w:r w:rsidRPr="00E02C62">
              <w:rPr>
                <w:sz w:val="20"/>
                <w:szCs w:val="20"/>
                <w:lang w:val="en-US"/>
              </w:rPr>
              <w:t>John Tyhurst</w:t>
            </w:r>
            <w:r>
              <w:rPr>
                <w:sz w:val="20"/>
                <w:szCs w:val="20"/>
                <w:lang w:val="en-US"/>
              </w:rPr>
              <w:t xml:space="preserve"> and </w:t>
            </w:r>
            <w:r w:rsidRPr="00E02C62">
              <w:rPr>
                <w:sz w:val="20"/>
                <w:szCs w:val="20"/>
                <w:lang w:val="en-US"/>
              </w:rPr>
              <w:t>Jonathan Hood</w:t>
            </w:r>
            <w:r>
              <w:rPr>
                <w:sz w:val="20"/>
                <w:szCs w:val="20"/>
                <w:lang w:val="en-US"/>
              </w:rPr>
              <w:t xml:space="preserve"> f</w:t>
            </w:r>
            <w:r w:rsidRPr="00E02C62">
              <w:rPr>
                <w:sz w:val="20"/>
                <w:szCs w:val="20"/>
                <w:lang w:val="en-US"/>
              </w:rPr>
              <w:t xml:space="preserve">or the </w:t>
            </w:r>
            <w:r>
              <w:rPr>
                <w:sz w:val="20"/>
                <w:szCs w:val="20"/>
                <w:lang w:val="en-US"/>
              </w:rPr>
              <w:t>r</w:t>
            </w:r>
            <w:r w:rsidRPr="00E02C62">
              <w:rPr>
                <w:sz w:val="20"/>
                <w:szCs w:val="20"/>
                <w:lang w:val="en-US"/>
              </w:rPr>
              <w:t>espondent</w:t>
            </w:r>
            <w:r>
              <w:rPr>
                <w:sz w:val="20"/>
                <w:szCs w:val="20"/>
                <w:lang w:val="en-US"/>
              </w:rPr>
              <w:t>.</w:t>
            </w:r>
          </w:p>
        </w:tc>
      </w:tr>
    </w:tbl>
    <w:p w:rsidR="001B1E7F" w:rsidRDefault="001B1E7F" w:rsidP="001B1E7F">
      <w:pPr>
        <w:widowControl w:val="0"/>
      </w:pPr>
    </w:p>
    <w:p w:rsidR="001B1E7F" w:rsidRPr="0085476B" w:rsidRDefault="001B1E7F" w:rsidP="001B1E7F">
      <w:pPr>
        <w:widowControl w:val="0"/>
        <w:rPr>
          <w:sz w:val="20"/>
          <w:szCs w:val="20"/>
        </w:rPr>
      </w:pPr>
      <w:r w:rsidRPr="0085476B">
        <w:rPr>
          <w:b/>
          <w:sz w:val="20"/>
          <w:szCs w:val="20"/>
        </w:rPr>
        <w:t xml:space="preserve">RESERVED / </w:t>
      </w:r>
      <w:r w:rsidRPr="00072C86">
        <w:rPr>
          <w:b/>
          <w:sz w:val="20"/>
          <w:szCs w:val="20"/>
        </w:rPr>
        <w:t>EN DÉLIBÉRÉ</w:t>
      </w:r>
    </w:p>
    <w:p w:rsidR="001B1E7F" w:rsidRDefault="001B1E7F" w:rsidP="001B1E7F"/>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1B1E7F" w:rsidRPr="00F77C82" w:rsidTr="001B1E7F">
        <w:tc>
          <w:tcPr>
            <w:tcW w:w="4380" w:type="dxa"/>
            <w:tcMar>
              <w:left w:w="0" w:type="dxa"/>
              <w:right w:w="0" w:type="dxa"/>
            </w:tcMar>
          </w:tcPr>
          <w:p w:rsidR="001B1E7F" w:rsidRPr="00CC4D84" w:rsidRDefault="001B1E7F" w:rsidP="001B1E7F">
            <w:pPr>
              <w:widowControl w:val="0"/>
              <w:jc w:val="both"/>
              <w:rPr>
                <w:b/>
                <w:sz w:val="20"/>
                <w:szCs w:val="20"/>
                <w:u w:val="single"/>
              </w:rPr>
            </w:pPr>
            <w:r w:rsidRPr="00CC4D84">
              <w:rPr>
                <w:b/>
                <w:sz w:val="20"/>
                <w:szCs w:val="20"/>
                <w:u w:val="single"/>
              </w:rPr>
              <w:t>Nature of the case:</w:t>
            </w:r>
          </w:p>
          <w:p w:rsidR="001B1E7F" w:rsidRPr="00C1697B" w:rsidRDefault="001B1E7F" w:rsidP="001B1E7F">
            <w:pPr>
              <w:widowControl w:val="0"/>
              <w:jc w:val="both"/>
              <w:rPr>
                <w:b/>
                <w:sz w:val="20"/>
                <w:szCs w:val="20"/>
              </w:rPr>
            </w:pPr>
          </w:p>
          <w:p w:rsidR="001B1E7F" w:rsidRPr="00C1697B" w:rsidRDefault="003A098C" w:rsidP="001B1E7F">
            <w:pPr>
              <w:widowControl w:val="0"/>
              <w:jc w:val="both"/>
              <w:rPr>
                <w:b/>
                <w:sz w:val="20"/>
                <w:szCs w:val="20"/>
              </w:rPr>
            </w:pPr>
            <w:r w:rsidRPr="005B44C8">
              <w:rPr>
                <w:sz w:val="20"/>
                <w:szCs w:val="20"/>
              </w:rPr>
              <w:t xml:space="preserve">Competition - Mergers - Substantial prevention of competition - Exception where gains in efficiencies - What is the proper legal test for determining when a merger gives rise to a substantial prevention of competition under s. 92 of the </w:t>
            </w:r>
            <w:r w:rsidRPr="005B44C8">
              <w:rPr>
                <w:i/>
                <w:sz w:val="20"/>
                <w:szCs w:val="20"/>
              </w:rPr>
              <w:t>Competition Act</w:t>
            </w:r>
            <w:r w:rsidRPr="005B44C8">
              <w:rPr>
                <w:sz w:val="20"/>
                <w:szCs w:val="20"/>
              </w:rPr>
              <w:t xml:space="preserve">? - Under a s. 92 analysis, to what extent may the Competition Tribunal consider possible future events when it finds there is no present competitive constraint being removed from the market? - What is the proper approach to the efficiencies defence under s. 96 of the </w:t>
            </w:r>
            <w:r w:rsidRPr="005B44C8">
              <w:rPr>
                <w:i/>
                <w:sz w:val="20"/>
                <w:szCs w:val="20"/>
              </w:rPr>
              <w:t>Competition Act</w:t>
            </w:r>
            <w:r w:rsidRPr="005B44C8">
              <w:rPr>
                <w:sz w:val="20"/>
                <w:szCs w:val="20"/>
              </w:rPr>
              <w:t xml:space="preserve">? - In a s. 96 analysis, on what basis can real, quantified efficiencies be rejected, and what is the proper approach to the offset analysis? - </w:t>
            </w:r>
            <w:r w:rsidRPr="005B44C8">
              <w:rPr>
                <w:i/>
                <w:sz w:val="20"/>
                <w:szCs w:val="20"/>
              </w:rPr>
              <w:t>Competition Act</w:t>
            </w:r>
            <w:r w:rsidRPr="005B44C8">
              <w:rPr>
                <w:sz w:val="20"/>
                <w:szCs w:val="20"/>
              </w:rPr>
              <w:t>, R.S.C. 1985, c. C-34, ss. 92 and 96.</w:t>
            </w:r>
          </w:p>
        </w:tc>
        <w:tc>
          <w:tcPr>
            <w:tcW w:w="720" w:type="dxa"/>
            <w:tcMar>
              <w:left w:w="0" w:type="dxa"/>
              <w:right w:w="0" w:type="dxa"/>
            </w:tcMar>
          </w:tcPr>
          <w:p w:rsidR="001B1E7F" w:rsidRPr="00C1697B" w:rsidRDefault="001B1E7F" w:rsidP="001B1E7F">
            <w:pPr>
              <w:widowControl w:val="0"/>
              <w:jc w:val="center"/>
              <w:rPr>
                <w:sz w:val="20"/>
                <w:szCs w:val="20"/>
              </w:rPr>
            </w:pPr>
          </w:p>
        </w:tc>
        <w:tc>
          <w:tcPr>
            <w:tcW w:w="4380" w:type="dxa"/>
            <w:tcMar>
              <w:left w:w="0" w:type="dxa"/>
              <w:right w:w="0" w:type="dxa"/>
            </w:tcMar>
          </w:tcPr>
          <w:p w:rsidR="001B1E7F" w:rsidRPr="003A098C" w:rsidRDefault="001B1E7F" w:rsidP="001B1E7F">
            <w:pPr>
              <w:widowControl w:val="0"/>
              <w:jc w:val="both"/>
              <w:rPr>
                <w:b/>
                <w:sz w:val="20"/>
                <w:szCs w:val="20"/>
                <w:u w:val="single"/>
                <w:lang w:val="fr-CA"/>
              </w:rPr>
            </w:pPr>
            <w:r w:rsidRPr="003A098C">
              <w:rPr>
                <w:b/>
                <w:sz w:val="20"/>
                <w:szCs w:val="20"/>
                <w:u w:val="single"/>
                <w:lang w:val="fr-CA"/>
              </w:rPr>
              <w:t>Nature de la cause :</w:t>
            </w:r>
          </w:p>
          <w:p w:rsidR="001B1E7F" w:rsidRPr="003A098C" w:rsidRDefault="001B1E7F" w:rsidP="001B1E7F">
            <w:pPr>
              <w:widowControl w:val="0"/>
              <w:jc w:val="both"/>
              <w:rPr>
                <w:sz w:val="20"/>
                <w:szCs w:val="20"/>
                <w:lang w:val="fr-CA"/>
              </w:rPr>
            </w:pPr>
          </w:p>
          <w:p w:rsidR="001B1E7F" w:rsidRPr="003A098C" w:rsidRDefault="003A098C" w:rsidP="001B1E7F">
            <w:pPr>
              <w:widowControl w:val="0"/>
              <w:jc w:val="both"/>
              <w:rPr>
                <w:sz w:val="20"/>
                <w:szCs w:val="20"/>
              </w:rPr>
            </w:pPr>
            <w:r w:rsidRPr="003A098C">
              <w:rPr>
                <w:sz w:val="20"/>
                <w:szCs w:val="20"/>
                <w:lang w:val="fr-CA"/>
              </w:rPr>
              <w:t>Concurrence - Fusionnements - Empêchement sensible de la concurrence - Exception dans les cas de gains en efficience - Quel est le critère juridique approprié pour déterminer quand un fusionnement a pour effet d’empêcher sensiblement la concurrence au sens de l’art. 92 de la Loi sur la concurrence? - Dans le cadre d’une analyse fondée sur l’art. 92, dans quelle mesure le Tribunal de la concurrence peut-il prendre en considération des éventualités lorsqu’il conclut qu’aucune entrave à la concurrence actuelle n’est éliminée du marché? - Comment convient-il de traiter le moyen de défense fondé sur les gains en efficience en application de l’art. 96 de la Loi sur la concurrence? - Dans une analyse fondée sur l’art. 96, pour quel motif peut-on rejeter les gains en efficience réels et quantifiés, et quelle est la bonne façon d’analyser l’effet de neutralisation? - Loi sur la concurrence, L.R.C. 1985, ch. C-34, art. 92 et 96.</w:t>
            </w:r>
          </w:p>
        </w:tc>
      </w:tr>
    </w:tbl>
    <w:p w:rsidR="001B1E7F" w:rsidRPr="00072C86" w:rsidRDefault="001B1E7F" w:rsidP="001B1E7F">
      <w:pPr>
        <w:widowControl w:val="0"/>
        <w:rPr>
          <w:sz w:val="20"/>
          <w:szCs w:val="20"/>
        </w:rPr>
      </w:pPr>
    </w:p>
    <w:p w:rsidR="001B1E7F" w:rsidRDefault="004F01F8" w:rsidP="001B1E7F">
      <w:pPr>
        <w:widowControl w:val="0"/>
        <w:rPr>
          <w:sz w:val="20"/>
          <w:szCs w:val="20"/>
        </w:rPr>
      </w:pPr>
      <w:r>
        <w:rPr>
          <w:sz w:val="20"/>
          <w:szCs w:val="20"/>
          <w:lang w:val="fr-CA"/>
        </w:rPr>
        <w:pict>
          <v:rect id="_x0000_i1072" style="width:2in;height:1pt" o:hrpct="0" o:hralign="center" o:hrstd="t" o:hrnoshade="t" o:hr="t" fillcolor="black [3213]" stroked="f"/>
        </w:pict>
      </w:r>
    </w:p>
    <w:p w:rsidR="001B1E7F" w:rsidRDefault="001B1E7F" w:rsidP="001B1E7F">
      <w:pPr>
        <w:widowControl w:val="0"/>
        <w:rPr>
          <w:sz w:val="20"/>
          <w:szCs w:val="20"/>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71"/>
          <w:headerReference w:type="default" r:id="rId72"/>
          <w:footerReference w:type="even" r:id="rId73"/>
          <w:footerReference w:type="default" r:id="rId74"/>
          <w:headerReference w:type="first" r:id="rId75"/>
          <w:footerReference w:type="first" r:id="rId76"/>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4F01F8"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5A5221" w:rsidRDefault="00FF6EEC" w:rsidP="00FF6EEC">
      <w:pPr>
        <w:rPr>
          <w:sz w:val="20"/>
          <w:szCs w:val="20"/>
          <w:lang w:val="fr-CA"/>
        </w:rPr>
      </w:pPr>
    </w:p>
    <w:p w:rsidR="005A5221" w:rsidRPr="007A5AE5" w:rsidRDefault="005A5221" w:rsidP="005A5221">
      <w:pPr>
        <w:rPr>
          <w:b/>
          <w:sz w:val="20"/>
          <w:szCs w:val="20"/>
        </w:rPr>
      </w:pPr>
      <w:r w:rsidRPr="007A5AE5">
        <w:rPr>
          <w:b/>
          <w:sz w:val="20"/>
          <w:szCs w:val="20"/>
        </w:rPr>
        <w:t>MARCH 27, 2014 / LE 27 MARS 2014</w:t>
      </w:r>
    </w:p>
    <w:p w:rsidR="005A5221" w:rsidRPr="005A5221" w:rsidRDefault="005A5221" w:rsidP="005A5221">
      <w:pPr>
        <w:ind w:left="1440" w:hanging="1440"/>
        <w:jc w:val="both"/>
        <w:rPr>
          <w:sz w:val="20"/>
          <w:szCs w:val="20"/>
        </w:rPr>
      </w:pPr>
    </w:p>
    <w:p w:rsidR="005A5221" w:rsidRPr="006C334D" w:rsidRDefault="006A1D9A" w:rsidP="005A5221">
      <w:pPr>
        <w:ind w:left="1440" w:hanging="1440"/>
        <w:jc w:val="both"/>
        <w:rPr>
          <w:sz w:val="20"/>
          <w:szCs w:val="20"/>
        </w:rPr>
      </w:pPr>
      <w:r w:rsidRPr="006C334D">
        <w:rPr>
          <w:b/>
          <w:sz w:val="20"/>
          <w:szCs w:val="20"/>
        </w:rPr>
        <w:fldChar w:fldCharType="begin"/>
      </w:r>
      <w:r w:rsidR="005A5221" w:rsidRPr="006C334D">
        <w:rPr>
          <w:b/>
          <w:sz w:val="20"/>
          <w:szCs w:val="20"/>
        </w:rPr>
        <w:instrText xml:space="preserve"> SEQ CHAPTER \h \r 1</w:instrText>
      </w:r>
      <w:r w:rsidRPr="006C334D">
        <w:rPr>
          <w:b/>
          <w:sz w:val="20"/>
          <w:szCs w:val="20"/>
        </w:rPr>
        <w:fldChar w:fldCharType="end"/>
      </w:r>
      <w:r w:rsidR="005A5221" w:rsidRPr="006C334D">
        <w:rPr>
          <w:b/>
          <w:sz w:val="20"/>
          <w:szCs w:val="20"/>
        </w:rPr>
        <w:t>34609</w:t>
      </w:r>
      <w:r w:rsidR="005A5221" w:rsidRPr="006C334D">
        <w:rPr>
          <w:sz w:val="20"/>
          <w:szCs w:val="20"/>
        </w:rPr>
        <w:tab/>
      </w:r>
      <w:r w:rsidR="005A5221" w:rsidRPr="006C334D">
        <w:rPr>
          <w:b/>
          <w:sz w:val="20"/>
          <w:szCs w:val="20"/>
          <w:u w:val="single"/>
        </w:rPr>
        <w:t>Diane Knopf, Warden of Mission Institution and Harold Massey, Warden of Kent Institution v. Gurkirpal Singh Khela – and – Canadian Association of Elizabeth Fry Societies, John Howard Society of Canada, Canadian Civil Liberties Association and British Columbia Civil Liberties Association</w:t>
      </w:r>
      <w:r w:rsidR="005A5221" w:rsidRPr="006C334D">
        <w:rPr>
          <w:b/>
          <w:sz w:val="20"/>
          <w:szCs w:val="20"/>
        </w:rPr>
        <w:t xml:space="preserve"> </w:t>
      </w:r>
      <w:r w:rsidR="005A5221" w:rsidRPr="006C334D">
        <w:rPr>
          <w:iCs/>
          <w:sz w:val="20"/>
          <w:szCs w:val="20"/>
        </w:rPr>
        <w:t>(B.C.)</w:t>
      </w:r>
    </w:p>
    <w:p w:rsidR="005A5221" w:rsidRPr="006C334D" w:rsidRDefault="005A5221" w:rsidP="005A5221">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r w:rsidRPr="006C334D">
        <w:rPr>
          <w:b/>
          <w:sz w:val="20"/>
          <w:szCs w:val="20"/>
        </w:rPr>
        <w:t>2014 SCC 24 / 2014 CSC 24</w:t>
      </w:r>
    </w:p>
    <w:p w:rsidR="005A5221" w:rsidRPr="006C334D" w:rsidRDefault="005A5221" w:rsidP="005A522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5A5221" w:rsidRPr="006C334D" w:rsidRDefault="005A5221" w:rsidP="005A5221">
      <w:pPr>
        <w:ind w:left="1440" w:hanging="1440"/>
        <w:rPr>
          <w:sz w:val="20"/>
          <w:szCs w:val="20"/>
          <w:u w:val="single"/>
        </w:rPr>
      </w:pPr>
      <w:r w:rsidRPr="006C334D">
        <w:rPr>
          <w:sz w:val="20"/>
          <w:szCs w:val="20"/>
        </w:rPr>
        <w:t>Coram:</w:t>
      </w:r>
      <w:r w:rsidRPr="006C334D">
        <w:rPr>
          <w:sz w:val="20"/>
          <w:szCs w:val="20"/>
        </w:rPr>
        <w:tab/>
      </w:r>
      <w:r w:rsidRPr="006C334D">
        <w:rPr>
          <w:sz w:val="20"/>
          <w:szCs w:val="20"/>
          <w:u w:val="single"/>
        </w:rPr>
        <w:t xml:space="preserve">McLachlin C.J. and LeBel, Abella, Rothstein, Cromwell, Moldaver, Karakatsanis and Wagner JJ. </w:t>
      </w:r>
    </w:p>
    <w:p w:rsidR="005A5221" w:rsidRPr="006C334D" w:rsidRDefault="005A5221" w:rsidP="005A5221">
      <w:pPr>
        <w:ind w:left="1440" w:hanging="1440"/>
        <w:jc w:val="both"/>
        <w:rPr>
          <w:sz w:val="20"/>
          <w:szCs w:val="20"/>
          <w:u w:val="single"/>
        </w:rPr>
      </w:pPr>
    </w:p>
    <w:p w:rsidR="005A5221" w:rsidRPr="006C334D" w:rsidRDefault="005A5221" w:rsidP="005A5221">
      <w:pPr>
        <w:jc w:val="both"/>
        <w:rPr>
          <w:rFonts w:eastAsia="Calibri"/>
          <w:sz w:val="20"/>
          <w:szCs w:val="20"/>
        </w:rPr>
      </w:pPr>
      <w:r w:rsidRPr="006C334D">
        <w:rPr>
          <w:rFonts w:eastAsia="Calibri"/>
          <w:sz w:val="20"/>
          <w:szCs w:val="20"/>
        </w:rPr>
        <w:t xml:space="preserve">The appeal from the judgment </w:t>
      </w:r>
      <w:bookmarkStart w:id="4" w:name="BM_1_"/>
      <w:bookmarkEnd w:id="4"/>
      <w:r w:rsidRPr="006C334D">
        <w:rPr>
          <w:rFonts w:eastAsia="Calibri"/>
          <w:sz w:val="20"/>
          <w:szCs w:val="20"/>
        </w:rPr>
        <w:t xml:space="preserve">of the Court of Appeal for British Columbia (Vancouver), Number CA038224, 2011 BCCA 450, dated November 9, 2011, heard on October 16, 2013, is dismissed without costs. </w:t>
      </w:r>
    </w:p>
    <w:p w:rsidR="005A5221" w:rsidRPr="006C334D" w:rsidRDefault="005A5221" w:rsidP="005A5221">
      <w:pPr>
        <w:jc w:val="both"/>
        <w:rPr>
          <w:rFonts w:eastAsia="Calibri"/>
          <w:sz w:val="20"/>
          <w:szCs w:val="20"/>
        </w:rPr>
      </w:pPr>
    </w:p>
    <w:p w:rsidR="005A5221" w:rsidRPr="006C334D" w:rsidRDefault="005A5221" w:rsidP="005A5221">
      <w:pPr>
        <w:jc w:val="both"/>
        <w:rPr>
          <w:rFonts w:eastAsia="Calibri"/>
          <w:sz w:val="20"/>
          <w:szCs w:val="20"/>
        </w:rPr>
      </w:pPr>
      <w:r w:rsidRPr="006C334D">
        <w:rPr>
          <w:rFonts w:eastAsia="Calibri"/>
          <w:sz w:val="20"/>
          <w:szCs w:val="20"/>
        </w:rPr>
        <w:t>However, Mr. Khela is now lawfully incarcerated in Kent institution and is not, therefore, to be returned to a medium security facility at this time.</w:t>
      </w:r>
    </w:p>
    <w:p w:rsidR="005A5221" w:rsidRPr="006C334D" w:rsidRDefault="005A5221" w:rsidP="005A5221">
      <w:pPr>
        <w:jc w:val="both"/>
        <w:rPr>
          <w:rFonts w:eastAsia="Calibri"/>
          <w:sz w:val="20"/>
          <w:szCs w:val="20"/>
        </w:rPr>
      </w:pPr>
    </w:p>
    <w:p w:rsidR="005A5221" w:rsidRPr="006C334D" w:rsidRDefault="005A5221" w:rsidP="005A5221">
      <w:pPr>
        <w:jc w:val="both"/>
        <w:rPr>
          <w:rFonts w:eastAsia="Calibri"/>
          <w:sz w:val="20"/>
          <w:szCs w:val="20"/>
        </w:rPr>
      </w:pPr>
    </w:p>
    <w:p w:rsidR="005A5221" w:rsidRPr="006C334D" w:rsidRDefault="005A5221" w:rsidP="005A5221">
      <w:pPr>
        <w:jc w:val="both"/>
        <w:rPr>
          <w:rFonts w:eastAsia="Calibri"/>
          <w:sz w:val="20"/>
          <w:szCs w:val="20"/>
          <w:lang w:val="fr-CA"/>
        </w:rPr>
      </w:pPr>
      <w:r w:rsidRPr="006C334D">
        <w:rPr>
          <w:rFonts w:eastAsia="Calibri"/>
          <w:sz w:val="20"/>
          <w:szCs w:val="20"/>
          <w:lang w:val="fr-CA"/>
        </w:rPr>
        <w:t>L’appel interjeté contre l’arrêt de la Cour d’appel de la Colombie-Britannique (Vancouver), numéro CA038224, 2011 BCCA 450, en date du 9 novembre 2011, entendu le 16 octobre 2013, est rejeté sans dépens.</w:t>
      </w:r>
    </w:p>
    <w:p w:rsidR="005A5221" w:rsidRPr="006C334D" w:rsidRDefault="005A5221" w:rsidP="005A5221">
      <w:pPr>
        <w:jc w:val="both"/>
        <w:rPr>
          <w:rFonts w:eastAsia="Calibri"/>
          <w:sz w:val="20"/>
          <w:szCs w:val="20"/>
          <w:lang w:val="fr-CA"/>
        </w:rPr>
      </w:pPr>
    </w:p>
    <w:p w:rsidR="005A5221" w:rsidRPr="006C334D" w:rsidRDefault="005A5221" w:rsidP="005A5221">
      <w:pPr>
        <w:jc w:val="both"/>
        <w:rPr>
          <w:rFonts w:eastAsia="Calibri"/>
          <w:sz w:val="20"/>
          <w:szCs w:val="20"/>
          <w:lang w:val="fr-CA"/>
        </w:rPr>
      </w:pPr>
      <w:r w:rsidRPr="006C334D">
        <w:rPr>
          <w:rFonts w:eastAsia="Calibri"/>
          <w:sz w:val="20"/>
          <w:szCs w:val="20"/>
          <w:lang w:val="fr-CA"/>
        </w:rPr>
        <w:t>Monsieur Khela est toutefois maintenant légalement détenu à l’Établissement Kent et ne peut en conséquence être renvoyé pour le moment dans un établissement à sécurité moyenne.</w:t>
      </w:r>
    </w:p>
    <w:p w:rsidR="00AF1715" w:rsidRPr="003B3977" w:rsidRDefault="00AF1715" w:rsidP="00AF1715">
      <w:pPr>
        <w:rPr>
          <w:sz w:val="20"/>
          <w:szCs w:val="20"/>
          <w:lang w:val="fr-CA"/>
        </w:rPr>
      </w:pPr>
    </w:p>
    <w:p w:rsidR="00AF1715" w:rsidRPr="003B3977" w:rsidRDefault="004F01F8" w:rsidP="00AF1715">
      <w:pPr>
        <w:spacing w:line="0" w:lineRule="atLeast"/>
        <w:rPr>
          <w:sz w:val="20"/>
          <w:szCs w:val="20"/>
        </w:rPr>
      </w:pPr>
      <w:r>
        <w:rPr>
          <w:b/>
          <w:sz w:val="20"/>
          <w:szCs w:val="20"/>
        </w:rPr>
        <w:pict>
          <v:rect id="_x0000_i1075" style="width:144.3pt;height:1pt" o:hrpct="300" o:hralign="center" o:hrstd="t" o:hrnoshade="t" o:hr="t" fillcolor="black [3213]" stroked="f"/>
        </w:pict>
      </w:r>
    </w:p>
    <w:p w:rsidR="00AF1715" w:rsidRPr="003B3977" w:rsidRDefault="00AF1715" w:rsidP="00AF1715">
      <w:pPr>
        <w:spacing w:line="0" w:lineRule="atLeast"/>
        <w:rPr>
          <w:sz w:val="20"/>
          <w:szCs w:val="20"/>
        </w:rPr>
      </w:pPr>
    </w:p>
    <w:p w:rsidR="00D004FC" w:rsidRPr="00EE2EAB" w:rsidRDefault="00D004FC" w:rsidP="00D004FC">
      <w:pPr>
        <w:rPr>
          <w:b/>
          <w:sz w:val="20"/>
          <w:szCs w:val="20"/>
        </w:rPr>
      </w:pPr>
      <w:r w:rsidRPr="00EE2EAB">
        <w:rPr>
          <w:b/>
          <w:sz w:val="20"/>
          <w:szCs w:val="20"/>
        </w:rPr>
        <w:t>MA</w:t>
      </w:r>
      <w:r w:rsidR="00E50AF3" w:rsidRPr="00EE2EAB">
        <w:rPr>
          <w:b/>
          <w:sz w:val="20"/>
          <w:szCs w:val="20"/>
        </w:rPr>
        <w:t>RCH</w:t>
      </w:r>
      <w:r w:rsidRPr="00EE2EAB">
        <w:rPr>
          <w:b/>
          <w:sz w:val="20"/>
          <w:szCs w:val="20"/>
        </w:rPr>
        <w:t xml:space="preserve"> </w:t>
      </w:r>
      <w:r w:rsidR="00E50AF3" w:rsidRPr="00EE2EAB">
        <w:rPr>
          <w:b/>
          <w:sz w:val="20"/>
          <w:szCs w:val="20"/>
        </w:rPr>
        <w:t>28</w:t>
      </w:r>
      <w:r w:rsidRPr="00EE2EAB">
        <w:rPr>
          <w:b/>
          <w:sz w:val="20"/>
          <w:szCs w:val="20"/>
        </w:rPr>
        <w:t>, 201</w:t>
      </w:r>
      <w:r w:rsidR="00E50AF3" w:rsidRPr="00EE2EAB">
        <w:rPr>
          <w:b/>
          <w:sz w:val="20"/>
          <w:szCs w:val="20"/>
        </w:rPr>
        <w:t>4</w:t>
      </w:r>
      <w:r w:rsidRPr="00EE2EAB">
        <w:rPr>
          <w:b/>
          <w:sz w:val="20"/>
          <w:szCs w:val="20"/>
        </w:rPr>
        <w:t xml:space="preserve"> / LE </w:t>
      </w:r>
      <w:r w:rsidR="00E50AF3" w:rsidRPr="00EE2EAB">
        <w:rPr>
          <w:b/>
          <w:sz w:val="20"/>
          <w:szCs w:val="20"/>
        </w:rPr>
        <w:t>28</w:t>
      </w:r>
      <w:r w:rsidRPr="00EE2EAB">
        <w:rPr>
          <w:b/>
          <w:sz w:val="20"/>
          <w:szCs w:val="20"/>
        </w:rPr>
        <w:t xml:space="preserve"> MA</w:t>
      </w:r>
      <w:r w:rsidR="00E50AF3" w:rsidRPr="00EE2EAB">
        <w:rPr>
          <w:b/>
          <w:sz w:val="20"/>
          <w:szCs w:val="20"/>
        </w:rPr>
        <w:t>RS</w:t>
      </w:r>
      <w:r w:rsidRPr="00EE2EAB">
        <w:rPr>
          <w:b/>
          <w:sz w:val="20"/>
          <w:szCs w:val="20"/>
        </w:rPr>
        <w:t xml:space="preserve"> 201</w:t>
      </w:r>
      <w:r w:rsidR="00E50AF3" w:rsidRPr="00EE2EAB">
        <w:rPr>
          <w:b/>
          <w:sz w:val="20"/>
          <w:szCs w:val="20"/>
        </w:rPr>
        <w:t>4</w:t>
      </w:r>
    </w:p>
    <w:p w:rsidR="00D004FC" w:rsidRPr="00EE2EAB" w:rsidRDefault="00D004FC" w:rsidP="00D004FC">
      <w:pPr>
        <w:spacing w:line="0" w:lineRule="atLeast"/>
        <w:rPr>
          <w:rFonts w:cs="Times New Roman"/>
          <w:sz w:val="20"/>
          <w:szCs w:val="20"/>
        </w:rPr>
      </w:pPr>
    </w:p>
    <w:p w:rsidR="00EE2EAB" w:rsidRPr="002B2FCA" w:rsidRDefault="006A1D9A" w:rsidP="00EE2EAB">
      <w:pPr>
        <w:ind w:left="1440" w:hanging="1440"/>
        <w:jc w:val="both"/>
        <w:rPr>
          <w:sz w:val="20"/>
        </w:rPr>
      </w:pPr>
      <w:r w:rsidRPr="00202C5F">
        <w:rPr>
          <w:b/>
          <w:sz w:val="20"/>
        </w:rPr>
        <w:fldChar w:fldCharType="begin"/>
      </w:r>
      <w:r w:rsidR="00EE2EAB" w:rsidRPr="002B2FCA">
        <w:rPr>
          <w:b/>
          <w:sz w:val="20"/>
        </w:rPr>
        <w:instrText xml:space="preserve"> SEQ CHAPTER \h \r 1</w:instrText>
      </w:r>
      <w:r w:rsidRPr="00202C5F">
        <w:rPr>
          <w:b/>
          <w:sz w:val="20"/>
        </w:rPr>
        <w:fldChar w:fldCharType="end"/>
      </w:r>
      <w:r w:rsidR="00EE2EAB" w:rsidRPr="002B2FCA">
        <w:rPr>
          <w:b/>
          <w:sz w:val="20"/>
        </w:rPr>
        <w:t>35</w:t>
      </w:r>
      <w:r w:rsidR="00EE2EAB">
        <w:rPr>
          <w:b/>
          <w:sz w:val="20"/>
        </w:rPr>
        <w:t>052</w:t>
      </w:r>
      <w:r w:rsidR="00EE2EAB" w:rsidRPr="002B2FCA">
        <w:rPr>
          <w:sz w:val="20"/>
        </w:rPr>
        <w:tab/>
      </w:r>
      <w:r w:rsidR="00EE2EAB" w:rsidRPr="00073252">
        <w:rPr>
          <w:b/>
          <w:sz w:val="20"/>
          <w:u w:val="single"/>
        </w:rPr>
        <w:t xml:space="preserve">Douglas Martin </w:t>
      </w:r>
      <w:r w:rsidR="00EE2EAB" w:rsidRPr="002B2FCA">
        <w:rPr>
          <w:b/>
          <w:sz w:val="20"/>
          <w:u w:val="single"/>
        </w:rPr>
        <w:t xml:space="preserve">v. </w:t>
      </w:r>
      <w:r w:rsidR="00EE2EAB" w:rsidRPr="00073252">
        <w:rPr>
          <w:b/>
          <w:sz w:val="20"/>
          <w:u w:val="single"/>
        </w:rPr>
        <w:t>Workers’ Compensation Board of Alberta, Appeals Commission for Alberta Workers’ Compensation and Attorney General of Canada</w:t>
      </w:r>
      <w:r w:rsidR="00EE2EAB">
        <w:rPr>
          <w:b/>
          <w:sz w:val="20"/>
          <w:u w:val="single"/>
        </w:rPr>
        <w:t xml:space="preserve"> </w:t>
      </w:r>
      <w:r w:rsidR="00EE2EAB" w:rsidRPr="002B2FCA">
        <w:rPr>
          <w:b/>
          <w:sz w:val="20"/>
          <w:u w:val="single"/>
        </w:rPr>
        <w:t xml:space="preserve">– and – </w:t>
      </w:r>
      <w:r w:rsidR="00EE2EAB" w:rsidRPr="00073252">
        <w:rPr>
          <w:b/>
          <w:sz w:val="20"/>
          <w:u w:val="single"/>
        </w:rPr>
        <w:t>Workers’ Compensation Board of British Columbia, Commission de la santé et de la sécurité du travail and Workers’ Compensation Board of Nova Scotia</w:t>
      </w:r>
      <w:r w:rsidR="00EE2EAB" w:rsidRPr="00073252">
        <w:rPr>
          <w:b/>
          <w:sz w:val="20"/>
        </w:rPr>
        <w:t xml:space="preserve"> </w:t>
      </w:r>
      <w:r w:rsidR="00EE2EAB" w:rsidRPr="002B2FCA">
        <w:rPr>
          <w:sz w:val="20"/>
        </w:rPr>
        <w:t>(</w:t>
      </w:r>
      <w:r w:rsidR="00EE2EAB">
        <w:rPr>
          <w:sz w:val="20"/>
        </w:rPr>
        <w:t>Alta.</w:t>
      </w:r>
      <w:r w:rsidR="00EE2EAB" w:rsidRPr="002B2FCA">
        <w:rPr>
          <w:sz w:val="20"/>
        </w:rPr>
        <w:t>)</w:t>
      </w:r>
    </w:p>
    <w:p w:rsidR="00EE2EAB" w:rsidRPr="002B2FCA" w:rsidRDefault="00EE2EAB" w:rsidP="00EE2EAB">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2B2FCA">
        <w:rPr>
          <w:b/>
          <w:sz w:val="20"/>
        </w:rPr>
        <w:t xml:space="preserve">2014 SCC </w:t>
      </w:r>
      <w:r>
        <w:rPr>
          <w:b/>
          <w:sz w:val="20"/>
        </w:rPr>
        <w:t>25</w:t>
      </w:r>
      <w:r w:rsidRPr="002B2FCA">
        <w:rPr>
          <w:b/>
          <w:sz w:val="20"/>
        </w:rPr>
        <w:t xml:space="preserve"> / 2014 CSC </w:t>
      </w:r>
      <w:r>
        <w:rPr>
          <w:b/>
          <w:sz w:val="20"/>
        </w:rPr>
        <w:t>25</w:t>
      </w:r>
    </w:p>
    <w:p w:rsidR="00EE2EAB" w:rsidRPr="002B2FCA" w:rsidRDefault="00EE2EAB" w:rsidP="00EE2EAB">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EE2EAB" w:rsidRPr="002B2FCA" w:rsidRDefault="00EE2EAB" w:rsidP="00EE2EAB">
      <w:pPr>
        <w:ind w:left="1440" w:hanging="1440"/>
        <w:rPr>
          <w:sz w:val="20"/>
          <w:u w:val="single"/>
        </w:rPr>
      </w:pPr>
      <w:r w:rsidRPr="002B2FCA">
        <w:rPr>
          <w:sz w:val="20"/>
        </w:rPr>
        <w:t>Coram:</w:t>
      </w:r>
      <w:r w:rsidRPr="002B2FCA">
        <w:rPr>
          <w:sz w:val="20"/>
        </w:rPr>
        <w:tab/>
      </w:r>
      <w:r w:rsidRPr="00073252">
        <w:rPr>
          <w:sz w:val="20"/>
          <w:u w:val="single"/>
        </w:rPr>
        <w:t>McLachlin C.J. and LeBel, Abella, Rothstein, Cromwell, Karakatsanis and Wagner JJ.</w:t>
      </w:r>
      <w:r w:rsidRPr="002B2FCA">
        <w:rPr>
          <w:sz w:val="20"/>
          <w:u w:val="single"/>
        </w:rPr>
        <w:t xml:space="preserve"> </w:t>
      </w:r>
    </w:p>
    <w:p w:rsidR="00EE2EAB" w:rsidRPr="002B2FCA" w:rsidRDefault="00EE2EAB" w:rsidP="00EE2EAB">
      <w:pPr>
        <w:ind w:left="1440" w:hanging="1440"/>
        <w:jc w:val="both"/>
        <w:rPr>
          <w:sz w:val="20"/>
          <w:u w:val="single"/>
        </w:rPr>
      </w:pPr>
    </w:p>
    <w:p w:rsidR="00EE2EAB" w:rsidRPr="00073252" w:rsidRDefault="00EE2EAB" w:rsidP="00EE2EAB">
      <w:pPr>
        <w:jc w:val="both"/>
        <w:rPr>
          <w:rFonts w:eastAsia="Calibri"/>
          <w:sz w:val="20"/>
        </w:rPr>
      </w:pPr>
      <w:r w:rsidRPr="00073252">
        <w:rPr>
          <w:rFonts w:eastAsia="Calibri"/>
          <w:sz w:val="20"/>
        </w:rPr>
        <w:t>The appeal from the judgment of the Court of Appeal of Alberta (Calgary), Number 1001-0247-AC, 2012 ABCA 248, dated August 29, 2012, heard on December 10, 2013, is dismissed.</w:t>
      </w:r>
    </w:p>
    <w:p w:rsidR="00EE2EAB" w:rsidRPr="00073252" w:rsidRDefault="00EE2EAB" w:rsidP="00EE2EAB">
      <w:pPr>
        <w:jc w:val="both"/>
        <w:rPr>
          <w:rFonts w:eastAsia="Calibri"/>
          <w:sz w:val="20"/>
        </w:rPr>
      </w:pPr>
    </w:p>
    <w:p w:rsidR="00EE2EAB" w:rsidRPr="00073252" w:rsidRDefault="00EE2EAB" w:rsidP="00EE2EAB">
      <w:pPr>
        <w:jc w:val="both"/>
        <w:rPr>
          <w:rFonts w:eastAsia="Calibri"/>
          <w:sz w:val="20"/>
          <w:lang w:val="fr-CA"/>
        </w:rPr>
      </w:pPr>
      <w:r w:rsidRPr="00073252">
        <w:rPr>
          <w:rFonts w:eastAsia="Calibri"/>
          <w:sz w:val="20"/>
          <w:lang w:val="fr-CA"/>
        </w:rPr>
        <w:t>L’appel interjeté contre l’arrêt de la Cour d'appel de l’Alberta (Calgary), numéro 1001-0247-AC, 2012 ABCA 248, en date du 29 août 2012, entendu le 10 décembre 2013, est rejeté.</w:t>
      </w:r>
    </w:p>
    <w:p w:rsidR="00D004FC" w:rsidRPr="00EE2EAB" w:rsidRDefault="00D004FC" w:rsidP="00D004FC">
      <w:pPr>
        <w:spacing w:line="0" w:lineRule="atLeast"/>
        <w:rPr>
          <w:rFonts w:cs="Times New Roman"/>
          <w:sz w:val="20"/>
          <w:szCs w:val="20"/>
          <w:lang w:val="fr-CA"/>
        </w:rPr>
      </w:pPr>
    </w:p>
    <w:p w:rsidR="00D004FC" w:rsidRDefault="004F01F8" w:rsidP="00D004FC">
      <w:pPr>
        <w:jc w:val="both"/>
        <w:rPr>
          <w:rFonts w:cs="Times New Roman"/>
          <w:b/>
          <w:sz w:val="20"/>
          <w:szCs w:val="20"/>
        </w:rPr>
      </w:pPr>
      <w:r>
        <w:rPr>
          <w:rFonts w:cs="Times New Roman"/>
          <w:b/>
          <w:sz w:val="20"/>
          <w:szCs w:val="20"/>
        </w:rPr>
        <w:pict>
          <v:rect id="_x0000_i1076" style="width:144.3pt;height:1pt" o:hrpct="300" o:hralign="center" o:hrstd="t" o:hrnoshade="t" o:hr="t" fillcolor="black [3213]" stroked="f"/>
        </w:pict>
      </w: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77"/>
          <w:headerReference w:type="default" r:id="rId78"/>
          <w:footerReference w:type="even" r:id="rId79"/>
          <w:footerReference w:type="default" r:id="rId80"/>
          <w:headerReference w:type="first" r:id="rId81"/>
          <w:footerReference w:type="first" r:id="rId82"/>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C97074" w:rsidRPr="00B93198" w:rsidRDefault="00C97074" w:rsidP="00C97074">
      <w:pPr>
        <w:ind w:left="720" w:hanging="720"/>
        <w:rPr>
          <w:sz w:val="20"/>
          <w:szCs w:val="20"/>
          <w:lang w:val="fr-CA"/>
        </w:rPr>
      </w:pPr>
      <w:r w:rsidRPr="007F48E8">
        <w:rPr>
          <w:i/>
          <w:sz w:val="20"/>
          <w:szCs w:val="20"/>
        </w:rPr>
        <w:t>Diane Knopf, Warden of Mission Institution et al</w:t>
      </w:r>
      <w:r w:rsidR="006B64F9">
        <w:rPr>
          <w:i/>
          <w:sz w:val="20"/>
          <w:szCs w:val="20"/>
        </w:rPr>
        <w:t>.</w:t>
      </w:r>
      <w:r w:rsidRPr="007F48E8">
        <w:rPr>
          <w:i/>
          <w:sz w:val="20"/>
          <w:szCs w:val="20"/>
        </w:rPr>
        <w:t xml:space="preserve"> v. Gurkirpal Singh Khela</w:t>
      </w:r>
      <w:r w:rsidRPr="007F48E8">
        <w:rPr>
          <w:sz w:val="20"/>
          <w:szCs w:val="20"/>
        </w:rPr>
        <w:t xml:space="preserve"> (B.C.) </w:t>
      </w:r>
      <w:r w:rsidRPr="00B93198">
        <w:rPr>
          <w:sz w:val="20"/>
          <w:szCs w:val="20"/>
          <w:lang w:val="fr-CA"/>
        </w:rPr>
        <w:t>(</w:t>
      </w:r>
      <w:hyperlink r:id="rId83" w:history="1">
        <w:r w:rsidRPr="00B93198">
          <w:rPr>
            <w:rStyle w:val="Hyperlink"/>
            <w:sz w:val="20"/>
            <w:szCs w:val="20"/>
            <w:lang w:val="fr-CA"/>
          </w:rPr>
          <w:t>34609</w:t>
        </w:r>
      </w:hyperlink>
      <w:r w:rsidRPr="00B93198">
        <w:rPr>
          <w:sz w:val="20"/>
          <w:szCs w:val="20"/>
          <w:lang w:val="fr-CA"/>
        </w:rPr>
        <w:t>)</w:t>
      </w:r>
    </w:p>
    <w:p w:rsidR="00B93198" w:rsidRPr="001C3CE3" w:rsidRDefault="00B93198" w:rsidP="00B93198">
      <w:pPr>
        <w:jc w:val="both"/>
        <w:rPr>
          <w:b/>
          <w:sz w:val="20"/>
          <w:szCs w:val="20"/>
          <w:lang w:val="fr-CA"/>
        </w:rPr>
      </w:pPr>
      <w:r w:rsidRPr="00B93198">
        <w:rPr>
          <w:b/>
          <w:sz w:val="20"/>
          <w:szCs w:val="20"/>
          <w:lang w:val="fr-CA"/>
        </w:rPr>
        <w:t xml:space="preserve">Indexed as:  Mission Institution </w:t>
      </w:r>
      <w:r w:rsidRPr="00B93198">
        <w:rPr>
          <w:b/>
          <w:i/>
          <w:sz w:val="20"/>
          <w:szCs w:val="20"/>
          <w:lang w:val="fr-CA"/>
        </w:rPr>
        <w:t>v.</w:t>
      </w:r>
      <w:r w:rsidRPr="00B93198">
        <w:rPr>
          <w:b/>
          <w:sz w:val="20"/>
          <w:szCs w:val="20"/>
          <w:lang w:val="fr-CA"/>
        </w:rPr>
        <w:t xml:space="preserve"> Khela / </w:t>
      </w:r>
      <w:r w:rsidRPr="001C3CE3">
        <w:rPr>
          <w:b/>
          <w:sz w:val="20"/>
          <w:szCs w:val="20"/>
          <w:lang w:val="fr-CA"/>
        </w:rPr>
        <w:t xml:space="preserve">Répertorié : Établissement de Mission </w:t>
      </w:r>
      <w:r w:rsidRPr="001C3CE3">
        <w:rPr>
          <w:b/>
          <w:i/>
          <w:sz w:val="20"/>
          <w:szCs w:val="20"/>
          <w:lang w:val="fr-CA"/>
        </w:rPr>
        <w:t>c.</w:t>
      </w:r>
      <w:r w:rsidRPr="001C3CE3">
        <w:rPr>
          <w:b/>
          <w:sz w:val="20"/>
          <w:szCs w:val="20"/>
          <w:lang w:val="fr-CA"/>
        </w:rPr>
        <w:t xml:space="preserve"> Khela</w:t>
      </w:r>
    </w:p>
    <w:p w:rsidR="005C6840" w:rsidRPr="002A4E0C" w:rsidRDefault="005C6840" w:rsidP="005C6840">
      <w:pPr>
        <w:pStyle w:val="SCCSystemYear"/>
        <w:jc w:val="both"/>
        <w:rPr>
          <w:sz w:val="20"/>
        </w:rPr>
      </w:pPr>
      <w:r w:rsidRPr="002A4E0C">
        <w:rPr>
          <w:sz w:val="20"/>
        </w:rPr>
        <w:t>Neutral citation:  201</w:t>
      </w:r>
      <w:r w:rsidR="00C97074" w:rsidRPr="002A4E0C">
        <w:rPr>
          <w:sz w:val="20"/>
        </w:rPr>
        <w:t>4</w:t>
      </w:r>
      <w:r w:rsidRPr="002A4E0C">
        <w:rPr>
          <w:sz w:val="20"/>
        </w:rPr>
        <w:t xml:space="preserve"> SCC </w:t>
      </w:r>
      <w:r w:rsidR="00B93198">
        <w:rPr>
          <w:sz w:val="20"/>
        </w:rPr>
        <w:t>24</w:t>
      </w:r>
      <w:r w:rsidRPr="002A4E0C">
        <w:rPr>
          <w:sz w:val="20"/>
        </w:rPr>
        <w:t xml:space="preserve"> / Référence neutre : 201</w:t>
      </w:r>
      <w:r w:rsidR="00C97074" w:rsidRPr="002A4E0C">
        <w:rPr>
          <w:sz w:val="20"/>
        </w:rPr>
        <w:t>4</w:t>
      </w:r>
      <w:r w:rsidRPr="002A4E0C">
        <w:rPr>
          <w:sz w:val="20"/>
        </w:rPr>
        <w:t xml:space="preserve"> CSC </w:t>
      </w:r>
      <w:r w:rsidR="00B93198">
        <w:rPr>
          <w:sz w:val="20"/>
        </w:rPr>
        <w:t>24</w:t>
      </w:r>
    </w:p>
    <w:p w:rsidR="005C6840" w:rsidRPr="003B3977" w:rsidRDefault="005C6840" w:rsidP="005C6840">
      <w:pPr>
        <w:rPr>
          <w:rFonts w:cs="Times New Roman"/>
          <w:sz w:val="20"/>
          <w:szCs w:val="20"/>
          <w:lang w:val="fr-CA"/>
        </w:rPr>
      </w:pPr>
      <w:r w:rsidRPr="002A4E0C">
        <w:rPr>
          <w:rFonts w:cs="Times New Roman"/>
          <w:sz w:val="20"/>
          <w:szCs w:val="20"/>
          <w:lang w:val="fr-CA"/>
        </w:rPr>
        <w:t>Hearing:  Oc</w:t>
      </w:r>
      <w:r w:rsidRPr="003B3977">
        <w:rPr>
          <w:rFonts w:cs="Times New Roman"/>
          <w:sz w:val="20"/>
          <w:szCs w:val="20"/>
          <w:lang w:val="fr-CA"/>
        </w:rPr>
        <w:t xml:space="preserve">tober </w:t>
      </w:r>
      <w:r w:rsidR="00B93198">
        <w:rPr>
          <w:rFonts w:cs="Times New Roman"/>
          <w:sz w:val="20"/>
          <w:szCs w:val="20"/>
          <w:lang w:val="fr-CA"/>
        </w:rPr>
        <w:t>16</w:t>
      </w:r>
      <w:r w:rsidRPr="003B3977">
        <w:rPr>
          <w:rFonts w:cs="Times New Roman"/>
          <w:sz w:val="20"/>
          <w:szCs w:val="20"/>
          <w:lang w:val="fr-CA"/>
        </w:rPr>
        <w:t>, 201</w:t>
      </w:r>
      <w:r w:rsidR="00B93198">
        <w:rPr>
          <w:rFonts w:cs="Times New Roman"/>
          <w:sz w:val="20"/>
          <w:szCs w:val="20"/>
          <w:lang w:val="fr-CA"/>
        </w:rPr>
        <w:t>3</w:t>
      </w:r>
      <w:r w:rsidRPr="003B3977">
        <w:rPr>
          <w:rFonts w:cs="Times New Roman"/>
          <w:sz w:val="20"/>
          <w:szCs w:val="20"/>
          <w:lang w:val="fr-CA"/>
        </w:rPr>
        <w:t xml:space="preserve"> / Judgment:  </w:t>
      </w:r>
      <w:r w:rsidR="00C97074">
        <w:rPr>
          <w:rFonts w:cs="Times New Roman"/>
          <w:sz w:val="20"/>
          <w:szCs w:val="20"/>
          <w:lang w:val="fr-CA"/>
        </w:rPr>
        <w:t xml:space="preserve">March </w:t>
      </w:r>
      <w:r w:rsidRPr="003B3977">
        <w:rPr>
          <w:rFonts w:cs="Times New Roman"/>
          <w:sz w:val="20"/>
          <w:szCs w:val="20"/>
          <w:lang w:val="fr-CA"/>
        </w:rPr>
        <w:t>27, 201</w:t>
      </w:r>
      <w:r w:rsidR="00C97074">
        <w:rPr>
          <w:rFonts w:cs="Times New Roman"/>
          <w:sz w:val="20"/>
          <w:szCs w:val="20"/>
          <w:lang w:val="fr-CA"/>
        </w:rPr>
        <w:t>4</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B93198">
        <w:rPr>
          <w:rFonts w:cs="Times New Roman"/>
          <w:sz w:val="20"/>
          <w:szCs w:val="20"/>
          <w:lang w:val="fr-CA"/>
        </w:rPr>
        <w:t>16</w:t>
      </w:r>
      <w:r w:rsidRPr="003B3977">
        <w:rPr>
          <w:rFonts w:cs="Times New Roman"/>
          <w:sz w:val="20"/>
          <w:szCs w:val="20"/>
          <w:lang w:val="fr-CA"/>
        </w:rPr>
        <w:t xml:space="preserve"> octobre 201</w:t>
      </w:r>
      <w:r w:rsidR="00B93198">
        <w:rPr>
          <w:rFonts w:cs="Times New Roman"/>
          <w:sz w:val="20"/>
          <w:szCs w:val="20"/>
          <w:lang w:val="fr-CA"/>
        </w:rPr>
        <w:t>3</w:t>
      </w:r>
      <w:r w:rsidRPr="003B3977">
        <w:rPr>
          <w:rFonts w:cs="Times New Roman"/>
          <w:sz w:val="20"/>
          <w:szCs w:val="20"/>
          <w:lang w:val="fr-CA"/>
        </w:rPr>
        <w:t xml:space="preserve"> / Jugement : Le 27 </w:t>
      </w:r>
      <w:r w:rsidR="00C97074">
        <w:rPr>
          <w:rFonts w:cs="Times New Roman"/>
          <w:sz w:val="20"/>
          <w:szCs w:val="20"/>
          <w:lang w:val="fr-CA"/>
        </w:rPr>
        <w:t>ma</w:t>
      </w:r>
      <w:r w:rsidRPr="003B3977">
        <w:rPr>
          <w:rFonts w:cs="Times New Roman"/>
          <w:sz w:val="20"/>
          <w:szCs w:val="20"/>
          <w:lang w:val="fr-CA"/>
        </w:rPr>
        <w:t>r</w:t>
      </w:r>
      <w:r w:rsidR="00C97074">
        <w:rPr>
          <w:rFonts w:cs="Times New Roman"/>
          <w:sz w:val="20"/>
          <w:szCs w:val="20"/>
          <w:lang w:val="fr-CA"/>
        </w:rPr>
        <w:t>s</w:t>
      </w:r>
      <w:r w:rsidRPr="003B3977">
        <w:rPr>
          <w:rFonts w:cs="Times New Roman"/>
          <w:sz w:val="20"/>
          <w:szCs w:val="20"/>
          <w:lang w:val="fr-CA"/>
        </w:rPr>
        <w:t xml:space="preserve"> 201</w:t>
      </w:r>
      <w:r w:rsidR="00C97074">
        <w:rPr>
          <w:rFonts w:cs="Times New Roman"/>
          <w:sz w:val="20"/>
          <w:szCs w:val="20"/>
          <w:lang w:val="fr-CA"/>
        </w:rPr>
        <w:t>4</w:t>
      </w:r>
    </w:p>
    <w:p w:rsidR="005C6840" w:rsidRPr="003B3977" w:rsidRDefault="004F01F8" w:rsidP="005C6840">
      <w:pPr>
        <w:rPr>
          <w:rFonts w:cs="Times New Roman"/>
          <w:sz w:val="20"/>
          <w:szCs w:val="20"/>
          <w:lang w:val="fr-CA"/>
        </w:rPr>
      </w:pPr>
      <w:r>
        <w:rPr>
          <w:rFonts w:cs="Times New Roman"/>
          <w:i/>
          <w:sz w:val="20"/>
          <w:szCs w:val="20"/>
        </w:rPr>
        <w:pict>
          <v:rect id="_x0000_i1079"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B93198" w:rsidRPr="005F4A36" w:rsidRDefault="00B93198" w:rsidP="00B93198">
      <w:pPr>
        <w:jc w:val="both"/>
        <w:rPr>
          <w:sz w:val="20"/>
          <w:szCs w:val="20"/>
        </w:rPr>
      </w:pPr>
      <w:r w:rsidRPr="005F4A36">
        <w:rPr>
          <w:sz w:val="20"/>
          <w:szCs w:val="20"/>
        </w:rPr>
        <w:t>Present:  McLachlin C.J. and LeBel, Abella, Rothstein, Cromwell, Moldaver, Karakatsanis and Wagner JJ.</w:t>
      </w:r>
    </w:p>
    <w:p w:rsidR="00B93198" w:rsidRDefault="00B93198" w:rsidP="00B93198">
      <w:pPr>
        <w:pStyle w:val="SCCNormalDoubleSpacing"/>
        <w:spacing w:line="240" w:lineRule="auto"/>
        <w:rPr>
          <w:sz w:val="20"/>
        </w:rPr>
      </w:pPr>
    </w:p>
    <w:p w:rsidR="00B93198" w:rsidRPr="005F4A36" w:rsidRDefault="00B93198" w:rsidP="00B93198">
      <w:pPr>
        <w:pStyle w:val="SCCNormalDoubleSpacing"/>
        <w:spacing w:line="240" w:lineRule="auto"/>
        <w:rPr>
          <w:i/>
          <w:sz w:val="20"/>
        </w:rPr>
      </w:pPr>
      <w:r w:rsidRPr="005F4A36">
        <w:rPr>
          <w:sz w:val="20"/>
        </w:rPr>
        <w:tab/>
      </w:r>
      <w:r w:rsidRPr="005F4A36">
        <w:rPr>
          <w:i/>
          <w:sz w:val="20"/>
        </w:rPr>
        <w:t>Courts — Jurisdiction — Habeas corpus — Transfer of federal inmate from medium security institution to maximum security institution on emergency and involuntary basis — Scope of provincial superior court’s review power on application for habeas corpus with certiorari in aid in respect of detention in federal penitentiary — Whether on application for habeas corpus a provincial superior court is entitled to examine reasonableness of administrative decision to transfer offender to higher security institution or whether reasonableness of decision must be determined in Federal Court on judicial review.</w:t>
      </w:r>
    </w:p>
    <w:p w:rsidR="00B93198" w:rsidRDefault="00B93198" w:rsidP="00B93198">
      <w:pPr>
        <w:pStyle w:val="SCCNormalDoubleSpacing"/>
        <w:spacing w:line="240" w:lineRule="auto"/>
        <w:rPr>
          <w:i/>
          <w:sz w:val="20"/>
        </w:rPr>
      </w:pPr>
    </w:p>
    <w:p w:rsidR="00B93198" w:rsidRPr="005F4A36" w:rsidRDefault="00B93198" w:rsidP="00B93198">
      <w:pPr>
        <w:pStyle w:val="SCCNormalDoubleSpacing"/>
        <w:spacing w:line="240" w:lineRule="auto"/>
        <w:rPr>
          <w:i/>
          <w:sz w:val="20"/>
        </w:rPr>
      </w:pPr>
      <w:r w:rsidRPr="005F4A36">
        <w:rPr>
          <w:i/>
          <w:sz w:val="20"/>
        </w:rPr>
        <w:tab/>
        <w:t>Administrative law — Prisons — Procedural fairness — Duty to disclose — Scope of duty to disclose — Transfer of federal inmate from medium security institution to maximum security institution on emergency and involuntary basis — Whether transfer decision meeting statutory requirements related to duty of procedural fairness — Corrections and Conditional Release Act, S.C. 1992, c. 20, ss. 27 to 29 — Corrections and Conditional Release Regulations, SOR/92</w:t>
      </w:r>
      <w:r w:rsidRPr="005F4A36">
        <w:rPr>
          <w:i/>
          <w:sz w:val="20"/>
        </w:rPr>
        <w:noBreakHyphen/>
        <w:t>620, ss. 5 and 13</w:t>
      </w:r>
    </w:p>
    <w:p w:rsidR="00B93198" w:rsidRDefault="00B93198" w:rsidP="00B93198">
      <w:pPr>
        <w:pStyle w:val="SCCNormalDoubleSpacing"/>
        <w:spacing w:line="240" w:lineRule="auto"/>
        <w:rPr>
          <w:sz w:val="20"/>
        </w:rPr>
      </w:pPr>
    </w:p>
    <w:p w:rsidR="00B93198" w:rsidRPr="005F4A36" w:rsidRDefault="00B93198" w:rsidP="00B93198">
      <w:pPr>
        <w:pStyle w:val="SCCNormalDoubleSpacing"/>
        <w:spacing w:line="240" w:lineRule="auto"/>
        <w:rPr>
          <w:sz w:val="20"/>
        </w:rPr>
      </w:pPr>
      <w:r w:rsidRPr="005F4A36">
        <w:rPr>
          <w:sz w:val="20"/>
        </w:rPr>
        <w:tab/>
        <w:t xml:space="preserve">K is a federal inmate serving a life sentence for first degree murder at Kent Institution in British Columbia. After three years at this maximum security facility, he was transferred to Mission Institution, a medium security facility.  In 2009, an inmate was stabbed at Mission Institution.  Roughly one week after the stabbing, the Security Intelligence Office at Mission received information implicating K in the incident.  A Security Intelligence Report was completed which contained information that K had hired two other inmates to carry out the stabbing in exchange for three grams of heroin.  As a result, K was involuntarily transferred back to the maximum security facility on an emergency basis after the Warden reassessed his security classification.  It is this transfer that was the subject of K’s initial </w:t>
      </w:r>
      <w:r w:rsidRPr="005F4A36">
        <w:rPr>
          <w:i/>
          <w:sz w:val="20"/>
        </w:rPr>
        <w:t xml:space="preserve">habeas corpus </w:t>
      </w:r>
      <w:r w:rsidRPr="005F4A36">
        <w:rPr>
          <w:sz w:val="20"/>
        </w:rPr>
        <w:t xml:space="preserve">application.  He claimed that this transfer to a higher security institution was both unreasonable and procedurally unfair, and therefore unlawful.  Both the British Columbia Supreme Court and, on appeal, the British Columbia Court of Appeal agreed K’s </w:t>
      </w:r>
      <w:r w:rsidRPr="005F4A36">
        <w:rPr>
          <w:i/>
          <w:sz w:val="20"/>
        </w:rPr>
        <w:t>habeas corpus</w:t>
      </w:r>
      <w:r w:rsidRPr="005F4A36">
        <w:rPr>
          <w:sz w:val="20"/>
        </w:rPr>
        <w:t xml:space="preserve"> application should be granted. </w:t>
      </w:r>
    </w:p>
    <w:p w:rsidR="00B93198" w:rsidRDefault="00B93198" w:rsidP="00B93198">
      <w:pPr>
        <w:pStyle w:val="SCCNormalDoubleSpacing"/>
        <w:spacing w:line="240" w:lineRule="auto"/>
        <w:rPr>
          <w:i/>
          <w:sz w:val="20"/>
        </w:rPr>
      </w:pPr>
    </w:p>
    <w:p w:rsidR="00B93198" w:rsidRPr="005F4A36" w:rsidRDefault="00B93198" w:rsidP="00B93198">
      <w:pPr>
        <w:pStyle w:val="SCCNormalDoubleSpacing"/>
        <w:spacing w:line="240" w:lineRule="auto"/>
        <w:rPr>
          <w:sz w:val="20"/>
        </w:rPr>
      </w:pPr>
      <w:r w:rsidRPr="005F4A36">
        <w:rPr>
          <w:i/>
          <w:sz w:val="20"/>
        </w:rPr>
        <w:tab/>
        <w:t>Held</w:t>
      </w:r>
      <w:r w:rsidRPr="005F4A36">
        <w:rPr>
          <w:sz w:val="20"/>
        </w:rPr>
        <w:t xml:space="preserve">:  The appeal should be dismissed. </w:t>
      </w:r>
    </w:p>
    <w:p w:rsidR="00B93198" w:rsidRDefault="00B93198" w:rsidP="00B93198">
      <w:pPr>
        <w:pStyle w:val="SCCNormalDoubleSpacing"/>
        <w:spacing w:line="240" w:lineRule="auto"/>
        <w:rPr>
          <w:i/>
          <w:sz w:val="20"/>
        </w:rPr>
      </w:pPr>
    </w:p>
    <w:p w:rsidR="00B93198" w:rsidRPr="005F4A36" w:rsidRDefault="00B93198" w:rsidP="00B93198">
      <w:pPr>
        <w:pStyle w:val="SCCNormalDoubleSpacing"/>
        <w:spacing w:line="240" w:lineRule="auto"/>
        <w:rPr>
          <w:sz w:val="20"/>
          <w:lang w:val="en-US"/>
        </w:rPr>
      </w:pPr>
      <w:r w:rsidRPr="005F4A36">
        <w:rPr>
          <w:i/>
          <w:sz w:val="20"/>
        </w:rPr>
        <w:tab/>
      </w:r>
      <w:r w:rsidRPr="005F4A36">
        <w:rPr>
          <w:rFonts w:eastAsiaTheme="minorEastAsia"/>
          <w:sz w:val="20"/>
        </w:rPr>
        <w:t xml:space="preserve">The question before the Court is whether on an application for </w:t>
      </w:r>
      <w:r w:rsidRPr="005F4A36">
        <w:rPr>
          <w:rFonts w:eastAsiaTheme="minorEastAsia"/>
          <w:i/>
          <w:sz w:val="20"/>
        </w:rPr>
        <w:t>habeas corpus</w:t>
      </w:r>
      <w:r w:rsidRPr="005F4A36">
        <w:rPr>
          <w:rFonts w:eastAsiaTheme="minorEastAsia"/>
          <w:sz w:val="20"/>
        </w:rPr>
        <w:t xml:space="preserve"> a provincial superior court may rule on the reasonableness of an administrative decision to transfer an inmate to a higher security institution or whether the reasonableness of the decision must be dealt with by the Federal Court on an application for judicial review.  </w:t>
      </w:r>
      <w:r w:rsidRPr="005F4A36">
        <w:rPr>
          <w:sz w:val="20"/>
        </w:rPr>
        <w:t xml:space="preserve">An inmate can choose either to challenge the reasonableness of the decision by applying for judicial review in the Federal Court or to have the decision reviewed for reasonableness by means of an application for </w:t>
      </w:r>
      <w:r w:rsidRPr="005F4A36">
        <w:rPr>
          <w:i/>
          <w:sz w:val="20"/>
        </w:rPr>
        <w:t>habeas corpus</w:t>
      </w:r>
      <w:r w:rsidRPr="005F4A36">
        <w:rPr>
          <w:sz w:val="20"/>
        </w:rPr>
        <w:t xml:space="preserve">. </w:t>
      </w:r>
      <w:r w:rsidRPr="005F4A36">
        <w:rPr>
          <w:i/>
          <w:sz w:val="20"/>
          <w:lang w:val="en-US"/>
        </w:rPr>
        <w:t xml:space="preserve"> </w:t>
      </w:r>
      <w:r w:rsidRPr="005F4A36">
        <w:rPr>
          <w:sz w:val="20"/>
          <w:lang w:val="en-US"/>
        </w:rPr>
        <w:t xml:space="preserve">“Reasonableness” is therefore a legitimate ground upon which to question the legality of a deprivation of liberty in an application for </w:t>
      </w:r>
      <w:r w:rsidRPr="005F4A36">
        <w:rPr>
          <w:i/>
          <w:sz w:val="20"/>
          <w:lang w:val="en-US"/>
        </w:rPr>
        <w:t>habeas corpus</w:t>
      </w:r>
      <w:r w:rsidRPr="005F4A36">
        <w:rPr>
          <w:sz w:val="20"/>
          <w:lang w:val="en-US"/>
        </w:rPr>
        <w:t xml:space="preserve">.  </w:t>
      </w:r>
    </w:p>
    <w:p w:rsidR="00B93198" w:rsidRDefault="00B93198" w:rsidP="00B93198">
      <w:pPr>
        <w:pStyle w:val="SCCNormalDoubleSpacing"/>
        <w:spacing w:line="240" w:lineRule="auto"/>
        <w:rPr>
          <w:sz w:val="20"/>
        </w:rPr>
      </w:pPr>
    </w:p>
    <w:p w:rsidR="00B93198" w:rsidRPr="005F4A36" w:rsidRDefault="00B93198" w:rsidP="00B93198">
      <w:pPr>
        <w:pStyle w:val="SCCNormalDoubleSpacing"/>
        <w:spacing w:line="240" w:lineRule="auto"/>
        <w:rPr>
          <w:sz w:val="20"/>
        </w:rPr>
      </w:pPr>
      <w:r w:rsidRPr="005F4A36">
        <w:rPr>
          <w:sz w:val="20"/>
        </w:rPr>
        <w:tab/>
        <w:t xml:space="preserve">Given the flexibility and the importance of the writ of </w:t>
      </w:r>
      <w:r w:rsidRPr="005F4A36">
        <w:rPr>
          <w:i/>
          <w:sz w:val="20"/>
        </w:rPr>
        <w:t>habeas corpus</w:t>
      </w:r>
      <w:r w:rsidRPr="005F4A36">
        <w:rPr>
          <w:sz w:val="20"/>
        </w:rPr>
        <w:t xml:space="preserve">, as well as the underlying reasons why the jurisdiction of the provincial superior courts is concurrent with that of the Federal Court, it is clear that a review for lawfulness will sometimes require an assessment of the decision’s reasonableness.  Including a reasonableness assessment in the scope of the review is consistent with this Court’s case law. In particular, allowing provincial superior courts to assess reasonableness in the review follows logically from how this Court has framed the remedy and from the limits the courts have placed on the avenues through which the remedy can be obtained.  This Court has recognized in its decisions that </w:t>
      </w:r>
      <w:r w:rsidRPr="005F4A36">
        <w:rPr>
          <w:i/>
          <w:sz w:val="20"/>
        </w:rPr>
        <w:t xml:space="preserve">habeas corpus </w:t>
      </w:r>
      <w:r w:rsidRPr="005F4A36">
        <w:rPr>
          <w:sz w:val="20"/>
        </w:rPr>
        <w:t xml:space="preserve">should develop over time to ensure that the law remains consistent with the remedy’s underlying goals: no one should be deprived of their liberty without lawful authority. </w:t>
      </w:r>
    </w:p>
    <w:p w:rsidR="00B93198" w:rsidRDefault="00B93198" w:rsidP="00B93198">
      <w:pPr>
        <w:pStyle w:val="SCCNormalDoubleSpacing"/>
        <w:spacing w:line="240" w:lineRule="auto"/>
        <w:rPr>
          <w:sz w:val="20"/>
        </w:rPr>
      </w:pPr>
    </w:p>
    <w:p w:rsidR="00B93198" w:rsidRPr="005F4A36" w:rsidRDefault="00B93198" w:rsidP="00B93198">
      <w:pPr>
        <w:pStyle w:val="SCCNormalDoubleSpacing"/>
        <w:spacing w:line="240" w:lineRule="auto"/>
        <w:rPr>
          <w:sz w:val="20"/>
          <w:lang w:val="en-US"/>
        </w:rPr>
      </w:pPr>
      <w:r w:rsidRPr="005F4A36">
        <w:rPr>
          <w:sz w:val="20"/>
        </w:rPr>
        <w:lastRenderedPageBreak/>
        <w:tab/>
      </w:r>
      <w:r w:rsidRPr="005F4A36">
        <w:rPr>
          <w:sz w:val="20"/>
          <w:lang w:val="en-US"/>
        </w:rPr>
        <w:t xml:space="preserve">Many of the same principles which weigh in favour of concurrent jurisdiction between provincial superior courts and the Federal Court apply to the determination of the scope of a provincial superior court’s review power.  First, each applicant should be entitled to choose his or her avenue of relief.  If a court hearing a </w:t>
      </w:r>
      <w:r w:rsidRPr="005F4A36">
        <w:rPr>
          <w:i/>
          <w:sz w:val="20"/>
          <w:lang w:val="en-US"/>
        </w:rPr>
        <w:t>habeas corpus</w:t>
      </w:r>
      <w:r w:rsidRPr="005F4A36">
        <w:rPr>
          <w:sz w:val="20"/>
          <w:lang w:val="en-US"/>
        </w:rPr>
        <w:t xml:space="preserve"> application cannot review the reasonableness of the underlying decision, then a prisoner who has been deprived of his or her liberty as a result of an unreasonable decision does not have a choice of avenues through which to obtain redress but must apply to the Federal Court.  Second, there is no reason to assume that the Federal Court is more expert than the superior courts in determining whether a deprivation of liberty is lawful.  Third, if inmates are not able to obtain review of their potentially unreasonable loss of liberty under an application for </w:t>
      </w:r>
      <w:r w:rsidRPr="005F4A36">
        <w:rPr>
          <w:i/>
          <w:sz w:val="20"/>
          <w:lang w:val="en-US"/>
        </w:rPr>
        <w:t>habeas corpus</w:t>
      </w:r>
      <w:r w:rsidRPr="005F4A36">
        <w:rPr>
          <w:sz w:val="20"/>
          <w:lang w:val="en-US"/>
        </w:rPr>
        <w:t xml:space="preserve">, they will have to wade through the lengthy grievance procedure available under the statute in order to have their concerns heard.  Fourth, the fact that inmates have local access to relief in the form of </w:t>
      </w:r>
      <w:r w:rsidRPr="005F4A36">
        <w:rPr>
          <w:i/>
          <w:sz w:val="20"/>
          <w:lang w:val="en-US"/>
        </w:rPr>
        <w:t>habeas corpus</w:t>
      </w:r>
      <w:r w:rsidRPr="005F4A36">
        <w:rPr>
          <w:sz w:val="20"/>
          <w:lang w:val="en-US"/>
        </w:rPr>
        <w:t xml:space="preserve"> also weighs in favour of including a review for reasonableness.  Fifth, the non</w:t>
      </w:r>
      <w:r w:rsidRPr="005F4A36">
        <w:rPr>
          <w:sz w:val="20"/>
          <w:lang w:val="en-US"/>
        </w:rPr>
        <w:noBreakHyphen/>
        <w:t xml:space="preserve">discretionary nature of </w:t>
      </w:r>
      <w:r w:rsidRPr="005F4A36">
        <w:rPr>
          <w:i/>
          <w:sz w:val="20"/>
          <w:lang w:val="en-US"/>
        </w:rPr>
        <w:t>habeas corpus</w:t>
      </w:r>
      <w:r w:rsidRPr="005F4A36">
        <w:rPr>
          <w:sz w:val="20"/>
          <w:lang w:val="en-US"/>
        </w:rPr>
        <w:t xml:space="preserve"> and the traditional onus on an application for that remedy favour an inmate who claims to have been unlawfully deprived of his or her liberty. If the inmate were forced to apply to the Federal Court to determine whether the deprivation was unreasonable, the remedy would be a discretionary one.  Further, on an application for judicial review, the onus would be on the applicant to show that the transfer decision was unreasonable.  Lastly, requiring inmates to challenge the reasonableness of a transfer decision in the Federal Court could result in a waste of judicial resources. </w:t>
      </w:r>
    </w:p>
    <w:p w:rsidR="00B93198" w:rsidRDefault="00B93198" w:rsidP="00B93198">
      <w:pPr>
        <w:pStyle w:val="SCCNormalDoubleSpacing"/>
        <w:spacing w:line="240" w:lineRule="auto"/>
        <w:rPr>
          <w:sz w:val="20"/>
          <w:lang w:val="en-US"/>
        </w:rPr>
      </w:pPr>
    </w:p>
    <w:p w:rsidR="00B93198" w:rsidRPr="005F4A36" w:rsidRDefault="00B93198" w:rsidP="00B93198">
      <w:pPr>
        <w:pStyle w:val="SCCNormalDoubleSpacing"/>
        <w:spacing w:line="240" w:lineRule="auto"/>
        <w:rPr>
          <w:sz w:val="20"/>
        </w:rPr>
      </w:pPr>
      <w:r w:rsidRPr="005F4A36">
        <w:rPr>
          <w:sz w:val="20"/>
          <w:lang w:val="en-US"/>
        </w:rPr>
        <w:tab/>
        <w:t xml:space="preserve">A transfer decision that does not fall within the range of possible, acceptable outcomes which are defensible in respect of the facts and the law will be unlawful.  Similarly, a decision that lacks justification, transparency, and intelligibility will be unlawful. For it to be lawful, the reasons for and record of the decision must in fact or in principle support the conclusion reached.  </w:t>
      </w:r>
      <w:r w:rsidRPr="005F4A36">
        <w:rPr>
          <w:sz w:val="20"/>
        </w:rPr>
        <w:t xml:space="preserve">A decision will be unreasonable, and therefore unlawful, if an inmate’s liberty interests are sacrificed absent any evidence or on the basis of unreliable or irrelevant evidence, or evidence that cannot support the conclusion.  Deference will be shown to a determination that evidence is reliable, but the authorities will nonetheless have to explain that determination.  </w:t>
      </w:r>
      <w:r w:rsidRPr="005F4A36">
        <w:rPr>
          <w:sz w:val="20"/>
          <w:lang w:val="en-US"/>
        </w:rPr>
        <w:t xml:space="preserve">A review to determine whether a decision was reasonable, and therefore lawful, necessarily requires deference. </w:t>
      </w:r>
      <w:r w:rsidRPr="005F4A36">
        <w:rPr>
          <w:sz w:val="20"/>
        </w:rPr>
        <w:t xml:space="preserve"> An involuntary transfer decision is nonetheless an administrative decision made by a decision maker with expertise in the environment of a particular penitentiary.  To apply any standard other than reasonableness in reviewing such a decision could well lead to the micromanagement of prisons by the courts.  The application of a standard of review of reasonableness; however, should not change the basic structure or benefits of the writ of </w:t>
      </w:r>
      <w:r w:rsidRPr="005F4A36">
        <w:rPr>
          <w:i/>
          <w:sz w:val="20"/>
        </w:rPr>
        <w:t>habeas corpus</w:t>
      </w:r>
      <w:r w:rsidRPr="005F4A36">
        <w:rPr>
          <w:sz w:val="20"/>
        </w:rPr>
        <w:t>.  First, the traditional onuses associated with the writ will remain unchanged.  Second, the writ remains non</w:t>
      </w:r>
      <w:r w:rsidRPr="005F4A36">
        <w:rPr>
          <w:sz w:val="20"/>
        </w:rPr>
        <w:noBreakHyphen/>
        <w:t>discretionary as far as the decision to review the case is concerned.  Third, the ability to challenge a decision on the basis that it is unreasonable does not necessarily change the standard of review that applies to other flaws in the decision or in the decision</w:t>
      </w:r>
      <w:r w:rsidRPr="005F4A36">
        <w:rPr>
          <w:sz w:val="20"/>
        </w:rPr>
        <w:noBreakHyphen/>
        <w:t xml:space="preserve">making process.  For instance, the standard for determining whether the decision maker complied with the duty of procedural fairness will continue to be “correctness.” </w:t>
      </w:r>
    </w:p>
    <w:p w:rsidR="00B93198" w:rsidRDefault="00B93198" w:rsidP="00B93198">
      <w:pPr>
        <w:pStyle w:val="SCCNormalDoubleSpacing"/>
        <w:spacing w:line="240" w:lineRule="auto"/>
        <w:rPr>
          <w:sz w:val="20"/>
        </w:rPr>
      </w:pPr>
    </w:p>
    <w:p w:rsidR="00B93198" w:rsidRPr="005F4A36" w:rsidRDefault="00B93198" w:rsidP="00B93198">
      <w:pPr>
        <w:pStyle w:val="SCCNormalDoubleSpacing"/>
        <w:spacing w:line="240" w:lineRule="auto"/>
        <w:rPr>
          <w:sz w:val="20"/>
        </w:rPr>
      </w:pPr>
      <w:r w:rsidRPr="005F4A36">
        <w:rPr>
          <w:sz w:val="20"/>
        </w:rPr>
        <w:tab/>
        <w:t xml:space="preserve">In this case, it is not necessary to determine whether the decision made by the Warden in the instant case was unlawful on the basis of unreasonableness.  The decision was unlawful because it was procedurally unfair.  The statute at issue in this case, the </w:t>
      </w:r>
      <w:r w:rsidRPr="005F4A36">
        <w:rPr>
          <w:i/>
          <w:sz w:val="20"/>
        </w:rPr>
        <w:t>Corrections and Conditional Release Act, S.C. 1992, c. 20</w:t>
      </w:r>
      <w:r w:rsidRPr="005F4A36">
        <w:rPr>
          <w:sz w:val="20"/>
        </w:rPr>
        <w:t xml:space="preserve"> (“</w:t>
      </w:r>
      <w:r w:rsidRPr="005F4A36">
        <w:rPr>
          <w:i/>
          <w:sz w:val="20"/>
        </w:rPr>
        <w:t>CCRA</w:t>
      </w:r>
      <w:r w:rsidRPr="005F4A36">
        <w:rPr>
          <w:sz w:val="20"/>
        </w:rPr>
        <w:t xml:space="preserve">”), outlines the disclosure that is required for a reviewing court to find a transfer decision fair, and therefore lawful.  </w:t>
      </w:r>
      <w:r w:rsidRPr="005F4A36">
        <w:rPr>
          <w:spacing w:val="-3"/>
          <w:sz w:val="20"/>
        </w:rPr>
        <w:t xml:space="preserve">Section 27 of the </w:t>
      </w:r>
      <w:r w:rsidRPr="005F4A36">
        <w:rPr>
          <w:i/>
          <w:spacing w:val="-3"/>
          <w:sz w:val="20"/>
        </w:rPr>
        <w:t xml:space="preserve">CCRA </w:t>
      </w:r>
      <w:r w:rsidRPr="005F4A36">
        <w:rPr>
          <w:spacing w:val="-3"/>
          <w:sz w:val="20"/>
        </w:rPr>
        <w:t>guides the decision maker and elaborates on the resulting procedural rights</w:t>
      </w:r>
      <w:r w:rsidRPr="005F4A36">
        <w:rPr>
          <w:sz w:val="20"/>
        </w:rPr>
        <w:t>.  In order to guarantee fairness in the process leading up to a transfer decision, s. 27(1) provides that the inmate should be given all the information that was considered in the taking of the decision, or a summary of that information.  This disclosure must be made within a reasonable time before the final decision is made.  The onus is on the decision maker to show that s. 27(1) was complied with.</w:t>
      </w:r>
    </w:p>
    <w:p w:rsidR="00B93198" w:rsidRDefault="00B93198" w:rsidP="00B93198">
      <w:pPr>
        <w:pStyle w:val="SCCNormalDoubleSpacing"/>
        <w:spacing w:line="240" w:lineRule="auto"/>
        <w:rPr>
          <w:sz w:val="20"/>
          <w:lang w:val="en-US"/>
        </w:rPr>
      </w:pPr>
    </w:p>
    <w:p w:rsidR="00B93198" w:rsidRPr="005F4A36" w:rsidRDefault="00B93198" w:rsidP="00B93198">
      <w:pPr>
        <w:pStyle w:val="SCCNormalDoubleSpacing"/>
        <w:spacing w:line="240" w:lineRule="auto"/>
        <w:rPr>
          <w:sz w:val="20"/>
        </w:rPr>
      </w:pPr>
      <w:r w:rsidRPr="005F4A36">
        <w:rPr>
          <w:sz w:val="20"/>
          <w:lang w:val="en-US"/>
        </w:rPr>
        <w:tab/>
        <w:t xml:space="preserve">The statutory scheme allows for some exemptions from the onerous disclosure requirement of s. 27(1) and (2).  Section 27(3) provides that where the Commissioner has reasonable grounds to believe that disclosure of information under s. 27(1) or (2) would jeopardize (a) the safety of any person, (b) the security of a penitentiary, or (c) the conduct of a lawful investigation, he or she may authorize the withholding from the inmate of as much information as is strictly necessary in order to protect the interest that would be jeopardized.  </w:t>
      </w:r>
      <w:r w:rsidRPr="005F4A36">
        <w:rPr>
          <w:sz w:val="20"/>
        </w:rPr>
        <w:t>A decision to withhold information pursuant to s. 27(3) is necessarily reviewable by way of an application for</w:t>
      </w:r>
      <w:r w:rsidRPr="005F4A36">
        <w:rPr>
          <w:i/>
          <w:sz w:val="20"/>
        </w:rPr>
        <w:t xml:space="preserve"> habeas corpus.  </w:t>
      </w:r>
      <w:r w:rsidRPr="005F4A36">
        <w:rPr>
          <w:sz w:val="20"/>
        </w:rPr>
        <w:t xml:space="preserve">Such a decision is not independent of the transfer decision made under s. 29 of the </w:t>
      </w:r>
      <w:r w:rsidRPr="005F4A36">
        <w:rPr>
          <w:i/>
          <w:sz w:val="20"/>
        </w:rPr>
        <w:t>CCRA</w:t>
      </w:r>
      <w:r w:rsidRPr="005F4A36">
        <w:rPr>
          <w:sz w:val="20"/>
        </w:rPr>
        <w:t xml:space="preserve">.  If the correctional authorities failed to comply with s. 27 as a whole, a reviewing court may find that the transfer decision was procedurally unfair, and the deprivation of the inmate’s liberty will not be lawful.  If the Commissioner, or a representative of the Commissioner, chooses to withhold information from the inmate on the basis of s. 27(3), the onus is on the decision maker to invoke the provision and prove that there were reasonable grounds to believe that disclosure of that information would jeopardize one of the listed interests. </w:t>
      </w:r>
    </w:p>
    <w:p w:rsidR="00B93198" w:rsidRDefault="00B93198" w:rsidP="00B93198">
      <w:pPr>
        <w:pStyle w:val="SCCNormalDoubleSpacing"/>
        <w:spacing w:line="240" w:lineRule="auto"/>
        <w:rPr>
          <w:sz w:val="20"/>
        </w:rPr>
      </w:pPr>
    </w:p>
    <w:p w:rsidR="00B93198" w:rsidRDefault="00B93198" w:rsidP="00B93198">
      <w:pPr>
        <w:pStyle w:val="SCCNormalDoubleSpacing"/>
        <w:spacing w:line="240" w:lineRule="auto"/>
        <w:rPr>
          <w:sz w:val="20"/>
        </w:rPr>
      </w:pPr>
      <w:r w:rsidRPr="005F4A36">
        <w:rPr>
          <w:sz w:val="20"/>
        </w:rPr>
        <w:tab/>
        <w:t xml:space="preserve">Here, it is clear from the record that the Warden, in making the transfer decision, considered information that she did not disclose to K.  Nor did she give him an adequate summary of the missing information.  The withholding of this information was not justified under s. 27(3).  If s. 27(3) is never invoked, pled, or proven, there is no basis to find that the Warden was justified in withholding information that was considered in the transfer decision from the inmate.  As a result, the Warden’s decision did not meet the statutory requirements related to the duty of procedural fairness.  The decision to transfer K from Mission Institution to Kent Institution was therefore unlawful.  The British Columbia Supreme Court properly granted </w:t>
      </w:r>
      <w:r w:rsidRPr="005F4A36">
        <w:rPr>
          <w:i/>
          <w:sz w:val="20"/>
        </w:rPr>
        <w:t>habeas corpus</w:t>
      </w:r>
      <w:r w:rsidRPr="005F4A36">
        <w:rPr>
          <w:sz w:val="20"/>
        </w:rPr>
        <w:t xml:space="preserve"> and K was properly returned to a medium security institution.</w:t>
      </w:r>
    </w:p>
    <w:p w:rsidR="00B93198" w:rsidRDefault="00B93198" w:rsidP="00B93198">
      <w:pPr>
        <w:pStyle w:val="SCCNormalDoubleSpacing"/>
        <w:spacing w:line="240" w:lineRule="auto"/>
        <w:rPr>
          <w:sz w:val="20"/>
        </w:rPr>
      </w:pPr>
    </w:p>
    <w:p w:rsidR="00B93198" w:rsidRPr="005F4A36" w:rsidRDefault="00B93198" w:rsidP="00B93198">
      <w:pPr>
        <w:pStyle w:val="SCCNormalDoubleSpacing"/>
        <w:spacing w:line="240" w:lineRule="auto"/>
        <w:rPr>
          <w:sz w:val="20"/>
        </w:rPr>
      </w:pPr>
      <w:r w:rsidRPr="005F4A36">
        <w:rPr>
          <w:sz w:val="20"/>
        </w:rPr>
        <w:tab/>
        <w:t>APPEAL from a judgment of the British Columbia Court of Appeal (Smith, Chiasson and Groberman JJ.A.), 2011 BCCA 450, 312 B.C.A.C. 217, 246 C.R.R. (2d) 277, 27 Admin. L.R. (5th) 41, 90 C.R. (6th) 149, [2011] B.C.J. No. 2111 (QL), 2011 CarswellBC 3095, allowing in part a decision of Bruce J., 2010 BCSC 721, 210 C.R.R. (2d) 251, 19 Admin. L.R. (5th) 173, [2010] B.C.J. No. 971 (QL), 2010 CarswellBC 1288.  Appeal dismissed.</w:t>
      </w:r>
    </w:p>
    <w:p w:rsidR="00B93198" w:rsidRDefault="00B93198" w:rsidP="00B93198">
      <w:pPr>
        <w:pStyle w:val="SCCNormalDoubleSpacing"/>
        <w:spacing w:line="240" w:lineRule="auto"/>
        <w:rPr>
          <w:i/>
          <w:sz w:val="20"/>
        </w:rPr>
      </w:pPr>
    </w:p>
    <w:p w:rsidR="00B93198" w:rsidRPr="005F4A36" w:rsidRDefault="00B93198" w:rsidP="00B93198">
      <w:pPr>
        <w:pStyle w:val="SCCNormalDoubleSpacing"/>
        <w:spacing w:line="240" w:lineRule="auto"/>
        <w:rPr>
          <w:sz w:val="20"/>
        </w:rPr>
      </w:pPr>
      <w:r w:rsidRPr="005F4A36">
        <w:rPr>
          <w:i/>
          <w:sz w:val="20"/>
        </w:rPr>
        <w:tab/>
        <w:t>Anne M. Turley</w:t>
      </w:r>
      <w:r w:rsidRPr="005F4A36">
        <w:rPr>
          <w:sz w:val="20"/>
        </w:rPr>
        <w:t xml:space="preserve"> and </w:t>
      </w:r>
      <w:r w:rsidRPr="005F4A36">
        <w:rPr>
          <w:i/>
          <w:sz w:val="20"/>
        </w:rPr>
        <w:t>Jan Brongers</w:t>
      </w:r>
      <w:r w:rsidRPr="005F4A36">
        <w:rPr>
          <w:sz w:val="20"/>
        </w:rPr>
        <w:t>, for the appellants.</w:t>
      </w:r>
    </w:p>
    <w:p w:rsidR="00B93198" w:rsidRDefault="00B93198" w:rsidP="00B93198">
      <w:pPr>
        <w:pStyle w:val="SCCNormalDoubleSpacing"/>
        <w:spacing w:line="240" w:lineRule="auto"/>
        <w:rPr>
          <w:i/>
          <w:sz w:val="20"/>
        </w:rPr>
      </w:pPr>
    </w:p>
    <w:p w:rsidR="00B93198" w:rsidRPr="005F4A36" w:rsidRDefault="00B93198" w:rsidP="00B93198">
      <w:pPr>
        <w:pStyle w:val="SCCNormalDoubleSpacing"/>
        <w:spacing w:line="240" w:lineRule="auto"/>
        <w:rPr>
          <w:sz w:val="20"/>
        </w:rPr>
      </w:pPr>
      <w:r w:rsidRPr="005F4A36">
        <w:rPr>
          <w:i/>
          <w:sz w:val="20"/>
        </w:rPr>
        <w:tab/>
        <w:t>Bibhas D. Vaze</w:t>
      </w:r>
      <w:r w:rsidRPr="005F4A36">
        <w:rPr>
          <w:sz w:val="20"/>
        </w:rPr>
        <w:t xml:space="preserve"> and </w:t>
      </w:r>
      <w:r w:rsidRPr="005F4A36">
        <w:rPr>
          <w:i/>
          <w:sz w:val="20"/>
        </w:rPr>
        <w:t>Michael S. A. Fox</w:t>
      </w:r>
      <w:r w:rsidRPr="005F4A36">
        <w:rPr>
          <w:sz w:val="20"/>
        </w:rPr>
        <w:t>, for the respondent.</w:t>
      </w:r>
    </w:p>
    <w:p w:rsidR="00B93198" w:rsidRDefault="00B93198" w:rsidP="00B93198">
      <w:pPr>
        <w:pStyle w:val="SCCNormalDoubleSpacing"/>
        <w:spacing w:line="240" w:lineRule="auto"/>
        <w:rPr>
          <w:i/>
          <w:sz w:val="20"/>
        </w:rPr>
      </w:pPr>
    </w:p>
    <w:p w:rsidR="00B93198" w:rsidRPr="005F4A36" w:rsidRDefault="00B93198" w:rsidP="00B93198">
      <w:pPr>
        <w:pStyle w:val="SCCNormalDoubleSpacing"/>
        <w:spacing w:line="240" w:lineRule="auto"/>
        <w:rPr>
          <w:sz w:val="20"/>
        </w:rPr>
      </w:pPr>
      <w:r w:rsidRPr="005F4A36">
        <w:rPr>
          <w:i/>
          <w:sz w:val="20"/>
        </w:rPr>
        <w:tab/>
        <w:t>Allan Manson</w:t>
      </w:r>
      <w:r w:rsidRPr="005F4A36">
        <w:rPr>
          <w:sz w:val="20"/>
        </w:rPr>
        <w:t xml:space="preserve"> and </w:t>
      </w:r>
      <w:r w:rsidRPr="005F4A36">
        <w:rPr>
          <w:i/>
          <w:sz w:val="20"/>
        </w:rPr>
        <w:t>Elizabeth Thomas</w:t>
      </w:r>
      <w:r w:rsidRPr="005F4A36">
        <w:rPr>
          <w:sz w:val="20"/>
        </w:rPr>
        <w:t>, for the interveners the Canadian Association of Elizabeth Fry Societies and the John Howard Society of Canada.</w:t>
      </w:r>
    </w:p>
    <w:p w:rsidR="00B93198" w:rsidRDefault="00B93198" w:rsidP="00B93198">
      <w:pPr>
        <w:pStyle w:val="SCCNormalDoubleSpacing"/>
        <w:spacing w:line="240" w:lineRule="auto"/>
        <w:rPr>
          <w:i/>
          <w:sz w:val="20"/>
        </w:rPr>
      </w:pPr>
    </w:p>
    <w:p w:rsidR="00B93198" w:rsidRPr="005F4A36" w:rsidRDefault="00B93198" w:rsidP="00B93198">
      <w:pPr>
        <w:pStyle w:val="SCCNormalDoubleSpacing"/>
        <w:spacing w:line="240" w:lineRule="auto"/>
        <w:rPr>
          <w:sz w:val="20"/>
        </w:rPr>
      </w:pPr>
      <w:r w:rsidRPr="005F4A36">
        <w:rPr>
          <w:i/>
          <w:sz w:val="20"/>
        </w:rPr>
        <w:tab/>
        <w:t>D. Lynne Watt</w:t>
      </w:r>
      <w:r w:rsidRPr="005F4A36">
        <w:rPr>
          <w:sz w:val="20"/>
        </w:rPr>
        <w:t>, for the intervener the Canadian Civil Liberties Association.</w:t>
      </w:r>
    </w:p>
    <w:p w:rsidR="00B93198" w:rsidRDefault="00B93198" w:rsidP="00B93198">
      <w:pPr>
        <w:pStyle w:val="SCCNormalDoubleSpacing"/>
        <w:spacing w:line="240" w:lineRule="auto"/>
        <w:rPr>
          <w:i/>
          <w:sz w:val="20"/>
        </w:rPr>
      </w:pPr>
    </w:p>
    <w:p w:rsidR="00B93198" w:rsidRPr="005F4A36" w:rsidRDefault="00B93198" w:rsidP="00B93198">
      <w:pPr>
        <w:pStyle w:val="SCCNormalDoubleSpacing"/>
        <w:spacing w:line="240" w:lineRule="auto"/>
        <w:rPr>
          <w:sz w:val="20"/>
        </w:rPr>
      </w:pPr>
      <w:r w:rsidRPr="005F4A36">
        <w:rPr>
          <w:i/>
          <w:sz w:val="20"/>
        </w:rPr>
        <w:tab/>
        <w:t>Michael Jackson, Q.C.,</w:t>
      </w:r>
      <w:r w:rsidRPr="005F4A36">
        <w:rPr>
          <w:sz w:val="20"/>
        </w:rPr>
        <w:t xml:space="preserve"> and </w:t>
      </w:r>
      <w:r w:rsidRPr="005F4A36">
        <w:rPr>
          <w:i/>
          <w:sz w:val="20"/>
        </w:rPr>
        <w:t>Joana G. Thackeray</w:t>
      </w:r>
      <w:r w:rsidRPr="005F4A36">
        <w:rPr>
          <w:sz w:val="20"/>
        </w:rPr>
        <w:t>, for the intervener the British Columbia Civil Liberties Association.</w:t>
      </w:r>
    </w:p>
    <w:p w:rsidR="00B93198" w:rsidRDefault="00B93198" w:rsidP="00B93198">
      <w:pPr>
        <w:pStyle w:val="SCCLawFirm"/>
        <w:spacing w:line="240" w:lineRule="auto"/>
        <w:rPr>
          <w:sz w:val="20"/>
        </w:rPr>
      </w:pPr>
    </w:p>
    <w:p w:rsidR="00B93198" w:rsidRPr="005F4A36" w:rsidRDefault="00B93198" w:rsidP="00B93198">
      <w:pPr>
        <w:pStyle w:val="SCCLawFirm"/>
        <w:spacing w:line="240" w:lineRule="auto"/>
        <w:rPr>
          <w:sz w:val="20"/>
        </w:rPr>
      </w:pPr>
      <w:r w:rsidRPr="005F4A36">
        <w:rPr>
          <w:sz w:val="20"/>
        </w:rPr>
        <w:tab/>
        <w:t>Solicitor for the appellants:  Attorney General of Canada, Ottawa and Vancouver.</w:t>
      </w:r>
    </w:p>
    <w:p w:rsidR="00B93198" w:rsidRDefault="00B93198" w:rsidP="00B93198">
      <w:pPr>
        <w:pStyle w:val="SCCLawFirm"/>
        <w:spacing w:line="240" w:lineRule="auto"/>
        <w:rPr>
          <w:sz w:val="20"/>
        </w:rPr>
      </w:pPr>
    </w:p>
    <w:p w:rsidR="00B93198" w:rsidRPr="005F4A36" w:rsidRDefault="00B93198" w:rsidP="00B93198">
      <w:pPr>
        <w:pStyle w:val="SCCLawFirm"/>
        <w:spacing w:line="240" w:lineRule="auto"/>
        <w:rPr>
          <w:sz w:val="20"/>
        </w:rPr>
      </w:pPr>
      <w:r w:rsidRPr="005F4A36">
        <w:rPr>
          <w:sz w:val="20"/>
        </w:rPr>
        <w:tab/>
        <w:t>Solicitors for the respondent:  Conroy &amp; Company, Abbotsford.</w:t>
      </w:r>
    </w:p>
    <w:p w:rsidR="00B93198" w:rsidRDefault="00B93198" w:rsidP="00B93198">
      <w:pPr>
        <w:pStyle w:val="SCCLawFirm"/>
        <w:spacing w:line="240" w:lineRule="auto"/>
        <w:rPr>
          <w:sz w:val="20"/>
        </w:rPr>
      </w:pPr>
    </w:p>
    <w:p w:rsidR="00B93198" w:rsidRPr="005F4A36" w:rsidRDefault="00B93198" w:rsidP="00B93198">
      <w:pPr>
        <w:pStyle w:val="SCCLawFirm"/>
        <w:spacing w:line="240" w:lineRule="auto"/>
        <w:rPr>
          <w:sz w:val="20"/>
        </w:rPr>
      </w:pPr>
      <w:r w:rsidRPr="005F4A36">
        <w:rPr>
          <w:sz w:val="20"/>
        </w:rPr>
        <w:tab/>
        <w:t>Solicitor for the interveners the Canadian Association of Elizabeth Fry Societies and the John Howard Society of Canada:  Queen’s University, Kingston.</w:t>
      </w:r>
    </w:p>
    <w:p w:rsidR="00B93198" w:rsidRDefault="00B93198" w:rsidP="00B93198">
      <w:pPr>
        <w:pStyle w:val="SCCLawFirm"/>
        <w:spacing w:line="240" w:lineRule="auto"/>
        <w:rPr>
          <w:sz w:val="20"/>
        </w:rPr>
      </w:pPr>
    </w:p>
    <w:p w:rsidR="00B93198" w:rsidRPr="005F4A36" w:rsidRDefault="00B93198" w:rsidP="00B93198">
      <w:pPr>
        <w:pStyle w:val="SCCLawFirm"/>
        <w:spacing w:line="240" w:lineRule="auto"/>
        <w:rPr>
          <w:sz w:val="20"/>
        </w:rPr>
      </w:pPr>
      <w:r w:rsidRPr="005F4A36">
        <w:rPr>
          <w:sz w:val="20"/>
        </w:rPr>
        <w:tab/>
        <w:t>Solicitors for the intervener the Canadian Civil Liberties Association:  Gowling Lafleur Henderson, Ottawa.</w:t>
      </w:r>
    </w:p>
    <w:p w:rsidR="00B93198" w:rsidRDefault="00B93198" w:rsidP="00B93198">
      <w:pPr>
        <w:pStyle w:val="SCCLawFirm"/>
        <w:spacing w:line="240" w:lineRule="auto"/>
        <w:rPr>
          <w:sz w:val="20"/>
        </w:rPr>
      </w:pPr>
    </w:p>
    <w:p w:rsidR="00B93198" w:rsidRDefault="00B93198" w:rsidP="00B93198">
      <w:pPr>
        <w:pStyle w:val="SCCLawFirm"/>
        <w:spacing w:line="240" w:lineRule="auto"/>
        <w:rPr>
          <w:sz w:val="20"/>
        </w:rPr>
      </w:pPr>
      <w:r w:rsidRPr="005F4A36">
        <w:rPr>
          <w:sz w:val="20"/>
        </w:rPr>
        <w:tab/>
        <w:t>Solicitors for the intervener the British Columbia Civil Liberties Association:  University of British Columbia, Vancouver.</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Pr="003B3977" w:rsidRDefault="00DD0B49" w:rsidP="00DD0B49">
      <w:pPr>
        <w:rPr>
          <w:rFonts w:cs="Times New Roman"/>
          <w:sz w:val="20"/>
          <w:szCs w:val="20"/>
          <w:lang w:val="fr-CA"/>
        </w:rPr>
      </w:pPr>
    </w:p>
    <w:p w:rsidR="00B93198" w:rsidRPr="001C3CE3" w:rsidRDefault="00B93198" w:rsidP="00B93198">
      <w:pPr>
        <w:jc w:val="both"/>
        <w:rPr>
          <w:sz w:val="20"/>
          <w:szCs w:val="20"/>
          <w:lang w:val="fr-CA"/>
        </w:rPr>
      </w:pPr>
      <w:r w:rsidRPr="001C3CE3">
        <w:rPr>
          <w:sz w:val="20"/>
          <w:szCs w:val="20"/>
          <w:lang w:val="fr-CA"/>
        </w:rPr>
        <w:t>Présents : La juge en chef McLachlin et les juges LeBel, Abella, Rothstein, Cromwell, Moldaver, Karakatsanis et Wagner.</w:t>
      </w:r>
    </w:p>
    <w:p w:rsidR="00B93198" w:rsidRDefault="00B93198" w:rsidP="00B93198">
      <w:pPr>
        <w:pStyle w:val="SCCNormalDoubleSpacing"/>
        <w:spacing w:line="240" w:lineRule="auto"/>
        <w:rPr>
          <w:sz w:val="20"/>
          <w:lang w:val="fr-CA"/>
        </w:rPr>
      </w:pPr>
    </w:p>
    <w:p w:rsidR="00B93198" w:rsidRPr="001C3CE3" w:rsidRDefault="00B93198" w:rsidP="00B93198">
      <w:pPr>
        <w:pStyle w:val="SCCNormalDoubleSpacing"/>
        <w:spacing w:line="240" w:lineRule="auto"/>
        <w:rPr>
          <w:i/>
          <w:sz w:val="20"/>
          <w:lang w:val="fr-CA"/>
        </w:rPr>
      </w:pPr>
      <w:r w:rsidRPr="001C3CE3">
        <w:rPr>
          <w:sz w:val="20"/>
          <w:lang w:val="fr-CA"/>
        </w:rPr>
        <w:tab/>
      </w:r>
      <w:r w:rsidRPr="001C3CE3">
        <w:rPr>
          <w:i/>
          <w:sz w:val="20"/>
          <w:lang w:val="fr-CA"/>
        </w:rPr>
        <w:t xml:space="preserve">Tribunaux — Compétence — Habeas corpus — Transfèrement d’urgence non sollicité d’un détenu sous responsabilité fédérale d’un établissement à sécurité moyenne à un établissement à sécurité maximale — Portée du pouvoir de révision d’une cour supérieure provinciale dans le cadre d’une demande d’habeas corpus </w:t>
      </w:r>
      <w:r w:rsidRPr="001C3CE3">
        <w:rPr>
          <w:i/>
          <w:sz w:val="20"/>
          <w:lang w:val="fr-FR"/>
        </w:rPr>
        <w:t>avec certiorari auxiliaire relativement à la détention dans un pénitencier fédéral</w:t>
      </w:r>
      <w:r w:rsidRPr="001C3CE3">
        <w:rPr>
          <w:i/>
          <w:sz w:val="20"/>
          <w:lang w:val="fr-CA"/>
        </w:rPr>
        <w:t xml:space="preserve"> — Dans le cadre d’une demande d’habeas corpus, une cour supérieure provinciale peut</w:t>
      </w:r>
      <w:r w:rsidRPr="001C3CE3">
        <w:rPr>
          <w:i/>
          <w:sz w:val="20"/>
          <w:lang w:val="fr-CA"/>
        </w:rPr>
        <w:noBreakHyphen/>
        <w:t>elle se prononcer sur le caractère raisonnable d’une décision administrative de transférer un détenu à un établissement à sécurité plus élevée, ou cette tâche revient</w:t>
      </w:r>
      <w:r w:rsidRPr="001C3CE3">
        <w:rPr>
          <w:i/>
          <w:sz w:val="20"/>
          <w:lang w:val="fr-CA"/>
        </w:rPr>
        <w:noBreakHyphen/>
        <w:t>elle</w:t>
      </w:r>
      <w:r w:rsidRPr="001C3CE3">
        <w:rPr>
          <w:sz w:val="20"/>
          <w:lang w:val="fr-CA"/>
        </w:rPr>
        <w:t xml:space="preserve"> </w:t>
      </w:r>
      <w:r w:rsidRPr="001C3CE3">
        <w:rPr>
          <w:i/>
          <w:sz w:val="20"/>
          <w:lang w:val="fr-CA"/>
        </w:rPr>
        <w:t>à la Cour fédérale dans le cadre d’un contrôle judiciaire?</w:t>
      </w:r>
    </w:p>
    <w:p w:rsidR="00B93198" w:rsidRDefault="00B93198" w:rsidP="00B93198">
      <w:pPr>
        <w:pStyle w:val="SCCNormalDoubleSpacing"/>
        <w:spacing w:line="240" w:lineRule="auto"/>
        <w:rPr>
          <w:i/>
          <w:sz w:val="20"/>
          <w:lang w:val="fr-CA"/>
        </w:rPr>
      </w:pPr>
    </w:p>
    <w:p w:rsidR="00B93198" w:rsidRPr="001C3CE3" w:rsidRDefault="00B93198" w:rsidP="00B93198">
      <w:pPr>
        <w:pStyle w:val="SCCNormalDoubleSpacing"/>
        <w:spacing w:line="240" w:lineRule="auto"/>
        <w:rPr>
          <w:sz w:val="20"/>
          <w:lang w:val="fr-CA"/>
        </w:rPr>
      </w:pPr>
      <w:r w:rsidRPr="001C3CE3">
        <w:rPr>
          <w:i/>
          <w:sz w:val="20"/>
          <w:lang w:val="fr-CA"/>
        </w:rPr>
        <w:tab/>
        <w:t>Droit administratif — Droit carcéral — Équité procédurale — Obligation de communication — Portée de l’obligation de communication — Transfèrement d’urgence non sollicité d’un détenu sous responsabilité fédérale d’un établissement à sécurité moyenne à un établissement à sécurité maximale — La décision relative au transfèrement satisfait</w:t>
      </w:r>
      <w:r w:rsidRPr="001C3CE3">
        <w:rPr>
          <w:i/>
          <w:sz w:val="20"/>
          <w:lang w:val="fr-CA"/>
        </w:rPr>
        <w:noBreakHyphen/>
        <w:t xml:space="preserve">elle aux exigences législatives en matière d’équité procédurale? — Loi sur le système correctionnel et la mise </w:t>
      </w:r>
      <w:r w:rsidRPr="001C3CE3">
        <w:rPr>
          <w:i/>
          <w:sz w:val="20"/>
          <w:lang w:val="fr-CA"/>
        </w:rPr>
        <w:lastRenderedPageBreak/>
        <w:t>en liberté sous condition, L.C. 1992, ch. 20, art. 27 à 29 — Règlement sur le système correctionnel et la mise en liberté sous condition, DORS/92</w:t>
      </w:r>
      <w:r w:rsidRPr="001C3CE3">
        <w:rPr>
          <w:i/>
          <w:sz w:val="20"/>
          <w:lang w:val="fr-CA"/>
        </w:rPr>
        <w:noBreakHyphen/>
        <w:t>620, art. 5 et 13.</w:t>
      </w:r>
    </w:p>
    <w:p w:rsidR="00B93198" w:rsidRDefault="00B93198" w:rsidP="00B93198">
      <w:pPr>
        <w:pStyle w:val="SCCNormalDoubleSpacing"/>
        <w:spacing w:line="240" w:lineRule="auto"/>
        <w:rPr>
          <w:sz w:val="20"/>
          <w:lang w:val="fr-CA"/>
        </w:rPr>
      </w:pPr>
    </w:p>
    <w:p w:rsidR="00B93198" w:rsidRPr="001C3CE3" w:rsidRDefault="00B93198" w:rsidP="00B93198">
      <w:pPr>
        <w:pStyle w:val="SCCNormalDoubleSpacing"/>
        <w:spacing w:line="240" w:lineRule="auto"/>
        <w:rPr>
          <w:sz w:val="20"/>
          <w:lang w:val="fr-CA"/>
        </w:rPr>
      </w:pPr>
      <w:r w:rsidRPr="001C3CE3">
        <w:rPr>
          <w:sz w:val="20"/>
          <w:lang w:val="fr-CA"/>
        </w:rPr>
        <w:tab/>
        <w:t>K est détenu dans un pénitencier fédéral et purge une peine d’emprisonnement à perpétuité pour meurtre au premier degré à l’Établissement Kent, en Colombie</w:t>
      </w:r>
      <w:r w:rsidRPr="001C3CE3">
        <w:rPr>
          <w:sz w:val="20"/>
          <w:lang w:val="fr-CA"/>
        </w:rPr>
        <w:noBreakHyphen/>
        <w:t>Britannique.  Après trois ans dans cet établissement à sécurité maximale, il a été transféré à l’Établissement de Mission, un établissement à sécurité moyenne.  En 2009, un détenu a été poignardé à l’Établissement de Mission.  Environ une semaine plus tard, le Bureau du renseignement de sécurité de l’Établissement de Mission a reçu des renseignements impliquant K dans l’incident.  Un rapport sur les renseignements de sécurité — contenant des renseignements selon lesquels K avait demandé à deux autres détenus de poignarder la victime en échange de trois grammes d’héroïne — a été rédigé.  K a donc été transféré d’urgence et contre son gré à l’établissement à sécurité maximale après que la directrice eut réévalué sa cote de sécurité.  Ce transfèrement a fait l’objet de la demande initiale d’</w:t>
      </w:r>
      <w:r w:rsidRPr="001C3CE3">
        <w:rPr>
          <w:i/>
          <w:sz w:val="20"/>
          <w:lang w:val="fr-CA"/>
        </w:rPr>
        <w:t>habeas corpus</w:t>
      </w:r>
      <w:r w:rsidRPr="001C3CE3">
        <w:rPr>
          <w:sz w:val="20"/>
          <w:lang w:val="fr-CA"/>
        </w:rPr>
        <w:t xml:space="preserve"> présentée par K.  Ce dernier a allégué que ce transfèrement à un établissement à sécurité plus élevée était déraisonnable, inéquitable sur le plan procédural et, par conséquent, illégal.  La Cour suprême de la Colombie</w:t>
      </w:r>
      <w:r w:rsidRPr="001C3CE3">
        <w:rPr>
          <w:sz w:val="20"/>
          <w:lang w:val="fr-CA"/>
        </w:rPr>
        <w:noBreakHyphen/>
        <w:t>Britannique et la Cour d’appel de la Colombie</w:t>
      </w:r>
      <w:r w:rsidRPr="001C3CE3">
        <w:rPr>
          <w:sz w:val="20"/>
          <w:lang w:val="fr-CA"/>
        </w:rPr>
        <w:noBreakHyphen/>
        <w:t>Britannique ont toutes deux convenu que la demande d’</w:t>
      </w:r>
      <w:r w:rsidRPr="001C3CE3">
        <w:rPr>
          <w:i/>
          <w:sz w:val="20"/>
          <w:lang w:val="fr-CA"/>
        </w:rPr>
        <w:t>habeas corpus</w:t>
      </w:r>
      <w:r w:rsidRPr="001C3CE3">
        <w:rPr>
          <w:sz w:val="20"/>
          <w:lang w:val="fr-CA"/>
        </w:rPr>
        <w:t xml:space="preserve"> de K devait être accueillie.</w:t>
      </w:r>
    </w:p>
    <w:p w:rsidR="00B93198" w:rsidRDefault="00B93198" w:rsidP="00B93198">
      <w:pPr>
        <w:pStyle w:val="SCCNormalDoubleSpacing"/>
        <w:spacing w:line="240" w:lineRule="auto"/>
        <w:rPr>
          <w:sz w:val="20"/>
          <w:lang w:val="fr-CA"/>
        </w:rPr>
      </w:pPr>
    </w:p>
    <w:p w:rsidR="00B93198" w:rsidRPr="001C3CE3" w:rsidRDefault="00B93198" w:rsidP="00B93198">
      <w:pPr>
        <w:pStyle w:val="SCCNormalDoubleSpacing"/>
        <w:spacing w:line="240" w:lineRule="auto"/>
        <w:rPr>
          <w:sz w:val="20"/>
          <w:lang w:val="fr-CA"/>
        </w:rPr>
      </w:pPr>
      <w:r w:rsidRPr="001C3CE3">
        <w:rPr>
          <w:sz w:val="20"/>
          <w:lang w:val="fr-CA"/>
        </w:rPr>
        <w:tab/>
      </w:r>
      <w:r w:rsidRPr="001C3CE3">
        <w:rPr>
          <w:i/>
          <w:sz w:val="20"/>
          <w:lang w:val="fr-CA"/>
        </w:rPr>
        <w:t>Arrêt</w:t>
      </w:r>
      <w:r w:rsidRPr="001C3CE3">
        <w:rPr>
          <w:sz w:val="20"/>
          <w:lang w:val="fr-CA"/>
        </w:rPr>
        <w:t> : Le pourvoi est rejeté.</w:t>
      </w:r>
    </w:p>
    <w:p w:rsidR="00B93198" w:rsidRDefault="00B93198" w:rsidP="00B93198">
      <w:pPr>
        <w:pStyle w:val="SCCNormalDoubleSpacing"/>
        <w:spacing w:line="240" w:lineRule="auto"/>
        <w:rPr>
          <w:sz w:val="20"/>
          <w:lang w:val="fr-CA"/>
        </w:rPr>
      </w:pPr>
    </w:p>
    <w:p w:rsidR="00B93198" w:rsidRPr="001C3CE3" w:rsidRDefault="00B93198" w:rsidP="00B93198">
      <w:pPr>
        <w:pStyle w:val="SCCNormalDoubleSpacing"/>
        <w:spacing w:line="240" w:lineRule="auto"/>
        <w:rPr>
          <w:sz w:val="20"/>
          <w:lang w:val="fr-CA"/>
        </w:rPr>
      </w:pPr>
      <w:r w:rsidRPr="001C3CE3">
        <w:rPr>
          <w:sz w:val="20"/>
          <w:lang w:val="fr-CA"/>
        </w:rPr>
        <w:tab/>
        <w:t>La question soumise à la Cour est de savoir si, dans le cadre d’une demande d’</w:t>
      </w:r>
      <w:r w:rsidRPr="001C3CE3">
        <w:rPr>
          <w:i/>
          <w:sz w:val="20"/>
          <w:lang w:val="fr-CA"/>
        </w:rPr>
        <w:t>habeas corpus</w:t>
      </w:r>
      <w:r w:rsidRPr="001C3CE3">
        <w:rPr>
          <w:sz w:val="20"/>
          <w:lang w:val="fr-CA"/>
        </w:rPr>
        <w:t>, une cour supérieure provinciale peut se prononcer sur le caractère raisonnable d’une décision administrative de transférer un détenu à un établissement à sécurité plus élevée, ou si cette tâche revient à la Cour fédérale dans le cadre d’une demande de contrôle judiciaire.  Un détenu peut opter pour la contestation du caractère raisonnable de la décision par voie de contrôle judiciaire devant la Cour fédérale.  Il peut aussi, par une demande d’</w:t>
      </w:r>
      <w:r w:rsidRPr="001C3CE3">
        <w:rPr>
          <w:i/>
          <w:sz w:val="20"/>
          <w:lang w:val="fr-CA"/>
        </w:rPr>
        <w:t>habeas corpus</w:t>
      </w:r>
      <w:r w:rsidRPr="001C3CE3">
        <w:rPr>
          <w:sz w:val="20"/>
          <w:lang w:val="fr-CA"/>
        </w:rPr>
        <w:t>, obtenir l’examen du caractère raisonnable de la décision.  Le « caractère raisonnable » constitue donc un doute valablement soulevé quant à la légalité de la privation de liberté dans le cadre d’une demande d’</w:t>
      </w:r>
      <w:r w:rsidRPr="001C3CE3">
        <w:rPr>
          <w:i/>
          <w:sz w:val="20"/>
          <w:lang w:val="fr-CA"/>
        </w:rPr>
        <w:t>habeas corpus</w:t>
      </w:r>
      <w:r w:rsidRPr="001C3CE3">
        <w:rPr>
          <w:sz w:val="20"/>
          <w:lang w:val="fr-CA"/>
        </w:rPr>
        <w:t>.</w:t>
      </w:r>
    </w:p>
    <w:p w:rsidR="00B93198" w:rsidRDefault="00B93198" w:rsidP="00B93198">
      <w:pPr>
        <w:pStyle w:val="SCCNormalDoubleSpacing"/>
        <w:spacing w:line="240" w:lineRule="auto"/>
        <w:rPr>
          <w:sz w:val="20"/>
          <w:lang w:val="fr-CA"/>
        </w:rPr>
      </w:pPr>
    </w:p>
    <w:p w:rsidR="00B93198" w:rsidRPr="001C3CE3" w:rsidRDefault="00B93198" w:rsidP="00B93198">
      <w:pPr>
        <w:pStyle w:val="SCCNormalDoubleSpacing"/>
        <w:spacing w:line="240" w:lineRule="auto"/>
        <w:rPr>
          <w:sz w:val="20"/>
          <w:lang w:val="fr-CA"/>
        </w:rPr>
      </w:pPr>
      <w:r w:rsidRPr="001C3CE3">
        <w:rPr>
          <w:sz w:val="20"/>
          <w:lang w:val="fr-CA"/>
        </w:rPr>
        <w:tab/>
        <w:t>En raison de la souplesse et de l’importance du bref d’</w:t>
      </w:r>
      <w:r w:rsidRPr="001C3CE3">
        <w:rPr>
          <w:i/>
          <w:sz w:val="20"/>
          <w:lang w:val="fr-CA"/>
        </w:rPr>
        <w:t>habeas corpus</w:t>
      </w:r>
      <w:r w:rsidRPr="001C3CE3">
        <w:rPr>
          <w:sz w:val="20"/>
          <w:lang w:val="fr-CA"/>
        </w:rPr>
        <w:t>, ainsi que des motifs justifiant la confirmation de la compétence concurrente de la cour supérieure provinciale et de la Cour fédérale, il est clair que la révision de la légalité exigera parfois l’examen du caractère raisonnable de la décision.  La jurisprudence de notre Cour confirme que la révision peut comporter l’examen du caractère raisonnable de la décision.  Plus particulièrement, la reconnaissance du pouvoir des cours supérieures provinciales d’examiner le caractère raisonnable de la décision découle logiquement de la façon dont notre Cour a défini le recours et des limites imposées par les tribunaux quant aux moyens d’obtenir ce recours.  Notre jurisprudence a reconnu que l’</w:t>
      </w:r>
      <w:r w:rsidRPr="001C3CE3">
        <w:rPr>
          <w:i/>
          <w:sz w:val="20"/>
          <w:lang w:val="fr-CA"/>
        </w:rPr>
        <w:t xml:space="preserve">habeas corpus </w:t>
      </w:r>
      <w:r w:rsidRPr="001C3CE3">
        <w:rPr>
          <w:sz w:val="20"/>
          <w:lang w:val="fr-CA"/>
        </w:rPr>
        <w:t>doit évoluer pour garantir que les objectifs sous</w:t>
      </w:r>
      <w:r w:rsidRPr="001C3CE3">
        <w:rPr>
          <w:sz w:val="20"/>
          <w:lang w:val="fr-CA"/>
        </w:rPr>
        <w:noBreakHyphen/>
        <w:t>jacents du recours continuent d’être respectés : nul ne devrait être privé de sa liberté sans que la loi l’autorise.</w:t>
      </w:r>
    </w:p>
    <w:p w:rsidR="00B93198" w:rsidRDefault="00B93198" w:rsidP="00B93198">
      <w:pPr>
        <w:pStyle w:val="SCCNormalDoubleSpacing"/>
        <w:spacing w:line="240" w:lineRule="auto"/>
        <w:rPr>
          <w:sz w:val="20"/>
          <w:lang w:val="fr-CA"/>
        </w:rPr>
      </w:pPr>
    </w:p>
    <w:p w:rsidR="00B93198" w:rsidRPr="001C3CE3" w:rsidRDefault="00B93198" w:rsidP="00B93198">
      <w:pPr>
        <w:pStyle w:val="SCCNormalDoubleSpacing"/>
        <w:spacing w:line="240" w:lineRule="auto"/>
        <w:rPr>
          <w:sz w:val="20"/>
          <w:lang w:val="fr-CA"/>
        </w:rPr>
      </w:pPr>
      <w:r w:rsidRPr="001C3CE3">
        <w:rPr>
          <w:sz w:val="20"/>
          <w:lang w:val="fr-CA"/>
        </w:rPr>
        <w:tab/>
        <w:t>Plusieurs des principes qui favorisent la reconnaissance de la compétence concurrente de la cour supérieure provinciale et de la Cour fédérale entrent en jeu lorsqu’il faut déterminer la portée du pouvoir de révision d’une cour supérieure provinciale.  Premièrement, chaque demandeur devrait pouvoir choisir son recours.  Si l’audition d’une demande d’</w:t>
      </w:r>
      <w:r w:rsidRPr="001C3CE3">
        <w:rPr>
          <w:i/>
          <w:sz w:val="20"/>
          <w:lang w:val="fr-CA"/>
        </w:rPr>
        <w:t>habeas corpus</w:t>
      </w:r>
      <w:r w:rsidRPr="001C3CE3">
        <w:rPr>
          <w:sz w:val="20"/>
          <w:lang w:val="fr-CA"/>
        </w:rPr>
        <w:t xml:space="preserve"> ne permet pas l’examen du caractère raisonnable de la décision sous</w:t>
      </w:r>
      <w:r w:rsidRPr="001C3CE3">
        <w:rPr>
          <w:sz w:val="20"/>
          <w:lang w:val="fr-CA"/>
        </w:rPr>
        <w:noBreakHyphen/>
        <w:t>jacente, le prisonnier privé de sa liberté en raison d’une décision déraisonnable ne peut plus choisir le recours qui lui permettra d’obtenir une réparation; il doit s’adresser à la Cour fédérale.  Deuxièmement, rien ne permet de supposer que l’expertise de la Cour fédérale est plus grande que celle d’une cour supérieure lorsqu’il s’agit d’examiner la légalité d’une privation de liberté.  Troisièmement, si le détenu ne peut obtenir, au moyen d’une demande d’</w:t>
      </w:r>
      <w:r w:rsidRPr="001C3CE3">
        <w:rPr>
          <w:i/>
          <w:sz w:val="20"/>
          <w:lang w:val="fr-CA"/>
        </w:rPr>
        <w:t>habeas corpus</w:t>
      </w:r>
      <w:r w:rsidRPr="001C3CE3">
        <w:rPr>
          <w:sz w:val="20"/>
          <w:lang w:val="fr-CA"/>
        </w:rPr>
        <w:t xml:space="preserve">, la révision de la décision possiblement déraisonnable le privant de sa liberté, il devra épuiser l’ensemble de la longue procédure de règlement de griefs prévue dans la loi pour faire entendre ses réclamations.  Quatrièmement, le fait que les détenus aient accès dans leur région au recours en </w:t>
      </w:r>
      <w:r w:rsidRPr="001C3CE3">
        <w:rPr>
          <w:i/>
          <w:sz w:val="20"/>
          <w:lang w:val="fr-CA"/>
        </w:rPr>
        <w:t>habeas corpus</w:t>
      </w:r>
      <w:r w:rsidRPr="001C3CE3">
        <w:rPr>
          <w:sz w:val="20"/>
          <w:lang w:val="fr-CA"/>
        </w:rPr>
        <w:t xml:space="preserve"> milite aussi en faveur de l’inclusion d’un examen du caractère raisonnable de la décision.  Cinquièmement, la nature non discrétionnaire de l’</w:t>
      </w:r>
      <w:r w:rsidRPr="001C3CE3">
        <w:rPr>
          <w:i/>
          <w:sz w:val="20"/>
          <w:lang w:val="fr-CA"/>
        </w:rPr>
        <w:t>habeas corpus</w:t>
      </w:r>
      <w:r w:rsidRPr="001C3CE3">
        <w:rPr>
          <w:sz w:val="20"/>
          <w:lang w:val="fr-CA"/>
        </w:rPr>
        <w:t xml:space="preserve"> et la répartition des fardeaux de preuve lors de l’exercice de ce recours devraient favoriser le détenu qui prétend avoir été illégalement privé de sa liberté.  Si le détenu devait s’adresser à la Cour fédérale pour déterminer si la privation de sa liberté était déraisonnable, le recours resterait discrétionnaire.  De plus, dans le cadre d’un contrôle judiciaire, il incomberait au demandeur de démontrer que la décision de le transférer était déraisonnable.  Enfin, obliger les détenus à contester devant la Cour fédérale le caractère raisonnable d’une décision relative à un transfèrement pourrait conduire à un gaspillage des ressources judiciaires. </w:t>
      </w:r>
    </w:p>
    <w:p w:rsidR="00B93198" w:rsidRDefault="00B93198" w:rsidP="00B93198">
      <w:pPr>
        <w:pStyle w:val="SCCNormalDoubleSpacing"/>
        <w:spacing w:line="240" w:lineRule="auto"/>
        <w:rPr>
          <w:sz w:val="20"/>
          <w:lang w:val="fr-CA"/>
        </w:rPr>
      </w:pPr>
    </w:p>
    <w:p w:rsidR="00B93198" w:rsidRPr="001C3CE3" w:rsidRDefault="00B93198" w:rsidP="00B93198">
      <w:pPr>
        <w:pStyle w:val="SCCNormalDoubleSpacing"/>
        <w:spacing w:line="240" w:lineRule="auto"/>
        <w:rPr>
          <w:sz w:val="20"/>
          <w:lang w:val="fr-CA"/>
        </w:rPr>
      </w:pPr>
      <w:r w:rsidRPr="001C3CE3">
        <w:rPr>
          <w:sz w:val="20"/>
          <w:lang w:val="fr-CA"/>
        </w:rPr>
        <w:lastRenderedPageBreak/>
        <w:tab/>
        <w:t>Le transfèrement sera illégal s’il ne fait pas partie des issues possibles acceptables pouvant se justifier au regard des faits et du droit.  Il en sera de même pour une décision dénuée de justification, de transparence et d’intelligibilité.  La décision sera légale si les motifs et le dossier de la décision étayent, effectivement ou en principe, la conclusion.  Une décision est considérée comme déraisonnable et, partant, illégale, si les droits à la liberté d’un détenu sont sacrifiés en l’absence de toute preuve, sur la foi d’une preuve non fiable, d’une preuve non pertinente ou d’une preuve qui n’étaye pas la conclusion.  La décision sur la fiabilité de la preuve exige de la déférence à l’égard du décideur, mais les autorités doivent tout de même expliquer en quoi la preuve offerte est digne de foi.  Un examen visant à déterminer si une décision est raisonnable et, par conséquent, légale, appelle nécessairement la déférence.  Une décision ordonnant un transfèrement non sollicité est néanmoins une décision administrative prise par un décideur possédant une expertise relative à un pénitencier en particulier.  Examiner cette décision selon une norme autre que la norme de la décision raisonnable pourrait bien entraîner une microgestion des prisons par les tribunaux.  L’application de la norme de la décision raisonnable ne devrait toutefois pas avoir pour effet de modifier la structure fondamentale ou les avantages du bref d’</w:t>
      </w:r>
      <w:r w:rsidRPr="001C3CE3">
        <w:rPr>
          <w:i/>
          <w:sz w:val="20"/>
          <w:lang w:val="fr-CA"/>
        </w:rPr>
        <w:t>habeas corpus</w:t>
      </w:r>
      <w:r w:rsidRPr="001C3CE3">
        <w:rPr>
          <w:sz w:val="20"/>
          <w:lang w:val="fr-CA"/>
        </w:rPr>
        <w:t>.  Premièrement, les fardeaux de preuve habituels associés au bref continueront de s’appliquer.  Deuxièmement, l’</w:t>
      </w:r>
      <w:r w:rsidRPr="001C3CE3">
        <w:rPr>
          <w:i/>
          <w:sz w:val="20"/>
          <w:lang w:val="fr-CA"/>
        </w:rPr>
        <w:t xml:space="preserve">habeas corpus </w:t>
      </w:r>
      <w:r w:rsidRPr="001C3CE3">
        <w:rPr>
          <w:sz w:val="20"/>
          <w:lang w:val="fr-CA"/>
        </w:rPr>
        <w:t xml:space="preserve">demeure non discrétionnaire en ce qui concerne la décision de réviser le dossier.  Troisièmement, la possibilité de contester une décision au motif qu’elle est déraisonnable ne change pas nécessairement la norme de révision applicable aux autres lacunes de la décision ou du processus décisionnel.  Par exemple, la norme applicable à la question de savoir si la décision a été prise dans le respect de l’équité procédurale sera toujours celle de la « décision correcte ». </w:t>
      </w:r>
    </w:p>
    <w:p w:rsidR="00B93198" w:rsidRDefault="00B93198" w:rsidP="00B93198">
      <w:pPr>
        <w:pStyle w:val="SCCNormalDoubleSpacing"/>
        <w:spacing w:line="240" w:lineRule="auto"/>
        <w:rPr>
          <w:sz w:val="20"/>
          <w:lang w:val="fr-CA"/>
        </w:rPr>
      </w:pPr>
    </w:p>
    <w:p w:rsidR="00B93198" w:rsidRPr="001C3CE3" w:rsidRDefault="00B93198" w:rsidP="00B93198">
      <w:pPr>
        <w:pStyle w:val="SCCNormalDoubleSpacing"/>
        <w:spacing w:line="240" w:lineRule="auto"/>
        <w:rPr>
          <w:sz w:val="20"/>
          <w:lang w:val="fr-CA"/>
        </w:rPr>
      </w:pPr>
      <w:r w:rsidRPr="001C3CE3">
        <w:rPr>
          <w:sz w:val="20"/>
          <w:lang w:val="fr-CA"/>
        </w:rPr>
        <w:tab/>
        <w:t xml:space="preserve">Il n’est pas nécessaire de savoir si la décision qu’a prise la directrice dans la présente affaire était illégale parce qu’elle était déraisonnable.  La décision était illégale parce qu’elle était inéquitable sur le plan procédural.  La loi en cause, la </w:t>
      </w:r>
      <w:r w:rsidRPr="001C3CE3">
        <w:rPr>
          <w:i/>
          <w:sz w:val="20"/>
          <w:lang w:val="fr-CA"/>
        </w:rPr>
        <w:t>Loi sur le système correctionnel et la mise en liberté sous condition</w:t>
      </w:r>
      <w:r w:rsidRPr="001C3CE3">
        <w:rPr>
          <w:sz w:val="20"/>
          <w:lang w:val="fr-CA"/>
        </w:rPr>
        <w:t>, L.C. 1992, ch. 20</w:t>
      </w:r>
      <w:r w:rsidRPr="001C3CE3">
        <w:rPr>
          <w:i/>
          <w:sz w:val="20"/>
          <w:lang w:val="fr-CA"/>
        </w:rPr>
        <w:t xml:space="preserve"> </w:t>
      </w:r>
      <w:r w:rsidRPr="001C3CE3">
        <w:rPr>
          <w:sz w:val="20"/>
          <w:lang w:val="fr-CA"/>
        </w:rPr>
        <w:t>(la « </w:t>
      </w:r>
      <w:r w:rsidRPr="001C3CE3">
        <w:rPr>
          <w:i/>
          <w:sz w:val="20"/>
          <w:lang w:val="fr-CA"/>
        </w:rPr>
        <w:t>LSCMLC</w:t>
      </w:r>
      <w:r w:rsidRPr="001C3CE3">
        <w:rPr>
          <w:sz w:val="20"/>
          <w:lang w:val="fr-CA"/>
        </w:rPr>
        <w:t xml:space="preserve"> »), indique les renseignements dont la communication est requise pour qu’une cour de révision déclare la décision relative au transfèrement équitable et, par conséquent, légale.  </w:t>
      </w:r>
      <w:r w:rsidRPr="001C3CE3">
        <w:rPr>
          <w:spacing w:val="-3"/>
          <w:sz w:val="20"/>
          <w:lang w:val="fr-CA"/>
        </w:rPr>
        <w:t xml:space="preserve">L’article 27 de la </w:t>
      </w:r>
      <w:r w:rsidRPr="001C3CE3">
        <w:rPr>
          <w:i/>
          <w:spacing w:val="-3"/>
          <w:sz w:val="20"/>
          <w:lang w:val="fr-CA"/>
        </w:rPr>
        <w:t xml:space="preserve">LSCMLC </w:t>
      </w:r>
      <w:r w:rsidRPr="001C3CE3">
        <w:rPr>
          <w:spacing w:val="-3"/>
          <w:sz w:val="20"/>
          <w:lang w:val="fr-CA"/>
        </w:rPr>
        <w:t>guide le décideur et précise ces droits procéduraux</w:t>
      </w:r>
      <w:r w:rsidRPr="001C3CE3">
        <w:rPr>
          <w:sz w:val="20"/>
          <w:lang w:val="fr-CA"/>
        </w:rPr>
        <w:t>.  Pour garantir l’équité du processus de prise de décision qui mène au transfèrement, le par. 27(1) prévoit que tous les renseignements entrant en ligne de compte dans la prise de décision, ou un sommaire de ceux</w:t>
      </w:r>
      <w:r w:rsidRPr="001C3CE3">
        <w:rPr>
          <w:sz w:val="20"/>
          <w:lang w:val="fr-CA"/>
        </w:rPr>
        <w:noBreakHyphen/>
        <w:t xml:space="preserve">ci, doivent être communiqués au détenu, et ce, dans un délai raisonnable avant la prise de la décision finale.  Il incombe au décideur de prouver qu’il a respecté le par. 27(1).  </w:t>
      </w:r>
    </w:p>
    <w:p w:rsidR="00B93198" w:rsidRDefault="00B93198" w:rsidP="00B93198">
      <w:pPr>
        <w:pStyle w:val="SCCNormalDoubleSpacing"/>
        <w:spacing w:line="240" w:lineRule="auto"/>
        <w:rPr>
          <w:sz w:val="20"/>
          <w:lang w:val="fr-CA"/>
        </w:rPr>
      </w:pPr>
    </w:p>
    <w:p w:rsidR="00B93198" w:rsidRPr="001C3CE3" w:rsidRDefault="00B93198" w:rsidP="00B93198">
      <w:pPr>
        <w:pStyle w:val="SCCNormalDoubleSpacing"/>
        <w:spacing w:line="240" w:lineRule="auto"/>
        <w:rPr>
          <w:sz w:val="20"/>
          <w:lang w:val="fr-CA"/>
        </w:rPr>
      </w:pPr>
      <w:r w:rsidRPr="001C3CE3">
        <w:rPr>
          <w:sz w:val="20"/>
          <w:lang w:val="fr-CA"/>
        </w:rPr>
        <w:tab/>
        <w:t xml:space="preserve">Le régime législatif permet certaines exemptions à la lourde obligation de communication prévue aux par. 27(1) et (2).  Selon le par. 27(3), si le commissaire a des motifs raisonnables de croire que la communication des renseignements prévue aux par. 27(1) ou (2) mettrait en danger </w:t>
      </w:r>
      <w:r w:rsidRPr="001C3CE3">
        <w:rPr>
          <w:i/>
          <w:sz w:val="20"/>
          <w:lang w:val="fr-CA"/>
        </w:rPr>
        <w:t>a</w:t>
      </w:r>
      <w:r w:rsidRPr="001C3CE3">
        <w:rPr>
          <w:sz w:val="20"/>
          <w:lang w:val="fr-CA"/>
        </w:rPr>
        <w:t xml:space="preserve">) la sécurité d’une personne, </w:t>
      </w:r>
      <w:r w:rsidRPr="001C3CE3">
        <w:rPr>
          <w:i/>
          <w:sz w:val="20"/>
          <w:lang w:val="fr-CA"/>
        </w:rPr>
        <w:t>b</w:t>
      </w:r>
      <w:r w:rsidRPr="001C3CE3">
        <w:rPr>
          <w:sz w:val="20"/>
          <w:lang w:val="fr-CA"/>
        </w:rPr>
        <w:t xml:space="preserve">) la sécurité du pénitencier, ou </w:t>
      </w:r>
      <w:r w:rsidRPr="001C3CE3">
        <w:rPr>
          <w:i/>
          <w:sz w:val="20"/>
          <w:lang w:val="fr-CA"/>
        </w:rPr>
        <w:t>c</w:t>
      </w:r>
      <w:r w:rsidRPr="001C3CE3">
        <w:rPr>
          <w:sz w:val="20"/>
          <w:lang w:val="fr-CA"/>
        </w:rPr>
        <w:t>) compromettrait la tenue d’une enquête licite, il peut refuser la communication de renseignements au détenu dans la mesure jugée strictement nécessaire à la protection des intérêts en danger.  La décision de refuser la communication de renseignements conformément au par. 27(3) peut nécessairement être révisée par voie d’</w:t>
      </w:r>
      <w:r w:rsidRPr="001C3CE3">
        <w:rPr>
          <w:i/>
          <w:sz w:val="20"/>
          <w:lang w:val="fr-CA"/>
        </w:rPr>
        <w:t xml:space="preserve">habeas corpus.  </w:t>
      </w:r>
      <w:r w:rsidRPr="001C3CE3">
        <w:rPr>
          <w:sz w:val="20"/>
          <w:lang w:val="fr-CA"/>
        </w:rPr>
        <w:t>Cette décision n’est pas indépendante de celle qui est prise au sujet du transfèrement en vertu de l’art. 29 de la</w:t>
      </w:r>
      <w:r w:rsidRPr="001C3CE3">
        <w:rPr>
          <w:i/>
          <w:sz w:val="20"/>
          <w:lang w:val="fr-CA"/>
        </w:rPr>
        <w:t xml:space="preserve"> LSCMLC</w:t>
      </w:r>
      <w:r w:rsidRPr="001C3CE3">
        <w:rPr>
          <w:sz w:val="20"/>
          <w:lang w:val="fr-CA"/>
        </w:rPr>
        <w:t>.  Si l’autorité correctionnelle ne se conforme pas à toutes les obligations que lui impose l’art. 27, la cour de révision peut conclure que la décision relative au transfèrement est inéquitable sur le plan procédural, et la privation de liberté du détenu ne pourra être légale.  Si le commissaire, ou son représentant, choisit de refuser la communication de renseignements au détenu en se fondant sur le par. 27(3), il lui incombe alors d’invoquer cette disposition et de prouver qu’il avait des motifs raisonnables de croire que la communication de ces renseignements compromettrait l’un des intérêts mentionnés.</w:t>
      </w:r>
    </w:p>
    <w:p w:rsidR="00B93198" w:rsidRDefault="00B93198" w:rsidP="00B93198">
      <w:pPr>
        <w:pStyle w:val="SCCNormalDoubleSpacing"/>
        <w:spacing w:line="240" w:lineRule="auto"/>
        <w:rPr>
          <w:sz w:val="20"/>
          <w:lang w:val="fr-CA"/>
        </w:rPr>
      </w:pPr>
    </w:p>
    <w:p w:rsidR="00B93198" w:rsidRDefault="00B93198" w:rsidP="00B93198">
      <w:pPr>
        <w:pStyle w:val="SCCNormalDoubleSpacing"/>
        <w:spacing w:line="240" w:lineRule="auto"/>
        <w:rPr>
          <w:sz w:val="20"/>
          <w:lang w:val="fr-CA"/>
        </w:rPr>
      </w:pPr>
      <w:r w:rsidRPr="001C3CE3">
        <w:rPr>
          <w:sz w:val="20"/>
          <w:lang w:val="fr-CA"/>
        </w:rPr>
        <w:tab/>
        <w:t>En l’espèce, il ressort clairement de l’examen du dossier que, lorsqu’elle a décidé le transfèrement, la directrice a pris en compte des renseignements qui n’ont pas été communiqués à K.  Elle ne lui a pas non plus communiqué un sommaire satisfaisant des renseignements manquants.  Le refus de communiquer ces renseignements n’était pas justifié aux termes du par. 27(3).  Si ce paragraphe n’est jamais invoqué, ou plaidé avec preuve à l’appui, rien ne permet de conclure que la directrice a eu raison de refuser au détenu la communication des renseignements pris en compte dans sa décision de le transférer.  Par conséquent, la décision de la directrice ne satisfaisait pas aux exigences législatives en matière d’équité procédurale.  La décision de transférer K de l’Établissement de Mission à l’Établissement Kent était en conséquence illégale.  La Cour suprême de la Colombie</w:t>
      </w:r>
      <w:r w:rsidRPr="001C3CE3">
        <w:rPr>
          <w:sz w:val="20"/>
          <w:lang w:val="fr-CA"/>
        </w:rPr>
        <w:noBreakHyphen/>
        <w:t>Britannique a donc eu raison d’accueillir la demande d’</w:t>
      </w:r>
      <w:r w:rsidRPr="001C3CE3">
        <w:rPr>
          <w:i/>
          <w:sz w:val="20"/>
          <w:lang w:val="fr-CA"/>
        </w:rPr>
        <w:t>habeas corpus</w:t>
      </w:r>
      <w:r w:rsidRPr="001C3CE3">
        <w:rPr>
          <w:sz w:val="20"/>
          <w:lang w:val="fr-CA"/>
        </w:rPr>
        <w:t xml:space="preserve"> et K a été valablement renvoyé dans un établissement à sécurité moyenne.</w:t>
      </w:r>
    </w:p>
    <w:p w:rsidR="00B93198" w:rsidRDefault="00B93198" w:rsidP="00B93198">
      <w:pPr>
        <w:pStyle w:val="SCCNormalDoubleSpacing"/>
        <w:spacing w:line="240" w:lineRule="auto"/>
        <w:rPr>
          <w:sz w:val="20"/>
          <w:lang w:val="fr-CA"/>
        </w:rPr>
      </w:pPr>
    </w:p>
    <w:p w:rsidR="00B93198" w:rsidRPr="001C3CE3" w:rsidRDefault="00B93198" w:rsidP="00B93198">
      <w:pPr>
        <w:pStyle w:val="SCCNormalDoubleSpacing"/>
        <w:spacing w:line="240" w:lineRule="auto"/>
        <w:rPr>
          <w:sz w:val="20"/>
        </w:rPr>
      </w:pPr>
      <w:r w:rsidRPr="00B93198">
        <w:rPr>
          <w:sz w:val="20"/>
          <w:lang w:val="fr-CA"/>
        </w:rPr>
        <w:tab/>
      </w:r>
      <w:r w:rsidRPr="001C3CE3">
        <w:rPr>
          <w:sz w:val="20"/>
          <w:lang w:val="fr-CA"/>
        </w:rPr>
        <w:t>POURVOI contre un arrêt de la Cour d’appel de la Colombie</w:t>
      </w:r>
      <w:r w:rsidRPr="001C3CE3">
        <w:rPr>
          <w:sz w:val="20"/>
          <w:lang w:val="fr-CA"/>
        </w:rPr>
        <w:noBreakHyphen/>
        <w:t xml:space="preserve">Britannique (les juges Smith, Chiasson et Groberman), 2011 BCCA 450, 312 B.C.A.C. 217, 246 C.R.R. (2d) 277, 27 Admin. L.R. (5th) 41, 90 C.R. (6th) 149, </w:t>
      </w:r>
      <w:r w:rsidRPr="001C3CE3">
        <w:rPr>
          <w:sz w:val="20"/>
          <w:lang w:val="fr-CA"/>
        </w:rPr>
        <w:lastRenderedPageBreak/>
        <w:t xml:space="preserve">[2011] B.C.J. No. 2111 (QL), 2011 CarswellBC 3095, qui a accueilli en partie une décision de la juge Bruce, 2010 BCSC 721, 210 C.R.R. (2d) 251, 19 Admin. </w:t>
      </w:r>
      <w:r w:rsidRPr="001C3CE3">
        <w:rPr>
          <w:sz w:val="20"/>
        </w:rPr>
        <w:t>L.R. (5th) 173, [2010] B.C.J. No. 971 (QL), 2010 CarswellBC 1288.  Pourvoi rejeté.</w:t>
      </w:r>
    </w:p>
    <w:p w:rsidR="00B93198" w:rsidRDefault="00B93198" w:rsidP="00B93198">
      <w:pPr>
        <w:pStyle w:val="SCCNormalDoubleSpacing"/>
        <w:spacing w:line="240" w:lineRule="auto"/>
        <w:rPr>
          <w:i/>
          <w:sz w:val="20"/>
        </w:rPr>
      </w:pPr>
    </w:p>
    <w:p w:rsidR="00B93198" w:rsidRPr="001C3CE3" w:rsidRDefault="00B93198" w:rsidP="00B93198">
      <w:pPr>
        <w:pStyle w:val="SCCNormalDoubleSpacing"/>
        <w:spacing w:line="240" w:lineRule="auto"/>
        <w:rPr>
          <w:sz w:val="20"/>
          <w:lang w:val="fr-CA"/>
        </w:rPr>
      </w:pPr>
      <w:r w:rsidRPr="001C3CE3">
        <w:rPr>
          <w:i/>
          <w:sz w:val="20"/>
        </w:rPr>
        <w:tab/>
      </w:r>
      <w:r w:rsidRPr="001C3CE3">
        <w:rPr>
          <w:i/>
          <w:sz w:val="20"/>
          <w:lang w:val="fr-CA"/>
        </w:rPr>
        <w:t>Anne M. Turley</w:t>
      </w:r>
      <w:r w:rsidRPr="001C3CE3">
        <w:rPr>
          <w:sz w:val="20"/>
          <w:lang w:val="fr-CA"/>
        </w:rPr>
        <w:t xml:space="preserve"> et </w:t>
      </w:r>
      <w:r w:rsidRPr="001C3CE3">
        <w:rPr>
          <w:i/>
          <w:sz w:val="20"/>
          <w:lang w:val="fr-CA"/>
        </w:rPr>
        <w:t>Jan Brongers</w:t>
      </w:r>
      <w:r w:rsidRPr="001C3CE3">
        <w:rPr>
          <w:sz w:val="20"/>
          <w:lang w:val="fr-CA"/>
        </w:rPr>
        <w:t>, pour les appelants.</w:t>
      </w:r>
    </w:p>
    <w:p w:rsidR="00B93198" w:rsidRDefault="00B93198" w:rsidP="00B93198">
      <w:pPr>
        <w:pStyle w:val="SCCNormalDoubleSpacing"/>
        <w:spacing w:line="240" w:lineRule="auto"/>
        <w:rPr>
          <w:i/>
          <w:sz w:val="20"/>
          <w:lang w:val="fr-CA"/>
        </w:rPr>
      </w:pPr>
    </w:p>
    <w:p w:rsidR="00B93198" w:rsidRPr="001C3CE3" w:rsidRDefault="00B93198" w:rsidP="00B93198">
      <w:pPr>
        <w:pStyle w:val="SCCNormalDoubleSpacing"/>
        <w:spacing w:line="240" w:lineRule="auto"/>
        <w:rPr>
          <w:sz w:val="20"/>
          <w:lang w:val="fr-CA"/>
        </w:rPr>
      </w:pPr>
      <w:r w:rsidRPr="001C3CE3">
        <w:rPr>
          <w:i/>
          <w:sz w:val="20"/>
          <w:lang w:val="fr-CA"/>
        </w:rPr>
        <w:tab/>
        <w:t>Bibhas D. Vaze</w:t>
      </w:r>
      <w:r w:rsidRPr="001C3CE3">
        <w:rPr>
          <w:sz w:val="20"/>
          <w:lang w:val="fr-CA"/>
        </w:rPr>
        <w:t xml:space="preserve"> et </w:t>
      </w:r>
      <w:r w:rsidRPr="001C3CE3">
        <w:rPr>
          <w:i/>
          <w:sz w:val="20"/>
          <w:lang w:val="fr-CA"/>
        </w:rPr>
        <w:t>Michael S. A. Fox</w:t>
      </w:r>
      <w:r w:rsidRPr="001C3CE3">
        <w:rPr>
          <w:sz w:val="20"/>
          <w:lang w:val="fr-CA"/>
        </w:rPr>
        <w:t>, pour l’intimé.</w:t>
      </w:r>
    </w:p>
    <w:p w:rsidR="00B93198" w:rsidRDefault="00B93198" w:rsidP="00B93198">
      <w:pPr>
        <w:pStyle w:val="SCCNormalDoubleSpacing"/>
        <w:spacing w:line="240" w:lineRule="auto"/>
        <w:rPr>
          <w:i/>
          <w:sz w:val="20"/>
          <w:lang w:val="fr-CA"/>
        </w:rPr>
      </w:pPr>
    </w:p>
    <w:p w:rsidR="00B93198" w:rsidRPr="001C3CE3" w:rsidRDefault="00B93198" w:rsidP="00B93198">
      <w:pPr>
        <w:pStyle w:val="SCCNormalDoubleSpacing"/>
        <w:spacing w:line="240" w:lineRule="auto"/>
        <w:rPr>
          <w:sz w:val="20"/>
          <w:lang w:val="fr-CA"/>
        </w:rPr>
      </w:pPr>
      <w:r w:rsidRPr="001C3CE3">
        <w:rPr>
          <w:i/>
          <w:sz w:val="20"/>
          <w:lang w:val="fr-CA"/>
        </w:rPr>
        <w:tab/>
        <w:t>Allan Manson</w:t>
      </w:r>
      <w:r w:rsidRPr="001C3CE3">
        <w:rPr>
          <w:sz w:val="20"/>
          <w:lang w:val="fr-CA"/>
        </w:rPr>
        <w:t xml:space="preserve"> et </w:t>
      </w:r>
      <w:r w:rsidRPr="001C3CE3">
        <w:rPr>
          <w:i/>
          <w:sz w:val="20"/>
          <w:lang w:val="fr-CA"/>
        </w:rPr>
        <w:t>Elizabeth Thomas</w:t>
      </w:r>
      <w:r w:rsidRPr="001C3CE3">
        <w:rPr>
          <w:sz w:val="20"/>
          <w:lang w:val="fr-CA"/>
        </w:rPr>
        <w:t>, pour les intervenantes l’Association canadienne des sociétés Elizabeth Fry et la Société John Howard du Canada.</w:t>
      </w:r>
    </w:p>
    <w:p w:rsidR="00B93198" w:rsidRDefault="00B93198" w:rsidP="00B93198">
      <w:pPr>
        <w:pStyle w:val="SCCNormalDoubleSpacing"/>
        <w:spacing w:line="240" w:lineRule="auto"/>
        <w:rPr>
          <w:i/>
          <w:sz w:val="20"/>
          <w:lang w:val="fr-CA"/>
        </w:rPr>
      </w:pPr>
    </w:p>
    <w:p w:rsidR="00B93198" w:rsidRPr="001C3CE3" w:rsidRDefault="00B93198" w:rsidP="00B93198">
      <w:pPr>
        <w:pStyle w:val="SCCNormalDoubleSpacing"/>
        <w:spacing w:line="240" w:lineRule="auto"/>
        <w:rPr>
          <w:sz w:val="20"/>
          <w:lang w:val="fr-CA"/>
        </w:rPr>
      </w:pPr>
      <w:r w:rsidRPr="001C3CE3">
        <w:rPr>
          <w:i/>
          <w:sz w:val="20"/>
          <w:lang w:val="fr-CA"/>
        </w:rPr>
        <w:tab/>
        <w:t>D. Lynne Watt</w:t>
      </w:r>
      <w:r w:rsidRPr="001C3CE3">
        <w:rPr>
          <w:sz w:val="20"/>
          <w:lang w:val="fr-CA"/>
        </w:rPr>
        <w:t>, pour l’intervenante l’Association canadienne des libertés civiles.</w:t>
      </w:r>
    </w:p>
    <w:p w:rsidR="00B93198" w:rsidRDefault="00B93198" w:rsidP="00B93198">
      <w:pPr>
        <w:pStyle w:val="SCCNormalDoubleSpacing"/>
        <w:spacing w:line="240" w:lineRule="auto"/>
        <w:rPr>
          <w:i/>
          <w:sz w:val="20"/>
          <w:lang w:val="fr-CA"/>
        </w:rPr>
      </w:pPr>
    </w:p>
    <w:p w:rsidR="00B93198" w:rsidRPr="001C3CE3" w:rsidRDefault="00B93198" w:rsidP="00B93198">
      <w:pPr>
        <w:pStyle w:val="SCCNormalDoubleSpacing"/>
        <w:spacing w:line="240" w:lineRule="auto"/>
        <w:rPr>
          <w:sz w:val="20"/>
          <w:lang w:val="fr-CA"/>
        </w:rPr>
      </w:pPr>
      <w:r w:rsidRPr="001C3CE3">
        <w:rPr>
          <w:i/>
          <w:sz w:val="20"/>
          <w:lang w:val="fr-CA"/>
        </w:rPr>
        <w:tab/>
        <w:t xml:space="preserve">Michael Jackson, c.r., </w:t>
      </w:r>
      <w:r w:rsidRPr="001C3CE3">
        <w:rPr>
          <w:sz w:val="20"/>
          <w:lang w:val="fr-CA"/>
        </w:rPr>
        <w:t xml:space="preserve">et </w:t>
      </w:r>
      <w:r w:rsidRPr="001C3CE3">
        <w:rPr>
          <w:i/>
          <w:sz w:val="20"/>
          <w:lang w:val="fr-CA"/>
        </w:rPr>
        <w:t>Joana G. Thackeray</w:t>
      </w:r>
      <w:r w:rsidRPr="001C3CE3">
        <w:rPr>
          <w:sz w:val="20"/>
          <w:lang w:val="fr-CA"/>
        </w:rPr>
        <w:t>, pour l’intervenante l’Association des libertés civiles de la Colombie</w:t>
      </w:r>
      <w:r w:rsidRPr="001C3CE3">
        <w:rPr>
          <w:sz w:val="20"/>
          <w:lang w:val="fr-CA"/>
        </w:rPr>
        <w:noBreakHyphen/>
        <w:t>Britannique.</w:t>
      </w:r>
    </w:p>
    <w:p w:rsidR="00B93198" w:rsidRDefault="00B93198" w:rsidP="00B93198">
      <w:pPr>
        <w:pStyle w:val="SCCLawFirm"/>
        <w:spacing w:line="240" w:lineRule="auto"/>
        <w:rPr>
          <w:sz w:val="20"/>
          <w:lang w:val="fr-CA"/>
        </w:rPr>
      </w:pPr>
    </w:p>
    <w:p w:rsidR="00B93198" w:rsidRPr="001C3CE3" w:rsidRDefault="00B93198" w:rsidP="00B93198">
      <w:pPr>
        <w:pStyle w:val="SCCLawFirm"/>
        <w:spacing w:line="240" w:lineRule="auto"/>
        <w:rPr>
          <w:sz w:val="20"/>
          <w:lang w:val="fr-CA"/>
        </w:rPr>
      </w:pPr>
      <w:r w:rsidRPr="001C3CE3">
        <w:rPr>
          <w:sz w:val="20"/>
          <w:lang w:val="fr-CA"/>
        </w:rPr>
        <w:tab/>
        <w:t>Procureur des appelants : Procureur général du Canada, Ottawa et Vancouver.</w:t>
      </w:r>
    </w:p>
    <w:p w:rsidR="00B93198" w:rsidRDefault="00B93198" w:rsidP="00B93198">
      <w:pPr>
        <w:pStyle w:val="SCCLawFirm"/>
        <w:spacing w:line="240" w:lineRule="auto"/>
        <w:rPr>
          <w:sz w:val="20"/>
          <w:lang w:val="fr-CA"/>
        </w:rPr>
      </w:pPr>
    </w:p>
    <w:p w:rsidR="00B93198" w:rsidRPr="001C3CE3" w:rsidRDefault="00B93198" w:rsidP="00B93198">
      <w:pPr>
        <w:pStyle w:val="SCCLawFirm"/>
        <w:spacing w:line="240" w:lineRule="auto"/>
        <w:rPr>
          <w:sz w:val="20"/>
          <w:lang w:val="fr-CA"/>
        </w:rPr>
      </w:pPr>
      <w:r w:rsidRPr="001C3CE3">
        <w:rPr>
          <w:sz w:val="20"/>
          <w:lang w:val="fr-CA"/>
        </w:rPr>
        <w:tab/>
        <w:t>Procureurs de l’intimé : Conroy &amp; Company, Abbotsford.</w:t>
      </w:r>
    </w:p>
    <w:p w:rsidR="00B93198" w:rsidRDefault="00B93198" w:rsidP="00B93198">
      <w:pPr>
        <w:pStyle w:val="SCCLawFirm"/>
        <w:spacing w:line="240" w:lineRule="auto"/>
        <w:rPr>
          <w:sz w:val="20"/>
          <w:lang w:val="fr-CA"/>
        </w:rPr>
      </w:pPr>
    </w:p>
    <w:p w:rsidR="00B93198" w:rsidRPr="001C3CE3" w:rsidRDefault="00B93198" w:rsidP="00B93198">
      <w:pPr>
        <w:pStyle w:val="SCCLawFirm"/>
        <w:spacing w:line="240" w:lineRule="auto"/>
        <w:rPr>
          <w:sz w:val="20"/>
          <w:lang w:val="fr-CA"/>
        </w:rPr>
      </w:pPr>
      <w:r w:rsidRPr="001C3CE3">
        <w:rPr>
          <w:sz w:val="20"/>
          <w:lang w:val="fr-CA"/>
        </w:rPr>
        <w:tab/>
        <w:t>Procureur des intervenantes l’Association canadienne des sociétés Elizabeth Fry et la Société John Howard du Canada : Université Queen’s, Kingston.</w:t>
      </w:r>
    </w:p>
    <w:p w:rsidR="00B93198" w:rsidRDefault="00B93198" w:rsidP="00B93198">
      <w:pPr>
        <w:pStyle w:val="SCCLawFirm"/>
        <w:spacing w:line="240" w:lineRule="auto"/>
        <w:rPr>
          <w:sz w:val="20"/>
          <w:lang w:val="fr-CA"/>
        </w:rPr>
      </w:pPr>
    </w:p>
    <w:p w:rsidR="00B93198" w:rsidRPr="001C3CE3" w:rsidRDefault="00B93198" w:rsidP="00B93198">
      <w:pPr>
        <w:pStyle w:val="SCCLawFirm"/>
        <w:spacing w:line="240" w:lineRule="auto"/>
        <w:rPr>
          <w:sz w:val="20"/>
          <w:lang w:val="fr-CA"/>
        </w:rPr>
      </w:pPr>
      <w:r w:rsidRPr="001C3CE3">
        <w:rPr>
          <w:sz w:val="20"/>
          <w:lang w:val="fr-CA"/>
        </w:rPr>
        <w:tab/>
        <w:t>Procureurs de l’intervenante l’Association canadienne des libertés civiles : Gowling Lafleur Henderson, Ottawa.</w:t>
      </w:r>
    </w:p>
    <w:p w:rsidR="00B93198" w:rsidRDefault="00B93198" w:rsidP="00B93198">
      <w:pPr>
        <w:pStyle w:val="SCCLawFirm"/>
        <w:spacing w:line="240" w:lineRule="auto"/>
        <w:rPr>
          <w:sz w:val="20"/>
          <w:lang w:val="fr-CA"/>
        </w:rPr>
      </w:pPr>
    </w:p>
    <w:p w:rsidR="00B93198" w:rsidRDefault="00B93198" w:rsidP="00B93198">
      <w:pPr>
        <w:pStyle w:val="SCCLawFirm"/>
        <w:spacing w:line="240" w:lineRule="auto"/>
        <w:rPr>
          <w:sz w:val="20"/>
          <w:lang w:val="fr-CA"/>
        </w:rPr>
      </w:pPr>
      <w:r w:rsidRPr="001C3CE3">
        <w:rPr>
          <w:sz w:val="20"/>
          <w:lang w:val="fr-CA"/>
        </w:rPr>
        <w:tab/>
        <w:t>Procureur de l’intervenante l’Association des libertés civiles de la Colombie</w:t>
      </w:r>
      <w:r w:rsidRPr="001C3CE3">
        <w:rPr>
          <w:sz w:val="20"/>
          <w:lang w:val="fr-CA"/>
        </w:rPr>
        <w:noBreakHyphen/>
        <w:t>Britannique : Université de la Colombie</w:t>
      </w:r>
      <w:r w:rsidRPr="001C3CE3">
        <w:rPr>
          <w:sz w:val="20"/>
          <w:lang w:val="fr-CA"/>
        </w:rPr>
        <w:noBreakHyphen/>
        <w:t>Britannique, Vancouver.</w:t>
      </w:r>
    </w:p>
    <w:p w:rsidR="003B3977" w:rsidRDefault="003B3977" w:rsidP="005C6840">
      <w:pPr>
        <w:rPr>
          <w:rFonts w:cs="Times New Roman"/>
          <w:sz w:val="20"/>
          <w:szCs w:val="20"/>
          <w:lang w:val="fr-CA"/>
        </w:rPr>
      </w:pPr>
    </w:p>
    <w:p w:rsidR="005C6840" w:rsidRDefault="004F01F8" w:rsidP="005C6840">
      <w:pPr>
        <w:rPr>
          <w:lang w:val="fr-CA"/>
        </w:rPr>
      </w:pPr>
      <w:r>
        <w:rPr>
          <w:rFonts w:cs="Times New Roman"/>
          <w:sz w:val="20"/>
          <w:szCs w:val="20"/>
          <w:lang w:val="fr-CA"/>
        </w:rPr>
        <w:pict>
          <v:rect id="_x0000_i1080" style="width:144.3pt;height:1pt" o:hrpct="300" o:hralign="center" o:hrstd="t" o:hrnoshade="t" o:hr="t" fillcolor="black [3213]" stroked="f"/>
        </w:pict>
      </w:r>
      <w:r w:rsidR="005C6840">
        <w:rPr>
          <w:lang w:val="fr-CA"/>
        </w:rPr>
        <w:br w:type="page"/>
      </w:r>
    </w:p>
    <w:p w:rsidR="00C97074" w:rsidRPr="007F48E8" w:rsidRDefault="00C97074" w:rsidP="00C97074">
      <w:pPr>
        <w:ind w:left="720" w:hanging="720"/>
        <w:rPr>
          <w:sz w:val="20"/>
          <w:szCs w:val="20"/>
        </w:rPr>
      </w:pPr>
      <w:r w:rsidRPr="007F48E8">
        <w:rPr>
          <w:i/>
          <w:sz w:val="20"/>
          <w:szCs w:val="20"/>
          <w:lang w:val="en-GB"/>
        </w:rPr>
        <w:lastRenderedPageBreak/>
        <w:t>Douglas Martin v. Workers</w:t>
      </w:r>
      <w:r w:rsidR="006B64F9">
        <w:rPr>
          <w:i/>
          <w:sz w:val="20"/>
          <w:szCs w:val="20"/>
          <w:lang w:val="en-GB"/>
        </w:rPr>
        <w:t>’</w:t>
      </w:r>
      <w:r w:rsidRPr="007F48E8">
        <w:rPr>
          <w:i/>
          <w:sz w:val="20"/>
          <w:szCs w:val="20"/>
          <w:lang w:val="en-GB"/>
        </w:rPr>
        <w:t xml:space="preserve"> Compensation Board of Alberta et al.</w:t>
      </w:r>
      <w:r w:rsidRPr="007F48E8">
        <w:rPr>
          <w:sz w:val="20"/>
          <w:szCs w:val="20"/>
          <w:lang w:val="en-GB"/>
        </w:rPr>
        <w:t xml:space="preserve"> (Alta.) (</w:t>
      </w:r>
      <w:hyperlink r:id="rId84" w:history="1">
        <w:r w:rsidRPr="007F48E8">
          <w:rPr>
            <w:rStyle w:val="Hyperlink"/>
            <w:sz w:val="20"/>
            <w:szCs w:val="20"/>
            <w:lang w:val="en-GB"/>
          </w:rPr>
          <w:t>35052</w:t>
        </w:r>
      </w:hyperlink>
      <w:r w:rsidRPr="007F48E8">
        <w:rPr>
          <w:sz w:val="20"/>
          <w:szCs w:val="20"/>
          <w:lang w:val="en-GB"/>
        </w:rPr>
        <w:t>)</w:t>
      </w:r>
    </w:p>
    <w:p w:rsidR="00F54716" w:rsidRDefault="00F54716" w:rsidP="00F54716">
      <w:pPr>
        <w:jc w:val="both"/>
        <w:rPr>
          <w:b/>
          <w:sz w:val="20"/>
          <w:szCs w:val="20"/>
        </w:rPr>
      </w:pPr>
      <w:r w:rsidRPr="00337645">
        <w:rPr>
          <w:b/>
          <w:sz w:val="20"/>
          <w:szCs w:val="20"/>
        </w:rPr>
        <w:t xml:space="preserve">Indexed as:  Martin </w:t>
      </w:r>
      <w:r w:rsidRPr="00337645">
        <w:rPr>
          <w:b/>
          <w:i/>
          <w:sz w:val="20"/>
          <w:szCs w:val="20"/>
        </w:rPr>
        <w:t>v.</w:t>
      </w:r>
      <w:r w:rsidRPr="00337645">
        <w:rPr>
          <w:b/>
          <w:sz w:val="20"/>
          <w:szCs w:val="20"/>
        </w:rPr>
        <w:t xml:space="preserve"> Alberta (Workers’ Compensation</w:t>
      </w:r>
      <w:r>
        <w:rPr>
          <w:b/>
          <w:sz w:val="20"/>
          <w:szCs w:val="20"/>
        </w:rPr>
        <w:t xml:space="preserve"> / </w:t>
      </w:r>
    </w:p>
    <w:p w:rsidR="00F54716" w:rsidRPr="006665E6" w:rsidRDefault="00F54716" w:rsidP="00F54716">
      <w:pPr>
        <w:jc w:val="both"/>
        <w:rPr>
          <w:sz w:val="20"/>
          <w:szCs w:val="20"/>
          <w:lang w:val="en-US"/>
        </w:rPr>
      </w:pPr>
      <w:r w:rsidRPr="006665E6">
        <w:rPr>
          <w:b/>
          <w:sz w:val="20"/>
          <w:szCs w:val="20"/>
          <w:lang w:val="en-US"/>
        </w:rPr>
        <w:t xml:space="preserve">Répertorié : Martin </w:t>
      </w:r>
      <w:r w:rsidRPr="006665E6">
        <w:rPr>
          <w:b/>
          <w:i/>
          <w:sz w:val="20"/>
          <w:szCs w:val="20"/>
          <w:lang w:val="en-US"/>
        </w:rPr>
        <w:t>c.</w:t>
      </w:r>
      <w:r w:rsidRPr="006665E6">
        <w:rPr>
          <w:b/>
          <w:sz w:val="20"/>
          <w:szCs w:val="20"/>
          <w:lang w:val="en-US"/>
        </w:rPr>
        <w:t xml:space="preserve"> Alberta (Workers’ Compensation Board)</w:t>
      </w:r>
    </w:p>
    <w:p w:rsidR="00902E51" w:rsidRPr="00352A49" w:rsidRDefault="00902E51" w:rsidP="00902E51">
      <w:pPr>
        <w:pStyle w:val="SCCSystemYear"/>
        <w:jc w:val="both"/>
        <w:rPr>
          <w:sz w:val="20"/>
        </w:rPr>
      </w:pPr>
      <w:r w:rsidRPr="00352A49">
        <w:rPr>
          <w:sz w:val="20"/>
        </w:rPr>
        <w:t>Neutral citation:  201</w:t>
      </w:r>
      <w:r w:rsidR="00C97074">
        <w:rPr>
          <w:sz w:val="20"/>
        </w:rPr>
        <w:t>4</w:t>
      </w:r>
      <w:r w:rsidRPr="00352A49">
        <w:rPr>
          <w:sz w:val="20"/>
        </w:rPr>
        <w:t xml:space="preserve"> SCC </w:t>
      </w:r>
      <w:r w:rsidR="00F54716">
        <w:rPr>
          <w:sz w:val="20"/>
        </w:rPr>
        <w:t>25</w:t>
      </w:r>
      <w:r w:rsidRPr="00352A49">
        <w:rPr>
          <w:sz w:val="20"/>
        </w:rPr>
        <w:t xml:space="preserve"> / Référence neutre : 201</w:t>
      </w:r>
      <w:r w:rsidR="00C97074">
        <w:rPr>
          <w:sz w:val="20"/>
        </w:rPr>
        <w:t>4</w:t>
      </w:r>
      <w:r w:rsidRPr="00352A49">
        <w:rPr>
          <w:sz w:val="20"/>
        </w:rPr>
        <w:t xml:space="preserve"> CSC </w:t>
      </w:r>
      <w:r w:rsidR="00F54716">
        <w:rPr>
          <w:sz w:val="20"/>
        </w:rPr>
        <w:t>25</w:t>
      </w:r>
    </w:p>
    <w:p w:rsidR="00902E51" w:rsidRPr="00352A49" w:rsidRDefault="00902E51" w:rsidP="00902E51">
      <w:pPr>
        <w:rPr>
          <w:sz w:val="20"/>
          <w:szCs w:val="20"/>
          <w:lang w:val="fr-CA"/>
        </w:rPr>
      </w:pPr>
      <w:r w:rsidRPr="00352A49">
        <w:rPr>
          <w:sz w:val="20"/>
          <w:szCs w:val="20"/>
          <w:lang w:val="fr-CA"/>
        </w:rPr>
        <w:t xml:space="preserve">Hearing:  </w:t>
      </w:r>
      <w:r w:rsidR="00F54716">
        <w:rPr>
          <w:sz w:val="20"/>
          <w:szCs w:val="20"/>
          <w:lang w:val="fr-CA"/>
        </w:rPr>
        <w:t>Decembe</w:t>
      </w:r>
      <w:r w:rsidRPr="00352A49">
        <w:rPr>
          <w:sz w:val="20"/>
          <w:szCs w:val="20"/>
          <w:lang w:val="fr-CA"/>
        </w:rPr>
        <w:t xml:space="preserve">r </w:t>
      </w:r>
      <w:r w:rsidR="00F54716">
        <w:rPr>
          <w:sz w:val="20"/>
          <w:szCs w:val="20"/>
          <w:lang w:val="fr-CA"/>
        </w:rPr>
        <w:t>10</w:t>
      </w:r>
      <w:r w:rsidRPr="00352A49">
        <w:rPr>
          <w:sz w:val="20"/>
          <w:szCs w:val="20"/>
          <w:lang w:val="fr-CA"/>
        </w:rPr>
        <w:t>, 2013 / Judgment:  Ma</w:t>
      </w:r>
      <w:r w:rsidR="00C97074">
        <w:rPr>
          <w:sz w:val="20"/>
          <w:szCs w:val="20"/>
          <w:lang w:val="fr-CA"/>
        </w:rPr>
        <w:t>rch</w:t>
      </w:r>
      <w:r w:rsidRPr="00352A49">
        <w:rPr>
          <w:sz w:val="20"/>
          <w:szCs w:val="20"/>
          <w:lang w:val="fr-CA"/>
        </w:rPr>
        <w:t xml:space="preserve"> </w:t>
      </w:r>
      <w:r w:rsidR="00C97074">
        <w:rPr>
          <w:sz w:val="20"/>
          <w:szCs w:val="20"/>
          <w:lang w:val="fr-CA"/>
        </w:rPr>
        <w:t>28</w:t>
      </w:r>
      <w:r w:rsidRPr="00352A49">
        <w:rPr>
          <w:sz w:val="20"/>
          <w:szCs w:val="20"/>
          <w:lang w:val="fr-CA"/>
        </w:rPr>
        <w:t>, 201</w:t>
      </w:r>
      <w:r w:rsidR="00C97074">
        <w:rPr>
          <w:sz w:val="20"/>
          <w:szCs w:val="20"/>
          <w:lang w:val="fr-CA"/>
        </w:rPr>
        <w:t>4</w:t>
      </w:r>
    </w:p>
    <w:p w:rsidR="00902E51" w:rsidRPr="003B3977" w:rsidRDefault="00902E51" w:rsidP="00902E51">
      <w:pPr>
        <w:rPr>
          <w:sz w:val="20"/>
          <w:szCs w:val="20"/>
          <w:lang w:val="fr-CA"/>
        </w:rPr>
      </w:pPr>
      <w:r w:rsidRPr="003B3977">
        <w:rPr>
          <w:sz w:val="20"/>
          <w:szCs w:val="20"/>
          <w:lang w:val="fr-CA"/>
        </w:rPr>
        <w:t xml:space="preserve">Audition : Le </w:t>
      </w:r>
      <w:r w:rsidR="00F54716">
        <w:rPr>
          <w:sz w:val="20"/>
          <w:szCs w:val="20"/>
          <w:lang w:val="fr-CA"/>
        </w:rPr>
        <w:t>10 déce</w:t>
      </w:r>
      <w:r w:rsidRPr="003B3977">
        <w:rPr>
          <w:sz w:val="20"/>
          <w:szCs w:val="20"/>
          <w:lang w:val="fr-CA"/>
        </w:rPr>
        <w:t>m</w:t>
      </w:r>
      <w:r w:rsidR="00F54716">
        <w:rPr>
          <w:sz w:val="20"/>
          <w:szCs w:val="20"/>
          <w:lang w:val="fr-CA"/>
        </w:rPr>
        <w:t>b</w:t>
      </w:r>
      <w:r>
        <w:rPr>
          <w:sz w:val="20"/>
          <w:szCs w:val="20"/>
          <w:lang w:val="fr-CA"/>
        </w:rPr>
        <w:t>r</w:t>
      </w:r>
      <w:r w:rsidR="00F54716">
        <w:rPr>
          <w:sz w:val="20"/>
          <w:szCs w:val="20"/>
          <w:lang w:val="fr-CA"/>
        </w:rPr>
        <w:t>e</w:t>
      </w:r>
      <w:r w:rsidRPr="003B3977">
        <w:rPr>
          <w:sz w:val="20"/>
          <w:szCs w:val="20"/>
          <w:lang w:val="fr-CA"/>
        </w:rPr>
        <w:t xml:space="preserve"> 201</w:t>
      </w:r>
      <w:r>
        <w:rPr>
          <w:sz w:val="20"/>
          <w:szCs w:val="20"/>
          <w:lang w:val="fr-CA"/>
        </w:rPr>
        <w:t>3</w:t>
      </w:r>
      <w:r w:rsidRPr="003B3977">
        <w:rPr>
          <w:sz w:val="20"/>
          <w:szCs w:val="20"/>
          <w:lang w:val="fr-CA"/>
        </w:rPr>
        <w:t xml:space="preserve"> / Jugement : Le </w:t>
      </w:r>
      <w:r w:rsidR="00C97074">
        <w:rPr>
          <w:sz w:val="20"/>
          <w:szCs w:val="20"/>
          <w:lang w:val="fr-CA"/>
        </w:rPr>
        <w:t xml:space="preserve">28 </w:t>
      </w:r>
      <w:r>
        <w:rPr>
          <w:sz w:val="20"/>
          <w:szCs w:val="20"/>
          <w:lang w:val="fr-CA"/>
        </w:rPr>
        <w:t>ma</w:t>
      </w:r>
      <w:r w:rsidR="00C97074">
        <w:rPr>
          <w:sz w:val="20"/>
          <w:szCs w:val="20"/>
          <w:lang w:val="fr-CA"/>
        </w:rPr>
        <w:t>rs</w:t>
      </w:r>
      <w:r w:rsidRPr="003B3977">
        <w:rPr>
          <w:sz w:val="20"/>
          <w:szCs w:val="20"/>
          <w:lang w:val="fr-CA"/>
        </w:rPr>
        <w:t xml:space="preserve"> 201</w:t>
      </w:r>
      <w:r w:rsidR="00C97074">
        <w:rPr>
          <w:sz w:val="20"/>
          <w:szCs w:val="20"/>
          <w:lang w:val="fr-CA"/>
        </w:rPr>
        <w:t>4</w:t>
      </w:r>
    </w:p>
    <w:p w:rsidR="005C6840" w:rsidRPr="003B3977" w:rsidRDefault="004F01F8" w:rsidP="005C6840">
      <w:pPr>
        <w:rPr>
          <w:sz w:val="20"/>
          <w:szCs w:val="20"/>
          <w:lang w:val="fr-CA"/>
        </w:rPr>
      </w:pPr>
      <w:r>
        <w:rPr>
          <w:i/>
          <w:sz w:val="20"/>
          <w:szCs w:val="20"/>
        </w:rPr>
        <w:pict>
          <v:rect id="_x0000_i1081"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F54716" w:rsidRPr="00337645" w:rsidRDefault="00F54716" w:rsidP="00F54716">
      <w:pPr>
        <w:jc w:val="both"/>
        <w:rPr>
          <w:sz w:val="20"/>
          <w:szCs w:val="20"/>
        </w:rPr>
      </w:pPr>
      <w:r w:rsidRPr="00337645">
        <w:rPr>
          <w:sz w:val="20"/>
          <w:szCs w:val="20"/>
        </w:rPr>
        <w:t>Present:  McLachlin C.J. and LeBel, Abella, Rothstein, Cromwell, Karakatsanis and Wagner JJ.</w:t>
      </w:r>
    </w:p>
    <w:p w:rsidR="00F54716" w:rsidRDefault="00F54716" w:rsidP="00F54716">
      <w:pPr>
        <w:pStyle w:val="SCCNormalDoubleSpacing"/>
        <w:spacing w:line="240" w:lineRule="auto"/>
        <w:rPr>
          <w:sz w:val="20"/>
        </w:rPr>
      </w:pPr>
    </w:p>
    <w:p w:rsidR="00F54716" w:rsidRPr="00337645" w:rsidRDefault="00F54716" w:rsidP="00F54716">
      <w:pPr>
        <w:pStyle w:val="SCCNormalDoubleSpacing"/>
        <w:spacing w:line="240" w:lineRule="auto"/>
        <w:rPr>
          <w:i/>
          <w:sz w:val="20"/>
        </w:rPr>
      </w:pPr>
      <w:r w:rsidRPr="00337645">
        <w:rPr>
          <w:sz w:val="20"/>
        </w:rPr>
        <w:tab/>
      </w:r>
      <w:r w:rsidRPr="00337645">
        <w:rPr>
          <w:i/>
          <w:sz w:val="20"/>
        </w:rPr>
        <w:t>Workers’ compensation — Entitlement to compensation —Worker claiming compensation due to chronic onset stress — Provincial policy imposing criteria for eligibility for compensation on chronic onset stress claims — Whether provincial policy applies in determining eligibility under Government Employees Compensation Act — Whether provincial policy conflicts with Government Employees Compensation Act — Whether denial of claim was reasonable — Government Employees Compensation Act, R.S.C. 1985, c. G</w:t>
      </w:r>
      <w:r w:rsidRPr="00337645">
        <w:rPr>
          <w:i/>
          <w:sz w:val="20"/>
        </w:rPr>
        <w:noBreakHyphen/>
        <w:t>5, ss. 2 and 4 — Workers’ Compensation Act, R.S.A. 2000, c. W</w:t>
      </w:r>
      <w:r w:rsidRPr="00337645">
        <w:rPr>
          <w:i/>
          <w:sz w:val="20"/>
        </w:rPr>
        <w:noBreakHyphen/>
        <w:t>15, s. 1 — Workers’ Compensation Board of Directors’ Policy 03</w:t>
      </w:r>
      <w:r w:rsidRPr="00337645">
        <w:rPr>
          <w:i/>
          <w:sz w:val="20"/>
        </w:rPr>
        <w:noBreakHyphen/>
        <w:t>01, Part II, Application 6.</w:t>
      </w:r>
    </w:p>
    <w:p w:rsidR="00F54716" w:rsidRDefault="00F54716" w:rsidP="00F54716">
      <w:pPr>
        <w:pStyle w:val="SCCNormalDoubleSpacing"/>
        <w:spacing w:line="240" w:lineRule="auto"/>
        <w:rPr>
          <w:sz w:val="20"/>
        </w:rPr>
      </w:pPr>
    </w:p>
    <w:p w:rsidR="00F54716" w:rsidRPr="00337645" w:rsidRDefault="00F54716" w:rsidP="00F54716">
      <w:pPr>
        <w:pStyle w:val="SCCNormalDoubleSpacing"/>
        <w:spacing w:line="240" w:lineRule="auto"/>
        <w:rPr>
          <w:sz w:val="20"/>
          <w:lang w:val="en-US"/>
        </w:rPr>
      </w:pPr>
      <w:r w:rsidRPr="00337645">
        <w:rPr>
          <w:sz w:val="20"/>
        </w:rPr>
        <w:tab/>
        <w:t>M, an employee of Parks Canada, was notified that disciplinary action would result if he did not provide an adequate response to a request filed under access to information legislation.  M alleged that this letter, following the stress of years of conflict over another workplace issue, triggered a psychological condition.  He initiated a claim for compensation for chronic onset stress</w:t>
      </w:r>
      <w:r w:rsidRPr="00337645">
        <w:rPr>
          <w:sz w:val="20"/>
          <w:lang w:val="en-US"/>
        </w:rPr>
        <w:t>.</w:t>
      </w:r>
    </w:p>
    <w:p w:rsidR="00F54716" w:rsidRDefault="00F54716" w:rsidP="00F54716">
      <w:pPr>
        <w:pStyle w:val="SCCNormalDoubleSpacing"/>
        <w:spacing w:line="240" w:lineRule="auto"/>
        <w:rPr>
          <w:sz w:val="20"/>
          <w:lang w:val="en-US"/>
        </w:rPr>
      </w:pPr>
    </w:p>
    <w:p w:rsidR="00F54716" w:rsidRPr="00337645" w:rsidRDefault="00F54716" w:rsidP="00F54716">
      <w:pPr>
        <w:pStyle w:val="SCCNormalDoubleSpacing"/>
        <w:spacing w:line="240" w:lineRule="auto"/>
        <w:rPr>
          <w:sz w:val="20"/>
        </w:rPr>
      </w:pPr>
      <w:r w:rsidRPr="00337645">
        <w:rPr>
          <w:sz w:val="20"/>
          <w:lang w:val="en-US"/>
        </w:rPr>
        <w:tab/>
      </w:r>
      <w:r w:rsidRPr="00337645">
        <w:rPr>
          <w:sz w:val="20"/>
        </w:rPr>
        <w:t xml:space="preserve">Under s. 4 of the </w:t>
      </w:r>
      <w:r w:rsidRPr="00337645">
        <w:rPr>
          <w:i/>
          <w:sz w:val="20"/>
        </w:rPr>
        <w:t>Government Employees Compensation Act</w:t>
      </w:r>
      <w:r w:rsidRPr="00337645">
        <w:rPr>
          <w:sz w:val="20"/>
        </w:rPr>
        <w:t>, R.S.C., 1985, c. G</w:t>
      </w:r>
      <w:r w:rsidRPr="00337645">
        <w:rPr>
          <w:sz w:val="20"/>
        </w:rPr>
        <w:noBreakHyphen/>
        <w:t>5 (</w:t>
      </w:r>
      <w:r w:rsidRPr="00337645">
        <w:rPr>
          <w:i/>
          <w:sz w:val="20"/>
        </w:rPr>
        <w:t>GECA</w:t>
      </w:r>
      <w:r w:rsidRPr="00337645">
        <w:rPr>
          <w:sz w:val="20"/>
        </w:rPr>
        <w:t xml:space="preserve">), federal workers who suffer workplace injuries are entitled to compensation at the same rate and under the same conditions as provided under the provincial law where the employee is usually employed, and compensation is determined by the same board, officers or authority as determine compensation under provincial law.  The </w:t>
      </w:r>
      <w:r w:rsidRPr="00337645">
        <w:rPr>
          <w:i/>
          <w:sz w:val="20"/>
        </w:rPr>
        <w:t>GECA</w:t>
      </w:r>
      <w:r w:rsidRPr="00337645">
        <w:rPr>
          <w:sz w:val="20"/>
        </w:rPr>
        <w:t xml:space="preserve"> and the </w:t>
      </w:r>
      <w:r w:rsidRPr="00337645">
        <w:rPr>
          <w:i/>
          <w:sz w:val="20"/>
        </w:rPr>
        <w:t>Workers’ Compensation Act</w:t>
      </w:r>
      <w:r w:rsidRPr="00337645">
        <w:rPr>
          <w:sz w:val="20"/>
        </w:rPr>
        <w:t>, R.S.A. 2000, c. W</w:t>
      </w:r>
      <w:r w:rsidRPr="00337645">
        <w:rPr>
          <w:sz w:val="20"/>
        </w:rPr>
        <w:noBreakHyphen/>
        <w:t>15 (</w:t>
      </w:r>
      <w:r w:rsidRPr="00337645">
        <w:rPr>
          <w:i/>
          <w:sz w:val="20"/>
        </w:rPr>
        <w:t>WCA</w:t>
      </w:r>
      <w:r w:rsidRPr="00337645">
        <w:rPr>
          <w:sz w:val="20"/>
        </w:rPr>
        <w:t xml:space="preserve">), both define “accident” as including </w:t>
      </w:r>
      <w:r w:rsidRPr="00337645">
        <w:rPr>
          <w:sz w:val="20"/>
          <w:lang w:val="en-US"/>
        </w:rPr>
        <w:t xml:space="preserve">a wilful and intentional act of someone other than the claimant and a fortuitous or chance event occasioned by a physical or natural cause.  </w:t>
      </w:r>
      <w:r w:rsidRPr="00337645">
        <w:rPr>
          <w:sz w:val="20"/>
        </w:rPr>
        <w:t>Alberta’s Workers’ Compensation Board of Directors’ Policy 03</w:t>
      </w:r>
      <w:r w:rsidRPr="00337645">
        <w:rPr>
          <w:sz w:val="20"/>
        </w:rPr>
        <w:noBreakHyphen/>
        <w:t xml:space="preserve">01, Part II, Application 6 (Policy) made under the </w:t>
      </w:r>
      <w:r w:rsidRPr="00337645">
        <w:rPr>
          <w:i/>
          <w:sz w:val="20"/>
        </w:rPr>
        <w:t>WCA</w:t>
      </w:r>
      <w:r w:rsidRPr="00337645">
        <w:rPr>
          <w:sz w:val="20"/>
        </w:rPr>
        <w:t xml:space="preserve"> identifies four criteria which must be met in order to establish eligibility for compensation for chronic onset stress.  The third and fourth criteria require that the work</w:t>
      </w:r>
      <w:r w:rsidRPr="00337645">
        <w:rPr>
          <w:sz w:val="20"/>
        </w:rPr>
        <w:noBreakHyphen/>
        <w:t>related events are excessive or unusual in comparison to the normal pressures and tensions experienced by the average worker in a similar occupation and that there is objective confirmation of the events.</w:t>
      </w:r>
    </w:p>
    <w:p w:rsidR="00F54716" w:rsidRDefault="00F54716" w:rsidP="00F54716">
      <w:pPr>
        <w:pStyle w:val="SCCNormalDoubleSpacing"/>
        <w:spacing w:line="240" w:lineRule="auto"/>
        <w:rPr>
          <w:sz w:val="20"/>
        </w:rPr>
      </w:pPr>
    </w:p>
    <w:p w:rsidR="00F54716" w:rsidRPr="00337645" w:rsidRDefault="00F54716" w:rsidP="00F54716">
      <w:pPr>
        <w:pStyle w:val="SCCNormalDoubleSpacing"/>
        <w:spacing w:line="240" w:lineRule="auto"/>
        <w:rPr>
          <w:sz w:val="20"/>
        </w:rPr>
      </w:pPr>
      <w:r w:rsidRPr="00337645">
        <w:rPr>
          <w:sz w:val="20"/>
        </w:rPr>
        <w:tab/>
        <w:t xml:space="preserve">M’s claim was denied by the Alberta Workers’ Compensation Board, the Dispute Resolution and Decision Review Body, and the Appeals Commission for the Alberta Workers’ Compensation Board (Commission) on the basis that it did not meet the third and fourth criteria set out in the Policy.  On judicial review, the Alberta Court of Queen’s Bench concluded that s. 4(1) of the </w:t>
      </w:r>
      <w:r w:rsidRPr="00337645">
        <w:rPr>
          <w:i/>
          <w:sz w:val="20"/>
        </w:rPr>
        <w:t>GECA</w:t>
      </w:r>
      <w:r w:rsidRPr="00337645">
        <w:rPr>
          <w:sz w:val="20"/>
        </w:rPr>
        <w:t xml:space="preserve"> set out a complete eligibility test for federal workers and the provincial Policy</w:t>
      </w:r>
      <w:r w:rsidRPr="00337645">
        <w:rPr>
          <w:i/>
          <w:sz w:val="20"/>
        </w:rPr>
        <w:t xml:space="preserve"> </w:t>
      </w:r>
      <w:r w:rsidRPr="00337645">
        <w:rPr>
          <w:sz w:val="20"/>
        </w:rPr>
        <w:t xml:space="preserve">did not apply.  The matter was returned to the Commission to be determined solely by the </w:t>
      </w:r>
      <w:r w:rsidRPr="00337645">
        <w:rPr>
          <w:i/>
          <w:sz w:val="20"/>
        </w:rPr>
        <w:t>GECA</w:t>
      </w:r>
      <w:r w:rsidRPr="00337645">
        <w:rPr>
          <w:sz w:val="20"/>
        </w:rPr>
        <w:t>.  The Alberta Court of Appeal restored the Commission’s decision, finding that the provincial Policy did apply.</w:t>
      </w:r>
    </w:p>
    <w:p w:rsidR="00F54716" w:rsidRDefault="00F54716" w:rsidP="00F54716">
      <w:pPr>
        <w:pStyle w:val="SCCNormalDoubleSpacing"/>
        <w:spacing w:line="240" w:lineRule="auto"/>
        <w:rPr>
          <w:sz w:val="20"/>
        </w:rPr>
      </w:pPr>
    </w:p>
    <w:p w:rsidR="00F54716" w:rsidRPr="00337645" w:rsidRDefault="00F54716" w:rsidP="00F54716">
      <w:pPr>
        <w:pStyle w:val="SCCNormalDoubleSpacing"/>
        <w:spacing w:line="240" w:lineRule="auto"/>
        <w:rPr>
          <w:sz w:val="20"/>
        </w:rPr>
      </w:pPr>
      <w:r w:rsidRPr="00337645">
        <w:rPr>
          <w:sz w:val="20"/>
        </w:rPr>
        <w:tab/>
      </w:r>
      <w:r w:rsidRPr="00337645">
        <w:rPr>
          <w:i/>
          <w:sz w:val="20"/>
        </w:rPr>
        <w:t>Held</w:t>
      </w:r>
      <w:r w:rsidRPr="00337645">
        <w:rPr>
          <w:sz w:val="20"/>
        </w:rPr>
        <w:t>:  The appeal should be dismissed.</w:t>
      </w:r>
    </w:p>
    <w:p w:rsidR="00F54716" w:rsidRDefault="00F54716" w:rsidP="00F54716">
      <w:pPr>
        <w:pStyle w:val="SCCNormalDoubleSpacing"/>
        <w:spacing w:line="240" w:lineRule="auto"/>
        <w:rPr>
          <w:sz w:val="20"/>
        </w:rPr>
      </w:pPr>
    </w:p>
    <w:p w:rsidR="00F54716" w:rsidRPr="00337645" w:rsidRDefault="00F54716" w:rsidP="00F54716">
      <w:pPr>
        <w:pStyle w:val="SCCNormalDoubleSpacing"/>
        <w:spacing w:line="240" w:lineRule="auto"/>
        <w:rPr>
          <w:sz w:val="20"/>
        </w:rPr>
      </w:pPr>
      <w:r w:rsidRPr="00337645">
        <w:rPr>
          <w:sz w:val="20"/>
        </w:rPr>
        <w:tab/>
        <w:t xml:space="preserve">In enacting the </w:t>
      </w:r>
      <w:r w:rsidRPr="00337645">
        <w:rPr>
          <w:i/>
          <w:sz w:val="20"/>
        </w:rPr>
        <w:t>GECA</w:t>
      </w:r>
      <w:r w:rsidRPr="00337645">
        <w:rPr>
          <w:sz w:val="20"/>
        </w:rPr>
        <w:t xml:space="preserve">, Parliament intended that provincial boards and authorities would adjudicate the workers’ compensation claims of federal government employees — including both entitlement to and rates of compensation — according to provincial law, except where the </w:t>
      </w:r>
      <w:r w:rsidRPr="00337645">
        <w:rPr>
          <w:i/>
          <w:sz w:val="20"/>
        </w:rPr>
        <w:t>GECA</w:t>
      </w:r>
      <w:r w:rsidRPr="00337645">
        <w:rPr>
          <w:sz w:val="20"/>
        </w:rPr>
        <w:t xml:space="preserve"> clearly conflicts with provincial legislation.  Where Parliament intended to impose different conditions, it has done so expressly.  Where a direct conflict with the provincial law exists, the </w:t>
      </w:r>
      <w:r w:rsidRPr="00337645">
        <w:rPr>
          <w:i/>
          <w:sz w:val="20"/>
        </w:rPr>
        <w:t>GECA</w:t>
      </w:r>
      <w:r w:rsidRPr="00337645">
        <w:rPr>
          <w:sz w:val="20"/>
        </w:rPr>
        <w:t xml:space="preserve"> will prevail, rendering that aspect of the provincial law or policy inapplicable to federal workers.  This interpretation is supported by the text of s. 4, the scheme and history of the </w:t>
      </w:r>
      <w:r w:rsidRPr="00337645">
        <w:rPr>
          <w:i/>
          <w:sz w:val="20"/>
        </w:rPr>
        <w:t>GECA</w:t>
      </w:r>
      <w:r w:rsidRPr="00337645">
        <w:rPr>
          <w:sz w:val="20"/>
        </w:rPr>
        <w:t>, and Parliament’s stated intentions.</w:t>
      </w:r>
    </w:p>
    <w:p w:rsidR="00F54716" w:rsidRDefault="00F54716" w:rsidP="00F54716">
      <w:pPr>
        <w:pStyle w:val="SCCNormalDoubleSpacing"/>
        <w:spacing w:line="240" w:lineRule="auto"/>
        <w:rPr>
          <w:sz w:val="20"/>
        </w:rPr>
      </w:pPr>
    </w:p>
    <w:p w:rsidR="00F54716" w:rsidRPr="00337645" w:rsidRDefault="00F54716" w:rsidP="00F54716">
      <w:pPr>
        <w:pStyle w:val="SCCNormalDoubleSpacing"/>
        <w:spacing w:line="240" w:lineRule="auto"/>
        <w:rPr>
          <w:sz w:val="20"/>
        </w:rPr>
      </w:pPr>
      <w:r w:rsidRPr="00337645">
        <w:rPr>
          <w:sz w:val="20"/>
        </w:rPr>
        <w:tab/>
        <w:t xml:space="preserve">In this case, the provincial Policy’s interpretation of “accident” in the context of psychological stress claims does not conflict with the </w:t>
      </w:r>
      <w:r w:rsidRPr="00337645">
        <w:rPr>
          <w:i/>
          <w:sz w:val="20"/>
        </w:rPr>
        <w:t>GECA</w:t>
      </w:r>
      <w:r w:rsidRPr="00337645">
        <w:rPr>
          <w:sz w:val="20"/>
        </w:rPr>
        <w:t xml:space="preserve">. The </w:t>
      </w:r>
      <w:r w:rsidRPr="00337645">
        <w:rPr>
          <w:i/>
          <w:sz w:val="20"/>
        </w:rPr>
        <w:t>GECA</w:t>
      </w:r>
      <w:r w:rsidRPr="00337645">
        <w:rPr>
          <w:sz w:val="20"/>
        </w:rPr>
        <w:t xml:space="preserve">’s permissive and flexible definition of “accident” is consistent with Parliament’s intention to delegate the administration of workers’ compensation to the provincial agencies, and enables different provinces to define eligibility for compensation differently.  In determining whether a worker’s chronic onset </w:t>
      </w:r>
      <w:r w:rsidRPr="00337645">
        <w:rPr>
          <w:sz w:val="20"/>
        </w:rPr>
        <w:lastRenderedPageBreak/>
        <w:t xml:space="preserve">stress was caused by an accident arising out of and in the course of employment, it was not inconsistent with the </w:t>
      </w:r>
      <w:r w:rsidRPr="00337645">
        <w:rPr>
          <w:i/>
          <w:sz w:val="20"/>
        </w:rPr>
        <w:t>GECA</w:t>
      </w:r>
      <w:r w:rsidRPr="00337645">
        <w:rPr>
          <w:sz w:val="20"/>
        </w:rPr>
        <w:t xml:space="preserve"> or unreasonable for Alberta to require that the work</w:t>
      </w:r>
      <w:r w:rsidRPr="00337645">
        <w:rPr>
          <w:sz w:val="20"/>
        </w:rPr>
        <w:noBreakHyphen/>
        <w:t>related events are excessive or unusual in comparison to the normal pressures and tensions experienced by the average worker in a similar occupation and that there is objective confirmation of the events.  Those requirements reflect Alberta’s interpretation of “accident” in the context of psychological stress claims.</w:t>
      </w:r>
    </w:p>
    <w:p w:rsidR="00F54716" w:rsidRDefault="00F54716" w:rsidP="00F54716">
      <w:pPr>
        <w:pStyle w:val="SCCNormalDoubleSpacing"/>
        <w:spacing w:line="240" w:lineRule="auto"/>
        <w:rPr>
          <w:sz w:val="20"/>
        </w:rPr>
      </w:pPr>
    </w:p>
    <w:p w:rsidR="00F54716" w:rsidRDefault="00F54716" w:rsidP="00F54716">
      <w:pPr>
        <w:pStyle w:val="SCCNormalDoubleSpacing"/>
        <w:spacing w:line="240" w:lineRule="auto"/>
        <w:rPr>
          <w:sz w:val="20"/>
        </w:rPr>
      </w:pPr>
      <w:r w:rsidRPr="00337645">
        <w:rPr>
          <w:sz w:val="20"/>
        </w:rPr>
        <w:tab/>
        <w:t>The Commission’s decision to deny compensation in this case was reasonable.  It was open to the Commission to find that the predominant cause of M’s psychological injury was his reaction to a letter from his employer requesting compliance with an access to information request, and that such a request was not excessive or unusual in terms of normal pressures and tensions in a similar occupation.</w:t>
      </w:r>
    </w:p>
    <w:p w:rsidR="00F54716" w:rsidRDefault="00F54716" w:rsidP="00F54716">
      <w:pPr>
        <w:pStyle w:val="SCCNormalDoubleSpacing"/>
        <w:spacing w:line="240" w:lineRule="auto"/>
        <w:rPr>
          <w:sz w:val="20"/>
        </w:rPr>
      </w:pPr>
    </w:p>
    <w:p w:rsidR="00F54716" w:rsidRPr="00337645" w:rsidRDefault="00F54716" w:rsidP="00F54716">
      <w:pPr>
        <w:pStyle w:val="SCCNormalDoubleSpacing"/>
        <w:spacing w:line="240" w:lineRule="auto"/>
        <w:rPr>
          <w:sz w:val="20"/>
          <w:lang w:val="en-US"/>
        </w:rPr>
      </w:pPr>
      <w:r w:rsidRPr="00337645">
        <w:rPr>
          <w:sz w:val="20"/>
        </w:rPr>
        <w:tab/>
        <w:t>APPEAL from a judgment of the Alberta Court of Appeal (Fraser C.J. and Watson and McDonald JJ.A.), 2012 ABCA 248, 65 Alta. L.R. (5th) 220, 536 A.R. 121, 353 D.L.R. (4th) 499, [2012] 11 W.W.R. 1, 1 C.C.E.L. (4th) 193, [2012] A.J. No. 879, 2012 CarswellAlta 1444, allowing an appeal from a</w:t>
      </w:r>
      <w:r w:rsidRPr="00337645">
        <w:rPr>
          <w:sz w:val="20"/>
          <w:lang w:val="en-US"/>
        </w:rPr>
        <w:t xml:space="preserve"> decision of Ouellette J., 2010 CarswellAlta 2817,</w:t>
      </w:r>
      <w:r w:rsidRPr="00337645">
        <w:rPr>
          <w:sz w:val="20"/>
        </w:rPr>
        <w:t xml:space="preserve"> which set aside a decision of the Appeals Commission for Alberta Workers’ Compensation, 2009 CanLII 66292, and ordered a reconsideration.</w:t>
      </w:r>
      <w:r w:rsidRPr="00337645">
        <w:rPr>
          <w:sz w:val="20"/>
          <w:lang w:val="en-US"/>
        </w:rPr>
        <w:t xml:space="preserve">  Appeal dismissed.</w:t>
      </w:r>
    </w:p>
    <w:p w:rsidR="00F54716" w:rsidRDefault="00F54716" w:rsidP="00F54716">
      <w:pPr>
        <w:pStyle w:val="SCCNormalDoubleSpacing"/>
        <w:spacing w:line="240" w:lineRule="auto"/>
        <w:rPr>
          <w:i/>
          <w:sz w:val="20"/>
        </w:rPr>
      </w:pPr>
    </w:p>
    <w:p w:rsidR="00F54716" w:rsidRPr="00337645" w:rsidRDefault="00F54716" w:rsidP="00F54716">
      <w:pPr>
        <w:pStyle w:val="SCCNormalDoubleSpacing"/>
        <w:spacing w:line="240" w:lineRule="auto"/>
        <w:rPr>
          <w:sz w:val="20"/>
        </w:rPr>
      </w:pPr>
      <w:r w:rsidRPr="00337645">
        <w:rPr>
          <w:i/>
          <w:sz w:val="20"/>
        </w:rPr>
        <w:tab/>
        <w:t>Andrew Raven</w:t>
      </w:r>
      <w:r w:rsidRPr="00337645">
        <w:rPr>
          <w:sz w:val="20"/>
        </w:rPr>
        <w:t xml:space="preserve">, </w:t>
      </w:r>
      <w:r w:rsidRPr="00337645">
        <w:rPr>
          <w:i/>
          <w:sz w:val="20"/>
        </w:rPr>
        <w:t>Andrew Astritis</w:t>
      </w:r>
      <w:r w:rsidRPr="00337645">
        <w:rPr>
          <w:sz w:val="20"/>
        </w:rPr>
        <w:t xml:space="preserve"> and </w:t>
      </w:r>
      <w:r w:rsidRPr="00337645">
        <w:rPr>
          <w:i/>
          <w:sz w:val="20"/>
        </w:rPr>
        <w:t>Amanda Montague</w:t>
      </w:r>
      <w:r w:rsidRPr="00337645">
        <w:rPr>
          <w:i/>
          <w:sz w:val="20"/>
        </w:rPr>
        <w:noBreakHyphen/>
        <w:t>Reinholdt</w:t>
      </w:r>
      <w:r w:rsidRPr="00337645">
        <w:rPr>
          <w:sz w:val="20"/>
        </w:rPr>
        <w:t>, for the appellant.</w:t>
      </w:r>
    </w:p>
    <w:p w:rsidR="00F54716" w:rsidRDefault="00F54716" w:rsidP="00F54716">
      <w:pPr>
        <w:pStyle w:val="SCCNormalDoubleSpacing"/>
        <w:spacing w:line="240" w:lineRule="auto"/>
        <w:rPr>
          <w:i/>
          <w:sz w:val="20"/>
        </w:rPr>
      </w:pPr>
    </w:p>
    <w:p w:rsidR="00F54716" w:rsidRPr="00337645" w:rsidRDefault="00F54716" w:rsidP="00F54716">
      <w:pPr>
        <w:pStyle w:val="SCCNormalDoubleSpacing"/>
        <w:spacing w:line="240" w:lineRule="auto"/>
        <w:rPr>
          <w:sz w:val="20"/>
        </w:rPr>
      </w:pPr>
      <w:r w:rsidRPr="00337645">
        <w:rPr>
          <w:i/>
          <w:sz w:val="20"/>
        </w:rPr>
        <w:tab/>
        <w:t>Douglas R. Mah, Q.C.</w:t>
      </w:r>
      <w:r w:rsidRPr="00337645">
        <w:rPr>
          <w:sz w:val="20"/>
        </w:rPr>
        <w:t xml:space="preserve">, and </w:t>
      </w:r>
      <w:r w:rsidRPr="00337645">
        <w:rPr>
          <w:i/>
          <w:sz w:val="20"/>
        </w:rPr>
        <w:t>Ron Goltz</w:t>
      </w:r>
      <w:r w:rsidRPr="00337645">
        <w:rPr>
          <w:sz w:val="20"/>
        </w:rPr>
        <w:t>, for the respondent the Workers’ Compensation Board of Alberta.</w:t>
      </w:r>
    </w:p>
    <w:p w:rsidR="00F54716" w:rsidRDefault="00F54716" w:rsidP="00F54716">
      <w:pPr>
        <w:pStyle w:val="SCCNormalDoubleSpacing"/>
        <w:spacing w:line="240" w:lineRule="auto"/>
        <w:rPr>
          <w:i/>
          <w:sz w:val="20"/>
        </w:rPr>
      </w:pPr>
    </w:p>
    <w:p w:rsidR="00F54716" w:rsidRPr="00337645" w:rsidRDefault="00F54716" w:rsidP="00F54716">
      <w:pPr>
        <w:pStyle w:val="SCCNormalDoubleSpacing"/>
        <w:spacing w:line="240" w:lineRule="auto"/>
        <w:rPr>
          <w:sz w:val="20"/>
        </w:rPr>
      </w:pPr>
      <w:r w:rsidRPr="00337645">
        <w:rPr>
          <w:i/>
          <w:sz w:val="20"/>
        </w:rPr>
        <w:tab/>
        <w:t>Sandra Hermiston</w:t>
      </w:r>
      <w:r w:rsidRPr="00337645">
        <w:rPr>
          <w:sz w:val="20"/>
        </w:rPr>
        <w:t>, for the respondent the Appeals Commission for Alberta Workers’ Compensation.</w:t>
      </w:r>
    </w:p>
    <w:p w:rsidR="00F54716" w:rsidRDefault="00F54716" w:rsidP="00F54716">
      <w:pPr>
        <w:pStyle w:val="SCCNormalDoubleSpacing"/>
        <w:spacing w:line="240" w:lineRule="auto"/>
        <w:rPr>
          <w:i/>
          <w:sz w:val="20"/>
        </w:rPr>
      </w:pPr>
    </w:p>
    <w:p w:rsidR="00F54716" w:rsidRPr="00337645" w:rsidRDefault="00F54716" w:rsidP="00F54716">
      <w:pPr>
        <w:pStyle w:val="SCCNormalDoubleSpacing"/>
        <w:spacing w:line="240" w:lineRule="auto"/>
        <w:rPr>
          <w:sz w:val="20"/>
        </w:rPr>
      </w:pPr>
      <w:r w:rsidRPr="00337645">
        <w:rPr>
          <w:i/>
          <w:sz w:val="20"/>
        </w:rPr>
        <w:tab/>
        <w:t>John S. Tyhurst</w:t>
      </w:r>
      <w:r w:rsidRPr="00337645">
        <w:rPr>
          <w:sz w:val="20"/>
        </w:rPr>
        <w:t>, for the respondent the Attorney General of Canada.</w:t>
      </w:r>
    </w:p>
    <w:p w:rsidR="00F54716" w:rsidRDefault="00F54716" w:rsidP="00F54716">
      <w:pPr>
        <w:pStyle w:val="SCCNormalDoubleSpacing"/>
        <w:spacing w:line="240" w:lineRule="auto"/>
        <w:rPr>
          <w:i/>
          <w:sz w:val="20"/>
        </w:rPr>
      </w:pPr>
    </w:p>
    <w:p w:rsidR="00F54716" w:rsidRPr="00337645" w:rsidRDefault="00F54716" w:rsidP="00F54716">
      <w:pPr>
        <w:pStyle w:val="SCCNormalDoubleSpacing"/>
        <w:spacing w:line="240" w:lineRule="auto"/>
        <w:rPr>
          <w:sz w:val="20"/>
        </w:rPr>
      </w:pPr>
      <w:r w:rsidRPr="00337645">
        <w:rPr>
          <w:i/>
          <w:sz w:val="20"/>
        </w:rPr>
        <w:tab/>
        <w:t>Laurel M. Courtenay</w:t>
      </w:r>
      <w:r w:rsidRPr="00337645">
        <w:rPr>
          <w:sz w:val="20"/>
        </w:rPr>
        <w:t xml:space="preserve"> and </w:t>
      </w:r>
      <w:r w:rsidRPr="00337645">
        <w:rPr>
          <w:i/>
          <w:sz w:val="20"/>
        </w:rPr>
        <w:t>Scott A. Nielsen</w:t>
      </w:r>
      <w:r w:rsidRPr="00337645">
        <w:rPr>
          <w:sz w:val="20"/>
        </w:rPr>
        <w:t>, for the intervener the Workers’ Compensation Board of British Columbia.</w:t>
      </w:r>
    </w:p>
    <w:p w:rsidR="00F54716" w:rsidRDefault="00F54716" w:rsidP="00F54716">
      <w:pPr>
        <w:pStyle w:val="SCCNormalDoubleSpacing"/>
        <w:spacing w:line="240" w:lineRule="auto"/>
        <w:rPr>
          <w:i/>
          <w:sz w:val="20"/>
        </w:rPr>
      </w:pPr>
    </w:p>
    <w:p w:rsidR="00F54716" w:rsidRPr="00337645" w:rsidRDefault="00F54716" w:rsidP="00F54716">
      <w:pPr>
        <w:pStyle w:val="SCCNormalDoubleSpacing"/>
        <w:spacing w:line="240" w:lineRule="auto"/>
        <w:rPr>
          <w:sz w:val="20"/>
          <w:lang w:val="fr-CA"/>
        </w:rPr>
      </w:pPr>
      <w:r w:rsidRPr="00337645">
        <w:rPr>
          <w:i/>
          <w:sz w:val="20"/>
        </w:rPr>
        <w:tab/>
      </w:r>
      <w:r w:rsidRPr="00337645">
        <w:rPr>
          <w:i/>
          <w:sz w:val="20"/>
          <w:lang w:val="fr-CA"/>
        </w:rPr>
        <w:t>Pierre Michel Lajeunesse</w:t>
      </w:r>
      <w:r w:rsidRPr="00337645">
        <w:rPr>
          <w:sz w:val="20"/>
          <w:lang w:val="fr-CA"/>
        </w:rPr>
        <w:t xml:space="preserve"> and </w:t>
      </w:r>
      <w:r w:rsidRPr="00337645">
        <w:rPr>
          <w:i/>
          <w:sz w:val="20"/>
          <w:lang w:val="fr-CA"/>
        </w:rPr>
        <w:t>Lucille Giard</w:t>
      </w:r>
      <w:r w:rsidRPr="00337645">
        <w:rPr>
          <w:sz w:val="20"/>
          <w:lang w:val="fr-CA"/>
        </w:rPr>
        <w:t>, for the intervener Commission de la santé et de la sécurité du travail.</w:t>
      </w:r>
    </w:p>
    <w:p w:rsidR="00F54716" w:rsidRDefault="00F54716" w:rsidP="00F54716">
      <w:pPr>
        <w:pStyle w:val="SCCLawFirm"/>
        <w:spacing w:line="240" w:lineRule="auto"/>
        <w:rPr>
          <w:sz w:val="20"/>
          <w:lang w:val="fr-CA"/>
        </w:rPr>
      </w:pPr>
    </w:p>
    <w:p w:rsidR="00F54716" w:rsidRPr="00337645" w:rsidRDefault="00F54716" w:rsidP="00F54716">
      <w:pPr>
        <w:pStyle w:val="SCCLawFirm"/>
        <w:spacing w:line="240" w:lineRule="auto"/>
        <w:rPr>
          <w:sz w:val="20"/>
        </w:rPr>
      </w:pPr>
      <w:r w:rsidRPr="00337645">
        <w:rPr>
          <w:sz w:val="20"/>
          <w:lang w:val="fr-CA"/>
        </w:rPr>
        <w:tab/>
      </w:r>
      <w:r w:rsidRPr="00337645">
        <w:rPr>
          <w:sz w:val="20"/>
        </w:rPr>
        <w:t xml:space="preserve">Roderick (Rory) H. Rogers, Q.C., and Madeleine F. Hearns, for the intervener Workers’ Compensation Board of Nova Scotia. </w:t>
      </w:r>
    </w:p>
    <w:p w:rsidR="00F54716" w:rsidRDefault="00F54716" w:rsidP="00F54716">
      <w:pPr>
        <w:pStyle w:val="SCCLawFirm"/>
        <w:spacing w:line="240" w:lineRule="auto"/>
        <w:rPr>
          <w:sz w:val="20"/>
        </w:rPr>
      </w:pPr>
    </w:p>
    <w:p w:rsidR="00F54716" w:rsidRPr="00337645" w:rsidRDefault="00F54716" w:rsidP="00F54716">
      <w:pPr>
        <w:pStyle w:val="SCCLawFirm"/>
        <w:spacing w:line="240" w:lineRule="auto"/>
        <w:rPr>
          <w:sz w:val="20"/>
        </w:rPr>
      </w:pPr>
      <w:r w:rsidRPr="00337645">
        <w:rPr>
          <w:sz w:val="20"/>
        </w:rPr>
        <w:tab/>
        <w:t>Solicitors for the appellant:  Raven, Cameron, Ballantyne &amp; Yazbeck, Ottawa.</w:t>
      </w:r>
    </w:p>
    <w:p w:rsidR="00F54716" w:rsidRDefault="00F54716" w:rsidP="00F54716">
      <w:pPr>
        <w:pStyle w:val="SCCNormalDoubleSpacing"/>
        <w:spacing w:line="240" w:lineRule="auto"/>
        <w:rPr>
          <w:sz w:val="20"/>
        </w:rPr>
      </w:pPr>
    </w:p>
    <w:p w:rsidR="00F54716" w:rsidRPr="009B16E9" w:rsidRDefault="00F54716" w:rsidP="00F54716">
      <w:pPr>
        <w:pStyle w:val="SCCNormalDoubleSpacing"/>
        <w:spacing w:line="240" w:lineRule="auto"/>
        <w:rPr>
          <w:i/>
          <w:sz w:val="20"/>
        </w:rPr>
      </w:pPr>
      <w:r w:rsidRPr="00337645">
        <w:rPr>
          <w:sz w:val="20"/>
        </w:rPr>
        <w:tab/>
      </w:r>
      <w:r w:rsidRPr="009B16E9">
        <w:rPr>
          <w:i/>
          <w:sz w:val="20"/>
        </w:rPr>
        <w:t>Solicitor for the respondent the Workers’ Compensation Board of Alberta:  Workers’ Compensation Board of Alberta, Edmonton.</w:t>
      </w:r>
    </w:p>
    <w:p w:rsidR="00F54716" w:rsidRDefault="00F54716" w:rsidP="00F54716">
      <w:pPr>
        <w:pStyle w:val="SCCLawFirm"/>
        <w:spacing w:line="240" w:lineRule="auto"/>
        <w:rPr>
          <w:sz w:val="20"/>
        </w:rPr>
      </w:pPr>
    </w:p>
    <w:p w:rsidR="00F54716" w:rsidRPr="00337645" w:rsidRDefault="00F54716" w:rsidP="00F54716">
      <w:pPr>
        <w:pStyle w:val="SCCLawFirm"/>
        <w:spacing w:line="240" w:lineRule="auto"/>
        <w:rPr>
          <w:sz w:val="20"/>
        </w:rPr>
      </w:pPr>
      <w:r w:rsidRPr="00337645">
        <w:rPr>
          <w:sz w:val="20"/>
        </w:rPr>
        <w:tab/>
        <w:t>Solicitor for the respondent the Appeals Commission for Alberta Workers’ Compensation:  Appeals Commission for Alberta Workers’ Compensation, Edmonton.</w:t>
      </w:r>
    </w:p>
    <w:p w:rsidR="00F54716" w:rsidRDefault="00F54716" w:rsidP="00F54716">
      <w:pPr>
        <w:pStyle w:val="SCCLawFirm"/>
        <w:spacing w:line="240" w:lineRule="auto"/>
        <w:rPr>
          <w:sz w:val="20"/>
        </w:rPr>
      </w:pPr>
    </w:p>
    <w:p w:rsidR="00F54716" w:rsidRPr="00337645" w:rsidRDefault="00F54716" w:rsidP="00F54716">
      <w:pPr>
        <w:pStyle w:val="SCCLawFirm"/>
        <w:spacing w:line="240" w:lineRule="auto"/>
        <w:rPr>
          <w:sz w:val="20"/>
        </w:rPr>
      </w:pPr>
      <w:r w:rsidRPr="00337645">
        <w:rPr>
          <w:sz w:val="20"/>
        </w:rPr>
        <w:tab/>
        <w:t>Solicitor for the respondent the Attorney General of Canada:  Attorney General of Canada, Ottawa.</w:t>
      </w:r>
    </w:p>
    <w:p w:rsidR="00F54716" w:rsidRDefault="00F54716" w:rsidP="00F54716">
      <w:pPr>
        <w:pStyle w:val="SCCLawFirm"/>
        <w:spacing w:line="240" w:lineRule="auto"/>
        <w:rPr>
          <w:sz w:val="20"/>
        </w:rPr>
      </w:pPr>
    </w:p>
    <w:p w:rsidR="00F54716" w:rsidRPr="00337645" w:rsidRDefault="00F54716" w:rsidP="00F54716">
      <w:pPr>
        <w:pStyle w:val="SCCLawFirm"/>
        <w:spacing w:line="240" w:lineRule="auto"/>
        <w:rPr>
          <w:sz w:val="20"/>
        </w:rPr>
      </w:pPr>
      <w:r w:rsidRPr="00337645">
        <w:rPr>
          <w:sz w:val="20"/>
        </w:rPr>
        <w:tab/>
        <w:t>Solicitor for the intervener the Workers’ Compensation Board of British Columbia:  Workers’ Compensation Board of British Columbia, Richmond.</w:t>
      </w:r>
    </w:p>
    <w:p w:rsidR="00F54716" w:rsidRDefault="00F54716" w:rsidP="00F54716">
      <w:pPr>
        <w:pStyle w:val="SCCLawFirm"/>
        <w:spacing w:line="240" w:lineRule="auto"/>
        <w:rPr>
          <w:sz w:val="20"/>
        </w:rPr>
      </w:pPr>
    </w:p>
    <w:p w:rsidR="00F54716" w:rsidRPr="00337645" w:rsidRDefault="00F54716" w:rsidP="00F54716">
      <w:pPr>
        <w:pStyle w:val="SCCLawFirm"/>
        <w:spacing w:line="240" w:lineRule="auto"/>
        <w:rPr>
          <w:sz w:val="20"/>
          <w:lang w:val="fr-CA"/>
        </w:rPr>
      </w:pPr>
      <w:r w:rsidRPr="00337645">
        <w:rPr>
          <w:sz w:val="20"/>
        </w:rPr>
        <w:tab/>
      </w:r>
      <w:r w:rsidRPr="00337645">
        <w:rPr>
          <w:sz w:val="20"/>
          <w:lang w:val="fr-CA"/>
        </w:rPr>
        <w:t>Solicitors for the intervener Commission de la santé et de la sécurité du travail:  Vigneault Thibodeau Bergeron, Québec.</w:t>
      </w:r>
    </w:p>
    <w:p w:rsidR="00F54716" w:rsidRDefault="00F54716" w:rsidP="00F54716">
      <w:pPr>
        <w:pStyle w:val="SCCLawFirm"/>
        <w:spacing w:line="240" w:lineRule="auto"/>
        <w:rPr>
          <w:sz w:val="20"/>
          <w:lang w:val="fr-CA"/>
        </w:rPr>
      </w:pPr>
    </w:p>
    <w:p w:rsidR="00F54716" w:rsidRDefault="00F54716" w:rsidP="00F54716">
      <w:pPr>
        <w:pStyle w:val="SCCLawFirm"/>
        <w:spacing w:line="240" w:lineRule="auto"/>
        <w:rPr>
          <w:sz w:val="20"/>
        </w:rPr>
      </w:pPr>
      <w:r w:rsidRPr="00337645">
        <w:rPr>
          <w:sz w:val="20"/>
          <w:lang w:val="fr-CA"/>
        </w:rPr>
        <w:tab/>
      </w:r>
      <w:r w:rsidRPr="00337645">
        <w:rPr>
          <w:sz w:val="20"/>
        </w:rPr>
        <w:t>Solicitors for the intervener the Workers’ Compensation Board of Nova Scotia:  Stewart McKelvey, Halifax.</w:t>
      </w:r>
    </w:p>
    <w:p w:rsidR="00902E51" w:rsidRPr="00F54716" w:rsidRDefault="00902E51" w:rsidP="00902E51">
      <w:pPr>
        <w:rPr>
          <w:sz w:val="20"/>
          <w:szCs w:val="20"/>
          <w:lang w:val="fr-CA"/>
        </w:rPr>
      </w:pPr>
      <w:r w:rsidRPr="00F54716">
        <w:rPr>
          <w:sz w:val="20"/>
          <w:szCs w:val="20"/>
          <w:lang w:val="fr-CA"/>
        </w:rPr>
        <w:t>________________________</w:t>
      </w:r>
    </w:p>
    <w:p w:rsidR="00902E51" w:rsidRPr="00F54716" w:rsidRDefault="00902E51" w:rsidP="00902E51">
      <w:pPr>
        <w:rPr>
          <w:sz w:val="20"/>
          <w:szCs w:val="20"/>
          <w:lang w:val="fr-CA"/>
        </w:rPr>
      </w:pPr>
    </w:p>
    <w:p w:rsidR="00F54716" w:rsidRPr="006665E6" w:rsidRDefault="00F54716" w:rsidP="00F54716">
      <w:pPr>
        <w:jc w:val="both"/>
        <w:rPr>
          <w:sz w:val="20"/>
          <w:szCs w:val="20"/>
          <w:lang w:val="fr-CA"/>
        </w:rPr>
      </w:pPr>
      <w:r w:rsidRPr="006665E6">
        <w:rPr>
          <w:sz w:val="20"/>
          <w:szCs w:val="20"/>
          <w:lang w:val="fr-CA"/>
        </w:rPr>
        <w:t>Présents : La juge en chef McLachlin et les juges LeBel, Abella, Rothstein, Cromwell, Karakatsanis et Wagner.</w:t>
      </w:r>
    </w:p>
    <w:p w:rsidR="00F54716" w:rsidRDefault="00F54716" w:rsidP="00F54716">
      <w:pPr>
        <w:pStyle w:val="SCCNormalDoubleSpacing"/>
        <w:spacing w:line="240" w:lineRule="auto"/>
        <w:rPr>
          <w:sz w:val="20"/>
          <w:lang w:val="fr-CA"/>
        </w:rPr>
      </w:pPr>
    </w:p>
    <w:p w:rsidR="00F54716" w:rsidRPr="006665E6" w:rsidRDefault="00F54716" w:rsidP="00F54716">
      <w:pPr>
        <w:pStyle w:val="SCCNormalDoubleSpacing"/>
        <w:spacing w:line="240" w:lineRule="auto"/>
        <w:rPr>
          <w:i/>
          <w:sz w:val="20"/>
          <w:lang w:val="en-US"/>
        </w:rPr>
      </w:pPr>
      <w:r w:rsidRPr="006665E6">
        <w:rPr>
          <w:sz w:val="20"/>
          <w:lang w:val="fr-CA"/>
        </w:rPr>
        <w:lastRenderedPageBreak/>
        <w:tab/>
      </w:r>
      <w:r w:rsidRPr="006665E6">
        <w:rPr>
          <w:i/>
          <w:sz w:val="20"/>
          <w:lang w:val="fr-CA"/>
        </w:rPr>
        <w:t>Accidents du travail — Droit à une indemnité — Demande d’indemnisation pour stress chronique présentée par un travailleur — Critères d’admissibilité à l’indemnité en cas de stress chronique imposés par la politique provinciale — La politique provinciale s’applique</w:t>
      </w:r>
      <w:r w:rsidRPr="006665E6">
        <w:rPr>
          <w:i/>
          <w:sz w:val="20"/>
          <w:lang w:val="fr-CA"/>
        </w:rPr>
        <w:noBreakHyphen/>
        <w:t>t</w:t>
      </w:r>
      <w:r w:rsidRPr="006665E6">
        <w:rPr>
          <w:i/>
          <w:sz w:val="20"/>
          <w:lang w:val="fr-CA"/>
        </w:rPr>
        <w:noBreakHyphen/>
        <w:t>elle à la détermination de l’admissibilité à l’indemnité prévue à la Loi sur l’indemnisation des agents de l’État? — Y a</w:t>
      </w:r>
      <w:r w:rsidRPr="006665E6">
        <w:rPr>
          <w:i/>
          <w:sz w:val="20"/>
          <w:lang w:val="fr-CA"/>
        </w:rPr>
        <w:noBreakHyphen/>
        <w:t>t</w:t>
      </w:r>
      <w:r w:rsidRPr="006665E6">
        <w:rPr>
          <w:i/>
          <w:sz w:val="20"/>
          <w:lang w:val="fr-CA"/>
        </w:rPr>
        <w:noBreakHyphen/>
        <w:t>il un conflit entre la politique provinciale et la Loi sur l’indemnisation des agents de l’État? — Le rejet de la demande était</w:t>
      </w:r>
      <w:r w:rsidRPr="006665E6">
        <w:rPr>
          <w:i/>
          <w:sz w:val="20"/>
          <w:lang w:val="fr-CA"/>
        </w:rPr>
        <w:noBreakHyphen/>
        <w:t>il raisonnable? — Loi sur l’indemnisation des agents de l’État, L.R.C. 1985, ch. </w:t>
      </w:r>
      <w:r w:rsidRPr="006665E6">
        <w:rPr>
          <w:i/>
          <w:sz w:val="20"/>
          <w:lang w:val="en-US"/>
        </w:rPr>
        <w:t>G</w:t>
      </w:r>
      <w:r w:rsidRPr="006665E6">
        <w:rPr>
          <w:i/>
          <w:sz w:val="20"/>
          <w:lang w:val="en-US"/>
        </w:rPr>
        <w:noBreakHyphen/>
        <w:t>5, art. 2 et 4 — Workers’ Compensation Act, R.S.A. 2000, ch. W</w:t>
      </w:r>
      <w:r w:rsidRPr="006665E6">
        <w:rPr>
          <w:i/>
          <w:sz w:val="20"/>
          <w:lang w:val="en-US"/>
        </w:rPr>
        <w:noBreakHyphen/>
        <w:t>15, art. 1 — Workers’ Compensation Board of Directors’ Policy 03</w:t>
      </w:r>
      <w:r w:rsidRPr="006665E6">
        <w:rPr>
          <w:i/>
          <w:sz w:val="20"/>
          <w:lang w:val="en-US"/>
        </w:rPr>
        <w:noBreakHyphen/>
        <w:t>01, Part II, Application 6.</w:t>
      </w:r>
    </w:p>
    <w:p w:rsidR="00F54716" w:rsidRDefault="00F54716" w:rsidP="00F54716">
      <w:pPr>
        <w:pStyle w:val="SCCNormalDoubleSpacing"/>
        <w:spacing w:line="240" w:lineRule="auto"/>
        <w:rPr>
          <w:sz w:val="20"/>
          <w:lang w:val="en-US"/>
        </w:rPr>
      </w:pPr>
    </w:p>
    <w:p w:rsidR="00F54716" w:rsidRPr="006665E6" w:rsidRDefault="00F54716" w:rsidP="00F54716">
      <w:pPr>
        <w:pStyle w:val="SCCNormalDoubleSpacing"/>
        <w:spacing w:line="240" w:lineRule="auto"/>
        <w:rPr>
          <w:sz w:val="20"/>
          <w:lang w:val="fr-CA"/>
        </w:rPr>
      </w:pPr>
      <w:r w:rsidRPr="006665E6">
        <w:rPr>
          <w:sz w:val="20"/>
          <w:lang w:val="en-US"/>
        </w:rPr>
        <w:tab/>
      </w:r>
      <w:r w:rsidRPr="006665E6">
        <w:rPr>
          <w:sz w:val="20"/>
          <w:lang w:val="fr-CA"/>
        </w:rPr>
        <w:t>M, un employé de Parcs Canada, a été informé que des mesures disciplinaires seraient prises s’il ne répondait pas de manière satisfaisante à une demande présentée en vertu de la législation sur l’accès à l’information.  M a prétendu que la lettre avait provoqué chez lui des troubles psychologiques, après les années de stress causé par un autre problème en milieu de travail.  Il a présenté une demande d’indemnisation pour stress chronique.</w:t>
      </w:r>
    </w:p>
    <w:p w:rsidR="00F54716" w:rsidRDefault="00F54716" w:rsidP="00F54716">
      <w:pPr>
        <w:pStyle w:val="SCCNormalDoubleSpacing"/>
        <w:spacing w:line="240" w:lineRule="auto"/>
        <w:rPr>
          <w:sz w:val="20"/>
          <w:lang w:val="fr-CA"/>
        </w:rPr>
      </w:pPr>
    </w:p>
    <w:p w:rsidR="00F54716" w:rsidRPr="006665E6" w:rsidRDefault="00F54716" w:rsidP="00F54716">
      <w:pPr>
        <w:pStyle w:val="SCCNormalDoubleSpacing"/>
        <w:spacing w:line="240" w:lineRule="auto"/>
        <w:rPr>
          <w:sz w:val="20"/>
          <w:lang w:val="fr-CA"/>
        </w:rPr>
      </w:pPr>
      <w:r w:rsidRPr="006665E6">
        <w:rPr>
          <w:sz w:val="20"/>
          <w:lang w:val="fr-CA"/>
        </w:rPr>
        <w:tab/>
        <w:t xml:space="preserve">Aux termes de l’art. 4 de la </w:t>
      </w:r>
      <w:r w:rsidRPr="006665E6">
        <w:rPr>
          <w:i/>
          <w:sz w:val="20"/>
          <w:lang w:val="fr-CA"/>
        </w:rPr>
        <w:t>Loi sur l’indemnisation des agents de l’État</w:t>
      </w:r>
      <w:r w:rsidRPr="006665E6">
        <w:rPr>
          <w:sz w:val="20"/>
          <w:lang w:val="fr-CA"/>
        </w:rPr>
        <w:t>, L.R.C. 1985, ch. G</w:t>
      </w:r>
      <w:r w:rsidRPr="006665E6">
        <w:rPr>
          <w:sz w:val="20"/>
          <w:lang w:val="fr-CA"/>
        </w:rPr>
        <w:noBreakHyphen/>
        <w:t>5</w:t>
      </w:r>
      <w:r w:rsidRPr="006665E6">
        <w:rPr>
          <w:i/>
          <w:sz w:val="20"/>
          <w:lang w:val="fr-CA"/>
        </w:rPr>
        <w:t xml:space="preserve"> </w:t>
      </w:r>
      <w:r w:rsidRPr="006665E6">
        <w:rPr>
          <w:sz w:val="20"/>
          <w:lang w:val="fr-CA"/>
        </w:rPr>
        <w:t xml:space="preserve">(la </w:t>
      </w:r>
      <w:r w:rsidRPr="006665E6">
        <w:rPr>
          <w:i/>
          <w:sz w:val="20"/>
          <w:lang w:val="fr-CA"/>
        </w:rPr>
        <w:t>LIAÉ</w:t>
      </w:r>
      <w:r w:rsidRPr="006665E6">
        <w:rPr>
          <w:sz w:val="20"/>
          <w:lang w:val="fr-CA"/>
        </w:rPr>
        <w:t xml:space="preserve">), les travailleurs fédéraux blessés au travail ont droit à une indemnité aux taux et conditions fixés par la législation de la province où l’agent de l’État exerce habituellement ses fonctions, et l’indemnité est déterminée par l’autorité — personne ou organisme — compétente en la matière conformément à la législation provinciale. Dans la </w:t>
      </w:r>
      <w:r w:rsidRPr="006665E6">
        <w:rPr>
          <w:i/>
          <w:sz w:val="20"/>
          <w:lang w:val="fr-CA"/>
        </w:rPr>
        <w:t>LIAÉ</w:t>
      </w:r>
      <w:r w:rsidRPr="006665E6">
        <w:rPr>
          <w:sz w:val="20"/>
          <w:lang w:val="fr-CA"/>
        </w:rPr>
        <w:t xml:space="preserve"> et dans la </w:t>
      </w:r>
      <w:r w:rsidRPr="006665E6">
        <w:rPr>
          <w:i/>
          <w:sz w:val="20"/>
          <w:lang w:val="fr-CA"/>
        </w:rPr>
        <w:t>Workers’ Compensation Act</w:t>
      </w:r>
      <w:r w:rsidRPr="006665E6">
        <w:rPr>
          <w:sz w:val="20"/>
          <w:lang w:val="fr-CA"/>
        </w:rPr>
        <w:t>, R.S.A. 2000, ch. W</w:t>
      </w:r>
      <w:r w:rsidRPr="006665E6">
        <w:rPr>
          <w:sz w:val="20"/>
          <w:lang w:val="fr-CA"/>
        </w:rPr>
        <w:noBreakHyphen/>
        <w:t>15 (</w:t>
      </w:r>
      <w:r w:rsidRPr="006665E6">
        <w:rPr>
          <w:i/>
          <w:sz w:val="20"/>
          <w:lang w:val="fr-CA"/>
        </w:rPr>
        <w:t>WCA</w:t>
      </w:r>
      <w:r w:rsidRPr="006665E6">
        <w:rPr>
          <w:sz w:val="20"/>
          <w:lang w:val="fr-CA"/>
        </w:rPr>
        <w:t>), le terme « accident » est défini et s’entend notamment d’un acte délibéré accompli par une autre personne que le demandeur et d’un événement fortuit ayant une cause physique ou naturelle.  La Politique 03</w:t>
      </w:r>
      <w:r w:rsidRPr="006665E6">
        <w:rPr>
          <w:sz w:val="20"/>
          <w:lang w:val="fr-CA"/>
        </w:rPr>
        <w:noBreakHyphen/>
        <w:t xml:space="preserve">01, partie II, Application 6 de l’Alberta Workers’ Compensation Board of Directors (la Politique), prise en vertu de la </w:t>
      </w:r>
      <w:r w:rsidRPr="006665E6">
        <w:rPr>
          <w:i/>
          <w:sz w:val="20"/>
          <w:lang w:val="fr-CA"/>
        </w:rPr>
        <w:t>WCA</w:t>
      </w:r>
      <w:r w:rsidRPr="006665E6">
        <w:rPr>
          <w:sz w:val="20"/>
          <w:lang w:val="fr-CA"/>
        </w:rPr>
        <w:t>, énumère quatre critères auxquels il doit être satisfait pour que le droit à l’indemnité soit reconnu dans le cas d’une demande pour stress chronique.  Aux termes des troisième et quatrième critères, les événements liés au travail doivent être excessifs ou inusités par rapport aux pressions et tensions normales auxquelles le travailleur moyen occupant un emploi semblable est assujetti et les événements doivent être confirmés de manière objective.</w:t>
      </w:r>
    </w:p>
    <w:p w:rsidR="00F54716" w:rsidRDefault="00F54716" w:rsidP="00F54716">
      <w:pPr>
        <w:pStyle w:val="SCCNormalDoubleSpacing"/>
        <w:spacing w:line="240" w:lineRule="auto"/>
        <w:rPr>
          <w:sz w:val="20"/>
          <w:lang w:val="fr-CA"/>
        </w:rPr>
      </w:pPr>
    </w:p>
    <w:p w:rsidR="00F54716" w:rsidRPr="006665E6" w:rsidRDefault="00F54716" w:rsidP="00F54716">
      <w:pPr>
        <w:pStyle w:val="SCCNormalDoubleSpacing"/>
        <w:spacing w:line="240" w:lineRule="auto"/>
        <w:rPr>
          <w:sz w:val="20"/>
          <w:lang w:val="fr-CA"/>
        </w:rPr>
      </w:pPr>
      <w:r w:rsidRPr="006665E6">
        <w:rPr>
          <w:sz w:val="20"/>
          <w:lang w:val="fr-CA"/>
        </w:rPr>
        <w:tab/>
        <w:t xml:space="preserve">La demande de M a été rejetée par l’Alberta Workers’ Compensation Board, le Dispute Resolution and Decision Review Body et l’Appeals Commission for the Alberta Workers’ Compensation Board (la Commission) au motif qu’elle ne satisfaisait pas aux troisième et quatrième critères énumérés à la Politique.  À l’issue d’un contrôle judiciaire, la Cour du Banc de la Reine de l’Alberta était d’avis que le par. 4(1) de la </w:t>
      </w:r>
      <w:r w:rsidRPr="006665E6">
        <w:rPr>
          <w:i/>
          <w:sz w:val="20"/>
          <w:lang w:val="fr-CA"/>
        </w:rPr>
        <w:t>LIAÉ</w:t>
      </w:r>
      <w:r w:rsidRPr="006665E6">
        <w:rPr>
          <w:sz w:val="20"/>
          <w:lang w:val="fr-CA"/>
        </w:rPr>
        <w:t xml:space="preserve"> constitue un code complet régissant l’admissibilité des travailleurs fédéraux à l’indemnité et a conclu à l’inapplicabilité de la Politique provinciale.  Elle a renvoyé l’affaire à la Commission pour décision en application de la </w:t>
      </w:r>
      <w:r w:rsidRPr="006665E6">
        <w:rPr>
          <w:i/>
          <w:sz w:val="20"/>
          <w:lang w:val="fr-CA"/>
        </w:rPr>
        <w:t>LIAÉ</w:t>
      </w:r>
      <w:r w:rsidRPr="006665E6">
        <w:rPr>
          <w:sz w:val="20"/>
          <w:lang w:val="fr-CA"/>
        </w:rPr>
        <w:t xml:space="preserve"> seulement.  La Cour d’appel de l’Alberta, concluant que la Politique provinciale s’appliquait, a rétabli la décision de la Commission.</w:t>
      </w:r>
    </w:p>
    <w:p w:rsidR="00F54716" w:rsidRDefault="00F54716" w:rsidP="00F54716">
      <w:pPr>
        <w:pStyle w:val="SCCNormalDoubleSpacing"/>
        <w:spacing w:line="240" w:lineRule="auto"/>
        <w:rPr>
          <w:sz w:val="20"/>
          <w:lang w:val="fr-CA"/>
        </w:rPr>
      </w:pPr>
    </w:p>
    <w:p w:rsidR="00F54716" w:rsidRPr="006665E6" w:rsidRDefault="00F54716" w:rsidP="00F54716">
      <w:pPr>
        <w:pStyle w:val="SCCNormalDoubleSpacing"/>
        <w:spacing w:line="240" w:lineRule="auto"/>
        <w:rPr>
          <w:sz w:val="20"/>
          <w:lang w:val="fr-CA"/>
        </w:rPr>
      </w:pPr>
      <w:r w:rsidRPr="006665E6">
        <w:rPr>
          <w:sz w:val="20"/>
          <w:lang w:val="fr-CA"/>
        </w:rPr>
        <w:tab/>
      </w:r>
      <w:r w:rsidRPr="006665E6">
        <w:rPr>
          <w:i/>
          <w:sz w:val="20"/>
          <w:lang w:val="fr-CA"/>
        </w:rPr>
        <w:t>Arrêt :</w:t>
      </w:r>
      <w:r w:rsidRPr="006665E6">
        <w:rPr>
          <w:sz w:val="20"/>
          <w:lang w:val="fr-CA"/>
        </w:rPr>
        <w:t xml:space="preserve"> Le pourvoi est rejeté.</w:t>
      </w:r>
    </w:p>
    <w:p w:rsidR="00F54716" w:rsidRDefault="00F54716" w:rsidP="00F54716">
      <w:pPr>
        <w:pStyle w:val="SCCNormalDoubleSpacing"/>
        <w:spacing w:line="240" w:lineRule="auto"/>
        <w:rPr>
          <w:sz w:val="20"/>
          <w:lang w:val="fr-CA"/>
        </w:rPr>
      </w:pPr>
    </w:p>
    <w:p w:rsidR="00F54716" w:rsidRPr="006665E6" w:rsidRDefault="00F54716" w:rsidP="00F54716">
      <w:pPr>
        <w:pStyle w:val="SCCNormalDoubleSpacing"/>
        <w:spacing w:line="240" w:lineRule="auto"/>
        <w:rPr>
          <w:sz w:val="20"/>
          <w:lang w:val="fr-CA"/>
        </w:rPr>
      </w:pPr>
      <w:r w:rsidRPr="006665E6">
        <w:rPr>
          <w:sz w:val="20"/>
          <w:lang w:val="fr-CA"/>
        </w:rPr>
        <w:tab/>
        <w:t xml:space="preserve">En adoptant la </w:t>
      </w:r>
      <w:r w:rsidRPr="006665E6">
        <w:rPr>
          <w:i/>
          <w:sz w:val="20"/>
          <w:lang w:val="fr-CA"/>
        </w:rPr>
        <w:t>LIAÉ</w:t>
      </w:r>
      <w:r w:rsidRPr="006665E6">
        <w:rPr>
          <w:sz w:val="20"/>
          <w:lang w:val="fr-CA"/>
        </w:rPr>
        <w:t xml:space="preserve">, le législateur entendait que les autorités provinciales compétentes statuent sur les demandes d’indemnisation des agents de l’État fédéral, — y compris le droit à l’indemnité et les taux d’indemnisation — selon la législation provinciale, sauf lorsque la </w:t>
      </w:r>
      <w:r w:rsidRPr="006665E6">
        <w:rPr>
          <w:i/>
          <w:sz w:val="20"/>
          <w:lang w:val="fr-CA"/>
        </w:rPr>
        <w:t>LIAÉ</w:t>
      </w:r>
      <w:r w:rsidRPr="006665E6">
        <w:rPr>
          <w:sz w:val="20"/>
          <w:lang w:val="fr-CA"/>
        </w:rPr>
        <w:t xml:space="preserve"> entre clairement en conflit avec la législation provinciale.  Dans les cas où le législateur entendait prévoir des conditions différentes, il l’a fait expressément.  Lorsqu’une disposition ou une politique provinciale entre directement en conflit avec la </w:t>
      </w:r>
      <w:r w:rsidRPr="006665E6">
        <w:rPr>
          <w:i/>
          <w:sz w:val="20"/>
          <w:lang w:val="fr-CA"/>
        </w:rPr>
        <w:t>LIAÉ</w:t>
      </w:r>
      <w:r w:rsidRPr="006665E6">
        <w:rPr>
          <w:sz w:val="20"/>
          <w:lang w:val="fr-CA"/>
        </w:rPr>
        <w:t xml:space="preserve">, cette dernière prime et rend inapplicable la disposition ou la politique provinciale aux travailleurs fédéraux.  Une telle interprétation repose sur le texte de l’art. 4, l’économie et l’historique législatif de la </w:t>
      </w:r>
      <w:r w:rsidRPr="006665E6">
        <w:rPr>
          <w:i/>
          <w:sz w:val="20"/>
          <w:lang w:val="fr-CA"/>
        </w:rPr>
        <w:t>LIAÉ</w:t>
      </w:r>
      <w:r w:rsidRPr="006665E6">
        <w:rPr>
          <w:sz w:val="20"/>
          <w:lang w:val="fr-CA"/>
        </w:rPr>
        <w:t xml:space="preserve"> et les déclarations d’intention du législateur.</w:t>
      </w:r>
    </w:p>
    <w:p w:rsidR="00F54716" w:rsidRDefault="00F54716" w:rsidP="00F54716">
      <w:pPr>
        <w:pStyle w:val="SCCNormalDoubleSpacing"/>
        <w:spacing w:line="240" w:lineRule="auto"/>
        <w:rPr>
          <w:sz w:val="20"/>
          <w:lang w:val="fr-CA"/>
        </w:rPr>
      </w:pPr>
    </w:p>
    <w:p w:rsidR="00F54716" w:rsidRPr="006665E6" w:rsidRDefault="00F54716" w:rsidP="00F54716">
      <w:pPr>
        <w:pStyle w:val="SCCNormalDoubleSpacing"/>
        <w:spacing w:line="240" w:lineRule="auto"/>
        <w:rPr>
          <w:sz w:val="20"/>
          <w:lang w:val="fr-CA"/>
        </w:rPr>
      </w:pPr>
      <w:r w:rsidRPr="006665E6">
        <w:rPr>
          <w:sz w:val="20"/>
          <w:lang w:val="fr-CA"/>
        </w:rPr>
        <w:tab/>
        <w:t xml:space="preserve">En l’espèce, l’interprétation de ce qui constitue un « accident » pour le traitement d’une demande d’indemnisation pour stress psychologique énoncée à la Politique albertaine n’entre pas en conflit avec la </w:t>
      </w:r>
      <w:r w:rsidRPr="006665E6">
        <w:rPr>
          <w:i/>
          <w:sz w:val="20"/>
          <w:lang w:val="fr-CA"/>
        </w:rPr>
        <w:t>LIAÉ</w:t>
      </w:r>
      <w:r w:rsidRPr="006665E6">
        <w:rPr>
          <w:sz w:val="20"/>
          <w:lang w:val="fr-CA"/>
        </w:rPr>
        <w:t xml:space="preserve">.  La définition ouverte et souple du terme « accident » qui figure à la </w:t>
      </w:r>
      <w:r w:rsidRPr="006665E6">
        <w:rPr>
          <w:i/>
          <w:sz w:val="20"/>
          <w:lang w:val="fr-CA"/>
        </w:rPr>
        <w:t>LIAÉ</w:t>
      </w:r>
      <w:r w:rsidRPr="006665E6">
        <w:rPr>
          <w:sz w:val="20"/>
          <w:lang w:val="fr-CA"/>
        </w:rPr>
        <w:t xml:space="preserve"> témoigne de l’intention du législateur de déléguer aux autorités provinciales l’administration du régime d’indemnisation et permet aux différentes provinces de prévoir des règles d’admissibilité différentes.  Pour déterminer si le stress chronique dont souffre un travailleur résultait d’un accident survenu par le fait ou à l’occasion du travail, il n’est pas incompatible avec la </w:t>
      </w:r>
      <w:r w:rsidRPr="006665E6">
        <w:rPr>
          <w:i/>
          <w:sz w:val="20"/>
          <w:lang w:val="fr-CA"/>
        </w:rPr>
        <w:t>LIAÉ</w:t>
      </w:r>
      <w:r w:rsidRPr="006665E6">
        <w:rPr>
          <w:sz w:val="20"/>
          <w:lang w:val="fr-CA"/>
        </w:rPr>
        <w:t xml:space="preserve"> ni déraisonnable de la part de l’Alberta d’exiger que les événements liés au travail soient excessifs ou inusités par rapport aux pressions et tensions normales auxquelles le travailleur moyen occupant un emploi semblable est assujetti et que les événements aient été confirmés de manière objective.  Ces exigences témoignent simplement de l’interprétation qu’a donnée l’Alberta du terme « accident » dans le contexte des demandes fondées sur le stress psychologique.</w:t>
      </w:r>
    </w:p>
    <w:p w:rsidR="00F54716" w:rsidRDefault="00F54716" w:rsidP="00F54716">
      <w:pPr>
        <w:pStyle w:val="SCCNormalDoubleSpacing"/>
        <w:spacing w:line="240" w:lineRule="auto"/>
        <w:rPr>
          <w:sz w:val="20"/>
          <w:lang w:val="fr-CA"/>
        </w:rPr>
      </w:pPr>
    </w:p>
    <w:p w:rsidR="00F54716" w:rsidRDefault="00F54716" w:rsidP="00F54716">
      <w:pPr>
        <w:pStyle w:val="SCCNormalDoubleSpacing"/>
        <w:spacing w:line="240" w:lineRule="auto"/>
        <w:rPr>
          <w:sz w:val="20"/>
          <w:lang w:val="fr-CA"/>
        </w:rPr>
      </w:pPr>
      <w:r w:rsidRPr="006665E6">
        <w:rPr>
          <w:sz w:val="20"/>
          <w:lang w:val="fr-CA"/>
        </w:rPr>
        <w:lastRenderedPageBreak/>
        <w:tab/>
        <w:t>La décision de la Commission, qui a refusé d’accorder l’indemnité en l’espèce, était raisonnable.  Il lui était loisible de conclure que la cause prédominante de l’atteinte psychologique de M était sa réaction à la lettre de son employeur lui intimant de donner suite à une demande d’accès à l’information.  Cet ordre n’était pas excessif ni inusité par rapport aux pressions et tensions normales s’exerçant dans un emploi semblable.</w:t>
      </w:r>
    </w:p>
    <w:p w:rsidR="00F54716" w:rsidRDefault="00F54716" w:rsidP="00F54716">
      <w:pPr>
        <w:pStyle w:val="SCCNormalDoubleSpacing"/>
        <w:spacing w:line="240" w:lineRule="auto"/>
        <w:rPr>
          <w:sz w:val="20"/>
          <w:lang w:val="fr-CA"/>
        </w:rPr>
      </w:pPr>
    </w:p>
    <w:p w:rsidR="00F54716" w:rsidRPr="006665E6" w:rsidRDefault="00F54716" w:rsidP="00F54716">
      <w:pPr>
        <w:pStyle w:val="SCCNormalDoubleSpacing"/>
        <w:spacing w:line="240" w:lineRule="auto"/>
        <w:rPr>
          <w:sz w:val="20"/>
          <w:lang w:val="fr-CA"/>
        </w:rPr>
      </w:pPr>
      <w:r w:rsidRPr="006665E6">
        <w:rPr>
          <w:sz w:val="20"/>
          <w:lang w:val="fr-CA"/>
        </w:rPr>
        <w:tab/>
        <w:t>POURVOI contre un arrêt de la Cour d’appel de l’Alberta (la juge en chef Fraser et les juges Watson et McDonald), 2012 ABCA 248, 65 Alta. L.R. (5th) 220, 536 A.R. 121, 353 D.L.R. (4th) 499, [2012] 11 W.W.R. 1, 1 C.C.E.L. (4th) 193, [2012] A.J. No. 879, 2012 CarswellAlta 1444, qui a accueilli l’appel interjeté d’une décision du juge Ouellette, 2010 CarswellAlta 2817, qui avait infirmé la décision de l’Appeals Commission for Alberta Workers’ Compensation, 2009 CanLII 66292, et ordonné une nouvelle audience.  Pourvoi rejeté.</w:t>
      </w:r>
    </w:p>
    <w:p w:rsidR="00F54716" w:rsidRDefault="00F54716" w:rsidP="00F54716">
      <w:pPr>
        <w:pStyle w:val="SCCNormalDoubleSpacing"/>
        <w:spacing w:line="240" w:lineRule="auto"/>
        <w:rPr>
          <w:i/>
          <w:sz w:val="20"/>
          <w:lang w:val="fr-CA"/>
        </w:rPr>
      </w:pPr>
    </w:p>
    <w:p w:rsidR="00F54716" w:rsidRPr="006665E6" w:rsidRDefault="00F54716" w:rsidP="00F54716">
      <w:pPr>
        <w:pStyle w:val="SCCNormalDoubleSpacing"/>
        <w:spacing w:line="240" w:lineRule="auto"/>
        <w:rPr>
          <w:sz w:val="20"/>
          <w:lang w:val="fr-CA"/>
        </w:rPr>
      </w:pPr>
      <w:r w:rsidRPr="006665E6">
        <w:rPr>
          <w:i/>
          <w:sz w:val="20"/>
          <w:lang w:val="fr-CA"/>
        </w:rPr>
        <w:tab/>
        <w:t>Andrew Raven</w:t>
      </w:r>
      <w:r w:rsidRPr="006665E6">
        <w:rPr>
          <w:sz w:val="20"/>
          <w:lang w:val="fr-CA"/>
        </w:rPr>
        <w:t xml:space="preserve">, </w:t>
      </w:r>
      <w:r w:rsidRPr="006665E6">
        <w:rPr>
          <w:i/>
          <w:sz w:val="20"/>
          <w:lang w:val="fr-CA"/>
        </w:rPr>
        <w:t>Andrew Astritis</w:t>
      </w:r>
      <w:r w:rsidRPr="006665E6">
        <w:rPr>
          <w:sz w:val="20"/>
          <w:lang w:val="fr-CA"/>
        </w:rPr>
        <w:t xml:space="preserve"> et </w:t>
      </w:r>
      <w:r w:rsidRPr="006665E6">
        <w:rPr>
          <w:i/>
          <w:sz w:val="20"/>
          <w:lang w:val="fr-CA"/>
        </w:rPr>
        <w:t>Amanda Montague</w:t>
      </w:r>
      <w:r w:rsidRPr="006665E6">
        <w:rPr>
          <w:i/>
          <w:sz w:val="20"/>
          <w:lang w:val="fr-CA"/>
        </w:rPr>
        <w:noBreakHyphen/>
        <w:t>Reinholdt</w:t>
      </w:r>
      <w:r w:rsidRPr="006665E6">
        <w:rPr>
          <w:sz w:val="20"/>
          <w:lang w:val="fr-CA"/>
        </w:rPr>
        <w:t>, pour l’appelant.</w:t>
      </w:r>
    </w:p>
    <w:p w:rsidR="00F54716" w:rsidRDefault="00F54716" w:rsidP="00F54716">
      <w:pPr>
        <w:pStyle w:val="SCCNormalDoubleSpacing"/>
        <w:spacing w:line="240" w:lineRule="auto"/>
        <w:rPr>
          <w:i/>
          <w:sz w:val="20"/>
          <w:lang w:val="fr-CA"/>
        </w:rPr>
      </w:pPr>
    </w:p>
    <w:p w:rsidR="00F54716" w:rsidRPr="006665E6" w:rsidRDefault="00F54716" w:rsidP="00F54716">
      <w:pPr>
        <w:pStyle w:val="SCCNormalDoubleSpacing"/>
        <w:spacing w:line="240" w:lineRule="auto"/>
        <w:rPr>
          <w:sz w:val="20"/>
          <w:lang w:val="en-US"/>
        </w:rPr>
      </w:pPr>
      <w:r w:rsidRPr="006665E6">
        <w:rPr>
          <w:i/>
          <w:sz w:val="20"/>
          <w:lang w:val="fr-CA"/>
        </w:rPr>
        <w:tab/>
      </w:r>
      <w:r w:rsidRPr="006665E6">
        <w:rPr>
          <w:i/>
          <w:sz w:val="20"/>
          <w:lang w:val="en-US"/>
        </w:rPr>
        <w:t xml:space="preserve">Douglas R. Mah, c.r., </w:t>
      </w:r>
      <w:r w:rsidRPr="006665E6">
        <w:rPr>
          <w:sz w:val="20"/>
          <w:lang w:val="en-US"/>
        </w:rPr>
        <w:t xml:space="preserve">et </w:t>
      </w:r>
      <w:r w:rsidRPr="006665E6">
        <w:rPr>
          <w:i/>
          <w:sz w:val="20"/>
          <w:lang w:val="en-US"/>
        </w:rPr>
        <w:t>Ron Goltz</w:t>
      </w:r>
      <w:r w:rsidRPr="006665E6">
        <w:rPr>
          <w:sz w:val="20"/>
          <w:lang w:val="en-US"/>
        </w:rPr>
        <w:t>, pour l’intimé Workers’ Compensation Board of Alberta.</w:t>
      </w:r>
    </w:p>
    <w:p w:rsidR="00F54716" w:rsidRDefault="00F54716" w:rsidP="00F54716">
      <w:pPr>
        <w:pStyle w:val="SCCNormalDoubleSpacing"/>
        <w:spacing w:line="240" w:lineRule="auto"/>
        <w:rPr>
          <w:i/>
          <w:sz w:val="20"/>
          <w:lang w:val="en-US"/>
        </w:rPr>
      </w:pPr>
    </w:p>
    <w:p w:rsidR="00F54716" w:rsidRPr="006665E6" w:rsidRDefault="00F54716" w:rsidP="00F54716">
      <w:pPr>
        <w:pStyle w:val="SCCNormalDoubleSpacing"/>
        <w:spacing w:line="240" w:lineRule="auto"/>
        <w:rPr>
          <w:sz w:val="20"/>
          <w:lang w:val="fr-CA"/>
        </w:rPr>
      </w:pPr>
      <w:r w:rsidRPr="006665E6">
        <w:rPr>
          <w:i/>
          <w:sz w:val="20"/>
          <w:lang w:val="en-US"/>
        </w:rPr>
        <w:tab/>
      </w:r>
      <w:r w:rsidRPr="006665E6">
        <w:rPr>
          <w:i/>
          <w:sz w:val="20"/>
          <w:lang w:val="fr-CA"/>
        </w:rPr>
        <w:t>Sandra Hermiston</w:t>
      </w:r>
      <w:r w:rsidRPr="006665E6">
        <w:rPr>
          <w:sz w:val="20"/>
          <w:lang w:val="fr-CA"/>
        </w:rPr>
        <w:t>, pour l’intimée Appeals Commission for Alberta Workers’ Compensation.</w:t>
      </w:r>
    </w:p>
    <w:p w:rsidR="00F54716" w:rsidRDefault="00F54716" w:rsidP="00F54716">
      <w:pPr>
        <w:pStyle w:val="SCCNormalDoubleSpacing"/>
        <w:spacing w:line="240" w:lineRule="auto"/>
        <w:rPr>
          <w:i/>
          <w:sz w:val="20"/>
          <w:lang w:val="fr-CA"/>
        </w:rPr>
      </w:pPr>
    </w:p>
    <w:p w:rsidR="00F54716" w:rsidRPr="006665E6" w:rsidRDefault="00F54716" w:rsidP="00F54716">
      <w:pPr>
        <w:pStyle w:val="SCCNormalDoubleSpacing"/>
        <w:spacing w:line="240" w:lineRule="auto"/>
        <w:rPr>
          <w:sz w:val="20"/>
          <w:lang w:val="fr-CA"/>
        </w:rPr>
      </w:pPr>
      <w:r w:rsidRPr="006665E6">
        <w:rPr>
          <w:i/>
          <w:sz w:val="20"/>
          <w:lang w:val="fr-CA"/>
        </w:rPr>
        <w:tab/>
        <w:t>John S. Tyhurst</w:t>
      </w:r>
      <w:r w:rsidRPr="006665E6">
        <w:rPr>
          <w:sz w:val="20"/>
          <w:lang w:val="fr-CA"/>
        </w:rPr>
        <w:t>, pour l’intimé le procureur général du Canada.</w:t>
      </w:r>
    </w:p>
    <w:p w:rsidR="00F54716" w:rsidRDefault="00F54716" w:rsidP="00F54716">
      <w:pPr>
        <w:pStyle w:val="SCCNormalDoubleSpacing"/>
        <w:spacing w:line="240" w:lineRule="auto"/>
        <w:rPr>
          <w:i/>
          <w:sz w:val="20"/>
          <w:lang w:val="fr-CA"/>
        </w:rPr>
      </w:pPr>
    </w:p>
    <w:p w:rsidR="00F54716" w:rsidRPr="006665E6" w:rsidRDefault="00F54716" w:rsidP="00F54716">
      <w:pPr>
        <w:pStyle w:val="SCCNormalDoubleSpacing"/>
        <w:spacing w:line="240" w:lineRule="auto"/>
        <w:rPr>
          <w:sz w:val="20"/>
        </w:rPr>
      </w:pPr>
      <w:r w:rsidRPr="006665E6">
        <w:rPr>
          <w:i/>
          <w:sz w:val="20"/>
          <w:lang w:val="fr-CA"/>
        </w:rPr>
        <w:tab/>
      </w:r>
      <w:r w:rsidRPr="006665E6">
        <w:rPr>
          <w:i/>
          <w:sz w:val="20"/>
        </w:rPr>
        <w:t>Laurel M. Courtenay</w:t>
      </w:r>
      <w:r w:rsidRPr="006665E6">
        <w:rPr>
          <w:sz w:val="20"/>
        </w:rPr>
        <w:t xml:space="preserve"> et </w:t>
      </w:r>
      <w:r w:rsidRPr="006665E6">
        <w:rPr>
          <w:i/>
          <w:sz w:val="20"/>
        </w:rPr>
        <w:t>Scott A. Nielsen</w:t>
      </w:r>
      <w:r w:rsidRPr="006665E6">
        <w:rPr>
          <w:sz w:val="20"/>
        </w:rPr>
        <w:t>, pour l’intervenant Workers’ Compensation Board of British Columbia.</w:t>
      </w:r>
    </w:p>
    <w:p w:rsidR="00F54716" w:rsidRDefault="00F54716" w:rsidP="00F54716">
      <w:pPr>
        <w:pStyle w:val="SCCNormalDoubleSpacing"/>
        <w:spacing w:line="240" w:lineRule="auto"/>
        <w:rPr>
          <w:i/>
          <w:sz w:val="20"/>
        </w:rPr>
      </w:pPr>
    </w:p>
    <w:p w:rsidR="00F54716" w:rsidRPr="006665E6" w:rsidRDefault="00F54716" w:rsidP="00F54716">
      <w:pPr>
        <w:pStyle w:val="SCCNormalDoubleSpacing"/>
        <w:spacing w:line="240" w:lineRule="auto"/>
        <w:rPr>
          <w:sz w:val="20"/>
          <w:lang w:val="fr-CA"/>
        </w:rPr>
      </w:pPr>
      <w:r w:rsidRPr="006665E6">
        <w:rPr>
          <w:i/>
          <w:sz w:val="20"/>
        </w:rPr>
        <w:tab/>
      </w:r>
      <w:r w:rsidRPr="006665E6">
        <w:rPr>
          <w:i/>
          <w:sz w:val="20"/>
          <w:lang w:val="fr-CA"/>
        </w:rPr>
        <w:t>Pierre Michel Lajeunesse</w:t>
      </w:r>
      <w:r w:rsidRPr="006665E6">
        <w:rPr>
          <w:sz w:val="20"/>
          <w:lang w:val="fr-CA"/>
        </w:rPr>
        <w:t xml:space="preserve"> et </w:t>
      </w:r>
      <w:r w:rsidRPr="006665E6">
        <w:rPr>
          <w:i/>
          <w:sz w:val="20"/>
          <w:lang w:val="fr-CA"/>
        </w:rPr>
        <w:t>Lucille Giard</w:t>
      </w:r>
      <w:r w:rsidRPr="006665E6">
        <w:rPr>
          <w:sz w:val="20"/>
          <w:lang w:val="fr-CA"/>
        </w:rPr>
        <w:t>, pour l’intervenante la Commission de la santé et de la sécurité du travail.</w:t>
      </w:r>
    </w:p>
    <w:p w:rsidR="00F54716" w:rsidRDefault="00F54716" w:rsidP="00F54716">
      <w:pPr>
        <w:pStyle w:val="SCCNormalDoubleSpacing"/>
        <w:spacing w:line="240" w:lineRule="auto"/>
        <w:rPr>
          <w:i/>
          <w:sz w:val="20"/>
          <w:lang w:val="fr-CA"/>
        </w:rPr>
      </w:pPr>
    </w:p>
    <w:p w:rsidR="00F54716" w:rsidRPr="006665E6" w:rsidRDefault="00F54716" w:rsidP="00F54716">
      <w:pPr>
        <w:pStyle w:val="SCCNormalDoubleSpacing"/>
        <w:spacing w:line="240" w:lineRule="auto"/>
        <w:rPr>
          <w:sz w:val="20"/>
        </w:rPr>
      </w:pPr>
      <w:r w:rsidRPr="006665E6">
        <w:rPr>
          <w:i/>
          <w:sz w:val="20"/>
          <w:lang w:val="fr-CA"/>
        </w:rPr>
        <w:tab/>
      </w:r>
      <w:r w:rsidRPr="006665E6">
        <w:rPr>
          <w:i/>
          <w:sz w:val="20"/>
        </w:rPr>
        <w:t>Roderick (Rory) H. Rogers, c.r.</w:t>
      </w:r>
      <w:r w:rsidRPr="006665E6">
        <w:rPr>
          <w:sz w:val="20"/>
        </w:rPr>
        <w:t xml:space="preserve">, et </w:t>
      </w:r>
      <w:r w:rsidRPr="006665E6">
        <w:rPr>
          <w:i/>
          <w:sz w:val="20"/>
        </w:rPr>
        <w:t>Madeleine F. Hearns</w:t>
      </w:r>
      <w:r w:rsidRPr="006665E6">
        <w:rPr>
          <w:sz w:val="20"/>
        </w:rPr>
        <w:t>, pour l’intervenant Workers’ Compensation Board of Nova Scotia.</w:t>
      </w:r>
    </w:p>
    <w:p w:rsidR="00F54716" w:rsidRDefault="00F54716" w:rsidP="00F54716">
      <w:pPr>
        <w:pStyle w:val="SCCLawFirm"/>
        <w:spacing w:line="240" w:lineRule="auto"/>
        <w:rPr>
          <w:sz w:val="20"/>
        </w:rPr>
      </w:pPr>
    </w:p>
    <w:p w:rsidR="00F54716" w:rsidRPr="006665E6" w:rsidRDefault="00F54716" w:rsidP="00F54716">
      <w:pPr>
        <w:pStyle w:val="SCCLawFirm"/>
        <w:spacing w:line="240" w:lineRule="auto"/>
        <w:rPr>
          <w:sz w:val="20"/>
          <w:lang w:val="fr-CA"/>
        </w:rPr>
      </w:pPr>
      <w:r w:rsidRPr="006665E6">
        <w:rPr>
          <w:sz w:val="20"/>
        </w:rPr>
        <w:tab/>
      </w:r>
      <w:r w:rsidRPr="006665E6">
        <w:rPr>
          <w:sz w:val="20"/>
          <w:lang w:val="fr-CA"/>
        </w:rPr>
        <w:t>Procureurs de l’appelant : Raven, Cameron, Ballantyne &amp; Yazbeck, Ottawa.</w:t>
      </w:r>
    </w:p>
    <w:p w:rsidR="00F54716" w:rsidRDefault="00F54716" w:rsidP="00F54716">
      <w:pPr>
        <w:pStyle w:val="SCCLawFirm"/>
        <w:spacing w:line="240" w:lineRule="auto"/>
        <w:rPr>
          <w:sz w:val="20"/>
          <w:lang w:val="fr-CA"/>
        </w:rPr>
      </w:pPr>
    </w:p>
    <w:p w:rsidR="00F54716" w:rsidRPr="006665E6" w:rsidRDefault="00F54716" w:rsidP="00F54716">
      <w:pPr>
        <w:pStyle w:val="SCCLawFirm"/>
        <w:spacing w:line="240" w:lineRule="auto"/>
        <w:rPr>
          <w:sz w:val="20"/>
        </w:rPr>
      </w:pPr>
      <w:r w:rsidRPr="006665E6">
        <w:rPr>
          <w:sz w:val="20"/>
          <w:lang w:val="fr-CA"/>
        </w:rPr>
        <w:tab/>
      </w:r>
      <w:r w:rsidRPr="006665E6">
        <w:rPr>
          <w:sz w:val="20"/>
        </w:rPr>
        <w:t>Procureur de l’intimé Workers’ Compensation Board of Alberta : Workers’ Compensation Board of Alberta, Edmonton.</w:t>
      </w:r>
    </w:p>
    <w:p w:rsidR="00F54716" w:rsidRDefault="00F54716" w:rsidP="00F54716">
      <w:pPr>
        <w:pStyle w:val="SCCLawFirm"/>
        <w:spacing w:line="240" w:lineRule="auto"/>
        <w:rPr>
          <w:sz w:val="20"/>
        </w:rPr>
      </w:pPr>
    </w:p>
    <w:p w:rsidR="00F54716" w:rsidRPr="006665E6" w:rsidRDefault="00F54716" w:rsidP="00F54716">
      <w:pPr>
        <w:pStyle w:val="SCCLawFirm"/>
        <w:spacing w:line="240" w:lineRule="auto"/>
        <w:rPr>
          <w:sz w:val="20"/>
        </w:rPr>
      </w:pPr>
      <w:r w:rsidRPr="006665E6">
        <w:rPr>
          <w:sz w:val="20"/>
        </w:rPr>
        <w:tab/>
        <w:t>Procureur de l’intimée Appeals Commission for Alberta Workers’ Compensation : Appeals Commission for Alberta Workers’ Compensation, Edmonton.</w:t>
      </w:r>
    </w:p>
    <w:p w:rsidR="00F54716" w:rsidRDefault="00F54716" w:rsidP="00F54716">
      <w:pPr>
        <w:pStyle w:val="SCCLawFirm"/>
        <w:spacing w:line="240" w:lineRule="auto"/>
        <w:rPr>
          <w:sz w:val="20"/>
        </w:rPr>
      </w:pPr>
    </w:p>
    <w:p w:rsidR="00F54716" w:rsidRPr="006665E6" w:rsidRDefault="00F54716" w:rsidP="00F54716">
      <w:pPr>
        <w:pStyle w:val="SCCLawFirm"/>
        <w:spacing w:line="240" w:lineRule="auto"/>
        <w:rPr>
          <w:sz w:val="20"/>
          <w:lang w:val="en-US"/>
        </w:rPr>
      </w:pPr>
      <w:r w:rsidRPr="006665E6">
        <w:rPr>
          <w:sz w:val="20"/>
        </w:rPr>
        <w:tab/>
      </w:r>
      <w:r w:rsidRPr="006665E6">
        <w:rPr>
          <w:sz w:val="20"/>
          <w:lang w:val="en-US"/>
        </w:rPr>
        <w:t>Procureur de l’intimé le procureur general du Canada : Attorney General of Canada, Ottawa.</w:t>
      </w:r>
    </w:p>
    <w:p w:rsidR="00F54716" w:rsidRDefault="00F54716" w:rsidP="00F54716">
      <w:pPr>
        <w:pStyle w:val="SCCLawFirm"/>
        <w:spacing w:line="240" w:lineRule="auto"/>
        <w:rPr>
          <w:sz w:val="20"/>
          <w:lang w:val="en-US"/>
        </w:rPr>
      </w:pPr>
    </w:p>
    <w:p w:rsidR="00F54716" w:rsidRPr="006665E6" w:rsidRDefault="00F54716" w:rsidP="00F54716">
      <w:pPr>
        <w:pStyle w:val="SCCLawFirm"/>
        <w:spacing w:line="240" w:lineRule="auto"/>
        <w:rPr>
          <w:sz w:val="20"/>
        </w:rPr>
      </w:pPr>
      <w:r w:rsidRPr="006665E6">
        <w:rPr>
          <w:sz w:val="20"/>
          <w:lang w:val="en-US"/>
        </w:rPr>
        <w:tab/>
      </w:r>
      <w:r w:rsidRPr="006665E6">
        <w:rPr>
          <w:sz w:val="20"/>
        </w:rPr>
        <w:t>Procureur de l’intervenant Workers’ Compensation Board of British Columbia : Workers’ Compensation Board of British Columbia, Richmond.</w:t>
      </w:r>
    </w:p>
    <w:p w:rsidR="00F54716" w:rsidRDefault="00F54716" w:rsidP="00F54716">
      <w:pPr>
        <w:pStyle w:val="SCCLawFirm"/>
        <w:spacing w:line="240" w:lineRule="auto"/>
        <w:rPr>
          <w:sz w:val="20"/>
        </w:rPr>
      </w:pPr>
    </w:p>
    <w:p w:rsidR="00F54716" w:rsidRPr="006665E6" w:rsidRDefault="00F54716" w:rsidP="00F54716">
      <w:pPr>
        <w:pStyle w:val="SCCLawFirm"/>
        <w:spacing w:line="240" w:lineRule="auto"/>
        <w:rPr>
          <w:sz w:val="20"/>
          <w:lang w:val="fr-CA"/>
        </w:rPr>
      </w:pPr>
      <w:r w:rsidRPr="006665E6">
        <w:rPr>
          <w:sz w:val="20"/>
        </w:rPr>
        <w:tab/>
      </w:r>
      <w:r w:rsidRPr="006665E6">
        <w:rPr>
          <w:sz w:val="20"/>
          <w:lang w:val="fr-CA"/>
        </w:rPr>
        <w:t>Procureurs de l’intervenante la Commission de la santé et de la sécurité du travail : Vigneault Thibodeau Bergeron, Québec.</w:t>
      </w:r>
    </w:p>
    <w:p w:rsidR="00F54716" w:rsidRDefault="00F54716" w:rsidP="00F54716">
      <w:pPr>
        <w:pStyle w:val="SCCLawFirm"/>
        <w:spacing w:line="240" w:lineRule="auto"/>
        <w:rPr>
          <w:sz w:val="20"/>
          <w:lang w:val="fr-CA"/>
        </w:rPr>
      </w:pPr>
    </w:p>
    <w:p w:rsidR="00F54716" w:rsidRDefault="00F54716" w:rsidP="00F54716">
      <w:pPr>
        <w:pStyle w:val="SCCLawFirm"/>
        <w:spacing w:line="240" w:lineRule="auto"/>
        <w:rPr>
          <w:sz w:val="20"/>
        </w:rPr>
      </w:pPr>
      <w:r w:rsidRPr="006665E6">
        <w:rPr>
          <w:sz w:val="20"/>
          <w:lang w:val="fr-CA"/>
        </w:rPr>
        <w:tab/>
      </w:r>
      <w:r w:rsidRPr="006665E6">
        <w:rPr>
          <w:sz w:val="20"/>
        </w:rPr>
        <w:t>Procureurs de l’intervenant Workers’ Compensation Board of Nova Scotia : Stewart McKelvey, Halifax.</w:t>
      </w:r>
    </w:p>
    <w:p w:rsidR="00902E51" w:rsidRPr="00F54716" w:rsidRDefault="00902E51" w:rsidP="00902E51">
      <w:pPr>
        <w:rPr>
          <w:sz w:val="20"/>
          <w:szCs w:val="20"/>
        </w:rPr>
      </w:pPr>
    </w:p>
    <w:p w:rsidR="00902E51" w:rsidRDefault="004F01F8" w:rsidP="00902E51">
      <w:pPr>
        <w:rPr>
          <w:rFonts w:cs="Times New Roman"/>
          <w:sz w:val="20"/>
          <w:szCs w:val="20"/>
          <w:lang w:val="fr-CA"/>
        </w:rPr>
      </w:pPr>
      <w:r>
        <w:rPr>
          <w:rFonts w:cs="Times New Roman"/>
          <w:sz w:val="20"/>
          <w:szCs w:val="20"/>
          <w:lang w:val="fr-CA"/>
        </w:rPr>
        <w:pict>
          <v:rect id="_x0000_i1082" style="width:144.3pt;height:1pt" o:hrpct="300" o:hralign="center" o:hrstd="t" o:hrnoshade="t" o:hr="t" fillcolor="black [3213]" stroked="f"/>
        </w:pict>
      </w:r>
    </w:p>
    <w:p w:rsidR="003B3977" w:rsidRPr="003F4721" w:rsidRDefault="003B3977"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85"/>
          <w:headerReference w:type="default" r:id="rId86"/>
          <w:footerReference w:type="even" r:id="rId87"/>
          <w:footerReference w:type="default" r:id="rId88"/>
          <w:headerReference w:type="first" r:id="rId89"/>
          <w:footerReference w:type="first" r:id="rId90"/>
          <w:pgSz w:w="12240" w:h="15840"/>
          <w:pgMar w:top="720" w:right="965" w:bottom="1080" w:left="1656" w:header="576" w:footer="960" w:gutter="0"/>
          <w:cols w:space="720"/>
          <w:titlePg/>
          <w:docGrid w:linePitch="272"/>
        </w:sectPr>
      </w:pPr>
    </w:p>
    <w:p w:rsidR="0081610A" w:rsidRPr="002E0C7E" w:rsidRDefault="006A1D9A" w:rsidP="0081610A">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81610A"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610A" w:rsidRPr="002E0C7E">
        <w:rPr>
          <w:rFonts w:asciiTheme="minorHAnsi" w:hAnsiTheme="minorHAnsi" w:cstheme="minorHAnsi"/>
          <w:b/>
          <w:szCs w:val="24"/>
        </w:rPr>
        <w:t xml:space="preserve">SUPREME COURT OF CANADA SCHEDULE / </w:t>
      </w:r>
      <w:r w:rsidR="0081610A" w:rsidRPr="00743E53">
        <w:rPr>
          <w:rFonts w:asciiTheme="minorHAnsi" w:hAnsiTheme="minorHAnsi" w:cstheme="minorHAnsi"/>
          <w:b/>
          <w:szCs w:val="24"/>
          <w:lang w:val="fr-CA"/>
        </w:rPr>
        <w:t>CALENDRIER DE LA COUR SUPR</w:t>
      </w:r>
      <w:r w:rsidR="0081610A">
        <w:rPr>
          <w:rFonts w:asciiTheme="minorHAnsi" w:hAnsiTheme="minorHAnsi" w:cstheme="minorHAnsi"/>
          <w:b/>
          <w:szCs w:val="24"/>
          <w:lang w:val="fr-CA"/>
        </w:rPr>
        <w:t>Ê</w:t>
      </w:r>
      <w:r w:rsidR="0081610A" w:rsidRPr="00743E53">
        <w:rPr>
          <w:rFonts w:asciiTheme="minorHAnsi" w:hAnsiTheme="minorHAnsi" w:cstheme="minorHAnsi"/>
          <w:b/>
          <w:szCs w:val="24"/>
          <w:lang w:val="fr-CA"/>
        </w:rPr>
        <w:t>ME</w:t>
      </w:r>
    </w:p>
    <w:p w:rsidR="0081610A" w:rsidRPr="002E0C7E" w:rsidRDefault="0081610A" w:rsidP="0081610A">
      <w:pPr>
        <w:widowControl w:val="0"/>
        <w:spacing w:line="180" w:lineRule="auto"/>
        <w:rPr>
          <w:rFonts w:asciiTheme="minorHAnsi" w:hAnsiTheme="minorHAnsi" w:cstheme="minorHAnsi"/>
          <w:szCs w:val="24"/>
        </w:rPr>
      </w:pPr>
    </w:p>
    <w:p w:rsidR="0081610A" w:rsidRPr="002E0C7E" w:rsidRDefault="0081610A" w:rsidP="0081610A">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610A" w:rsidRPr="002E0C7E" w:rsidTr="001B1E7F">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1B1E7F">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1B1E7F">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1B1E7F">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1B1E7F">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1B1E7F">
            <w:pPr>
              <w:widowControl w:val="0"/>
              <w:jc w:val="center"/>
              <w:rPr>
                <w:rFonts w:ascii="Arial" w:hAnsi="Arial"/>
                <w:sz w:val="14"/>
              </w:rPr>
            </w:pPr>
            <w:r w:rsidRPr="002E0C7E">
              <w:rPr>
                <w:rFonts w:ascii="Arial" w:hAnsi="Arial"/>
                <w:b/>
                <w:sz w:val="14"/>
              </w:rPr>
              <w:t>DECEMBER - DÉCEMBRE</w:t>
            </w:r>
          </w:p>
        </w:tc>
      </w:tr>
      <w:tr w:rsidR="0081610A" w:rsidRPr="002E0C7E" w:rsidTr="001B1E7F">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r w:rsidRPr="002E0C7E">
              <w:rPr>
                <w:rFonts w:ascii="Arial" w:hAnsi="Arial"/>
                <w:sz w:val="14"/>
              </w:rPr>
              <w:t>S</w:t>
            </w:r>
          </w:p>
          <w:p w:rsidR="0081610A" w:rsidRPr="002E0C7E" w:rsidRDefault="0081610A" w:rsidP="001B1E7F">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r w:rsidRPr="002E0C7E">
              <w:rPr>
                <w:rFonts w:ascii="Arial" w:hAnsi="Arial"/>
                <w:sz w:val="14"/>
              </w:rPr>
              <w:t>M</w:t>
            </w:r>
          </w:p>
          <w:p w:rsidR="0081610A" w:rsidRPr="002E0C7E" w:rsidRDefault="0081610A" w:rsidP="001B1E7F">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r w:rsidRPr="002E0C7E">
              <w:rPr>
                <w:rFonts w:ascii="Arial" w:hAnsi="Arial"/>
                <w:sz w:val="14"/>
              </w:rPr>
              <w:t>T</w:t>
            </w:r>
          </w:p>
          <w:p w:rsidR="0081610A" w:rsidRPr="002E0C7E" w:rsidRDefault="0081610A" w:rsidP="001B1E7F">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r w:rsidRPr="002E0C7E">
              <w:rPr>
                <w:rFonts w:ascii="Arial" w:hAnsi="Arial"/>
                <w:sz w:val="14"/>
              </w:rPr>
              <w:t>W</w:t>
            </w:r>
          </w:p>
          <w:p w:rsidR="0081610A" w:rsidRPr="002E0C7E" w:rsidRDefault="0081610A" w:rsidP="001B1E7F">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r w:rsidRPr="002E0C7E">
              <w:rPr>
                <w:rFonts w:ascii="Arial" w:hAnsi="Arial"/>
                <w:sz w:val="14"/>
              </w:rPr>
              <w:t>T</w:t>
            </w:r>
          </w:p>
          <w:p w:rsidR="0081610A" w:rsidRPr="002E0C7E" w:rsidRDefault="0081610A" w:rsidP="001B1E7F">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r w:rsidRPr="002E0C7E">
              <w:rPr>
                <w:rFonts w:ascii="Arial" w:hAnsi="Arial"/>
                <w:sz w:val="14"/>
              </w:rPr>
              <w:t>F</w:t>
            </w:r>
          </w:p>
          <w:p w:rsidR="0081610A" w:rsidRPr="002E0C7E" w:rsidRDefault="0081610A" w:rsidP="001B1E7F">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r w:rsidRPr="002E0C7E">
              <w:rPr>
                <w:rFonts w:ascii="Arial" w:hAnsi="Arial"/>
                <w:sz w:val="14"/>
              </w:rPr>
              <w:t>S</w:t>
            </w:r>
          </w:p>
          <w:p w:rsidR="0081610A" w:rsidRPr="002E0C7E" w:rsidRDefault="0081610A" w:rsidP="001B1E7F">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r w:rsidRPr="002E0C7E">
              <w:rPr>
                <w:rFonts w:ascii="Arial" w:hAnsi="Arial"/>
                <w:sz w:val="14"/>
              </w:rPr>
              <w:t>S</w:t>
            </w:r>
          </w:p>
          <w:p w:rsidR="0081610A" w:rsidRPr="002E0C7E" w:rsidRDefault="0081610A" w:rsidP="001B1E7F">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r w:rsidRPr="002E0C7E">
              <w:rPr>
                <w:rFonts w:ascii="Arial" w:hAnsi="Arial"/>
                <w:sz w:val="14"/>
              </w:rPr>
              <w:t>M</w:t>
            </w:r>
          </w:p>
          <w:p w:rsidR="0081610A" w:rsidRPr="002E0C7E" w:rsidRDefault="0081610A" w:rsidP="001B1E7F">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r w:rsidRPr="002E0C7E">
              <w:rPr>
                <w:rFonts w:ascii="Arial" w:hAnsi="Arial"/>
                <w:sz w:val="14"/>
              </w:rPr>
              <w:t>T</w:t>
            </w:r>
          </w:p>
          <w:p w:rsidR="0081610A" w:rsidRPr="002E0C7E" w:rsidRDefault="0081610A" w:rsidP="001B1E7F">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r w:rsidRPr="002E0C7E">
              <w:rPr>
                <w:rFonts w:ascii="Arial" w:hAnsi="Arial"/>
                <w:sz w:val="14"/>
              </w:rPr>
              <w:t>W</w:t>
            </w:r>
          </w:p>
          <w:p w:rsidR="0081610A" w:rsidRPr="002E0C7E" w:rsidRDefault="0081610A" w:rsidP="001B1E7F">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r w:rsidRPr="002E0C7E">
              <w:rPr>
                <w:rFonts w:ascii="Arial" w:hAnsi="Arial"/>
                <w:sz w:val="14"/>
              </w:rPr>
              <w:t>T</w:t>
            </w:r>
          </w:p>
          <w:p w:rsidR="0081610A" w:rsidRPr="002E0C7E" w:rsidRDefault="0081610A" w:rsidP="001B1E7F">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r w:rsidRPr="002E0C7E">
              <w:rPr>
                <w:rFonts w:ascii="Arial" w:hAnsi="Arial"/>
                <w:sz w:val="14"/>
              </w:rPr>
              <w:t>F</w:t>
            </w:r>
          </w:p>
          <w:p w:rsidR="0081610A" w:rsidRPr="002E0C7E" w:rsidRDefault="0081610A" w:rsidP="001B1E7F">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r w:rsidRPr="002E0C7E">
              <w:rPr>
                <w:rFonts w:ascii="Arial" w:hAnsi="Arial"/>
                <w:sz w:val="14"/>
              </w:rPr>
              <w:t>S</w:t>
            </w:r>
          </w:p>
          <w:p w:rsidR="0081610A" w:rsidRPr="002E0C7E" w:rsidRDefault="0081610A" w:rsidP="001B1E7F">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r w:rsidRPr="002E0C7E">
              <w:rPr>
                <w:rFonts w:ascii="Arial" w:hAnsi="Arial"/>
                <w:sz w:val="14"/>
              </w:rPr>
              <w:t>S</w:t>
            </w:r>
          </w:p>
          <w:p w:rsidR="0081610A" w:rsidRPr="002E0C7E" w:rsidRDefault="0081610A" w:rsidP="001B1E7F">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r w:rsidRPr="002E0C7E">
              <w:rPr>
                <w:rFonts w:ascii="Arial" w:hAnsi="Arial"/>
                <w:sz w:val="14"/>
              </w:rPr>
              <w:t>M</w:t>
            </w:r>
          </w:p>
          <w:p w:rsidR="0081610A" w:rsidRPr="002E0C7E" w:rsidRDefault="0081610A" w:rsidP="001B1E7F">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r w:rsidRPr="002E0C7E">
              <w:rPr>
                <w:rFonts w:ascii="Arial" w:hAnsi="Arial"/>
                <w:sz w:val="14"/>
              </w:rPr>
              <w:t>T</w:t>
            </w:r>
          </w:p>
          <w:p w:rsidR="0081610A" w:rsidRPr="002E0C7E" w:rsidRDefault="0081610A" w:rsidP="001B1E7F">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r w:rsidRPr="002E0C7E">
              <w:rPr>
                <w:rFonts w:ascii="Arial" w:hAnsi="Arial"/>
                <w:sz w:val="14"/>
              </w:rPr>
              <w:t>W</w:t>
            </w:r>
          </w:p>
          <w:p w:rsidR="0081610A" w:rsidRPr="002E0C7E" w:rsidRDefault="0081610A" w:rsidP="001B1E7F">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r w:rsidRPr="002E0C7E">
              <w:rPr>
                <w:rFonts w:ascii="Arial" w:hAnsi="Arial"/>
                <w:sz w:val="14"/>
              </w:rPr>
              <w:t>T</w:t>
            </w:r>
          </w:p>
          <w:p w:rsidR="0081610A" w:rsidRPr="002E0C7E" w:rsidRDefault="0081610A" w:rsidP="001B1E7F">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r w:rsidRPr="002E0C7E">
              <w:rPr>
                <w:rFonts w:ascii="Arial" w:hAnsi="Arial"/>
                <w:sz w:val="14"/>
              </w:rPr>
              <w:t>F</w:t>
            </w:r>
          </w:p>
          <w:p w:rsidR="0081610A" w:rsidRPr="002E0C7E" w:rsidRDefault="0081610A" w:rsidP="001B1E7F">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r w:rsidRPr="002E0C7E">
              <w:rPr>
                <w:rFonts w:ascii="Arial" w:hAnsi="Arial"/>
                <w:sz w:val="14"/>
              </w:rPr>
              <w:t>S</w:t>
            </w:r>
          </w:p>
          <w:p w:rsidR="0081610A" w:rsidRPr="002E0C7E" w:rsidRDefault="0081610A" w:rsidP="001B1E7F">
            <w:pPr>
              <w:widowControl w:val="0"/>
              <w:jc w:val="center"/>
              <w:rPr>
                <w:rFonts w:ascii="Arial" w:hAnsi="Arial"/>
                <w:sz w:val="14"/>
              </w:rPr>
            </w:pPr>
            <w:r w:rsidRPr="002E0C7E">
              <w:rPr>
                <w:rFonts w:ascii="Arial" w:hAnsi="Arial"/>
                <w:sz w:val="14"/>
              </w:rPr>
              <w:t>S</w:t>
            </w:r>
          </w:p>
        </w:tc>
      </w:tr>
      <w:tr w:rsidR="0081610A" w:rsidRPr="002E0C7E" w:rsidTr="001B1E7F">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35CC4" w:rsidRDefault="0081610A" w:rsidP="001B1E7F">
            <w:pPr>
              <w:widowControl w:val="0"/>
              <w:jc w:val="center"/>
              <w:rPr>
                <w:rFonts w:ascii="Arial" w:hAnsi="Arial"/>
                <w:b/>
                <w:sz w:val="14"/>
              </w:rPr>
            </w:pPr>
            <w:r>
              <w:rPr>
                <w:rFonts w:ascii="Arial" w:hAnsi="Arial"/>
                <w:b/>
                <w:sz w:val="14"/>
              </w:rPr>
              <w:t>M</w:t>
            </w:r>
          </w:p>
          <w:p w:rsidR="0081610A" w:rsidRPr="002E0C7E" w:rsidRDefault="0081610A" w:rsidP="001B1E7F">
            <w:pPr>
              <w:widowControl w:val="0"/>
              <w:jc w:val="center"/>
              <w:rPr>
                <w:rFonts w:ascii="Arial" w:hAnsi="Arial"/>
                <w:sz w:val="14"/>
              </w:rPr>
            </w:pP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7</w:t>
            </w:r>
          </w:p>
        </w:tc>
      </w:tr>
      <w:tr w:rsidR="0081610A" w:rsidRPr="002E0C7E" w:rsidTr="001B1E7F">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C583B" w:rsidRDefault="0081610A" w:rsidP="001B1E7F">
            <w:pPr>
              <w:widowControl w:val="0"/>
              <w:jc w:val="center"/>
              <w:rPr>
                <w:rFonts w:ascii="Arial" w:hAnsi="Arial"/>
                <w:b/>
                <w:sz w:val="14"/>
              </w:rPr>
            </w:pPr>
            <w:r>
              <w:rPr>
                <w:rFonts w:ascii="Arial" w:hAnsi="Arial"/>
                <w:b/>
                <w:sz w:val="14"/>
              </w:rPr>
              <w:t>M</w:t>
            </w:r>
          </w:p>
          <w:p w:rsidR="0081610A" w:rsidRPr="002E0C7E" w:rsidRDefault="0081610A" w:rsidP="001B1E7F">
            <w:pPr>
              <w:widowControl w:val="0"/>
              <w:jc w:val="center"/>
              <w:rPr>
                <w:rFonts w:ascii="Arial" w:hAnsi="Arial"/>
                <w:sz w:val="14"/>
              </w:rPr>
            </w:pPr>
            <w:r>
              <w:rPr>
                <w:rFonts w:ascii="Arial" w:hAnsi="Arial"/>
                <w:sz w:val="14"/>
              </w:rPr>
              <w:t>7</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0C583B" w:rsidRDefault="0081610A" w:rsidP="001B1E7F">
            <w:pPr>
              <w:widowControl w:val="0"/>
              <w:jc w:val="center"/>
              <w:rPr>
                <w:rFonts w:ascii="Arial" w:hAnsi="Arial"/>
                <w:b/>
                <w:sz w:val="14"/>
              </w:rPr>
            </w:pPr>
          </w:p>
          <w:p w:rsidR="0081610A" w:rsidRPr="002E0C7E" w:rsidRDefault="0081610A" w:rsidP="001B1E7F">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12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3</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r w:rsidRPr="002E0C7E">
              <w:rPr>
                <w:rFonts w:ascii="Arial" w:hAnsi="Arial"/>
                <w:b/>
                <w:sz w:val="14"/>
              </w:rPr>
              <w:t>M</w:t>
            </w:r>
          </w:p>
          <w:p w:rsidR="0081610A" w:rsidRPr="002E0C7E" w:rsidRDefault="0081610A" w:rsidP="001B1E7F">
            <w:pPr>
              <w:widowControl w:val="0"/>
              <w:jc w:val="center"/>
              <w:rPr>
                <w:rFonts w:ascii="Arial" w:hAnsi="Arial"/>
                <w:sz w:val="14"/>
              </w:rPr>
            </w:pP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8</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14</w:t>
            </w:r>
          </w:p>
        </w:tc>
      </w:tr>
      <w:tr w:rsidR="0081610A" w:rsidRPr="002E0C7E" w:rsidTr="001B1E7F">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0C583B" w:rsidRDefault="0081610A" w:rsidP="001B1E7F">
            <w:pPr>
              <w:widowControl w:val="0"/>
              <w:jc w:val="center"/>
              <w:rPr>
                <w:rFonts w:ascii="Arial" w:hAnsi="Arial"/>
                <w:b/>
                <w:sz w:val="14"/>
              </w:rPr>
            </w:pPr>
            <w:r>
              <w:rPr>
                <w:rFonts w:ascii="Arial" w:hAnsi="Arial"/>
                <w:b/>
                <w:sz w:val="14"/>
              </w:rPr>
              <w:t>H</w:t>
            </w:r>
          </w:p>
          <w:p w:rsidR="0081610A" w:rsidRPr="002E0C7E" w:rsidRDefault="0081610A" w:rsidP="001B1E7F">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0C583B"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19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4030BA" w:rsidRDefault="0081610A" w:rsidP="001B1E7F">
            <w:pPr>
              <w:widowControl w:val="0"/>
              <w:jc w:val="center"/>
              <w:rPr>
                <w:rFonts w:ascii="Arial" w:hAnsi="Arial"/>
                <w:sz w:val="14"/>
              </w:rPr>
            </w:pPr>
            <w:r>
              <w:rPr>
                <w:rFonts w:ascii="Arial" w:hAnsi="Arial"/>
                <w:b/>
                <w:sz w:val="14"/>
              </w:rPr>
              <w:t>H</w:t>
            </w:r>
          </w:p>
          <w:p w:rsidR="0081610A" w:rsidRPr="002E0C7E" w:rsidRDefault="0081610A" w:rsidP="001B1E7F">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1B1E7F">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1B1E7F">
            <w:pPr>
              <w:widowControl w:val="0"/>
              <w:jc w:val="center"/>
              <w:rPr>
                <w:rFonts w:ascii="Arial" w:hAnsi="Arial"/>
                <w:b/>
                <w:sz w:val="14"/>
              </w:rPr>
            </w:pPr>
            <w:r>
              <w:rPr>
                <w:rFonts w:ascii="Arial" w:hAnsi="Arial"/>
                <w:b/>
                <w:sz w:val="14"/>
              </w:rPr>
              <w:t>H</w:t>
            </w:r>
          </w:p>
          <w:p w:rsidR="0081610A" w:rsidRPr="002E0C7E" w:rsidRDefault="0081610A" w:rsidP="001B1E7F">
            <w:pPr>
              <w:widowControl w:val="0"/>
              <w:jc w:val="center"/>
              <w:rPr>
                <w:rFonts w:ascii="Arial" w:hAnsi="Arial"/>
                <w:sz w:val="14"/>
              </w:rPr>
            </w:pPr>
            <w:r>
              <w:rPr>
                <w:rFonts w:ascii="Arial" w:hAnsi="Arial"/>
                <w:sz w:val="14"/>
              </w:rPr>
              <w:t>25</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1B1E7F">
            <w:pPr>
              <w:widowControl w:val="0"/>
              <w:jc w:val="center"/>
              <w:rPr>
                <w:rFonts w:ascii="Arial" w:hAnsi="Arial"/>
                <w:b/>
                <w:sz w:val="14"/>
              </w:rPr>
            </w:pPr>
            <w:r>
              <w:rPr>
                <w:rFonts w:ascii="Arial" w:hAnsi="Arial"/>
                <w:b/>
                <w:sz w:val="14"/>
              </w:rPr>
              <w:t>H</w:t>
            </w:r>
          </w:p>
          <w:p w:rsidR="0081610A" w:rsidRPr="002E0C7E" w:rsidRDefault="0081610A" w:rsidP="001B1E7F">
            <w:pPr>
              <w:widowControl w:val="0"/>
              <w:jc w:val="center"/>
              <w:rPr>
                <w:rFonts w:ascii="Arial" w:hAnsi="Arial"/>
                <w:sz w:val="14"/>
              </w:rPr>
            </w:pPr>
            <w:r>
              <w:rPr>
                <w:rFonts w:ascii="Arial" w:hAnsi="Arial"/>
                <w:sz w:val="14"/>
              </w:rPr>
              <w:t>26</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1B1E7F">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4" w:space="0" w:color="auto"/>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p>
        </w:tc>
      </w:tr>
    </w:tbl>
    <w:p w:rsidR="0081610A" w:rsidRPr="002E0C7E" w:rsidRDefault="0081610A" w:rsidP="0081610A">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610A" w:rsidRPr="002E0C7E" w:rsidTr="001B1E7F">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1B1E7F">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1B1E7F">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1B1E7F">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1B1E7F">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1B1E7F">
            <w:pPr>
              <w:widowControl w:val="0"/>
              <w:jc w:val="center"/>
              <w:rPr>
                <w:rFonts w:ascii="Arial" w:hAnsi="Arial"/>
                <w:sz w:val="14"/>
              </w:rPr>
            </w:pPr>
            <w:r w:rsidRPr="002E0C7E">
              <w:rPr>
                <w:rFonts w:ascii="Arial" w:hAnsi="Arial"/>
                <w:b/>
                <w:sz w:val="14"/>
              </w:rPr>
              <w:t>MARCH - MARS</w:t>
            </w:r>
          </w:p>
        </w:tc>
      </w:tr>
      <w:tr w:rsidR="0081610A" w:rsidRPr="002E0C7E" w:rsidTr="001B1E7F">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r w:rsidRPr="002E0C7E">
              <w:rPr>
                <w:rFonts w:ascii="Arial" w:hAnsi="Arial"/>
                <w:sz w:val="14"/>
              </w:rPr>
              <w:t>S</w:t>
            </w:r>
          </w:p>
          <w:p w:rsidR="0081610A" w:rsidRPr="002E0C7E" w:rsidRDefault="0081610A" w:rsidP="001B1E7F">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r w:rsidRPr="002E0C7E">
              <w:rPr>
                <w:rFonts w:ascii="Arial" w:hAnsi="Arial"/>
                <w:sz w:val="14"/>
              </w:rPr>
              <w:t>M</w:t>
            </w:r>
          </w:p>
          <w:p w:rsidR="0081610A" w:rsidRPr="002E0C7E" w:rsidRDefault="0081610A" w:rsidP="001B1E7F">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r w:rsidRPr="002E0C7E">
              <w:rPr>
                <w:rFonts w:ascii="Arial" w:hAnsi="Arial"/>
                <w:sz w:val="14"/>
              </w:rPr>
              <w:t>T</w:t>
            </w:r>
          </w:p>
          <w:p w:rsidR="0081610A" w:rsidRPr="002E0C7E" w:rsidRDefault="0081610A" w:rsidP="001B1E7F">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r w:rsidRPr="002E0C7E">
              <w:rPr>
                <w:rFonts w:ascii="Arial" w:hAnsi="Arial"/>
                <w:sz w:val="14"/>
              </w:rPr>
              <w:t>W</w:t>
            </w:r>
          </w:p>
          <w:p w:rsidR="0081610A" w:rsidRPr="002E0C7E" w:rsidRDefault="0081610A" w:rsidP="001B1E7F">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r w:rsidRPr="002E0C7E">
              <w:rPr>
                <w:rFonts w:ascii="Arial" w:hAnsi="Arial"/>
                <w:sz w:val="14"/>
              </w:rPr>
              <w:t>T</w:t>
            </w:r>
          </w:p>
          <w:p w:rsidR="0081610A" w:rsidRPr="002E0C7E" w:rsidRDefault="0081610A" w:rsidP="001B1E7F">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r w:rsidRPr="002E0C7E">
              <w:rPr>
                <w:rFonts w:ascii="Arial" w:hAnsi="Arial"/>
                <w:sz w:val="14"/>
              </w:rPr>
              <w:t>F</w:t>
            </w:r>
          </w:p>
          <w:p w:rsidR="0081610A" w:rsidRPr="002E0C7E" w:rsidRDefault="0081610A" w:rsidP="001B1E7F">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r w:rsidRPr="002E0C7E">
              <w:rPr>
                <w:rFonts w:ascii="Arial" w:hAnsi="Arial"/>
                <w:sz w:val="14"/>
              </w:rPr>
              <w:t>S</w:t>
            </w:r>
          </w:p>
          <w:p w:rsidR="0081610A" w:rsidRPr="002E0C7E" w:rsidRDefault="0081610A" w:rsidP="001B1E7F">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r w:rsidRPr="002E0C7E">
              <w:rPr>
                <w:rFonts w:ascii="Arial" w:hAnsi="Arial"/>
                <w:sz w:val="14"/>
              </w:rPr>
              <w:t>S</w:t>
            </w:r>
          </w:p>
          <w:p w:rsidR="0081610A" w:rsidRPr="002E0C7E" w:rsidRDefault="0081610A" w:rsidP="001B1E7F">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r w:rsidRPr="002E0C7E">
              <w:rPr>
                <w:rFonts w:ascii="Arial" w:hAnsi="Arial"/>
                <w:sz w:val="14"/>
              </w:rPr>
              <w:t>M</w:t>
            </w:r>
          </w:p>
          <w:p w:rsidR="0081610A" w:rsidRPr="002E0C7E" w:rsidRDefault="0081610A" w:rsidP="001B1E7F">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r w:rsidRPr="002E0C7E">
              <w:rPr>
                <w:rFonts w:ascii="Arial" w:hAnsi="Arial"/>
                <w:sz w:val="14"/>
              </w:rPr>
              <w:t>T</w:t>
            </w:r>
          </w:p>
          <w:p w:rsidR="0081610A" w:rsidRPr="002E0C7E" w:rsidRDefault="0081610A" w:rsidP="001B1E7F">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r w:rsidRPr="002E0C7E">
              <w:rPr>
                <w:rFonts w:ascii="Arial" w:hAnsi="Arial"/>
                <w:sz w:val="14"/>
              </w:rPr>
              <w:t>W</w:t>
            </w:r>
          </w:p>
          <w:p w:rsidR="0081610A" w:rsidRPr="002E0C7E" w:rsidRDefault="0081610A" w:rsidP="001B1E7F">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r w:rsidRPr="002E0C7E">
              <w:rPr>
                <w:rFonts w:ascii="Arial" w:hAnsi="Arial"/>
                <w:sz w:val="14"/>
              </w:rPr>
              <w:t>T</w:t>
            </w:r>
          </w:p>
          <w:p w:rsidR="0081610A" w:rsidRPr="002E0C7E" w:rsidRDefault="0081610A" w:rsidP="001B1E7F">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r w:rsidRPr="002E0C7E">
              <w:rPr>
                <w:rFonts w:ascii="Arial" w:hAnsi="Arial"/>
                <w:sz w:val="14"/>
              </w:rPr>
              <w:t>F</w:t>
            </w:r>
          </w:p>
          <w:p w:rsidR="0081610A" w:rsidRPr="002E0C7E" w:rsidRDefault="0081610A" w:rsidP="001B1E7F">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r w:rsidRPr="002E0C7E">
              <w:rPr>
                <w:rFonts w:ascii="Arial" w:hAnsi="Arial"/>
                <w:sz w:val="14"/>
              </w:rPr>
              <w:t>S</w:t>
            </w:r>
          </w:p>
          <w:p w:rsidR="0081610A" w:rsidRPr="002E0C7E" w:rsidRDefault="0081610A" w:rsidP="001B1E7F">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r w:rsidRPr="002E0C7E">
              <w:rPr>
                <w:rFonts w:ascii="Arial" w:hAnsi="Arial"/>
                <w:sz w:val="14"/>
              </w:rPr>
              <w:t>S</w:t>
            </w:r>
          </w:p>
          <w:p w:rsidR="0081610A" w:rsidRPr="002E0C7E" w:rsidRDefault="0081610A" w:rsidP="001B1E7F">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r w:rsidRPr="002E0C7E">
              <w:rPr>
                <w:rFonts w:ascii="Arial" w:hAnsi="Arial"/>
                <w:sz w:val="14"/>
              </w:rPr>
              <w:t>M</w:t>
            </w:r>
          </w:p>
          <w:p w:rsidR="0081610A" w:rsidRPr="002E0C7E" w:rsidRDefault="0081610A" w:rsidP="001B1E7F">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r w:rsidRPr="002E0C7E">
              <w:rPr>
                <w:rFonts w:ascii="Arial" w:hAnsi="Arial"/>
                <w:sz w:val="14"/>
              </w:rPr>
              <w:t>T</w:t>
            </w:r>
          </w:p>
          <w:p w:rsidR="0081610A" w:rsidRPr="002E0C7E" w:rsidRDefault="0081610A" w:rsidP="001B1E7F">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r w:rsidRPr="002E0C7E">
              <w:rPr>
                <w:rFonts w:ascii="Arial" w:hAnsi="Arial"/>
                <w:sz w:val="14"/>
              </w:rPr>
              <w:t>W</w:t>
            </w:r>
          </w:p>
          <w:p w:rsidR="0081610A" w:rsidRPr="002E0C7E" w:rsidRDefault="0081610A" w:rsidP="001B1E7F">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r w:rsidRPr="002E0C7E">
              <w:rPr>
                <w:rFonts w:ascii="Arial" w:hAnsi="Arial"/>
                <w:sz w:val="14"/>
              </w:rPr>
              <w:t>T</w:t>
            </w:r>
          </w:p>
          <w:p w:rsidR="0081610A" w:rsidRPr="002E0C7E" w:rsidRDefault="0081610A" w:rsidP="001B1E7F">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r w:rsidRPr="002E0C7E">
              <w:rPr>
                <w:rFonts w:ascii="Arial" w:hAnsi="Arial"/>
                <w:sz w:val="14"/>
              </w:rPr>
              <w:t>F</w:t>
            </w:r>
          </w:p>
          <w:p w:rsidR="0081610A" w:rsidRPr="002E0C7E" w:rsidRDefault="0081610A" w:rsidP="001B1E7F">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r w:rsidRPr="002E0C7E">
              <w:rPr>
                <w:rFonts w:ascii="Arial" w:hAnsi="Arial"/>
                <w:sz w:val="14"/>
              </w:rPr>
              <w:t>S</w:t>
            </w:r>
          </w:p>
          <w:p w:rsidR="0081610A" w:rsidRPr="002E0C7E" w:rsidRDefault="0081610A" w:rsidP="001B1E7F">
            <w:pPr>
              <w:widowControl w:val="0"/>
              <w:jc w:val="center"/>
              <w:rPr>
                <w:rFonts w:ascii="Arial" w:hAnsi="Arial"/>
                <w:sz w:val="14"/>
              </w:rPr>
            </w:pPr>
            <w:r w:rsidRPr="002E0C7E">
              <w:rPr>
                <w:rFonts w:ascii="Arial" w:hAnsi="Arial"/>
                <w:sz w:val="14"/>
              </w:rPr>
              <w:t>S</w:t>
            </w:r>
          </w:p>
        </w:tc>
      </w:tr>
      <w:tr w:rsidR="0081610A" w:rsidRPr="002E0C7E" w:rsidTr="001B1E7F">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317A69" w:rsidRDefault="0081610A" w:rsidP="001B1E7F">
            <w:pPr>
              <w:widowControl w:val="0"/>
              <w:jc w:val="center"/>
              <w:rPr>
                <w:rFonts w:ascii="Arial" w:hAnsi="Arial"/>
                <w:b/>
                <w:sz w:val="14"/>
              </w:rPr>
            </w:pPr>
          </w:p>
          <w:p w:rsidR="0081610A" w:rsidRPr="002E0C7E" w:rsidRDefault="0081610A" w:rsidP="001B1E7F">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1B1E7F">
            <w:pPr>
              <w:widowControl w:val="0"/>
              <w:jc w:val="center"/>
              <w:rPr>
                <w:rFonts w:ascii="Arial" w:hAnsi="Arial"/>
                <w:b/>
                <w:sz w:val="14"/>
              </w:rPr>
            </w:pPr>
            <w:r>
              <w:rPr>
                <w:rFonts w:ascii="Arial" w:hAnsi="Arial"/>
                <w:b/>
                <w:sz w:val="14"/>
              </w:rPr>
              <w:t>H</w:t>
            </w:r>
          </w:p>
          <w:p w:rsidR="0081610A" w:rsidRPr="002E0C7E" w:rsidRDefault="0081610A" w:rsidP="001B1E7F">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1</w:t>
            </w:r>
          </w:p>
        </w:tc>
      </w:tr>
      <w:tr w:rsidR="0081610A" w:rsidRPr="002E0C7E" w:rsidTr="001B1E7F">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8</w:t>
            </w:r>
          </w:p>
        </w:tc>
      </w:tr>
      <w:tr w:rsidR="0081610A" w:rsidRPr="002E0C7E" w:rsidTr="001B1E7F">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7255AD" w:rsidRDefault="0081610A" w:rsidP="001B1E7F">
            <w:pPr>
              <w:widowControl w:val="0"/>
              <w:jc w:val="center"/>
              <w:rPr>
                <w:rFonts w:ascii="Arial" w:hAnsi="Arial"/>
                <w:b/>
                <w:sz w:val="14"/>
              </w:rPr>
            </w:pPr>
            <w:r>
              <w:rPr>
                <w:rFonts w:ascii="Arial" w:hAnsi="Arial"/>
                <w:b/>
                <w:sz w:val="14"/>
              </w:rPr>
              <w:t>M</w:t>
            </w:r>
          </w:p>
          <w:p w:rsidR="0081610A" w:rsidRPr="002E0C7E" w:rsidRDefault="0081610A" w:rsidP="001B1E7F">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9</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0E2B85" w:rsidRDefault="0081610A" w:rsidP="001B1E7F">
            <w:pPr>
              <w:widowControl w:val="0"/>
              <w:jc w:val="center"/>
              <w:rPr>
                <w:rFonts w:ascii="Arial" w:hAnsi="Arial"/>
                <w:b/>
                <w:sz w:val="14"/>
              </w:rPr>
            </w:pPr>
            <w:r>
              <w:rPr>
                <w:rFonts w:ascii="Arial" w:hAnsi="Arial"/>
                <w:b/>
                <w:sz w:val="14"/>
              </w:rPr>
              <w:t>M</w:t>
            </w:r>
          </w:p>
          <w:p w:rsidR="0081610A" w:rsidRPr="002E0C7E" w:rsidRDefault="0081610A" w:rsidP="001B1E7F">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1</w:t>
            </w:r>
            <w:r>
              <w:rPr>
                <w:rFonts w:ascii="Arial" w:hAnsi="Arial"/>
                <w:sz w:val="14"/>
              </w:rPr>
              <w:t>5</w:t>
            </w:r>
          </w:p>
        </w:tc>
      </w:tr>
      <w:tr w:rsidR="0081610A" w:rsidRPr="002E0C7E" w:rsidTr="001B1E7F">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34238" w:rsidRDefault="0081610A" w:rsidP="001B1E7F">
            <w:pPr>
              <w:widowControl w:val="0"/>
              <w:jc w:val="center"/>
              <w:rPr>
                <w:rFonts w:ascii="Arial" w:hAnsi="Arial"/>
                <w:b/>
                <w:sz w:val="14"/>
              </w:rPr>
            </w:pPr>
            <w:r>
              <w:rPr>
                <w:rFonts w:ascii="Arial" w:hAnsi="Arial"/>
                <w:b/>
                <w:sz w:val="14"/>
              </w:rPr>
              <w:t>M</w:t>
            </w:r>
          </w:p>
          <w:p w:rsidR="0081610A" w:rsidRPr="002E0C7E" w:rsidRDefault="0081610A" w:rsidP="001B1E7F">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2</w:t>
            </w:r>
            <w:r>
              <w:rPr>
                <w:rFonts w:ascii="Arial" w:hAnsi="Arial"/>
                <w:sz w:val="14"/>
              </w:rPr>
              <w:t>2</w:t>
            </w:r>
          </w:p>
        </w:tc>
      </w:tr>
      <w:tr w:rsidR="0081610A" w:rsidRPr="002E0C7E" w:rsidTr="001B1E7F">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r>
              <w:rPr>
                <w:rFonts w:ascii="Arial" w:hAnsi="Arial"/>
                <w:sz w:val="14"/>
              </w:rPr>
              <w:t>23</w:t>
            </w:r>
          </w:p>
          <w:p w:rsidR="0081610A" w:rsidRPr="002E0C7E" w:rsidRDefault="0081610A" w:rsidP="001B1E7F">
            <w:pPr>
              <w:widowControl w:val="0"/>
              <w:jc w:val="center"/>
              <w:rPr>
                <w:rFonts w:ascii="Arial" w:hAnsi="Arial"/>
                <w:sz w:val="14"/>
              </w:rPr>
            </w:pPr>
            <w:r>
              <w:rPr>
                <w:rFonts w:ascii="Arial" w:hAnsi="Arial"/>
                <w:sz w:val="14"/>
              </w:rPr>
              <w:t xml:space="preserve">  30</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r>
              <w:rPr>
                <w:rFonts w:ascii="Arial" w:hAnsi="Arial"/>
                <w:sz w:val="14"/>
              </w:rPr>
              <w:t>24</w:t>
            </w:r>
          </w:p>
          <w:p w:rsidR="0081610A" w:rsidRPr="002E0C7E" w:rsidRDefault="0081610A" w:rsidP="001B1E7F">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61B35" w:rsidRDefault="0081610A" w:rsidP="001B1E7F">
            <w:pPr>
              <w:widowControl w:val="0"/>
              <w:jc w:val="center"/>
              <w:rPr>
                <w:rFonts w:ascii="Arial" w:hAnsi="Arial"/>
                <w:b/>
                <w:sz w:val="14"/>
              </w:rPr>
            </w:pPr>
          </w:p>
          <w:p w:rsidR="0081610A" w:rsidRPr="002E0C7E" w:rsidRDefault="0081610A" w:rsidP="001B1E7F">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29</w:t>
            </w:r>
          </w:p>
        </w:tc>
      </w:tr>
    </w:tbl>
    <w:p w:rsidR="0081610A" w:rsidRPr="002E0C7E" w:rsidRDefault="0081610A" w:rsidP="0081610A">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610A" w:rsidRPr="002E0C7E" w:rsidTr="001B1E7F">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1B1E7F">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1B1E7F">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1B1E7F">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1B1E7F">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1B1E7F">
            <w:pPr>
              <w:widowControl w:val="0"/>
              <w:jc w:val="center"/>
              <w:rPr>
                <w:rFonts w:ascii="Arial" w:hAnsi="Arial"/>
                <w:sz w:val="14"/>
              </w:rPr>
            </w:pPr>
            <w:r w:rsidRPr="002E0C7E">
              <w:rPr>
                <w:rFonts w:ascii="Arial" w:hAnsi="Arial"/>
                <w:b/>
                <w:sz w:val="14"/>
              </w:rPr>
              <w:t>JUNE - JUIN</w:t>
            </w:r>
          </w:p>
        </w:tc>
      </w:tr>
      <w:tr w:rsidR="0081610A" w:rsidRPr="002E0C7E" w:rsidTr="001B1E7F">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r w:rsidRPr="002E0C7E">
              <w:rPr>
                <w:rFonts w:ascii="Arial" w:hAnsi="Arial"/>
                <w:sz w:val="14"/>
              </w:rPr>
              <w:t>S</w:t>
            </w:r>
          </w:p>
          <w:p w:rsidR="0081610A" w:rsidRPr="002E0C7E" w:rsidRDefault="0081610A" w:rsidP="001B1E7F">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r w:rsidRPr="002E0C7E">
              <w:rPr>
                <w:rFonts w:ascii="Arial" w:hAnsi="Arial"/>
                <w:sz w:val="14"/>
              </w:rPr>
              <w:t>M</w:t>
            </w:r>
          </w:p>
          <w:p w:rsidR="0081610A" w:rsidRPr="002E0C7E" w:rsidRDefault="0081610A" w:rsidP="001B1E7F">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r w:rsidRPr="002E0C7E">
              <w:rPr>
                <w:rFonts w:ascii="Arial" w:hAnsi="Arial"/>
                <w:sz w:val="14"/>
              </w:rPr>
              <w:t>T</w:t>
            </w:r>
          </w:p>
          <w:p w:rsidR="0081610A" w:rsidRPr="002E0C7E" w:rsidRDefault="0081610A" w:rsidP="001B1E7F">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r w:rsidRPr="002E0C7E">
              <w:rPr>
                <w:rFonts w:ascii="Arial" w:hAnsi="Arial"/>
                <w:sz w:val="14"/>
              </w:rPr>
              <w:t>W</w:t>
            </w:r>
          </w:p>
          <w:p w:rsidR="0081610A" w:rsidRPr="002E0C7E" w:rsidRDefault="0081610A" w:rsidP="001B1E7F">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r w:rsidRPr="002E0C7E">
              <w:rPr>
                <w:rFonts w:ascii="Arial" w:hAnsi="Arial"/>
                <w:sz w:val="14"/>
              </w:rPr>
              <w:t>T</w:t>
            </w:r>
          </w:p>
          <w:p w:rsidR="0081610A" w:rsidRPr="002E0C7E" w:rsidRDefault="0081610A" w:rsidP="001B1E7F">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r w:rsidRPr="002E0C7E">
              <w:rPr>
                <w:rFonts w:ascii="Arial" w:hAnsi="Arial"/>
                <w:sz w:val="14"/>
              </w:rPr>
              <w:t>F</w:t>
            </w:r>
          </w:p>
          <w:p w:rsidR="0081610A" w:rsidRPr="002E0C7E" w:rsidRDefault="0081610A" w:rsidP="001B1E7F">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r w:rsidRPr="002E0C7E">
              <w:rPr>
                <w:rFonts w:ascii="Arial" w:hAnsi="Arial"/>
                <w:sz w:val="14"/>
              </w:rPr>
              <w:t>S</w:t>
            </w:r>
          </w:p>
          <w:p w:rsidR="0081610A" w:rsidRPr="002E0C7E" w:rsidRDefault="0081610A" w:rsidP="001B1E7F">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r w:rsidRPr="002E0C7E">
              <w:rPr>
                <w:rFonts w:ascii="Arial" w:hAnsi="Arial"/>
                <w:sz w:val="14"/>
              </w:rPr>
              <w:t>S</w:t>
            </w:r>
          </w:p>
          <w:p w:rsidR="0081610A" w:rsidRPr="002E0C7E" w:rsidRDefault="0081610A" w:rsidP="001B1E7F">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r w:rsidRPr="002E0C7E">
              <w:rPr>
                <w:rFonts w:ascii="Arial" w:hAnsi="Arial"/>
                <w:sz w:val="14"/>
              </w:rPr>
              <w:t>M</w:t>
            </w:r>
          </w:p>
          <w:p w:rsidR="0081610A" w:rsidRPr="002E0C7E" w:rsidRDefault="0081610A" w:rsidP="001B1E7F">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r w:rsidRPr="002E0C7E">
              <w:rPr>
                <w:rFonts w:ascii="Arial" w:hAnsi="Arial"/>
                <w:sz w:val="14"/>
              </w:rPr>
              <w:t>T</w:t>
            </w:r>
          </w:p>
          <w:p w:rsidR="0081610A" w:rsidRPr="002E0C7E" w:rsidRDefault="0081610A" w:rsidP="001B1E7F">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r w:rsidRPr="002E0C7E">
              <w:rPr>
                <w:rFonts w:ascii="Arial" w:hAnsi="Arial"/>
                <w:sz w:val="14"/>
              </w:rPr>
              <w:t>W</w:t>
            </w:r>
          </w:p>
          <w:p w:rsidR="0081610A" w:rsidRPr="002E0C7E" w:rsidRDefault="0081610A" w:rsidP="001B1E7F">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r w:rsidRPr="002E0C7E">
              <w:rPr>
                <w:rFonts w:ascii="Arial" w:hAnsi="Arial"/>
                <w:sz w:val="14"/>
              </w:rPr>
              <w:t>T</w:t>
            </w:r>
          </w:p>
          <w:p w:rsidR="0081610A" w:rsidRPr="002E0C7E" w:rsidRDefault="0081610A" w:rsidP="001B1E7F">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r w:rsidRPr="002E0C7E">
              <w:rPr>
                <w:rFonts w:ascii="Arial" w:hAnsi="Arial"/>
                <w:sz w:val="14"/>
              </w:rPr>
              <w:t>F</w:t>
            </w:r>
          </w:p>
          <w:p w:rsidR="0081610A" w:rsidRPr="002E0C7E" w:rsidRDefault="0081610A" w:rsidP="001B1E7F">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r w:rsidRPr="002E0C7E">
              <w:rPr>
                <w:rFonts w:ascii="Arial" w:hAnsi="Arial"/>
                <w:sz w:val="14"/>
              </w:rPr>
              <w:t>S</w:t>
            </w:r>
          </w:p>
          <w:p w:rsidR="0081610A" w:rsidRPr="002E0C7E" w:rsidRDefault="0081610A" w:rsidP="001B1E7F">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r w:rsidRPr="002E0C7E">
              <w:rPr>
                <w:rFonts w:ascii="Arial" w:hAnsi="Arial"/>
                <w:sz w:val="14"/>
              </w:rPr>
              <w:t>S</w:t>
            </w:r>
          </w:p>
          <w:p w:rsidR="0081610A" w:rsidRPr="002E0C7E" w:rsidRDefault="0081610A" w:rsidP="001B1E7F">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r w:rsidRPr="002E0C7E">
              <w:rPr>
                <w:rFonts w:ascii="Arial" w:hAnsi="Arial"/>
                <w:sz w:val="14"/>
              </w:rPr>
              <w:t>M</w:t>
            </w:r>
          </w:p>
          <w:p w:rsidR="0081610A" w:rsidRPr="002E0C7E" w:rsidRDefault="0081610A" w:rsidP="001B1E7F">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r w:rsidRPr="002E0C7E">
              <w:rPr>
                <w:rFonts w:ascii="Arial" w:hAnsi="Arial"/>
                <w:sz w:val="14"/>
              </w:rPr>
              <w:t>T</w:t>
            </w:r>
          </w:p>
          <w:p w:rsidR="0081610A" w:rsidRPr="002E0C7E" w:rsidRDefault="0081610A" w:rsidP="001B1E7F">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r w:rsidRPr="002E0C7E">
              <w:rPr>
                <w:rFonts w:ascii="Arial" w:hAnsi="Arial"/>
                <w:sz w:val="14"/>
              </w:rPr>
              <w:t>W</w:t>
            </w:r>
          </w:p>
          <w:p w:rsidR="0081610A" w:rsidRPr="002E0C7E" w:rsidRDefault="0081610A" w:rsidP="001B1E7F">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r w:rsidRPr="002E0C7E">
              <w:rPr>
                <w:rFonts w:ascii="Arial" w:hAnsi="Arial"/>
                <w:sz w:val="14"/>
              </w:rPr>
              <w:t>T</w:t>
            </w:r>
          </w:p>
          <w:p w:rsidR="0081610A" w:rsidRPr="002E0C7E" w:rsidRDefault="0081610A" w:rsidP="001B1E7F">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r w:rsidRPr="002E0C7E">
              <w:rPr>
                <w:rFonts w:ascii="Arial" w:hAnsi="Arial"/>
                <w:sz w:val="14"/>
              </w:rPr>
              <w:t>F</w:t>
            </w:r>
          </w:p>
          <w:p w:rsidR="0081610A" w:rsidRPr="002E0C7E" w:rsidRDefault="0081610A" w:rsidP="001B1E7F">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r>
              <w:rPr>
                <w:rFonts w:ascii="Arial" w:hAnsi="Arial"/>
                <w:sz w:val="14"/>
              </w:rPr>
              <w:t>S</w:t>
            </w:r>
          </w:p>
          <w:p w:rsidR="0081610A" w:rsidRPr="002E0C7E" w:rsidRDefault="0081610A" w:rsidP="001B1E7F">
            <w:pPr>
              <w:widowControl w:val="0"/>
              <w:jc w:val="center"/>
              <w:rPr>
                <w:rFonts w:ascii="Arial" w:hAnsi="Arial"/>
                <w:sz w:val="14"/>
              </w:rPr>
            </w:pPr>
            <w:r>
              <w:rPr>
                <w:rFonts w:ascii="Arial" w:hAnsi="Arial"/>
                <w:sz w:val="14"/>
              </w:rPr>
              <w:t>S</w:t>
            </w:r>
          </w:p>
        </w:tc>
      </w:tr>
      <w:tr w:rsidR="0081610A" w:rsidRPr="002E0C7E" w:rsidTr="001B1E7F">
        <w:trPr>
          <w:cantSplit/>
          <w:trHeight w:val="422"/>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b/>
                <w:sz w:val="14"/>
              </w:rPr>
            </w:pPr>
          </w:p>
          <w:p w:rsidR="0081610A" w:rsidRPr="002E0C7E" w:rsidRDefault="0081610A" w:rsidP="001B1E7F">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7</w:t>
            </w:r>
          </w:p>
        </w:tc>
      </w:tr>
      <w:tr w:rsidR="0081610A" w:rsidRPr="002E0C7E" w:rsidTr="001B1E7F">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710C8B" w:rsidRDefault="0081610A" w:rsidP="001B1E7F">
            <w:pPr>
              <w:widowControl w:val="0"/>
              <w:jc w:val="center"/>
              <w:rPr>
                <w:rFonts w:ascii="Arial" w:hAnsi="Arial"/>
                <w:b/>
                <w:sz w:val="14"/>
              </w:rPr>
            </w:pPr>
          </w:p>
          <w:p w:rsidR="0081610A" w:rsidRPr="002E0C7E" w:rsidRDefault="0081610A" w:rsidP="001B1E7F">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1</w:t>
            </w:r>
            <w:r>
              <w:rPr>
                <w:rFonts w:ascii="Arial" w:hAnsi="Arial"/>
                <w:sz w:val="14"/>
              </w:rPr>
              <w:t>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14</w:t>
            </w:r>
          </w:p>
        </w:tc>
      </w:tr>
      <w:tr w:rsidR="0081610A" w:rsidRPr="002E0C7E" w:rsidTr="001B1E7F">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B5777" w:rsidRDefault="0081610A" w:rsidP="001B1E7F">
            <w:pPr>
              <w:widowControl w:val="0"/>
              <w:jc w:val="center"/>
              <w:rPr>
                <w:rFonts w:ascii="Arial" w:hAnsi="Arial"/>
                <w:b/>
                <w:sz w:val="14"/>
              </w:rPr>
            </w:pPr>
            <w:r w:rsidRPr="00DB5777">
              <w:rPr>
                <w:rFonts w:ascii="Arial" w:hAnsi="Arial"/>
                <w:b/>
                <w:sz w:val="14"/>
              </w:rPr>
              <w:t>M</w:t>
            </w:r>
          </w:p>
          <w:p w:rsidR="0081610A" w:rsidRPr="002E0C7E" w:rsidRDefault="0081610A" w:rsidP="001B1E7F">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852172" w:rsidRDefault="0081610A" w:rsidP="001B1E7F">
            <w:pPr>
              <w:widowControl w:val="0"/>
              <w:jc w:val="center"/>
              <w:rPr>
                <w:rFonts w:ascii="Arial" w:hAnsi="Arial"/>
                <w:b/>
                <w:sz w:val="14"/>
              </w:rPr>
            </w:pPr>
            <w:r>
              <w:rPr>
                <w:rFonts w:ascii="Arial" w:hAnsi="Arial"/>
                <w:b/>
                <w:sz w:val="14"/>
              </w:rPr>
              <w:t>H</w:t>
            </w:r>
          </w:p>
          <w:p w:rsidR="0081610A" w:rsidRPr="002E0C7E" w:rsidRDefault="0081610A" w:rsidP="001B1E7F">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19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453E3" w:rsidRDefault="0081610A" w:rsidP="001B1E7F">
            <w:pPr>
              <w:widowControl w:val="0"/>
              <w:jc w:val="center"/>
              <w:rPr>
                <w:rFonts w:ascii="Arial" w:hAnsi="Arial"/>
                <w:b/>
                <w:sz w:val="14"/>
              </w:rPr>
            </w:pPr>
            <w:r w:rsidRPr="002453E3">
              <w:rPr>
                <w:rFonts w:ascii="Arial" w:hAnsi="Arial"/>
                <w:b/>
                <w:sz w:val="14"/>
              </w:rPr>
              <w:t>M</w:t>
            </w:r>
          </w:p>
          <w:p w:rsidR="0081610A" w:rsidRPr="002E0C7E" w:rsidRDefault="0081610A" w:rsidP="001B1E7F">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6A1E8D" w:rsidRDefault="0081610A" w:rsidP="001B1E7F">
            <w:pPr>
              <w:widowControl w:val="0"/>
              <w:jc w:val="center"/>
              <w:rPr>
                <w:rFonts w:ascii="Arial" w:hAnsi="Arial"/>
                <w:b/>
                <w:sz w:val="14"/>
              </w:rPr>
            </w:pPr>
            <w:r w:rsidRPr="006A1E8D">
              <w:rPr>
                <w:rFonts w:ascii="Arial" w:hAnsi="Arial"/>
                <w:b/>
                <w:sz w:val="14"/>
              </w:rPr>
              <w:t>M</w:t>
            </w:r>
          </w:p>
          <w:p w:rsidR="0081610A" w:rsidRPr="002E0C7E" w:rsidRDefault="0081610A" w:rsidP="001B1E7F">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1B1E7F">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vAlign w:val="center"/>
          </w:tcPr>
          <w:p w:rsidR="0081610A" w:rsidRPr="00CD57C3" w:rsidRDefault="0081610A" w:rsidP="001B1E7F">
            <w:pPr>
              <w:widowControl w:val="0"/>
              <w:jc w:val="center"/>
              <w:rPr>
                <w:rFonts w:ascii="Arial" w:hAnsi="Arial"/>
                <w:b/>
                <w:sz w:val="14"/>
              </w:rPr>
            </w:pPr>
            <w:r w:rsidRPr="00CD57C3">
              <w:rPr>
                <w:rFonts w:ascii="Arial" w:hAnsi="Arial"/>
                <w:b/>
                <w:sz w:val="14"/>
              </w:rPr>
              <w:t>H</w:t>
            </w:r>
          </w:p>
          <w:p w:rsidR="0081610A" w:rsidRPr="002E0C7E" w:rsidRDefault="0081610A" w:rsidP="001B1E7F">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18</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2453E3" w:rsidRDefault="0081610A" w:rsidP="001B1E7F">
            <w:pPr>
              <w:widowControl w:val="0"/>
              <w:jc w:val="center"/>
              <w:rPr>
                <w:rFonts w:ascii="Arial" w:hAnsi="Arial"/>
                <w:b/>
                <w:sz w:val="14"/>
              </w:rPr>
            </w:pPr>
            <w:r>
              <w:rPr>
                <w:rFonts w:ascii="Arial" w:hAnsi="Arial"/>
                <w:b/>
                <w:sz w:val="14"/>
              </w:rPr>
              <w:t>H</w:t>
            </w:r>
          </w:p>
          <w:p w:rsidR="0081610A" w:rsidRPr="002E0C7E" w:rsidRDefault="0081610A" w:rsidP="001B1E7F">
            <w:pPr>
              <w:widowControl w:val="0"/>
              <w:jc w:val="center"/>
              <w:rPr>
                <w:rFonts w:ascii="Arial" w:hAnsi="Arial"/>
                <w:sz w:val="14"/>
              </w:rPr>
            </w:pPr>
            <w:r>
              <w:rPr>
                <w:rFonts w:ascii="Arial" w:hAnsi="Arial"/>
                <w:sz w:val="14"/>
              </w:rPr>
              <w:t>19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1B1E7F">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31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1B1E7F">
            <w:pPr>
              <w:widowControl w:val="0"/>
              <w:jc w:val="center"/>
              <w:rPr>
                <w:rFonts w:ascii="Arial" w:hAnsi="Arial"/>
                <w:sz w:val="14"/>
              </w:rPr>
            </w:pPr>
          </w:p>
          <w:p w:rsidR="0081610A" w:rsidRPr="002E0C7E" w:rsidRDefault="0081610A" w:rsidP="001B1E7F">
            <w:pPr>
              <w:widowControl w:val="0"/>
              <w:jc w:val="center"/>
              <w:rPr>
                <w:rFonts w:ascii="Arial" w:hAnsi="Arial"/>
                <w:sz w:val="14"/>
              </w:rPr>
            </w:pPr>
          </w:p>
        </w:tc>
      </w:tr>
    </w:tbl>
    <w:p w:rsidR="0081610A" w:rsidRPr="002E0C7E" w:rsidRDefault="0081610A" w:rsidP="0081610A">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610A" w:rsidRPr="002E0C7E" w:rsidTr="001B1E7F">
        <w:trPr>
          <w:cantSplit/>
        </w:trPr>
        <w:tc>
          <w:tcPr>
            <w:tcW w:w="1710" w:type="dxa"/>
            <w:tcBorders>
              <w:top w:val="nil"/>
              <w:left w:val="nil"/>
              <w:bottom w:val="nil"/>
              <w:right w:val="nil"/>
            </w:tcBorders>
            <w:tcMar>
              <w:top w:w="43" w:type="dxa"/>
              <w:left w:w="120" w:type="dxa"/>
              <w:bottom w:w="29" w:type="dxa"/>
              <w:right w:w="120" w:type="dxa"/>
            </w:tcMar>
          </w:tcPr>
          <w:p w:rsidR="0081610A" w:rsidRPr="002E0C7E" w:rsidRDefault="0081610A" w:rsidP="001B1E7F">
            <w:pPr>
              <w:widowControl w:val="0"/>
              <w:rPr>
                <w:rFonts w:ascii="Arial" w:hAnsi="Arial"/>
                <w:sz w:val="16"/>
              </w:rPr>
            </w:pPr>
            <w:r w:rsidRPr="002E0C7E">
              <w:rPr>
                <w:rFonts w:ascii="Arial" w:hAnsi="Arial"/>
                <w:sz w:val="16"/>
              </w:rPr>
              <w:t>Sittings of the court:</w:t>
            </w:r>
          </w:p>
          <w:p w:rsidR="0081610A" w:rsidRPr="002E0C7E" w:rsidRDefault="0081610A" w:rsidP="001B1E7F">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610A" w:rsidRPr="002E0C7E" w:rsidRDefault="0081610A" w:rsidP="001B1E7F">
            <w:pPr>
              <w:widowControl w:val="0"/>
              <w:rPr>
                <w:rFonts w:ascii="Arial" w:hAnsi="Arial"/>
                <w:sz w:val="16"/>
              </w:rPr>
            </w:pPr>
          </w:p>
          <w:p w:rsidR="0081610A" w:rsidRPr="002E0C7E" w:rsidRDefault="0081610A" w:rsidP="001B1E7F">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610A" w:rsidRPr="00B058C3" w:rsidRDefault="0081610A" w:rsidP="001B1E7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610A" w:rsidRPr="00B058C3" w:rsidRDefault="0081610A" w:rsidP="001B1E7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610A" w:rsidRPr="00B058C3" w:rsidRDefault="0081610A" w:rsidP="001B1E7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610A" w:rsidRPr="002E0C7E" w:rsidRDefault="0081610A" w:rsidP="001B1E7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610A" w:rsidRPr="002E0C7E" w:rsidRDefault="0081610A" w:rsidP="001B1E7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1B1E7F">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1B1E7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610A" w:rsidRPr="002E0C7E" w:rsidRDefault="0081610A" w:rsidP="001B1E7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610A" w:rsidRPr="002E0C7E" w:rsidRDefault="0081610A" w:rsidP="001B1E7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1B1E7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1B1E7F">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1B1E7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610A" w:rsidRPr="002E0C7E" w:rsidRDefault="0081610A" w:rsidP="001B1E7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610A" w:rsidRPr="002E0C7E" w:rsidRDefault="0081610A" w:rsidP="001B1E7F">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1B1E7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610A" w:rsidRPr="002E0C7E" w:rsidRDefault="0081610A" w:rsidP="0081610A">
      <w:pPr>
        <w:widowControl w:val="0"/>
        <w:rPr>
          <w:rFonts w:ascii="Arial" w:hAnsi="Arial"/>
          <w:sz w:val="16"/>
        </w:rPr>
      </w:pPr>
    </w:p>
    <w:bookmarkEnd w:id="0"/>
    <w:p w:rsidR="002410B8" w:rsidRPr="0022323B" w:rsidRDefault="002410B8" w:rsidP="0081610A">
      <w:pPr>
        <w:widowControl w:val="0"/>
        <w:spacing w:line="180" w:lineRule="auto"/>
        <w:jc w:val="center"/>
        <w:rPr>
          <w:lang w:val="fr-CA"/>
        </w:rPr>
      </w:pPr>
    </w:p>
    <w:sectPr w:rsidR="002410B8" w:rsidRPr="0022323B" w:rsidSect="00924065">
      <w:headerReference w:type="default" r:id="rId91"/>
      <w:footerReference w:type="default" r:id="rId92"/>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6E9" w:rsidRDefault="009B16E9" w:rsidP="00A87207">
      <w:r>
        <w:separator/>
      </w:r>
    </w:p>
  </w:endnote>
  <w:endnote w:type="continuationSeparator" w:id="0">
    <w:p w:rsidR="009B16E9" w:rsidRDefault="009B16E9"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E9" w:rsidRDefault="009B16E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E9" w:rsidRDefault="004F01F8">
    <w:pPr>
      <w:pStyle w:val="Footer"/>
      <w:rPr>
        <w:lang w:val="fr-CA"/>
      </w:rPr>
    </w:pPr>
    <w:r>
      <w:rPr>
        <w:lang w:val="fr-CA"/>
      </w:rPr>
      <w:pict>
        <v:rect id="_x0000_i1053" style="width:480.95pt;height:1pt" o:hralign="center" o:hrstd="t" o:hrnoshade="t" o:hr="t" fillcolor="black [3213]" stroked="f"/>
      </w:pict>
    </w:r>
  </w:p>
  <w:p w:rsidR="009B16E9" w:rsidRDefault="009B16E9" w:rsidP="00245129">
    <w:pPr>
      <w:tabs>
        <w:tab w:val="center" w:pos="4680"/>
      </w:tabs>
    </w:pPr>
    <w:r>
      <w:tab/>
    </w:r>
    <w:r w:rsidRPr="0009648D">
      <w:t xml:space="preserve">- </w:t>
    </w:r>
    <w:r w:rsidR="004F01F8">
      <w:fldChar w:fldCharType="begin"/>
    </w:r>
    <w:r w:rsidR="004F01F8">
      <w:instrText xml:space="preserve"> PAGE   \* MERGEFORMAT </w:instrText>
    </w:r>
    <w:r w:rsidR="004F01F8">
      <w:fldChar w:fldCharType="separate"/>
    </w:r>
    <w:r w:rsidR="004F01F8">
      <w:rPr>
        <w:noProof/>
      </w:rPr>
      <w:t>536</w:t>
    </w:r>
    <w:r w:rsidR="004F01F8">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E9" w:rsidRDefault="009B16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B16E9" w:rsidRDefault="009B16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B16E9" w:rsidRDefault="009B16E9">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E9" w:rsidRDefault="004F01F8" w:rsidP="00755F22">
    <w:pPr>
      <w:tabs>
        <w:tab w:val="left" w:pos="-1440"/>
        <w:tab w:val="left" w:pos="-720"/>
      </w:tabs>
    </w:pPr>
    <w:r>
      <w:pict>
        <v:rect id="_x0000_i1058" style="width:480.95pt;height:1pt" o:hralign="center" o:hrstd="t" o:hrnoshade="t" o:hr="t" fillcolor="black [3213]" stroked="f"/>
      </w:pict>
    </w:r>
  </w:p>
  <w:p w:rsidR="009B16E9" w:rsidRDefault="009B16E9" w:rsidP="00EB2B90">
    <w:pPr>
      <w:tabs>
        <w:tab w:val="center" w:pos="4680"/>
      </w:tabs>
    </w:pPr>
    <w:r>
      <w:tab/>
      <w:t xml:space="preserve">- </w:t>
    </w:r>
    <w:r w:rsidR="004F01F8">
      <w:fldChar w:fldCharType="begin"/>
    </w:r>
    <w:r w:rsidR="004F01F8">
      <w:instrText xml:space="preserve"> PAGE   \* MERGEFORMAT </w:instrText>
    </w:r>
    <w:r w:rsidR="004F01F8">
      <w:fldChar w:fldCharType="separate"/>
    </w:r>
    <w:r w:rsidR="004F01F8">
      <w:rPr>
        <w:noProof/>
      </w:rPr>
      <w:t>554</w:t>
    </w:r>
    <w:r w:rsidR="004F01F8">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E9" w:rsidRDefault="004F01F8" w:rsidP="00EB2B90">
    <w:pPr>
      <w:tabs>
        <w:tab w:val="center" w:pos="4680"/>
      </w:tabs>
    </w:pPr>
    <w:r>
      <w:pict>
        <v:rect id="_x0000_i1059" style="width:480.95pt;height:1pt" o:hralign="center" o:hrstd="t" o:hrnoshade="t" o:hr="t" fillcolor="black [3213]" stroked="f"/>
      </w:pict>
    </w:r>
  </w:p>
  <w:p w:rsidR="009B16E9" w:rsidRPr="0031432F" w:rsidRDefault="009B16E9" w:rsidP="00EB2B90">
    <w:pPr>
      <w:tabs>
        <w:tab w:val="center" w:pos="4680"/>
      </w:tabs>
    </w:pPr>
    <w:r>
      <w:tab/>
      <w:t xml:space="preserve">- </w:t>
    </w:r>
    <w:r w:rsidR="004F01F8">
      <w:fldChar w:fldCharType="begin"/>
    </w:r>
    <w:r w:rsidR="004F01F8">
      <w:instrText xml:space="preserve"> PAGE   \* MERGEFORMAT </w:instrText>
    </w:r>
    <w:r w:rsidR="004F01F8">
      <w:fldChar w:fldCharType="separate"/>
    </w:r>
    <w:r w:rsidR="004F01F8">
      <w:rPr>
        <w:noProof/>
      </w:rPr>
      <w:t>550</w:t>
    </w:r>
    <w:r w:rsidR="004F01F8">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E9" w:rsidRDefault="009B16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B16E9" w:rsidRDefault="009B16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B16E9" w:rsidRDefault="009B16E9">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E9" w:rsidRDefault="004F01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2" style="width:480.95pt;height:1pt" o:hralign="center" o:hrstd="t" o:hrnoshade="t" o:hr="t" fillcolor="black [3213]" stroked="f"/>
      </w:pict>
    </w:r>
  </w:p>
  <w:p w:rsidR="009B16E9" w:rsidRDefault="009B16E9" w:rsidP="00EB2B90">
    <w:pPr>
      <w:tabs>
        <w:tab w:val="center" w:pos="4680"/>
      </w:tabs>
    </w:pPr>
    <w:r>
      <w:tab/>
      <w:t xml:space="preserve">- </w:t>
    </w:r>
    <w:r w:rsidR="004F01F8">
      <w:fldChar w:fldCharType="begin"/>
    </w:r>
    <w:r w:rsidR="004F01F8">
      <w:instrText xml:space="preserve"> PAGE   \* MERGEFORMAT </w:instrText>
    </w:r>
    <w:r w:rsidR="004F01F8">
      <w:fldChar w:fldCharType="separate"/>
    </w:r>
    <w:r>
      <w:rPr>
        <w:noProof/>
      </w:rPr>
      <w:t>519</w:t>
    </w:r>
    <w:r w:rsidR="004F01F8">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E9" w:rsidRDefault="004F01F8">
    <w:pPr>
      <w:pStyle w:val="Footer"/>
      <w:rPr>
        <w:lang w:val="fr-CA"/>
      </w:rPr>
    </w:pPr>
    <w:r>
      <w:rPr>
        <w:lang w:val="fr-CA"/>
      </w:rPr>
      <w:pict>
        <v:rect id="_x0000_i1063" style="width:480.95pt;height:1pt" o:hralign="center" o:hrstd="t" o:hrnoshade="t" o:hr="t" fillcolor="black [3213]" stroked="f"/>
      </w:pict>
    </w:r>
  </w:p>
  <w:p w:rsidR="009B16E9" w:rsidRDefault="009B16E9" w:rsidP="00EB2B90">
    <w:pPr>
      <w:tabs>
        <w:tab w:val="center" w:pos="4680"/>
      </w:tabs>
    </w:pPr>
    <w:r>
      <w:tab/>
      <w:t xml:space="preserve">- </w:t>
    </w:r>
    <w:r w:rsidR="004F01F8">
      <w:fldChar w:fldCharType="begin"/>
    </w:r>
    <w:r w:rsidR="004F01F8">
      <w:instrText xml:space="preserve"> PAGE   \* MERGEFORMAT </w:instrText>
    </w:r>
    <w:r w:rsidR="004F01F8">
      <w:fldChar w:fldCharType="separate"/>
    </w:r>
    <w:r w:rsidR="004F01F8">
      <w:rPr>
        <w:noProof/>
      </w:rPr>
      <w:t>555</w:t>
    </w:r>
    <w:r w:rsidR="004F01F8">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E9" w:rsidRDefault="009B16E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B16E9" w:rsidRDefault="009B16E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B16E9" w:rsidRDefault="009B16E9">
    <w:pPr>
      <w:widowControl w:val="0"/>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E9" w:rsidRDefault="004F01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5" style="width:480.95pt;height:1pt" o:hralign="center" o:hrstd="t" o:hrnoshade="t" o:hr="t" fillcolor="black [3213]" stroked="f"/>
      </w:pict>
    </w:r>
  </w:p>
  <w:p w:rsidR="009B16E9" w:rsidRDefault="009B16E9" w:rsidP="00697C62">
    <w:pPr>
      <w:tabs>
        <w:tab w:val="center" w:pos="4680"/>
      </w:tabs>
    </w:pPr>
    <w:r>
      <w:tab/>
      <w:t xml:space="preserve">- </w:t>
    </w:r>
    <w:r w:rsidR="006A1D9A" w:rsidRPr="00B74FED">
      <w:rPr>
        <w:szCs w:val="24"/>
      </w:rPr>
      <w:fldChar w:fldCharType="begin"/>
    </w:r>
    <w:r w:rsidRPr="00B74FED">
      <w:rPr>
        <w:szCs w:val="24"/>
      </w:rPr>
      <w:instrText xml:space="preserve"> PAGE   \* MERGEFORMAT </w:instrText>
    </w:r>
    <w:r w:rsidR="006A1D9A" w:rsidRPr="00B74FED">
      <w:rPr>
        <w:szCs w:val="24"/>
      </w:rPr>
      <w:fldChar w:fldCharType="separate"/>
    </w:r>
    <w:r>
      <w:rPr>
        <w:noProof/>
        <w:szCs w:val="24"/>
      </w:rPr>
      <w:t>528</w:t>
    </w:r>
    <w:r w:rsidR="006A1D9A" w:rsidRPr="00B74FED">
      <w:rPr>
        <w:szCs w:val="24"/>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E9" w:rsidRDefault="004F01F8" w:rsidP="00802863">
    <w:pPr>
      <w:widowControl w:val="0"/>
      <w:tabs>
        <w:tab w:val="left" w:pos="-1440"/>
        <w:tab w:val="left" w:pos="-720"/>
      </w:tabs>
    </w:pPr>
    <w:r>
      <w:rPr>
        <w:lang w:val="fr-CA"/>
      </w:rPr>
      <w:pict>
        <v:rect id="_x0000_i1066" style="width:480.95pt;height:1pt" o:hralign="center" o:hrstd="t" o:hrnoshade="t" o:hr="t" fillcolor="black [3213]" stroked="f"/>
      </w:pict>
    </w:r>
  </w:p>
  <w:p w:rsidR="009B16E9" w:rsidRPr="00180897" w:rsidRDefault="009B16E9" w:rsidP="00697C62">
    <w:pPr>
      <w:tabs>
        <w:tab w:val="center" w:pos="4680"/>
      </w:tabs>
    </w:pPr>
    <w:r>
      <w:tab/>
      <w:t xml:space="preserve">- </w:t>
    </w:r>
    <w:r w:rsidR="006A1D9A" w:rsidRPr="00B74FED">
      <w:rPr>
        <w:szCs w:val="24"/>
      </w:rPr>
      <w:fldChar w:fldCharType="begin"/>
    </w:r>
    <w:r w:rsidRPr="00B74FED">
      <w:rPr>
        <w:szCs w:val="24"/>
      </w:rPr>
      <w:instrText xml:space="preserve"> PAGE   \* MERGEFORMAT </w:instrText>
    </w:r>
    <w:r w:rsidR="006A1D9A" w:rsidRPr="00B74FED">
      <w:rPr>
        <w:szCs w:val="24"/>
      </w:rPr>
      <w:fldChar w:fldCharType="separate"/>
    </w:r>
    <w:r w:rsidR="004F01F8">
      <w:rPr>
        <w:noProof/>
        <w:szCs w:val="24"/>
      </w:rPr>
      <w:t>556</w:t>
    </w:r>
    <w:r w:rsidR="006A1D9A" w:rsidRPr="00B74FED">
      <w:rPr>
        <w:szCs w:val="24"/>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E9" w:rsidRDefault="009B16E9">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E9" w:rsidRDefault="009B16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B16E9" w:rsidRDefault="009B16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B16E9" w:rsidRDefault="009B16E9">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E9" w:rsidRDefault="004F01F8" w:rsidP="00732DB7">
    <w:r>
      <w:pict>
        <v:rect id="_x0000_i1073" style="width:480.95pt;height:1pt" o:hralign="center" o:hrstd="t" o:hrnoshade="t" o:hr="t" fillcolor="black" stroked="f"/>
      </w:pict>
    </w:r>
  </w:p>
  <w:p w:rsidR="009B16E9" w:rsidRDefault="009B16E9">
    <w:pPr>
      <w:tabs>
        <w:tab w:val="center" w:pos="4740"/>
      </w:tabs>
      <w:spacing w:line="0" w:lineRule="atLeast"/>
    </w:pPr>
    <w:r>
      <w:tab/>
      <w:t xml:space="preserve">- </w:t>
    </w:r>
    <w:r>
      <w:pgNum/>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E9" w:rsidRDefault="004F01F8">
    <w:pPr>
      <w:pStyle w:val="Footer"/>
    </w:pPr>
    <w:r>
      <w:pict>
        <v:rect id="_x0000_i1074" style="width:480.95pt;height:1pt" o:hralign="center" o:hrstd="t" o:hrnoshade="t" o:hr="t" fillcolor="black" stroked="f"/>
      </w:pict>
    </w:r>
  </w:p>
  <w:p w:rsidR="009B16E9" w:rsidRPr="00283C52" w:rsidRDefault="009B16E9">
    <w:pPr>
      <w:pStyle w:val="Footer"/>
    </w:pPr>
    <w:r>
      <w:tab/>
    </w:r>
    <w:r w:rsidRPr="00283C52">
      <w:t xml:space="preserve">- </w:t>
    </w:r>
    <w:r w:rsidRPr="00283C52">
      <w:pgNum/>
    </w:r>
    <w:r w:rsidRPr="00283C52">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E9" w:rsidRDefault="009B16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B16E9" w:rsidRDefault="009B16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B16E9" w:rsidRDefault="009B16E9">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E9" w:rsidRDefault="004F01F8" w:rsidP="00732DB7">
    <w:r>
      <w:pict>
        <v:rect id="_x0000_i1077" style="width:480.95pt;height:1pt" o:hralign="center" o:hrstd="t" o:hrnoshade="t" o:hr="t" fillcolor="black" stroked="f"/>
      </w:pict>
    </w:r>
  </w:p>
  <w:p w:rsidR="009B16E9" w:rsidRDefault="009B16E9">
    <w:pPr>
      <w:tabs>
        <w:tab w:val="center" w:pos="4740"/>
      </w:tabs>
      <w:spacing w:line="0" w:lineRule="atLeast"/>
    </w:pPr>
    <w:r>
      <w:tab/>
      <w:t xml:space="preserve">- </w:t>
    </w:r>
    <w:r>
      <w:pgNum/>
    </w: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E9" w:rsidRDefault="004F01F8">
    <w:pPr>
      <w:pStyle w:val="Footer"/>
    </w:pPr>
    <w:r>
      <w:pict>
        <v:rect id="_x0000_i1078" style="width:480.95pt;height:1pt" o:hralign="center" o:hrstd="t" o:hrnoshade="t" o:hr="t" fillcolor="black [3213]" stroked="f"/>
      </w:pict>
    </w:r>
  </w:p>
  <w:p w:rsidR="009B16E9" w:rsidRPr="003C2C0F" w:rsidRDefault="009B16E9" w:rsidP="00697C62">
    <w:pPr>
      <w:tabs>
        <w:tab w:val="center" w:pos="4680"/>
      </w:tabs>
    </w:pPr>
    <w:r>
      <w:tab/>
      <w:t xml:space="preserve">- </w:t>
    </w:r>
    <w:r w:rsidR="004F01F8">
      <w:fldChar w:fldCharType="begin"/>
    </w:r>
    <w:r w:rsidR="004F01F8">
      <w:instrText xml:space="preserve"> PAGE   \* MERGEFORMAT </w:instrText>
    </w:r>
    <w:r w:rsidR="004F01F8">
      <w:fldChar w:fldCharType="separate"/>
    </w:r>
    <w:r w:rsidR="004F01F8">
      <w:rPr>
        <w:noProof/>
      </w:rPr>
      <w:t>563</w:t>
    </w:r>
    <w:r w:rsidR="004F01F8">
      <w:rPr>
        <w:noProof/>
      </w:rPr>
      <w:fldChar w:fldCharType="end"/>
    </w:r>
    <w: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E9" w:rsidRDefault="009B16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B16E9" w:rsidRDefault="009B16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B16E9" w:rsidRDefault="009B16E9">
    <w:pPr>
      <w:tabs>
        <w:tab w:val="center" w:pos="4740"/>
      </w:tabs>
    </w:pPr>
    <w:r>
      <w:tab/>
      <w:t xml:space="preserve">- </w:t>
    </w:r>
    <w:r>
      <w:pgNum/>
    </w:r>
    <w: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E9" w:rsidRDefault="009B16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B16E9" w:rsidRDefault="004F01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3" style="width:480.95pt;height:1pt" o:hralign="center" o:hrstd="t" o:hrnoshade="t" o:hr="t" fillcolor="black [3213]" stroked="f"/>
      </w:pict>
    </w:r>
  </w:p>
  <w:p w:rsidR="009B16E9" w:rsidRDefault="009B16E9" w:rsidP="00782AE4">
    <w:pPr>
      <w:tabs>
        <w:tab w:val="center" w:pos="4680"/>
      </w:tabs>
    </w:pPr>
    <w:r>
      <w:tab/>
      <w:t xml:space="preserve">- </w:t>
    </w:r>
    <w:r w:rsidR="006A1D9A" w:rsidRPr="001775C1">
      <w:rPr>
        <w:szCs w:val="24"/>
      </w:rPr>
      <w:fldChar w:fldCharType="begin"/>
    </w:r>
    <w:r w:rsidRPr="001775C1">
      <w:rPr>
        <w:szCs w:val="24"/>
      </w:rPr>
      <w:instrText xml:space="preserve"> PAGE   \* MERGEFORMAT </w:instrText>
    </w:r>
    <w:r w:rsidR="006A1D9A" w:rsidRPr="001775C1">
      <w:rPr>
        <w:szCs w:val="24"/>
      </w:rPr>
      <w:fldChar w:fldCharType="separate"/>
    </w:r>
    <w:r w:rsidR="004F01F8">
      <w:rPr>
        <w:noProof/>
        <w:szCs w:val="24"/>
      </w:rPr>
      <w:t>573</w:t>
    </w:r>
    <w:r w:rsidR="006A1D9A" w:rsidRPr="001775C1">
      <w:rPr>
        <w:szCs w:val="24"/>
      </w:rPr>
      <w:fldChar w:fldCharType="end"/>
    </w:r>
    <w:r>
      <w:t xml:space="preserve">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E9" w:rsidRDefault="004F01F8" w:rsidP="00782AE4">
    <w:pPr>
      <w:tabs>
        <w:tab w:val="center" w:pos="4680"/>
      </w:tabs>
    </w:pPr>
    <w:r>
      <w:pict>
        <v:rect id="_x0000_i1084" style="width:480.95pt;height:1pt" o:hralign="center" o:hrstd="t" o:hrnoshade="t" o:hr="t" fillcolor="black [3213]" stroked="f"/>
      </w:pict>
    </w:r>
  </w:p>
  <w:p w:rsidR="009B16E9" w:rsidRDefault="009B16E9" w:rsidP="00782AE4">
    <w:pPr>
      <w:tabs>
        <w:tab w:val="center" w:pos="4680"/>
      </w:tabs>
    </w:pPr>
    <w:r>
      <w:tab/>
      <w:t xml:space="preserve">- </w:t>
    </w:r>
    <w:r w:rsidR="006A1D9A" w:rsidRPr="001775C1">
      <w:rPr>
        <w:szCs w:val="24"/>
      </w:rPr>
      <w:fldChar w:fldCharType="begin"/>
    </w:r>
    <w:r w:rsidRPr="001775C1">
      <w:rPr>
        <w:szCs w:val="24"/>
      </w:rPr>
      <w:instrText xml:space="preserve"> PAGE   \* MERGEFORMAT </w:instrText>
    </w:r>
    <w:r w:rsidR="006A1D9A" w:rsidRPr="001775C1">
      <w:rPr>
        <w:szCs w:val="24"/>
      </w:rPr>
      <w:fldChar w:fldCharType="separate"/>
    </w:r>
    <w:r w:rsidR="004F01F8">
      <w:rPr>
        <w:noProof/>
        <w:szCs w:val="24"/>
      </w:rPr>
      <w:t>564</w:t>
    </w:r>
    <w:r w:rsidR="006A1D9A" w:rsidRPr="001775C1">
      <w:rPr>
        <w:szCs w:val="24"/>
      </w:rPr>
      <w:fldChar w:fldCharType="end"/>
    </w:r>
    <w:r>
      <w:t xml:space="preserve"> -</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E9" w:rsidRPr="00924065" w:rsidRDefault="009B16E9"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E9" w:rsidRDefault="009B16E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E9" w:rsidRDefault="004F01F8" w:rsidP="00A87207">
    <w:pPr>
      <w:pStyle w:val="Footer"/>
    </w:pPr>
    <w:r>
      <w:pict>
        <v:rect id="_x0000_i1033" style="width:480.95pt;height:1pt" o:hralign="center" o:hrstd="t" o:hrnoshade="t" o:hr="t" fillcolor="black [3213]" stroked="f"/>
      </w:pict>
    </w:r>
  </w:p>
  <w:p w:rsidR="009B16E9" w:rsidRPr="00B7374B" w:rsidRDefault="009B16E9" w:rsidP="00B7374B">
    <w:pPr>
      <w:tabs>
        <w:tab w:val="center" w:pos="4680"/>
      </w:tabs>
      <w:rPr>
        <w:szCs w:val="24"/>
      </w:rPr>
    </w:pPr>
    <w:r w:rsidRPr="00954D22">
      <w:rPr>
        <w:szCs w:val="24"/>
      </w:rPr>
      <w:tab/>
      <w:t xml:space="preserve">- </w:t>
    </w:r>
    <w:r w:rsidR="006A1D9A" w:rsidRPr="00954D22">
      <w:rPr>
        <w:szCs w:val="24"/>
      </w:rPr>
      <w:fldChar w:fldCharType="begin"/>
    </w:r>
    <w:r w:rsidRPr="00954D22">
      <w:rPr>
        <w:szCs w:val="24"/>
      </w:rPr>
      <w:instrText xml:space="preserve"> PAGE   \* MERGEFORMAT </w:instrText>
    </w:r>
    <w:r w:rsidR="006A1D9A" w:rsidRPr="00954D22">
      <w:rPr>
        <w:szCs w:val="24"/>
      </w:rPr>
      <w:fldChar w:fldCharType="separate"/>
    </w:r>
    <w:r>
      <w:rPr>
        <w:noProof/>
        <w:szCs w:val="24"/>
      </w:rPr>
      <w:t>535</w:t>
    </w:r>
    <w:r w:rsidR="006A1D9A"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E9" w:rsidRDefault="004F01F8" w:rsidP="00755F22">
    <w:pPr>
      <w:tabs>
        <w:tab w:val="left" w:pos="-1440"/>
        <w:tab w:val="left" w:pos="-720"/>
      </w:tabs>
    </w:pPr>
    <w:r>
      <w:pict>
        <v:rect id="_x0000_i1034" style="width:480.95pt;height:1pt" o:hralign="center" o:hrstd="t" o:hrnoshade="t" o:hr="t" fillcolor="black [3213]" stroked="f"/>
      </w:pict>
    </w:r>
  </w:p>
  <w:p w:rsidR="009B16E9" w:rsidRPr="00954D22" w:rsidRDefault="009B16E9" w:rsidP="00B7374B">
    <w:pPr>
      <w:tabs>
        <w:tab w:val="center" w:pos="4680"/>
      </w:tabs>
      <w:rPr>
        <w:szCs w:val="24"/>
      </w:rPr>
    </w:pPr>
    <w:r w:rsidRPr="00954D22">
      <w:rPr>
        <w:szCs w:val="24"/>
      </w:rPr>
      <w:tab/>
      <w:t xml:space="preserve">- </w:t>
    </w:r>
    <w:r w:rsidR="006A1D9A">
      <w:rPr>
        <w:szCs w:val="24"/>
      </w:rPr>
      <w:fldChar w:fldCharType="begin"/>
    </w:r>
    <w:r>
      <w:rPr>
        <w:szCs w:val="24"/>
      </w:rPr>
      <w:instrText xml:space="preserve"> PAGE   \* MERGEFORMAT </w:instrText>
    </w:r>
    <w:r w:rsidR="006A1D9A">
      <w:rPr>
        <w:szCs w:val="24"/>
      </w:rPr>
      <w:fldChar w:fldCharType="separate"/>
    </w:r>
    <w:r w:rsidR="004F01F8">
      <w:rPr>
        <w:noProof/>
        <w:szCs w:val="24"/>
      </w:rPr>
      <w:t>534</w:t>
    </w:r>
    <w:r w:rsidR="006A1D9A">
      <w:rPr>
        <w:szCs w:val="24"/>
      </w:rPr>
      <w:fldChar w:fldCharType="end"/>
    </w:r>
    <w:r w:rsidRPr="00954D22">
      <w:rPr>
        <w:szCs w:val="24"/>
      </w:rPr>
      <w:t xml:space="preserve"> -</w:t>
    </w:r>
  </w:p>
  <w:p w:rsidR="009B16E9" w:rsidRDefault="009B16E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E9" w:rsidRDefault="004F01F8" w:rsidP="00A87207">
    <w:pPr>
      <w:pStyle w:val="Footer"/>
    </w:pPr>
    <w:r>
      <w:pict>
        <v:rect id="_x0000_i1036" style="width:480.95pt;height:1pt" o:hralign="center" o:hrstd="t" o:hrnoshade="t" o:hr="t" fillcolor="black [3213]" stroked="f"/>
      </w:pict>
    </w:r>
  </w:p>
  <w:p w:rsidR="009B16E9" w:rsidRPr="00B7374B" w:rsidRDefault="009B16E9" w:rsidP="00B7374B">
    <w:pPr>
      <w:tabs>
        <w:tab w:val="center" w:pos="4680"/>
      </w:tabs>
      <w:rPr>
        <w:szCs w:val="24"/>
      </w:rPr>
    </w:pPr>
    <w:r w:rsidRPr="00954D22">
      <w:rPr>
        <w:szCs w:val="24"/>
      </w:rPr>
      <w:tab/>
      <w:t xml:space="preserve">- </w:t>
    </w:r>
    <w:r w:rsidR="006A1D9A" w:rsidRPr="00954D22">
      <w:rPr>
        <w:szCs w:val="24"/>
      </w:rPr>
      <w:fldChar w:fldCharType="begin"/>
    </w:r>
    <w:r w:rsidRPr="00954D22">
      <w:rPr>
        <w:szCs w:val="24"/>
      </w:rPr>
      <w:instrText xml:space="preserve"> PAGE   \* MERGEFORMAT </w:instrText>
    </w:r>
    <w:r w:rsidR="006A1D9A" w:rsidRPr="00954D22">
      <w:rPr>
        <w:szCs w:val="24"/>
      </w:rPr>
      <w:fldChar w:fldCharType="separate"/>
    </w:r>
    <w:r>
      <w:rPr>
        <w:noProof/>
        <w:szCs w:val="24"/>
      </w:rPr>
      <w:t>536</w:t>
    </w:r>
    <w:r w:rsidR="006A1D9A"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E9" w:rsidRDefault="004F01F8"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7" style="width:480.95pt;height:1pt" o:hralign="center" o:hrstd="t" o:hrnoshade="t" o:hr="t" fillcolor="black [3213]" stroked="f"/>
      </w:pict>
    </w:r>
  </w:p>
  <w:p w:rsidR="009B16E9" w:rsidRPr="00954D22" w:rsidRDefault="009B16E9" w:rsidP="00B7374B">
    <w:pPr>
      <w:tabs>
        <w:tab w:val="center" w:pos="4680"/>
      </w:tabs>
      <w:rPr>
        <w:szCs w:val="24"/>
      </w:rPr>
    </w:pPr>
    <w:r w:rsidRPr="00954D22">
      <w:rPr>
        <w:szCs w:val="24"/>
      </w:rPr>
      <w:tab/>
      <w:t xml:space="preserve">- </w:t>
    </w:r>
    <w:r w:rsidR="006A1D9A" w:rsidRPr="00954D22">
      <w:rPr>
        <w:szCs w:val="24"/>
      </w:rPr>
      <w:fldChar w:fldCharType="begin"/>
    </w:r>
    <w:r w:rsidRPr="00954D22">
      <w:rPr>
        <w:szCs w:val="24"/>
      </w:rPr>
      <w:instrText xml:space="preserve"> PAGE   \* MERGEFORMAT </w:instrText>
    </w:r>
    <w:r w:rsidR="006A1D9A" w:rsidRPr="00954D22">
      <w:rPr>
        <w:szCs w:val="24"/>
      </w:rPr>
      <w:fldChar w:fldCharType="separate"/>
    </w:r>
    <w:r w:rsidR="004F01F8">
      <w:rPr>
        <w:noProof/>
        <w:szCs w:val="24"/>
      </w:rPr>
      <w:t>535</w:t>
    </w:r>
    <w:r w:rsidR="006A1D9A"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E9" w:rsidRDefault="009B16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9B16E9" w:rsidRDefault="009B16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B16E9" w:rsidRDefault="009B16E9">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E9" w:rsidRDefault="004F01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2" style="width:480.95pt;height:1pt" o:hralign="center" o:hrstd="t" o:hrnoshade="t" o:hr="t" fillcolor="black [3213]" stroked="f"/>
      </w:pict>
    </w:r>
  </w:p>
  <w:p w:rsidR="009B16E9" w:rsidRPr="0009648D" w:rsidRDefault="009B16E9" w:rsidP="00ED7E83">
    <w:pPr>
      <w:tabs>
        <w:tab w:val="center" w:pos="4680"/>
      </w:tabs>
    </w:pPr>
    <w:r>
      <w:tab/>
    </w:r>
    <w:r w:rsidRPr="0009648D">
      <w:t xml:space="preserve">- </w:t>
    </w:r>
    <w:r w:rsidR="004F01F8">
      <w:fldChar w:fldCharType="begin"/>
    </w:r>
    <w:r w:rsidR="004F01F8">
      <w:instrText xml:space="preserve"> PAGE   \* MERGEFORMAT </w:instrText>
    </w:r>
    <w:r w:rsidR="004F01F8">
      <w:fldChar w:fldCharType="separate"/>
    </w:r>
    <w:r w:rsidR="004F01F8">
      <w:rPr>
        <w:noProof/>
      </w:rPr>
      <w:t>549</w:t>
    </w:r>
    <w:r w:rsidR="004F01F8">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6E9" w:rsidRDefault="009B16E9" w:rsidP="00A87207">
      <w:r>
        <w:separator/>
      </w:r>
    </w:p>
  </w:footnote>
  <w:footnote w:type="continuationSeparator" w:id="0">
    <w:p w:rsidR="009B16E9" w:rsidRDefault="009B16E9"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E9" w:rsidRDefault="009B16E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E9" w:rsidRDefault="009B16E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9B16E9">
      <w:tc>
        <w:tcPr>
          <w:tcW w:w="4230" w:type="dxa"/>
          <w:tcMar>
            <w:left w:w="0" w:type="dxa"/>
            <w:right w:w="0" w:type="dxa"/>
          </w:tcMar>
        </w:tcPr>
        <w:p w:rsidR="009B16E9" w:rsidRDefault="009B16E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9B16E9" w:rsidRDefault="009B16E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B16E9" w:rsidRDefault="009B16E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9B16E9">
      <w:trPr>
        <w:gridAfter w:val="2"/>
        <w:wAfter w:w="5250" w:type="dxa"/>
      </w:trPr>
      <w:tc>
        <w:tcPr>
          <w:tcW w:w="4230" w:type="dxa"/>
          <w:tcMar>
            <w:left w:w="0" w:type="dxa"/>
            <w:right w:w="0" w:type="dxa"/>
          </w:tcMar>
        </w:tcPr>
        <w:p w:rsidR="009B16E9" w:rsidRDefault="009B16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9B16E9" w:rsidRDefault="009B16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9B16E9" w:rsidRPr="00755F22" w:rsidTr="00245129">
      <w:tc>
        <w:tcPr>
          <w:tcW w:w="4230" w:type="dxa"/>
          <w:tcMar>
            <w:left w:w="0" w:type="dxa"/>
            <w:right w:w="0" w:type="dxa"/>
          </w:tcMar>
        </w:tcPr>
        <w:p w:rsidR="009B16E9" w:rsidRPr="00755F22" w:rsidRDefault="009B16E9" w:rsidP="00831CA9">
          <w:pPr>
            <w:keepNext/>
            <w:keepLines/>
            <w:rPr>
              <w:sz w:val="20"/>
              <w:szCs w:val="20"/>
            </w:rPr>
          </w:pPr>
          <w:r w:rsidRPr="00755F22">
            <w:rPr>
              <w:sz w:val="20"/>
              <w:szCs w:val="20"/>
            </w:rPr>
            <w:t>MOTIONS</w:t>
          </w:r>
        </w:p>
      </w:tc>
      <w:tc>
        <w:tcPr>
          <w:tcW w:w="1170" w:type="dxa"/>
          <w:tcMar>
            <w:left w:w="0" w:type="dxa"/>
            <w:right w:w="0" w:type="dxa"/>
          </w:tcMar>
        </w:tcPr>
        <w:p w:rsidR="009B16E9" w:rsidRPr="00755F22" w:rsidRDefault="009B16E9" w:rsidP="00831CA9">
          <w:pPr>
            <w:keepLines/>
            <w:jc w:val="center"/>
            <w:rPr>
              <w:sz w:val="20"/>
              <w:szCs w:val="20"/>
            </w:rPr>
          </w:pPr>
        </w:p>
        <w:p w:rsidR="009B16E9" w:rsidRPr="00755F22" w:rsidRDefault="009B16E9" w:rsidP="00831CA9">
          <w:pPr>
            <w:keepLines/>
            <w:tabs>
              <w:tab w:val="left" w:pos="-1440"/>
              <w:tab w:val="left" w:pos="-720"/>
            </w:tabs>
            <w:jc w:val="center"/>
            <w:rPr>
              <w:sz w:val="20"/>
              <w:szCs w:val="20"/>
            </w:rPr>
          </w:pPr>
        </w:p>
      </w:tc>
      <w:tc>
        <w:tcPr>
          <w:tcW w:w="4080" w:type="dxa"/>
          <w:tcMar>
            <w:left w:w="0" w:type="dxa"/>
            <w:right w:w="0" w:type="dxa"/>
          </w:tcMar>
        </w:tcPr>
        <w:p w:rsidR="009B16E9" w:rsidRPr="00BA6468" w:rsidRDefault="009B16E9" w:rsidP="00BA6468">
          <w:pPr>
            <w:keepLines/>
            <w:rPr>
              <w:sz w:val="20"/>
              <w:szCs w:val="20"/>
              <w:lang w:val="fr-CA"/>
            </w:rPr>
          </w:pPr>
          <w:r w:rsidRPr="00BA6468">
            <w:rPr>
              <w:sz w:val="20"/>
              <w:szCs w:val="20"/>
              <w:lang w:val="fr-CA"/>
            </w:rPr>
            <w:t>REQUÊTES</w:t>
          </w:r>
        </w:p>
      </w:tc>
    </w:tr>
  </w:tbl>
  <w:p w:rsidR="009B16E9" w:rsidRDefault="009B16E9"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E9" w:rsidRDefault="009B16E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B16E9" w:rsidRPr="004F01F8">
      <w:tc>
        <w:tcPr>
          <w:tcW w:w="4200" w:type="dxa"/>
          <w:tcMar>
            <w:left w:w="0" w:type="dxa"/>
            <w:right w:w="0" w:type="dxa"/>
          </w:tcMar>
        </w:tcPr>
        <w:p w:rsidR="009B16E9" w:rsidRDefault="009B16E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9B16E9" w:rsidRDefault="009B16E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B16E9" w:rsidRPr="00B01A03" w:rsidRDefault="009B16E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9B16E9" w:rsidRPr="00B01A03" w:rsidRDefault="009B16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9B16E9" w:rsidRPr="00B01A03" w:rsidRDefault="009B16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9B16E9" w:rsidRPr="004F01F8" w:rsidTr="00245129">
      <w:tc>
        <w:tcPr>
          <w:tcW w:w="4200" w:type="dxa"/>
          <w:tcMar>
            <w:left w:w="0" w:type="dxa"/>
            <w:right w:w="0" w:type="dxa"/>
          </w:tcMar>
        </w:tcPr>
        <w:p w:rsidR="009B16E9" w:rsidRPr="00F40249" w:rsidRDefault="009B16E9"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9B16E9" w:rsidRDefault="009B16E9" w:rsidP="00102926">
          <w:pPr>
            <w:keepNext/>
            <w:keepLines/>
            <w:tabs>
              <w:tab w:val="left" w:pos="-1440"/>
              <w:tab w:val="left" w:pos="-720"/>
            </w:tabs>
            <w:jc w:val="center"/>
            <w:rPr>
              <w:sz w:val="20"/>
              <w:szCs w:val="20"/>
            </w:rPr>
          </w:pPr>
        </w:p>
        <w:p w:rsidR="009B16E9" w:rsidRDefault="009B16E9" w:rsidP="00102926">
          <w:pPr>
            <w:keepNext/>
            <w:keepLines/>
            <w:tabs>
              <w:tab w:val="left" w:pos="-1440"/>
              <w:tab w:val="left" w:pos="-720"/>
            </w:tabs>
            <w:jc w:val="center"/>
            <w:rPr>
              <w:sz w:val="20"/>
              <w:szCs w:val="20"/>
            </w:rPr>
          </w:pPr>
        </w:p>
        <w:p w:rsidR="009B16E9" w:rsidRPr="00F40249" w:rsidRDefault="009B16E9" w:rsidP="00102926">
          <w:pPr>
            <w:keepNext/>
            <w:keepLines/>
            <w:tabs>
              <w:tab w:val="left" w:pos="-1440"/>
              <w:tab w:val="left" w:pos="-720"/>
            </w:tabs>
            <w:jc w:val="center"/>
            <w:rPr>
              <w:sz w:val="20"/>
              <w:szCs w:val="20"/>
            </w:rPr>
          </w:pPr>
        </w:p>
      </w:tc>
      <w:tc>
        <w:tcPr>
          <w:tcW w:w="4230" w:type="dxa"/>
          <w:tcMar>
            <w:left w:w="0" w:type="dxa"/>
            <w:right w:w="0" w:type="dxa"/>
          </w:tcMar>
        </w:tcPr>
        <w:p w:rsidR="009B16E9" w:rsidRPr="00F40249" w:rsidRDefault="009B16E9"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9B16E9" w:rsidRPr="00B01A03" w:rsidRDefault="009B16E9"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E9" w:rsidRDefault="009B16E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B16E9" w:rsidRPr="004F01F8">
      <w:tc>
        <w:tcPr>
          <w:tcW w:w="4200" w:type="dxa"/>
          <w:tcMar>
            <w:left w:w="0" w:type="dxa"/>
            <w:right w:w="0" w:type="dxa"/>
          </w:tcMar>
        </w:tcPr>
        <w:p w:rsidR="009B16E9" w:rsidRDefault="009B16E9">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9B16E9" w:rsidRDefault="009B16E9">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9B16E9" w:rsidRDefault="009B16E9">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B16E9" w:rsidRPr="009256DC" w:rsidRDefault="009B16E9">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9B16E9" w:rsidRPr="009256DC" w:rsidRDefault="009B16E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9B16E9" w:rsidRPr="009256DC" w:rsidRDefault="009B16E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B16E9" w:rsidRPr="004F01F8" w:rsidTr="00245129">
      <w:tc>
        <w:tcPr>
          <w:tcW w:w="4200" w:type="dxa"/>
          <w:tcMar>
            <w:left w:w="0" w:type="dxa"/>
            <w:right w:w="0" w:type="dxa"/>
          </w:tcMar>
        </w:tcPr>
        <w:p w:rsidR="009B16E9" w:rsidRPr="00802863" w:rsidRDefault="009B16E9"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9B16E9" w:rsidRPr="00802863" w:rsidRDefault="009B16E9" w:rsidP="00802863">
          <w:pPr>
            <w:keepNext/>
            <w:keepLines/>
            <w:widowControl w:val="0"/>
            <w:tabs>
              <w:tab w:val="left" w:pos="-1440"/>
              <w:tab w:val="left" w:pos="-720"/>
            </w:tabs>
            <w:jc w:val="center"/>
            <w:rPr>
              <w:sz w:val="20"/>
              <w:szCs w:val="20"/>
            </w:rPr>
          </w:pPr>
        </w:p>
        <w:p w:rsidR="009B16E9" w:rsidRPr="00802863" w:rsidRDefault="009B16E9" w:rsidP="00802863">
          <w:pPr>
            <w:keepNext/>
            <w:keepLines/>
            <w:widowControl w:val="0"/>
            <w:tabs>
              <w:tab w:val="left" w:pos="-1440"/>
              <w:tab w:val="left" w:pos="-720"/>
            </w:tabs>
            <w:jc w:val="center"/>
            <w:rPr>
              <w:sz w:val="20"/>
              <w:szCs w:val="20"/>
            </w:rPr>
          </w:pPr>
        </w:p>
        <w:p w:rsidR="009B16E9" w:rsidRPr="00802863" w:rsidRDefault="009B16E9"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9B16E9" w:rsidRPr="00802863" w:rsidRDefault="009B16E9"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9B16E9" w:rsidRPr="009256DC" w:rsidRDefault="009B16E9"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E9" w:rsidRDefault="009B16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E9" w:rsidRDefault="009B16E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B16E9" w:rsidRPr="004F01F8">
      <w:tc>
        <w:tcPr>
          <w:tcW w:w="4200" w:type="dxa"/>
          <w:tcMar>
            <w:left w:w="0" w:type="dxa"/>
            <w:right w:w="0" w:type="dxa"/>
          </w:tcMar>
        </w:tcPr>
        <w:p w:rsidR="009B16E9" w:rsidRDefault="009B16E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9B16E9" w:rsidRDefault="009B16E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B16E9" w:rsidRPr="00283C52" w:rsidRDefault="009B16E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9B16E9" w:rsidRPr="00283C52" w:rsidRDefault="009B16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9B16E9" w:rsidRPr="00283C52" w:rsidRDefault="009B16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B16E9" w:rsidRPr="004F01F8" w:rsidTr="00245129">
      <w:tc>
        <w:tcPr>
          <w:tcW w:w="4200" w:type="dxa"/>
          <w:tcMar>
            <w:left w:w="0" w:type="dxa"/>
            <w:right w:w="0" w:type="dxa"/>
          </w:tcMar>
        </w:tcPr>
        <w:p w:rsidR="009B16E9" w:rsidRPr="00732DB7" w:rsidRDefault="009B16E9"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9B16E9" w:rsidRPr="00732DB7" w:rsidRDefault="009B16E9" w:rsidP="00732DB7">
          <w:pPr>
            <w:keepNext/>
            <w:keepLines/>
            <w:tabs>
              <w:tab w:val="left" w:pos="-1440"/>
              <w:tab w:val="left" w:pos="-720"/>
            </w:tabs>
            <w:jc w:val="center"/>
            <w:rPr>
              <w:sz w:val="20"/>
              <w:szCs w:val="20"/>
            </w:rPr>
          </w:pPr>
        </w:p>
        <w:p w:rsidR="009B16E9" w:rsidRPr="00732DB7" w:rsidRDefault="009B16E9" w:rsidP="00732DB7">
          <w:pPr>
            <w:keepNext/>
            <w:keepLines/>
            <w:tabs>
              <w:tab w:val="left" w:pos="-1440"/>
              <w:tab w:val="left" w:pos="-720"/>
            </w:tabs>
            <w:jc w:val="center"/>
            <w:rPr>
              <w:sz w:val="20"/>
              <w:szCs w:val="20"/>
            </w:rPr>
          </w:pPr>
        </w:p>
        <w:p w:rsidR="009B16E9" w:rsidRPr="00732DB7" w:rsidRDefault="009B16E9" w:rsidP="00732DB7">
          <w:pPr>
            <w:keepNext/>
            <w:keepLines/>
            <w:tabs>
              <w:tab w:val="left" w:pos="-1440"/>
              <w:tab w:val="left" w:pos="-720"/>
            </w:tabs>
            <w:jc w:val="center"/>
            <w:rPr>
              <w:sz w:val="20"/>
              <w:szCs w:val="20"/>
            </w:rPr>
          </w:pPr>
        </w:p>
      </w:tc>
      <w:tc>
        <w:tcPr>
          <w:tcW w:w="4080" w:type="dxa"/>
          <w:tcMar>
            <w:left w:w="0" w:type="dxa"/>
            <w:right w:w="0" w:type="dxa"/>
          </w:tcMar>
        </w:tcPr>
        <w:p w:rsidR="009B16E9" w:rsidRPr="00732DB7" w:rsidRDefault="009B16E9"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9B16E9" w:rsidRPr="00283C52" w:rsidRDefault="009B16E9"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E9" w:rsidRDefault="009B16E9">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B16E9" w:rsidRPr="004F01F8">
      <w:tc>
        <w:tcPr>
          <w:tcW w:w="4200" w:type="dxa"/>
          <w:tcMar>
            <w:left w:w="0" w:type="dxa"/>
            <w:right w:w="0" w:type="dxa"/>
          </w:tcMar>
        </w:tcPr>
        <w:p w:rsidR="009B16E9" w:rsidRDefault="009B16E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9B16E9" w:rsidRDefault="009B16E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9B16E9" w:rsidRDefault="009B16E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9B16E9" w:rsidRPr="003C2C0F" w:rsidRDefault="009B16E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9B16E9" w:rsidRPr="003C2C0F" w:rsidRDefault="009B16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9B16E9" w:rsidRPr="003C2C0F" w:rsidRDefault="009B16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B16E9" w:rsidRPr="004F01F8" w:rsidTr="00245129">
      <w:tc>
        <w:tcPr>
          <w:tcW w:w="4200" w:type="dxa"/>
          <w:tcMar>
            <w:left w:w="0" w:type="dxa"/>
            <w:right w:w="0" w:type="dxa"/>
          </w:tcMar>
        </w:tcPr>
        <w:p w:rsidR="009B16E9" w:rsidRPr="00FF6EEC" w:rsidRDefault="009B16E9" w:rsidP="00FF6EEC">
          <w:pPr>
            <w:rPr>
              <w:sz w:val="20"/>
              <w:szCs w:val="20"/>
            </w:rPr>
          </w:pPr>
          <w:r w:rsidRPr="00FF6EEC">
            <w:rPr>
              <w:sz w:val="20"/>
              <w:szCs w:val="20"/>
            </w:rPr>
            <w:t>PRONOUNCEMENTS OF APPEALS RESERVED</w:t>
          </w:r>
        </w:p>
      </w:tc>
      <w:tc>
        <w:tcPr>
          <w:tcW w:w="1200" w:type="dxa"/>
          <w:tcMar>
            <w:left w:w="0" w:type="dxa"/>
            <w:right w:w="0" w:type="dxa"/>
          </w:tcMar>
        </w:tcPr>
        <w:p w:rsidR="009B16E9" w:rsidRPr="00FF6EEC" w:rsidRDefault="009B16E9" w:rsidP="00FF6EEC">
          <w:pPr>
            <w:jc w:val="center"/>
            <w:rPr>
              <w:sz w:val="20"/>
              <w:szCs w:val="20"/>
            </w:rPr>
          </w:pPr>
        </w:p>
        <w:p w:rsidR="009B16E9" w:rsidRPr="00FF6EEC" w:rsidRDefault="009B16E9" w:rsidP="00FF6EEC">
          <w:pPr>
            <w:jc w:val="center"/>
            <w:rPr>
              <w:sz w:val="20"/>
              <w:szCs w:val="20"/>
            </w:rPr>
          </w:pPr>
        </w:p>
        <w:p w:rsidR="009B16E9" w:rsidRPr="00FF6EEC" w:rsidRDefault="009B16E9" w:rsidP="00FF6EEC">
          <w:pPr>
            <w:jc w:val="center"/>
            <w:rPr>
              <w:sz w:val="20"/>
              <w:szCs w:val="20"/>
            </w:rPr>
          </w:pPr>
        </w:p>
      </w:tc>
      <w:tc>
        <w:tcPr>
          <w:tcW w:w="4080" w:type="dxa"/>
          <w:tcMar>
            <w:left w:w="0" w:type="dxa"/>
            <w:right w:w="0" w:type="dxa"/>
          </w:tcMar>
        </w:tcPr>
        <w:p w:rsidR="009B16E9" w:rsidRPr="00FF6EEC" w:rsidRDefault="009B16E9" w:rsidP="00FF6EEC">
          <w:pPr>
            <w:rPr>
              <w:sz w:val="20"/>
              <w:szCs w:val="20"/>
              <w:lang w:val="fr-CA"/>
            </w:rPr>
          </w:pPr>
          <w:r w:rsidRPr="00FF6EEC">
            <w:rPr>
              <w:sz w:val="20"/>
              <w:szCs w:val="20"/>
              <w:lang w:val="fr-CA"/>
            </w:rPr>
            <w:t>JUGEMENTS RENDUS SUR LES APPELS EN DÉLIBÉRÉ</w:t>
          </w:r>
        </w:p>
      </w:tc>
    </w:tr>
  </w:tbl>
  <w:p w:rsidR="009B16E9" w:rsidRPr="003C2C0F" w:rsidRDefault="009B16E9"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E9" w:rsidRDefault="009B16E9">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9B16E9">
      <w:tc>
        <w:tcPr>
          <w:tcW w:w="4230" w:type="dxa"/>
          <w:tcMar>
            <w:left w:w="0" w:type="dxa"/>
            <w:right w:w="0" w:type="dxa"/>
          </w:tcMar>
        </w:tcPr>
        <w:p w:rsidR="009B16E9" w:rsidRDefault="009B16E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9B16E9" w:rsidRDefault="009B16E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9B16E9" w:rsidRDefault="009B16E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9B16E9" w:rsidRDefault="009B16E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B16E9" w:rsidRDefault="009B16E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9B16E9" w:rsidRDefault="009B16E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9B16E9" w:rsidRDefault="009B16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9B16E9" w:rsidRDefault="009B16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9B16E9" w:rsidRPr="00782AE4" w:rsidTr="00245129">
      <w:tc>
        <w:tcPr>
          <w:tcW w:w="4230" w:type="dxa"/>
          <w:tcMar>
            <w:left w:w="0" w:type="dxa"/>
            <w:right w:w="0" w:type="dxa"/>
          </w:tcMar>
        </w:tcPr>
        <w:p w:rsidR="009B16E9" w:rsidRPr="00782AE4" w:rsidRDefault="009B16E9" w:rsidP="00102926">
          <w:pPr>
            <w:keepNext/>
            <w:keepLines/>
            <w:tabs>
              <w:tab w:val="left" w:pos="-1440"/>
              <w:tab w:val="left" w:pos="-720"/>
            </w:tabs>
            <w:rPr>
              <w:sz w:val="20"/>
              <w:szCs w:val="20"/>
            </w:rPr>
          </w:pPr>
          <w:r w:rsidRPr="00782AE4">
            <w:rPr>
              <w:sz w:val="20"/>
              <w:szCs w:val="20"/>
            </w:rPr>
            <w:t xml:space="preserve">HEADNOTES OF RECENT </w:t>
          </w:r>
        </w:p>
        <w:p w:rsidR="009B16E9" w:rsidRPr="00782AE4" w:rsidRDefault="009B16E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9B16E9" w:rsidRDefault="009B16E9" w:rsidP="00102926">
          <w:pPr>
            <w:keepNext/>
            <w:keepLines/>
            <w:tabs>
              <w:tab w:val="left" w:pos="-1440"/>
              <w:tab w:val="left" w:pos="-720"/>
            </w:tabs>
            <w:jc w:val="center"/>
            <w:rPr>
              <w:sz w:val="20"/>
              <w:szCs w:val="20"/>
            </w:rPr>
          </w:pPr>
        </w:p>
        <w:p w:rsidR="009B16E9" w:rsidRDefault="009B16E9" w:rsidP="00102926">
          <w:pPr>
            <w:keepNext/>
            <w:keepLines/>
            <w:tabs>
              <w:tab w:val="left" w:pos="-1440"/>
              <w:tab w:val="left" w:pos="-720"/>
            </w:tabs>
            <w:jc w:val="center"/>
            <w:rPr>
              <w:sz w:val="20"/>
              <w:szCs w:val="20"/>
            </w:rPr>
          </w:pPr>
        </w:p>
        <w:p w:rsidR="009B16E9" w:rsidRPr="00782AE4" w:rsidRDefault="009B16E9" w:rsidP="00102926">
          <w:pPr>
            <w:keepNext/>
            <w:keepLines/>
            <w:tabs>
              <w:tab w:val="left" w:pos="-1440"/>
              <w:tab w:val="left" w:pos="-720"/>
            </w:tabs>
            <w:jc w:val="center"/>
            <w:rPr>
              <w:sz w:val="20"/>
              <w:szCs w:val="20"/>
            </w:rPr>
          </w:pPr>
        </w:p>
      </w:tc>
      <w:tc>
        <w:tcPr>
          <w:tcW w:w="4080" w:type="dxa"/>
          <w:tcMar>
            <w:left w:w="0" w:type="dxa"/>
            <w:right w:w="0" w:type="dxa"/>
          </w:tcMar>
        </w:tcPr>
        <w:p w:rsidR="009B16E9" w:rsidRPr="00102926" w:rsidRDefault="009B16E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9B16E9" w:rsidRPr="00782AE4" w:rsidRDefault="009B16E9" w:rsidP="00102926">
          <w:pPr>
            <w:keepLines/>
            <w:tabs>
              <w:tab w:val="left" w:pos="-1440"/>
              <w:tab w:val="left" w:pos="-720"/>
            </w:tabs>
            <w:rPr>
              <w:sz w:val="20"/>
              <w:szCs w:val="20"/>
            </w:rPr>
          </w:pPr>
          <w:r w:rsidRPr="00102926">
            <w:rPr>
              <w:sz w:val="20"/>
              <w:szCs w:val="20"/>
              <w:lang w:val="fr-CA"/>
            </w:rPr>
            <w:t>RÉCENTS</w:t>
          </w:r>
        </w:p>
      </w:tc>
    </w:tr>
  </w:tbl>
  <w:p w:rsidR="009B16E9" w:rsidRDefault="009B16E9"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E9" w:rsidRDefault="009B16E9">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E9" w:rsidRDefault="009B16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E9" w:rsidRDefault="009B16E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9B16E9" w:rsidRPr="0044776A" w:rsidTr="00245129">
      <w:tc>
        <w:tcPr>
          <w:tcW w:w="4290" w:type="dxa"/>
          <w:tcMar>
            <w:left w:w="0" w:type="dxa"/>
            <w:right w:w="0" w:type="dxa"/>
          </w:tcMar>
        </w:tcPr>
        <w:p w:rsidR="009B16E9" w:rsidRPr="0044776A" w:rsidRDefault="009B16E9"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9B16E9" w:rsidRPr="0044776A" w:rsidRDefault="009B16E9" w:rsidP="002E2327">
          <w:pPr>
            <w:keepNext/>
            <w:keepLines/>
            <w:tabs>
              <w:tab w:val="left" w:pos="-1440"/>
              <w:tab w:val="left" w:pos="-720"/>
            </w:tabs>
            <w:jc w:val="center"/>
            <w:rPr>
              <w:sz w:val="20"/>
              <w:szCs w:val="20"/>
            </w:rPr>
          </w:pPr>
        </w:p>
        <w:p w:rsidR="009B16E9" w:rsidRPr="0044776A" w:rsidRDefault="009B16E9" w:rsidP="002E2327">
          <w:pPr>
            <w:keepNext/>
            <w:keepLines/>
            <w:tabs>
              <w:tab w:val="left" w:pos="-1440"/>
              <w:tab w:val="left" w:pos="-720"/>
            </w:tabs>
            <w:jc w:val="center"/>
            <w:rPr>
              <w:sz w:val="20"/>
              <w:szCs w:val="20"/>
            </w:rPr>
          </w:pPr>
        </w:p>
        <w:p w:rsidR="009B16E9" w:rsidRPr="0044776A" w:rsidRDefault="009B16E9" w:rsidP="002E2327">
          <w:pPr>
            <w:keepNext/>
            <w:keepLines/>
            <w:tabs>
              <w:tab w:val="left" w:pos="-1440"/>
              <w:tab w:val="left" w:pos="-720"/>
            </w:tabs>
            <w:jc w:val="center"/>
            <w:rPr>
              <w:sz w:val="20"/>
              <w:szCs w:val="20"/>
            </w:rPr>
          </w:pPr>
        </w:p>
      </w:tc>
      <w:tc>
        <w:tcPr>
          <w:tcW w:w="4320" w:type="dxa"/>
          <w:tcMar>
            <w:left w:w="0" w:type="dxa"/>
            <w:right w:w="0" w:type="dxa"/>
          </w:tcMar>
        </w:tcPr>
        <w:p w:rsidR="009B16E9" w:rsidRPr="0044776A" w:rsidRDefault="009B16E9" w:rsidP="002E2327">
          <w:pPr>
            <w:keepLines/>
            <w:rPr>
              <w:sz w:val="20"/>
              <w:szCs w:val="20"/>
              <w:lang w:val="fr-CA"/>
            </w:rPr>
          </w:pPr>
          <w:r w:rsidRPr="0044776A">
            <w:rPr>
              <w:sz w:val="20"/>
              <w:szCs w:val="20"/>
              <w:lang w:val="fr-CA"/>
            </w:rPr>
            <w:t>DEMANDES D'AUTORISATION D'APPEL DÉPOSÉES</w:t>
          </w:r>
        </w:p>
      </w:tc>
    </w:tr>
  </w:tbl>
  <w:p w:rsidR="009B16E9" w:rsidRDefault="009B16E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E9" w:rsidRDefault="009B16E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B16E9" w:rsidRPr="004F01F8" w:rsidTr="00245129">
      <w:tc>
        <w:tcPr>
          <w:tcW w:w="4200" w:type="dxa"/>
          <w:tcMar>
            <w:left w:w="0" w:type="dxa"/>
            <w:right w:w="0" w:type="dxa"/>
          </w:tcMar>
        </w:tcPr>
        <w:p w:rsidR="009B16E9" w:rsidRPr="0044776A" w:rsidRDefault="009B16E9" w:rsidP="0044776A">
          <w:pPr>
            <w:keepNext/>
            <w:keepLines/>
            <w:widowControl w:val="0"/>
            <w:rPr>
              <w:sz w:val="20"/>
              <w:szCs w:val="20"/>
            </w:rPr>
          </w:pPr>
          <w:r>
            <w:rPr>
              <w:sz w:val="20"/>
              <w:szCs w:val="20"/>
            </w:rPr>
            <w:t>APPLICATIONS FOR LEAVE</w:t>
          </w:r>
        </w:p>
        <w:p w:rsidR="009B16E9" w:rsidRPr="0044776A" w:rsidRDefault="009B16E9"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9B16E9" w:rsidRPr="0044776A" w:rsidRDefault="009B16E9" w:rsidP="0044776A">
          <w:pPr>
            <w:keepNext/>
            <w:keepLines/>
            <w:widowControl w:val="0"/>
            <w:jc w:val="center"/>
            <w:rPr>
              <w:sz w:val="20"/>
              <w:szCs w:val="20"/>
            </w:rPr>
          </w:pPr>
        </w:p>
        <w:p w:rsidR="009B16E9" w:rsidRPr="0044776A" w:rsidRDefault="009B16E9" w:rsidP="0044776A">
          <w:pPr>
            <w:keepNext/>
            <w:keepLines/>
            <w:widowControl w:val="0"/>
            <w:jc w:val="center"/>
            <w:rPr>
              <w:sz w:val="20"/>
              <w:szCs w:val="20"/>
            </w:rPr>
          </w:pPr>
        </w:p>
        <w:p w:rsidR="009B16E9" w:rsidRPr="0044776A" w:rsidRDefault="009B16E9" w:rsidP="0044776A">
          <w:pPr>
            <w:keepNext/>
            <w:keepLines/>
            <w:widowControl w:val="0"/>
            <w:jc w:val="center"/>
            <w:rPr>
              <w:sz w:val="20"/>
              <w:szCs w:val="20"/>
            </w:rPr>
          </w:pPr>
        </w:p>
      </w:tc>
      <w:tc>
        <w:tcPr>
          <w:tcW w:w="4080" w:type="dxa"/>
          <w:tcMar>
            <w:left w:w="0" w:type="dxa"/>
            <w:right w:w="0" w:type="dxa"/>
          </w:tcMar>
        </w:tcPr>
        <w:p w:rsidR="009B16E9" w:rsidRPr="0044776A" w:rsidRDefault="009B16E9" w:rsidP="0044776A">
          <w:pPr>
            <w:keepLines/>
            <w:widowControl w:val="0"/>
            <w:rPr>
              <w:sz w:val="20"/>
              <w:szCs w:val="20"/>
              <w:lang w:val="fr-CA"/>
            </w:rPr>
          </w:pPr>
          <w:r w:rsidRPr="0044776A">
            <w:rPr>
              <w:sz w:val="20"/>
              <w:szCs w:val="20"/>
              <w:lang w:val="fr-CA"/>
            </w:rPr>
            <w:t>DEMANDES SOUMISES À LA COUR DEPUIS LA DERNIÈRE PARUTION</w:t>
          </w:r>
        </w:p>
        <w:p w:rsidR="009B16E9" w:rsidRPr="0044776A" w:rsidRDefault="009B16E9" w:rsidP="0044776A">
          <w:pPr>
            <w:widowControl w:val="0"/>
            <w:rPr>
              <w:sz w:val="20"/>
              <w:szCs w:val="20"/>
              <w:lang w:val="fr-CA"/>
            </w:rPr>
          </w:pPr>
        </w:p>
      </w:tc>
    </w:tr>
  </w:tbl>
  <w:p w:rsidR="009B16E9" w:rsidRPr="002E2327" w:rsidRDefault="009B16E9">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E9" w:rsidRDefault="009B16E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B16E9" w:rsidRPr="004F01F8">
      <w:tc>
        <w:tcPr>
          <w:tcW w:w="4200" w:type="dxa"/>
          <w:tcMar>
            <w:left w:w="0" w:type="dxa"/>
            <w:right w:w="0" w:type="dxa"/>
          </w:tcMar>
        </w:tcPr>
        <w:p w:rsidR="009B16E9" w:rsidRDefault="009B16E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9B16E9" w:rsidRDefault="009B16E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9B16E9" w:rsidRDefault="009B16E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B16E9" w:rsidRPr="00FF6BA5" w:rsidRDefault="009B16E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9B16E9" w:rsidRPr="00FF6BA5" w:rsidRDefault="009B16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9B16E9" w:rsidRPr="00FF6BA5" w:rsidRDefault="009B16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9B16E9" w:rsidRPr="00FF6BA5" w:rsidRDefault="009B16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B16E9" w:rsidRPr="004F01F8" w:rsidTr="00245129">
      <w:tc>
        <w:tcPr>
          <w:tcW w:w="4200" w:type="dxa"/>
          <w:tcMar>
            <w:left w:w="0" w:type="dxa"/>
            <w:right w:w="0" w:type="dxa"/>
          </w:tcMar>
        </w:tcPr>
        <w:p w:rsidR="009B16E9" w:rsidRPr="00755F22" w:rsidRDefault="009B16E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9B16E9" w:rsidRPr="00755F22" w:rsidRDefault="009B16E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9B16E9" w:rsidRPr="00755F22" w:rsidRDefault="009B16E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B16E9" w:rsidRPr="00755F22" w:rsidRDefault="009B16E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B16E9" w:rsidRPr="00755F22" w:rsidRDefault="009B16E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9B16E9" w:rsidRPr="00755F22" w:rsidRDefault="009B16E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9B16E9" w:rsidRPr="00FF6BA5" w:rsidRDefault="009B16E9"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18C22DB"/>
    <w:multiLevelType w:val="hybridMultilevel"/>
    <w:tmpl w:val="5B6CB3F4"/>
    <w:lvl w:ilvl="0" w:tplc="138EA8C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1B82BFE"/>
    <w:multiLevelType w:val="hybridMultilevel"/>
    <w:tmpl w:val="A0706F96"/>
    <w:lvl w:ilvl="0" w:tplc="6E58A650">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drawingGridHorizontalSpacing w:val="120"/>
  <w:displayHorizontalDrawingGridEvery w:val="2"/>
  <w:characterSpacingControl w:val="doNotCompress"/>
  <w:hdrShapeDefaults>
    <o:shapedefaults v:ext="edit" spidmax="69651"/>
  </w:hdrShapeDefaults>
  <w:footnotePr>
    <w:footnote w:id="-1"/>
    <w:footnote w:id="0"/>
  </w:footnotePr>
  <w:endnotePr>
    <w:endnote w:id="-1"/>
    <w:endnote w:id="0"/>
  </w:endnotePr>
  <w:compat>
    <w:compatSetting w:name="compatibilityMode" w:uri="http://schemas.microsoft.com/office/word" w:val="12"/>
  </w:compat>
  <w:rsids>
    <w:rsidRoot w:val="00730B5B"/>
    <w:rsid w:val="00004EDE"/>
    <w:rsid w:val="00022A45"/>
    <w:rsid w:val="0003223B"/>
    <w:rsid w:val="000327B2"/>
    <w:rsid w:val="00072C86"/>
    <w:rsid w:val="00077D9D"/>
    <w:rsid w:val="00091FA6"/>
    <w:rsid w:val="000935A6"/>
    <w:rsid w:val="00096BD9"/>
    <w:rsid w:val="000B3C9A"/>
    <w:rsid w:val="000B40A2"/>
    <w:rsid w:val="000B4624"/>
    <w:rsid w:val="000C0ACD"/>
    <w:rsid w:val="000C0D2A"/>
    <w:rsid w:val="000C5CE8"/>
    <w:rsid w:val="000E2959"/>
    <w:rsid w:val="000E6EFC"/>
    <w:rsid w:val="000F0B60"/>
    <w:rsid w:val="00102926"/>
    <w:rsid w:val="0010587F"/>
    <w:rsid w:val="00111C6B"/>
    <w:rsid w:val="0012079A"/>
    <w:rsid w:val="0012102B"/>
    <w:rsid w:val="0013369E"/>
    <w:rsid w:val="00133E05"/>
    <w:rsid w:val="00141C6D"/>
    <w:rsid w:val="00151FF0"/>
    <w:rsid w:val="00164E6D"/>
    <w:rsid w:val="00190453"/>
    <w:rsid w:val="001B157C"/>
    <w:rsid w:val="001B1E7F"/>
    <w:rsid w:val="001B5C23"/>
    <w:rsid w:val="001D0D5F"/>
    <w:rsid w:val="001D6B8C"/>
    <w:rsid w:val="001F1F83"/>
    <w:rsid w:val="001F40DF"/>
    <w:rsid w:val="002021A9"/>
    <w:rsid w:val="002139A7"/>
    <w:rsid w:val="00215F7C"/>
    <w:rsid w:val="0022323B"/>
    <w:rsid w:val="002410B8"/>
    <w:rsid w:val="00242AEE"/>
    <w:rsid w:val="00245129"/>
    <w:rsid w:val="00245879"/>
    <w:rsid w:val="00267FD5"/>
    <w:rsid w:val="00274D34"/>
    <w:rsid w:val="00283ED8"/>
    <w:rsid w:val="002868D0"/>
    <w:rsid w:val="002A008C"/>
    <w:rsid w:val="002A27D1"/>
    <w:rsid w:val="002A4AFA"/>
    <w:rsid w:val="002A4E0C"/>
    <w:rsid w:val="002B516C"/>
    <w:rsid w:val="002C4942"/>
    <w:rsid w:val="002D72EB"/>
    <w:rsid w:val="002E2327"/>
    <w:rsid w:val="002E3583"/>
    <w:rsid w:val="002E5576"/>
    <w:rsid w:val="002F2845"/>
    <w:rsid w:val="002F3225"/>
    <w:rsid w:val="00322C69"/>
    <w:rsid w:val="00331679"/>
    <w:rsid w:val="00331B52"/>
    <w:rsid w:val="003359D3"/>
    <w:rsid w:val="00355967"/>
    <w:rsid w:val="00382C47"/>
    <w:rsid w:val="00384384"/>
    <w:rsid w:val="003866AE"/>
    <w:rsid w:val="00392239"/>
    <w:rsid w:val="003A098C"/>
    <w:rsid w:val="003B3977"/>
    <w:rsid w:val="003E1D4C"/>
    <w:rsid w:val="00427134"/>
    <w:rsid w:val="00432989"/>
    <w:rsid w:val="00440E24"/>
    <w:rsid w:val="0044776A"/>
    <w:rsid w:val="00453107"/>
    <w:rsid w:val="00460AFC"/>
    <w:rsid w:val="0047471F"/>
    <w:rsid w:val="00481C0A"/>
    <w:rsid w:val="004B195E"/>
    <w:rsid w:val="004B66B4"/>
    <w:rsid w:val="004B7F60"/>
    <w:rsid w:val="004C1AAC"/>
    <w:rsid w:val="004E1E0A"/>
    <w:rsid w:val="004F01F8"/>
    <w:rsid w:val="004F090E"/>
    <w:rsid w:val="00501F3C"/>
    <w:rsid w:val="00524D0A"/>
    <w:rsid w:val="00527CC7"/>
    <w:rsid w:val="00571CA4"/>
    <w:rsid w:val="00582136"/>
    <w:rsid w:val="005A5221"/>
    <w:rsid w:val="005B7D32"/>
    <w:rsid w:val="005C6840"/>
    <w:rsid w:val="005E31A3"/>
    <w:rsid w:val="005F263E"/>
    <w:rsid w:val="00600252"/>
    <w:rsid w:val="00600C23"/>
    <w:rsid w:val="006034F4"/>
    <w:rsid w:val="00612A40"/>
    <w:rsid w:val="00615D6E"/>
    <w:rsid w:val="00625A1D"/>
    <w:rsid w:val="0062714A"/>
    <w:rsid w:val="006444F8"/>
    <w:rsid w:val="00675479"/>
    <w:rsid w:val="00680709"/>
    <w:rsid w:val="00696BF9"/>
    <w:rsid w:val="00697C62"/>
    <w:rsid w:val="006A176F"/>
    <w:rsid w:val="006A1D9A"/>
    <w:rsid w:val="006A329B"/>
    <w:rsid w:val="006A7EB8"/>
    <w:rsid w:val="006B64F9"/>
    <w:rsid w:val="006B6926"/>
    <w:rsid w:val="006C3F47"/>
    <w:rsid w:val="006C5F7A"/>
    <w:rsid w:val="006E06AF"/>
    <w:rsid w:val="006E708D"/>
    <w:rsid w:val="006F350F"/>
    <w:rsid w:val="00721235"/>
    <w:rsid w:val="00730B5B"/>
    <w:rsid w:val="00732DB7"/>
    <w:rsid w:val="0074238B"/>
    <w:rsid w:val="00745EF7"/>
    <w:rsid w:val="00755F22"/>
    <w:rsid w:val="00766E4A"/>
    <w:rsid w:val="007820CE"/>
    <w:rsid w:val="00782AE4"/>
    <w:rsid w:val="0079724F"/>
    <w:rsid w:val="007A3EAE"/>
    <w:rsid w:val="007A5AE5"/>
    <w:rsid w:val="007C04FC"/>
    <w:rsid w:val="007D3E0F"/>
    <w:rsid w:val="007E4282"/>
    <w:rsid w:val="007F387B"/>
    <w:rsid w:val="00802863"/>
    <w:rsid w:val="00815B3C"/>
    <w:rsid w:val="0081610A"/>
    <w:rsid w:val="0082783A"/>
    <w:rsid w:val="00831CA9"/>
    <w:rsid w:val="00831D9E"/>
    <w:rsid w:val="00837C81"/>
    <w:rsid w:val="0084513B"/>
    <w:rsid w:val="00850E1F"/>
    <w:rsid w:val="0085476B"/>
    <w:rsid w:val="008572AC"/>
    <w:rsid w:val="008752EB"/>
    <w:rsid w:val="00890FEB"/>
    <w:rsid w:val="00891C22"/>
    <w:rsid w:val="008A5C1A"/>
    <w:rsid w:val="008D292F"/>
    <w:rsid w:val="008E03DC"/>
    <w:rsid w:val="00902E51"/>
    <w:rsid w:val="00924065"/>
    <w:rsid w:val="00930D68"/>
    <w:rsid w:val="00932DB4"/>
    <w:rsid w:val="00941A4B"/>
    <w:rsid w:val="00946242"/>
    <w:rsid w:val="009470E7"/>
    <w:rsid w:val="0095096B"/>
    <w:rsid w:val="00954D78"/>
    <w:rsid w:val="0095709F"/>
    <w:rsid w:val="00970CD3"/>
    <w:rsid w:val="009723FA"/>
    <w:rsid w:val="00984546"/>
    <w:rsid w:val="00996510"/>
    <w:rsid w:val="009A581D"/>
    <w:rsid w:val="009B16E9"/>
    <w:rsid w:val="009C7371"/>
    <w:rsid w:val="009D1F15"/>
    <w:rsid w:val="009D555E"/>
    <w:rsid w:val="009F3024"/>
    <w:rsid w:val="00A0355E"/>
    <w:rsid w:val="00A375D1"/>
    <w:rsid w:val="00A51D10"/>
    <w:rsid w:val="00A52A83"/>
    <w:rsid w:val="00A53D1B"/>
    <w:rsid w:val="00A6552C"/>
    <w:rsid w:val="00A8684C"/>
    <w:rsid w:val="00A87207"/>
    <w:rsid w:val="00A935AA"/>
    <w:rsid w:val="00AB2201"/>
    <w:rsid w:val="00AD3259"/>
    <w:rsid w:val="00AE31F9"/>
    <w:rsid w:val="00AE75AC"/>
    <w:rsid w:val="00AF1715"/>
    <w:rsid w:val="00AF3904"/>
    <w:rsid w:val="00B010C0"/>
    <w:rsid w:val="00B41B2E"/>
    <w:rsid w:val="00B4740D"/>
    <w:rsid w:val="00B61629"/>
    <w:rsid w:val="00B70321"/>
    <w:rsid w:val="00B7374B"/>
    <w:rsid w:val="00B90DC0"/>
    <w:rsid w:val="00B93198"/>
    <w:rsid w:val="00BA116A"/>
    <w:rsid w:val="00BA5582"/>
    <w:rsid w:val="00BA6468"/>
    <w:rsid w:val="00BB1D44"/>
    <w:rsid w:val="00BB27A8"/>
    <w:rsid w:val="00BD06DA"/>
    <w:rsid w:val="00BD4217"/>
    <w:rsid w:val="00BD6A0C"/>
    <w:rsid w:val="00BE366C"/>
    <w:rsid w:val="00BF25F3"/>
    <w:rsid w:val="00C05C25"/>
    <w:rsid w:val="00C1697B"/>
    <w:rsid w:val="00C21CB5"/>
    <w:rsid w:val="00C344E7"/>
    <w:rsid w:val="00C50A5C"/>
    <w:rsid w:val="00C50FDF"/>
    <w:rsid w:val="00C518D5"/>
    <w:rsid w:val="00C63381"/>
    <w:rsid w:val="00C64071"/>
    <w:rsid w:val="00C64097"/>
    <w:rsid w:val="00C73D06"/>
    <w:rsid w:val="00C73E1B"/>
    <w:rsid w:val="00C759B4"/>
    <w:rsid w:val="00C77713"/>
    <w:rsid w:val="00C85BB7"/>
    <w:rsid w:val="00C97074"/>
    <w:rsid w:val="00CA2DEA"/>
    <w:rsid w:val="00CB43D5"/>
    <w:rsid w:val="00CC4D84"/>
    <w:rsid w:val="00CD1537"/>
    <w:rsid w:val="00CE198A"/>
    <w:rsid w:val="00CF08C8"/>
    <w:rsid w:val="00D004FC"/>
    <w:rsid w:val="00D07287"/>
    <w:rsid w:val="00D41A92"/>
    <w:rsid w:val="00D64901"/>
    <w:rsid w:val="00D76BDF"/>
    <w:rsid w:val="00D76CE3"/>
    <w:rsid w:val="00D862C1"/>
    <w:rsid w:val="00D93B50"/>
    <w:rsid w:val="00D94028"/>
    <w:rsid w:val="00D94670"/>
    <w:rsid w:val="00DA46F6"/>
    <w:rsid w:val="00DB67FC"/>
    <w:rsid w:val="00DD0B49"/>
    <w:rsid w:val="00DD42CF"/>
    <w:rsid w:val="00DE0502"/>
    <w:rsid w:val="00DE349D"/>
    <w:rsid w:val="00DE67B1"/>
    <w:rsid w:val="00E06DFA"/>
    <w:rsid w:val="00E20A0A"/>
    <w:rsid w:val="00E356C7"/>
    <w:rsid w:val="00E45FE4"/>
    <w:rsid w:val="00E50AF3"/>
    <w:rsid w:val="00E64FA7"/>
    <w:rsid w:val="00E770CB"/>
    <w:rsid w:val="00E903A1"/>
    <w:rsid w:val="00E940EB"/>
    <w:rsid w:val="00E9703F"/>
    <w:rsid w:val="00EA35A0"/>
    <w:rsid w:val="00EB2B90"/>
    <w:rsid w:val="00ED7E83"/>
    <w:rsid w:val="00EE091F"/>
    <w:rsid w:val="00EE2EAB"/>
    <w:rsid w:val="00EF4B63"/>
    <w:rsid w:val="00F0068D"/>
    <w:rsid w:val="00F0576D"/>
    <w:rsid w:val="00F14E6D"/>
    <w:rsid w:val="00F15EA8"/>
    <w:rsid w:val="00F16C8D"/>
    <w:rsid w:val="00F267B2"/>
    <w:rsid w:val="00F26C61"/>
    <w:rsid w:val="00F33CCE"/>
    <w:rsid w:val="00F40249"/>
    <w:rsid w:val="00F526C8"/>
    <w:rsid w:val="00F54716"/>
    <w:rsid w:val="00F761A3"/>
    <w:rsid w:val="00F9272D"/>
    <w:rsid w:val="00F9518C"/>
    <w:rsid w:val="00FA316E"/>
    <w:rsid w:val="00FA59EF"/>
    <w:rsid w:val="00FB19A2"/>
    <w:rsid w:val="00FF6357"/>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96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2A4E0C"/>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EA35A0"/>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canlii.ca/en/bc/bcca/doc/2013/2013bcca407/2013bcca407.html" TargetMode="External"/><Relationship Id="rId39" Type="http://schemas.openxmlformats.org/officeDocument/2006/relationships/hyperlink" Target="http://canlii.ca/t/g1vn3" TargetMode="External"/><Relationship Id="rId21" Type="http://schemas.openxmlformats.org/officeDocument/2006/relationships/footer" Target="footer6.xml"/><Relationship Id="rId34" Type="http://schemas.openxmlformats.org/officeDocument/2006/relationships/hyperlink" Target="http://www.canlii.org/fr/qc/qcca/doc/2013/2013qcca1975/2013qcca1975.html" TargetMode="External"/><Relationship Id="rId42" Type="http://schemas.openxmlformats.org/officeDocument/2006/relationships/header" Target="header8.xml"/><Relationship Id="rId47" Type="http://schemas.openxmlformats.org/officeDocument/2006/relationships/footer" Target="footer10.xml"/><Relationship Id="rId50" Type="http://schemas.openxmlformats.org/officeDocument/2006/relationships/footer" Target="footer11.xml"/><Relationship Id="rId55" Type="http://schemas.openxmlformats.org/officeDocument/2006/relationships/header" Target="header15.xml"/><Relationship Id="rId63" Type="http://schemas.openxmlformats.org/officeDocument/2006/relationships/footer" Target="footer18.xml"/><Relationship Id="rId68" Type="http://schemas.openxmlformats.org/officeDocument/2006/relationships/hyperlink" Target="http://www.scc-csc.ca/case-dossier/info/sum-som-eng.aspx?cas=35201" TargetMode="External"/><Relationship Id="rId76" Type="http://schemas.openxmlformats.org/officeDocument/2006/relationships/footer" Target="footer22.xml"/><Relationship Id="rId84" Type="http://schemas.openxmlformats.org/officeDocument/2006/relationships/hyperlink" Target="http://www.scc-csc.ca/case-dossier/info/sum-som-eng.aspx?cas=35052" TargetMode="External"/><Relationship Id="rId89" Type="http://schemas.openxmlformats.org/officeDocument/2006/relationships/header" Target="header28.xml"/><Relationship Id="rId7" Type="http://schemas.openxmlformats.org/officeDocument/2006/relationships/image" Target="media/image1.wmf"/><Relationship Id="rId71" Type="http://schemas.openxmlformats.org/officeDocument/2006/relationships/header" Target="header20.xml"/><Relationship Id="rId92" Type="http://schemas.openxmlformats.org/officeDocument/2006/relationships/footer" Target="footer29.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canlii.ca/en/bc/bcca/doc/2013/2013bcca407/2013bcca407.html" TargetMode="External"/><Relationship Id="rId11" Type="http://schemas.openxmlformats.org/officeDocument/2006/relationships/header" Target="header2.xml"/><Relationship Id="rId24" Type="http://schemas.openxmlformats.org/officeDocument/2006/relationships/hyperlink" Target="http://canlii.ca/en/bc/bcsc/doc/2011/2011bcsc1495/2011bcsc1495.html" TargetMode="External"/><Relationship Id="rId32" Type="http://schemas.openxmlformats.org/officeDocument/2006/relationships/hyperlink" Target="http://canlii.ca/t/g022l" TargetMode="External"/><Relationship Id="rId37" Type="http://schemas.openxmlformats.org/officeDocument/2006/relationships/hyperlink" Target="http://canlii.ca/t/fxgd6" TargetMode="External"/><Relationship Id="rId40" Type="http://schemas.openxmlformats.org/officeDocument/2006/relationships/hyperlink" Target="http://canlii.ca/t/2fr3n" TargetMode="External"/><Relationship Id="rId45" Type="http://schemas.openxmlformats.org/officeDocument/2006/relationships/footer" Target="footer9.xml"/><Relationship Id="rId53" Type="http://schemas.openxmlformats.org/officeDocument/2006/relationships/footer" Target="footer13.xml"/><Relationship Id="rId58" Type="http://schemas.openxmlformats.org/officeDocument/2006/relationships/header" Target="header16.xml"/><Relationship Id="rId66" Type="http://schemas.openxmlformats.org/officeDocument/2006/relationships/hyperlink" Target="http://www.scc-csc.ca/case-dossier/info/sum-som-eng.aspx?cas=35510" TargetMode="External"/><Relationship Id="rId74" Type="http://schemas.openxmlformats.org/officeDocument/2006/relationships/footer" Target="footer21.xml"/><Relationship Id="rId79" Type="http://schemas.openxmlformats.org/officeDocument/2006/relationships/footer" Target="footer23.xml"/><Relationship Id="rId87" Type="http://schemas.openxmlformats.org/officeDocument/2006/relationships/footer" Target="footer26.xml"/><Relationship Id="rId5" Type="http://schemas.openxmlformats.org/officeDocument/2006/relationships/footnotes" Target="footnotes.xml"/><Relationship Id="rId61" Type="http://schemas.openxmlformats.org/officeDocument/2006/relationships/header" Target="header18.xml"/><Relationship Id="rId82" Type="http://schemas.openxmlformats.org/officeDocument/2006/relationships/footer" Target="footer25.xml"/><Relationship Id="rId90" Type="http://schemas.openxmlformats.org/officeDocument/2006/relationships/footer" Target="footer28.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canlii.ca/en/bc/bcsc/doc/2011/2011bcsc1495/2011bcsc1495.html" TargetMode="External"/><Relationship Id="rId30" Type="http://schemas.openxmlformats.org/officeDocument/2006/relationships/hyperlink" Target="http://www.canlii.org/en/bc/bcca/doc/2013/2013bcca427/2013bcca427.html" TargetMode="External"/><Relationship Id="rId35" Type="http://schemas.openxmlformats.org/officeDocument/2006/relationships/hyperlink" Target="http://www.canlii.org/fr/qc/qcca/doc/2013/2013qcca1975/2013qcca1975.html" TargetMode="External"/><Relationship Id="rId43" Type="http://schemas.openxmlformats.org/officeDocument/2006/relationships/header" Target="header9.xml"/><Relationship Id="rId48" Type="http://schemas.openxmlformats.org/officeDocument/2006/relationships/header" Target="header11.xml"/><Relationship Id="rId56" Type="http://schemas.openxmlformats.org/officeDocument/2006/relationships/footer" Target="footer14.xml"/><Relationship Id="rId64" Type="http://schemas.openxmlformats.org/officeDocument/2006/relationships/header" Target="header19.xml"/><Relationship Id="rId69" Type="http://schemas.openxmlformats.org/officeDocument/2006/relationships/hyperlink" Target="http://www.scc-csc.ca/case-dossier/info/sum-som-eng.aspx?cas=35215" TargetMode="External"/><Relationship Id="rId77" Type="http://schemas.openxmlformats.org/officeDocument/2006/relationships/header" Target="header23.xml"/><Relationship Id="rId8" Type="http://schemas.openxmlformats.org/officeDocument/2006/relationships/hyperlink" Target="http://www.scc-csc.ca" TargetMode="External"/><Relationship Id="rId51" Type="http://schemas.openxmlformats.org/officeDocument/2006/relationships/footer" Target="footer12.xml"/><Relationship Id="rId72" Type="http://schemas.openxmlformats.org/officeDocument/2006/relationships/header" Target="header21.xml"/><Relationship Id="rId80" Type="http://schemas.openxmlformats.org/officeDocument/2006/relationships/footer" Target="footer24.xml"/><Relationship Id="rId85" Type="http://schemas.openxmlformats.org/officeDocument/2006/relationships/header" Target="header26.xm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canlii.ca/en/bc/bcsc/doc/2012/2012bcsc1614/2012bcsc1614.html" TargetMode="External"/><Relationship Id="rId33" Type="http://schemas.openxmlformats.org/officeDocument/2006/relationships/hyperlink" Target="http://canlii.ca/t/g022l" TargetMode="External"/><Relationship Id="rId38" Type="http://schemas.openxmlformats.org/officeDocument/2006/relationships/hyperlink" Target="http://canlii.ca/t/2fr3n" TargetMode="External"/><Relationship Id="rId46" Type="http://schemas.openxmlformats.org/officeDocument/2006/relationships/header" Target="header10.xml"/><Relationship Id="rId59" Type="http://schemas.openxmlformats.org/officeDocument/2006/relationships/footer" Target="footer16.xml"/><Relationship Id="rId67" Type="http://schemas.openxmlformats.org/officeDocument/2006/relationships/hyperlink" Target="http://www.scc-csc.ca/case-dossier/info/sum-som-eng.aspx?cas=35531" TargetMode="External"/><Relationship Id="rId20" Type="http://schemas.openxmlformats.org/officeDocument/2006/relationships/header" Target="header6.xml"/><Relationship Id="rId41" Type="http://schemas.openxmlformats.org/officeDocument/2006/relationships/hyperlink" Target="http://canlii.ca/t/g1vn3" TargetMode="External"/><Relationship Id="rId54" Type="http://schemas.openxmlformats.org/officeDocument/2006/relationships/header" Target="header14.xml"/><Relationship Id="rId62" Type="http://schemas.openxmlformats.org/officeDocument/2006/relationships/footer" Target="footer17.xml"/><Relationship Id="rId70" Type="http://schemas.openxmlformats.org/officeDocument/2006/relationships/hyperlink" Target="http://www.scc-csc.ca/case-dossier/info/sum-som-fra.aspx?cas=35100" TargetMode="External"/><Relationship Id="rId75" Type="http://schemas.openxmlformats.org/officeDocument/2006/relationships/header" Target="header22.xml"/><Relationship Id="rId83" Type="http://schemas.openxmlformats.org/officeDocument/2006/relationships/hyperlink" Target="http://www.scc-csc.ca/case-dossier/info/sum-som-eng.aspx?cas=34609" TargetMode="External"/><Relationship Id="rId88" Type="http://schemas.openxmlformats.org/officeDocument/2006/relationships/footer" Target="footer27.xml"/><Relationship Id="rId91" Type="http://schemas.openxmlformats.org/officeDocument/2006/relationships/header" Target="header2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canlii.ca/en/bc/bcsc/doc/2012/2012bcsc1614/2012bcsc1614.html" TargetMode="External"/><Relationship Id="rId36" Type="http://schemas.openxmlformats.org/officeDocument/2006/relationships/hyperlink" Target="http://canlii.ca/t/fxgd6" TargetMode="External"/><Relationship Id="rId49" Type="http://schemas.openxmlformats.org/officeDocument/2006/relationships/header" Target="header12.xml"/><Relationship Id="rId57" Type="http://schemas.openxmlformats.org/officeDocument/2006/relationships/footer" Target="footer15.xml"/><Relationship Id="rId10" Type="http://schemas.openxmlformats.org/officeDocument/2006/relationships/header" Target="header1.xml"/><Relationship Id="rId31" Type="http://schemas.openxmlformats.org/officeDocument/2006/relationships/hyperlink" Target="http://www.canlii.org/en/bc/bcca/doc/2013/2013bcca427/2013bcca427.html" TargetMode="External"/><Relationship Id="rId44" Type="http://schemas.openxmlformats.org/officeDocument/2006/relationships/footer" Target="footer8.xml"/><Relationship Id="rId52" Type="http://schemas.openxmlformats.org/officeDocument/2006/relationships/header" Target="header13.xml"/><Relationship Id="rId60" Type="http://schemas.openxmlformats.org/officeDocument/2006/relationships/header" Target="header17.xml"/><Relationship Id="rId65" Type="http://schemas.openxmlformats.org/officeDocument/2006/relationships/footer" Target="footer19.xml"/><Relationship Id="rId73" Type="http://schemas.openxmlformats.org/officeDocument/2006/relationships/footer" Target="footer20.xml"/><Relationship Id="rId78" Type="http://schemas.openxmlformats.org/officeDocument/2006/relationships/header" Target="header24.xml"/><Relationship Id="rId81" Type="http://schemas.openxmlformats.org/officeDocument/2006/relationships/header" Target="header25.xml"/><Relationship Id="rId86" Type="http://schemas.openxmlformats.org/officeDocument/2006/relationships/header" Target="header27.xm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c-cs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18282</Words>
  <Characters>104209</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2014-03-14T14:52:00Z</dcterms:created>
  <dcterms:modified xsi:type="dcterms:W3CDTF">2015-12-15T20:57:00Z</dcterms:modified>
</cp:coreProperties>
</file>