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F31A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F31A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F31A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F31A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F31AA" w:rsidTr="002E5576">
        <w:tc>
          <w:tcPr>
            <w:tcW w:w="4518" w:type="dxa"/>
          </w:tcPr>
          <w:p w:rsidR="00BF25F3" w:rsidRPr="002E2327" w:rsidRDefault="00B55D9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55D9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F31A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F31A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BF31AA">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BF31AA">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7304C" w:rsidP="00F0068D">
      <w:pPr>
        <w:pBdr>
          <w:bottom w:val="single" w:sz="6" w:space="1" w:color="auto"/>
        </w:pBdr>
        <w:tabs>
          <w:tab w:val="center" w:pos="4680"/>
          <w:tab w:val="right" w:pos="9360"/>
        </w:tabs>
        <w:rPr>
          <w:lang w:val="fr-CA"/>
        </w:rPr>
      </w:pPr>
      <w:r>
        <w:rPr>
          <w:lang w:val="fr-CA"/>
        </w:rPr>
        <w:t>April</w:t>
      </w:r>
      <w:r w:rsidR="00440E24" w:rsidRPr="00675479">
        <w:rPr>
          <w:lang w:val="fr-CA"/>
        </w:rPr>
        <w:t xml:space="preserve"> </w:t>
      </w:r>
      <w:r>
        <w:rPr>
          <w:lang w:val="fr-CA"/>
        </w:rPr>
        <w:t>11</w:t>
      </w:r>
      <w:r w:rsidR="00440E24" w:rsidRPr="00675479">
        <w:rPr>
          <w:lang w:val="fr-CA"/>
        </w:rPr>
        <w:t>, 201</w:t>
      </w:r>
      <w:r w:rsidR="00501F3C">
        <w:rPr>
          <w:lang w:val="fr-CA"/>
        </w:rPr>
        <w:t>4</w:t>
      </w:r>
      <w:r w:rsidR="00F0068D" w:rsidRPr="00675479">
        <w:rPr>
          <w:lang w:val="fr-CA"/>
        </w:rPr>
        <w:tab/>
      </w:r>
      <w:r>
        <w:rPr>
          <w:lang w:val="fr-CA"/>
        </w:rPr>
        <w:t>632</w:t>
      </w:r>
      <w:r w:rsidR="00F0068D" w:rsidRPr="00675479">
        <w:rPr>
          <w:lang w:val="fr-CA"/>
        </w:rPr>
        <w:t xml:space="preserve"> - </w:t>
      </w:r>
      <w:r w:rsidR="00315D2A">
        <w:rPr>
          <w:lang w:val="fr-CA"/>
        </w:rPr>
        <w:t>665</w:t>
      </w:r>
      <w:r w:rsidR="00440E24" w:rsidRPr="00675479">
        <w:rPr>
          <w:lang w:val="fr-CA"/>
        </w:rPr>
        <w:tab/>
      </w:r>
      <w:r w:rsidR="00440E24" w:rsidRPr="002E2327">
        <w:rPr>
          <w:lang w:val="fr-CA"/>
        </w:rPr>
        <w:t>Le</w:t>
      </w:r>
      <w:r w:rsidR="00C73D06">
        <w:rPr>
          <w:lang w:val="fr-CA"/>
        </w:rPr>
        <w:t xml:space="preserve"> </w:t>
      </w:r>
      <w:r>
        <w:rPr>
          <w:lang w:val="fr-CA"/>
        </w:rPr>
        <w:t>11</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38562F">
            <w:pPr>
              <w:tabs>
                <w:tab w:val="right" w:pos="9360"/>
              </w:tabs>
              <w:rPr>
                <w:rFonts w:cs="Times New Roman"/>
                <w:sz w:val="20"/>
                <w:szCs w:val="20"/>
              </w:rPr>
            </w:pPr>
          </w:p>
        </w:tc>
        <w:tc>
          <w:tcPr>
            <w:tcW w:w="1980" w:type="dxa"/>
          </w:tcPr>
          <w:p w:rsidR="0095096B" w:rsidRPr="002E2327" w:rsidRDefault="00CA4464" w:rsidP="0095096B">
            <w:pPr>
              <w:jc w:val="center"/>
              <w:rPr>
                <w:rFonts w:cs="Times New Roman"/>
                <w:sz w:val="20"/>
                <w:szCs w:val="20"/>
              </w:rPr>
            </w:pPr>
            <w:r>
              <w:rPr>
                <w:rFonts w:cs="Times New Roman"/>
                <w:sz w:val="20"/>
                <w:szCs w:val="20"/>
              </w:rPr>
              <w:t>632</w:t>
            </w:r>
            <w:r w:rsidR="00B55D94" w:rsidRPr="002E2327">
              <w:rPr>
                <w:rFonts w:cs="Times New Roman"/>
                <w:sz w:val="20"/>
                <w:szCs w:val="20"/>
              </w:rPr>
              <w:fldChar w:fldCharType="begin"/>
            </w:r>
            <w:r w:rsidR="0095096B" w:rsidRPr="002E2327">
              <w:rPr>
                <w:rFonts w:cs="Times New Roman"/>
                <w:sz w:val="20"/>
                <w:szCs w:val="20"/>
              </w:rPr>
              <w:instrText xml:space="preserve"> SEQ CHAPTER \h \r 1</w:instrText>
            </w:r>
            <w:r w:rsidR="00B55D94"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07041" w:rsidP="0095096B">
            <w:pPr>
              <w:jc w:val="center"/>
              <w:rPr>
                <w:rFonts w:cs="Times New Roman"/>
                <w:sz w:val="20"/>
                <w:szCs w:val="20"/>
              </w:rPr>
            </w:pPr>
            <w:r>
              <w:rPr>
                <w:rFonts w:cs="Times New Roman"/>
                <w:sz w:val="20"/>
                <w:szCs w:val="20"/>
              </w:rPr>
              <w:t>633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8562F" w:rsidP="0095096B">
            <w:pPr>
              <w:jc w:val="center"/>
              <w:rPr>
                <w:rFonts w:cs="Times New Roman"/>
                <w:sz w:val="20"/>
                <w:szCs w:val="20"/>
              </w:rPr>
            </w:pPr>
            <w:r>
              <w:rPr>
                <w:rFonts w:cs="Times New Roman"/>
                <w:sz w:val="20"/>
                <w:szCs w:val="20"/>
              </w:rPr>
              <w:t xml:space="preserve">634 </w:t>
            </w:r>
            <w:r w:rsidR="0095096B" w:rsidRPr="002E2327">
              <w:rPr>
                <w:rFonts w:cs="Times New Roman"/>
                <w:sz w:val="20"/>
                <w:szCs w:val="20"/>
              </w:rPr>
              <w:t>-</w:t>
            </w:r>
            <w:r w:rsidR="00D33841">
              <w:rPr>
                <w:rFonts w:cs="Times New Roman"/>
                <w:sz w:val="20"/>
                <w:szCs w:val="20"/>
              </w:rPr>
              <w:t xml:space="preserve"> 647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33841" w:rsidP="0095096B">
            <w:pPr>
              <w:jc w:val="center"/>
              <w:rPr>
                <w:rFonts w:cs="Times New Roman"/>
                <w:sz w:val="20"/>
                <w:szCs w:val="20"/>
              </w:rPr>
            </w:pPr>
            <w:r>
              <w:rPr>
                <w:rFonts w:cs="Times New Roman"/>
                <w:sz w:val="20"/>
                <w:szCs w:val="20"/>
              </w:rPr>
              <w:t xml:space="preserve">648 </w:t>
            </w:r>
            <w:r w:rsidR="0095096B" w:rsidRPr="002E2327">
              <w:rPr>
                <w:rFonts w:cs="Times New Roman"/>
                <w:sz w:val="20"/>
                <w:szCs w:val="20"/>
              </w:rPr>
              <w:t>-</w:t>
            </w:r>
            <w:r>
              <w:rPr>
                <w:rFonts w:cs="Times New Roman"/>
                <w:sz w:val="20"/>
                <w:szCs w:val="20"/>
              </w:rPr>
              <w:t xml:space="preserve"> 654</w:t>
            </w:r>
          </w:p>
          <w:p w:rsidR="0095096B" w:rsidRDefault="0095096B" w:rsidP="0095096B">
            <w:pPr>
              <w:jc w:val="center"/>
              <w:rPr>
                <w:rFonts w:cs="Times New Roman"/>
                <w:sz w:val="20"/>
                <w:szCs w:val="20"/>
              </w:rPr>
            </w:pPr>
          </w:p>
          <w:p w:rsidR="005D2392" w:rsidRDefault="00D33841" w:rsidP="0095096B">
            <w:pPr>
              <w:jc w:val="center"/>
              <w:rPr>
                <w:rFonts w:cs="Times New Roman"/>
                <w:sz w:val="20"/>
                <w:szCs w:val="20"/>
              </w:rPr>
            </w:pPr>
            <w:r>
              <w:rPr>
                <w:rFonts w:cs="Times New Roman"/>
                <w:sz w:val="20"/>
                <w:szCs w:val="20"/>
              </w:rPr>
              <w:t>655</w:t>
            </w:r>
          </w:p>
          <w:p w:rsidR="005D2392" w:rsidRDefault="005D2392" w:rsidP="0095096B">
            <w:pPr>
              <w:jc w:val="center"/>
              <w:rPr>
                <w:rFonts w:cs="Times New Roman"/>
                <w:sz w:val="20"/>
                <w:szCs w:val="20"/>
              </w:rPr>
            </w:pPr>
          </w:p>
          <w:p w:rsidR="005D2392" w:rsidRPr="002E2327" w:rsidRDefault="005D2392" w:rsidP="0095096B">
            <w:pPr>
              <w:jc w:val="center"/>
              <w:rPr>
                <w:rFonts w:cs="Times New Roman"/>
                <w:sz w:val="20"/>
                <w:szCs w:val="20"/>
              </w:rPr>
            </w:pPr>
          </w:p>
          <w:p w:rsidR="0095096B" w:rsidRPr="002E2327" w:rsidRDefault="00D33841" w:rsidP="0095096B">
            <w:pPr>
              <w:jc w:val="center"/>
              <w:rPr>
                <w:rFonts w:cs="Times New Roman"/>
                <w:sz w:val="20"/>
                <w:szCs w:val="20"/>
              </w:rPr>
            </w:pPr>
            <w:r>
              <w:rPr>
                <w:rFonts w:cs="Times New Roman"/>
                <w:sz w:val="20"/>
                <w:szCs w:val="20"/>
              </w:rPr>
              <w:t>656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15D2A" w:rsidP="0095096B">
            <w:pPr>
              <w:jc w:val="center"/>
              <w:rPr>
                <w:rFonts w:cs="Times New Roman"/>
                <w:sz w:val="20"/>
                <w:szCs w:val="20"/>
              </w:rPr>
            </w:pPr>
            <w:r>
              <w:rPr>
                <w:rFonts w:cs="Times New Roman"/>
                <w:sz w:val="20"/>
                <w:szCs w:val="20"/>
              </w:rPr>
              <w:t xml:space="preserve">657 </w:t>
            </w:r>
            <w:r w:rsidR="0095096B" w:rsidRPr="002E2327">
              <w:rPr>
                <w:rFonts w:cs="Times New Roman"/>
                <w:sz w:val="20"/>
                <w:szCs w:val="20"/>
              </w:rPr>
              <w:t>-</w:t>
            </w:r>
            <w:r w:rsidR="00F22981">
              <w:rPr>
                <w:rFonts w:cs="Times New Roman"/>
                <w:sz w:val="20"/>
                <w:szCs w:val="20"/>
              </w:rPr>
              <w:t xml:space="preserve"> 66</w:t>
            </w:r>
            <w:r>
              <w:rPr>
                <w:rFonts w:cs="Times New Roman"/>
                <w:sz w:val="20"/>
                <w:szCs w:val="20"/>
              </w:rPr>
              <w:t>5</w:t>
            </w:r>
          </w:p>
          <w:p w:rsidR="00A87207" w:rsidRPr="002E2327" w:rsidRDefault="00A87207" w:rsidP="005D2392">
            <w:pPr>
              <w:jc w:val="center"/>
              <w:rPr>
                <w:rFonts w:cs="Times New Roman"/>
                <w:sz w:val="20"/>
                <w:szCs w:val="20"/>
              </w:rPr>
            </w:pPr>
          </w:p>
        </w:tc>
        <w:tc>
          <w:tcPr>
            <w:tcW w:w="3888" w:type="dxa"/>
          </w:tcPr>
          <w:p w:rsidR="0095096B" w:rsidRPr="002E2327" w:rsidRDefault="00B55D9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38562F">
            <w:pPr>
              <w:tabs>
                <w:tab w:val="right" w:pos="9360"/>
              </w:tabs>
              <w:rPr>
                <w:rFonts w:cs="Times New Roman"/>
                <w:sz w:val="20"/>
                <w:szCs w:val="20"/>
                <w:lang w:val="fr-CA"/>
              </w:rPr>
            </w:pPr>
          </w:p>
        </w:tc>
      </w:tr>
    </w:tbl>
    <w:p w:rsidR="0095096B" w:rsidRDefault="0095096B" w:rsidP="0095096B">
      <w:pPr>
        <w:tabs>
          <w:tab w:val="right" w:pos="9360"/>
        </w:tabs>
      </w:pPr>
    </w:p>
    <w:p w:rsidR="0038562F" w:rsidRDefault="0038562F" w:rsidP="0095096B">
      <w:pPr>
        <w:tabs>
          <w:tab w:val="right" w:pos="9360"/>
        </w:tabs>
      </w:pPr>
    </w:p>
    <w:p w:rsidR="0038562F" w:rsidRDefault="0038562F" w:rsidP="0095096B">
      <w:pPr>
        <w:tabs>
          <w:tab w:val="right" w:pos="9360"/>
        </w:tabs>
      </w:pPr>
    </w:p>
    <w:p w:rsidR="0038562F" w:rsidRDefault="0038562F" w:rsidP="0095096B">
      <w:pPr>
        <w:tabs>
          <w:tab w:val="right" w:pos="9360"/>
        </w:tabs>
      </w:pPr>
    </w:p>
    <w:p w:rsidR="0038562F" w:rsidRPr="002E2327" w:rsidRDefault="0038562F" w:rsidP="0095096B">
      <w:pPr>
        <w:tabs>
          <w:tab w:val="right" w:pos="9360"/>
        </w:tabs>
      </w:pPr>
    </w:p>
    <w:tbl>
      <w:tblPr>
        <w:tblStyle w:val="TableGrid"/>
        <w:tblW w:w="0" w:type="auto"/>
        <w:tblLook w:val="04A0" w:firstRow="1" w:lastRow="0" w:firstColumn="1" w:lastColumn="0" w:noHBand="0" w:noVBand="1"/>
      </w:tblPr>
      <w:tblGrid>
        <w:gridCol w:w="9576"/>
      </w:tblGrid>
      <w:tr w:rsidR="0079724F" w:rsidRPr="00BF31A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BF31AA" w:rsidTr="003B3977">
        <w:tc>
          <w:tcPr>
            <w:tcW w:w="4320" w:type="dxa"/>
            <w:shd w:val="clear" w:color="auto" w:fill="auto"/>
          </w:tcPr>
          <w:p w:rsidR="00242AEE" w:rsidRPr="00A935AA" w:rsidRDefault="006A4092" w:rsidP="003B3977">
            <w:pPr>
              <w:rPr>
                <w:b/>
                <w:sz w:val="20"/>
                <w:szCs w:val="20"/>
              </w:rPr>
            </w:pPr>
            <w:r>
              <w:rPr>
                <w:b/>
                <w:sz w:val="20"/>
                <w:szCs w:val="20"/>
              </w:rPr>
              <w:t>MHR Board Game Design Inc. et al.</w:t>
            </w:r>
          </w:p>
          <w:p w:rsidR="00242AEE" w:rsidRPr="00A935AA" w:rsidRDefault="00242AEE" w:rsidP="003B3977">
            <w:pPr>
              <w:tabs>
                <w:tab w:val="left" w:pos="-1440"/>
                <w:tab w:val="left" w:pos="-720"/>
              </w:tabs>
              <w:rPr>
                <w:sz w:val="20"/>
                <w:szCs w:val="20"/>
              </w:rPr>
            </w:pPr>
            <w:r w:rsidRPr="00A935AA">
              <w:rPr>
                <w:sz w:val="20"/>
                <w:szCs w:val="20"/>
              </w:rPr>
              <w:tab/>
            </w:r>
            <w:r w:rsidR="006A4092">
              <w:rPr>
                <w:sz w:val="20"/>
                <w:szCs w:val="20"/>
              </w:rPr>
              <w:t>Marc Ribeiro</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8A16A7">
              <w:rPr>
                <w:sz w:val="20"/>
                <w:szCs w:val="20"/>
              </w:rPr>
              <w:t>5</w:t>
            </w:r>
            <w:r w:rsidR="006A4092">
              <w:rPr>
                <w:sz w:val="20"/>
                <w:szCs w:val="20"/>
              </w:rPr>
              <w:t>752</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6A4092" w:rsidP="003B3977">
            <w:pPr>
              <w:tabs>
                <w:tab w:val="left" w:pos="-1440"/>
                <w:tab w:val="left" w:pos="-720"/>
              </w:tabs>
              <w:rPr>
                <w:b/>
                <w:sz w:val="20"/>
                <w:szCs w:val="20"/>
              </w:rPr>
            </w:pPr>
            <w:r>
              <w:rPr>
                <w:b/>
                <w:sz w:val="20"/>
                <w:szCs w:val="20"/>
              </w:rPr>
              <w:t xml:space="preserve">Canadian Broadcasting Corporation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6A4092">
              <w:rPr>
                <w:sz w:val="20"/>
                <w:szCs w:val="20"/>
              </w:rPr>
              <w:t>Philip Tunley</w:t>
            </w:r>
          </w:p>
          <w:p w:rsidR="00242AEE" w:rsidRPr="00A935AA" w:rsidRDefault="006A4092" w:rsidP="003B3977">
            <w:pPr>
              <w:tabs>
                <w:tab w:val="left" w:pos="-1440"/>
                <w:tab w:val="left" w:pos="-720"/>
              </w:tabs>
              <w:rPr>
                <w:sz w:val="20"/>
                <w:szCs w:val="20"/>
              </w:rPr>
            </w:pPr>
            <w:r>
              <w:rPr>
                <w:sz w:val="20"/>
                <w:szCs w:val="20"/>
              </w:rPr>
              <w:tab/>
              <w:t>Stockwoods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6A4092">
              <w:rPr>
                <w:sz w:val="20"/>
                <w:szCs w:val="20"/>
              </w:rPr>
              <w:t>03</w:t>
            </w:r>
            <w:r w:rsidRPr="00A935AA">
              <w:rPr>
                <w:sz w:val="20"/>
                <w:szCs w:val="20"/>
              </w:rPr>
              <w:t>.0</w:t>
            </w:r>
            <w:r w:rsidR="006A4092">
              <w:rPr>
                <w:sz w:val="20"/>
                <w:szCs w:val="20"/>
              </w:rPr>
              <w:t>2</w:t>
            </w:r>
            <w:r w:rsidRPr="00A935AA">
              <w:rPr>
                <w:sz w:val="20"/>
                <w:szCs w:val="20"/>
              </w:rPr>
              <w:t>.201</w:t>
            </w:r>
            <w:r w:rsidR="008A16A7">
              <w:rPr>
                <w:sz w:val="20"/>
                <w:szCs w:val="20"/>
              </w:rPr>
              <w:t>4</w:t>
            </w:r>
          </w:p>
          <w:p w:rsidR="00242AEE" w:rsidRPr="00A935AA" w:rsidRDefault="00BF31AA"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6A4092" w:rsidRDefault="006A4092" w:rsidP="003B3977">
            <w:pPr>
              <w:keepNext/>
              <w:keepLines/>
              <w:tabs>
                <w:tab w:val="left" w:pos="-1440"/>
                <w:tab w:val="left" w:pos="-720"/>
              </w:tabs>
              <w:rPr>
                <w:b/>
                <w:sz w:val="20"/>
                <w:szCs w:val="20"/>
                <w:lang w:val="fr-CA"/>
              </w:rPr>
            </w:pPr>
            <w:r w:rsidRPr="006A4092">
              <w:rPr>
                <w:b/>
                <w:sz w:val="20"/>
                <w:szCs w:val="20"/>
                <w:lang w:val="fr-CA"/>
              </w:rPr>
              <w:t>Shama Textiles Inc. et autre</w:t>
            </w:r>
          </w:p>
          <w:p w:rsidR="00242AEE" w:rsidRPr="006A4092" w:rsidRDefault="00242AEE" w:rsidP="003B3977">
            <w:pPr>
              <w:keepNext/>
              <w:keepLines/>
              <w:tabs>
                <w:tab w:val="left" w:pos="-1440"/>
                <w:tab w:val="left" w:pos="-720"/>
              </w:tabs>
              <w:rPr>
                <w:sz w:val="20"/>
                <w:szCs w:val="20"/>
                <w:lang w:val="fr-CA"/>
              </w:rPr>
            </w:pPr>
            <w:r w:rsidRPr="006A4092">
              <w:rPr>
                <w:sz w:val="20"/>
                <w:szCs w:val="20"/>
                <w:lang w:val="fr-CA"/>
              </w:rPr>
              <w:tab/>
            </w:r>
            <w:r w:rsidR="006A4092">
              <w:rPr>
                <w:sz w:val="20"/>
                <w:szCs w:val="20"/>
                <w:lang w:val="fr-CA"/>
              </w:rPr>
              <w:t>Élie Chahwan</w:t>
            </w:r>
          </w:p>
          <w:p w:rsidR="00242AEE" w:rsidRPr="006A4092" w:rsidRDefault="00242AEE" w:rsidP="003B3977">
            <w:pPr>
              <w:keepNext/>
              <w:keepLines/>
              <w:tabs>
                <w:tab w:val="left" w:pos="-1440"/>
                <w:tab w:val="left" w:pos="-720"/>
              </w:tabs>
              <w:rPr>
                <w:sz w:val="20"/>
                <w:szCs w:val="20"/>
                <w:lang w:val="fr-CA"/>
              </w:rPr>
            </w:pPr>
            <w:r w:rsidRPr="006A4092">
              <w:rPr>
                <w:sz w:val="20"/>
                <w:szCs w:val="20"/>
                <w:lang w:val="fr-CA"/>
              </w:rPr>
              <w:tab/>
            </w:r>
            <w:r w:rsidR="006A4092">
              <w:rPr>
                <w:sz w:val="20"/>
                <w:szCs w:val="20"/>
                <w:lang w:val="fr-CA"/>
              </w:rPr>
              <w:t>Chahwan &amp; Associés</w:t>
            </w:r>
          </w:p>
          <w:p w:rsidR="00242AEE" w:rsidRPr="006A4092" w:rsidRDefault="00242AEE" w:rsidP="003B3977">
            <w:pPr>
              <w:keepNext/>
              <w:keepLines/>
              <w:tabs>
                <w:tab w:val="left" w:pos="-1440"/>
                <w:tab w:val="left" w:pos="-720"/>
              </w:tabs>
              <w:rPr>
                <w:sz w:val="20"/>
                <w:szCs w:val="20"/>
                <w:lang w:val="fr-CA"/>
              </w:rPr>
            </w:pPr>
          </w:p>
          <w:p w:rsidR="00242AEE" w:rsidRPr="006A4092" w:rsidRDefault="00242AEE" w:rsidP="003B3977">
            <w:pPr>
              <w:keepNext/>
              <w:keepLines/>
              <w:tabs>
                <w:tab w:val="left" w:pos="-1440"/>
                <w:tab w:val="left" w:pos="-720"/>
              </w:tabs>
              <w:rPr>
                <w:sz w:val="20"/>
                <w:szCs w:val="20"/>
                <w:lang w:val="fr-CA"/>
              </w:rPr>
            </w:pPr>
            <w:r w:rsidRPr="006A4092">
              <w:rPr>
                <w:sz w:val="20"/>
                <w:szCs w:val="20"/>
                <w:lang w:val="fr-CA"/>
              </w:rPr>
              <w:tab/>
            </w:r>
            <w:r w:rsidR="006A4092" w:rsidRPr="006A4092">
              <w:rPr>
                <w:sz w:val="20"/>
                <w:szCs w:val="20"/>
                <w:lang w:val="fr-CA"/>
              </w:rPr>
              <w:t>c</w:t>
            </w:r>
            <w:r w:rsidRPr="006A4092">
              <w:rPr>
                <w:sz w:val="20"/>
                <w:szCs w:val="20"/>
                <w:lang w:val="fr-CA"/>
              </w:rPr>
              <w:t>. (3</w:t>
            </w:r>
            <w:r w:rsidR="008A16A7" w:rsidRPr="006A4092">
              <w:rPr>
                <w:sz w:val="20"/>
                <w:szCs w:val="20"/>
                <w:lang w:val="fr-CA"/>
              </w:rPr>
              <w:t>5</w:t>
            </w:r>
            <w:r w:rsidR="006A4092">
              <w:rPr>
                <w:sz w:val="20"/>
                <w:szCs w:val="20"/>
                <w:lang w:val="fr-CA"/>
              </w:rPr>
              <w:t>727</w:t>
            </w:r>
            <w:r w:rsidRPr="006A4092">
              <w:rPr>
                <w:sz w:val="20"/>
                <w:szCs w:val="20"/>
                <w:lang w:val="fr-CA"/>
              </w:rPr>
              <w:t>)</w:t>
            </w:r>
          </w:p>
          <w:p w:rsidR="00242AEE" w:rsidRPr="006A4092" w:rsidRDefault="00242AEE" w:rsidP="003B3977">
            <w:pPr>
              <w:keepNext/>
              <w:keepLines/>
              <w:tabs>
                <w:tab w:val="left" w:pos="-1440"/>
                <w:tab w:val="left" w:pos="-720"/>
              </w:tabs>
              <w:rPr>
                <w:sz w:val="20"/>
                <w:szCs w:val="20"/>
                <w:lang w:val="fr-CA"/>
              </w:rPr>
            </w:pPr>
          </w:p>
          <w:p w:rsidR="00242AEE" w:rsidRPr="006A4092" w:rsidRDefault="006A4092" w:rsidP="003B3977">
            <w:pPr>
              <w:keepNext/>
              <w:keepLines/>
              <w:tabs>
                <w:tab w:val="left" w:pos="-1440"/>
                <w:tab w:val="left" w:pos="-720"/>
              </w:tabs>
              <w:rPr>
                <w:b/>
                <w:sz w:val="20"/>
                <w:szCs w:val="20"/>
                <w:lang w:val="fr-CA"/>
              </w:rPr>
            </w:pPr>
            <w:r w:rsidRPr="006A4092">
              <w:rPr>
                <w:b/>
                <w:sz w:val="20"/>
                <w:szCs w:val="20"/>
                <w:lang w:val="fr-CA"/>
              </w:rPr>
              <w:t xml:space="preserve">Certain Underwriters at Lloyd’s et autre </w:t>
            </w:r>
            <w:r w:rsidR="00242AEE" w:rsidRPr="006A4092">
              <w:rPr>
                <w:b/>
                <w:sz w:val="20"/>
                <w:szCs w:val="20"/>
                <w:lang w:val="fr-CA"/>
              </w:rPr>
              <w:t>(</w:t>
            </w:r>
            <w:r w:rsidRPr="006A4092">
              <w:rPr>
                <w:b/>
                <w:sz w:val="20"/>
                <w:szCs w:val="20"/>
                <w:lang w:val="fr-CA"/>
              </w:rPr>
              <w:t>Qc</w:t>
            </w:r>
            <w:r w:rsidR="00242AEE" w:rsidRPr="006A4092">
              <w:rPr>
                <w:b/>
                <w:sz w:val="20"/>
                <w:szCs w:val="20"/>
                <w:lang w:val="fr-CA"/>
              </w:rPr>
              <w:t>)</w:t>
            </w:r>
          </w:p>
          <w:p w:rsidR="00242AEE" w:rsidRPr="006A4092" w:rsidRDefault="00242AEE" w:rsidP="003B3977">
            <w:pPr>
              <w:keepNext/>
              <w:keepLines/>
              <w:tabs>
                <w:tab w:val="left" w:pos="-1440"/>
                <w:tab w:val="left" w:pos="-720"/>
              </w:tabs>
              <w:rPr>
                <w:sz w:val="20"/>
                <w:szCs w:val="20"/>
                <w:lang w:val="fr-CA"/>
              </w:rPr>
            </w:pPr>
            <w:r w:rsidRPr="006A4092">
              <w:rPr>
                <w:sz w:val="20"/>
                <w:szCs w:val="20"/>
                <w:lang w:val="fr-CA"/>
              </w:rPr>
              <w:tab/>
            </w:r>
            <w:r w:rsidR="006A4092" w:rsidRPr="006A4092">
              <w:rPr>
                <w:sz w:val="20"/>
                <w:szCs w:val="20"/>
                <w:lang w:val="fr-CA"/>
              </w:rPr>
              <w:t>Yves Martineau</w:t>
            </w:r>
          </w:p>
          <w:p w:rsidR="00242AEE" w:rsidRPr="00831660" w:rsidRDefault="00242AEE" w:rsidP="003B3977">
            <w:pPr>
              <w:keepNext/>
              <w:keepLines/>
              <w:tabs>
                <w:tab w:val="left" w:pos="-1440"/>
                <w:tab w:val="left" w:pos="-720"/>
              </w:tabs>
              <w:rPr>
                <w:sz w:val="20"/>
                <w:szCs w:val="20"/>
                <w:lang w:val="fr-CA"/>
              </w:rPr>
            </w:pPr>
            <w:r w:rsidRPr="006A4092">
              <w:rPr>
                <w:sz w:val="20"/>
                <w:szCs w:val="20"/>
                <w:lang w:val="fr-CA"/>
              </w:rPr>
              <w:tab/>
            </w:r>
            <w:r w:rsidR="006A4092" w:rsidRPr="00831660">
              <w:rPr>
                <w:sz w:val="20"/>
                <w:szCs w:val="20"/>
                <w:lang w:val="fr-CA"/>
              </w:rPr>
              <w:t>Stikeman Elliott LLP</w:t>
            </w:r>
          </w:p>
          <w:p w:rsidR="00242AEE" w:rsidRPr="00831660" w:rsidRDefault="00242AEE" w:rsidP="003B3977">
            <w:pPr>
              <w:keepNext/>
              <w:keepLines/>
              <w:tabs>
                <w:tab w:val="left" w:pos="-1440"/>
                <w:tab w:val="left" w:pos="-720"/>
              </w:tabs>
              <w:rPr>
                <w:sz w:val="20"/>
                <w:szCs w:val="20"/>
                <w:lang w:val="fr-CA"/>
              </w:rPr>
            </w:pPr>
          </w:p>
          <w:p w:rsidR="00242AEE" w:rsidRPr="00831660" w:rsidRDefault="00242AEE" w:rsidP="006A4092">
            <w:pPr>
              <w:rPr>
                <w:sz w:val="20"/>
                <w:szCs w:val="20"/>
                <w:lang w:val="fr-CA"/>
              </w:rPr>
            </w:pPr>
            <w:r w:rsidRPr="00831660">
              <w:rPr>
                <w:sz w:val="20"/>
                <w:szCs w:val="20"/>
                <w:lang w:val="fr-CA"/>
              </w:rPr>
              <w:t>DATE</w:t>
            </w:r>
            <w:r w:rsidR="006A4092" w:rsidRPr="00831660">
              <w:rPr>
                <w:sz w:val="20"/>
                <w:szCs w:val="20"/>
                <w:lang w:val="fr-CA"/>
              </w:rPr>
              <w:t xml:space="preserve"> DE PRODUCTION </w:t>
            </w:r>
            <w:r w:rsidRPr="00831660">
              <w:rPr>
                <w:sz w:val="20"/>
                <w:szCs w:val="20"/>
                <w:lang w:val="fr-CA"/>
              </w:rPr>
              <w:t xml:space="preserve">: </w:t>
            </w:r>
            <w:r w:rsidR="006A4092" w:rsidRPr="00831660">
              <w:rPr>
                <w:sz w:val="20"/>
                <w:szCs w:val="20"/>
                <w:lang w:val="fr-CA"/>
              </w:rPr>
              <w:t>10</w:t>
            </w:r>
            <w:r w:rsidRPr="00831660">
              <w:rPr>
                <w:sz w:val="20"/>
                <w:szCs w:val="20"/>
                <w:lang w:val="fr-CA"/>
              </w:rPr>
              <w:t>.0</w:t>
            </w:r>
            <w:r w:rsidR="006A4092" w:rsidRPr="00831660">
              <w:rPr>
                <w:sz w:val="20"/>
                <w:szCs w:val="20"/>
                <w:lang w:val="fr-CA"/>
              </w:rPr>
              <w:t>2</w:t>
            </w:r>
            <w:r w:rsidRPr="00831660">
              <w:rPr>
                <w:sz w:val="20"/>
                <w:szCs w:val="20"/>
                <w:lang w:val="fr-CA"/>
              </w:rPr>
              <w:t>.201</w:t>
            </w:r>
            <w:r w:rsidR="008A16A7" w:rsidRPr="00831660">
              <w:rPr>
                <w:sz w:val="20"/>
                <w:szCs w:val="20"/>
                <w:lang w:val="fr-CA"/>
              </w:rPr>
              <w:t>4</w:t>
            </w:r>
            <w:r w:rsidR="00BF31AA">
              <w:rPr>
                <w:sz w:val="20"/>
                <w:szCs w:val="20"/>
                <w:lang w:val="fr-CA"/>
              </w:rPr>
              <w:pict>
                <v:rect id="_x0000_i1026" style="width:108pt;height:1pt" o:hrpct="0" o:hralign="center" o:hrstd="t" o:hrnoshade="t" o:hr="t" fillcolor="black [3213]" stroked="f"/>
              </w:pict>
            </w:r>
          </w:p>
        </w:tc>
      </w:tr>
      <w:tr w:rsidR="008A16A7" w:rsidRPr="00A935AA" w:rsidTr="003B3977">
        <w:tc>
          <w:tcPr>
            <w:tcW w:w="4320" w:type="dxa"/>
            <w:shd w:val="clear" w:color="auto" w:fill="auto"/>
          </w:tcPr>
          <w:p w:rsidR="008A16A7" w:rsidRPr="006A4092" w:rsidRDefault="006A4092" w:rsidP="008A16A7">
            <w:pPr>
              <w:rPr>
                <w:b/>
                <w:sz w:val="20"/>
                <w:szCs w:val="20"/>
                <w:lang w:val="fr-CA"/>
              </w:rPr>
            </w:pPr>
            <w:r w:rsidRPr="006A4092">
              <w:rPr>
                <w:b/>
                <w:sz w:val="20"/>
                <w:szCs w:val="20"/>
                <w:lang w:val="fr-CA"/>
              </w:rPr>
              <w:t>Marlaine Rainville et autre</w:t>
            </w:r>
          </w:p>
          <w:p w:rsidR="008A16A7" w:rsidRPr="006A4092" w:rsidRDefault="008A16A7" w:rsidP="008A16A7">
            <w:pPr>
              <w:tabs>
                <w:tab w:val="left" w:pos="-1440"/>
                <w:tab w:val="left" w:pos="-720"/>
              </w:tabs>
              <w:rPr>
                <w:sz w:val="20"/>
                <w:szCs w:val="20"/>
                <w:lang w:val="fr-CA"/>
              </w:rPr>
            </w:pPr>
            <w:r w:rsidRPr="006A4092">
              <w:rPr>
                <w:sz w:val="20"/>
                <w:szCs w:val="20"/>
                <w:lang w:val="fr-CA"/>
              </w:rPr>
              <w:tab/>
            </w:r>
            <w:r w:rsidR="006A4092" w:rsidRPr="006A4092">
              <w:rPr>
                <w:sz w:val="20"/>
                <w:szCs w:val="20"/>
                <w:lang w:val="fr-CA"/>
              </w:rPr>
              <w:t>Marlaine Rainville</w:t>
            </w:r>
          </w:p>
          <w:p w:rsidR="008A16A7" w:rsidRPr="006A4092" w:rsidRDefault="008A16A7" w:rsidP="008A16A7">
            <w:pPr>
              <w:tabs>
                <w:tab w:val="left" w:pos="-1440"/>
                <w:tab w:val="left" w:pos="-720"/>
              </w:tabs>
              <w:rPr>
                <w:sz w:val="20"/>
                <w:szCs w:val="20"/>
                <w:lang w:val="fr-CA"/>
              </w:rPr>
            </w:pPr>
          </w:p>
          <w:p w:rsidR="008A16A7" w:rsidRPr="006A4092" w:rsidRDefault="008A16A7" w:rsidP="008A16A7">
            <w:pPr>
              <w:tabs>
                <w:tab w:val="left" w:pos="-1440"/>
                <w:tab w:val="left" w:pos="-720"/>
              </w:tabs>
              <w:rPr>
                <w:sz w:val="20"/>
                <w:szCs w:val="20"/>
                <w:lang w:val="fr-CA"/>
              </w:rPr>
            </w:pPr>
            <w:r w:rsidRPr="006A4092">
              <w:rPr>
                <w:sz w:val="20"/>
                <w:szCs w:val="20"/>
                <w:lang w:val="fr-CA"/>
              </w:rPr>
              <w:tab/>
            </w:r>
            <w:r w:rsidR="006A4092">
              <w:rPr>
                <w:sz w:val="20"/>
                <w:szCs w:val="20"/>
                <w:lang w:val="fr-CA"/>
              </w:rPr>
              <w:t>c</w:t>
            </w:r>
            <w:r w:rsidRPr="006A4092">
              <w:rPr>
                <w:sz w:val="20"/>
                <w:szCs w:val="20"/>
                <w:lang w:val="fr-CA"/>
              </w:rPr>
              <w:t>. (35</w:t>
            </w:r>
            <w:r w:rsidR="006A4092" w:rsidRPr="006A4092">
              <w:rPr>
                <w:sz w:val="20"/>
                <w:szCs w:val="20"/>
                <w:lang w:val="fr-CA"/>
              </w:rPr>
              <w:t>762</w:t>
            </w:r>
            <w:r w:rsidRPr="006A4092">
              <w:rPr>
                <w:sz w:val="20"/>
                <w:szCs w:val="20"/>
                <w:lang w:val="fr-CA"/>
              </w:rPr>
              <w:t>)</w:t>
            </w:r>
          </w:p>
          <w:p w:rsidR="008A16A7" w:rsidRPr="006A4092" w:rsidRDefault="008A16A7" w:rsidP="008A16A7">
            <w:pPr>
              <w:tabs>
                <w:tab w:val="left" w:pos="-1440"/>
                <w:tab w:val="left" w:pos="-720"/>
              </w:tabs>
              <w:rPr>
                <w:sz w:val="20"/>
                <w:szCs w:val="20"/>
                <w:lang w:val="fr-CA"/>
              </w:rPr>
            </w:pPr>
          </w:p>
          <w:p w:rsidR="008A16A7" w:rsidRPr="006A4092" w:rsidRDefault="006A4092" w:rsidP="008A16A7">
            <w:pPr>
              <w:tabs>
                <w:tab w:val="left" w:pos="-1440"/>
                <w:tab w:val="left" w:pos="-720"/>
              </w:tabs>
              <w:rPr>
                <w:b/>
                <w:sz w:val="20"/>
                <w:szCs w:val="20"/>
                <w:lang w:val="fr-CA"/>
              </w:rPr>
            </w:pPr>
            <w:r w:rsidRPr="006A4092">
              <w:rPr>
                <w:b/>
                <w:sz w:val="20"/>
                <w:szCs w:val="20"/>
                <w:lang w:val="fr-CA"/>
              </w:rPr>
              <w:t xml:space="preserve">Robert Nappert et autres </w:t>
            </w:r>
            <w:r w:rsidR="008A16A7" w:rsidRPr="006A4092">
              <w:rPr>
                <w:b/>
                <w:sz w:val="20"/>
                <w:szCs w:val="20"/>
                <w:lang w:val="fr-CA"/>
              </w:rPr>
              <w:t>(</w:t>
            </w:r>
            <w:r w:rsidRPr="006A4092">
              <w:rPr>
                <w:b/>
                <w:sz w:val="20"/>
                <w:szCs w:val="20"/>
                <w:lang w:val="fr-CA"/>
              </w:rPr>
              <w:t>Qc</w:t>
            </w:r>
            <w:r w:rsidR="008A16A7" w:rsidRPr="006A4092">
              <w:rPr>
                <w:b/>
                <w:sz w:val="20"/>
                <w:szCs w:val="20"/>
                <w:lang w:val="fr-CA"/>
              </w:rPr>
              <w:t>)</w:t>
            </w:r>
          </w:p>
          <w:p w:rsidR="008A16A7" w:rsidRPr="006A4092" w:rsidRDefault="008A16A7" w:rsidP="008A16A7">
            <w:pPr>
              <w:tabs>
                <w:tab w:val="left" w:pos="-1440"/>
                <w:tab w:val="left" w:pos="-720"/>
              </w:tabs>
              <w:rPr>
                <w:sz w:val="20"/>
                <w:szCs w:val="20"/>
                <w:lang w:val="fr-CA"/>
              </w:rPr>
            </w:pPr>
            <w:r w:rsidRPr="006A4092">
              <w:rPr>
                <w:sz w:val="20"/>
                <w:szCs w:val="20"/>
                <w:lang w:val="fr-CA"/>
              </w:rPr>
              <w:tab/>
            </w:r>
            <w:r w:rsidR="006A4092">
              <w:rPr>
                <w:sz w:val="20"/>
                <w:szCs w:val="20"/>
                <w:lang w:val="fr-CA"/>
              </w:rPr>
              <w:t>André Dugas</w:t>
            </w:r>
          </w:p>
          <w:p w:rsidR="008A16A7" w:rsidRPr="006A4092" w:rsidRDefault="008A16A7" w:rsidP="008A16A7">
            <w:pPr>
              <w:tabs>
                <w:tab w:val="left" w:pos="-1440"/>
                <w:tab w:val="left" w:pos="-720"/>
              </w:tabs>
              <w:rPr>
                <w:sz w:val="20"/>
                <w:szCs w:val="20"/>
                <w:lang w:val="fr-CA"/>
              </w:rPr>
            </w:pPr>
            <w:r w:rsidRPr="006A4092">
              <w:rPr>
                <w:sz w:val="20"/>
                <w:szCs w:val="20"/>
                <w:lang w:val="fr-CA"/>
              </w:rPr>
              <w:tab/>
            </w:r>
            <w:r w:rsidR="006A4092" w:rsidRPr="006A4092">
              <w:rPr>
                <w:sz w:val="20"/>
                <w:szCs w:val="20"/>
                <w:lang w:val="fr-CA"/>
              </w:rPr>
              <w:t>Miller Thomson Pouliot</w:t>
            </w:r>
          </w:p>
          <w:p w:rsidR="008A16A7" w:rsidRPr="006A4092" w:rsidRDefault="008A16A7" w:rsidP="008A16A7">
            <w:pPr>
              <w:tabs>
                <w:tab w:val="left" w:pos="-1440"/>
                <w:tab w:val="left" w:pos="-720"/>
              </w:tabs>
              <w:rPr>
                <w:sz w:val="20"/>
                <w:szCs w:val="20"/>
                <w:lang w:val="fr-CA"/>
              </w:rPr>
            </w:pPr>
          </w:p>
          <w:p w:rsidR="008A16A7" w:rsidRPr="006A4092" w:rsidRDefault="008A16A7" w:rsidP="008A16A7">
            <w:pPr>
              <w:rPr>
                <w:sz w:val="20"/>
                <w:szCs w:val="20"/>
                <w:lang w:val="fr-CA"/>
              </w:rPr>
            </w:pPr>
            <w:r w:rsidRPr="006A4092">
              <w:rPr>
                <w:sz w:val="20"/>
                <w:szCs w:val="20"/>
                <w:lang w:val="fr-CA"/>
              </w:rPr>
              <w:t>DATE</w:t>
            </w:r>
            <w:r w:rsidR="006A4092" w:rsidRPr="006A4092">
              <w:rPr>
                <w:sz w:val="20"/>
                <w:szCs w:val="20"/>
                <w:lang w:val="fr-CA"/>
              </w:rPr>
              <w:t xml:space="preserve"> DE PRODUCTION </w:t>
            </w:r>
            <w:r w:rsidRPr="006A4092">
              <w:rPr>
                <w:sz w:val="20"/>
                <w:szCs w:val="20"/>
                <w:lang w:val="fr-CA"/>
              </w:rPr>
              <w:t>: 2</w:t>
            </w:r>
            <w:r w:rsidR="006A4092" w:rsidRPr="006A4092">
              <w:rPr>
                <w:sz w:val="20"/>
                <w:szCs w:val="20"/>
                <w:lang w:val="fr-CA"/>
              </w:rPr>
              <w:t>6</w:t>
            </w:r>
            <w:r w:rsidRPr="006A4092">
              <w:rPr>
                <w:sz w:val="20"/>
                <w:szCs w:val="20"/>
                <w:lang w:val="fr-CA"/>
              </w:rPr>
              <w:t>.0</w:t>
            </w:r>
            <w:r w:rsidR="006A4092" w:rsidRPr="006A4092">
              <w:rPr>
                <w:sz w:val="20"/>
                <w:szCs w:val="20"/>
                <w:lang w:val="fr-CA"/>
              </w:rPr>
              <w:t>2</w:t>
            </w:r>
            <w:r w:rsidRPr="006A4092">
              <w:rPr>
                <w:sz w:val="20"/>
                <w:szCs w:val="20"/>
                <w:lang w:val="fr-CA"/>
              </w:rPr>
              <w:t>.2014</w:t>
            </w:r>
          </w:p>
          <w:p w:rsidR="008A16A7" w:rsidRPr="00A935AA" w:rsidRDefault="00BF31AA" w:rsidP="008A16A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tc>
        <w:tc>
          <w:tcPr>
            <w:tcW w:w="4320" w:type="dxa"/>
            <w:shd w:val="clear" w:color="auto" w:fill="auto"/>
          </w:tcPr>
          <w:p w:rsidR="008A16A7" w:rsidRDefault="008A16A7" w:rsidP="008A16A7">
            <w:pPr>
              <w:keepNext/>
              <w:keepLines/>
              <w:tabs>
                <w:tab w:val="left" w:pos="-1440"/>
                <w:tab w:val="left" w:pos="-720"/>
              </w:tabs>
              <w:rPr>
                <w:b/>
                <w:sz w:val="20"/>
                <w:szCs w:val="20"/>
              </w:rPr>
            </w:pPr>
          </w:p>
          <w:p w:rsidR="006A4092" w:rsidRPr="00A935AA" w:rsidRDefault="00DB6C2F" w:rsidP="008A16A7">
            <w:pPr>
              <w:keepNext/>
              <w:keepLines/>
              <w:tabs>
                <w:tab w:val="left" w:pos="-1440"/>
                <w:tab w:val="left" w:pos="-720"/>
              </w:tabs>
              <w:rPr>
                <w:b/>
                <w:sz w:val="20"/>
                <w:szCs w:val="20"/>
              </w:rPr>
            </w:pPr>
            <w:r>
              <w:rPr>
                <w:b/>
                <w:sz w:val="20"/>
                <w:szCs w:val="20"/>
              </w:rPr>
              <w:t>Salvatore C. Vivona</w:t>
            </w:r>
          </w:p>
          <w:p w:rsidR="008A16A7" w:rsidRPr="00A935AA" w:rsidRDefault="008A16A7" w:rsidP="008A16A7">
            <w:pPr>
              <w:keepNext/>
              <w:keepLines/>
              <w:tabs>
                <w:tab w:val="left" w:pos="-1440"/>
                <w:tab w:val="left" w:pos="-720"/>
              </w:tabs>
              <w:rPr>
                <w:sz w:val="20"/>
                <w:szCs w:val="20"/>
              </w:rPr>
            </w:pPr>
            <w:r w:rsidRPr="00A935AA">
              <w:rPr>
                <w:sz w:val="20"/>
                <w:szCs w:val="20"/>
              </w:rPr>
              <w:tab/>
            </w:r>
            <w:r w:rsidR="00DB6C2F">
              <w:rPr>
                <w:sz w:val="20"/>
                <w:szCs w:val="20"/>
              </w:rPr>
              <w:t>Alfred Schorr</w:t>
            </w:r>
          </w:p>
          <w:p w:rsidR="008A16A7" w:rsidRPr="00A935AA" w:rsidRDefault="008A16A7" w:rsidP="008A16A7">
            <w:pPr>
              <w:keepNext/>
              <w:keepLines/>
              <w:tabs>
                <w:tab w:val="left" w:pos="-1440"/>
                <w:tab w:val="left" w:pos="-720"/>
              </w:tabs>
              <w:rPr>
                <w:sz w:val="20"/>
                <w:szCs w:val="20"/>
              </w:rPr>
            </w:pPr>
          </w:p>
          <w:p w:rsidR="008A16A7" w:rsidRPr="00DB6C2F" w:rsidRDefault="008A16A7" w:rsidP="008A16A7">
            <w:pPr>
              <w:keepNext/>
              <w:keepLines/>
              <w:tabs>
                <w:tab w:val="left" w:pos="-1440"/>
                <w:tab w:val="left" w:pos="-720"/>
              </w:tabs>
              <w:rPr>
                <w:sz w:val="20"/>
                <w:szCs w:val="20"/>
              </w:rPr>
            </w:pPr>
            <w:r w:rsidRPr="00A935AA">
              <w:rPr>
                <w:sz w:val="20"/>
                <w:szCs w:val="20"/>
              </w:rPr>
              <w:tab/>
            </w:r>
            <w:r w:rsidRPr="00DB6C2F">
              <w:rPr>
                <w:sz w:val="20"/>
                <w:szCs w:val="20"/>
              </w:rPr>
              <w:t>v. (35</w:t>
            </w:r>
            <w:r w:rsidR="00DB6C2F" w:rsidRPr="00DB6C2F">
              <w:rPr>
                <w:sz w:val="20"/>
                <w:szCs w:val="20"/>
              </w:rPr>
              <w:t>771</w:t>
            </w:r>
            <w:r w:rsidRPr="00DB6C2F">
              <w:rPr>
                <w:sz w:val="20"/>
                <w:szCs w:val="20"/>
              </w:rPr>
              <w:t>)</w:t>
            </w:r>
          </w:p>
          <w:p w:rsidR="008A16A7" w:rsidRPr="00DB6C2F" w:rsidRDefault="008A16A7" w:rsidP="008A16A7">
            <w:pPr>
              <w:keepNext/>
              <w:keepLines/>
              <w:tabs>
                <w:tab w:val="left" w:pos="-1440"/>
                <w:tab w:val="left" w:pos="-720"/>
              </w:tabs>
              <w:rPr>
                <w:sz w:val="20"/>
                <w:szCs w:val="20"/>
              </w:rPr>
            </w:pPr>
          </w:p>
          <w:p w:rsidR="008A16A7" w:rsidRPr="00DB6C2F" w:rsidRDefault="00DB6C2F" w:rsidP="008A16A7">
            <w:pPr>
              <w:keepNext/>
              <w:keepLines/>
              <w:tabs>
                <w:tab w:val="left" w:pos="-1440"/>
                <w:tab w:val="left" w:pos="-720"/>
              </w:tabs>
              <w:rPr>
                <w:b/>
                <w:sz w:val="20"/>
                <w:szCs w:val="20"/>
              </w:rPr>
            </w:pPr>
            <w:r>
              <w:rPr>
                <w:b/>
                <w:sz w:val="20"/>
                <w:szCs w:val="20"/>
              </w:rPr>
              <w:t xml:space="preserve">Royal Bank of Canada </w:t>
            </w:r>
            <w:r w:rsidR="008A16A7" w:rsidRPr="00DB6C2F">
              <w:rPr>
                <w:b/>
                <w:sz w:val="20"/>
                <w:szCs w:val="20"/>
              </w:rPr>
              <w:t>(Ont.)</w:t>
            </w:r>
          </w:p>
          <w:p w:rsidR="008A16A7" w:rsidRPr="00DB6C2F" w:rsidRDefault="008A16A7" w:rsidP="008A16A7">
            <w:pPr>
              <w:keepNext/>
              <w:keepLines/>
              <w:tabs>
                <w:tab w:val="left" w:pos="-1440"/>
                <w:tab w:val="left" w:pos="-720"/>
              </w:tabs>
              <w:rPr>
                <w:sz w:val="20"/>
                <w:szCs w:val="20"/>
              </w:rPr>
            </w:pPr>
            <w:r w:rsidRPr="00DB6C2F">
              <w:rPr>
                <w:sz w:val="20"/>
                <w:szCs w:val="20"/>
              </w:rPr>
              <w:tab/>
            </w:r>
            <w:r w:rsidR="00DB6C2F">
              <w:rPr>
                <w:sz w:val="20"/>
                <w:szCs w:val="20"/>
              </w:rPr>
              <w:t>Nicole Brown Dunbar</w:t>
            </w:r>
          </w:p>
          <w:p w:rsidR="008A16A7" w:rsidRPr="00DB6C2F" w:rsidRDefault="008A16A7" w:rsidP="008A16A7">
            <w:pPr>
              <w:keepNext/>
              <w:keepLines/>
              <w:tabs>
                <w:tab w:val="left" w:pos="-1440"/>
                <w:tab w:val="left" w:pos="-720"/>
              </w:tabs>
              <w:rPr>
                <w:sz w:val="20"/>
                <w:szCs w:val="20"/>
              </w:rPr>
            </w:pPr>
            <w:r w:rsidRPr="00DB6C2F">
              <w:rPr>
                <w:sz w:val="20"/>
                <w:szCs w:val="20"/>
              </w:rPr>
              <w:tab/>
            </w:r>
            <w:r w:rsidR="00DB6C2F">
              <w:rPr>
                <w:sz w:val="20"/>
                <w:szCs w:val="20"/>
              </w:rPr>
              <w:t>Gowling Lafleur Henderson LLP</w:t>
            </w:r>
          </w:p>
          <w:p w:rsidR="008A16A7" w:rsidRPr="00DB6C2F" w:rsidRDefault="008A16A7" w:rsidP="008A16A7">
            <w:pPr>
              <w:keepNext/>
              <w:keepLines/>
              <w:tabs>
                <w:tab w:val="left" w:pos="-1440"/>
                <w:tab w:val="left" w:pos="-720"/>
              </w:tabs>
              <w:rPr>
                <w:sz w:val="20"/>
                <w:szCs w:val="20"/>
              </w:rPr>
            </w:pPr>
          </w:p>
          <w:p w:rsidR="008A16A7" w:rsidRPr="00A935AA" w:rsidRDefault="008A16A7" w:rsidP="00DB6C2F">
            <w:pPr>
              <w:rPr>
                <w:sz w:val="20"/>
                <w:szCs w:val="20"/>
              </w:rPr>
            </w:pPr>
            <w:r w:rsidRPr="00A935AA">
              <w:rPr>
                <w:sz w:val="20"/>
                <w:szCs w:val="20"/>
              </w:rPr>
              <w:t xml:space="preserve">FILING DATE: </w:t>
            </w:r>
            <w:r w:rsidR="00DB6C2F">
              <w:rPr>
                <w:sz w:val="20"/>
                <w:szCs w:val="20"/>
              </w:rPr>
              <w:t>18</w:t>
            </w:r>
            <w:r w:rsidRPr="00A935AA">
              <w:rPr>
                <w:sz w:val="20"/>
                <w:szCs w:val="20"/>
              </w:rPr>
              <w:t>.0</w:t>
            </w:r>
            <w:r>
              <w:rPr>
                <w:sz w:val="20"/>
                <w:szCs w:val="20"/>
              </w:rPr>
              <w:t>3</w:t>
            </w:r>
            <w:r w:rsidRPr="00A935AA">
              <w:rPr>
                <w:sz w:val="20"/>
                <w:szCs w:val="20"/>
              </w:rPr>
              <w:t>.201</w:t>
            </w:r>
            <w:r>
              <w:rPr>
                <w:sz w:val="20"/>
                <w:szCs w:val="20"/>
              </w:rPr>
              <w:t>4</w:t>
            </w:r>
            <w:r w:rsidR="00BF31AA">
              <w:rPr>
                <w:sz w:val="20"/>
                <w:szCs w:val="20"/>
                <w:lang w:val="fr-CA"/>
              </w:rPr>
              <w:pict>
                <v:rect id="_x0000_i1028" style="width:108pt;height:1pt" o:hrpct="0" o:hralign="center" o:hrstd="t" o:hrnoshade="t" o:hr="t" fillcolor="black [3213]" stroked="f"/>
              </w:pict>
            </w:r>
          </w:p>
        </w:tc>
      </w:tr>
      <w:tr w:rsidR="008A16A7" w:rsidRPr="00A935AA" w:rsidTr="003B3977">
        <w:trPr>
          <w:cantSplit/>
        </w:trPr>
        <w:tc>
          <w:tcPr>
            <w:tcW w:w="4320" w:type="dxa"/>
            <w:shd w:val="clear" w:color="auto" w:fill="auto"/>
          </w:tcPr>
          <w:p w:rsidR="008A16A7" w:rsidRPr="00A935AA" w:rsidRDefault="007F02D9" w:rsidP="008A16A7">
            <w:pPr>
              <w:rPr>
                <w:b/>
                <w:sz w:val="20"/>
                <w:szCs w:val="20"/>
              </w:rPr>
            </w:pPr>
            <w:r>
              <w:rPr>
                <w:b/>
                <w:sz w:val="20"/>
                <w:szCs w:val="20"/>
              </w:rPr>
              <w:t>Jeffrey Bradfield</w:t>
            </w:r>
          </w:p>
          <w:p w:rsidR="007F02D9" w:rsidRPr="00A935AA" w:rsidRDefault="008A16A7" w:rsidP="007F02D9">
            <w:pPr>
              <w:keepNext/>
              <w:keepLines/>
              <w:tabs>
                <w:tab w:val="left" w:pos="-1440"/>
                <w:tab w:val="left" w:pos="-720"/>
              </w:tabs>
              <w:rPr>
                <w:sz w:val="20"/>
                <w:szCs w:val="20"/>
              </w:rPr>
            </w:pPr>
            <w:r w:rsidRPr="00A935AA">
              <w:rPr>
                <w:sz w:val="20"/>
                <w:szCs w:val="20"/>
              </w:rPr>
              <w:tab/>
            </w:r>
            <w:r w:rsidR="007F02D9">
              <w:rPr>
                <w:sz w:val="20"/>
                <w:szCs w:val="20"/>
              </w:rPr>
              <w:t>Chris G. Paliare</w:t>
            </w:r>
          </w:p>
          <w:p w:rsidR="007F02D9" w:rsidRPr="00A935AA" w:rsidRDefault="007F02D9" w:rsidP="007F02D9">
            <w:pPr>
              <w:keepNext/>
              <w:keepLines/>
              <w:tabs>
                <w:tab w:val="left" w:pos="-1440"/>
                <w:tab w:val="left" w:pos="-720"/>
              </w:tabs>
              <w:rPr>
                <w:sz w:val="20"/>
                <w:szCs w:val="20"/>
              </w:rPr>
            </w:pPr>
            <w:r w:rsidRPr="00A935AA">
              <w:rPr>
                <w:sz w:val="20"/>
                <w:szCs w:val="20"/>
              </w:rPr>
              <w:tab/>
            </w:r>
            <w:r>
              <w:rPr>
                <w:sz w:val="20"/>
                <w:szCs w:val="20"/>
              </w:rPr>
              <w:t xml:space="preserve">Paliare, Roland, Rosenberg, Rothstein </w:t>
            </w:r>
            <w:r>
              <w:rPr>
                <w:sz w:val="20"/>
                <w:szCs w:val="20"/>
              </w:rPr>
              <w:tab/>
              <w:t>LLP</w:t>
            </w:r>
          </w:p>
          <w:p w:rsidR="007F02D9" w:rsidRDefault="007F02D9" w:rsidP="008A16A7">
            <w:pPr>
              <w:tabs>
                <w:tab w:val="left" w:pos="-1440"/>
                <w:tab w:val="left" w:pos="-720"/>
              </w:tabs>
              <w:rPr>
                <w:sz w:val="20"/>
                <w:szCs w:val="20"/>
              </w:rPr>
            </w:pPr>
          </w:p>
          <w:p w:rsidR="008A16A7" w:rsidRPr="000E5C51" w:rsidRDefault="008A16A7" w:rsidP="008A16A7">
            <w:pPr>
              <w:tabs>
                <w:tab w:val="left" w:pos="-1440"/>
                <w:tab w:val="left" w:pos="-720"/>
              </w:tabs>
              <w:rPr>
                <w:sz w:val="20"/>
                <w:szCs w:val="20"/>
                <w:lang w:val="fr-CA"/>
              </w:rPr>
            </w:pPr>
            <w:r w:rsidRPr="00A935AA">
              <w:rPr>
                <w:sz w:val="20"/>
                <w:szCs w:val="20"/>
              </w:rPr>
              <w:tab/>
            </w:r>
            <w:r w:rsidRPr="000E5C51">
              <w:rPr>
                <w:sz w:val="20"/>
                <w:szCs w:val="20"/>
                <w:lang w:val="fr-CA"/>
              </w:rPr>
              <w:t>v. (35</w:t>
            </w:r>
            <w:r w:rsidR="007F02D9" w:rsidRPr="000E5C51">
              <w:rPr>
                <w:sz w:val="20"/>
                <w:szCs w:val="20"/>
                <w:lang w:val="fr-CA"/>
              </w:rPr>
              <w:t>784</w:t>
            </w:r>
            <w:r w:rsidRPr="000E5C51">
              <w:rPr>
                <w:sz w:val="20"/>
                <w:szCs w:val="20"/>
                <w:lang w:val="fr-CA"/>
              </w:rPr>
              <w:t>)</w:t>
            </w:r>
          </w:p>
          <w:p w:rsidR="008A16A7" w:rsidRPr="000E5C51" w:rsidRDefault="008A16A7" w:rsidP="008A16A7">
            <w:pPr>
              <w:tabs>
                <w:tab w:val="left" w:pos="-1440"/>
                <w:tab w:val="left" w:pos="-720"/>
              </w:tabs>
              <w:rPr>
                <w:sz w:val="20"/>
                <w:szCs w:val="20"/>
                <w:lang w:val="fr-CA"/>
              </w:rPr>
            </w:pPr>
          </w:p>
          <w:p w:rsidR="008A16A7" w:rsidRPr="007F02D9" w:rsidRDefault="007F02D9" w:rsidP="008A16A7">
            <w:pPr>
              <w:tabs>
                <w:tab w:val="left" w:pos="-1440"/>
                <w:tab w:val="left" w:pos="-720"/>
              </w:tabs>
              <w:rPr>
                <w:b/>
                <w:sz w:val="20"/>
                <w:szCs w:val="20"/>
                <w:lang w:val="fr-CA"/>
              </w:rPr>
            </w:pPr>
            <w:r w:rsidRPr="007F02D9">
              <w:rPr>
                <w:b/>
                <w:sz w:val="20"/>
                <w:szCs w:val="20"/>
                <w:lang w:val="fr-CA"/>
              </w:rPr>
              <w:t xml:space="preserve">Jeremy Caton et al. </w:t>
            </w:r>
            <w:r w:rsidR="008A16A7" w:rsidRPr="007F02D9">
              <w:rPr>
                <w:b/>
                <w:sz w:val="20"/>
                <w:szCs w:val="20"/>
                <w:lang w:val="fr-CA"/>
              </w:rPr>
              <w:t>(</w:t>
            </w:r>
            <w:r w:rsidRPr="007F02D9">
              <w:rPr>
                <w:b/>
                <w:sz w:val="20"/>
                <w:szCs w:val="20"/>
                <w:lang w:val="fr-CA"/>
              </w:rPr>
              <w:t>Ont</w:t>
            </w:r>
            <w:r w:rsidR="008A16A7" w:rsidRPr="007F02D9">
              <w:rPr>
                <w:b/>
                <w:sz w:val="20"/>
                <w:szCs w:val="20"/>
                <w:lang w:val="fr-CA"/>
              </w:rPr>
              <w:t>.)</w:t>
            </w:r>
          </w:p>
          <w:p w:rsidR="008A16A7" w:rsidRPr="007F02D9" w:rsidRDefault="008A16A7" w:rsidP="008A16A7">
            <w:pPr>
              <w:tabs>
                <w:tab w:val="left" w:pos="-1440"/>
                <w:tab w:val="left" w:pos="-720"/>
              </w:tabs>
              <w:rPr>
                <w:sz w:val="20"/>
                <w:szCs w:val="20"/>
              </w:rPr>
            </w:pPr>
            <w:r w:rsidRPr="007F02D9">
              <w:rPr>
                <w:sz w:val="20"/>
                <w:szCs w:val="20"/>
                <w:lang w:val="fr-CA"/>
              </w:rPr>
              <w:tab/>
            </w:r>
            <w:r w:rsidR="007F02D9" w:rsidRPr="007F02D9">
              <w:rPr>
                <w:sz w:val="20"/>
                <w:szCs w:val="20"/>
              </w:rPr>
              <w:t>Raymond A.D. Watt</w:t>
            </w:r>
          </w:p>
          <w:p w:rsidR="008A16A7" w:rsidRPr="007F02D9" w:rsidRDefault="008A16A7" w:rsidP="008A16A7">
            <w:pPr>
              <w:tabs>
                <w:tab w:val="left" w:pos="-1440"/>
                <w:tab w:val="left" w:pos="-720"/>
              </w:tabs>
              <w:rPr>
                <w:sz w:val="20"/>
                <w:szCs w:val="20"/>
              </w:rPr>
            </w:pPr>
            <w:r w:rsidRPr="007F02D9">
              <w:rPr>
                <w:sz w:val="20"/>
                <w:szCs w:val="20"/>
              </w:rPr>
              <w:tab/>
            </w:r>
            <w:r w:rsidR="007F02D9" w:rsidRPr="007F02D9">
              <w:rPr>
                <w:sz w:val="20"/>
                <w:szCs w:val="20"/>
              </w:rPr>
              <w:t>Dutton Brock LLP</w:t>
            </w:r>
          </w:p>
          <w:p w:rsidR="008A16A7" w:rsidRPr="007F02D9" w:rsidRDefault="008A16A7" w:rsidP="008A16A7">
            <w:pPr>
              <w:tabs>
                <w:tab w:val="left" w:pos="-1440"/>
                <w:tab w:val="left" w:pos="-720"/>
              </w:tabs>
              <w:rPr>
                <w:sz w:val="20"/>
                <w:szCs w:val="20"/>
              </w:rPr>
            </w:pPr>
          </w:p>
          <w:p w:rsidR="008A16A7" w:rsidRPr="00A935AA" w:rsidRDefault="008A16A7" w:rsidP="008A16A7">
            <w:pPr>
              <w:rPr>
                <w:sz w:val="20"/>
                <w:szCs w:val="20"/>
              </w:rPr>
            </w:pPr>
            <w:r w:rsidRPr="00A935AA">
              <w:rPr>
                <w:sz w:val="20"/>
                <w:szCs w:val="20"/>
              </w:rPr>
              <w:t>FILING DATE: 2</w:t>
            </w:r>
            <w:r w:rsidR="007F02D9">
              <w:rPr>
                <w:sz w:val="20"/>
                <w:szCs w:val="20"/>
              </w:rPr>
              <w:t>4</w:t>
            </w:r>
            <w:r w:rsidRPr="00A935AA">
              <w:rPr>
                <w:sz w:val="20"/>
                <w:szCs w:val="20"/>
              </w:rPr>
              <w:t>.0</w:t>
            </w:r>
            <w:r>
              <w:rPr>
                <w:sz w:val="20"/>
                <w:szCs w:val="20"/>
              </w:rPr>
              <w:t>3</w:t>
            </w:r>
            <w:r w:rsidRPr="00A935AA">
              <w:rPr>
                <w:sz w:val="20"/>
                <w:szCs w:val="20"/>
              </w:rPr>
              <w:t>.201</w:t>
            </w:r>
            <w:r>
              <w:rPr>
                <w:sz w:val="20"/>
                <w:szCs w:val="20"/>
              </w:rPr>
              <w:t>4</w:t>
            </w:r>
          </w:p>
          <w:p w:rsidR="008A16A7" w:rsidRPr="00A935AA" w:rsidRDefault="00BF31AA" w:rsidP="008A16A7">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Pr="00A935AA" w:rsidRDefault="008A16A7" w:rsidP="00242AEE">
            <w:pPr>
              <w:jc w:val="center"/>
              <w:rPr>
                <w:sz w:val="20"/>
                <w:szCs w:val="20"/>
              </w:rPr>
            </w:pPr>
          </w:p>
          <w:p w:rsidR="008A16A7" w:rsidRDefault="008A16A7" w:rsidP="00242AEE">
            <w:pPr>
              <w:jc w:val="center"/>
              <w:rPr>
                <w:sz w:val="20"/>
                <w:szCs w:val="20"/>
              </w:rPr>
            </w:pPr>
          </w:p>
          <w:p w:rsidR="007F02D9" w:rsidRPr="00A935AA" w:rsidRDefault="007F02D9" w:rsidP="00242AEE">
            <w:pPr>
              <w:jc w:val="center"/>
              <w:rPr>
                <w:sz w:val="20"/>
                <w:szCs w:val="20"/>
              </w:rPr>
            </w:pPr>
          </w:p>
          <w:p w:rsidR="008A16A7" w:rsidRPr="00A935AA" w:rsidRDefault="008A16A7" w:rsidP="00242AEE">
            <w:pPr>
              <w:jc w:val="center"/>
              <w:rPr>
                <w:sz w:val="20"/>
                <w:szCs w:val="20"/>
              </w:rPr>
            </w:pPr>
          </w:p>
        </w:tc>
        <w:tc>
          <w:tcPr>
            <w:tcW w:w="4320" w:type="dxa"/>
            <w:shd w:val="clear" w:color="auto" w:fill="auto"/>
          </w:tcPr>
          <w:p w:rsidR="007F02D9" w:rsidRPr="007F02D9" w:rsidRDefault="007F02D9" w:rsidP="008A16A7">
            <w:pPr>
              <w:keepNext/>
              <w:keepLines/>
              <w:tabs>
                <w:tab w:val="left" w:pos="-1440"/>
                <w:tab w:val="left" w:pos="-720"/>
              </w:tabs>
              <w:rPr>
                <w:sz w:val="20"/>
                <w:szCs w:val="20"/>
              </w:rPr>
            </w:pPr>
          </w:p>
          <w:p w:rsidR="008A16A7" w:rsidRPr="00831660" w:rsidRDefault="007F02D9" w:rsidP="008A16A7">
            <w:pPr>
              <w:keepNext/>
              <w:keepLines/>
              <w:tabs>
                <w:tab w:val="left" w:pos="-1440"/>
                <w:tab w:val="left" w:pos="-720"/>
              </w:tabs>
              <w:rPr>
                <w:b/>
                <w:sz w:val="20"/>
                <w:szCs w:val="20"/>
                <w:lang w:val="fr-CA"/>
              </w:rPr>
            </w:pPr>
            <w:r w:rsidRPr="00831660">
              <w:rPr>
                <w:b/>
                <w:sz w:val="20"/>
                <w:szCs w:val="20"/>
                <w:lang w:val="fr-CA"/>
              </w:rPr>
              <w:t>101090442 Saskatchewan Ltd.</w:t>
            </w:r>
          </w:p>
          <w:p w:rsidR="007F02D9" w:rsidRPr="00831660" w:rsidRDefault="008A16A7" w:rsidP="007F02D9">
            <w:pPr>
              <w:tabs>
                <w:tab w:val="left" w:pos="-1440"/>
                <w:tab w:val="left" w:pos="-720"/>
              </w:tabs>
              <w:rPr>
                <w:sz w:val="20"/>
                <w:szCs w:val="20"/>
                <w:lang w:val="fr-CA"/>
              </w:rPr>
            </w:pPr>
            <w:r w:rsidRPr="00831660">
              <w:rPr>
                <w:sz w:val="20"/>
                <w:szCs w:val="20"/>
                <w:lang w:val="fr-CA"/>
              </w:rPr>
              <w:tab/>
            </w:r>
            <w:r w:rsidR="007F02D9" w:rsidRPr="00831660">
              <w:rPr>
                <w:sz w:val="20"/>
                <w:szCs w:val="20"/>
                <w:lang w:val="fr-CA"/>
              </w:rPr>
              <w:t>Deron Kuski</w:t>
            </w:r>
          </w:p>
          <w:p w:rsidR="007F02D9" w:rsidRPr="00831660" w:rsidRDefault="007F02D9" w:rsidP="007F02D9">
            <w:pPr>
              <w:tabs>
                <w:tab w:val="left" w:pos="-1440"/>
                <w:tab w:val="left" w:pos="-720"/>
              </w:tabs>
              <w:rPr>
                <w:sz w:val="20"/>
                <w:szCs w:val="20"/>
                <w:lang w:val="fr-CA"/>
              </w:rPr>
            </w:pPr>
            <w:r w:rsidRPr="00831660">
              <w:rPr>
                <w:sz w:val="20"/>
                <w:szCs w:val="20"/>
                <w:lang w:val="fr-CA"/>
              </w:rPr>
              <w:tab/>
              <w:t>MacPherson Leslie &amp; Tyerman LLP</w:t>
            </w:r>
          </w:p>
          <w:p w:rsidR="007F02D9" w:rsidRPr="00831660" w:rsidRDefault="007F02D9" w:rsidP="007F02D9">
            <w:pPr>
              <w:tabs>
                <w:tab w:val="left" w:pos="-1440"/>
                <w:tab w:val="left" w:pos="-720"/>
              </w:tabs>
              <w:rPr>
                <w:sz w:val="20"/>
                <w:szCs w:val="20"/>
                <w:lang w:val="fr-CA"/>
              </w:rPr>
            </w:pPr>
          </w:p>
          <w:p w:rsidR="007F02D9" w:rsidRPr="00831660" w:rsidRDefault="007F02D9" w:rsidP="007F02D9">
            <w:pPr>
              <w:tabs>
                <w:tab w:val="left" w:pos="-1440"/>
                <w:tab w:val="left" w:pos="-720"/>
              </w:tabs>
              <w:rPr>
                <w:sz w:val="20"/>
                <w:szCs w:val="20"/>
                <w:lang w:val="fr-CA"/>
              </w:rPr>
            </w:pPr>
            <w:r w:rsidRPr="00831660">
              <w:rPr>
                <w:sz w:val="20"/>
                <w:szCs w:val="20"/>
                <w:lang w:val="fr-CA"/>
              </w:rPr>
              <w:tab/>
              <w:t>v. (35779)</w:t>
            </w:r>
          </w:p>
          <w:p w:rsidR="007F02D9" w:rsidRPr="00831660" w:rsidRDefault="007F02D9" w:rsidP="007F02D9">
            <w:pPr>
              <w:tabs>
                <w:tab w:val="left" w:pos="-1440"/>
                <w:tab w:val="left" w:pos="-720"/>
              </w:tabs>
              <w:rPr>
                <w:sz w:val="20"/>
                <w:szCs w:val="20"/>
                <w:lang w:val="fr-CA"/>
              </w:rPr>
            </w:pPr>
          </w:p>
          <w:p w:rsidR="007F02D9" w:rsidRPr="007F02D9" w:rsidRDefault="007F02D9" w:rsidP="007F02D9">
            <w:pPr>
              <w:tabs>
                <w:tab w:val="left" w:pos="-1440"/>
                <w:tab w:val="left" w:pos="-720"/>
              </w:tabs>
              <w:rPr>
                <w:b/>
                <w:sz w:val="20"/>
                <w:szCs w:val="20"/>
                <w:lang w:val="fr-CA"/>
              </w:rPr>
            </w:pPr>
            <w:r w:rsidRPr="000E5C51">
              <w:rPr>
                <w:b/>
                <w:sz w:val="20"/>
                <w:szCs w:val="20"/>
                <w:lang w:val="fr-CA"/>
              </w:rPr>
              <w:t xml:space="preserve">Douglas </w:t>
            </w:r>
            <w:r w:rsidRPr="007F02D9">
              <w:rPr>
                <w:b/>
                <w:sz w:val="20"/>
                <w:szCs w:val="20"/>
                <w:lang w:val="fr-CA"/>
              </w:rPr>
              <w:t>John Harle et autre (</w:t>
            </w:r>
            <w:r w:rsidR="000E5C51">
              <w:rPr>
                <w:b/>
                <w:sz w:val="20"/>
                <w:szCs w:val="20"/>
                <w:lang w:val="fr-CA"/>
              </w:rPr>
              <w:t>Sask</w:t>
            </w:r>
            <w:r w:rsidRPr="007F02D9">
              <w:rPr>
                <w:b/>
                <w:sz w:val="20"/>
                <w:szCs w:val="20"/>
                <w:lang w:val="fr-CA"/>
              </w:rPr>
              <w:t>.)</w:t>
            </w:r>
          </w:p>
          <w:p w:rsidR="007F02D9" w:rsidRPr="007F02D9" w:rsidRDefault="007F02D9" w:rsidP="007F02D9">
            <w:pPr>
              <w:tabs>
                <w:tab w:val="left" w:pos="-1440"/>
                <w:tab w:val="left" w:pos="-720"/>
              </w:tabs>
              <w:rPr>
                <w:sz w:val="20"/>
                <w:szCs w:val="20"/>
              </w:rPr>
            </w:pPr>
            <w:r w:rsidRPr="007F02D9">
              <w:rPr>
                <w:sz w:val="20"/>
                <w:szCs w:val="20"/>
                <w:lang w:val="fr-CA"/>
              </w:rPr>
              <w:tab/>
            </w:r>
            <w:r w:rsidRPr="007F02D9">
              <w:rPr>
                <w:sz w:val="20"/>
                <w:szCs w:val="20"/>
              </w:rPr>
              <w:t>Jeffrey N. Grubb, Q.C.</w:t>
            </w:r>
          </w:p>
          <w:p w:rsidR="007F02D9" w:rsidRPr="007F02D9" w:rsidRDefault="007F02D9" w:rsidP="007F02D9">
            <w:pPr>
              <w:tabs>
                <w:tab w:val="left" w:pos="-1440"/>
                <w:tab w:val="left" w:pos="-720"/>
              </w:tabs>
              <w:rPr>
                <w:sz w:val="20"/>
                <w:szCs w:val="20"/>
              </w:rPr>
            </w:pPr>
            <w:r w:rsidRPr="007F02D9">
              <w:rPr>
                <w:sz w:val="20"/>
                <w:szCs w:val="20"/>
              </w:rPr>
              <w:tab/>
            </w:r>
            <w:r>
              <w:rPr>
                <w:sz w:val="20"/>
                <w:szCs w:val="20"/>
              </w:rPr>
              <w:t>Miller Thomson LLP</w:t>
            </w:r>
          </w:p>
          <w:p w:rsidR="007F02D9" w:rsidRPr="007F02D9" w:rsidRDefault="007F02D9" w:rsidP="007F02D9">
            <w:pPr>
              <w:tabs>
                <w:tab w:val="left" w:pos="-1440"/>
                <w:tab w:val="left" w:pos="-720"/>
              </w:tabs>
              <w:rPr>
                <w:sz w:val="20"/>
                <w:szCs w:val="20"/>
              </w:rPr>
            </w:pPr>
          </w:p>
          <w:p w:rsidR="007F02D9" w:rsidRPr="00A935AA" w:rsidRDefault="007F02D9" w:rsidP="007F02D9">
            <w:pPr>
              <w:rPr>
                <w:sz w:val="20"/>
                <w:szCs w:val="20"/>
              </w:rPr>
            </w:pPr>
            <w:r w:rsidRPr="00A935AA">
              <w:rPr>
                <w:sz w:val="20"/>
                <w:szCs w:val="20"/>
              </w:rPr>
              <w:t>FILING DATE: 2</w:t>
            </w:r>
            <w:r>
              <w:rPr>
                <w:sz w:val="20"/>
                <w:szCs w:val="20"/>
              </w:rPr>
              <w:t>1</w:t>
            </w:r>
            <w:r w:rsidRPr="00A935AA">
              <w:rPr>
                <w:sz w:val="20"/>
                <w:szCs w:val="20"/>
              </w:rPr>
              <w:t>.0</w:t>
            </w:r>
            <w:r>
              <w:rPr>
                <w:sz w:val="20"/>
                <w:szCs w:val="20"/>
              </w:rPr>
              <w:t>3</w:t>
            </w:r>
            <w:r w:rsidRPr="00A935AA">
              <w:rPr>
                <w:sz w:val="20"/>
                <w:szCs w:val="20"/>
              </w:rPr>
              <w:t>.201</w:t>
            </w:r>
            <w:r>
              <w:rPr>
                <w:sz w:val="20"/>
                <w:szCs w:val="20"/>
              </w:rPr>
              <w:t>4</w:t>
            </w:r>
          </w:p>
          <w:p w:rsidR="008A16A7" w:rsidRPr="00A935AA" w:rsidRDefault="00BF31AA" w:rsidP="008A16A7">
            <w:pPr>
              <w:rPr>
                <w:sz w:val="20"/>
                <w:szCs w:val="20"/>
              </w:rPr>
            </w:pPr>
            <w:r>
              <w:rPr>
                <w:sz w:val="20"/>
                <w:szCs w:val="20"/>
                <w:lang w:val="fr-CA"/>
              </w:rPr>
              <w:pict>
                <v:rect id="_x0000_i1030" style="width:108pt;height:1pt" o:hrpct="0" o:hralign="center" o:hrstd="t" o:hrnoshade="t" o:hr="t" fillcolor="black [3213]" stroked="f"/>
              </w:pict>
            </w:r>
          </w:p>
        </w:tc>
      </w:tr>
      <w:tr w:rsidR="00DB6C2F" w:rsidRPr="00A935AA" w:rsidTr="003B3977">
        <w:trPr>
          <w:cantSplit/>
        </w:trPr>
        <w:tc>
          <w:tcPr>
            <w:tcW w:w="4320" w:type="dxa"/>
            <w:shd w:val="clear" w:color="auto" w:fill="auto"/>
          </w:tcPr>
          <w:p w:rsidR="00DB6C2F" w:rsidRPr="00A935AA" w:rsidRDefault="007F02D9" w:rsidP="00DB6C2F">
            <w:pPr>
              <w:rPr>
                <w:b/>
                <w:sz w:val="20"/>
                <w:szCs w:val="20"/>
              </w:rPr>
            </w:pPr>
            <w:r>
              <w:rPr>
                <w:b/>
                <w:sz w:val="20"/>
                <w:szCs w:val="20"/>
              </w:rPr>
              <w:t>Ken Neville et al.</w:t>
            </w:r>
          </w:p>
          <w:p w:rsidR="00DB6C2F" w:rsidRPr="00A935AA" w:rsidRDefault="00DB6C2F" w:rsidP="00DB6C2F">
            <w:pPr>
              <w:tabs>
                <w:tab w:val="left" w:pos="-1440"/>
                <w:tab w:val="left" w:pos="-720"/>
              </w:tabs>
              <w:rPr>
                <w:sz w:val="20"/>
                <w:szCs w:val="20"/>
              </w:rPr>
            </w:pPr>
            <w:r w:rsidRPr="00A935AA">
              <w:rPr>
                <w:sz w:val="20"/>
                <w:szCs w:val="20"/>
              </w:rPr>
              <w:tab/>
            </w:r>
            <w:r w:rsidR="007F02D9">
              <w:rPr>
                <w:sz w:val="20"/>
                <w:szCs w:val="20"/>
              </w:rPr>
              <w:t>Gib Van Ert</w:t>
            </w:r>
          </w:p>
          <w:p w:rsidR="00DB6C2F" w:rsidRPr="00A935AA" w:rsidRDefault="00DB6C2F" w:rsidP="00DB6C2F">
            <w:pPr>
              <w:tabs>
                <w:tab w:val="left" w:pos="-1440"/>
                <w:tab w:val="left" w:pos="-720"/>
              </w:tabs>
              <w:rPr>
                <w:sz w:val="20"/>
                <w:szCs w:val="20"/>
              </w:rPr>
            </w:pPr>
            <w:r w:rsidRPr="00A935AA">
              <w:rPr>
                <w:sz w:val="20"/>
                <w:szCs w:val="20"/>
              </w:rPr>
              <w:tab/>
            </w:r>
            <w:r w:rsidR="007F02D9">
              <w:rPr>
                <w:sz w:val="20"/>
                <w:szCs w:val="20"/>
              </w:rPr>
              <w:t xml:space="preserve">Hunter Litigation Chambers Law </w:t>
            </w:r>
            <w:r w:rsidR="007F02D9">
              <w:rPr>
                <w:sz w:val="20"/>
                <w:szCs w:val="20"/>
              </w:rPr>
              <w:tab/>
              <w:t>Corporation</w:t>
            </w:r>
          </w:p>
          <w:p w:rsidR="00DB6C2F" w:rsidRPr="00A935AA" w:rsidRDefault="00DB6C2F" w:rsidP="00DB6C2F">
            <w:pPr>
              <w:tabs>
                <w:tab w:val="left" w:pos="-1440"/>
                <w:tab w:val="left" w:pos="-720"/>
              </w:tabs>
              <w:rPr>
                <w:sz w:val="20"/>
                <w:szCs w:val="20"/>
              </w:rPr>
            </w:pPr>
          </w:p>
          <w:p w:rsidR="00DB6C2F" w:rsidRPr="00A935AA" w:rsidRDefault="00DB6C2F" w:rsidP="00DB6C2F">
            <w:pPr>
              <w:tabs>
                <w:tab w:val="left" w:pos="-1440"/>
                <w:tab w:val="left" w:pos="-720"/>
              </w:tabs>
              <w:rPr>
                <w:sz w:val="20"/>
                <w:szCs w:val="20"/>
              </w:rPr>
            </w:pPr>
            <w:r w:rsidRPr="00A935AA">
              <w:rPr>
                <w:sz w:val="20"/>
                <w:szCs w:val="20"/>
              </w:rPr>
              <w:tab/>
              <w:t>v. (3</w:t>
            </w:r>
            <w:r>
              <w:rPr>
                <w:sz w:val="20"/>
                <w:szCs w:val="20"/>
              </w:rPr>
              <w:t>5</w:t>
            </w:r>
            <w:r w:rsidR="007F02D9">
              <w:rPr>
                <w:sz w:val="20"/>
                <w:szCs w:val="20"/>
              </w:rPr>
              <w:t>786</w:t>
            </w:r>
            <w:r w:rsidRPr="00A935AA">
              <w:rPr>
                <w:sz w:val="20"/>
                <w:szCs w:val="20"/>
              </w:rPr>
              <w:t>)</w:t>
            </w:r>
          </w:p>
          <w:p w:rsidR="00DB6C2F" w:rsidRPr="00A935AA" w:rsidRDefault="00DB6C2F" w:rsidP="00DB6C2F">
            <w:pPr>
              <w:tabs>
                <w:tab w:val="left" w:pos="-1440"/>
                <w:tab w:val="left" w:pos="-720"/>
              </w:tabs>
              <w:rPr>
                <w:sz w:val="20"/>
                <w:szCs w:val="20"/>
              </w:rPr>
            </w:pPr>
          </w:p>
          <w:p w:rsidR="00DB6C2F" w:rsidRPr="00A935AA" w:rsidRDefault="007F02D9" w:rsidP="00DB6C2F">
            <w:pPr>
              <w:tabs>
                <w:tab w:val="left" w:pos="-1440"/>
                <w:tab w:val="left" w:pos="-720"/>
              </w:tabs>
              <w:rPr>
                <w:b/>
                <w:sz w:val="20"/>
                <w:szCs w:val="20"/>
              </w:rPr>
            </w:pPr>
            <w:r>
              <w:rPr>
                <w:b/>
                <w:sz w:val="20"/>
                <w:szCs w:val="20"/>
              </w:rPr>
              <w:t xml:space="preserve">National Foundation for Christian Leadership </w:t>
            </w:r>
            <w:r w:rsidR="00DB6C2F" w:rsidRPr="00A935AA">
              <w:rPr>
                <w:b/>
                <w:sz w:val="20"/>
                <w:szCs w:val="20"/>
              </w:rPr>
              <w:t>(B.C.)</w:t>
            </w:r>
          </w:p>
          <w:p w:rsidR="00DB6C2F" w:rsidRPr="00A935AA" w:rsidRDefault="00DB6C2F" w:rsidP="00DB6C2F">
            <w:pPr>
              <w:tabs>
                <w:tab w:val="left" w:pos="-1440"/>
                <w:tab w:val="left" w:pos="-720"/>
              </w:tabs>
              <w:rPr>
                <w:sz w:val="20"/>
                <w:szCs w:val="20"/>
              </w:rPr>
            </w:pPr>
            <w:r w:rsidRPr="00A935AA">
              <w:rPr>
                <w:sz w:val="20"/>
                <w:szCs w:val="20"/>
              </w:rPr>
              <w:tab/>
            </w:r>
            <w:r w:rsidR="007F02D9">
              <w:rPr>
                <w:sz w:val="20"/>
                <w:szCs w:val="20"/>
              </w:rPr>
              <w:t>John R. Shewfelt</w:t>
            </w:r>
          </w:p>
          <w:p w:rsidR="00DB6C2F" w:rsidRPr="00A935AA" w:rsidRDefault="00DB6C2F" w:rsidP="00DB6C2F">
            <w:pPr>
              <w:tabs>
                <w:tab w:val="left" w:pos="-1440"/>
                <w:tab w:val="left" w:pos="-720"/>
              </w:tabs>
              <w:rPr>
                <w:sz w:val="20"/>
                <w:szCs w:val="20"/>
              </w:rPr>
            </w:pPr>
            <w:r w:rsidRPr="00A935AA">
              <w:rPr>
                <w:sz w:val="20"/>
                <w:szCs w:val="20"/>
              </w:rPr>
              <w:tab/>
            </w:r>
            <w:r w:rsidR="007F02D9">
              <w:rPr>
                <w:sz w:val="20"/>
                <w:szCs w:val="20"/>
              </w:rPr>
              <w:t>Miller Thomson LLP</w:t>
            </w:r>
          </w:p>
          <w:p w:rsidR="00DB6C2F" w:rsidRPr="00A935AA" w:rsidRDefault="00DB6C2F" w:rsidP="00DB6C2F">
            <w:pPr>
              <w:tabs>
                <w:tab w:val="left" w:pos="-1440"/>
                <w:tab w:val="left" w:pos="-720"/>
              </w:tabs>
              <w:rPr>
                <w:sz w:val="20"/>
                <w:szCs w:val="20"/>
              </w:rPr>
            </w:pPr>
          </w:p>
          <w:p w:rsidR="00DB6C2F" w:rsidRPr="00A935AA" w:rsidRDefault="00DB6C2F" w:rsidP="00DB6C2F">
            <w:pPr>
              <w:rPr>
                <w:sz w:val="20"/>
                <w:szCs w:val="20"/>
              </w:rPr>
            </w:pPr>
            <w:r w:rsidRPr="00A935AA">
              <w:rPr>
                <w:sz w:val="20"/>
                <w:szCs w:val="20"/>
              </w:rPr>
              <w:t>FILING DATE: 2</w:t>
            </w:r>
            <w:r w:rsidR="007F02D9">
              <w:rPr>
                <w:sz w:val="20"/>
                <w:szCs w:val="20"/>
              </w:rPr>
              <w:t>5</w:t>
            </w:r>
            <w:r w:rsidRPr="00A935AA">
              <w:rPr>
                <w:sz w:val="20"/>
                <w:szCs w:val="20"/>
              </w:rPr>
              <w:t>.0</w:t>
            </w:r>
            <w:r>
              <w:rPr>
                <w:sz w:val="20"/>
                <w:szCs w:val="20"/>
              </w:rPr>
              <w:t>3</w:t>
            </w:r>
            <w:r w:rsidRPr="00A935AA">
              <w:rPr>
                <w:sz w:val="20"/>
                <w:szCs w:val="20"/>
              </w:rPr>
              <w:t>.201</w:t>
            </w:r>
            <w:r>
              <w:rPr>
                <w:sz w:val="20"/>
                <w:szCs w:val="20"/>
              </w:rPr>
              <w:t>4</w:t>
            </w:r>
          </w:p>
          <w:p w:rsidR="00DB6C2F" w:rsidRPr="00A935AA" w:rsidRDefault="00BF31AA" w:rsidP="00DB6C2F">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Pr="00A935AA" w:rsidRDefault="00DB6C2F" w:rsidP="00242AEE">
            <w:pPr>
              <w:jc w:val="center"/>
              <w:rPr>
                <w:sz w:val="20"/>
                <w:szCs w:val="20"/>
              </w:rPr>
            </w:pPr>
          </w:p>
          <w:p w:rsidR="00DB6C2F" w:rsidRDefault="00DB6C2F" w:rsidP="00242AEE">
            <w:pPr>
              <w:jc w:val="center"/>
              <w:rPr>
                <w:sz w:val="20"/>
                <w:szCs w:val="20"/>
              </w:rPr>
            </w:pPr>
          </w:p>
          <w:p w:rsidR="00590587" w:rsidRPr="00A935AA" w:rsidRDefault="00590587" w:rsidP="00242AEE">
            <w:pPr>
              <w:jc w:val="center"/>
              <w:rPr>
                <w:sz w:val="20"/>
                <w:szCs w:val="20"/>
              </w:rPr>
            </w:pPr>
          </w:p>
          <w:p w:rsidR="00DB6C2F" w:rsidRPr="00A935AA" w:rsidRDefault="00DB6C2F" w:rsidP="00242AEE">
            <w:pPr>
              <w:jc w:val="center"/>
              <w:rPr>
                <w:sz w:val="20"/>
                <w:szCs w:val="20"/>
              </w:rPr>
            </w:pPr>
          </w:p>
        </w:tc>
        <w:tc>
          <w:tcPr>
            <w:tcW w:w="4320" w:type="dxa"/>
            <w:shd w:val="clear" w:color="auto" w:fill="auto"/>
          </w:tcPr>
          <w:p w:rsidR="00DB6C2F" w:rsidRPr="00A935AA" w:rsidRDefault="007F02D9" w:rsidP="008A16A7">
            <w:pPr>
              <w:keepNext/>
              <w:keepLines/>
              <w:tabs>
                <w:tab w:val="left" w:pos="-1440"/>
                <w:tab w:val="left" w:pos="-720"/>
              </w:tabs>
              <w:rPr>
                <w:b/>
                <w:sz w:val="20"/>
                <w:szCs w:val="20"/>
              </w:rPr>
            </w:pPr>
            <w:r>
              <w:rPr>
                <w:b/>
                <w:sz w:val="20"/>
                <w:szCs w:val="20"/>
              </w:rPr>
              <w:t>James Jeffery et al.</w:t>
            </w:r>
          </w:p>
          <w:p w:rsidR="00DB6C2F" w:rsidRPr="00A935AA" w:rsidRDefault="00DB6C2F" w:rsidP="008A16A7">
            <w:pPr>
              <w:keepNext/>
              <w:keepLines/>
              <w:tabs>
                <w:tab w:val="left" w:pos="-1440"/>
                <w:tab w:val="left" w:pos="-720"/>
              </w:tabs>
              <w:rPr>
                <w:sz w:val="20"/>
                <w:szCs w:val="20"/>
              </w:rPr>
            </w:pPr>
            <w:r w:rsidRPr="00A935AA">
              <w:rPr>
                <w:sz w:val="20"/>
                <w:szCs w:val="20"/>
              </w:rPr>
              <w:tab/>
            </w:r>
            <w:r w:rsidR="007F02D9">
              <w:rPr>
                <w:sz w:val="20"/>
                <w:szCs w:val="20"/>
              </w:rPr>
              <w:t>David B. Williams</w:t>
            </w:r>
          </w:p>
          <w:p w:rsidR="00DB6C2F" w:rsidRPr="00A935AA" w:rsidRDefault="00DB6C2F" w:rsidP="008A16A7">
            <w:pPr>
              <w:keepNext/>
              <w:keepLines/>
              <w:tabs>
                <w:tab w:val="left" w:pos="-1440"/>
                <w:tab w:val="left" w:pos="-720"/>
              </w:tabs>
              <w:rPr>
                <w:sz w:val="20"/>
                <w:szCs w:val="20"/>
              </w:rPr>
            </w:pPr>
            <w:r w:rsidRPr="00A935AA">
              <w:rPr>
                <w:sz w:val="20"/>
                <w:szCs w:val="20"/>
              </w:rPr>
              <w:tab/>
            </w:r>
            <w:r w:rsidR="007F02D9">
              <w:rPr>
                <w:sz w:val="20"/>
                <w:szCs w:val="20"/>
              </w:rPr>
              <w:t>Harrison Pensa LLP</w:t>
            </w:r>
          </w:p>
          <w:p w:rsidR="00DB6C2F" w:rsidRPr="00A935AA" w:rsidRDefault="00DB6C2F" w:rsidP="008A16A7">
            <w:pPr>
              <w:keepNext/>
              <w:keepLines/>
              <w:tabs>
                <w:tab w:val="left" w:pos="-1440"/>
                <w:tab w:val="left" w:pos="-720"/>
              </w:tabs>
              <w:rPr>
                <w:sz w:val="20"/>
                <w:szCs w:val="20"/>
              </w:rPr>
            </w:pPr>
          </w:p>
          <w:p w:rsidR="00DB6C2F" w:rsidRPr="007F02D9" w:rsidRDefault="00DB6C2F" w:rsidP="008A16A7">
            <w:pPr>
              <w:keepNext/>
              <w:keepLines/>
              <w:tabs>
                <w:tab w:val="left" w:pos="-1440"/>
                <w:tab w:val="left" w:pos="-720"/>
              </w:tabs>
              <w:rPr>
                <w:sz w:val="20"/>
                <w:szCs w:val="20"/>
              </w:rPr>
            </w:pPr>
            <w:r w:rsidRPr="00A935AA">
              <w:rPr>
                <w:sz w:val="20"/>
                <w:szCs w:val="20"/>
              </w:rPr>
              <w:tab/>
            </w:r>
            <w:r w:rsidRPr="007F02D9">
              <w:rPr>
                <w:sz w:val="20"/>
                <w:szCs w:val="20"/>
              </w:rPr>
              <w:t>v. (35</w:t>
            </w:r>
            <w:r w:rsidR="00590587">
              <w:rPr>
                <w:sz w:val="20"/>
                <w:szCs w:val="20"/>
              </w:rPr>
              <w:t>791</w:t>
            </w:r>
            <w:r w:rsidRPr="007F02D9">
              <w:rPr>
                <w:sz w:val="20"/>
                <w:szCs w:val="20"/>
              </w:rPr>
              <w:t>)</w:t>
            </w:r>
          </w:p>
          <w:p w:rsidR="00DB6C2F" w:rsidRPr="007F02D9" w:rsidRDefault="00DB6C2F" w:rsidP="008A16A7">
            <w:pPr>
              <w:keepNext/>
              <w:keepLines/>
              <w:tabs>
                <w:tab w:val="left" w:pos="-1440"/>
                <w:tab w:val="left" w:pos="-720"/>
              </w:tabs>
              <w:rPr>
                <w:sz w:val="20"/>
                <w:szCs w:val="20"/>
              </w:rPr>
            </w:pPr>
          </w:p>
          <w:p w:rsidR="00DB6C2F" w:rsidRPr="007F02D9" w:rsidRDefault="00590587" w:rsidP="008A16A7">
            <w:pPr>
              <w:keepNext/>
              <w:keepLines/>
              <w:tabs>
                <w:tab w:val="left" w:pos="-1440"/>
                <w:tab w:val="left" w:pos="-720"/>
              </w:tabs>
              <w:rPr>
                <w:b/>
                <w:sz w:val="20"/>
                <w:szCs w:val="20"/>
              </w:rPr>
            </w:pPr>
            <w:r>
              <w:rPr>
                <w:b/>
                <w:sz w:val="20"/>
                <w:szCs w:val="20"/>
              </w:rPr>
              <w:t xml:space="preserve">London Life Insurance Company et al. </w:t>
            </w:r>
            <w:r w:rsidR="00DB6C2F" w:rsidRPr="007F02D9">
              <w:rPr>
                <w:b/>
                <w:sz w:val="20"/>
                <w:szCs w:val="20"/>
              </w:rPr>
              <w:t>(Ont.)</w:t>
            </w:r>
          </w:p>
          <w:p w:rsidR="00DB6C2F" w:rsidRPr="007F02D9" w:rsidRDefault="00DB6C2F" w:rsidP="008A16A7">
            <w:pPr>
              <w:keepNext/>
              <w:keepLines/>
              <w:tabs>
                <w:tab w:val="left" w:pos="-1440"/>
                <w:tab w:val="left" w:pos="-720"/>
              </w:tabs>
              <w:rPr>
                <w:sz w:val="20"/>
                <w:szCs w:val="20"/>
              </w:rPr>
            </w:pPr>
            <w:r w:rsidRPr="007F02D9">
              <w:rPr>
                <w:sz w:val="20"/>
                <w:szCs w:val="20"/>
              </w:rPr>
              <w:tab/>
            </w:r>
            <w:r w:rsidR="00590587">
              <w:rPr>
                <w:sz w:val="20"/>
                <w:szCs w:val="20"/>
              </w:rPr>
              <w:t>Sheila R. Block</w:t>
            </w:r>
          </w:p>
          <w:p w:rsidR="00DB6C2F" w:rsidRPr="007F02D9" w:rsidRDefault="00DB6C2F" w:rsidP="008A16A7">
            <w:pPr>
              <w:keepNext/>
              <w:keepLines/>
              <w:tabs>
                <w:tab w:val="left" w:pos="-1440"/>
                <w:tab w:val="left" w:pos="-720"/>
              </w:tabs>
              <w:rPr>
                <w:sz w:val="20"/>
                <w:szCs w:val="20"/>
              </w:rPr>
            </w:pPr>
            <w:r w:rsidRPr="007F02D9">
              <w:rPr>
                <w:sz w:val="20"/>
                <w:szCs w:val="20"/>
              </w:rPr>
              <w:tab/>
            </w:r>
            <w:r w:rsidR="00590587">
              <w:rPr>
                <w:sz w:val="20"/>
                <w:szCs w:val="20"/>
              </w:rPr>
              <w:t>Torys LLP</w:t>
            </w:r>
          </w:p>
          <w:p w:rsidR="00DB6C2F" w:rsidRPr="007F02D9" w:rsidRDefault="00DB6C2F" w:rsidP="008A16A7">
            <w:pPr>
              <w:keepNext/>
              <w:keepLines/>
              <w:tabs>
                <w:tab w:val="left" w:pos="-1440"/>
                <w:tab w:val="left" w:pos="-720"/>
              </w:tabs>
              <w:rPr>
                <w:sz w:val="20"/>
                <w:szCs w:val="20"/>
              </w:rPr>
            </w:pPr>
          </w:p>
          <w:p w:rsidR="00DB6C2F" w:rsidRPr="00A935AA" w:rsidRDefault="00DB6C2F" w:rsidP="00590587">
            <w:pPr>
              <w:rPr>
                <w:sz w:val="20"/>
                <w:szCs w:val="20"/>
              </w:rPr>
            </w:pPr>
            <w:r w:rsidRPr="00A935AA">
              <w:rPr>
                <w:sz w:val="20"/>
                <w:szCs w:val="20"/>
              </w:rPr>
              <w:t>FILING DATE: 2</w:t>
            </w:r>
            <w:r w:rsidR="00590587">
              <w:rPr>
                <w:sz w:val="20"/>
                <w:szCs w:val="20"/>
              </w:rPr>
              <w:t>6</w:t>
            </w:r>
            <w:r w:rsidRPr="00A935AA">
              <w:rPr>
                <w:sz w:val="20"/>
                <w:szCs w:val="20"/>
              </w:rPr>
              <w:t>.0</w:t>
            </w:r>
            <w:r>
              <w:rPr>
                <w:sz w:val="20"/>
                <w:szCs w:val="20"/>
              </w:rPr>
              <w:t>3</w:t>
            </w:r>
            <w:r w:rsidRPr="00A935AA">
              <w:rPr>
                <w:sz w:val="20"/>
                <w:szCs w:val="20"/>
              </w:rPr>
              <w:t>.201</w:t>
            </w:r>
            <w:r>
              <w:rPr>
                <w:sz w:val="20"/>
                <w:szCs w:val="20"/>
              </w:rPr>
              <w:t>4</w:t>
            </w:r>
            <w:r w:rsidR="00BF31AA">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7304C">
          <w:headerReference w:type="default" r:id="rId16"/>
          <w:footerReference w:type="default" r:id="rId17"/>
          <w:headerReference w:type="first" r:id="rId18"/>
          <w:footerReference w:type="first" r:id="rId19"/>
          <w:pgSz w:w="12240" w:h="15840"/>
          <w:pgMar w:top="720" w:right="965" w:bottom="1080" w:left="1656" w:header="706" w:footer="706" w:gutter="0"/>
          <w:pgNumType w:start="63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F31A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8A16A7" w:rsidP="004B7F60">
      <w:pPr>
        <w:widowControl w:val="0"/>
        <w:rPr>
          <w:b/>
          <w:sz w:val="20"/>
          <w:szCs w:val="20"/>
        </w:rPr>
      </w:pPr>
      <w:r>
        <w:rPr>
          <w:b/>
          <w:sz w:val="20"/>
          <w:szCs w:val="20"/>
        </w:rPr>
        <w:t>AP</w:t>
      </w:r>
      <w:r w:rsidR="00DE349D">
        <w:rPr>
          <w:b/>
          <w:sz w:val="20"/>
          <w:szCs w:val="20"/>
        </w:rPr>
        <w:t>R</w:t>
      </w:r>
      <w:r>
        <w:rPr>
          <w:b/>
          <w:sz w:val="20"/>
          <w:szCs w:val="20"/>
        </w:rPr>
        <w:t>IL</w:t>
      </w:r>
      <w:r w:rsidR="00F761A3">
        <w:rPr>
          <w:b/>
          <w:sz w:val="20"/>
          <w:szCs w:val="20"/>
        </w:rPr>
        <w:t xml:space="preserve"> </w:t>
      </w:r>
      <w:r>
        <w:rPr>
          <w:b/>
          <w:sz w:val="20"/>
          <w:szCs w:val="20"/>
        </w:rPr>
        <w:t>7</w:t>
      </w:r>
      <w:r w:rsidR="004B7F60" w:rsidRPr="00C50A5C">
        <w:rPr>
          <w:b/>
          <w:sz w:val="20"/>
          <w:szCs w:val="20"/>
        </w:rPr>
        <w:t>, 201</w:t>
      </w:r>
      <w:r>
        <w:rPr>
          <w:b/>
          <w:sz w:val="20"/>
          <w:szCs w:val="20"/>
        </w:rPr>
        <w:t>4</w:t>
      </w:r>
      <w:r w:rsidR="004B7F60" w:rsidRPr="00C50A5C">
        <w:rPr>
          <w:b/>
          <w:sz w:val="20"/>
          <w:szCs w:val="20"/>
        </w:rPr>
        <w:t xml:space="preserve"> / LE </w:t>
      </w:r>
      <w:r>
        <w:rPr>
          <w:b/>
          <w:sz w:val="20"/>
          <w:szCs w:val="20"/>
        </w:rPr>
        <w:t>7</w:t>
      </w:r>
      <w:r w:rsidR="004B7F60">
        <w:rPr>
          <w:b/>
          <w:sz w:val="20"/>
          <w:szCs w:val="20"/>
        </w:rPr>
        <w:t xml:space="preserve"> </w:t>
      </w:r>
      <w:r>
        <w:rPr>
          <w:b/>
          <w:sz w:val="20"/>
          <w:szCs w:val="20"/>
        </w:rPr>
        <w:t>AV</w:t>
      </w:r>
      <w:r w:rsidR="004B7F60">
        <w:rPr>
          <w:b/>
          <w:sz w:val="20"/>
          <w:szCs w:val="20"/>
        </w:rPr>
        <w:t>R</w:t>
      </w:r>
      <w:r>
        <w:rPr>
          <w:b/>
          <w:sz w:val="20"/>
          <w:szCs w:val="20"/>
        </w:rPr>
        <w:t>IL</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927F5A" w:rsidP="004B7F60">
      <w:pPr>
        <w:pStyle w:val="ListParagraph"/>
        <w:widowControl w:val="0"/>
        <w:numPr>
          <w:ilvl w:val="0"/>
          <w:numId w:val="1"/>
        </w:numPr>
        <w:ind w:hanging="720"/>
        <w:jc w:val="both"/>
        <w:rPr>
          <w:sz w:val="20"/>
          <w:szCs w:val="20"/>
        </w:rPr>
      </w:pPr>
      <w:r w:rsidRPr="00927F5A">
        <w:rPr>
          <w:i/>
          <w:sz w:val="20"/>
          <w:szCs w:val="20"/>
        </w:rPr>
        <w:t>William Robertson v. Minister of Justice</w:t>
      </w:r>
      <w:r w:rsidRPr="00927F5A">
        <w:rPr>
          <w:sz w:val="20"/>
          <w:szCs w:val="20"/>
        </w:rPr>
        <w:t xml:space="preserve"> (B.C.) (Crim.) (By Leave)</w:t>
      </w:r>
      <w:r w:rsidR="004B7F60" w:rsidRPr="00C50A5C">
        <w:rPr>
          <w:sz w:val="20"/>
          <w:szCs w:val="20"/>
        </w:rPr>
        <w:t xml:space="preserve"> (3</w:t>
      </w:r>
      <w:r w:rsidR="008A16A7">
        <w:rPr>
          <w:sz w:val="20"/>
          <w:szCs w:val="20"/>
        </w:rPr>
        <w:t>5658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27F5A" w:rsidP="004B7F60">
      <w:pPr>
        <w:pStyle w:val="ListParagraph"/>
        <w:widowControl w:val="0"/>
        <w:numPr>
          <w:ilvl w:val="0"/>
          <w:numId w:val="1"/>
        </w:numPr>
        <w:ind w:hanging="720"/>
        <w:jc w:val="both"/>
        <w:rPr>
          <w:sz w:val="20"/>
          <w:szCs w:val="20"/>
        </w:rPr>
      </w:pPr>
      <w:r w:rsidRPr="00927F5A">
        <w:rPr>
          <w:i/>
          <w:sz w:val="20"/>
          <w:szCs w:val="20"/>
        </w:rPr>
        <w:t>Forrest C. Higgins, Jr. v. Attorney General of Nova Scotia representing Her Majesty the Queen in right of the Province of Nova Scotia et al.</w:t>
      </w:r>
      <w:r w:rsidRPr="00927F5A">
        <w:rPr>
          <w:sz w:val="20"/>
          <w:szCs w:val="20"/>
        </w:rPr>
        <w:t xml:space="preserve"> (N.S.) (Civil) (By Leave)</w:t>
      </w:r>
      <w:r w:rsidRPr="00C612D0">
        <w:rPr>
          <w:sz w:val="20"/>
          <w:szCs w:val="20"/>
        </w:rPr>
        <w:t xml:space="preserve"> </w:t>
      </w:r>
      <w:r w:rsidR="004B7F60" w:rsidRPr="00C612D0">
        <w:rPr>
          <w:sz w:val="20"/>
          <w:szCs w:val="20"/>
        </w:rPr>
        <w:t>(3</w:t>
      </w:r>
      <w:r w:rsidR="008A16A7">
        <w:rPr>
          <w:sz w:val="20"/>
          <w:szCs w:val="20"/>
        </w:rPr>
        <w:t>5734</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927F5A" w:rsidP="004B7F60">
      <w:pPr>
        <w:pStyle w:val="ListParagraph"/>
        <w:widowControl w:val="0"/>
        <w:numPr>
          <w:ilvl w:val="0"/>
          <w:numId w:val="1"/>
        </w:numPr>
        <w:ind w:hanging="720"/>
        <w:jc w:val="both"/>
        <w:rPr>
          <w:sz w:val="20"/>
          <w:szCs w:val="20"/>
        </w:rPr>
      </w:pPr>
      <w:r w:rsidRPr="00927F5A">
        <w:rPr>
          <w:i/>
          <w:sz w:val="20"/>
          <w:szCs w:val="20"/>
        </w:rPr>
        <w:t>I.J. v. J.A.M</w:t>
      </w:r>
      <w:r w:rsidRPr="00927F5A">
        <w:rPr>
          <w:sz w:val="20"/>
          <w:szCs w:val="20"/>
        </w:rPr>
        <w:t xml:space="preserve"> (B.C.) (Civil) (By Leave)</w:t>
      </w:r>
      <w:r w:rsidRPr="00940CAD">
        <w:rPr>
          <w:sz w:val="20"/>
          <w:szCs w:val="20"/>
        </w:rPr>
        <w:t xml:space="preserve"> </w:t>
      </w:r>
      <w:r w:rsidR="004B7F60" w:rsidRPr="00940CAD">
        <w:rPr>
          <w:sz w:val="20"/>
          <w:szCs w:val="20"/>
        </w:rPr>
        <w:t>(3</w:t>
      </w:r>
      <w:r w:rsidR="008A16A7">
        <w:rPr>
          <w:sz w:val="20"/>
          <w:szCs w:val="20"/>
        </w:rPr>
        <w:t>57</w:t>
      </w:r>
      <w:r w:rsidR="004B7F60" w:rsidRPr="00940CAD">
        <w:rPr>
          <w:sz w:val="20"/>
          <w:szCs w:val="20"/>
        </w:rPr>
        <w:t>36)</w:t>
      </w:r>
    </w:p>
    <w:p w:rsidR="004B7F60" w:rsidRDefault="004B7F60" w:rsidP="004B7F60">
      <w:pPr>
        <w:widowControl w:val="0"/>
        <w:rPr>
          <w:sz w:val="20"/>
          <w:szCs w:val="20"/>
        </w:rPr>
      </w:pPr>
    </w:p>
    <w:p w:rsidR="008A16A7" w:rsidRDefault="008A16A7" w:rsidP="004B7F60">
      <w:pPr>
        <w:widowControl w:val="0"/>
        <w:rPr>
          <w:sz w:val="20"/>
          <w:szCs w:val="20"/>
        </w:rPr>
      </w:pPr>
    </w:p>
    <w:p w:rsidR="008A16A7" w:rsidRPr="00C50A5C" w:rsidRDefault="008A16A7" w:rsidP="008A16A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8A16A7" w:rsidRPr="00C50A5C" w:rsidRDefault="008A16A7" w:rsidP="008A16A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8A16A7" w:rsidRPr="008A16A7" w:rsidRDefault="008A16A7" w:rsidP="004B7F60">
      <w:pPr>
        <w:widowControl w:val="0"/>
        <w:rPr>
          <w:sz w:val="20"/>
          <w:szCs w:val="20"/>
          <w:lang w:val="fr-CA"/>
        </w:rPr>
      </w:pPr>
    </w:p>
    <w:p w:rsidR="004B7F60" w:rsidRPr="00C50A5C" w:rsidRDefault="00927F5A" w:rsidP="004B7F60">
      <w:pPr>
        <w:pStyle w:val="ListParagraph"/>
        <w:widowControl w:val="0"/>
        <w:numPr>
          <w:ilvl w:val="0"/>
          <w:numId w:val="1"/>
        </w:numPr>
        <w:ind w:hanging="720"/>
        <w:jc w:val="both"/>
        <w:rPr>
          <w:sz w:val="20"/>
          <w:szCs w:val="20"/>
        </w:rPr>
      </w:pPr>
      <w:r w:rsidRPr="00927F5A">
        <w:rPr>
          <w:i/>
          <w:sz w:val="20"/>
          <w:szCs w:val="20"/>
        </w:rPr>
        <w:t>Richwood Adjei v. Her Majesty the Queen</w:t>
      </w:r>
      <w:r w:rsidRPr="00927F5A">
        <w:rPr>
          <w:sz w:val="20"/>
          <w:szCs w:val="20"/>
        </w:rPr>
        <w:t xml:space="preserve"> (Ont.) (Crim.) (By Leave)</w:t>
      </w:r>
      <w:r w:rsidRPr="00C50A5C">
        <w:rPr>
          <w:sz w:val="20"/>
          <w:szCs w:val="20"/>
        </w:rPr>
        <w:t xml:space="preserve"> </w:t>
      </w:r>
      <w:r w:rsidR="004B7F60" w:rsidRPr="00C50A5C">
        <w:rPr>
          <w:sz w:val="20"/>
          <w:szCs w:val="20"/>
        </w:rPr>
        <w:t>(3</w:t>
      </w:r>
      <w:r w:rsidR="008A16A7">
        <w:rPr>
          <w:sz w:val="20"/>
          <w:szCs w:val="20"/>
        </w:rPr>
        <w:t>5747</w:t>
      </w:r>
      <w:r w:rsidR="004B7F60" w:rsidRPr="00C50A5C">
        <w:rPr>
          <w:sz w:val="20"/>
          <w:szCs w:val="20"/>
        </w:rPr>
        <w:t>)</w:t>
      </w:r>
    </w:p>
    <w:p w:rsidR="004B7F60" w:rsidRDefault="004B7F60" w:rsidP="004B7F60">
      <w:pPr>
        <w:widowControl w:val="0"/>
        <w:jc w:val="both"/>
        <w:rPr>
          <w:sz w:val="20"/>
          <w:szCs w:val="20"/>
        </w:rPr>
      </w:pPr>
    </w:p>
    <w:p w:rsidR="004B7F60" w:rsidRPr="00927F5A" w:rsidRDefault="00927F5A" w:rsidP="004B7F60">
      <w:pPr>
        <w:pStyle w:val="ListParagraph"/>
        <w:widowControl w:val="0"/>
        <w:numPr>
          <w:ilvl w:val="0"/>
          <w:numId w:val="1"/>
        </w:numPr>
        <w:ind w:hanging="720"/>
        <w:jc w:val="both"/>
        <w:rPr>
          <w:sz w:val="20"/>
          <w:szCs w:val="20"/>
        </w:rPr>
      </w:pPr>
      <w:r w:rsidRPr="00927F5A">
        <w:rPr>
          <w:i/>
          <w:sz w:val="20"/>
          <w:szCs w:val="20"/>
        </w:rPr>
        <w:t>David Pearlman v. Phelps Leasing Ltd. et al.</w:t>
      </w:r>
      <w:r w:rsidRPr="00927F5A">
        <w:rPr>
          <w:sz w:val="20"/>
          <w:szCs w:val="20"/>
        </w:rPr>
        <w:t xml:space="preserve"> (B.C.) (Civil) (By Leave) </w:t>
      </w:r>
      <w:r w:rsidR="004B7F60" w:rsidRPr="00927F5A">
        <w:rPr>
          <w:sz w:val="20"/>
          <w:szCs w:val="20"/>
        </w:rPr>
        <w:t>(3</w:t>
      </w:r>
      <w:r w:rsidR="008A16A7" w:rsidRPr="00927F5A">
        <w:rPr>
          <w:sz w:val="20"/>
          <w:szCs w:val="20"/>
        </w:rPr>
        <w:t>5235</w:t>
      </w:r>
      <w:r w:rsidR="004B7F60" w:rsidRPr="00927F5A">
        <w:rPr>
          <w:sz w:val="20"/>
          <w:szCs w:val="20"/>
        </w:rPr>
        <w:t>)</w:t>
      </w:r>
    </w:p>
    <w:p w:rsidR="004B7F60" w:rsidRPr="00927F5A" w:rsidRDefault="004B7F60" w:rsidP="004B7F60">
      <w:pPr>
        <w:widowControl w:val="0"/>
        <w:rPr>
          <w:sz w:val="20"/>
          <w:szCs w:val="20"/>
        </w:rPr>
      </w:pPr>
    </w:p>
    <w:p w:rsidR="004B7F60" w:rsidRPr="00927F5A" w:rsidRDefault="00927F5A" w:rsidP="004B7F60">
      <w:pPr>
        <w:pStyle w:val="ListParagraph"/>
        <w:widowControl w:val="0"/>
        <w:numPr>
          <w:ilvl w:val="0"/>
          <w:numId w:val="1"/>
        </w:numPr>
        <w:ind w:hanging="720"/>
        <w:jc w:val="both"/>
        <w:rPr>
          <w:sz w:val="20"/>
          <w:szCs w:val="20"/>
        </w:rPr>
      </w:pPr>
      <w:r w:rsidRPr="00927F5A">
        <w:rPr>
          <w:i/>
          <w:sz w:val="20"/>
          <w:szCs w:val="20"/>
        </w:rPr>
        <w:t>Allan George Bassenden v. City of Saint-Lazare</w:t>
      </w:r>
      <w:r w:rsidRPr="00927F5A">
        <w:rPr>
          <w:sz w:val="20"/>
          <w:szCs w:val="20"/>
        </w:rPr>
        <w:t xml:space="preserve"> (Que.) (Civil) (By Leave) </w:t>
      </w:r>
      <w:r w:rsidR="004B7F60" w:rsidRPr="00927F5A">
        <w:rPr>
          <w:sz w:val="20"/>
          <w:szCs w:val="20"/>
        </w:rPr>
        <w:t>(35</w:t>
      </w:r>
      <w:r w:rsidR="008A16A7" w:rsidRPr="00927F5A">
        <w:rPr>
          <w:sz w:val="20"/>
          <w:szCs w:val="20"/>
        </w:rPr>
        <w:t>753</w:t>
      </w:r>
      <w:r w:rsidR="004B7F60" w:rsidRPr="00927F5A">
        <w:rPr>
          <w:sz w:val="20"/>
          <w:szCs w:val="20"/>
        </w:rPr>
        <w:t>)</w:t>
      </w:r>
    </w:p>
    <w:p w:rsidR="004B7F60" w:rsidRPr="00927F5A" w:rsidRDefault="004B7F60" w:rsidP="004B7F60">
      <w:pPr>
        <w:widowControl w:val="0"/>
        <w:jc w:val="both"/>
        <w:rPr>
          <w:sz w:val="20"/>
          <w:szCs w:val="20"/>
        </w:rPr>
      </w:pPr>
    </w:p>
    <w:p w:rsidR="008A16A7" w:rsidRPr="00927F5A" w:rsidRDefault="008A16A7" w:rsidP="004B7F60">
      <w:pPr>
        <w:widowControl w:val="0"/>
        <w:jc w:val="both"/>
        <w:rPr>
          <w:sz w:val="20"/>
          <w:szCs w:val="20"/>
        </w:rPr>
      </w:pPr>
    </w:p>
    <w:p w:rsidR="008A16A7" w:rsidRPr="00C50A5C" w:rsidRDefault="008A16A7" w:rsidP="008A16A7">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8A16A7" w:rsidRPr="00C50A5C" w:rsidRDefault="008A16A7" w:rsidP="008A16A7">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8A16A7" w:rsidRPr="00115C9E" w:rsidRDefault="008A16A7" w:rsidP="004B7F60">
      <w:pPr>
        <w:widowControl w:val="0"/>
        <w:jc w:val="both"/>
        <w:rPr>
          <w:sz w:val="20"/>
          <w:szCs w:val="20"/>
          <w:lang w:val="fr-CA"/>
        </w:rPr>
      </w:pPr>
    </w:p>
    <w:p w:rsidR="004B7F60" w:rsidRPr="00927F5A" w:rsidRDefault="00927F5A" w:rsidP="004B7F60">
      <w:pPr>
        <w:pStyle w:val="ListParagraph"/>
        <w:widowControl w:val="0"/>
        <w:numPr>
          <w:ilvl w:val="0"/>
          <w:numId w:val="1"/>
        </w:numPr>
        <w:ind w:hanging="720"/>
        <w:jc w:val="both"/>
        <w:rPr>
          <w:sz w:val="20"/>
          <w:szCs w:val="20"/>
        </w:rPr>
      </w:pPr>
      <w:r w:rsidRPr="00927F5A">
        <w:rPr>
          <w:i/>
          <w:sz w:val="20"/>
          <w:szCs w:val="20"/>
        </w:rPr>
        <w:t>Stevan Ellis v. Her Majesty the Queen</w:t>
      </w:r>
      <w:r w:rsidRPr="00927F5A">
        <w:rPr>
          <w:sz w:val="20"/>
          <w:szCs w:val="20"/>
        </w:rPr>
        <w:t xml:space="preserve"> (Ont.) (Crim.) (By Leave) </w:t>
      </w:r>
      <w:r w:rsidR="004B7F60" w:rsidRPr="00927F5A">
        <w:rPr>
          <w:sz w:val="20"/>
          <w:szCs w:val="20"/>
        </w:rPr>
        <w:t>(35</w:t>
      </w:r>
      <w:r w:rsidR="008A16A7" w:rsidRPr="00927F5A">
        <w:rPr>
          <w:sz w:val="20"/>
          <w:szCs w:val="20"/>
        </w:rPr>
        <w:t>6</w:t>
      </w:r>
      <w:r w:rsidR="004B7F60" w:rsidRPr="00927F5A">
        <w:rPr>
          <w:sz w:val="20"/>
          <w:szCs w:val="20"/>
        </w:rPr>
        <w:t>4</w:t>
      </w:r>
      <w:r w:rsidR="008A16A7" w:rsidRPr="00927F5A">
        <w:rPr>
          <w:sz w:val="20"/>
          <w:szCs w:val="20"/>
        </w:rPr>
        <w:t>9</w:t>
      </w:r>
      <w:r w:rsidR="004B7F60" w:rsidRPr="00927F5A">
        <w:rPr>
          <w:sz w:val="20"/>
          <w:szCs w:val="20"/>
        </w:rPr>
        <w:t>)</w:t>
      </w:r>
    </w:p>
    <w:p w:rsidR="004B7F60" w:rsidRPr="00927F5A" w:rsidRDefault="004B7F60" w:rsidP="004B7F60">
      <w:pPr>
        <w:widowControl w:val="0"/>
        <w:jc w:val="both"/>
        <w:rPr>
          <w:sz w:val="20"/>
          <w:szCs w:val="20"/>
        </w:rPr>
      </w:pPr>
    </w:p>
    <w:p w:rsidR="004B7F60" w:rsidRPr="00927F5A" w:rsidRDefault="00927F5A" w:rsidP="004B7F60">
      <w:pPr>
        <w:pStyle w:val="ListParagraph"/>
        <w:widowControl w:val="0"/>
        <w:numPr>
          <w:ilvl w:val="0"/>
          <w:numId w:val="1"/>
        </w:numPr>
        <w:ind w:hanging="720"/>
        <w:jc w:val="both"/>
        <w:rPr>
          <w:sz w:val="20"/>
          <w:szCs w:val="20"/>
        </w:rPr>
      </w:pPr>
      <w:r w:rsidRPr="00927F5A">
        <w:rPr>
          <w:i/>
          <w:sz w:val="20"/>
          <w:szCs w:val="20"/>
        </w:rPr>
        <w:t>Ade Olumide v. Her Majesty the Queen in Right of Canada</w:t>
      </w:r>
      <w:r w:rsidRPr="00927F5A">
        <w:rPr>
          <w:sz w:val="20"/>
          <w:szCs w:val="20"/>
        </w:rPr>
        <w:t xml:space="preserve"> (F.C.) (Civil) (By Leave) </w:t>
      </w:r>
      <w:r w:rsidR="004B7F60" w:rsidRPr="00927F5A">
        <w:rPr>
          <w:sz w:val="20"/>
          <w:szCs w:val="20"/>
        </w:rPr>
        <w:t>(3</w:t>
      </w:r>
      <w:r w:rsidR="008A16A7" w:rsidRPr="00927F5A">
        <w:rPr>
          <w:sz w:val="20"/>
          <w:szCs w:val="20"/>
        </w:rPr>
        <w:t>57</w:t>
      </w:r>
      <w:r w:rsidR="004B7F60" w:rsidRPr="00927F5A">
        <w:rPr>
          <w:sz w:val="20"/>
          <w:szCs w:val="20"/>
        </w:rPr>
        <w:t>43)</w:t>
      </w:r>
    </w:p>
    <w:p w:rsidR="004B7F60" w:rsidRPr="00927F5A" w:rsidRDefault="004B7F60" w:rsidP="004B7F60">
      <w:pPr>
        <w:widowControl w:val="0"/>
        <w:rPr>
          <w:sz w:val="20"/>
          <w:szCs w:val="20"/>
        </w:rPr>
      </w:pPr>
    </w:p>
    <w:p w:rsidR="004B7F60" w:rsidRPr="008A16A7" w:rsidRDefault="00927F5A" w:rsidP="004B7F60">
      <w:pPr>
        <w:pStyle w:val="ListParagraph"/>
        <w:widowControl w:val="0"/>
        <w:numPr>
          <w:ilvl w:val="0"/>
          <w:numId w:val="1"/>
        </w:numPr>
        <w:ind w:hanging="720"/>
        <w:jc w:val="both"/>
        <w:rPr>
          <w:sz w:val="20"/>
          <w:szCs w:val="20"/>
        </w:rPr>
      </w:pPr>
      <w:r w:rsidRPr="00927F5A">
        <w:rPr>
          <w:i/>
          <w:sz w:val="20"/>
          <w:szCs w:val="20"/>
        </w:rPr>
        <w:t>MasterCard International Inc. v. The Aldo Group Inc. et al.</w:t>
      </w:r>
      <w:r w:rsidRPr="00927F5A">
        <w:rPr>
          <w:sz w:val="20"/>
          <w:szCs w:val="20"/>
        </w:rPr>
        <w:t xml:space="preserve"> (Ont.) (Civil) (By Leave)</w:t>
      </w:r>
      <w:r w:rsidRPr="008A16A7">
        <w:rPr>
          <w:sz w:val="20"/>
          <w:szCs w:val="20"/>
        </w:rPr>
        <w:t xml:space="preserve"> </w:t>
      </w:r>
      <w:r w:rsidR="004B7F60" w:rsidRPr="008A16A7">
        <w:rPr>
          <w:sz w:val="20"/>
          <w:szCs w:val="20"/>
        </w:rPr>
        <w:t>(3</w:t>
      </w:r>
      <w:r>
        <w:rPr>
          <w:sz w:val="20"/>
          <w:szCs w:val="20"/>
        </w:rPr>
        <w:t>5700</w:t>
      </w:r>
      <w:r w:rsidR="004B7F60" w:rsidRPr="008A16A7">
        <w:rPr>
          <w:sz w:val="20"/>
          <w:szCs w:val="20"/>
        </w:rPr>
        <w:t>)</w:t>
      </w:r>
    </w:p>
    <w:p w:rsidR="002E2327" w:rsidRPr="008A16A7" w:rsidRDefault="002E2327" w:rsidP="002E2327">
      <w:pPr>
        <w:widowControl w:val="0"/>
        <w:rPr>
          <w:sz w:val="20"/>
          <w:szCs w:val="20"/>
        </w:rPr>
      </w:pPr>
    </w:p>
    <w:p w:rsidR="002E2327" w:rsidRDefault="00BF31AA"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F31AA"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sidRPr="00C50A5C">
        <w:rPr>
          <w:b/>
          <w:sz w:val="20"/>
          <w:szCs w:val="20"/>
        </w:rPr>
        <w:t>A</w:t>
      </w:r>
      <w:r w:rsidR="00243043">
        <w:rPr>
          <w:b/>
          <w:sz w:val="20"/>
          <w:szCs w:val="20"/>
        </w:rPr>
        <w:t>PRIL</w:t>
      </w:r>
      <w:r w:rsidRPr="00C50A5C">
        <w:rPr>
          <w:b/>
          <w:sz w:val="20"/>
          <w:szCs w:val="20"/>
        </w:rPr>
        <w:t xml:space="preserve"> </w:t>
      </w:r>
      <w:r w:rsidR="00243043">
        <w:rPr>
          <w:b/>
          <w:sz w:val="20"/>
          <w:szCs w:val="20"/>
        </w:rPr>
        <w:t>10</w:t>
      </w:r>
      <w:r w:rsidRPr="00C50A5C">
        <w:rPr>
          <w:b/>
          <w:sz w:val="20"/>
          <w:szCs w:val="20"/>
        </w:rPr>
        <w:t>, 201</w:t>
      </w:r>
      <w:r w:rsidR="00243043">
        <w:rPr>
          <w:b/>
          <w:sz w:val="20"/>
          <w:szCs w:val="20"/>
        </w:rPr>
        <w:t>4</w:t>
      </w:r>
      <w:r w:rsidRPr="00C50A5C">
        <w:rPr>
          <w:b/>
          <w:sz w:val="20"/>
          <w:szCs w:val="20"/>
        </w:rPr>
        <w:t xml:space="preserve"> / LE </w:t>
      </w:r>
      <w:r w:rsidR="00243043">
        <w:rPr>
          <w:b/>
          <w:sz w:val="20"/>
          <w:szCs w:val="20"/>
        </w:rPr>
        <w:t>10</w:t>
      </w:r>
      <w:r w:rsidRPr="00C50A5C">
        <w:rPr>
          <w:b/>
          <w:sz w:val="20"/>
          <w:szCs w:val="20"/>
        </w:rPr>
        <w:t xml:space="preserve"> A</w:t>
      </w:r>
      <w:r w:rsidR="00243043">
        <w:rPr>
          <w:b/>
          <w:sz w:val="20"/>
          <w:szCs w:val="20"/>
        </w:rPr>
        <w:t>VR</w:t>
      </w:r>
      <w:r w:rsidRPr="00C50A5C">
        <w:rPr>
          <w:b/>
          <w:sz w:val="20"/>
          <w:szCs w:val="20"/>
        </w:rPr>
        <w:t>I</w:t>
      </w:r>
      <w:r w:rsidR="00243043">
        <w:rPr>
          <w:b/>
          <w:sz w:val="20"/>
          <w:szCs w:val="20"/>
        </w:rPr>
        <w:t>L</w:t>
      </w:r>
      <w:r w:rsidRPr="00C50A5C">
        <w:rPr>
          <w:b/>
          <w:sz w:val="20"/>
          <w:szCs w:val="20"/>
        </w:rPr>
        <w:t xml:space="preserve"> 201</w:t>
      </w:r>
      <w:r w:rsidR="00243043">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7600" w:rsidRPr="001F7600" w:rsidTr="00D16260">
        <w:trPr>
          <w:cantSplit/>
        </w:trPr>
        <w:tc>
          <w:tcPr>
            <w:tcW w:w="1458" w:type="dxa"/>
          </w:tcPr>
          <w:p w:rsidR="001F7600" w:rsidRPr="001F7600" w:rsidRDefault="001F7600" w:rsidP="001F7600">
            <w:pPr>
              <w:rPr>
                <w:sz w:val="20"/>
              </w:rPr>
            </w:pPr>
            <w:r w:rsidRPr="001F7600">
              <w:rPr>
                <w:b/>
                <w:sz w:val="20"/>
                <w:lang w:val="fr-CA"/>
              </w:rPr>
              <w:t>35624</w:t>
            </w:r>
          </w:p>
          <w:p w:rsidR="001F7600" w:rsidRPr="001F7600" w:rsidRDefault="001F7600" w:rsidP="001F7600">
            <w:pPr>
              <w:rPr>
                <w:b/>
                <w:sz w:val="20"/>
                <w:lang w:val="fr-CA"/>
              </w:rPr>
            </w:pPr>
          </w:p>
        </w:tc>
        <w:tc>
          <w:tcPr>
            <w:tcW w:w="8118" w:type="dxa"/>
          </w:tcPr>
          <w:p w:rsidR="001F7600" w:rsidRPr="001F7600" w:rsidRDefault="001F7600" w:rsidP="001F7600">
            <w:pPr>
              <w:jc w:val="both"/>
              <w:rPr>
                <w:sz w:val="20"/>
              </w:rPr>
            </w:pPr>
            <w:r w:rsidRPr="001F7600">
              <w:rPr>
                <w:b/>
                <w:sz w:val="20"/>
                <w:u w:val="single"/>
              </w:rPr>
              <w:t>ATCO Gas and Pipelines Ltd.</w:t>
            </w:r>
            <w:r w:rsidR="0062505E">
              <w:rPr>
                <w:b/>
                <w:sz w:val="20"/>
                <w:u w:val="single"/>
              </w:rPr>
              <w:t xml:space="preserve"> and</w:t>
            </w:r>
            <w:r w:rsidRPr="001F7600">
              <w:rPr>
                <w:b/>
                <w:sz w:val="20"/>
                <w:u w:val="single"/>
              </w:rPr>
              <w:t xml:space="preserve"> ATCO Electric Ltd. v. Alberta Utilities Commission</w:t>
            </w:r>
            <w:r w:rsidR="0062505E">
              <w:rPr>
                <w:b/>
                <w:sz w:val="20"/>
                <w:u w:val="single"/>
              </w:rPr>
              <w:t xml:space="preserve"> and</w:t>
            </w:r>
            <w:r w:rsidRPr="001F7600">
              <w:rPr>
                <w:b/>
                <w:sz w:val="20"/>
                <w:u w:val="single"/>
              </w:rPr>
              <w:t xml:space="preserve"> Office of the Utilities Consumer Advocate of Alberta</w:t>
            </w:r>
            <w:r w:rsidRPr="001F7600">
              <w:rPr>
                <w:sz w:val="20"/>
              </w:rPr>
              <w:t xml:space="preserve"> (Alta.) (Civil) (By Leave)</w:t>
            </w:r>
          </w:p>
          <w:p w:rsidR="001F7600" w:rsidRPr="001F7600" w:rsidRDefault="001F7600" w:rsidP="001F7600">
            <w:pPr>
              <w:jc w:val="both"/>
              <w:rPr>
                <w:sz w:val="20"/>
              </w:rPr>
            </w:pPr>
          </w:p>
        </w:tc>
      </w:tr>
      <w:tr w:rsidR="001F7600" w:rsidRPr="001F7600" w:rsidTr="00D16260">
        <w:trPr>
          <w:cantSplit/>
        </w:trPr>
        <w:tc>
          <w:tcPr>
            <w:tcW w:w="1458" w:type="dxa"/>
          </w:tcPr>
          <w:p w:rsidR="001F7600" w:rsidRPr="001F7600" w:rsidRDefault="001F7600" w:rsidP="001F7600">
            <w:pPr>
              <w:rPr>
                <w:sz w:val="20"/>
              </w:rPr>
            </w:pPr>
            <w:r w:rsidRPr="001F7600">
              <w:rPr>
                <w:sz w:val="20"/>
              </w:rPr>
              <w:t>Coram :</w:t>
            </w:r>
          </w:p>
        </w:tc>
        <w:tc>
          <w:tcPr>
            <w:tcW w:w="8118" w:type="dxa"/>
          </w:tcPr>
          <w:p w:rsidR="001F7600" w:rsidRPr="001F7600" w:rsidRDefault="001F7600" w:rsidP="001F7600">
            <w:pPr>
              <w:rPr>
                <w:sz w:val="20"/>
              </w:rPr>
            </w:pPr>
            <w:r w:rsidRPr="001F7600">
              <w:rPr>
                <w:sz w:val="20"/>
                <w:u w:val="single"/>
              </w:rPr>
              <w:t>Abella, Rothstein and Moldaver JJ.</w:t>
            </w:r>
          </w:p>
          <w:p w:rsidR="001F7600" w:rsidRPr="001F7600" w:rsidRDefault="001F7600" w:rsidP="001F7600">
            <w:pPr>
              <w:rPr>
                <w:sz w:val="20"/>
                <w:u w:val="single"/>
              </w:rPr>
            </w:pPr>
          </w:p>
        </w:tc>
      </w:tr>
      <w:tr w:rsidR="001F7600" w:rsidRPr="001F7600" w:rsidTr="00D16260">
        <w:trPr>
          <w:cantSplit/>
        </w:trPr>
        <w:tc>
          <w:tcPr>
            <w:tcW w:w="9576" w:type="dxa"/>
            <w:gridSpan w:val="2"/>
          </w:tcPr>
          <w:p w:rsidR="001F7600" w:rsidRPr="001F7600" w:rsidRDefault="001F7600" w:rsidP="001F7600">
            <w:pPr>
              <w:ind w:firstLine="720"/>
              <w:jc w:val="both"/>
              <w:rPr>
                <w:sz w:val="20"/>
                <w:lang w:val="fr-CA"/>
              </w:rPr>
            </w:pPr>
            <w:r w:rsidRPr="001F7600">
              <w:rPr>
                <w:sz w:val="20"/>
              </w:rPr>
              <w:t xml:space="preserve">The motion of the Office of the Utilities Consumer Advocate of Alberta to be added as a respondent is granted.  The application for leave to appeal from the judgment of the Court of Appeal of Alberta (Calgary), Number 1101-0252-AC, 2013 ABCA 310, dated September 23, 2013, is granted. No costs are awarded as none were requested.   This case is to be heard with the </w:t>
            </w:r>
            <w:r w:rsidRPr="001F7600">
              <w:rPr>
                <w:i/>
                <w:sz w:val="20"/>
              </w:rPr>
              <w:t>Ontario Energy Board v. Ontario Power Generation Inc., et al.</w:t>
            </w:r>
            <w:r w:rsidRPr="001F7600">
              <w:rPr>
                <w:sz w:val="20"/>
              </w:rPr>
              <w:t xml:space="preserve"> </w:t>
            </w:r>
            <w:r w:rsidRPr="001F7600">
              <w:rPr>
                <w:sz w:val="20"/>
                <w:lang w:val="fr-CA"/>
              </w:rPr>
              <w:t>(35506).</w:t>
            </w:r>
          </w:p>
          <w:p w:rsidR="001F7600" w:rsidRPr="001F7600" w:rsidRDefault="001F7600" w:rsidP="001F7600">
            <w:pPr>
              <w:jc w:val="both"/>
              <w:rPr>
                <w:sz w:val="20"/>
                <w:lang w:val="fr-CA"/>
              </w:rPr>
            </w:pPr>
          </w:p>
          <w:p w:rsidR="001F7600" w:rsidRPr="001F7600" w:rsidRDefault="001F7600" w:rsidP="001F7600">
            <w:pPr>
              <w:ind w:firstLine="720"/>
              <w:jc w:val="both"/>
              <w:rPr>
                <w:sz w:val="20"/>
              </w:rPr>
            </w:pPr>
            <w:r w:rsidRPr="001F7600">
              <w:rPr>
                <w:sz w:val="20"/>
                <w:lang w:val="fr-CA"/>
              </w:rPr>
              <w:t xml:space="preserve">La requête visant l’ajout de l’Office of the Utilities Consumer Advocate of Alberta comme intimé est accueillie. La demande d’autorisation d’appel de l’arrêt de la Cour d'appel de l’Alberta (Calgary), numéro 1101-0252-AC, 2013 ABCA 310, daté du 23 septembre 2013, est accueillie. Puisqu’aucune ordonnance quant aux dépens n’a été sollicitée, aucuns dépens ne sont adjugés. La présente cause sera entendue conjointement avec </w:t>
            </w:r>
            <w:r w:rsidRPr="001F7600">
              <w:rPr>
                <w:i/>
                <w:sz w:val="20"/>
                <w:lang w:val="fr-CA"/>
              </w:rPr>
              <w:t>Ontario Energy Board c. Ontario Power Generation Inc., et al.</w:t>
            </w:r>
            <w:r w:rsidRPr="001F7600">
              <w:rPr>
                <w:sz w:val="20"/>
                <w:lang w:val="fr-CA"/>
              </w:rPr>
              <w:t xml:space="preserve"> </w:t>
            </w:r>
            <w:r w:rsidRPr="001F7600">
              <w:rPr>
                <w:sz w:val="20"/>
              </w:rPr>
              <w:t>(35506).</w:t>
            </w:r>
          </w:p>
        </w:tc>
      </w:tr>
    </w:tbl>
    <w:p w:rsidR="00243043" w:rsidRDefault="00243043" w:rsidP="000E2959">
      <w:pPr>
        <w:rPr>
          <w:sz w:val="20"/>
          <w:szCs w:val="20"/>
        </w:rPr>
      </w:pPr>
    </w:p>
    <w:p w:rsidR="00243043" w:rsidRPr="001B157C" w:rsidRDefault="00243043" w:rsidP="00243043">
      <w:pPr>
        <w:rPr>
          <w:sz w:val="20"/>
          <w:szCs w:val="20"/>
          <w:u w:val="single"/>
        </w:rPr>
      </w:pPr>
      <w:r w:rsidRPr="001B157C">
        <w:rPr>
          <w:sz w:val="20"/>
          <w:szCs w:val="20"/>
          <w:u w:val="single"/>
        </w:rPr>
        <w:t>CASE SUMMARY</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3D62" w:rsidRPr="001321A1" w:rsidTr="00D16260">
        <w:tc>
          <w:tcPr>
            <w:tcW w:w="5000" w:type="pct"/>
            <w:gridSpan w:val="3"/>
          </w:tcPr>
          <w:p w:rsidR="00A33D62" w:rsidRPr="001321A1" w:rsidRDefault="00A33D62" w:rsidP="00D16260">
            <w:pPr>
              <w:jc w:val="both"/>
              <w:rPr>
                <w:rFonts w:eastAsia="Calibri"/>
                <w:sz w:val="20"/>
              </w:rPr>
            </w:pPr>
            <w:r w:rsidRPr="001321A1">
              <w:rPr>
                <w:rFonts w:eastAsia="Calibri"/>
                <w:sz w:val="20"/>
              </w:rPr>
              <w:t>Administrative law — Boards and tribunals — Public utilities — Gas — Whether the Court of Appeal erred in failing to consider and apply the presumption of prudence to the pension costs — Whether the Court of Appeal erred in assessing the prudence of costs based on factors at the time of the rate application, rather than when the cost decision was made — Whether the Court of Appeal conflated the tests for recovery of prudently incurred costs and the setting of just and reasonable rates, and failed to assess prudence independently of the potential impact on ratepayers.</w:t>
            </w:r>
          </w:p>
        </w:tc>
      </w:tr>
      <w:tr w:rsidR="00A33D62" w:rsidRPr="001321A1" w:rsidTr="00D16260">
        <w:tc>
          <w:tcPr>
            <w:tcW w:w="5000" w:type="pct"/>
            <w:gridSpan w:val="3"/>
          </w:tcPr>
          <w:p w:rsidR="00A33D62" w:rsidRPr="001321A1" w:rsidRDefault="00A33D62" w:rsidP="00D16260">
            <w:pPr>
              <w:jc w:val="both"/>
              <w:rPr>
                <w:rFonts w:eastAsia="Calibri"/>
                <w:sz w:val="20"/>
              </w:rPr>
            </w:pPr>
          </w:p>
        </w:tc>
      </w:tr>
      <w:tr w:rsidR="00A33D62" w:rsidRPr="001321A1" w:rsidTr="00D16260">
        <w:tc>
          <w:tcPr>
            <w:tcW w:w="5000" w:type="pct"/>
            <w:gridSpan w:val="3"/>
          </w:tcPr>
          <w:p w:rsidR="00A33D62" w:rsidRPr="001321A1" w:rsidRDefault="00A33D62" w:rsidP="00D16260">
            <w:pPr>
              <w:jc w:val="both"/>
              <w:rPr>
                <w:rFonts w:eastAsia="Calibri"/>
                <w:sz w:val="20"/>
              </w:rPr>
            </w:pPr>
            <w:r w:rsidRPr="001321A1">
              <w:rPr>
                <w:rFonts w:eastAsia="Calibri"/>
                <w:sz w:val="20"/>
              </w:rPr>
              <w:t>ATCO Gas and Pipelines Ltd. and ATCO Electric Ltd. (“ATCO”) participate in pension plans which have accumulated an actuarial unfunded liability of $157.1 million at the end of 2009.  Each year, the Management Pension Committee decides how much of a cost of living adjustment (“COLA”) increment should be granted, having regard to the Consumer Price Index (“CPI”) for Canada, but to a maximum of 3%.  The Committee, based on historical practices and on advice received from the pension fund actuary, decided that the COLA benefit should be 100% of the CPI increase, to the maximum of 3%.  ATCO applied to the Alberta Utilities Commission (the “Commission”) to include their full pension costs in their revenue requirements.  The Commission reviewed other pension plans and rejected ATCO’s contention that a cost of living adjustment of 100% of CPI was an acceptable standard practice and that it was necessarily a reasonable expense for inclusion in the revenue requirement for regulated utilities.  The Commission concluded that a reduction to the cost of living adjustment in the amount of 50% of CPI up to the maximum 3% represented a reasonable level for setting the cost of living adjustment amount for the purposes of determining the pension costs for regulatory purposes for all employees.  ATCO brought an application for review and variance before the Commission which was denied.  A subsequent appeal to the Court of Appeal was dismissed.</w:t>
            </w:r>
          </w:p>
          <w:p w:rsidR="00A33D62" w:rsidRPr="001321A1" w:rsidRDefault="00A33D62" w:rsidP="00D16260">
            <w:pPr>
              <w:jc w:val="both"/>
              <w:rPr>
                <w:rFonts w:eastAsia="Calibri"/>
                <w:sz w:val="20"/>
              </w:rPr>
            </w:pPr>
          </w:p>
        </w:tc>
      </w:tr>
      <w:tr w:rsidR="00A33D62" w:rsidRPr="001321A1" w:rsidTr="00D16260">
        <w:tc>
          <w:tcPr>
            <w:tcW w:w="2427" w:type="pct"/>
          </w:tcPr>
          <w:p w:rsidR="00A33D62" w:rsidRPr="001321A1" w:rsidRDefault="00A33D62" w:rsidP="00D16260">
            <w:pPr>
              <w:jc w:val="both"/>
              <w:rPr>
                <w:rFonts w:eastAsia="Calibri"/>
                <w:sz w:val="20"/>
              </w:rPr>
            </w:pPr>
            <w:r w:rsidRPr="001321A1">
              <w:rPr>
                <w:rFonts w:eastAsia="Calibri"/>
                <w:sz w:val="20"/>
              </w:rPr>
              <w:t>September 27, 2011</w:t>
            </w:r>
          </w:p>
          <w:p w:rsidR="00A33D62" w:rsidRPr="001321A1" w:rsidRDefault="00A33D62" w:rsidP="00D16260">
            <w:pPr>
              <w:jc w:val="both"/>
              <w:rPr>
                <w:rFonts w:eastAsia="Calibri"/>
                <w:sz w:val="20"/>
              </w:rPr>
            </w:pPr>
            <w:r w:rsidRPr="001321A1">
              <w:rPr>
                <w:rFonts w:eastAsia="Calibri"/>
                <w:sz w:val="20"/>
              </w:rPr>
              <w:t>Alberta Utilities Commission</w:t>
            </w:r>
          </w:p>
          <w:p w:rsidR="00A33D62" w:rsidRPr="001321A1" w:rsidRDefault="00A33D62" w:rsidP="00D16260">
            <w:pPr>
              <w:jc w:val="both"/>
              <w:rPr>
                <w:rFonts w:eastAsia="Calibri"/>
                <w:sz w:val="20"/>
              </w:rPr>
            </w:pPr>
            <w:r w:rsidRPr="001321A1">
              <w:rPr>
                <w:rFonts w:eastAsia="Calibri"/>
                <w:sz w:val="20"/>
              </w:rPr>
              <w:t>(Michaud, Lyttle and Yahya, members</w:t>
            </w:r>
          </w:p>
          <w:p w:rsidR="00A33D62" w:rsidRPr="001321A1" w:rsidRDefault="00A33D62" w:rsidP="00D16260">
            <w:pPr>
              <w:jc w:val="both"/>
              <w:rPr>
                <w:rFonts w:eastAsia="Calibri"/>
                <w:sz w:val="20"/>
              </w:rPr>
            </w:pPr>
          </w:p>
        </w:tc>
        <w:tc>
          <w:tcPr>
            <w:tcW w:w="243" w:type="pct"/>
          </w:tcPr>
          <w:p w:rsidR="00A33D62" w:rsidRPr="001321A1" w:rsidRDefault="00A33D62" w:rsidP="00D16260">
            <w:pPr>
              <w:jc w:val="both"/>
              <w:rPr>
                <w:rFonts w:eastAsia="Calibri"/>
                <w:sz w:val="20"/>
              </w:rPr>
            </w:pPr>
          </w:p>
        </w:tc>
        <w:tc>
          <w:tcPr>
            <w:tcW w:w="2330" w:type="pct"/>
          </w:tcPr>
          <w:p w:rsidR="00A33D62" w:rsidRPr="001321A1" w:rsidRDefault="00A33D62" w:rsidP="00D16260">
            <w:pPr>
              <w:jc w:val="both"/>
              <w:rPr>
                <w:rFonts w:eastAsia="Calibri"/>
                <w:sz w:val="20"/>
              </w:rPr>
            </w:pPr>
            <w:r w:rsidRPr="001321A1">
              <w:rPr>
                <w:rFonts w:eastAsia="Calibri"/>
                <w:sz w:val="20"/>
              </w:rPr>
              <w:t>COLA set at 50% of CPI up to 3% maximum</w:t>
            </w:r>
          </w:p>
        </w:tc>
      </w:tr>
      <w:tr w:rsidR="00A33D62" w:rsidRPr="001321A1" w:rsidTr="00D16260">
        <w:tc>
          <w:tcPr>
            <w:tcW w:w="2427" w:type="pct"/>
          </w:tcPr>
          <w:p w:rsidR="00A33D62" w:rsidRPr="001321A1" w:rsidRDefault="00A33D62" w:rsidP="00D16260">
            <w:pPr>
              <w:jc w:val="both"/>
              <w:rPr>
                <w:rFonts w:eastAsia="Calibri"/>
                <w:sz w:val="20"/>
              </w:rPr>
            </w:pPr>
            <w:r w:rsidRPr="001321A1">
              <w:rPr>
                <w:rFonts w:eastAsia="Calibri"/>
                <w:sz w:val="20"/>
              </w:rPr>
              <w:t>March 22, 2012</w:t>
            </w:r>
          </w:p>
          <w:p w:rsidR="00A33D62" w:rsidRPr="001321A1" w:rsidRDefault="00A33D62" w:rsidP="00D16260">
            <w:pPr>
              <w:jc w:val="both"/>
              <w:rPr>
                <w:rFonts w:eastAsia="Calibri"/>
                <w:sz w:val="20"/>
              </w:rPr>
            </w:pPr>
            <w:r w:rsidRPr="001321A1">
              <w:rPr>
                <w:rFonts w:eastAsia="Calibri"/>
                <w:sz w:val="20"/>
              </w:rPr>
              <w:t>Alberta Utilities Commission</w:t>
            </w:r>
          </w:p>
          <w:p w:rsidR="00A33D62" w:rsidRPr="001321A1" w:rsidRDefault="00A33D62" w:rsidP="00D16260">
            <w:pPr>
              <w:jc w:val="both"/>
              <w:rPr>
                <w:rFonts w:eastAsia="Calibri"/>
                <w:sz w:val="20"/>
              </w:rPr>
            </w:pPr>
            <w:r w:rsidRPr="001321A1">
              <w:rPr>
                <w:rFonts w:eastAsia="Calibri"/>
                <w:sz w:val="20"/>
              </w:rPr>
              <w:t>(Rees, Kolesar and Holgate, members)</w:t>
            </w:r>
          </w:p>
          <w:p w:rsidR="00A33D62" w:rsidRPr="001321A1" w:rsidRDefault="00A33D62" w:rsidP="00D16260">
            <w:pPr>
              <w:jc w:val="both"/>
              <w:rPr>
                <w:rFonts w:eastAsia="Calibri"/>
                <w:sz w:val="20"/>
              </w:rPr>
            </w:pPr>
          </w:p>
        </w:tc>
        <w:tc>
          <w:tcPr>
            <w:tcW w:w="243" w:type="pct"/>
          </w:tcPr>
          <w:p w:rsidR="00A33D62" w:rsidRPr="001321A1" w:rsidRDefault="00A33D62" w:rsidP="00D16260">
            <w:pPr>
              <w:jc w:val="both"/>
              <w:rPr>
                <w:rFonts w:eastAsia="Calibri"/>
                <w:sz w:val="20"/>
              </w:rPr>
            </w:pPr>
          </w:p>
        </w:tc>
        <w:tc>
          <w:tcPr>
            <w:tcW w:w="2330" w:type="pct"/>
          </w:tcPr>
          <w:p w:rsidR="00A33D62" w:rsidRPr="001321A1" w:rsidRDefault="00A33D62" w:rsidP="00D16260">
            <w:pPr>
              <w:jc w:val="both"/>
              <w:rPr>
                <w:rFonts w:eastAsia="Calibri"/>
                <w:sz w:val="20"/>
              </w:rPr>
            </w:pPr>
            <w:r w:rsidRPr="001321A1">
              <w:rPr>
                <w:rFonts w:eastAsia="Calibri"/>
                <w:sz w:val="20"/>
              </w:rPr>
              <w:t>Review and variance application denied</w:t>
            </w:r>
          </w:p>
        </w:tc>
      </w:tr>
      <w:tr w:rsidR="00A33D62" w:rsidRPr="001321A1" w:rsidTr="001F7600">
        <w:trPr>
          <w:cantSplit/>
        </w:trPr>
        <w:tc>
          <w:tcPr>
            <w:tcW w:w="2427" w:type="pct"/>
          </w:tcPr>
          <w:p w:rsidR="00A33D62" w:rsidRPr="001321A1" w:rsidRDefault="00A33D62" w:rsidP="00D16260">
            <w:pPr>
              <w:jc w:val="both"/>
              <w:rPr>
                <w:rFonts w:eastAsia="Calibri"/>
                <w:sz w:val="20"/>
              </w:rPr>
            </w:pPr>
            <w:r w:rsidRPr="001321A1">
              <w:rPr>
                <w:rFonts w:eastAsia="Calibri"/>
                <w:sz w:val="20"/>
              </w:rPr>
              <w:lastRenderedPageBreak/>
              <w:t>September 23, 2013</w:t>
            </w:r>
          </w:p>
          <w:p w:rsidR="00A33D62" w:rsidRPr="001321A1" w:rsidRDefault="00A33D62" w:rsidP="00D16260">
            <w:pPr>
              <w:jc w:val="both"/>
              <w:rPr>
                <w:rFonts w:eastAsia="Calibri"/>
                <w:sz w:val="20"/>
              </w:rPr>
            </w:pPr>
            <w:r w:rsidRPr="001321A1">
              <w:rPr>
                <w:rFonts w:eastAsia="Calibri"/>
                <w:sz w:val="20"/>
              </w:rPr>
              <w:t>Court of Appeal of Alberta (Calgary)</w:t>
            </w:r>
          </w:p>
          <w:p w:rsidR="00A33D62" w:rsidRPr="001321A1" w:rsidRDefault="00A33D62" w:rsidP="00D16260">
            <w:pPr>
              <w:jc w:val="both"/>
              <w:rPr>
                <w:rFonts w:eastAsia="Calibri"/>
                <w:sz w:val="20"/>
              </w:rPr>
            </w:pPr>
            <w:r w:rsidRPr="001321A1">
              <w:rPr>
                <w:rFonts w:eastAsia="Calibri"/>
                <w:sz w:val="20"/>
              </w:rPr>
              <w:t>(Costigan, Martin and Slatter JJ.A.)</w:t>
            </w:r>
          </w:p>
          <w:p w:rsidR="00A33D62" w:rsidRPr="001321A1" w:rsidRDefault="00A33D62" w:rsidP="00D16260">
            <w:pPr>
              <w:jc w:val="both"/>
              <w:rPr>
                <w:rFonts w:eastAsia="Calibri"/>
                <w:sz w:val="20"/>
              </w:rPr>
            </w:pPr>
            <w:r w:rsidRPr="001321A1">
              <w:rPr>
                <w:rFonts w:eastAsia="Calibri"/>
                <w:sz w:val="20"/>
              </w:rPr>
              <w:t>2012 ABCA 310; 1101</w:t>
            </w:r>
            <w:r w:rsidRPr="001321A1">
              <w:rPr>
                <w:rFonts w:eastAsia="Calibri"/>
                <w:sz w:val="20"/>
              </w:rPr>
              <w:noBreakHyphen/>
              <w:t>0252</w:t>
            </w:r>
            <w:r w:rsidRPr="001321A1">
              <w:rPr>
                <w:rFonts w:eastAsia="Calibri"/>
                <w:sz w:val="20"/>
              </w:rPr>
              <w:noBreakHyphen/>
              <w:t>AC</w:t>
            </w:r>
          </w:p>
          <w:p w:rsidR="00A33D62" w:rsidRPr="001321A1" w:rsidRDefault="00A33D62" w:rsidP="00D16260">
            <w:pPr>
              <w:jc w:val="both"/>
              <w:rPr>
                <w:rFonts w:eastAsia="Calibri"/>
                <w:sz w:val="20"/>
              </w:rPr>
            </w:pPr>
          </w:p>
        </w:tc>
        <w:tc>
          <w:tcPr>
            <w:tcW w:w="243" w:type="pct"/>
          </w:tcPr>
          <w:p w:rsidR="00A33D62" w:rsidRPr="001321A1" w:rsidRDefault="00A33D62" w:rsidP="00D16260">
            <w:pPr>
              <w:jc w:val="both"/>
              <w:rPr>
                <w:rFonts w:eastAsia="Calibri"/>
                <w:sz w:val="20"/>
              </w:rPr>
            </w:pPr>
          </w:p>
        </w:tc>
        <w:tc>
          <w:tcPr>
            <w:tcW w:w="2330" w:type="pct"/>
          </w:tcPr>
          <w:p w:rsidR="00A33D62" w:rsidRPr="001321A1" w:rsidRDefault="00A33D62" w:rsidP="00D16260">
            <w:pPr>
              <w:jc w:val="both"/>
              <w:rPr>
                <w:rFonts w:eastAsia="Calibri"/>
                <w:sz w:val="20"/>
              </w:rPr>
            </w:pPr>
            <w:r w:rsidRPr="001321A1">
              <w:rPr>
                <w:rFonts w:eastAsia="Calibri"/>
                <w:sz w:val="20"/>
              </w:rPr>
              <w:t>Appeal dismissed</w:t>
            </w:r>
          </w:p>
          <w:p w:rsidR="00A33D62" w:rsidRPr="001321A1" w:rsidRDefault="00A33D62" w:rsidP="00D16260">
            <w:pPr>
              <w:jc w:val="both"/>
              <w:rPr>
                <w:rFonts w:eastAsia="Calibri"/>
                <w:sz w:val="20"/>
              </w:rPr>
            </w:pPr>
          </w:p>
        </w:tc>
      </w:tr>
      <w:tr w:rsidR="00A33D62" w:rsidRPr="001321A1" w:rsidTr="001F7600">
        <w:trPr>
          <w:cantSplit/>
        </w:trPr>
        <w:tc>
          <w:tcPr>
            <w:tcW w:w="2427" w:type="pct"/>
          </w:tcPr>
          <w:p w:rsidR="00A33D62" w:rsidRPr="001321A1" w:rsidRDefault="00A33D62" w:rsidP="00D16260">
            <w:pPr>
              <w:jc w:val="both"/>
              <w:rPr>
                <w:rFonts w:eastAsia="Calibri"/>
                <w:sz w:val="20"/>
              </w:rPr>
            </w:pPr>
            <w:r w:rsidRPr="001321A1">
              <w:rPr>
                <w:rFonts w:eastAsia="Calibri"/>
                <w:sz w:val="20"/>
              </w:rPr>
              <w:t>November 21, 2013</w:t>
            </w:r>
          </w:p>
          <w:p w:rsidR="00A33D62" w:rsidRPr="001321A1" w:rsidRDefault="00A33D62" w:rsidP="00D16260">
            <w:pPr>
              <w:jc w:val="both"/>
              <w:rPr>
                <w:rFonts w:eastAsia="Calibri"/>
                <w:sz w:val="20"/>
              </w:rPr>
            </w:pPr>
            <w:r w:rsidRPr="001321A1">
              <w:rPr>
                <w:rFonts w:eastAsia="Calibri"/>
                <w:sz w:val="20"/>
              </w:rPr>
              <w:t>Supreme Court of Canada</w:t>
            </w:r>
          </w:p>
        </w:tc>
        <w:tc>
          <w:tcPr>
            <w:tcW w:w="243" w:type="pct"/>
          </w:tcPr>
          <w:p w:rsidR="00A33D62" w:rsidRPr="001321A1" w:rsidRDefault="00A33D62" w:rsidP="00D16260">
            <w:pPr>
              <w:jc w:val="both"/>
              <w:rPr>
                <w:rFonts w:eastAsia="Calibri"/>
                <w:sz w:val="20"/>
              </w:rPr>
            </w:pPr>
          </w:p>
        </w:tc>
        <w:tc>
          <w:tcPr>
            <w:tcW w:w="2330" w:type="pct"/>
          </w:tcPr>
          <w:p w:rsidR="00A33D62" w:rsidRPr="001321A1" w:rsidRDefault="00A33D62" w:rsidP="00D16260">
            <w:pPr>
              <w:jc w:val="both"/>
              <w:rPr>
                <w:rFonts w:eastAsia="Calibri"/>
                <w:sz w:val="20"/>
              </w:rPr>
            </w:pPr>
            <w:r w:rsidRPr="001321A1">
              <w:rPr>
                <w:rFonts w:eastAsia="Calibri"/>
                <w:sz w:val="20"/>
              </w:rPr>
              <w:t>Application for leave to appeal filed</w:t>
            </w:r>
          </w:p>
          <w:p w:rsidR="00A33D62" w:rsidRPr="001321A1" w:rsidRDefault="00A33D62" w:rsidP="00D16260">
            <w:pPr>
              <w:jc w:val="both"/>
              <w:rPr>
                <w:rFonts w:eastAsia="Calibri"/>
                <w:sz w:val="20"/>
              </w:rPr>
            </w:pPr>
          </w:p>
        </w:tc>
      </w:tr>
    </w:tbl>
    <w:p w:rsidR="00243043" w:rsidRDefault="00243043" w:rsidP="000E2959">
      <w:pPr>
        <w:rPr>
          <w:sz w:val="20"/>
          <w:szCs w:val="20"/>
        </w:rPr>
      </w:pPr>
    </w:p>
    <w:p w:rsidR="00243043" w:rsidRDefault="00BF31AA" w:rsidP="000E2959">
      <w:pPr>
        <w:rPr>
          <w:sz w:val="20"/>
          <w:szCs w:val="20"/>
        </w:rPr>
      </w:pPr>
      <w:r>
        <w:rPr>
          <w:sz w:val="20"/>
          <w:szCs w:val="20"/>
          <w:lang w:val="fr-CA"/>
        </w:rPr>
        <w:pict>
          <v:rect id="_x0000_i1038" style="width:2in;height:1pt" o:hrpct="0" o:hralign="center" o:hrstd="t" o:hrnoshade="t" o:hr="t" fillcolor="black [3213]" stroked="f"/>
        </w:pict>
      </w:r>
    </w:p>
    <w:p w:rsidR="00243043" w:rsidRDefault="00243043" w:rsidP="000E2959">
      <w:pPr>
        <w:rPr>
          <w:sz w:val="20"/>
          <w:szCs w:val="20"/>
        </w:rPr>
      </w:pPr>
    </w:p>
    <w:p w:rsidR="00243043" w:rsidRPr="001B157C" w:rsidRDefault="00243043" w:rsidP="00243043">
      <w:pPr>
        <w:rPr>
          <w:sz w:val="20"/>
          <w:szCs w:val="20"/>
          <w:u w:val="single"/>
          <w:lang w:val="fr-CA"/>
        </w:rPr>
      </w:pPr>
      <w:r w:rsidRPr="001B157C">
        <w:rPr>
          <w:sz w:val="20"/>
          <w:szCs w:val="20"/>
          <w:u w:val="single"/>
          <w:lang w:val="fr-CA"/>
        </w:rPr>
        <w:t>RÉSUMÉ DE L’AFFAIRE</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3D62" w:rsidRPr="00BF31AA" w:rsidTr="00D16260">
        <w:tc>
          <w:tcPr>
            <w:tcW w:w="5000" w:type="pct"/>
            <w:gridSpan w:val="3"/>
          </w:tcPr>
          <w:p w:rsidR="00A33D62" w:rsidRPr="001321A1" w:rsidRDefault="00A33D62" w:rsidP="00D16260">
            <w:pPr>
              <w:jc w:val="both"/>
              <w:rPr>
                <w:rFonts w:eastAsia="Calibri"/>
                <w:sz w:val="20"/>
                <w:lang w:val="fr-CA"/>
              </w:rPr>
            </w:pPr>
            <w:r w:rsidRPr="001321A1">
              <w:rPr>
                <w:rFonts w:eastAsia="Calibri"/>
                <w:sz w:val="20"/>
                <w:lang w:val="fr-CA"/>
              </w:rPr>
              <w:t>Droit administratif — Organismes et tribunaux administratifs — Services publics — Gaz — La Cour d’appel a-t-elle eu tort de ne pas avoir pris en compte et appliqué la présomption de prudence aux charges de retraite? — La Cour d’appel a-t-elle eu tort d’apprécier la prudence des charges en se fondant sur des facteurs qui existaient au moment de la demande d’approbation de tarifs, plutôt qu’au moment où la décision quant à la charge a été prise? — La Cour d’appel a-t-elle confondu les critères de récupération de charges prudemment engagées et l’établissement de tarifs justes et raisonnables, et a-t-elle omis d’apprécier la prudence indépendamment de l’impact potentiel sur les clients?</w:t>
            </w:r>
          </w:p>
        </w:tc>
      </w:tr>
      <w:tr w:rsidR="00A33D62" w:rsidRPr="00BF31AA" w:rsidTr="00D16260">
        <w:tc>
          <w:tcPr>
            <w:tcW w:w="5000" w:type="pct"/>
            <w:gridSpan w:val="3"/>
          </w:tcPr>
          <w:p w:rsidR="00A33D62" w:rsidRPr="001321A1" w:rsidRDefault="00A33D62" w:rsidP="00D16260">
            <w:pPr>
              <w:jc w:val="both"/>
              <w:rPr>
                <w:rFonts w:eastAsia="Calibri"/>
                <w:sz w:val="20"/>
                <w:lang w:val="fr-CA"/>
              </w:rPr>
            </w:pPr>
          </w:p>
        </w:tc>
      </w:tr>
      <w:tr w:rsidR="00A33D62" w:rsidRPr="00BF31AA" w:rsidTr="00D16260">
        <w:tc>
          <w:tcPr>
            <w:tcW w:w="5000" w:type="pct"/>
            <w:gridSpan w:val="3"/>
          </w:tcPr>
          <w:p w:rsidR="00A33D62" w:rsidRPr="001321A1" w:rsidRDefault="00A33D62" w:rsidP="00D16260">
            <w:pPr>
              <w:jc w:val="both"/>
              <w:rPr>
                <w:rFonts w:eastAsia="Calibri"/>
                <w:sz w:val="20"/>
                <w:lang w:val="fr-CA"/>
              </w:rPr>
            </w:pPr>
            <w:r w:rsidRPr="001321A1">
              <w:rPr>
                <w:rFonts w:eastAsia="Calibri"/>
                <w:sz w:val="20"/>
              </w:rPr>
              <w:t xml:space="preserve">ATCO Gas and Pipelines Ltd. et ATCO Electric Ltd. </w:t>
            </w:r>
            <w:r w:rsidRPr="001321A1">
              <w:rPr>
                <w:rFonts w:eastAsia="Calibri"/>
                <w:sz w:val="20"/>
                <w:lang w:val="fr-CA"/>
              </w:rPr>
              <w:t>(« ATCO ») participent à des régimes de retraite qui avaient accumulé un déficit actuariel de 157,1 millions de dollars à la fin de 2009.  À chaque année, le comité de retraite de la direction décide quelle augmentation au titre de l’ajustement au coût de la vie doit être accordée, eu égard à l’indice des prix à la consommation (« IPC ») pour le Canada, jusqu’à concurrence d’un maximum de 3 %.  Le comité, s’appuyant sur les pratiques historiques et les conseils reçus de l’actuaire du régime de retraite, a décidé que la prestation au titre de l’ajustement au coût de la vie devait être 100 % de l’augmentation de l’IPC, jusqu’à concurrence du maximum de 3 %.  ATCO a fait une demande à l’Alberta Utilities Commission (la « Commission ») afin d’inclure le plein montant de ses charges de retraite dans ses besoins en revenus.  La commission a examiné d’autres régimes de retraite et a rejeté l’allégation d’ATCO selon laquelle un ajustement au coût de la vie de 100 % de l’IPC était une pratique normale acceptable et qu’il s’agissait nécessairement d’une charge raisonnable à inclure dans le besoin en revenus de services publics règlementés.  La commission a conclu qu’une réduction de l’ajustement au coût de la vie de 50 % de l’IPC jusqu’à concurrence du maximum de 3 % représentait un niveau raisonnable dans l’établissement du montant de l’ajustement au coût de la vie afin de déterminer les charges de retraite à des fins de règlementation pour tous les employés.  ATCO a présenté une demande de révision et de modification à la commission, mais sa demande a été rejetée.  Un appel subséquent à la Cour d’appel a été rejeté.</w:t>
            </w:r>
          </w:p>
          <w:p w:rsidR="00A33D62" w:rsidRPr="001321A1" w:rsidRDefault="00A33D62" w:rsidP="00D16260">
            <w:pPr>
              <w:jc w:val="both"/>
              <w:rPr>
                <w:rFonts w:eastAsia="Calibri"/>
                <w:sz w:val="20"/>
                <w:lang w:val="fr-CA"/>
              </w:rPr>
            </w:pPr>
          </w:p>
        </w:tc>
      </w:tr>
      <w:tr w:rsidR="00A33D62" w:rsidRPr="00BF31AA" w:rsidTr="00D16260">
        <w:tc>
          <w:tcPr>
            <w:tcW w:w="2427" w:type="pct"/>
          </w:tcPr>
          <w:p w:rsidR="00A33D62" w:rsidRPr="001321A1" w:rsidRDefault="00A33D62" w:rsidP="00D16260">
            <w:pPr>
              <w:jc w:val="both"/>
              <w:rPr>
                <w:rFonts w:eastAsia="Calibri"/>
                <w:sz w:val="20"/>
                <w:lang w:val="fr-CA"/>
              </w:rPr>
            </w:pPr>
            <w:r w:rsidRPr="001321A1">
              <w:rPr>
                <w:rFonts w:eastAsia="Calibri"/>
                <w:sz w:val="20"/>
                <w:lang w:val="fr-CA"/>
              </w:rPr>
              <w:t>27 septembre 2011</w:t>
            </w:r>
          </w:p>
          <w:p w:rsidR="00A33D62" w:rsidRPr="001321A1" w:rsidRDefault="00A33D62" w:rsidP="00D16260">
            <w:pPr>
              <w:jc w:val="both"/>
              <w:rPr>
                <w:rFonts w:eastAsia="Calibri"/>
                <w:sz w:val="20"/>
                <w:lang w:val="fr-CA"/>
              </w:rPr>
            </w:pPr>
            <w:r w:rsidRPr="001321A1">
              <w:rPr>
                <w:rFonts w:eastAsia="Calibri"/>
                <w:sz w:val="20"/>
                <w:lang w:val="fr-CA"/>
              </w:rPr>
              <w:t>Alberta Utilities Commission</w:t>
            </w:r>
          </w:p>
          <w:p w:rsidR="00A33D62" w:rsidRPr="001321A1" w:rsidRDefault="00A33D62" w:rsidP="00D16260">
            <w:pPr>
              <w:jc w:val="both"/>
              <w:rPr>
                <w:rFonts w:eastAsia="Calibri"/>
                <w:sz w:val="20"/>
                <w:lang w:val="fr-CA"/>
              </w:rPr>
            </w:pPr>
            <w:r w:rsidRPr="001321A1">
              <w:rPr>
                <w:rFonts w:eastAsia="Calibri"/>
                <w:sz w:val="20"/>
                <w:lang w:val="fr-CA"/>
              </w:rPr>
              <w:t>(Commissaires Michaud, Lyttle et Yahya)</w:t>
            </w:r>
          </w:p>
          <w:p w:rsidR="00A33D62" w:rsidRPr="001321A1" w:rsidRDefault="00A33D62" w:rsidP="00D16260">
            <w:pPr>
              <w:jc w:val="both"/>
              <w:rPr>
                <w:rFonts w:eastAsia="Calibri"/>
                <w:sz w:val="20"/>
                <w:lang w:val="fr-CA"/>
              </w:rPr>
            </w:pPr>
          </w:p>
        </w:tc>
        <w:tc>
          <w:tcPr>
            <w:tcW w:w="243" w:type="pct"/>
          </w:tcPr>
          <w:p w:rsidR="00A33D62" w:rsidRPr="001321A1" w:rsidRDefault="00A33D62" w:rsidP="00D16260">
            <w:pPr>
              <w:jc w:val="both"/>
              <w:rPr>
                <w:rFonts w:eastAsia="Calibri"/>
                <w:sz w:val="20"/>
                <w:lang w:val="fr-CA"/>
              </w:rPr>
            </w:pPr>
          </w:p>
        </w:tc>
        <w:tc>
          <w:tcPr>
            <w:tcW w:w="2330" w:type="pct"/>
          </w:tcPr>
          <w:p w:rsidR="00A33D62" w:rsidRPr="001321A1" w:rsidRDefault="00A33D62" w:rsidP="00D16260">
            <w:pPr>
              <w:jc w:val="both"/>
              <w:rPr>
                <w:rFonts w:eastAsia="Calibri"/>
                <w:sz w:val="20"/>
                <w:lang w:val="fr-CA"/>
              </w:rPr>
            </w:pPr>
            <w:r w:rsidRPr="001321A1">
              <w:rPr>
                <w:rFonts w:eastAsia="Calibri"/>
                <w:sz w:val="20"/>
                <w:lang w:val="fr-CA"/>
              </w:rPr>
              <w:t xml:space="preserve">Ajustement au coût de la vie fixé à 50 % de l’IPC jusqu’à concurrence d’un maximum de 3 % </w:t>
            </w:r>
          </w:p>
        </w:tc>
      </w:tr>
      <w:tr w:rsidR="00A33D62" w:rsidRPr="00BF31AA" w:rsidTr="00D16260">
        <w:tc>
          <w:tcPr>
            <w:tcW w:w="2427" w:type="pct"/>
          </w:tcPr>
          <w:p w:rsidR="00A33D62" w:rsidRPr="001321A1" w:rsidRDefault="00A33D62" w:rsidP="00D16260">
            <w:pPr>
              <w:jc w:val="both"/>
              <w:rPr>
                <w:rFonts w:eastAsia="Calibri"/>
                <w:sz w:val="20"/>
                <w:lang w:val="fr-CA"/>
              </w:rPr>
            </w:pPr>
            <w:r w:rsidRPr="001321A1">
              <w:rPr>
                <w:rFonts w:eastAsia="Calibri"/>
                <w:sz w:val="20"/>
                <w:lang w:val="fr-CA"/>
              </w:rPr>
              <w:t>22 mars 2012</w:t>
            </w:r>
          </w:p>
          <w:p w:rsidR="00A33D62" w:rsidRPr="001321A1" w:rsidRDefault="00A33D62" w:rsidP="00D16260">
            <w:pPr>
              <w:jc w:val="both"/>
              <w:rPr>
                <w:rFonts w:eastAsia="Calibri"/>
                <w:sz w:val="20"/>
                <w:lang w:val="fr-CA"/>
              </w:rPr>
            </w:pPr>
            <w:r w:rsidRPr="001321A1">
              <w:rPr>
                <w:rFonts w:eastAsia="Calibri"/>
                <w:sz w:val="20"/>
                <w:lang w:val="fr-CA"/>
              </w:rPr>
              <w:t>Alberta Utilities Commission</w:t>
            </w:r>
          </w:p>
          <w:p w:rsidR="00A33D62" w:rsidRPr="001321A1" w:rsidRDefault="00A33D62" w:rsidP="00D16260">
            <w:pPr>
              <w:jc w:val="both"/>
              <w:rPr>
                <w:rFonts w:eastAsia="Calibri"/>
                <w:sz w:val="20"/>
                <w:lang w:val="fr-CA"/>
              </w:rPr>
            </w:pPr>
            <w:r w:rsidRPr="001321A1">
              <w:rPr>
                <w:rFonts w:eastAsia="Calibri"/>
                <w:sz w:val="20"/>
                <w:lang w:val="fr-CA"/>
              </w:rPr>
              <w:t>(Commissaires Rees, Kolesar et Holgate)</w:t>
            </w:r>
          </w:p>
          <w:p w:rsidR="00A33D62" w:rsidRPr="001321A1" w:rsidRDefault="00A33D62" w:rsidP="00D16260">
            <w:pPr>
              <w:jc w:val="both"/>
              <w:rPr>
                <w:rFonts w:eastAsia="Calibri"/>
                <w:sz w:val="20"/>
                <w:lang w:val="fr-CA"/>
              </w:rPr>
            </w:pPr>
          </w:p>
        </w:tc>
        <w:tc>
          <w:tcPr>
            <w:tcW w:w="243" w:type="pct"/>
          </w:tcPr>
          <w:p w:rsidR="00A33D62" w:rsidRPr="001321A1" w:rsidRDefault="00A33D62" w:rsidP="00D16260">
            <w:pPr>
              <w:jc w:val="both"/>
              <w:rPr>
                <w:rFonts w:eastAsia="Calibri"/>
                <w:sz w:val="20"/>
                <w:lang w:val="fr-CA"/>
              </w:rPr>
            </w:pPr>
          </w:p>
        </w:tc>
        <w:tc>
          <w:tcPr>
            <w:tcW w:w="2330" w:type="pct"/>
          </w:tcPr>
          <w:p w:rsidR="00A33D62" w:rsidRPr="001321A1" w:rsidRDefault="00A33D62" w:rsidP="00D16260">
            <w:pPr>
              <w:jc w:val="both"/>
              <w:rPr>
                <w:rFonts w:eastAsia="Calibri"/>
                <w:sz w:val="20"/>
                <w:lang w:val="fr-CA"/>
              </w:rPr>
            </w:pPr>
            <w:r w:rsidRPr="001321A1">
              <w:rPr>
                <w:rFonts w:eastAsia="Calibri"/>
                <w:sz w:val="20"/>
                <w:lang w:val="fr-CA"/>
              </w:rPr>
              <w:t>Demande de révision et de modification, rejetée</w:t>
            </w:r>
          </w:p>
        </w:tc>
      </w:tr>
      <w:tr w:rsidR="00A33D62" w:rsidRPr="001321A1" w:rsidTr="00D16260">
        <w:tc>
          <w:tcPr>
            <w:tcW w:w="2427" w:type="pct"/>
          </w:tcPr>
          <w:p w:rsidR="00A33D62" w:rsidRPr="001321A1" w:rsidRDefault="00A33D62" w:rsidP="00D16260">
            <w:pPr>
              <w:jc w:val="both"/>
              <w:rPr>
                <w:rFonts w:eastAsia="Calibri"/>
                <w:sz w:val="20"/>
                <w:lang w:val="fr-CA"/>
              </w:rPr>
            </w:pPr>
            <w:r w:rsidRPr="001321A1">
              <w:rPr>
                <w:rFonts w:eastAsia="Calibri"/>
                <w:sz w:val="20"/>
                <w:lang w:val="fr-CA"/>
              </w:rPr>
              <w:t>23 septembre 2013</w:t>
            </w:r>
          </w:p>
          <w:p w:rsidR="00A33D62" w:rsidRPr="001321A1" w:rsidRDefault="00A33D62" w:rsidP="00D16260">
            <w:pPr>
              <w:jc w:val="both"/>
              <w:rPr>
                <w:rFonts w:eastAsia="Calibri"/>
                <w:sz w:val="20"/>
                <w:lang w:val="fr-CA"/>
              </w:rPr>
            </w:pPr>
            <w:r w:rsidRPr="001321A1">
              <w:rPr>
                <w:rFonts w:eastAsia="Calibri"/>
                <w:sz w:val="20"/>
                <w:lang w:val="fr-CA"/>
              </w:rPr>
              <w:t>Cour d’appel de l’Alberta (Calgary)</w:t>
            </w:r>
          </w:p>
          <w:p w:rsidR="00A33D62" w:rsidRPr="001321A1" w:rsidRDefault="00A33D62" w:rsidP="00D16260">
            <w:pPr>
              <w:jc w:val="both"/>
              <w:rPr>
                <w:rFonts w:eastAsia="Calibri"/>
                <w:sz w:val="20"/>
                <w:lang w:val="fr-CA"/>
              </w:rPr>
            </w:pPr>
            <w:r w:rsidRPr="001321A1">
              <w:rPr>
                <w:rFonts w:eastAsia="Calibri"/>
                <w:sz w:val="20"/>
                <w:lang w:val="fr-CA"/>
              </w:rPr>
              <w:t>(Juges Costigan, Martin et Slatter)</w:t>
            </w:r>
          </w:p>
          <w:p w:rsidR="00A33D62" w:rsidRPr="001321A1" w:rsidRDefault="00A33D62" w:rsidP="001F7600">
            <w:pPr>
              <w:jc w:val="both"/>
              <w:rPr>
                <w:rFonts w:eastAsia="Calibri"/>
                <w:sz w:val="20"/>
                <w:lang w:val="fr-CA"/>
              </w:rPr>
            </w:pPr>
            <w:r w:rsidRPr="001321A1">
              <w:rPr>
                <w:rFonts w:eastAsia="Calibri"/>
                <w:sz w:val="20"/>
                <w:lang w:val="fr-CA"/>
              </w:rPr>
              <w:t>2012 ABCA 310; 1101</w:t>
            </w:r>
            <w:r w:rsidRPr="001321A1">
              <w:rPr>
                <w:rFonts w:eastAsia="Calibri"/>
                <w:sz w:val="20"/>
                <w:lang w:val="fr-CA"/>
              </w:rPr>
              <w:noBreakHyphen/>
              <w:t>0252</w:t>
            </w:r>
            <w:r w:rsidRPr="001321A1">
              <w:rPr>
                <w:rFonts w:eastAsia="Calibri"/>
                <w:sz w:val="20"/>
                <w:lang w:val="fr-CA"/>
              </w:rPr>
              <w:noBreakHyphen/>
              <w:t>AC</w:t>
            </w:r>
          </w:p>
        </w:tc>
        <w:tc>
          <w:tcPr>
            <w:tcW w:w="243" w:type="pct"/>
          </w:tcPr>
          <w:p w:rsidR="00A33D62" w:rsidRPr="001321A1" w:rsidRDefault="00A33D62" w:rsidP="00D16260">
            <w:pPr>
              <w:jc w:val="both"/>
              <w:rPr>
                <w:rFonts w:eastAsia="Calibri"/>
                <w:sz w:val="20"/>
                <w:lang w:val="fr-CA"/>
              </w:rPr>
            </w:pPr>
          </w:p>
        </w:tc>
        <w:tc>
          <w:tcPr>
            <w:tcW w:w="2330" w:type="pct"/>
          </w:tcPr>
          <w:p w:rsidR="00A33D62" w:rsidRPr="001321A1" w:rsidRDefault="00A33D62" w:rsidP="00D16260">
            <w:pPr>
              <w:jc w:val="both"/>
              <w:rPr>
                <w:rFonts w:eastAsia="Calibri"/>
                <w:sz w:val="20"/>
                <w:lang w:val="fr-CA"/>
              </w:rPr>
            </w:pPr>
            <w:r w:rsidRPr="001321A1">
              <w:rPr>
                <w:rFonts w:eastAsia="Calibri"/>
                <w:sz w:val="20"/>
                <w:lang w:val="fr-CA"/>
              </w:rPr>
              <w:t>Appel rejeté</w:t>
            </w:r>
          </w:p>
          <w:p w:rsidR="00A33D62" w:rsidRPr="001321A1" w:rsidRDefault="00A33D62" w:rsidP="00D16260">
            <w:pPr>
              <w:jc w:val="both"/>
              <w:rPr>
                <w:rFonts w:eastAsia="Calibri"/>
                <w:sz w:val="20"/>
                <w:lang w:val="fr-CA"/>
              </w:rPr>
            </w:pPr>
          </w:p>
        </w:tc>
      </w:tr>
    </w:tbl>
    <w:p w:rsidR="001F7600" w:rsidRDefault="001F7600"/>
    <w:p w:rsidR="001F7600" w:rsidRDefault="001F760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3D62" w:rsidRPr="001321A1" w:rsidTr="00D16260">
        <w:tc>
          <w:tcPr>
            <w:tcW w:w="2427" w:type="pct"/>
          </w:tcPr>
          <w:p w:rsidR="00A33D62" w:rsidRPr="001321A1" w:rsidRDefault="00A33D62" w:rsidP="00D16260">
            <w:pPr>
              <w:jc w:val="both"/>
              <w:rPr>
                <w:rFonts w:eastAsia="Calibri"/>
                <w:sz w:val="20"/>
                <w:lang w:val="fr-CA"/>
              </w:rPr>
            </w:pPr>
            <w:r w:rsidRPr="001321A1">
              <w:rPr>
                <w:rFonts w:eastAsia="Calibri"/>
                <w:sz w:val="20"/>
                <w:lang w:val="fr-CA"/>
              </w:rPr>
              <w:lastRenderedPageBreak/>
              <w:t>21 novembre 2013</w:t>
            </w:r>
          </w:p>
          <w:p w:rsidR="00A33D62" w:rsidRPr="001321A1" w:rsidRDefault="00A33D62" w:rsidP="00D16260">
            <w:pPr>
              <w:jc w:val="both"/>
              <w:rPr>
                <w:rFonts w:eastAsia="Calibri"/>
                <w:sz w:val="20"/>
                <w:lang w:val="fr-CA"/>
              </w:rPr>
            </w:pPr>
            <w:r w:rsidRPr="001321A1">
              <w:rPr>
                <w:rFonts w:eastAsia="Calibri"/>
                <w:sz w:val="20"/>
                <w:lang w:val="fr-CA"/>
              </w:rPr>
              <w:t>Cour suprême du Canada</w:t>
            </w:r>
          </w:p>
        </w:tc>
        <w:tc>
          <w:tcPr>
            <w:tcW w:w="243" w:type="pct"/>
          </w:tcPr>
          <w:p w:rsidR="00A33D62" w:rsidRPr="001321A1" w:rsidRDefault="00A33D62" w:rsidP="00D16260">
            <w:pPr>
              <w:jc w:val="both"/>
              <w:rPr>
                <w:rFonts w:eastAsia="Calibri"/>
                <w:sz w:val="20"/>
                <w:lang w:val="fr-CA"/>
              </w:rPr>
            </w:pPr>
          </w:p>
        </w:tc>
        <w:tc>
          <w:tcPr>
            <w:tcW w:w="2330" w:type="pct"/>
          </w:tcPr>
          <w:p w:rsidR="00A33D62" w:rsidRPr="001321A1" w:rsidRDefault="00A33D62" w:rsidP="00D16260">
            <w:pPr>
              <w:jc w:val="both"/>
              <w:rPr>
                <w:rFonts w:eastAsia="Calibri"/>
                <w:sz w:val="20"/>
                <w:lang w:val="fr-CA"/>
              </w:rPr>
            </w:pPr>
            <w:r w:rsidRPr="001321A1">
              <w:rPr>
                <w:rFonts w:eastAsia="Calibri"/>
                <w:sz w:val="20"/>
                <w:lang w:val="fr-CA"/>
              </w:rPr>
              <w:t>Demande d’autorisation d’appel, rejetée</w:t>
            </w:r>
          </w:p>
          <w:p w:rsidR="00A33D62" w:rsidRPr="001321A1" w:rsidRDefault="00A33D62" w:rsidP="00D16260">
            <w:pPr>
              <w:jc w:val="both"/>
              <w:rPr>
                <w:rFonts w:eastAsia="Calibri"/>
                <w:sz w:val="20"/>
                <w:lang w:val="fr-CA"/>
              </w:rPr>
            </w:pPr>
          </w:p>
        </w:tc>
      </w:tr>
    </w:tbl>
    <w:p w:rsidR="00243043" w:rsidRDefault="00243043" w:rsidP="000E2959">
      <w:pPr>
        <w:rPr>
          <w:sz w:val="20"/>
          <w:szCs w:val="20"/>
        </w:rPr>
      </w:pPr>
    </w:p>
    <w:p w:rsidR="00243043" w:rsidRDefault="00BF31AA" w:rsidP="000E2959">
      <w:pPr>
        <w:rPr>
          <w:sz w:val="20"/>
          <w:szCs w:val="20"/>
        </w:rPr>
      </w:pPr>
      <w:r>
        <w:rPr>
          <w:sz w:val="20"/>
          <w:szCs w:val="20"/>
          <w:lang w:val="fr-CA"/>
        </w:rPr>
        <w:pict>
          <v:rect id="_x0000_i1039" style="width:2in;height:1pt" o:hrpct="0" o:hralign="center" o:hrstd="t" o:hrnoshade="t" o:hr="t" fillcolor="black [3213]" stroked="f"/>
        </w:pict>
      </w:r>
    </w:p>
    <w:p w:rsidR="00243043" w:rsidRDefault="00243043"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7600" w:rsidRPr="001F7600" w:rsidTr="00D16260">
        <w:trPr>
          <w:cantSplit/>
        </w:trPr>
        <w:tc>
          <w:tcPr>
            <w:tcW w:w="1458" w:type="dxa"/>
          </w:tcPr>
          <w:p w:rsidR="001F7600" w:rsidRPr="001F7600" w:rsidRDefault="001F7600" w:rsidP="001F7600">
            <w:pPr>
              <w:rPr>
                <w:sz w:val="20"/>
              </w:rPr>
            </w:pPr>
            <w:r w:rsidRPr="001F7600">
              <w:rPr>
                <w:b/>
                <w:sz w:val="20"/>
                <w:lang w:val="fr-CA"/>
              </w:rPr>
              <w:t>35678</w:t>
            </w:r>
          </w:p>
          <w:p w:rsidR="001F7600" w:rsidRPr="001F7600" w:rsidRDefault="001F7600" w:rsidP="001F7600">
            <w:pPr>
              <w:rPr>
                <w:b/>
                <w:sz w:val="20"/>
                <w:lang w:val="fr-CA"/>
              </w:rPr>
            </w:pPr>
          </w:p>
        </w:tc>
        <w:tc>
          <w:tcPr>
            <w:tcW w:w="8118" w:type="dxa"/>
          </w:tcPr>
          <w:p w:rsidR="001F7600" w:rsidRPr="001F7600" w:rsidRDefault="001F7600" w:rsidP="001F7600">
            <w:pPr>
              <w:jc w:val="both"/>
              <w:rPr>
                <w:sz w:val="20"/>
              </w:rPr>
            </w:pPr>
            <w:r w:rsidRPr="001F7600">
              <w:rPr>
                <w:b/>
                <w:sz w:val="20"/>
                <w:u w:val="single"/>
              </w:rPr>
              <w:t>Her Majesty the Queen v. Hussein Jama Nur AND BETWEEN Attorney General of Canada v. Hussein Jama Nur</w:t>
            </w:r>
            <w:r w:rsidRPr="001F7600">
              <w:rPr>
                <w:sz w:val="20"/>
              </w:rPr>
              <w:t xml:space="preserve"> (Ont.) (Criminal) (By Leave)</w:t>
            </w:r>
          </w:p>
          <w:p w:rsidR="001F7600" w:rsidRPr="001F7600" w:rsidRDefault="001F7600" w:rsidP="001F7600">
            <w:pPr>
              <w:jc w:val="both"/>
              <w:rPr>
                <w:sz w:val="20"/>
              </w:rPr>
            </w:pPr>
          </w:p>
        </w:tc>
      </w:tr>
      <w:tr w:rsidR="001F7600" w:rsidRPr="001F7600" w:rsidTr="00D16260">
        <w:trPr>
          <w:cantSplit/>
        </w:trPr>
        <w:tc>
          <w:tcPr>
            <w:tcW w:w="1458" w:type="dxa"/>
          </w:tcPr>
          <w:p w:rsidR="001F7600" w:rsidRPr="001F7600" w:rsidRDefault="001F7600" w:rsidP="001F7600">
            <w:pPr>
              <w:rPr>
                <w:sz w:val="20"/>
              </w:rPr>
            </w:pPr>
            <w:r w:rsidRPr="001F7600">
              <w:rPr>
                <w:sz w:val="20"/>
              </w:rPr>
              <w:t>Coram :</w:t>
            </w:r>
          </w:p>
        </w:tc>
        <w:tc>
          <w:tcPr>
            <w:tcW w:w="8118" w:type="dxa"/>
          </w:tcPr>
          <w:p w:rsidR="001F7600" w:rsidRPr="001F7600" w:rsidRDefault="001F7600" w:rsidP="001F7600">
            <w:pPr>
              <w:rPr>
                <w:sz w:val="20"/>
              </w:rPr>
            </w:pPr>
            <w:r w:rsidRPr="001F7600">
              <w:rPr>
                <w:sz w:val="20"/>
                <w:u w:val="single"/>
              </w:rPr>
              <w:t>Abella, Rothstein and Moldaver JJ.</w:t>
            </w:r>
          </w:p>
          <w:p w:rsidR="001F7600" w:rsidRPr="001F7600" w:rsidRDefault="001F7600" w:rsidP="001F7600">
            <w:pPr>
              <w:rPr>
                <w:sz w:val="20"/>
                <w:u w:val="single"/>
              </w:rPr>
            </w:pPr>
          </w:p>
        </w:tc>
      </w:tr>
      <w:tr w:rsidR="001F7600" w:rsidRPr="001F7600" w:rsidTr="00D16260">
        <w:trPr>
          <w:cantSplit/>
        </w:trPr>
        <w:tc>
          <w:tcPr>
            <w:tcW w:w="9576" w:type="dxa"/>
            <w:gridSpan w:val="2"/>
          </w:tcPr>
          <w:p w:rsidR="001F7600" w:rsidRPr="001F7600" w:rsidRDefault="001F7600" w:rsidP="001F7600">
            <w:pPr>
              <w:ind w:firstLine="720"/>
              <w:jc w:val="both"/>
              <w:rPr>
                <w:sz w:val="20"/>
                <w:lang w:val="fr-CA"/>
              </w:rPr>
            </w:pPr>
            <w:r w:rsidRPr="001F7600">
              <w:rPr>
                <w:sz w:val="20"/>
              </w:rPr>
              <w:t xml:space="preserve">The applications for leave to appeal from the judgment of the Court of Appeal for Ontario, Number C54701, 2013 ONCA 677, dated November 12, 2013, are granted.  </w:t>
            </w:r>
            <w:r w:rsidRPr="001F7600">
              <w:rPr>
                <w:sz w:val="20"/>
                <w:lang w:val="fr-CA"/>
              </w:rPr>
              <w:t>The application for leave to cross-appeal is dismissed.</w:t>
            </w:r>
          </w:p>
          <w:p w:rsidR="001F7600" w:rsidRPr="001F7600" w:rsidRDefault="001F7600" w:rsidP="001F7600">
            <w:pPr>
              <w:jc w:val="both"/>
              <w:rPr>
                <w:sz w:val="20"/>
                <w:lang w:val="fr-CA"/>
              </w:rPr>
            </w:pPr>
          </w:p>
          <w:p w:rsidR="001F7600" w:rsidRPr="001F7600" w:rsidRDefault="001F7600" w:rsidP="001F7600">
            <w:pPr>
              <w:ind w:firstLine="720"/>
              <w:jc w:val="both"/>
              <w:rPr>
                <w:sz w:val="20"/>
              </w:rPr>
            </w:pPr>
            <w:r w:rsidRPr="001F7600">
              <w:rPr>
                <w:sz w:val="20"/>
                <w:lang w:val="fr-CA"/>
              </w:rPr>
              <w:t xml:space="preserve">Les demandes d’autorisation d’appel de l’arrêt de la Cour d’appel de l’Ontario, numéro C54701, 2013 ONCA 677, daté du 12 novembre 2013, sont accueillies.  </w:t>
            </w:r>
            <w:r w:rsidRPr="001F7600">
              <w:rPr>
                <w:sz w:val="20"/>
              </w:rPr>
              <w:t>La demande d’autorisation d’appel incident est rejetée.</w:t>
            </w:r>
          </w:p>
        </w:tc>
      </w:tr>
    </w:tbl>
    <w:p w:rsidR="00243043" w:rsidRDefault="00243043" w:rsidP="000E2959">
      <w:pPr>
        <w:rPr>
          <w:sz w:val="20"/>
          <w:szCs w:val="20"/>
        </w:rPr>
      </w:pPr>
    </w:p>
    <w:p w:rsidR="00243043" w:rsidRPr="001B157C" w:rsidRDefault="00243043" w:rsidP="00243043">
      <w:pPr>
        <w:rPr>
          <w:sz w:val="20"/>
          <w:szCs w:val="20"/>
          <w:u w:val="single"/>
        </w:rPr>
      </w:pPr>
      <w:r w:rsidRPr="001B157C">
        <w:rPr>
          <w:sz w:val="20"/>
          <w:szCs w:val="20"/>
          <w:u w:val="single"/>
        </w:rPr>
        <w:t>CASE SUMMARY</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3D62" w:rsidRPr="001321A1" w:rsidTr="00D16260">
        <w:tc>
          <w:tcPr>
            <w:tcW w:w="5000" w:type="pct"/>
            <w:gridSpan w:val="3"/>
          </w:tcPr>
          <w:p w:rsidR="00A33D62" w:rsidRPr="001321A1" w:rsidRDefault="00A33D62" w:rsidP="00D16260">
            <w:pPr>
              <w:jc w:val="both"/>
              <w:rPr>
                <w:rFonts w:eastAsia="Calibri"/>
                <w:sz w:val="20"/>
              </w:rPr>
            </w:pPr>
            <w:r w:rsidRPr="001321A1">
              <w:rPr>
                <w:rFonts w:eastAsia="Calibri"/>
                <w:i/>
                <w:sz w:val="20"/>
              </w:rPr>
              <w:t>Canadian Charter of Rights and Freedoms</w:t>
            </w:r>
            <w:r w:rsidRPr="001321A1">
              <w:rPr>
                <w:rFonts w:eastAsia="Calibri"/>
                <w:sz w:val="20"/>
              </w:rPr>
              <w:t xml:space="preserve"> </w:t>
            </w:r>
            <w:r w:rsidRPr="001321A1">
              <w:rPr>
                <w:rFonts w:eastAsia="Calibri"/>
                <w:smallCaps/>
                <w:sz w:val="20"/>
              </w:rPr>
              <w:t xml:space="preserve">— </w:t>
            </w:r>
            <w:r w:rsidRPr="001321A1">
              <w:rPr>
                <w:rFonts w:eastAsia="Calibri"/>
                <w:sz w:val="20"/>
              </w:rPr>
              <w:t xml:space="preserve">Criminal law </w:t>
            </w:r>
            <w:r w:rsidRPr="001321A1">
              <w:rPr>
                <w:rFonts w:eastAsia="Calibri"/>
                <w:smallCaps/>
                <w:sz w:val="20"/>
              </w:rPr>
              <w:t xml:space="preserve">— </w:t>
            </w:r>
            <w:r w:rsidRPr="001321A1">
              <w:rPr>
                <w:rFonts w:eastAsia="Calibri"/>
                <w:sz w:val="20"/>
              </w:rPr>
              <w:t xml:space="preserve">Cruel and unusual treatment or punishment </w:t>
            </w:r>
            <w:r w:rsidRPr="001321A1">
              <w:rPr>
                <w:rFonts w:eastAsia="Calibri"/>
                <w:smallCaps/>
                <w:sz w:val="20"/>
              </w:rPr>
              <w:t xml:space="preserve">— </w:t>
            </w:r>
            <w:r w:rsidRPr="001321A1">
              <w:rPr>
                <w:rFonts w:eastAsia="Calibri"/>
                <w:sz w:val="20"/>
              </w:rPr>
              <w:t xml:space="preserve">Mandatory minimum sentence </w:t>
            </w:r>
            <w:r w:rsidRPr="001321A1">
              <w:rPr>
                <w:rFonts w:eastAsia="Calibri"/>
                <w:smallCaps/>
                <w:sz w:val="20"/>
              </w:rPr>
              <w:t xml:space="preserve">— </w:t>
            </w:r>
            <w:r w:rsidRPr="001321A1">
              <w:rPr>
                <w:rFonts w:eastAsia="Calibri"/>
                <w:sz w:val="20"/>
              </w:rPr>
              <w:t xml:space="preserve">Possession of prohibited or restricted firearm with ammunition </w:t>
            </w:r>
            <w:r w:rsidRPr="001321A1">
              <w:rPr>
                <w:rFonts w:eastAsia="Calibri"/>
                <w:smallCaps/>
                <w:sz w:val="20"/>
              </w:rPr>
              <w:t xml:space="preserve">— </w:t>
            </w:r>
            <w:r w:rsidRPr="001321A1">
              <w:rPr>
                <w:rFonts w:eastAsia="Calibri"/>
                <w:sz w:val="20"/>
              </w:rPr>
              <w:t xml:space="preserve">Did the Court of Appeal err in its formulation and application of the “reasonable hypothetical” test under s. 12 of the </w:t>
            </w:r>
            <w:r w:rsidRPr="001321A1">
              <w:rPr>
                <w:rFonts w:eastAsia="Calibri"/>
                <w:i/>
                <w:sz w:val="20"/>
              </w:rPr>
              <w:t>Charter</w:t>
            </w:r>
            <w:r w:rsidRPr="001321A1">
              <w:rPr>
                <w:rFonts w:eastAsia="Calibri"/>
                <w:sz w:val="20"/>
              </w:rPr>
              <w:t xml:space="preserve"> and, as a result, err in declaring that the mandatory minimum on Crown election by indictment under s. 95(2)(a)(i) of the </w:t>
            </w:r>
            <w:r w:rsidRPr="001321A1">
              <w:rPr>
                <w:rFonts w:eastAsia="Calibri"/>
                <w:i/>
                <w:sz w:val="20"/>
              </w:rPr>
              <w:t>Criminal Code</w:t>
            </w:r>
            <w:r w:rsidRPr="001321A1">
              <w:rPr>
                <w:rFonts w:eastAsia="Calibri"/>
                <w:sz w:val="20"/>
              </w:rPr>
              <w:t xml:space="preserve"> limits the right not to be subjected to cruel and unusual punishment as guaranteed by s. 12 of the </w:t>
            </w:r>
            <w:r w:rsidRPr="001321A1">
              <w:rPr>
                <w:rFonts w:eastAsia="Calibri"/>
                <w:i/>
                <w:sz w:val="20"/>
              </w:rPr>
              <w:t>Charter</w:t>
            </w:r>
            <w:r w:rsidRPr="001321A1">
              <w:rPr>
                <w:rFonts w:eastAsia="Calibri"/>
                <w:sz w:val="20"/>
              </w:rPr>
              <w:t xml:space="preserve">? </w:t>
            </w:r>
            <w:r w:rsidRPr="001321A1">
              <w:rPr>
                <w:rFonts w:eastAsia="Calibri"/>
                <w:smallCaps/>
                <w:sz w:val="20"/>
              </w:rPr>
              <w:t xml:space="preserve">— </w:t>
            </w:r>
            <w:r w:rsidRPr="001321A1">
              <w:rPr>
                <w:rFonts w:eastAsia="Calibri"/>
                <w:sz w:val="20"/>
              </w:rPr>
              <w:t xml:space="preserve">Does the methodology of invaliding a statute based on a purely hypothetical case accord with the high threshold required for a s. 12 violation under the </w:t>
            </w:r>
            <w:r w:rsidRPr="001321A1">
              <w:rPr>
                <w:rFonts w:eastAsia="Calibri"/>
                <w:i/>
                <w:sz w:val="20"/>
              </w:rPr>
              <w:t>Charter</w:t>
            </w:r>
            <w:r w:rsidRPr="001321A1">
              <w:rPr>
                <w:rFonts w:eastAsia="Calibri"/>
                <w:sz w:val="20"/>
              </w:rPr>
              <w:t xml:space="preserve">? </w:t>
            </w:r>
            <w:r w:rsidRPr="001321A1">
              <w:rPr>
                <w:rFonts w:eastAsia="Calibri"/>
                <w:smallCaps/>
                <w:sz w:val="20"/>
              </w:rPr>
              <w:t xml:space="preserve">— </w:t>
            </w:r>
            <w:r w:rsidRPr="001321A1">
              <w:rPr>
                <w:rFonts w:eastAsia="Calibri"/>
                <w:sz w:val="20"/>
              </w:rPr>
              <w:t xml:space="preserve">Did the Court of Appeal err by failing to assess collateral immigration consequences when it determined appropriateness of Respondent’s sentence? </w:t>
            </w:r>
            <w:r w:rsidRPr="001321A1">
              <w:rPr>
                <w:rFonts w:eastAsia="Calibri"/>
                <w:smallCaps/>
                <w:sz w:val="20"/>
              </w:rPr>
              <w:t xml:space="preserve">— </w:t>
            </w:r>
            <w:r w:rsidRPr="001321A1">
              <w:rPr>
                <w:rFonts w:eastAsia="Calibri"/>
                <w:i/>
                <w:sz w:val="20"/>
                <w:lang w:eastAsia="fr-CA"/>
              </w:rPr>
              <w:t>Criminal Code</w:t>
            </w:r>
            <w:r w:rsidRPr="001321A1">
              <w:rPr>
                <w:rFonts w:eastAsia="Calibri"/>
                <w:sz w:val="20"/>
                <w:lang w:eastAsia="fr-CA"/>
              </w:rPr>
              <w:t>, R.S.C., 1985, c. C-46.</w:t>
            </w:r>
          </w:p>
        </w:tc>
      </w:tr>
      <w:tr w:rsidR="00A33D62" w:rsidRPr="001321A1" w:rsidTr="00D16260">
        <w:tc>
          <w:tcPr>
            <w:tcW w:w="5000" w:type="pct"/>
            <w:gridSpan w:val="3"/>
          </w:tcPr>
          <w:p w:rsidR="00A33D62" w:rsidRPr="001321A1" w:rsidRDefault="00A33D62" w:rsidP="00D16260">
            <w:pPr>
              <w:jc w:val="both"/>
              <w:rPr>
                <w:rFonts w:eastAsia="Calibri"/>
                <w:sz w:val="20"/>
              </w:rPr>
            </w:pPr>
          </w:p>
        </w:tc>
      </w:tr>
      <w:tr w:rsidR="00A33D62" w:rsidRPr="001321A1" w:rsidTr="00D16260">
        <w:tc>
          <w:tcPr>
            <w:tcW w:w="5000" w:type="pct"/>
            <w:gridSpan w:val="3"/>
          </w:tcPr>
          <w:p w:rsidR="00A33D62" w:rsidRPr="001321A1" w:rsidRDefault="00A33D62" w:rsidP="00D16260">
            <w:pPr>
              <w:jc w:val="both"/>
              <w:rPr>
                <w:rFonts w:eastAsia="Calibri"/>
                <w:iCs/>
                <w:sz w:val="20"/>
              </w:rPr>
            </w:pPr>
            <w:r w:rsidRPr="001321A1">
              <w:rPr>
                <w:rFonts w:eastAsia="Calibri"/>
                <w:sz w:val="20"/>
              </w:rPr>
              <w:t xml:space="preserve">In 2009, a young man approached a staff member at a community centre and said that someone was waiting outside to “get him.”  The staff member put the community centre on lockdown and called the police.  When the police arrived, they saw four men outside an entrance run off in different directions.  One officer chased the Respondent who was seen throwing something away, later determined to be a fully operable, 22-calibre semiautomatic hand gun, a prohibited firearm, fully loaded with an oversized ammunition clip containing 23 bullets.  The Respondent was 19 years old at the time of the offence and was not licensed to possess a firearm which was not itself registered.  The Crown elected to proceed by indictment.  In 2010, the Respondent pled guilty to possession of a loaded prohibited firearm, contrary to s. 95(1) of the </w:t>
            </w:r>
            <w:r w:rsidRPr="001321A1">
              <w:rPr>
                <w:rFonts w:eastAsia="Calibri"/>
                <w:i/>
                <w:sz w:val="20"/>
              </w:rPr>
              <w:t>Criminal Code</w:t>
            </w:r>
            <w:r w:rsidRPr="001321A1">
              <w:rPr>
                <w:rFonts w:eastAsia="Calibri"/>
                <w:sz w:val="20"/>
              </w:rPr>
              <w:t xml:space="preserve">, but challenged the three-year mandatory minimum sentencing regime under s. 95(2)(a)(i) of the </w:t>
            </w:r>
            <w:r w:rsidRPr="001321A1">
              <w:rPr>
                <w:rFonts w:eastAsia="Calibri"/>
                <w:i/>
                <w:iCs/>
                <w:sz w:val="20"/>
              </w:rPr>
              <w:t>Criminal Code</w:t>
            </w:r>
            <w:r w:rsidRPr="001321A1">
              <w:rPr>
                <w:rFonts w:eastAsia="Calibri"/>
                <w:iCs/>
                <w:sz w:val="20"/>
              </w:rPr>
              <w:t>.</w:t>
            </w:r>
          </w:p>
          <w:p w:rsidR="00A33D62" w:rsidRPr="001321A1" w:rsidRDefault="00A33D62" w:rsidP="00D16260">
            <w:pPr>
              <w:jc w:val="both"/>
              <w:rPr>
                <w:rFonts w:eastAsia="Calibri"/>
                <w:sz w:val="20"/>
              </w:rPr>
            </w:pPr>
          </w:p>
        </w:tc>
      </w:tr>
      <w:tr w:rsidR="00A33D62" w:rsidRPr="001321A1" w:rsidTr="00D16260">
        <w:tc>
          <w:tcPr>
            <w:tcW w:w="2427" w:type="pct"/>
          </w:tcPr>
          <w:p w:rsidR="00A33D62" w:rsidRPr="001321A1" w:rsidRDefault="00A33D62" w:rsidP="00D16260">
            <w:pPr>
              <w:jc w:val="both"/>
              <w:rPr>
                <w:rFonts w:eastAsia="Calibri"/>
                <w:sz w:val="20"/>
              </w:rPr>
            </w:pPr>
            <w:r w:rsidRPr="001321A1">
              <w:rPr>
                <w:rFonts w:eastAsia="Calibri"/>
                <w:sz w:val="20"/>
              </w:rPr>
              <w:t>August 30, 2011</w:t>
            </w:r>
          </w:p>
          <w:p w:rsidR="00A33D62" w:rsidRPr="001321A1" w:rsidRDefault="00A33D62" w:rsidP="00D16260">
            <w:pPr>
              <w:jc w:val="both"/>
              <w:rPr>
                <w:rFonts w:eastAsia="Calibri"/>
                <w:sz w:val="20"/>
              </w:rPr>
            </w:pPr>
            <w:r w:rsidRPr="001321A1">
              <w:rPr>
                <w:rFonts w:eastAsia="Calibri"/>
                <w:sz w:val="20"/>
              </w:rPr>
              <w:t>Ontario Superior Court of Justice</w:t>
            </w:r>
          </w:p>
          <w:p w:rsidR="00A33D62" w:rsidRPr="001321A1" w:rsidRDefault="00A33D62" w:rsidP="00D16260">
            <w:pPr>
              <w:jc w:val="both"/>
              <w:rPr>
                <w:rFonts w:eastAsia="Calibri"/>
                <w:sz w:val="20"/>
              </w:rPr>
            </w:pPr>
            <w:r w:rsidRPr="001321A1">
              <w:rPr>
                <w:rFonts w:eastAsia="Calibri"/>
                <w:sz w:val="20"/>
              </w:rPr>
              <w:t>(Code J.)</w:t>
            </w:r>
          </w:p>
          <w:p w:rsidR="00A33D62" w:rsidRPr="001321A1" w:rsidRDefault="00A33D62" w:rsidP="00D16260">
            <w:pPr>
              <w:jc w:val="both"/>
              <w:rPr>
                <w:rFonts w:eastAsia="Calibri"/>
                <w:sz w:val="20"/>
              </w:rPr>
            </w:pPr>
            <w:r w:rsidRPr="001321A1">
              <w:rPr>
                <w:rFonts w:eastAsia="Calibri"/>
                <w:sz w:val="20"/>
              </w:rPr>
              <w:t>No. 40000591-0000</w:t>
            </w:r>
          </w:p>
          <w:p w:rsidR="00A33D62" w:rsidRPr="001321A1" w:rsidRDefault="00BF31AA" w:rsidP="00D16260">
            <w:pPr>
              <w:jc w:val="both"/>
              <w:rPr>
                <w:rFonts w:eastAsia="Calibri"/>
                <w:sz w:val="20"/>
                <w:lang w:val="fr-CA"/>
              </w:rPr>
            </w:pPr>
            <w:hyperlink r:id="rId24" w:history="1">
              <w:r w:rsidR="00A33D62" w:rsidRPr="001321A1">
                <w:rPr>
                  <w:rFonts w:eastAsia="Calibri"/>
                  <w:color w:val="0000FF"/>
                  <w:sz w:val="20"/>
                  <w:u w:val="single"/>
                </w:rPr>
                <w:t>2011 ONSC 4874</w:t>
              </w:r>
            </w:hyperlink>
          </w:p>
          <w:p w:rsidR="00A33D62" w:rsidRPr="001321A1" w:rsidRDefault="00A33D62" w:rsidP="00D16260">
            <w:pPr>
              <w:jc w:val="both"/>
              <w:rPr>
                <w:rFonts w:eastAsia="Calibri"/>
                <w:sz w:val="20"/>
              </w:rPr>
            </w:pPr>
          </w:p>
        </w:tc>
        <w:tc>
          <w:tcPr>
            <w:tcW w:w="243" w:type="pct"/>
          </w:tcPr>
          <w:p w:rsidR="00A33D62" w:rsidRPr="001321A1" w:rsidRDefault="00A33D62" w:rsidP="00D16260">
            <w:pPr>
              <w:jc w:val="both"/>
              <w:rPr>
                <w:rFonts w:eastAsia="Calibri"/>
                <w:sz w:val="20"/>
              </w:rPr>
            </w:pPr>
          </w:p>
        </w:tc>
        <w:tc>
          <w:tcPr>
            <w:tcW w:w="2330" w:type="pct"/>
          </w:tcPr>
          <w:p w:rsidR="00A33D62" w:rsidRPr="001321A1" w:rsidRDefault="00A33D62" w:rsidP="00D16260">
            <w:pPr>
              <w:jc w:val="both"/>
              <w:rPr>
                <w:rFonts w:eastAsia="Calibri"/>
                <w:sz w:val="20"/>
              </w:rPr>
            </w:pPr>
            <w:r w:rsidRPr="001321A1">
              <w:rPr>
                <w:rFonts w:eastAsia="Calibri"/>
                <w:sz w:val="20"/>
              </w:rPr>
              <w:t xml:space="preserve">Respondent’s motion challenging constitutionality of </w:t>
            </w:r>
            <w:hyperlink r:id="rId25" w:anchor="sec95subsec2_smooth" w:history="1">
              <w:r w:rsidRPr="001321A1">
                <w:rPr>
                  <w:rFonts w:eastAsia="Calibri"/>
                  <w:sz w:val="20"/>
                </w:rPr>
                <w:t>s. 95(2)</w:t>
              </w:r>
            </w:hyperlink>
            <w:r w:rsidRPr="001321A1">
              <w:rPr>
                <w:rFonts w:eastAsia="Calibri"/>
                <w:sz w:val="20"/>
              </w:rPr>
              <w:t xml:space="preserve">(a)(i) of the </w:t>
            </w:r>
            <w:hyperlink r:id="rId26" w:history="1">
              <w:r w:rsidRPr="001321A1">
                <w:rPr>
                  <w:rFonts w:eastAsia="Calibri"/>
                  <w:i/>
                  <w:sz w:val="20"/>
                </w:rPr>
                <w:t>Criminal Code</w:t>
              </w:r>
            </w:hyperlink>
            <w:r w:rsidRPr="001321A1">
              <w:rPr>
                <w:rFonts w:eastAsia="Calibri"/>
                <w:sz w:val="20"/>
              </w:rPr>
              <w:t xml:space="preserve"> dismissed.</w:t>
            </w:r>
          </w:p>
          <w:p w:rsidR="00A33D62" w:rsidRPr="001321A1" w:rsidRDefault="00A33D62" w:rsidP="00D16260">
            <w:pPr>
              <w:jc w:val="both"/>
              <w:rPr>
                <w:rFonts w:eastAsia="Calibri"/>
                <w:sz w:val="20"/>
              </w:rPr>
            </w:pPr>
          </w:p>
        </w:tc>
      </w:tr>
      <w:tr w:rsidR="00A33D62" w:rsidRPr="001321A1" w:rsidTr="00D16260">
        <w:tc>
          <w:tcPr>
            <w:tcW w:w="2427" w:type="pct"/>
          </w:tcPr>
          <w:p w:rsidR="00A33D62" w:rsidRPr="001321A1" w:rsidRDefault="00A33D62" w:rsidP="00D16260">
            <w:pPr>
              <w:jc w:val="both"/>
              <w:rPr>
                <w:rFonts w:eastAsia="Calibri"/>
                <w:sz w:val="20"/>
              </w:rPr>
            </w:pPr>
            <w:r w:rsidRPr="001321A1">
              <w:rPr>
                <w:rFonts w:eastAsia="Calibri"/>
                <w:sz w:val="20"/>
              </w:rPr>
              <w:t>November 12, 2013</w:t>
            </w:r>
          </w:p>
          <w:p w:rsidR="00A33D62" w:rsidRPr="001321A1" w:rsidRDefault="00A33D62" w:rsidP="00D16260">
            <w:pPr>
              <w:jc w:val="both"/>
              <w:rPr>
                <w:rFonts w:eastAsia="Calibri"/>
                <w:sz w:val="20"/>
              </w:rPr>
            </w:pPr>
            <w:r w:rsidRPr="001321A1">
              <w:rPr>
                <w:rFonts w:eastAsia="Calibri"/>
                <w:sz w:val="20"/>
              </w:rPr>
              <w:t>Court of Appeal for Ontario</w:t>
            </w:r>
          </w:p>
          <w:p w:rsidR="00A33D62" w:rsidRPr="001321A1" w:rsidRDefault="00A33D62" w:rsidP="00D16260">
            <w:pPr>
              <w:jc w:val="both"/>
              <w:rPr>
                <w:rFonts w:eastAsia="Calibri"/>
                <w:sz w:val="20"/>
              </w:rPr>
            </w:pPr>
            <w:r w:rsidRPr="001321A1">
              <w:rPr>
                <w:rFonts w:eastAsia="Calibri"/>
                <w:sz w:val="20"/>
              </w:rPr>
              <w:t>(Doherty, Goudge, Cronk, Blair and Tulloch JJ.A.)</w:t>
            </w:r>
          </w:p>
          <w:p w:rsidR="00A33D62" w:rsidRPr="001321A1" w:rsidRDefault="00A33D62" w:rsidP="00D16260">
            <w:pPr>
              <w:jc w:val="both"/>
              <w:rPr>
                <w:rFonts w:eastAsia="Calibri"/>
                <w:sz w:val="20"/>
              </w:rPr>
            </w:pPr>
            <w:r w:rsidRPr="001321A1">
              <w:rPr>
                <w:rFonts w:eastAsia="Calibri"/>
                <w:sz w:val="20"/>
              </w:rPr>
              <w:t>No. C54701</w:t>
            </w:r>
          </w:p>
          <w:p w:rsidR="00A33D62" w:rsidRPr="001321A1" w:rsidRDefault="00BF31AA" w:rsidP="00D16260">
            <w:pPr>
              <w:jc w:val="both"/>
              <w:rPr>
                <w:rFonts w:eastAsia="Calibri"/>
                <w:sz w:val="20"/>
              </w:rPr>
            </w:pPr>
            <w:hyperlink r:id="rId27" w:history="1">
              <w:r w:rsidR="00A33D62" w:rsidRPr="001321A1">
                <w:rPr>
                  <w:rFonts w:eastAsia="Calibri"/>
                  <w:color w:val="0000FF"/>
                  <w:sz w:val="20"/>
                  <w:u w:val="single"/>
                </w:rPr>
                <w:t>2013 ONCA 677</w:t>
              </w:r>
            </w:hyperlink>
          </w:p>
          <w:p w:rsidR="00A33D62" w:rsidRPr="001321A1" w:rsidRDefault="00A33D62" w:rsidP="00D16260">
            <w:pPr>
              <w:jc w:val="both"/>
              <w:rPr>
                <w:rFonts w:eastAsia="Calibri"/>
                <w:sz w:val="20"/>
              </w:rPr>
            </w:pPr>
          </w:p>
        </w:tc>
        <w:tc>
          <w:tcPr>
            <w:tcW w:w="243" w:type="pct"/>
          </w:tcPr>
          <w:p w:rsidR="00A33D62" w:rsidRPr="001321A1" w:rsidRDefault="00A33D62" w:rsidP="00D16260">
            <w:pPr>
              <w:jc w:val="both"/>
              <w:rPr>
                <w:rFonts w:eastAsia="Calibri"/>
                <w:sz w:val="20"/>
              </w:rPr>
            </w:pPr>
          </w:p>
        </w:tc>
        <w:tc>
          <w:tcPr>
            <w:tcW w:w="2330" w:type="pct"/>
          </w:tcPr>
          <w:p w:rsidR="00A33D62" w:rsidRPr="001321A1" w:rsidRDefault="00A33D62" w:rsidP="00D16260">
            <w:pPr>
              <w:jc w:val="both"/>
              <w:rPr>
                <w:rFonts w:eastAsia="Calibri"/>
                <w:sz w:val="20"/>
              </w:rPr>
            </w:pPr>
            <w:r w:rsidRPr="001321A1">
              <w:rPr>
                <w:rFonts w:eastAsia="Calibri"/>
                <w:sz w:val="20"/>
              </w:rPr>
              <w:t xml:space="preserve">Section 95(2)(a)(i) of the </w:t>
            </w:r>
            <w:hyperlink r:id="rId28" w:history="1">
              <w:r w:rsidRPr="001321A1">
                <w:rPr>
                  <w:rFonts w:eastAsia="Calibri"/>
                  <w:i/>
                  <w:sz w:val="20"/>
                </w:rPr>
                <w:t>Criminal Code</w:t>
              </w:r>
            </w:hyperlink>
            <w:r w:rsidRPr="001321A1">
              <w:rPr>
                <w:rFonts w:eastAsia="Calibri"/>
                <w:i/>
                <w:sz w:val="20"/>
              </w:rPr>
              <w:t xml:space="preserve"> </w:t>
            </w:r>
            <w:r w:rsidRPr="001321A1">
              <w:rPr>
                <w:rFonts w:eastAsia="Calibri"/>
                <w:sz w:val="20"/>
              </w:rPr>
              <w:t xml:space="preserve">declared of no force or effect as contrary to s. 12 of the </w:t>
            </w:r>
            <w:r w:rsidRPr="001321A1">
              <w:rPr>
                <w:rFonts w:eastAsia="Calibri"/>
                <w:i/>
                <w:sz w:val="20"/>
              </w:rPr>
              <w:t>Charter</w:t>
            </w:r>
            <w:r w:rsidRPr="001321A1">
              <w:rPr>
                <w:rFonts w:eastAsia="Calibri"/>
                <w:sz w:val="20"/>
              </w:rPr>
              <w:t xml:space="preserve"> to the extent that it imposes a mandatory three-year minimum term of imprisonment when Crown proceeds by indictment.</w:t>
            </w:r>
          </w:p>
        </w:tc>
      </w:tr>
      <w:tr w:rsidR="00A33D62" w:rsidRPr="001321A1" w:rsidTr="00D16260">
        <w:tc>
          <w:tcPr>
            <w:tcW w:w="2427" w:type="pct"/>
          </w:tcPr>
          <w:p w:rsidR="00A33D62" w:rsidRPr="001321A1" w:rsidRDefault="00A33D62" w:rsidP="00D16260">
            <w:pPr>
              <w:jc w:val="both"/>
              <w:rPr>
                <w:rFonts w:eastAsia="Calibri"/>
                <w:sz w:val="20"/>
              </w:rPr>
            </w:pPr>
            <w:r w:rsidRPr="001321A1">
              <w:rPr>
                <w:rFonts w:eastAsia="Calibri"/>
                <w:sz w:val="20"/>
              </w:rPr>
              <w:lastRenderedPageBreak/>
              <w:t>January 10, 2014</w:t>
            </w:r>
          </w:p>
          <w:p w:rsidR="00A33D62" w:rsidRPr="001321A1" w:rsidRDefault="00A33D62" w:rsidP="00D16260">
            <w:pPr>
              <w:jc w:val="both"/>
              <w:rPr>
                <w:rFonts w:eastAsia="Calibri"/>
                <w:sz w:val="20"/>
              </w:rPr>
            </w:pPr>
            <w:r w:rsidRPr="001321A1">
              <w:rPr>
                <w:rFonts w:eastAsia="Calibri"/>
                <w:sz w:val="20"/>
              </w:rPr>
              <w:t>Supreme Court of Canada</w:t>
            </w:r>
          </w:p>
          <w:p w:rsidR="00A33D62" w:rsidRPr="001321A1" w:rsidRDefault="00A33D62" w:rsidP="00D16260">
            <w:pPr>
              <w:jc w:val="both"/>
              <w:rPr>
                <w:rFonts w:eastAsia="Calibri"/>
                <w:sz w:val="20"/>
              </w:rPr>
            </w:pPr>
          </w:p>
        </w:tc>
        <w:tc>
          <w:tcPr>
            <w:tcW w:w="243" w:type="pct"/>
          </w:tcPr>
          <w:p w:rsidR="00A33D62" w:rsidRPr="001321A1" w:rsidRDefault="00A33D62" w:rsidP="00D16260">
            <w:pPr>
              <w:jc w:val="both"/>
              <w:rPr>
                <w:rFonts w:eastAsia="Calibri"/>
                <w:sz w:val="20"/>
              </w:rPr>
            </w:pPr>
          </w:p>
        </w:tc>
        <w:tc>
          <w:tcPr>
            <w:tcW w:w="2330" w:type="pct"/>
          </w:tcPr>
          <w:p w:rsidR="00A33D62" w:rsidRPr="001321A1" w:rsidRDefault="00A33D62" w:rsidP="00D16260">
            <w:pPr>
              <w:jc w:val="both"/>
              <w:rPr>
                <w:rFonts w:eastAsia="Calibri"/>
                <w:sz w:val="20"/>
              </w:rPr>
            </w:pPr>
            <w:r w:rsidRPr="001321A1">
              <w:rPr>
                <w:rFonts w:eastAsia="Calibri"/>
                <w:sz w:val="20"/>
              </w:rPr>
              <w:t>Application for leave to appeal filed.</w:t>
            </w:r>
          </w:p>
          <w:p w:rsidR="00A33D62" w:rsidRPr="001321A1" w:rsidRDefault="00A33D62" w:rsidP="00D16260">
            <w:pPr>
              <w:jc w:val="both"/>
              <w:rPr>
                <w:rFonts w:eastAsia="Calibri"/>
                <w:sz w:val="20"/>
              </w:rPr>
            </w:pPr>
          </w:p>
        </w:tc>
      </w:tr>
      <w:tr w:rsidR="00A33D62" w:rsidRPr="001321A1" w:rsidTr="00D16260">
        <w:tc>
          <w:tcPr>
            <w:tcW w:w="2427" w:type="pct"/>
          </w:tcPr>
          <w:p w:rsidR="00A33D62" w:rsidRPr="001321A1" w:rsidRDefault="00A33D62" w:rsidP="00D16260">
            <w:pPr>
              <w:jc w:val="both"/>
              <w:rPr>
                <w:rFonts w:eastAsia="Calibri"/>
                <w:sz w:val="20"/>
              </w:rPr>
            </w:pPr>
            <w:r w:rsidRPr="001321A1">
              <w:rPr>
                <w:rFonts w:eastAsia="Calibri"/>
                <w:sz w:val="20"/>
              </w:rPr>
              <w:t>February 10, 2014</w:t>
            </w:r>
          </w:p>
          <w:p w:rsidR="00A33D62" w:rsidRPr="001321A1" w:rsidRDefault="00A33D62" w:rsidP="00D16260">
            <w:pPr>
              <w:jc w:val="both"/>
              <w:rPr>
                <w:rFonts w:eastAsia="Calibri"/>
                <w:sz w:val="20"/>
              </w:rPr>
            </w:pPr>
            <w:r w:rsidRPr="001321A1">
              <w:rPr>
                <w:rFonts w:eastAsia="Calibri"/>
                <w:sz w:val="20"/>
              </w:rPr>
              <w:t>Supreme Court of Canada</w:t>
            </w:r>
          </w:p>
        </w:tc>
        <w:tc>
          <w:tcPr>
            <w:tcW w:w="243" w:type="pct"/>
          </w:tcPr>
          <w:p w:rsidR="00A33D62" w:rsidRPr="001321A1" w:rsidRDefault="00A33D62" w:rsidP="00D16260">
            <w:pPr>
              <w:jc w:val="both"/>
              <w:rPr>
                <w:rFonts w:eastAsia="Calibri"/>
                <w:sz w:val="20"/>
              </w:rPr>
            </w:pPr>
          </w:p>
        </w:tc>
        <w:tc>
          <w:tcPr>
            <w:tcW w:w="2330" w:type="pct"/>
          </w:tcPr>
          <w:p w:rsidR="00A33D62" w:rsidRPr="001321A1" w:rsidRDefault="00A33D62" w:rsidP="00D16260">
            <w:pPr>
              <w:jc w:val="both"/>
              <w:rPr>
                <w:rFonts w:eastAsia="Calibri"/>
                <w:sz w:val="20"/>
              </w:rPr>
            </w:pPr>
            <w:r w:rsidRPr="001321A1">
              <w:rPr>
                <w:rFonts w:eastAsia="Calibri"/>
                <w:sz w:val="20"/>
              </w:rPr>
              <w:t>Application for leave to cross-appeal filed.</w:t>
            </w:r>
          </w:p>
        </w:tc>
      </w:tr>
    </w:tbl>
    <w:p w:rsidR="00243043" w:rsidRDefault="00243043" w:rsidP="000E2959">
      <w:pPr>
        <w:rPr>
          <w:sz w:val="20"/>
          <w:szCs w:val="20"/>
        </w:rPr>
      </w:pPr>
    </w:p>
    <w:p w:rsidR="00243043" w:rsidRDefault="00BF31AA" w:rsidP="000E2959">
      <w:pPr>
        <w:rPr>
          <w:sz w:val="20"/>
          <w:szCs w:val="20"/>
          <w:lang w:val="fr-CA"/>
        </w:rPr>
      </w:pPr>
      <w:r>
        <w:rPr>
          <w:sz w:val="20"/>
          <w:szCs w:val="20"/>
          <w:lang w:val="fr-CA"/>
        </w:rPr>
        <w:pict>
          <v:rect id="_x0000_i1040" style="width:2in;height:1pt" o:hrpct="0" o:hralign="center" o:hrstd="t" o:hrnoshade="t" o:hr="t" fillcolor="black [3213]" stroked="f"/>
        </w:pict>
      </w:r>
    </w:p>
    <w:p w:rsidR="00243043" w:rsidRDefault="00243043" w:rsidP="000E2959">
      <w:pPr>
        <w:rPr>
          <w:sz w:val="20"/>
          <w:szCs w:val="20"/>
          <w:lang w:val="fr-CA"/>
        </w:rPr>
      </w:pPr>
    </w:p>
    <w:p w:rsidR="00243043" w:rsidRPr="001B157C" w:rsidRDefault="00243043" w:rsidP="00243043">
      <w:pPr>
        <w:rPr>
          <w:sz w:val="20"/>
          <w:szCs w:val="20"/>
          <w:u w:val="single"/>
          <w:lang w:val="fr-CA"/>
        </w:rPr>
      </w:pPr>
      <w:r w:rsidRPr="001B157C">
        <w:rPr>
          <w:sz w:val="20"/>
          <w:szCs w:val="20"/>
          <w:u w:val="single"/>
          <w:lang w:val="fr-CA"/>
        </w:rPr>
        <w:t>RÉSUMÉ DE L’AFFAIRE</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3D62" w:rsidRPr="001321A1" w:rsidTr="00D16260">
        <w:tc>
          <w:tcPr>
            <w:tcW w:w="5000" w:type="pct"/>
            <w:gridSpan w:val="3"/>
          </w:tcPr>
          <w:p w:rsidR="00A33D62" w:rsidRPr="001321A1" w:rsidRDefault="00A33D62" w:rsidP="00D16260">
            <w:pPr>
              <w:jc w:val="both"/>
              <w:rPr>
                <w:rFonts w:eastAsia="Calibri"/>
                <w:sz w:val="20"/>
                <w:lang w:val="fr-CA"/>
              </w:rPr>
            </w:pPr>
            <w:r w:rsidRPr="001321A1">
              <w:rPr>
                <w:rFonts w:eastAsia="Calibri"/>
                <w:i/>
                <w:sz w:val="20"/>
                <w:lang w:val="fr-CA"/>
              </w:rPr>
              <w:t>Charte canadienne des droits et libertés</w:t>
            </w:r>
            <w:r w:rsidRPr="001321A1">
              <w:rPr>
                <w:rFonts w:eastAsia="Calibri"/>
                <w:sz w:val="20"/>
                <w:lang w:val="fr-CA"/>
              </w:rPr>
              <w:t xml:space="preserve"> — Droit criminel — Traitements ou peines cruels et inusités — Peine minimale obligatoire — Possession d’une arme à feu prohibée ou à autorisation restreinte avec des munitions — La Cour d’appel a-t-elle commis une erreur dans sa formulation et son application du critère des « situations hypothétiques raisonnables » de l’art. 12 de la </w:t>
            </w:r>
            <w:r w:rsidRPr="001321A1">
              <w:rPr>
                <w:rFonts w:eastAsia="Calibri"/>
                <w:i/>
                <w:sz w:val="20"/>
                <w:lang w:val="fr-CA"/>
              </w:rPr>
              <w:t>Charte</w:t>
            </w:r>
            <w:r w:rsidRPr="001321A1">
              <w:rPr>
                <w:rFonts w:eastAsia="Calibri"/>
                <w:sz w:val="20"/>
                <w:lang w:val="fr-CA"/>
              </w:rPr>
              <w:t>, et a-t-elle en conséquence commis une erreur en déclarant que la peine minimale obligatoire, lorsque le ministère public choisit de procéder par voie de mise en accusation en application du sous</w:t>
            </w:r>
            <w:r w:rsidRPr="001321A1">
              <w:rPr>
                <w:rFonts w:eastAsia="Calibri"/>
                <w:sz w:val="20"/>
                <w:lang w:val="fr-CA"/>
              </w:rPr>
              <w:noBreakHyphen/>
              <w:t>al. 95(2)</w:t>
            </w:r>
            <w:r w:rsidRPr="001321A1">
              <w:rPr>
                <w:rFonts w:eastAsia="Calibri"/>
                <w:i/>
                <w:sz w:val="20"/>
                <w:lang w:val="fr-CA"/>
              </w:rPr>
              <w:t>a</w:t>
            </w:r>
            <w:r w:rsidRPr="001321A1">
              <w:rPr>
                <w:rFonts w:eastAsia="Calibri"/>
                <w:sz w:val="20"/>
                <w:lang w:val="fr-CA"/>
              </w:rPr>
              <w:t xml:space="preserve">)(i) du </w:t>
            </w:r>
            <w:r w:rsidRPr="001321A1">
              <w:rPr>
                <w:rFonts w:eastAsia="Calibri"/>
                <w:i/>
                <w:sz w:val="20"/>
                <w:lang w:val="fr-CA"/>
              </w:rPr>
              <w:t>Code criminel</w:t>
            </w:r>
            <w:r w:rsidRPr="001321A1">
              <w:rPr>
                <w:rFonts w:eastAsia="Calibri"/>
                <w:sz w:val="20"/>
                <w:lang w:val="fr-CA"/>
              </w:rPr>
              <w:t xml:space="preserve">, porte atteinte au droit à la protection contre toutes peines cruelles et inusitées garanti par l’art. 12 de la </w:t>
            </w:r>
            <w:r w:rsidRPr="001321A1">
              <w:rPr>
                <w:rFonts w:eastAsia="Calibri"/>
                <w:i/>
                <w:sz w:val="20"/>
                <w:lang w:val="fr-CA"/>
              </w:rPr>
              <w:t>Charte</w:t>
            </w:r>
            <w:r w:rsidRPr="001321A1">
              <w:rPr>
                <w:rFonts w:eastAsia="Calibri"/>
                <w:sz w:val="20"/>
                <w:lang w:val="fr-CA"/>
              </w:rPr>
              <w:t xml:space="preserve">? — La méthodologie consistant à invalider une loi en se fondant sur une situation purement hypothétique s’accorde-t-elle avec le critère exigeant requis pour conclure à une violation de l’art. 12 de la </w:t>
            </w:r>
            <w:r w:rsidRPr="001321A1">
              <w:rPr>
                <w:rFonts w:eastAsia="Calibri"/>
                <w:i/>
                <w:sz w:val="20"/>
                <w:lang w:val="fr-CA"/>
              </w:rPr>
              <w:t>Charte</w:t>
            </w:r>
            <w:r w:rsidRPr="001321A1">
              <w:rPr>
                <w:rFonts w:eastAsia="Calibri"/>
                <w:sz w:val="20"/>
                <w:lang w:val="fr-CA"/>
              </w:rPr>
              <w:t xml:space="preserve">? — La Cour d’appel a-t-elle commis une erreur en omettant d’évaluer les conséquences indirectes en matière d’immigration lorsqu’elle s’est prononcée sur le caractère approprié de la peine infligée à l’intimé? — </w:t>
            </w:r>
            <w:r w:rsidRPr="001321A1">
              <w:rPr>
                <w:rFonts w:eastAsia="Calibri"/>
                <w:i/>
                <w:sz w:val="20"/>
                <w:lang w:val="fr-CA" w:eastAsia="fr-CA"/>
              </w:rPr>
              <w:t>Code criminel</w:t>
            </w:r>
            <w:r w:rsidRPr="001321A1">
              <w:rPr>
                <w:rFonts w:eastAsia="Calibri"/>
                <w:sz w:val="20"/>
                <w:lang w:val="fr-CA" w:eastAsia="fr-CA"/>
              </w:rPr>
              <w:t>, L.R.C. 1985, ch. C-46.</w:t>
            </w:r>
          </w:p>
        </w:tc>
      </w:tr>
      <w:tr w:rsidR="00A33D62" w:rsidRPr="001321A1" w:rsidTr="00D16260">
        <w:tc>
          <w:tcPr>
            <w:tcW w:w="5000" w:type="pct"/>
            <w:gridSpan w:val="3"/>
          </w:tcPr>
          <w:p w:rsidR="00A33D62" w:rsidRPr="001321A1" w:rsidRDefault="00A33D62" w:rsidP="00D16260">
            <w:pPr>
              <w:jc w:val="both"/>
              <w:rPr>
                <w:rFonts w:eastAsia="Calibri"/>
                <w:sz w:val="20"/>
                <w:lang w:val="fr-CA"/>
              </w:rPr>
            </w:pPr>
          </w:p>
        </w:tc>
      </w:tr>
      <w:tr w:rsidR="00A33D62" w:rsidRPr="00BF31AA" w:rsidTr="00D16260">
        <w:tc>
          <w:tcPr>
            <w:tcW w:w="5000" w:type="pct"/>
            <w:gridSpan w:val="3"/>
          </w:tcPr>
          <w:p w:rsidR="00A33D62" w:rsidRPr="001321A1" w:rsidRDefault="00A33D62" w:rsidP="00D16260">
            <w:pPr>
              <w:jc w:val="both"/>
              <w:rPr>
                <w:rFonts w:eastAsia="Calibri"/>
                <w:sz w:val="20"/>
                <w:lang w:val="fr-CA"/>
              </w:rPr>
            </w:pPr>
            <w:r w:rsidRPr="001321A1">
              <w:rPr>
                <w:rFonts w:eastAsia="Calibri"/>
                <w:sz w:val="20"/>
                <w:lang w:val="fr-CA"/>
              </w:rPr>
              <w:t>En 2009, un jeune homme est allé voir un membre du personnel d’un centre communautaire pour lui dire qu’une personne voulant « avoir sa peau » l’attendait dehors.  L’employé en question a placé le centre en confinement barricadé et a appelé la police.  À leur arrivée, les policiers ont vu quatre hommes se trouvant devant une entrée s’enfuir dans différentes directions.  Un agent a poursuivi l’intimé et a vu celui-ci se débarrasser de quelque chose; il a plus tard été établi qu’il s’agissait en fait d’une arme de poing semi-automatique de calibre 22 pleinement opérationnelle, une arme à feu prohibée, pleinement chargée et munie d’une lame-chargeur surdimensionnée contenant 23 balles.  Âgé de 19 ans au moment de l’infraction, l’intimé n’était pas titulaire d’un permis l’autorisant à posséder une arme à feu, qui n’était pas elle</w:t>
            </w:r>
            <w:r w:rsidRPr="001321A1">
              <w:rPr>
                <w:rFonts w:eastAsia="Calibri"/>
                <w:sz w:val="20"/>
                <w:lang w:val="fr-CA"/>
              </w:rPr>
              <w:noBreakHyphen/>
              <w:t xml:space="preserve">même enregistrée.  Le ministère public a choisi de procéder par voie de mise en accusation.  En 2010, l’intimé a plaidé coupable à une accusation de possession d’une arme à feu prohibée chargée fondée sur le par. 95(1) du </w:t>
            </w:r>
            <w:r w:rsidRPr="001321A1">
              <w:rPr>
                <w:rFonts w:eastAsia="Calibri"/>
                <w:i/>
                <w:sz w:val="20"/>
                <w:lang w:val="fr-CA"/>
              </w:rPr>
              <w:t>Code criminel</w:t>
            </w:r>
            <w:r w:rsidRPr="001321A1">
              <w:rPr>
                <w:rFonts w:eastAsia="Calibri"/>
                <w:sz w:val="20"/>
                <w:lang w:val="fr-CA"/>
              </w:rPr>
              <w:t>, mais a contesté le régime établi au sous-al. 95(2)</w:t>
            </w:r>
            <w:r w:rsidRPr="001321A1">
              <w:rPr>
                <w:rFonts w:eastAsia="Calibri"/>
                <w:i/>
                <w:sz w:val="20"/>
                <w:lang w:val="fr-CA"/>
              </w:rPr>
              <w:t>a</w:t>
            </w:r>
            <w:r w:rsidRPr="001321A1">
              <w:rPr>
                <w:rFonts w:eastAsia="Calibri"/>
                <w:sz w:val="20"/>
                <w:lang w:val="fr-CA"/>
              </w:rPr>
              <w:t xml:space="preserve">)(i) du </w:t>
            </w:r>
            <w:r w:rsidRPr="001321A1">
              <w:rPr>
                <w:rFonts w:eastAsia="Calibri"/>
                <w:i/>
                <w:iCs/>
                <w:sz w:val="20"/>
                <w:lang w:val="fr-CA"/>
              </w:rPr>
              <w:t>Code criminel</w:t>
            </w:r>
            <w:r w:rsidRPr="001321A1">
              <w:rPr>
                <w:rFonts w:eastAsia="Calibri"/>
                <w:sz w:val="20"/>
                <w:lang w:val="fr-CA"/>
              </w:rPr>
              <w:t xml:space="preserve"> prévoyant une peine minimale obligatoire de trois ans d’emprisonnement.</w:t>
            </w:r>
          </w:p>
          <w:p w:rsidR="00A33D62" w:rsidRPr="001321A1" w:rsidRDefault="00A33D62" w:rsidP="00D16260">
            <w:pPr>
              <w:jc w:val="both"/>
              <w:rPr>
                <w:rFonts w:eastAsia="Calibri"/>
                <w:sz w:val="20"/>
                <w:lang w:val="fr-CA"/>
              </w:rPr>
            </w:pPr>
          </w:p>
        </w:tc>
      </w:tr>
      <w:tr w:rsidR="00A33D62" w:rsidRPr="001321A1" w:rsidTr="00D16260">
        <w:tc>
          <w:tcPr>
            <w:tcW w:w="2427" w:type="pct"/>
          </w:tcPr>
          <w:p w:rsidR="00A33D62" w:rsidRPr="001321A1" w:rsidRDefault="00A33D62" w:rsidP="00D16260">
            <w:pPr>
              <w:jc w:val="both"/>
              <w:rPr>
                <w:rFonts w:eastAsia="Calibri"/>
                <w:sz w:val="20"/>
                <w:lang w:val="fr-CA"/>
              </w:rPr>
            </w:pPr>
            <w:r w:rsidRPr="001321A1">
              <w:rPr>
                <w:rFonts w:eastAsia="Calibri"/>
                <w:sz w:val="20"/>
                <w:lang w:val="fr-CA"/>
              </w:rPr>
              <w:t>30 août 2011</w:t>
            </w:r>
          </w:p>
          <w:p w:rsidR="00A33D62" w:rsidRPr="001321A1" w:rsidRDefault="00A33D62" w:rsidP="00D16260">
            <w:pPr>
              <w:jc w:val="both"/>
              <w:rPr>
                <w:rFonts w:eastAsia="Calibri"/>
                <w:sz w:val="20"/>
                <w:lang w:val="fr-CA"/>
              </w:rPr>
            </w:pPr>
            <w:r w:rsidRPr="001321A1">
              <w:rPr>
                <w:rFonts w:eastAsia="Calibri"/>
                <w:sz w:val="20"/>
                <w:lang w:val="fr-CA"/>
              </w:rPr>
              <w:t xml:space="preserve">Cour supérieure de justice de l’Ontario </w:t>
            </w:r>
          </w:p>
          <w:p w:rsidR="00A33D62" w:rsidRPr="001321A1" w:rsidRDefault="00A33D62" w:rsidP="00D16260">
            <w:pPr>
              <w:jc w:val="both"/>
              <w:rPr>
                <w:rFonts w:eastAsia="Calibri"/>
                <w:sz w:val="20"/>
                <w:lang w:val="fr-CA"/>
              </w:rPr>
            </w:pPr>
            <w:r w:rsidRPr="001321A1">
              <w:rPr>
                <w:rFonts w:eastAsia="Calibri"/>
                <w:sz w:val="20"/>
                <w:lang w:val="fr-CA"/>
              </w:rPr>
              <w:t>(Juge Code)</w:t>
            </w:r>
          </w:p>
          <w:p w:rsidR="00A33D62" w:rsidRPr="001321A1" w:rsidRDefault="00A33D62" w:rsidP="00D16260">
            <w:pPr>
              <w:jc w:val="both"/>
              <w:rPr>
                <w:rFonts w:eastAsia="Calibri"/>
                <w:sz w:val="20"/>
                <w:lang w:val="fr-CA"/>
              </w:rPr>
            </w:pPr>
            <w:r w:rsidRPr="001321A1">
              <w:rPr>
                <w:rFonts w:eastAsia="Calibri"/>
                <w:sz w:val="20"/>
                <w:lang w:val="fr-CA"/>
              </w:rPr>
              <w:t>No. 40000591-0000</w:t>
            </w:r>
          </w:p>
          <w:p w:rsidR="00A33D62" w:rsidRPr="001321A1" w:rsidRDefault="00BF31AA" w:rsidP="00D16260">
            <w:pPr>
              <w:jc w:val="both"/>
              <w:rPr>
                <w:rFonts w:eastAsia="Calibri"/>
                <w:sz w:val="20"/>
                <w:lang w:val="fr-CA"/>
              </w:rPr>
            </w:pPr>
            <w:hyperlink r:id="rId29" w:history="1">
              <w:r w:rsidR="00A33D62" w:rsidRPr="001321A1">
                <w:rPr>
                  <w:rFonts w:eastAsia="Calibri"/>
                  <w:color w:val="0000FF"/>
                  <w:sz w:val="20"/>
                  <w:u w:val="single"/>
                  <w:lang w:val="fr-CA"/>
                </w:rPr>
                <w:t>2011 ONSC 4874</w:t>
              </w:r>
            </w:hyperlink>
          </w:p>
          <w:p w:rsidR="00A33D62" w:rsidRPr="001321A1" w:rsidRDefault="00A33D62" w:rsidP="00D16260">
            <w:pPr>
              <w:jc w:val="both"/>
              <w:rPr>
                <w:rFonts w:eastAsia="Calibri"/>
                <w:sz w:val="20"/>
                <w:lang w:val="fr-CA"/>
              </w:rPr>
            </w:pPr>
          </w:p>
        </w:tc>
        <w:tc>
          <w:tcPr>
            <w:tcW w:w="243" w:type="pct"/>
          </w:tcPr>
          <w:p w:rsidR="00A33D62" w:rsidRPr="001321A1" w:rsidRDefault="00A33D62" w:rsidP="00D16260">
            <w:pPr>
              <w:jc w:val="both"/>
              <w:rPr>
                <w:rFonts w:eastAsia="Calibri"/>
                <w:sz w:val="20"/>
                <w:lang w:val="fr-CA"/>
              </w:rPr>
            </w:pPr>
          </w:p>
        </w:tc>
        <w:tc>
          <w:tcPr>
            <w:tcW w:w="2330" w:type="pct"/>
          </w:tcPr>
          <w:p w:rsidR="00A33D62" w:rsidRPr="001321A1" w:rsidRDefault="00A33D62" w:rsidP="00D16260">
            <w:pPr>
              <w:jc w:val="both"/>
              <w:rPr>
                <w:rFonts w:eastAsia="Calibri"/>
                <w:sz w:val="20"/>
                <w:lang w:val="fr-CA"/>
              </w:rPr>
            </w:pPr>
            <w:r w:rsidRPr="001321A1">
              <w:rPr>
                <w:rFonts w:eastAsia="Calibri"/>
                <w:sz w:val="20"/>
                <w:lang w:val="fr-CA"/>
              </w:rPr>
              <w:t>Requête de l’intimé en contestation de la constitutionnalité du sous-al.</w:t>
            </w:r>
            <w:hyperlink r:id="rId30" w:anchor="sec95subsec2_smooth" w:history="1">
              <w:r w:rsidRPr="001321A1">
                <w:rPr>
                  <w:rFonts w:eastAsia="Calibri"/>
                  <w:sz w:val="20"/>
                  <w:lang w:val="fr-CA"/>
                </w:rPr>
                <w:t> 95(2)</w:t>
              </w:r>
            </w:hyperlink>
            <w:r w:rsidRPr="001321A1">
              <w:rPr>
                <w:rFonts w:eastAsia="Calibri"/>
                <w:i/>
                <w:sz w:val="20"/>
                <w:lang w:val="fr-CA"/>
              </w:rPr>
              <w:t>a</w:t>
            </w:r>
            <w:r w:rsidRPr="001321A1">
              <w:rPr>
                <w:rFonts w:eastAsia="Calibri"/>
                <w:sz w:val="20"/>
                <w:lang w:val="fr-CA"/>
              </w:rPr>
              <w:t xml:space="preserve">)(i) du </w:t>
            </w:r>
            <w:hyperlink r:id="rId31" w:history="1">
              <w:r w:rsidRPr="001321A1">
                <w:rPr>
                  <w:rFonts w:eastAsia="Calibri"/>
                  <w:i/>
                  <w:sz w:val="20"/>
                  <w:lang w:val="fr-CA"/>
                </w:rPr>
                <w:t>Code criminel</w:t>
              </w:r>
              <w:r w:rsidRPr="001321A1">
                <w:rPr>
                  <w:rFonts w:eastAsia="Calibri"/>
                  <w:sz w:val="20"/>
                  <w:lang w:val="fr-CA"/>
                </w:rPr>
                <w:t>,</w:t>
              </w:r>
              <w:r w:rsidRPr="001321A1">
                <w:rPr>
                  <w:rFonts w:eastAsia="Calibri"/>
                  <w:i/>
                  <w:sz w:val="20"/>
                  <w:lang w:val="fr-CA"/>
                </w:rPr>
                <w:t xml:space="preserve"> </w:t>
              </w:r>
            </w:hyperlink>
            <w:r w:rsidRPr="001321A1">
              <w:rPr>
                <w:rFonts w:eastAsia="Calibri"/>
                <w:sz w:val="20"/>
                <w:lang w:val="fr-CA"/>
              </w:rPr>
              <w:t>rejetée.</w:t>
            </w:r>
          </w:p>
          <w:p w:rsidR="00A33D62" w:rsidRPr="001321A1" w:rsidRDefault="00A33D62" w:rsidP="00D16260">
            <w:pPr>
              <w:jc w:val="both"/>
              <w:rPr>
                <w:rFonts w:eastAsia="Calibri"/>
                <w:sz w:val="20"/>
                <w:lang w:val="fr-CA"/>
              </w:rPr>
            </w:pPr>
          </w:p>
        </w:tc>
      </w:tr>
      <w:tr w:rsidR="00A33D62" w:rsidRPr="00BF31AA" w:rsidTr="00D16260">
        <w:tc>
          <w:tcPr>
            <w:tcW w:w="2427" w:type="pct"/>
          </w:tcPr>
          <w:p w:rsidR="00A33D62" w:rsidRPr="001321A1" w:rsidRDefault="00A33D62" w:rsidP="00D16260">
            <w:pPr>
              <w:jc w:val="both"/>
              <w:rPr>
                <w:rFonts w:eastAsia="Calibri"/>
                <w:sz w:val="20"/>
                <w:lang w:val="fr-CA"/>
              </w:rPr>
            </w:pPr>
            <w:r w:rsidRPr="001321A1">
              <w:rPr>
                <w:rFonts w:eastAsia="Calibri"/>
                <w:sz w:val="20"/>
                <w:lang w:val="fr-CA"/>
              </w:rPr>
              <w:t>12 novembre 2013</w:t>
            </w:r>
          </w:p>
          <w:p w:rsidR="00A33D62" w:rsidRPr="001321A1" w:rsidRDefault="00A33D62" w:rsidP="00D16260">
            <w:pPr>
              <w:jc w:val="both"/>
              <w:rPr>
                <w:rFonts w:eastAsia="Calibri"/>
                <w:sz w:val="20"/>
                <w:lang w:val="fr-CA"/>
              </w:rPr>
            </w:pPr>
            <w:r w:rsidRPr="001321A1">
              <w:rPr>
                <w:rFonts w:eastAsia="Calibri"/>
                <w:sz w:val="20"/>
                <w:lang w:val="fr-CA"/>
              </w:rPr>
              <w:t>Cour d’appel de l’Ontario</w:t>
            </w:r>
          </w:p>
          <w:p w:rsidR="00A33D62" w:rsidRPr="001321A1" w:rsidRDefault="00A33D62" w:rsidP="00D16260">
            <w:pPr>
              <w:jc w:val="both"/>
              <w:rPr>
                <w:rFonts w:eastAsia="Calibri"/>
                <w:sz w:val="20"/>
                <w:lang w:val="fr-CA"/>
              </w:rPr>
            </w:pPr>
            <w:r w:rsidRPr="001321A1">
              <w:rPr>
                <w:rFonts w:eastAsia="Calibri"/>
                <w:sz w:val="20"/>
                <w:lang w:val="fr-CA"/>
              </w:rPr>
              <w:t>(Juges Doherty, Goudge, Cronk, Blair et Tulloch)</w:t>
            </w:r>
          </w:p>
          <w:p w:rsidR="00A33D62" w:rsidRPr="001321A1" w:rsidRDefault="00A33D62" w:rsidP="00D16260">
            <w:pPr>
              <w:jc w:val="both"/>
              <w:rPr>
                <w:rFonts w:eastAsia="Calibri"/>
                <w:sz w:val="20"/>
                <w:lang w:val="fr-CA"/>
              </w:rPr>
            </w:pPr>
            <w:r w:rsidRPr="001321A1">
              <w:rPr>
                <w:rFonts w:eastAsia="Calibri"/>
                <w:sz w:val="20"/>
                <w:lang w:val="fr-CA"/>
              </w:rPr>
              <w:t>No. C54701</w:t>
            </w:r>
          </w:p>
          <w:p w:rsidR="00A33D62" w:rsidRPr="001321A1" w:rsidRDefault="00BF31AA" w:rsidP="00D16260">
            <w:pPr>
              <w:jc w:val="both"/>
              <w:rPr>
                <w:rFonts w:eastAsia="Calibri"/>
                <w:sz w:val="20"/>
                <w:lang w:val="fr-CA"/>
              </w:rPr>
            </w:pPr>
            <w:hyperlink r:id="rId32" w:history="1">
              <w:r w:rsidR="00A33D62" w:rsidRPr="001321A1">
                <w:rPr>
                  <w:rFonts w:eastAsia="Calibri"/>
                  <w:color w:val="0000FF"/>
                  <w:sz w:val="20"/>
                  <w:u w:val="single"/>
                  <w:lang w:val="fr-CA"/>
                </w:rPr>
                <w:t>2013 ONCA 677</w:t>
              </w:r>
            </w:hyperlink>
          </w:p>
          <w:p w:rsidR="00A33D62" w:rsidRPr="001321A1" w:rsidRDefault="00A33D62" w:rsidP="00D16260">
            <w:pPr>
              <w:jc w:val="both"/>
              <w:rPr>
                <w:rFonts w:eastAsia="Calibri"/>
                <w:sz w:val="20"/>
                <w:lang w:val="fr-CA"/>
              </w:rPr>
            </w:pPr>
          </w:p>
        </w:tc>
        <w:tc>
          <w:tcPr>
            <w:tcW w:w="243" w:type="pct"/>
          </w:tcPr>
          <w:p w:rsidR="00A33D62" w:rsidRPr="001321A1" w:rsidRDefault="00A33D62" w:rsidP="00D16260">
            <w:pPr>
              <w:jc w:val="both"/>
              <w:rPr>
                <w:rFonts w:eastAsia="Calibri"/>
                <w:sz w:val="20"/>
                <w:lang w:val="fr-CA"/>
              </w:rPr>
            </w:pPr>
          </w:p>
        </w:tc>
        <w:tc>
          <w:tcPr>
            <w:tcW w:w="2330" w:type="pct"/>
          </w:tcPr>
          <w:p w:rsidR="00A33D62" w:rsidRPr="001321A1" w:rsidRDefault="00A33D62" w:rsidP="00D16260">
            <w:pPr>
              <w:jc w:val="both"/>
              <w:rPr>
                <w:rFonts w:eastAsia="Calibri"/>
                <w:sz w:val="20"/>
                <w:lang w:val="fr-CA"/>
              </w:rPr>
            </w:pPr>
            <w:r w:rsidRPr="001321A1">
              <w:rPr>
                <w:rFonts w:eastAsia="Calibri"/>
                <w:sz w:val="20"/>
                <w:lang w:val="fr-CA"/>
              </w:rPr>
              <w:t>Le sous</w:t>
            </w:r>
            <w:r w:rsidRPr="001321A1">
              <w:rPr>
                <w:rFonts w:eastAsia="Calibri"/>
                <w:sz w:val="20"/>
                <w:lang w:val="fr-CA"/>
              </w:rPr>
              <w:noBreakHyphen/>
              <w:t>alinéa 95(2)</w:t>
            </w:r>
            <w:r w:rsidRPr="001321A1">
              <w:rPr>
                <w:rFonts w:eastAsia="Calibri"/>
                <w:i/>
                <w:sz w:val="20"/>
                <w:lang w:val="fr-CA"/>
              </w:rPr>
              <w:t>a</w:t>
            </w:r>
            <w:r w:rsidRPr="001321A1">
              <w:rPr>
                <w:rFonts w:eastAsia="Calibri"/>
                <w:sz w:val="20"/>
                <w:lang w:val="fr-CA"/>
              </w:rPr>
              <w:t xml:space="preserve">)(i) du </w:t>
            </w:r>
            <w:hyperlink r:id="rId33" w:history="1">
              <w:r w:rsidRPr="001321A1">
                <w:rPr>
                  <w:rFonts w:eastAsia="Calibri"/>
                  <w:i/>
                  <w:sz w:val="20"/>
                  <w:lang w:val="fr-CA"/>
                </w:rPr>
                <w:t xml:space="preserve">Code criminel </w:t>
              </w:r>
            </w:hyperlink>
            <w:r w:rsidRPr="001321A1">
              <w:rPr>
                <w:rFonts w:eastAsia="Calibri"/>
                <w:i/>
                <w:sz w:val="20"/>
                <w:lang w:val="fr-CA"/>
              </w:rPr>
              <w:t xml:space="preserve"> </w:t>
            </w:r>
            <w:r w:rsidRPr="001321A1">
              <w:rPr>
                <w:rFonts w:eastAsia="Calibri"/>
                <w:sz w:val="20"/>
                <w:lang w:val="fr-CA"/>
              </w:rPr>
              <w:t xml:space="preserve">est inopérant pour cause d’incompatibilité avec l’art. 12 de la </w:t>
            </w:r>
            <w:r w:rsidRPr="001321A1">
              <w:rPr>
                <w:rFonts w:eastAsia="Calibri"/>
                <w:i/>
                <w:sz w:val="20"/>
                <w:lang w:val="fr-CA"/>
              </w:rPr>
              <w:t>Charte</w:t>
            </w:r>
            <w:r w:rsidRPr="001321A1">
              <w:rPr>
                <w:rFonts w:eastAsia="Calibri"/>
                <w:sz w:val="20"/>
                <w:lang w:val="fr-CA"/>
              </w:rPr>
              <w:t xml:space="preserve"> dans la mesure où il impose une peine minimale obligatoire de trois ans d’emprisonnement lorsque le ministère public procède par voie de mise en accusation.</w:t>
            </w:r>
          </w:p>
          <w:p w:rsidR="00A33D62" w:rsidRPr="001321A1" w:rsidRDefault="00A33D62" w:rsidP="00D16260">
            <w:pPr>
              <w:jc w:val="both"/>
              <w:rPr>
                <w:rFonts w:eastAsia="Calibri"/>
                <w:sz w:val="20"/>
                <w:lang w:val="fr-CA"/>
              </w:rPr>
            </w:pPr>
          </w:p>
        </w:tc>
      </w:tr>
      <w:tr w:rsidR="00A33D62" w:rsidRPr="001321A1" w:rsidTr="00D16260">
        <w:tc>
          <w:tcPr>
            <w:tcW w:w="2427" w:type="pct"/>
          </w:tcPr>
          <w:p w:rsidR="00A33D62" w:rsidRPr="001321A1" w:rsidRDefault="00A33D62" w:rsidP="00D16260">
            <w:pPr>
              <w:jc w:val="both"/>
              <w:rPr>
                <w:rFonts w:eastAsia="Calibri"/>
                <w:sz w:val="20"/>
                <w:lang w:val="fr-CA"/>
              </w:rPr>
            </w:pPr>
            <w:r w:rsidRPr="001321A1">
              <w:rPr>
                <w:rFonts w:eastAsia="Calibri"/>
                <w:sz w:val="20"/>
                <w:lang w:val="fr-CA"/>
              </w:rPr>
              <w:t>10 janvier 2014</w:t>
            </w:r>
          </w:p>
          <w:p w:rsidR="00A33D62" w:rsidRPr="001321A1" w:rsidRDefault="00A33D62" w:rsidP="00D16260">
            <w:pPr>
              <w:jc w:val="both"/>
              <w:rPr>
                <w:rFonts w:eastAsia="Calibri"/>
                <w:sz w:val="20"/>
                <w:lang w:val="fr-CA"/>
              </w:rPr>
            </w:pPr>
            <w:r w:rsidRPr="001321A1">
              <w:rPr>
                <w:rFonts w:eastAsia="Calibri"/>
                <w:sz w:val="20"/>
                <w:lang w:val="fr-CA"/>
              </w:rPr>
              <w:t>Cour suprême du Canada</w:t>
            </w:r>
          </w:p>
          <w:p w:rsidR="00A33D62" w:rsidRPr="001321A1" w:rsidRDefault="00A33D62" w:rsidP="00D16260">
            <w:pPr>
              <w:jc w:val="both"/>
              <w:rPr>
                <w:rFonts w:eastAsia="Calibri"/>
                <w:sz w:val="20"/>
                <w:lang w:val="fr-CA"/>
              </w:rPr>
            </w:pPr>
          </w:p>
        </w:tc>
        <w:tc>
          <w:tcPr>
            <w:tcW w:w="243" w:type="pct"/>
          </w:tcPr>
          <w:p w:rsidR="00A33D62" w:rsidRPr="001321A1" w:rsidRDefault="00A33D62" w:rsidP="00D16260">
            <w:pPr>
              <w:jc w:val="both"/>
              <w:rPr>
                <w:rFonts w:eastAsia="Calibri"/>
                <w:sz w:val="20"/>
                <w:lang w:val="fr-CA"/>
              </w:rPr>
            </w:pPr>
          </w:p>
        </w:tc>
        <w:tc>
          <w:tcPr>
            <w:tcW w:w="2330" w:type="pct"/>
          </w:tcPr>
          <w:p w:rsidR="00A33D62" w:rsidRPr="001321A1" w:rsidRDefault="00A33D62" w:rsidP="00D16260">
            <w:pPr>
              <w:jc w:val="both"/>
              <w:rPr>
                <w:rFonts w:eastAsia="Calibri"/>
                <w:sz w:val="20"/>
                <w:lang w:val="fr-CA"/>
              </w:rPr>
            </w:pPr>
            <w:r w:rsidRPr="001321A1">
              <w:rPr>
                <w:rFonts w:eastAsia="Calibri"/>
                <w:sz w:val="20"/>
                <w:lang w:val="fr-CA"/>
              </w:rPr>
              <w:t>Demande d’autorisation d’appel déposée.</w:t>
            </w:r>
          </w:p>
          <w:p w:rsidR="00A33D62" w:rsidRPr="001321A1" w:rsidRDefault="00A33D62" w:rsidP="00D16260">
            <w:pPr>
              <w:jc w:val="both"/>
              <w:rPr>
                <w:rFonts w:eastAsia="Calibri"/>
                <w:sz w:val="20"/>
                <w:lang w:val="fr-CA"/>
              </w:rPr>
            </w:pPr>
          </w:p>
        </w:tc>
      </w:tr>
      <w:tr w:rsidR="00A33D62" w:rsidRPr="00BF31AA" w:rsidTr="00D16260">
        <w:tc>
          <w:tcPr>
            <w:tcW w:w="2427" w:type="pct"/>
          </w:tcPr>
          <w:p w:rsidR="00A33D62" w:rsidRPr="001321A1" w:rsidRDefault="00A33D62" w:rsidP="00D16260">
            <w:pPr>
              <w:jc w:val="both"/>
              <w:rPr>
                <w:rFonts w:eastAsia="Calibri"/>
                <w:sz w:val="20"/>
                <w:lang w:val="fr-CA"/>
              </w:rPr>
            </w:pPr>
            <w:r w:rsidRPr="001321A1">
              <w:rPr>
                <w:rFonts w:eastAsia="Calibri"/>
                <w:sz w:val="20"/>
                <w:lang w:val="fr-CA"/>
              </w:rPr>
              <w:lastRenderedPageBreak/>
              <w:t>10 février 2014</w:t>
            </w:r>
          </w:p>
          <w:p w:rsidR="00A33D62" w:rsidRPr="001321A1" w:rsidRDefault="00A33D62" w:rsidP="00D16260">
            <w:pPr>
              <w:jc w:val="both"/>
              <w:rPr>
                <w:rFonts w:eastAsia="Calibri"/>
                <w:sz w:val="20"/>
                <w:lang w:val="fr-CA"/>
              </w:rPr>
            </w:pPr>
            <w:r w:rsidRPr="001321A1">
              <w:rPr>
                <w:rFonts w:eastAsia="Calibri"/>
                <w:sz w:val="20"/>
                <w:lang w:val="fr-CA"/>
              </w:rPr>
              <w:t>Cour suprême du Canada</w:t>
            </w:r>
          </w:p>
        </w:tc>
        <w:tc>
          <w:tcPr>
            <w:tcW w:w="243" w:type="pct"/>
          </w:tcPr>
          <w:p w:rsidR="00A33D62" w:rsidRPr="001321A1" w:rsidRDefault="00A33D62" w:rsidP="00D16260">
            <w:pPr>
              <w:jc w:val="both"/>
              <w:rPr>
                <w:rFonts w:eastAsia="Calibri"/>
                <w:sz w:val="20"/>
                <w:lang w:val="fr-CA"/>
              </w:rPr>
            </w:pPr>
          </w:p>
        </w:tc>
        <w:tc>
          <w:tcPr>
            <w:tcW w:w="2330" w:type="pct"/>
          </w:tcPr>
          <w:p w:rsidR="00A33D62" w:rsidRPr="001321A1" w:rsidRDefault="00A33D62" w:rsidP="00D16260">
            <w:pPr>
              <w:jc w:val="both"/>
              <w:rPr>
                <w:rFonts w:eastAsia="Calibri"/>
                <w:sz w:val="20"/>
                <w:lang w:val="fr-CA"/>
              </w:rPr>
            </w:pPr>
            <w:r w:rsidRPr="001321A1">
              <w:rPr>
                <w:rFonts w:eastAsia="Calibri"/>
                <w:sz w:val="20"/>
                <w:lang w:val="fr-CA"/>
              </w:rPr>
              <w:t>Demande d’autorisation d’appel incident déposée.</w:t>
            </w:r>
          </w:p>
        </w:tc>
      </w:tr>
    </w:tbl>
    <w:p w:rsidR="00243043" w:rsidRPr="00A33D62" w:rsidRDefault="00243043" w:rsidP="000E2959">
      <w:pPr>
        <w:rPr>
          <w:sz w:val="20"/>
          <w:szCs w:val="20"/>
          <w:lang w:val="fr-CA"/>
        </w:rPr>
      </w:pPr>
    </w:p>
    <w:p w:rsidR="00243043" w:rsidRDefault="00BF31AA" w:rsidP="000E2959">
      <w:pPr>
        <w:rPr>
          <w:sz w:val="20"/>
          <w:szCs w:val="20"/>
        </w:rPr>
      </w:pPr>
      <w:r>
        <w:rPr>
          <w:sz w:val="20"/>
          <w:szCs w:val="20"/>
          <w:lang w:val="fr-CA"/>
        </w:rPr>
        <w:pict>
          <v:rect id="_x0000_i1041" style="width:2in;height:1pt" o:hrpct="0" o:hralign="center" o:hrstd="t" o:hrnoshade="t" o:hr="t" fillcolor="black [3213]" stroked="f"/>
        </w:pict>
      </w:r>
    </w:p>
    <w:p w:rsidR="00243043" w:rsidRDefault="00243043"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7600" w:rsidRPr="001F7600" w:rsidTr="00D16260">
        <w:trPr>
          <w:cantSplit/>
        </w:trPr>
        <w:tc>
          <w:tcPr>
            <w:tcW w:w="1458" w:type="dxa"/>
          </w:tcPr>
          <w:p w:rsidR="001F7600" w:rsidRPr="001F7600" w:rsidRDefault="001F7600" w:rsidP="001F7600">
            <w:pPr>
              <w:rPr>
                <w:sz w:val="20"/>
              </w:rPr>
            </w:pPr>
            <w:r w:rsidRPr="001F7600">
              <w:rPr>
                <w:b/>
                <w:sz w:val="20"/>
                <w:lang w:val="fr-CA"/>
              </w:rPr>
              <w:t>35684</w:t>
            </w:r>
          </w:p>
          <w:p w:rsidR="001F7600" w:rsidRPr="001F7600" w:rsidRDefault="001F7600" w:rsidP="001F7600">
            <w:pPr>
              <w:rPr>
                <w:b/>
                <w:sz w:val="20"/>
                <w:lang w:val="fr-CA"/>
              </w:rPr>
            </w:pPr>
          </w:p>
        </w:tc>
        <w:tc>
          <w:tcPr>
            <w:tcW w:w="8118" w:type="dxa"/>
          </w:tcPr>
          <w:p w:rsidR="001F7600" w:rsidRPr="001F7600" w:rsidRDefault="001F7600" w:rsidP="001F7600">
            <w:pPr>
              <w:jc w:val="both"/>
              <w:rPr>
                <w:sz w:val="20"/>
              </w:rPr>
            </w:pPr>
            <w:r w:rsidRPr="001F7600">
              <w:rPr>
                <w:b/>
                <w:sz w:val="20"/>
                <w:u w:val="single"/>
              </w:rPr>
              <w:t>Her Majesty the Queen v. Sidney Charles AND BETWEEN Attorney General of Canada v. Sidney Charles</w:t>
            </w:r>
            <w:r w:rsidRPr="001F7600">
              <w:rPr>
                <w:sz w:val="20"/>
              </w:rPr>
              <w:t xml:space="preserve"> (Ont.) (Criminal) (By Leave)</w:t>
            </w:r>
          </w:p>
        </w:tc>
      </w:tr>
      <w:tr w:rsidR="001F7600" w:rsidRPr="001F7600" w:rsidTr="00D16260">
        <w:trPr>
          <w:cantSplit/>
        </w:trPr>
        <w:tc>
          <w:tcPr>
            <w:tcW w:w="1458" w:type="dxa"/>
          </w:tcPr>
          <w:p w:rsidR="001F7600" w:rsidRPr="001F7600" w:rsidRDefault="001F7600" w:rsidP="001F7600">
            <w:pPr>
              <w:rPr>
                <w:sz w:val="20"/>
              </w:rPr>
            </w:pPr>
            <w:r w:rsidRPr="001F7600">
              <w:rPr>
                <w:sz w:val="20"/>
              </w:rPr>
              <w:t>Coram :</w:t>
            </w:r>
          </w:p>
        </w:tc>
        <w:tc>
          <w:tcPr>
            <w:tcW w:w="8118" w:type="dxa"/>
          </w:tcPr>
          <w:p w:rsidR="001F7600" w:rsidRPr="001F7600" w:rsidRDefault="001F7600" w:rsidP="001F7600">
            <w:pPr>
              <w:rPr>
                <w:sz w:val="20"/>
              </w:rPr>
            </w:pPr>
            <w:r w:rsidRPr="001F7600">
              <w:rPr>
                <w:sz w:val="20"/>
                <w:u w:val="single"/>
              </w:rPr>
              <w:t>Abella, Rothstein and Moldaver JJ.</w:t>
            </w:r>
          </w:p>
          <w:p w:rsidR="001F7600" w:rsidRPr="001F7600" w:rsidRDefault="001F7600" w:rsidP="001F7600">
            <w:pPr>
              <w:rPr>
                <w:sz w:val="20"/>
                <w:u w:val="single"/>
              </w:rPr>
            </w:pPr>
          </w:p>
        </w:tc>
      </w:tr>
      <w:tr w:rsidR="001F7600" w:rsidRPr="00BF31AA" w:rsidTr="00D16260">
        <w:trPr>
          <w:cantSplit/>
        </w:trPr>
        <w:tc>
          <w:tcPr>
            <w:tcW w:w="9576" w:type="dxa"/>
            <w:gridSpan w:val="2"/>
          </w:tcPr>
          <w:p w:rsidR="001F7600" w:rsidRPr="001F7600" w:rsidRDefault="001F7600" w:rsidP="001F7600">
            <w:pPr>
              <w:ind w:firstLine="720"/>
              <w:jc w:val="both"/>
              <w:rPr>
                <w:sz w:val="20"/>
              </w:rPr>
            </w:pPr>
            <w:r w:rsidRPr="001F7600">
              <w:rPr>
                <w:sz w:val="20"/>
              </w:rPr>
              <w:t xml:space="preserve">The applications for leave to appeal from the judgment of the Court of Appeal for Ontario, Number C54111, 2013 ONCA 681, dated November 12, 2013, are granted.  The request for an order pursuant to s. 694.1 of the </w:t>
            </w:r>
            <w:r w:rsidRPr="001F7600">
              <w:rPr>
                <w:i/>
                <w:sz w:val="20"/>
              </w:rPr>
              <w:t>Criminal Code</w:t>
            </w:r>
            <w:r w:rsidRPr="001F7600">
              <w:rPr>
                <w:sz w:val="20"/>
              </w:rPr>
              <w:t xml:space="preserve"> is dismissed.</w:t>
            </w:r>
          </w:p>
          <w:p w:rsidR="001F7600" w:rsidRPr="001F7600" w:rsidRDefault="001F7600" w:rsidP="001F7600">
            <w:pPr>
              <w:jc w:val="both"/>
              <w:rPr>
                <w:sz w:val="20"/>
              </w:rPr>
            </w:pPr>
          </w:p>
          <w:p w:rsidR="001F7600" w:rsidRPr="001F7600" w:rsidRDefault="001F7600" w:rsidP="001F7600">
            <w:pPr>
              <w:ind w:firstLine="720"/>
              <w:jc w:val="both"/>
              <w:rPr>
                <w:sz w:val="20"/>
                <w:lang w:val="fr-CA"/>
              </w:rPr>
            </w:pPr>
            <w:r w:rsidRPr="001F7600">
              <w:rPr>
                <w:sz w:val="20"/>
                <w:lang w:val="fr-CA"/>
              </w:rPr>
              <w:t xml:space="preserve">Les demandes d’autorisation d’appel de l’arrêt de la Cour d’appel de l’Ontario, numéro C54111, 2013 ONCA 681, daté du 12 novembre 2013, sont accueillies. La demande visant à obtenir une ordonnance en  vertu de l’art. 694.1 du </w:t>
            </w:r>
            <w:r w:rsidRPr="001F7600">
              <w:rPr>
                <w:i/>
                <w:sz w:val="20"/>
                <w:lang w:val="fr-CA"/>
              </w:rPr>
              <w:t>Code Criminel</w:t>
            </w:r>
            <w:r w:rsidRPr="001F7600">
              <w:rPr>
                <w:sz w:val="20"/>
                <w:lang w:val="fr-CA"/>
              </w:rPr>
              <w:t xml:space="preserve"> est rejetée.</w:t>
            </w:r>
          </w:p>
        </w:tc>
      </w:tr>
    </w:tbl>
    <w:p w:rsidR="00372476" w:rsidRPr="001F7600" w:rsidRDefault="00372476" w:rsidP="000E2959">
      <w:pPr>
        <w:rPr>
          <w:sz w:val="20"/>
          <w:szCs w:val="20"/>
          <w:lang w:val="fr-CA"/>
        </w:rPr>
      </w:pPr>
    </w:p>
    <w:p w:rsidR="00243043" w:rsidRPr="001B157C" w:rsidRDefault="00243043" w:rsidP="00243043">
      <w:pPr>
        <w:rPr>
          <w:sz w:val="20"/>
          <w:szCs w:val="20"/>
          <w:u w:val="single"/>
        </w:rPr>
      </w:pPr>
      <w:r w:rsidRPr="001B157C">
        <w:rPr>
          <w:sz w:val="20"/>
          <w:szCs w:val="20"/>
          <w:u w:val="single"/>
        </w:rPr>
        <w:t>CASE SUMMARY</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i/>
                <w:sz w:val="20"/>
              </w:rPr>
              <w:t>Canadian Charter of Rights and Freedoms</w:t>
            </w:r>
            <w:r w:rsidRPr="001321A1">
              <w:rPr>
                <w:rFonts w:eastAsia="Calibri"/>
                <w:sz w:val="20"/>
              </w:rPr>
              <w:t xml:space="preserve"> – Criminal law – Cruel and unusual treatment or punishment – Mandatory minimum sentence – Possession of prohibited or restricted firearm with ammunition – Did the Court of Appeal err in its formulation and application of the “reasonable hypothetical” test under s. 12 of the </w:t>
            </w:r>
            <w:r w:rsidRPr="001321A1">
              <w:rPr>
                <w:rFonts w:eastAsia="Calibri"/>
                <w:i/>
                <w:sz w:val="20"/>
              </w:rPr>
              <w:t>Charter</w:t>
            </w:r>
            <w:r w:rsidRPr="001321A1">
              <w:rPr>
                <w:rFonts w:eastAsia="Calibri"/>
                <w:sz w:val="20"/>
              </w:rPr>
              <w:t xml:space="preserve"> and, as a result, err in declaring that the mandatory minimum on Crown election by indictment under s. 95(2)(a)(ii) of the </w:t>
            </w:r>
            <w:r w:rsidRPr="001321A1">
              <w:rPr>
                <w:rFonts w:eastAsia="Calibri"/>
                <w:i/>
                <w:sz w:val="20"/>
              </w:rPr>
              <w:t>Criminal Code</w:t>
            </w:r>
            <w:r w:rsidRPr="001321A1">
              <w:rPr>
                <w:rFonts w:eastAsia="Calibri"/>
                <w:sz w:val="20"/>
              </w:rPr>
              <w:t xml:space="preserve"> limits the right not to be subjected to cruel and unusual punishment as guaranteed by s. 12 of the </w:t>
            </w:r>
            <w:r w:rsidRPr="001321A1">
              <w:rPr>
                <w:rFonts w:eastAsia="Calibri"/>
                <w:i/>
                <w:sz w:val="20"/>
              </w:rPr>
              <w:t>Charter</w:t>
            </w:r>
            <w:r w:rsidRPr="001321A1">
              <w:rPr>
                <w:rFonts w:eastAsia="Calibri"/>
                <w:sz w:val="20"/>
              </w:rPr>
              <w:t xml:space="preserve">? – Does the methodology of invaliding a statute based on a purely hypothetical case accord with the high threshold required for a s. 12 violation under the </w:t>
            </w:r>
            <w:r w:rsidRPr="001321A1">
              <w:rPr>
                <w:rFonts w:eastAsia="Calibri"/>
                <w:i/>
                <w:sz w:val="20"/>
              </w:rPr>
              <w:t>Charter</w:t>
            </w:r>
            <w:r w:rsidRPr="001321A1">
              <w:rPr>
                <w:rFonts w:eastAsia="Calibri"/>
                <w:sz w:val="20"/>
              </w:rPr>
              <w:t xml:space="preserve">? – </w:t>
            </w:r>
            <w:r w:rsidRPr="001321A1">
              <w:rPr>
                <w:rFonts w:eastAsia="Calibri"/>
                <w:i/>
                <w:sz w:val="20"/>
                <w:lang w:eastAsia="fr-CA"/>
              </w:rPr>
              <w:t>Criminal Code</w:t>
            </w:r>
            <w:r w:rsidRPr="001321A1">
              <w:rPr>
                <w:rFonts w:eastAsia="Calibri"/>
                <w:sz w:val="20"/>
                <w:lang w:eastAsia="fr-CA"/>
              </w:rPr>
              <w:t>, R.S.C., 1985, c. C-46.</w:t>
            </w:r>
          </w:p>
        </w:tc>
      </w:tr>
      <w:tr w:rsidR="00372476" w:rsidRPr="001321A1" w:rsidTr="00D16260">
        <w:tc>
          <w:tcPr>
            <w:tcW w:w="5000" w:type="pct"/>
            <w:gridSpan w:val="3"/>
          </w:tcPr>
          <w:p w:rsidR="00372476" w:rsidRPr="001321A1" w:rsidRDefault="00372476" w:rsidP="00D16260">
            <w:pPr>
              <w:jc w:val="both"/>
              <w:rPr>
                <w:rFonts w:eastAsia="Calibri"/>
                <w:sz w:val="20"/>
              </w:rPr>
            </w:pPr>
          </w:p>
        </w:tc>
      </w:tr>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t xml:space="preserve">In 2008, the police seized a loaded semi-automatic handgun and ammunition from the Respondent’s room at a boarding house.  He did not have a licence to possess the prohibited firearm, nor was the gun registered.  The serial number on the gun had been removed.  The Crown elected to proceed by indictment.  In 2010, the Respondent pled guilty to possession of a loaded prohibited firearm, contrary to s. 95(1) of the </w:t>
            </w:r>
            <w:r w:rsidRPr="001321A1">
              <w:rPr>
                <w:rFonts w:eastAsia="Calibri"/>
                <w:i/>
                <w:sz w:val="20"/>
              </w:rPr>
              <w:t>Criminal Code</w:t>
            </w:r>
            <w:r w:rsidRPr="001321A1">
              <w:rPr>
                <w:rFonts w:eastAsia="Calibri"/>
                <w:sz w:val="20"/>
              </w:rPr>
              <w:t xml:space="preserve">, and to other offences including possession of a firearm and ammunition while subject to a prohibition order, but challenged the five-year mandatory minimum sentencing regime under s. 95(2)(a)(ii) of the </w:t>
            </w:r>
            <w:r w:rsidRPr="001321A1">
              <w:rPr>
                <w:rFonts w:eastAsia="Calibri"/>
                <w:i/>
                <w:iCs/>
                <w:sz w:val="20"/>
              </w:rPr>
              <w:t>Criminal Code</w:t>
            </w:r>
            <w:r w:rsidRPr="001321A1">
              <w:rPr>
                <w:rFonts w:eastAsia="Calibri"/>
                <w:sz w:val="20"/>
              </w:rPr>
              <w:t>.  The Respondent had a criminal record, which included two convictions in the prior ten years for predicate offences listed in s. 84(5) that trigger the increased mandatory minimum prison sentence in s. 95(2)(a)(ii).</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December 13, 2010</w:t>
            </w:r>
          </w:p>
          <w:p w:rsidR="00372476" w:rsidRPr="001321A1" w:rsidRDefault="00372476" w:rsidP="00D16260">
            <w:pPr>
              <w:jc w:val="both"/>
              <w:rPr>
                <w:rFonts w:eastAsia="Calibri"/>
                <w:sz w:val="20"/>
              </w:rPr>
            </w:pPr>
            <w:r w:rsidRPr="001321A1">
              <w:rPr>
                <w:rFonts w:eastAsia="Calibri"/>
                <w:sz w:val="20"/>
              </w:rPr>
              <w:t>Ontario Superior Court of Justice</w:t>
            </w:r>
          </w:p>
          <w:p w:rsidR="00372476" w:rsidRPr="001321A1" w:rsidRDefault="00372476" w:rsidP="00D16260">
            <w:pPr>
              <w:jc w:val="both"/>
              <w:rPr>
                <w:rFonts w:eastAsia="Calibri"/>
                <w:sz w:val="20"/>
              </w:rPr>
            </w:pPr>
            <w:r w:rsidRPr="001321A1">
              <w:rPr>
                <w:rFonts w:eastAsia="Calibri"/>
                <w:sz w:val="20"/>
              </w:rPr>
              <w:t>No. 09-3000095-0000</w:t>
            </w:r>
          </w:p>
          <w:bookmarkStart w:id="2" w:name="reflex-caselaw-21485680"/>
          <w:bookmarkEnd w:id="2"/>
          <w:p w:rsidR="00372476" w:rsidRPr="001321A1" w:rsidRDefault="00B55D94" w:rsidP="00D16260">
            <w:pPr>
              <w:jc w:val="both"/>
              <w:rPr>
                <w:rFonts w:eastAsia="Calibri"/>
                <w:sz w:val="20"/>
              </w:rPr>
            </w:pPr>
            <w:r w:rsidRPr="001321A1">
              <w:rPr>
                <w:rFonts w:eastAsia="Calibri"/>
                <w:sz w:val="20"/>
              </w:rPr>
              <w:fldChar w:fldCharType="begin"/>
            </w:r>
            <w:r w:rsidR="00372476" w:rsidRPr="001321A1">
              <w:rPr>
                <w:rFonts w:eastAsia="Calibri"/>
                <w:sz w:val="20"/>
              </w:rPr>
              <w:instrText xml:space="preserve"> HYPERLINK "http://canlii.ca/en/on/onsc/doc/2010/2010onsc5437/2010onsc5437.html" </w:instrText>
            </w:r>
            <w:r w:rsidR="00BF31AA" w:rsidRPr="001321A1">
              <w:rPr>
                <w:rFonts w:eastAsia="Calibri"/>
                <w:sz w:val="20"/>
              </w:rPr>
            </w:r>
            <w:r w:rsidRPr="001321A1">
              <w:rPr>
                <w:rFonts w:eastAsia="Calibri"/>
                <w:sz w:val="20"/>
              </w:rPr>
              <w:fldChar w:fldCharType="separate"/>
            </w:r>
            <w:r w:rsidR="00372476" w:rsidRPr="001321A1">
              <w:rPr>
                <w:rFonts w:eastAsia="Calibri"/>
                <w:color w:val="0000FF"/>
                <w:sz w:val="20"/>
                <w:u w:val="single"/>
              </w:rPr>
              <w:t>2010 ONSC 5437</w:t>
            </w:r>
            <w:r w:rsidRPr="001321A1">
              <w:rPr>
                <w:rFonts w:eastAsia="Calibri"/>
                <w:sz w:val="20"/>
              </w:rPr>
              <w:fldChar w:fldCharType="end"/>
            </w:r>
          </w:p>
          <w:p w:rsidR="00372476" w:rsidRPr="001321A1" w:rsidRDefault="00372476" w:rsidP="00D16260">
            <w:pPr>
              <w:jc w:val="both"/>
              <w:rPr>
                <w:rFonts w:eastAsia="Calibri"/>
                <w:sz w:val="20"/>
              </w:rPr>
            </w:pPr>
            <w:r w:rsidRPr="001321A1">
              <w:rPr>
                <w:rFonts w:eastAsia="Calibri"/>
                <w:sz w:val="20"/>
              </w:rPr>
              <w:t>(Backhouse J.)</w:t>
            </w:r>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 xml:space="preserve">Respondent’s motion challenging constitutionality of </w:t>
            </w:r>
            <w:hyperlink r:id="rId34" w:anchor="sec95subsec2_smooth" w:history="1">
              <w:r w:rsidRPr="001321A1">
                <w:rPr>
                  <w:rFonts w:eastAsia="Calibri"/>
                  <w:sz w:val="20"/>
                </w:rPr>
                <w:t>s. 95(2)</w:t>
              </w:r>
            </w:hyperlink>
            <w:r w:rsidRPr="001321A1">
              <w:rPr>
                <w:rFonts w:eastAsia="Calibri"/>
                <w:sz w:val="20"/>
              </w:rPr>
              <w:t xml:space="preserve">(a)(ii) of the </w:t>
            </w:r>
            <w:hyperlink r:id="rId35" w:history="1">
              <w:r w:rsidRPr="001321A1">
                <w:rPr>
                  <w:rFonts w:eastAsia="Calibri"/>
                  <w:i/>
                  <w:sz w:val="20"/>
                </w:rPr>
                <w:t>Criminal Code</w:t>
              </w:r>
            </w:hyperlink>
            <w:r w:rsidRPr="001321A1">
              <w:rPr>
                <w:rFonts w:eastAsia="Calibri"/>
                <w:sz w:val="20"/>
              </w:rPr>
              <w:t xml:space="preserve"> dismissed.</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November 12, 2013</w:t>
            </w:r>
          </w:p>
          <w:p w:rsidR="00372476" w:rsidRPr="001321A1" w:rsidRDefault="00372476" w:rsidP="00D16260">
            <w:pPr>
              <w:jc w:val="both"/>
              <w:rPr>
                <w:rFonts w:eastAsia="Calibri"/>
                <w:sz w:val="20"/>
              </w:rPr>
            </w:pPr>
            <w:r w:rsidRPr="001321A1">
              <w:rPr>
                <w:rFonts w:eastAsia="Calibri"/>
                <w:sz w:val="20"/>
              </w:rPr>
              <w:t>Court of Appeal for Ontario</w:t>
            </w:r>
          </w:p>
          <w:p w:rsidR="00372476" w:rsidRPr="001321A1" w:rsidRDefault="00372476" w:rsidP="00D16260">
            <w:pPr>
              <w:jc w:val="both"/>
              <w:rPr>
                <w:rFonts w:eastAsia="Calibri"/>
                <w:sz w:val="20"/>
              </w:rPr>
            </w:pPr>
            <w:r w:rsidRPr="001321A1">
              <w:rPr>
                <w:rFonts w:eastAsia="Calibri"/>
                <w:sz w:val="20"/>
              </w:rPr>
              <w:t>(Doherty, Goudge, Cronk, Blair and Tulloch JJ.A.)</w:t>
            </w:r>
          </w:p>
          <w:p w:rsidR="00372476" w:rsidRPr="001321A1" w:rsidRDefault="00372476" w:rsidP="00D16260">
            <w:pPr>
              <w:jc w:val="both"/>
              <w:rPr>
                <w:rFonts w:eastAsia="Calibri"/>
                <w:sz w:val="20"/>
              </w:rPr>
            </w:pPr>
            <w:r w:rsidRPr="001321A1">
              <w:rPr>
                <w:rFonts w:eastAsia="Calibri"/>
                <w:sz w:val="20"/>
              </w:rPr>
              <w:t>No. C54111</w:t>
            </w:r>
          </w:p>
          <w:p w:rsidR="00372476" w:rsidRPr="001321A1" w:rsidRDefault="00BF31AA" w:rsidP="00D16260">
            <w:pPr>
              <w:jc w:val="both"/>
              <w:rPr>
                <w:rFonts w:eastAsia="Calibri"/>
                <w:sz w:val="20"/>
              </w:rPr>
            </w:pPr>
            <w:hyperlink r:id="rId36" w:history="1">
              <w:r w:rsidR="00372476" w:rsidRPr="001321A1">
                <w:rPr>
                  <w:rFonts w:eastAsia="Calibri"/>
                  <w:color w:val="0000FF"/>
                  <w:sz w:val="20"/>
                  <w:u w:val="single"/>
                </w:rPr>
                <w:t>2013 ONCA 681</w:t>
              </w:r>
            </w:hyperlink>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 xml:space="preserve">Section 95(2)(a)(ii) of the </w:t>
            </w:r>
            <w:hyperlink r:id="rId37" w:history="1">
              <w:r w:rsidRPr="001321A1">
                <w:rPr>
                  <w:rFonts w:eastAsia="Calibri"/>
                  <w:i/>
                  <w:sz w:val="20"/>
                </w:rPr>
                <w:t>Criminal Code</w:t>
              </w:r>
            </w:hyperlink>
            <w:r w:rsidRPr="001321A1">
              <w:rPr>
                <w:rFonts w:eastAsia="Calibri"/>
                <w:i/>
                <w:sz w:val="20"/>
              </w:rPr>
              <w:t xml:space="preserve"> </w:t>
            </w:r>
            <w:r w:rsidRPr="001321A1">
              <w:rPr>
                <w:rFonts w:eastAsia="Calibri"/>
                <w:sz w:val="20"/>
              </w:rPr>
              <w:t xml:space="preserve">declared of no force and effect as contrary to s. 12 of the </w:t>
            </w:r>
            <w:r w:rsidRPr="001321A1">
              <w:rPr>
                <w:rFonts w:eastAsia="Calibri"/>
                <w:i/>
                <w:sz w:val="20"/>
              </w:rPr>
              <w:t>Charter</w:t>
            </w:r>
            <w:r w:rsidRPr="001321A1">
              <w:rPr>
                <w:rFonts w:eastAsia="Calibri"/>
                <w:sz w:val="20"/>
              </w:rPr>
              <w:t xml:space="preserve"> to the extent that it imposes a mandatory five-year minimum term of imprisonment for a second or subsequent offence when Crown proceeds by indictment.</w:t>
            </w:r>
          </w:p>
          <w:p w:rsidR="00372476" w:rsidRPr="001321A1" w:rsidRDefault="00372476" w:rsidP="00D16260">
            <w:pPr>
              <w:jc w:val="both"/>
              <w:rPr>
                <w:rFonts w:eastAsia="Calibri"/>
                <w:sz w:val="20"/>
              </w:rPr>
            </w:pPr>
          </w:p>
        </w:tc>
      </w:tr>
    </w:tbl>
    <w:p w:rsidR="00F437C1" w:rsidRDefault="00F437C1"/>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lastRenderedPageBreak/>
              <w:t>January 10, 2014</w:t>
            </w:r>
          </w:p>
          <w:p w:rsidR="00372476" w:rsidRPr="001321A1" w:rsidRDefault="00372476" w:rsidP="00D16260">
            <w:pPr>
              <w:jc w:val="both"/>
              <w:rPr>
                <w:rFonts w:eastAsia="Calibri"/>
                <w:sz w:val="20"/>
              </w:rPr>
            </w:pPr>
            <w:r w:rsidRPr="001321A1">
              <w:rPr>
                <w:rFonts w:eastAsia="Calibri"/>
                <w:sz w:val="20"/>
              </w:rPr>
              <w:t>Supreme Court of Canada</w:t>
            </w: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Application for leave to appeal filed.</w:t>
            </w:r>
          </w:p>
          <w:p w:rsidR="00372476" w:rsidRPr="001321A1" w:rsidRDefault="00372476" w:rsidP="00D16260">
            <w:pPr>
              <w:jc w:val="both"/>
              <w:rPr>
                <w:rFonts w:eastAsia="Calibri"/>
                <w:sz w:val="20"/>
              </w:rPr>
            </w:pPr>
          </w:p>
        </w:tc>
      </w:tr>
    </w:tbl>
    <w:p w:rsidR="00243043" w:rsidRDefault="00243043" w:rsidP="00243043">
      <w:pPr>
        <w:rPr>
          <w:sz w:val="20"/>
          <w:szCs w:val="20"/>
        </w:rPr>
      </w:pPr>
    </w:p>
    <w:p w:rsidR="00243043" w:rsidRDefault="00BF31AA" w:rsidP="00243043">
      <w:pPr>
        <w:rPr>
          <w:sz w:val="20"/>
          <w:szCs w:val="20"/>
        </w:rPr>
      </w:pPr>
      <w:r>
        <w:rPr>
          <w:sz w:val="20"/>
          <w:szCs w:val="20"/>
          <w:lang w:val="fr-CA"/>
        </w:rPr>
        <w:pict>
          <v:rect id="_x0000_i1042" style="width:2in;height:1pt" o:hrpct="0" o:hralign="center" o:hrstd="t" o:hrnoshade="t" o:hr="t" fillcolor="black [3213]" stroked="f"/>
        </w:pict>
      </w:r>
    </w:p>
    <w:p w:rsidR="00243043" w:rsidRDefault="00243043" w:rsidP="00243043">
      <w:pPr>
        <w:rPr>
          <w:sz w:val="20"/>
          <w:szCs w:val="20"/>
        </w:rPr>
      </w:pPr>
    </w:p>
    <w:p w:rsidR="00243043" w:rsidRPr="001B157C" w:rsidRDefault="00243043" w:rsidP="00243043">
      <w:pPr>
        <w:rPr>
          <w:sz w:val="20"/>
          <w:szCs w:val="20"/>
          <w:u w:val="single"/>
          <w:lang w:val="fr-CA"/>
        </w:rPr>
      </w:pPr>
      <w:r w:rsidRPr="001B157C">
        <w:rPr>
          <w:sz w:val="20"/>
          <w:szCs w:val="20"/>
          <w:u w:val="single"/>
          <w:lang w:val="fr-CA"/>
        </w:rPr>
        <w:t>RÉSUMÉ DE L’AFFAIRE</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1321A1" w:rsidTr="00D16260">
        <w:tc>
          <w:tcPr>
            <w:tcW w:w="5000" w:type="pct"/>
            <w:gridSpan w:val="3"/>
          </w:tcPr>
          <w:p w:rsidR="00372476" w:rsidRPr="001321A1" w:rsidRDefault="00372476" w:rsidP="00D16260">
            <w:pPr>
              <w:jc w:val="both"/>
              <w:rPr>
                <w:rFonts w:eastAsia="Calibri"/>
                <w:sz w:val="20"/>
                <w:lang w:val="fr-CA"/>
              </w:rPr>
            </w:pPr>
            <w:r w:rsidRPr="001321A1">
              <w:rPr>
                <w:rFonts w:eastAsia="Calibri"/>
                <w:i/>
                <w:sz w:val="20"/>
                <w:lang w:val="fr-CA"/>
              </w:rPr>
              <w:t>Charte canadienne des droits et libertés</w:t>
            </w:r>
            <w:r w:rsidRPr="001321A1">
              <w:rPr>
                <w:rFonts w:eastAsia="Calibri"/>
                <w:sz w:val="20"/>
                <w:lang w:val="fr-CA"/>
              </w:rPr>
              <w:t xml:space="preserve"> — Droit criminel — Traitements ou peines cruels et inusités — Peine minimale obligatoire — Possession d’une arme à feu prohibée ou à autorisation restreinte avec des munitions — La Cour d’appel a-t-elle commis une erreur dans sa formulation et son application du critère des « situations hypothétiques raisonnables » de l’art. 12 de la </w:t>
            </w:r>
            <w:r w:rsidRPr="001321A1">
              <w:rPr>
                <w:rFonts w:eastAsia="Calibri"/>
                <w:i/>
                <w:sz w:val="20"/>
                <w:lang w:val="fr-CA"/>
              </w:rPr>
              <w:t>Charte</w:t>
            </w:r>
            <w:r w:rsidRPr="001321A1">
              <w:rPr>
                <w:rFonts w:eastAsia="Calibri"/>
                <w:sz w:val="20"/>
                <w:lang w:val="fr-CA"/>
              </w:rPr>
              <w:t>, et a-t-elle en conséquence commis une erreur en déclarant que la peine minimale obligatoire, lorsque le ministère public choisit de procéder par voie de mise en accusation en application du sous-al. 95(2)</w:t>
            </w:r>
            <w:r w:rsidRPr="001321A1">
              <w:rPr>
                <w:rFonts w:eastAsia="Calibri"/>
                <w:i/>
                <w:sz w:val="20"/>
                <w:lang w:val="fr-CA"/>
              </w:rPr>
              <w:t>a</w:t>
            </w:r>
            <w:r w:rsidRPr="001321A1">
              <w:rPr>
                <w:rFonts w:eastAsia="Calibri"/>
                <w:sz w:val="20"/>
                <w:lang w:val="fr-CA"/>
              </w:rPr>
              <w:t xml:space="preserve">)(ii) du </w:t>
            </w:r>
            <w:r w:rsidRPr="001321A1">
              <w:rPr>
                <w:rFonts w:eastAsia="Calibri"/>
                <w:i/>
                <w:sz w:val="20"/>
                <w:lang w:val="fr-CA"/>
              </w:rPr>
              <w:t>Code criminel</w:t>
            </w:r>
            <w:r w:rsidRPr="001321A1">
              <w:rPr>
                <w:rFonts w:eastAsia="Calibri"/>
                <w:sz w:val="20"/>
                <w:lang w:val="fr-CA"/>
              </w:rPr>
              <w:t xml:space="preserve">, porte atteinte au droit à la protection contre toutes peines cruelles et inusitées garanti par l’art. 12 de la </w:t>
            </w:r>
            <w:r w:rsidRPr="001321A1">
              <w:rPr>
                <w:rFonts w:eastAsia="Calibri"/>
                <w:i/>
                <w:sz w:val="20"/>
                <w:lang w:val="fr-CA"/>
              </w:rPr>
              <w:t>Charte</w:t>
            </w:r>
            <w:r w:rsidRPr="001321A1">
              <w:rPr>
                <w:rFonts w:eastAsia="Calibri"/>
                <w:sz w:val="20"/>
                <w:lang w:val="fr-CA"/>
              </w:rPr>
              <w:t xml:space="preserve">? — La méthodologie consistant à invalider une loi en se fondant sur une situation purement hypothétique s’accorde-t-elle avec le critère exigeant requis pour conclure à une violation de l’art. 12 de la </w:t>
            </w:r>
            <w:r w:rsidRPr="001321A1">
              <w:rPr>
                <w:rFonts w:eastAsia="Calibri"/>
                <w:i/>
                <w:sz w:val="20"/>
                <w:lang w:val="fr-CA"/>
              </w:rPr>
              <w:t>Charte</w:t>
            </w:r>
            <w:r w:rsidRPr="001321A1">
              <w:rPr>
                <w:rFonts w:eastAsia="Calibri"/>
                <w:sz w:val="20"/>
                <w:lang w:val="fr-CA"/>
              </w:rPr>
              <w:t xml:space="preserve">? — </w:t>
            </w:r>
            <w:r w:rsidRPr="001321A1">
              <w:rPr>
                <w:rFonts w:eastAsia="Calibri"/>
                <w:i/>
                <w:sz w:val="20"/>
                <w:lang w:val="fr-CA" w:eastAsia="fr-CA"/>
              </w:rPr>
              <w:t>Code criminel</w:t>
            </w:r>
            <w:r w:rsidRPr="001321A1">
              <w:rPr>
                <w:rFonts w:eastAsia="Calibri"/>
                <w:sz w:val="20"/>
                <w:lang w:val="fr-CA" w:eastAsia="fr-CA"/>
              </w:rPr>
              <w:t>, L.R.C. 1985, ch. C-46.</w:t>
            </w:r>
          </w:p>
        </w:tc>
      </w:tr>
      <w:tr w:rsidR="00372476" w:rsidRPr="001321A1" w:rsidTr="00D16260">
        <w:tc>
          <w:tcPr>
            <w:tcW w:w="5000" w:type="pct"/>
            <w:gridSpan w:val="3"/>
          </w:tcPr>
          <w:p w:rsidR="00372476" w:rsidRPr="001321A1" w:rsidRDefault="00372476" w:rsidP="00D16260">
            <w:pPr>
              <w:jc w:val="both"/>
              <w:rPr>
                <w:rFonts w:eastAsia="Calibri"/>
                <w:sz w:val="20"/>
                <w:lang w:val="fr-CA"/>
              </w:rPr>
            </w:pPr>
          </w:p>
        </w:tc>
      </w:tr>
      <w:tr w:rsidR="00372476" w:rsidRPr="001321A1" w:rsidTr="00D16260">
        <w:tc>
          <w:tcPr>
            <w:tcW w:w="5000" w:type="pct"/>
            <w:gridSpan w:val="3"/>
          </w:tcPr>
          <w:p w:rsidR="00372476" w:rsidRPr="001321A1" w:rsidRDefault="00372476" w:rsidP="00D16260">
            <w:pPr>
              <w:jc w:val="both"/>
              <w:rPr>
                <w:rFonts w:eastAsia="Calibri"/>
                <w:sz w:val="20"/>
                <w:lang w:val="fr-CA"/>
              </w:rPr>
            </w:pPr>
            <w:r w:rsidRPr="001321A1">
              <w:rPr>
                <w:rFonts w:eastAsia="Calibri"/>
                <w:sz w:val="20"/>
                <w:lang w:val="fr-CA"/>
              </w:rPr>
              <w:t xml:space="preserve">En 2008, la police a saisi une arme de poing semi-automatique chargée et des munitions dans la chambre occupée par l’intimé dans une maison de pension.  Celui-ci n’était pas titulaire d’un permis l’autorisant à posséder l’arme à feu prohibée, laquelle n’était pas non plus enregistrée.  Le numéro de série de l’arme avait été enlevé.  Le ministère public a choisi de procéder par voie de mise en accusation.  En 2010, l’intimé a plaidé coupable à une accusation de possession d’une arme à feu prohibée chargée fondée sur le par. 95(1) du </w:t>
            </w:r>
            <w:r w:rsidRPr="001321A1">
              <w:rPr>
                <w:rFonts w:eastAsia="Calibri"/>
                <w:i/>
                <w:sz w:val="20"/>
                <w:lang w:val="fr-CA"/>
              </w:rPr>
              <w:t>Code criminel</w:t>
            </w:r>
            <w:r w:rsidRPr="001321A1">
              <w:rPr>
                <w:rFonts w:eastAsia="Calibri"/>
                <w:sz w:val="20"/>
                <w:lang w:val="fr-CA"/>
              </w:rPr>
              <w:t>, et à d’autres infractions, dont celle d’avoir été en possession d’une arme à feu avec des munitions alors qu’il était sous le coup d’une ordonnance d’interdiction; il a toutefois contesté le régime établi au sous-al. 95(2)</w:t>
            </w:r>
            <w:r w:rsidRPr="001321A1">
              <w:rPr>
                <w:rFonts w:eastAsia="Calibri"/>
                <w:i/>
                <w:sz w:val="20"/>
                <w:lang w:val="fr-CA"/>
              </w:rPr>
              <w:t>a</w:t>
            </w:r>
            <w:r w:rsidRPr="001321A1">
              <w:rPr>
                <w:rFonts w:eastAsia="Calibri"/>
                <w:sz w:val="20"/>
                <w:lang w:val="fr-CA"/>
              </w:rPr>
              <w:t xml:space="preserve">)(ii) du </w:t>
            </w:r>
            <w:r w:rsidRPr="001321A1">
              <w:rPr>
                <w:rFonts w:eastAsia="Calibri"/>
                <w:i/>
                <w:iCs/>
                <w:sz w:val="20"/>
                <w:lang w:val="fr-CA"/>
              </w:rPr>
              <w:t>Code criminel</w:t>
            </w:r>
            <w:r w:rsidRPr="001321A1">
              <w:rPr>
                <w:rFonts w:eastAsia="Calibri"/>
                <w:sz w:val="20"/>
                <w:lang w:val="fr-CA"/>
              </w:rPr>
              <w:t xml:space="preserve"> prévoyant une peine minimale obligatoire de cinq ans d’emprisonnement.  L’intimé avait un casier judiciaire, comportant deux déclarations de culpabilité prononcées dans les dix ans des infractions sous-jacentes énoncées au par. 84(5) qui emportent l’application de la peine minimale obligatoire accrue prévue au sous-al. 95(2)</w:t>
            </w:r>
            <w:r w:rsidRPr="001321A1">
              <w:rPr>
                <w:rFonts w:eastAsia="Calibri"/>
                <w:i/>
                <w:sz w:val="20"/>
                <w:lang w:val="fr-CA"/>
              </w:rPr>
              <w:t>a</w:t>
            </w:r>
            <w:r w:rsidRPr="001321A1">
              <w:rPr>
                <w:rFonts w:eastAsia="Calibri"/>
                <w:sz w:val="20"/>
                <w:lang w:val="fr-CA"/>
              </w:rPr>
              <w:t>)(ii).</w:t>
            </w:r>
          </w:p>
          <w:p w:rsidR="00372476" w:rsidRPr="001321A1" w:rsidRDefault="00372476" w:rsidP="00D16260">
            <w:pPr>
              <w:jc w:val="both"/>
              <w:rPr>
                <w:rFonts w:eastAsia="Calibri"/>
                <w:sz w:val="20"/>
                <w:lang w:val="fr-CA"/>
              </w:rPr>
            </w:pPr>
          </w:p>
        </w:tc>
      </w:tr>
      <w:tr w:rsidR="00372476" w:rsidRPr="001321A1"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t>13 décembre 2010</w:t>
            </w:r>
          </w:p>
          <w:p w:rsidR="00372476" w:rsidRPr="001321A1" w:rsidRDefault="00372476" w:rsidP="00D16260">
            <w:pPr>
              <w:jc w:val="both"/>
              <w:rPr>
                <w:rFonts w:eastAsia="Calibri"/>
                <w:sz w:val="20"/>
                <w:lang w:val="fr-CA"/>
              </w:rPr>
            </w:pPr>
            <w:r w:rsidRPr="001321A1">
              <w:rPr>
                <w:rFonts w:eastAsia="Calibri"/>
                <w:sz w:val="20"/>
                <w:lang w:val="fr-CA"/>
              </w:rPr>
              <w:t>Cour supérieure de justice de l’Ontario</w:t>
            </w:r>
          </w:p>
          <w:p w:rsidR="00372476" w:rsidRPr="001321A1" w:rsidRDefault="00372476" w:rsidP="00D16260">
            <w:pPr>
              <w:jc w:val="both"/>
              <w:rPr>
                <w:rFonts w:eastAsia="Calibri"/>
                <w:sz w:val="20"/>
                <w:lang w:val="fr-CA"/>
              </w:rPr>
            </w:pPr>
            <w:r w:rsidRPr="001321A1">
              <w:rPr>
                <w:rFonts w:eastAsia="Calibri"/>
                <w:sz w:val="20"/>
                <w:lang w:val="fr-CA"/>
              </w:rPr>
              <w:t>No. 09-3000095-0000</w:t>
            </w:r>
          </w:p>
          <w:p w:rsidR="00372476" w:rsidRPr="001321A1" w:rsidRDefault="00BF31AA" w:rsidP="00D16260">
            <w:pPr>
              <w:jc w:val="both"/>
              <w:rPr>
                <w:rFonts w:eastAsia="Calibri"/>
                <w:sz w:val="20"/>
                <w:lang w:val="fr-CA"/>
              </w:rPr>
            </w:pPr>
            <w:hyperlink r:id="rId38" w:history="1">
              <w:r w:rsidR="00372476" w:rsidRPr="001321A1">
                <w:rPr>
                  <w:rFonts w:eastAsia="Calibri"/>
                  <w:color w:val="0000FF"/>
                  <w:sz w:val="20"/>
                  <w:u w:val="single"/>
                  <w:lang w:val="fr-CA"/>
                </w:rPr>
                <w:t>2010 ONSC 5437</w:t>
              </w:r>
            </w:hyperlink>
          </w:p>
          <w:p w:rsidR="00372476" w:rsidRPr="001321A1" w:rsidRDefault="00372476" w:rsidP="00D16260">
            <w:pPr>
              <w:jc w:val="both"/>
              <w:rPr>
                <w:rFonts w:eastAsia="Calibri"/>
                <w:sz w:val="20"/>
                <w:lang w:val="fr-CA"/>
              </w:rPr>
            </w:pPr>
            <w:r w:rsidRPr="001321A1">
              <w:rPr>
                <w:rFonts w:eastAsia="Calibri"/>
                <w:sz w:val="20"/>
                <w:lang w:val="fr-CA"/>
              </w:rPr>
              <w:t>(Juge Backhouse)</w:t>
            </w:r>
          </w:p>
          <w:p w:rsidR="00372476" w:rsidRPr="001321A1" w:rsidRDefault="00372476" w:rsidP="00D16260">
            <w:pPr>
              <w:jc w:val="both"/>
              <w:rPr>
                <w:rFonts w:eastAsia="Calibri"/>
                <w:sz w:val="20"/>
                <w:lang w:val="fr-CA"/>
              </w:rPr>
            </w:pP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Requête de l’intimé en contestation de la constitutionnalité du sous-al. </w:t>
            </w:r>
            <w:hyperlink r:id="rId39" w:anchor="sec95subsec2_smooth" w:history="1">
              <w:r w:rsidRPr="001321A1">
                <w:rPr>
                  <w:rFonts w:eastAsia="Calibri"/>
                  <w:sz w:val="20"/>
                  <w:lang w:val="fr-CA"/>
                </w:rPr>
                <w:t>95(2)</w:t>
              </w:r>
            </w:hyperlink>
            <w:r w:rsidRPr="001321A1">
              <w:rPr>
                <w:rFonts w:eastAsia="Calibri"/>
                <w:i/>
                <w:sz w:val="20"/>
                <w:lang w:val="fr-CA"/>
              </w:rPr>
              <w:t>a</w:t>
            </w:r>
            <w:r w:rsidRPr="001321A1">
              <w:rPr>
                <w:rFonts w:eastAsia="Calibri"/>
                <w:sz w:val="20"/>
                <w:lang w:val="fr-CA"/>
              </w:rPr>
              <w:t xml:space="preserve">)(ii) du </w:t>
            </w:r>
            <w:hyperlink r:id="rId40" w:history="1">
              <w:r w:rsidRPr="001321A1">
                <w:rPr>
                  <w:rFonts w:eastAsia="Calibri"/>
                  <w:i/>
                  <w:sz w:val="20"/>
                  <w:lang w:val="fr-CA"/>
                </w:rPr>
                <w:t>Code criminel</w:t>
              </w:r>
            </w:hyperlink>
            <w:r w:rsidRPr="001321A1">
              <w:rPr>
                <w:rFonts w:eastAsia="Calibri"/>
                <w:sz w:val="20"/>
                <w:lang w:val="fr-CA"/>
              </w:rPr>
              <w:t>, rejetée.</w:t>
            </w:r>
          </w:p>
          <w:p w:rsidR="00372476" w:rsidRPr="001321A1" w:rsidRDefault="00372476" w:rsidP="00D16260">
            <w:pPr>
              <w:jc w:val="both"/>
              <w:rPr>
                <w:rFonts w:eastAsia="Calibri"/>
                <w:sz w:val="20"/>
                <w:lang w:val="fr-CA"/>
              </w:rPr>
            </w:pPr>
          </w:p>
        </w:tc>
      </w:tr>
      <w:tr w:rsidR="00372476" w:rsidRPr="00BF31AA"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t>12 novembre 2013</w:t>
            </w:r>
          </w:p>
          <w:p w:rsidR="00372476" w:rsidRPr="001321A1" w:rsidRDefault="00372476" w:rsidP="00D16260">
            <w:pPr>
              <w:jc w:val="both"/>
              <w:rPr>
                <w:rFonts w:eastAsia="Calibri"/>
                <w:sz w:val="20"/>
                <w:lang w:val="fr-CA"/>
              </w:rPr>
            </w:pPr>
            <w:r w:rsidRPr="001321A1">
              <w:rPr>
                <w:rFonts w:eastAsia="Calibri"/>
                <w:sz w:val="20"/>
                <w:lang w:val="fr-CA"/>
              </w:rPr>
              <w:t>Cour d’appel de l’Ontario</w:t>
            </w:r>
          </w:p>
          <w:p w:rsidR="00372476" w:rsidRPr="001321A1" w:rsidRDefault="00372476" w:rsidP="00D16260">
            <w:pPr>
              <w:jc w:val="both"/>
              <w:rPr>
                <w:rFonts w:eastAsia="Calibri"/>
                <w:sz w:val="20"/>
                <w:lang w:val="fr-CA"/>
              </w:rPr>
            </w:pPr>
            <w:r w:rsidRPr="001321A1">
              <w:rPr>
                <w:rFonts w:eastAsia="Calibri"/>
                <w:sz w:val="20"/>
                <w:lang w:val="fr-CA"/>
              </w:rPr>
              <w:t>(Juges Doherty, Goudge, Cronk, Blair et Tulloch)</w:t>
            </w:r>
          </w:p>
          <w:p w:rsidR="00372476" w:rsidRPr="001321A1" w:rsidRDefault="00372476" w:rsidP="00D16260">
            <w:pPr>
              <w:jc w:val="both"/>
              <w:rPr>
                <w:rFonts w:eastAsia="Calibri"/>
                <w:sz w:val="20"/>
                <w:lang w:val="fr-CA"/>
              </w:rPr>
            </w:pPr>
            <w:r w:rsidRPr="001321A1">
              <w:rPr>
                <w:rFonts w:eastAsia="Calibri"/>
                <w:sz w:val="20"/>
                <w:lang w:val="fr-CA"/>
              </w:rPr>
              <w:t>No. C54111</w:t>
            </w:r>
          </w:p>
          <w:p w:rsidR="00372476" w:rsidRPr="001321A1" w:rsidRDefault="00BF31AA" w:rsidP="00D16260">
            <w:pPr>
              <w:jc w:val="both"/>
              <w:rPr>
                <w:rFonts w:eastAsia="Calibri"/>
                <w:sz w:val="20"/>
                <w:lang w:val="fr-CA"/>
              </w:rPr>
            </w:pPr>
            <w:hyperlink r:id="rId41" w:history="1">
              <w:r w:rsidR="00372476" w:rsidRPr="001321A1">
                <w:rPr>
                  <w:rFonts w:eastAsia="Calibri"/>
                  <w:color w:val="0000FF"/>
                  <w:sz w:val="20"/>
                  <w:u w:val="single"/>
                  <w:lang w:val="fr-CA"/>
                </w:rPr>
                <w:t>2013 ONCA 681</w:t>
              </w:r>
            </w:hyperlink>
          </w:p>
          <w:p w:rsidR="00372476" w:rsidRPr="001321A1" w:rsidRDefault="00372476" w:rsidP="00D16260">
            <w:pPr>
              <w:jc w:val="both"/>
              <w:rPr>
                <w:rFonts w:eastAsia="Calibri"/>
                <w:sz w:val="20"/>
                <w:lang w:val="fr-CA"/>
              </w:rPr>
            </w:pP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Le sous-alinéa 95(2)</w:t>
            </w:r>
            <w:r w:rsidRPr="001321A1">
              <w:rPr>
                <w:rFonts w:eastAsia="Calibri"/>
                <w:i/>
                <w:sz w:val="20"/>
                <w:lang w:val="fr-CA"/>
              </w:rPr>
              <w:t>a</w:t>
            </w:r>
            <w:r w:rsidRPr="001321A1">
              <w:rPr>
                <w:rFonts w:eastAsia="Calibri"/>
                <w:sz w:val="20"/>
                <w:lang w:val="fr-CA"/>
              </w:rPr>
              <w:t xml:space="preserve">)(ii) du </w:t>
            </w:r>
            <w:hyperlink r:id="rId42" w:history="1">
              <w:r w:rsidRPr="001321A1">
                <w:rPr>
                  <w:rFonts w:eastAsia="Calibri"/>
                  <w:i/>
                  <w:sz w:val="20"/>
                  <w:lang w:val="fr-CA"/>
                </w:rPr>
                <w:t>Code criminel</w:t>
              </w:r>
            </w:hyperlink>
            <w:r w:rsidRPr="001321A1">
              <w:rPr>
                <w:rFonts w:eastAsia="Calibri"/>
                <w:i/>
                <w:sz w:val="20"/>
                <w:lang w:val="fr-CA"/>
              </w:rPr>
              <w:t xml:space="preserve"> </w:t>
            </w:r>
            <w:r w:rsidRPr="001321A1">
              <w:rPr>
                <w:rFonts w:eastAsia="Calibri"/>
                <w:sz w:val="20"/>
                <w:lang w:val="fr-CA"/>
              </w:rPr>
              <w:t xml:space="preserve">est déclaré inopérant pour cause d’incompatibilité avec l’art. 12 de la </w:t>
            </w:r>
            <w:r w:rsidRPr="001321A1">
              <w:rPr>
                <w:rFonts w:eastAsia="Calibri"/>
                <w:i/>
                <w:sz w:val="20"/>
                <w:lang w:val="fr-CA"/>
              </w:rPr>
              <w:t>Charte</w:t>
            </w:r>
            <w:r w:rsidRPr="001321A1">
              <w:rPr>
                <w:rFonts w:eastAsia="Calibri"/>
                <w:sz w:val="20"/>
                <w:lang w:val="fr-CA"/>
              </w:rPr>
              <w:t xml:space="preserve"> dans la mesure où il impose une peine minimale obligatoire de cinq ans d’emprisonnement en cas de récidive lorsque le ministère public procède par voie de mise en accusation.</w:t>
            </w:r>
          </w:p>
          <w:p w:rsidR="00372476" w:rsidRPr="001321A1" w:rsidRDefault="00372476" w:rsidP="00D16260">
            <w:pPr>
              <w:jc w:val="both"/>
              <w:rPr>
                <w:rFonts w:eastAsia="Calibri"/>
                <w:sz w:val="20"/>
                <w:lang w:val="fr-CA"/>
              </w:rPr>
            </w:pPr>
          </w:p>
        </w:tc>
      </w:tr>
      <w:tr w:rsidR="00372476" w:rsidRPr="001321A1"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t>10 janvier 2014</w:t>
            </w:r>
          </w:p>
          <w:p w:rsidR="00372476" w:rsidRPr="001321A1" w:rsidRDefault="00372476" w:rsidP="00D16260">
            <w:pPr>
              <w:jc w:val="both"/>
              <w:rPr>
                <w:rFonts w:eastAsia="Calibri"/>
                <w:sz w:val="20"/>
                <w:lang w:val="fr-CA"/>
              </w:rPr>
            </w:pPr>
            <w:r w:rsidRPr="001321A1">
              <w:rPr>
                <w:rFonts w:eastAsia="Calibri"/>
                <w:sz w:val="20"/>
                <w:lang w:val="fr-CA"/>
              </w:rPr>
              <w:t>Cour suprême du Canada</w:t>
            </w: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Demande d’autorisation d’appel déposée.</w:t>
            </w:r>
          </w:p>
          <w:p w:rsidR="00372476" w:rsidRPr="001321A1" w:rsidRDefault="00372476" w:rsidP="00D16260">
            <w:pPr>
              <w:jc w:val="both"/>
              <w:rPr>
                <w:rFonts w:eastAsia="Calibri"/>
                <w:sz w:val="20"/>
                <w:lang w:val="fr-CA"/>
              </w:rPr>
            </w:pPr>
          </w:p>
        </w:tc>
      </w:tr>
    </w:tbl>
    <w:p w:rsidR="00243043" w:rsidRDefault="00243043" w:rsidP="00243043">
      <w:pPr>
        <w:rPr>
          <w:sz w:val="20"/>
          <w:szCs w:val="20"/>
        </w:rPr>
      </w:pPr>
    </w:p>
    <w:p w:rsidR="00243043" w:rsidRDefault="00BF31AA" w:rsidP="00243043">
      <w:pPr>
        <w:rPr>
          <w:sz w:val="20"/>
          <w:szCs w:val="20"/>
        </w:rPr>
      </w:pPr>
      <w:r>
        <w:rPr>
          <w:sz w:val="20"/>
          <w:szCs w:val="20"/>
          <w:lang w:val="fr-CA"/>
        </w:rPr>
        <w:pict>
          <v:rect id="_x0000_i1043" style="width:2in;height:1pt" o:hrpct="0" o:hralign="center" o:hrstd="t" o:hrnoshade="t" o:hr="t" fillcolor="black [3213]" stroked="f"/>
        </w:pict>
      </w:r>
    </w:p>
    <w:p w:rsidR="00F437C1" w:rsidRDefault="00F437C1">
      <w:pPr>
        <w:rPr>
          <w:sz w:val="20"/>
          <w:szCs w:val="20"/>
        </w:rPr>
      </w:pPr>
    </w:p>
    <w:p w:rsidR="00F437C1" w:rsidRDefault="00F437C1">
      <w:pPr>
        <w:rPr>
          <w:sz w:val="20"/>
          <w:szCs w:val="20"/>
        </w:rPr>
      </w:pPr>
      <w:r>
        <w:rPr>
          <w:sz w:val="20"/>
          <w:szCs w:val="20"/>
        </w:rPr>
        <w:br w:type="page"/>
      </w: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437C1" w:rsidRPr="00F437C1" w:rsidTr="00D16260">
        <w:trPr>
          <w:cantSplit/>
        </w:trPr>
        <w:tc>
          <w:tcPr>
            <w:tcW w:w="1458" w:type="dxa"/>
          </w:tcPr>
          <w:p w:rsidR="00F437C1" w:rsidRPr="00F437C1" w:rsidRDefault="00F437C1" w:rsidP="00F437C1">
            <w:pPr>
              <w:rPr>
                <w:sz w:val="20"/>
              </w:rPr>
            </w:pPr>
            <w:r w:rsidRPr="00F437C1">
              <w:rPr>
                <w:b/>
                <w:sz w:val="20"/>
                <w:lang w:val="fr-CA"/>
              </w:rPr>
              <w:lastRenderedPageBreak/>
              <w:t>35701</w:t>
            </w:r>
          </w:p>
          <w:p w:rsidR="00F437C1" w:rsidRPr="00F437C1" w:rsidRDefault="00F437C1" w:rsidP="00F437C1">
            <w:pPr>
              <w:rPr>
                <w:b/>
                <w:sz w:val="20"/>
                <w:lang w:val="fr-CA"/>
              </w:rPr>
            </w:pPr>
          </w:p>
        </w:tc>
        <w:tc>
          <w:tcPr>
            <w:tcW w:w="8118" w:type="dxa"/>
          </w:tcPr>
          <w:p w:rsidR="00F437C1" w:rsidRPr="00F437C1" w:rsidRDefault="00F437C1" w:rsidP="00F437C1">
            <w:pPr>
              <w:rPr>
                <w:sz w:val="20"/>
              </w:rPr>
            </w:pPr>
            <w:r w:rsidRPr="00F437C1">
              <w:rPr>
                <w:b/>
                <w:sz w:val="20"/>
                <w:u w:val="single"/>
              </w:rPr>
              <w:t>Surgirthanraj Kailayapillai v. Her Majesty the Queen</w:t>
            </w:r>
            <w:r w:rsidRPr="00F437C1">
              <w:rPr>
                <w:sz w:val="20"/>
              </w:rPr>
              <w:t xml:space="preserve"> (Ont.) (Criminal) (By Leave)</w:t>
            </w:r>
          </w:p>
          <w:p w:rsidR="00F437C1" w:rsidRPr="00F437C1" w:rsidRDefault="00F437C1" w:rsidP="00F437C1">
            <w:pPr>
              <w:rPr>
                <w:sz w:val="20"/>
              </w:rPr>
            </w:pPr>
          </w:p>
        </w:tc>
      </w:tr>
      <w:tr w:rsidR="00F437C1" w:rsidRPr="00F437C1" w:rsidTr="00D16260">
        <w:trPr>
          <w:cantSplit/>
        </w:trPr>
        <w:tc>
          <w:tcPr>
            <w:tcW w:w="1458" w:type="dxa"/>
          </w:tcPr>
          <w:p w:rsidR="00F437C1" w:rsidRPr="00F437C1" w:rsidRDefault="00F437C1" w:rsidP="00F437C1">
            <w:pPr>
              <w:rPr>
                <w:sz w:val="20"/>
              </w:rPr>
            </w:pPr>
            <w:r w:rsidRPr="00F437C1">
              <w:rPr>
                <w:sz w:val="20"/>
              </w:rPr>
              <w:t>Coram :</w:t>
            </w:r>
          </w:p>
        </w:tc>
        <w:tc>
          <w:tcPr>
            <w:tcW w:w="8118" w:type="dxa"/>
          </w:tcPr>
          <w:p w:rsidR="00F437C1" w:rsidRPr="00F437C1" w:rsidRDefault="00F437C1" w:rsidP="00F437C1">
            <w:pPr>
              <w:rPr>
                <w:sz w:val="20"/>
              </w:rPr>
            </w:pPr>
            <w:r w:rsidRPr="00F437C1">
              <w:rPr>
                <w:sz w:val="20"/>
                <w:u w:val="single"/>
              </w:rPr>
              <w:t>Abella, Rothstein and Moldaver JJ.</w:t>
            </w:r>
          </w:p>
          <w:p w:rsidR="00F437C1" w:rsidRPr="00F437C1" w:rsidRDefault="00F437C1" w:rsidP="00F437C1">
            <w:pPr>
              <w:rPr>
                <w:sz w:val="20"/>
                <w:u w:val="single"/>
              </w:rPr>
            </w:pPr>
          </w:p>
        </w:tc>
      </w:tr>
      <w:tr w:rsidR="00F437C1" w:rsidRPr="00BF31AA" w:rsidTr="00D16260">
        <w:trPr>
          <w:cantSplit/>
        </w:trPr>
        <w:tc>
          <w:tcPr>
            <w:tcW w:w="9576" w:type="dxa"/>
            <w:gridSpan w:val="2"/>
          </w:tcPr>
          <w:p w:rsidR="00F437C1" w:rsidRPr="00F437C1" w:rsidRDefault="00F437C1" w:rsidP="00F437C1">
            <w:pPr>
              <w:ind w:firstLine="720"/>
              <w:jc w:val="both"/>
              <w:rPr>
                <w:sz w:val="20"/>
              </w:rPr>
            </w:pPr>
            <w:r w:rsidRPr="00F437C1">
              <w:rPr>
                <w:sz w:val="20"/>
              </w:rPr>
              <w:t>The motion for an extension of time to serve and file the application for leave to appeal is granted.  The motion for an extension of time to serve and file a reply is granted.  The application for leave to appeal from the judgment of the Court of Appeal for Ontario, Number C51102, 2013 ONCA 248, dated April 22, 2013, is dismissed without costs.</w:t>
            </w:r>
          </w:p>
          <w:p w:rsidR="00F437C1" w:rsidRPr="00F437C1" w:rsidRDefault="00F437C1" w:rsidP="00F437C1">
            <w:pPr>
              <w:jc w:val="both"/>
              <w:rPr>
                <w:sz w:val="20"/>
              </w:rPr>
            </w:pPr>
          </w:p>
          <w:p w:rsidR="00F437C1" w:rsidRPr="00F437C1" w:rsidRDefault="00F437C1" w:rsidP="00F437C1">
            <w:pPr>
              <w:ind w:firstLine="720"/>
              <w:jc w:val="both"/>
              <w:rPr>
                <w:sz w:val="20"/>
                <w:lang w:val="fr-CA"/>
              </w:rPr>
            </w:pPr>
            <w:r w:rsidRPr="00F437C1">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l’Ontario, numéro C51102, 2013 ONCA 248, daté du 22 avril 2013, est rejetée sans dépens.</w:t>
            </w:r>
          </w:p>
        </w:tc>
      </w:tr>
    </w:tbl>
    <w:p w:rsidR="00243043" w:rsidRPr="00F437C1" w:rsidRDefault="00243043" w:rsidP="00243043">
      <w:pPr>
        <w:rPr>
          <w:sz w:val="20"/>
          <w:szCs w:val="20"/>
          <w:lang w:val="fr-CA"/>
        </w:rPr>
      </w:pPr>
    </w:p>
    <w:p w:rsidR="00243043" w:rsidRPr="001B157C" w:rsidRDefault="00243043" w:rsidP="00243043">
      <w:pPr>
        <w:rPr>
          <w:sz w:val="20"/>
          <w:szCs w:val="20"/>
          <w:u w:val="single"/>
        </w:rPr>
      </w:pPr>
      <w:r w:rsidRPr="001B157C">
        <w:rPr>
          <w:sz w:val="20"/>
          <w:szCs w:val="20"/>
          <w:u w:val="single"/>
        </w:rPr>
        <w:t>CASE SUMMARY</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t>Criminal law — Evidence — Prior consistent statements —Trial judge refused to permit defence to put applicant’s police statement to him during re-examination — Applicant convicted by jury of murdering his wife — Applicant’s appeal against conviction dismissed — Whether applicant’s statement meets criteria for admissibility as prior consistent statement —Whether fresh evidence admissible on appeal to this Court.</w:t>
            </w:r>
          </w:p>
        </w:tc>
      </w:tr>
      <w:tr w:rsidR="00372476" w:rsidRPr="001321A1" w:rsidTr="00D16260">
        <w:tc>
          <w:tcPr>
            <w:tcW w:w="5000" w:type="pct"/>
            <w:gridSpan w:val="3"/>
          </w:tcPr>
          <w:p w:rsidR="00372476" w:rsidRPr="001321A1" w:rsidRDefault="00372476" w:rsidP="00D16260">
            <w:pPr>
              <w:jc w:val="both"/>
              <w:rPr>
                <w:rFonts w:eastAsia="Calibri"/>
                <w:sz w:val="20"/>
              </w:rPr>
            </w:pPr>
          </w:p>
        </w:tc>
      </w:tr>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t>The applicant, Mr. Kailayapillai, was convicted by jury of murdering his wife and sentenced to life imprisonment without eligibility for parole for 14 years.  Mr. Kailayapillai’s wife was found by their daughter in their garage.  One end of a rope was tied around her neck and the other end was around the garage door opener track.  Her head and neck were about six inches off the ground.  There was one pool of blood around her head and another by the steps leading from the garage to the breezeway that attached the garage to the main house.  The cause of death was a combination of asphyxia due to hanging and brain injury caused by blunt force trauma.  Key to the Crown’s circumstantial case were Mr. Kailayapillai’s two palm prints smeared with his wife’s blood that were found on the wall of the inside of the garage below a light switch.  Mr. Kailayapillai testified at trial and denied that he had anything to do with his wife’s death. The trial judge, however, refused to allow defence counsel to put to Mr. Kailayapillai, on his re-examination, an extract from a statement he had given to the police.  Defence counsel had resisted the admissibility of that statement and any evidence derived from it throughout the trial, including during Mr. Kailayapillai cross</w:t>
            </w:r>
            <w:r w:rsidRPr="001321A1">
              <w:rPr>
                <w:rFonts w:eastAsia="Calibri"/>
                <w:sz w:val="20"/>
              </w:rPr>
              <w:noBreakHyphen/>
              <w:t>examination.  After cross</w:t>
            </w:r>
            <w:r w:rsidRPr="001321A1">
              <w:rPr>
                <w:rFonts w:eastAsia="Calibri"/>
                <w:sz w:val="20"/>
              </w:rPr>
              <w:noBreakHyphen/>
              <w:t>examination was completed, counsel changed his position and argued that the extract from the statement was admissible on re-examination because it was consistent, at least to some extent, with Mr. Kailayapillai’s testimony and could be used to rebut the allegation of recent fabrication made during his cross</w:t>
            </w:r>
            <w:r w:rsidRPr="001321A1">
              <w:rPr>
                <w:rFonts w:eastAsia="Calibri"/>
                <w:sz w:val="20"/>
              </w:rPr>
              <w:noBreakHyphen/>
              <w:t>examination.  The argument failed both at trial and on appeal.  The trial judge held that the statement was neither consistent with Mr. Kailayapillai’s testimony, nor properly offered to rebut an allegation of recent fabrication.  The Court of Appeal agreed.</w:t>
            </w:r>
          </w:p>
          <w:p w:rsidR="00372476" w:rsidRPr="001321A1" w:rsidRDefault="00372476" w:rsidP="00D16260">
            <w:pPr>
              <w:jc w:val="both"/>
              <w:rPr>
                <w:rFonts w:eastAsia="Calibri"/>
                <w:sz w:val="20"/>
              </w:rPr>
            </w:pPr>
          </w:p>
        </w:tc>
      </w:tr>
      <w:tr w:rsidR="00372476" w:rsidRPr="001321A1" w:rsidTr="00D16260">
        <w:tblPrEx>
          <w:tblCellMar>
            <w:bottom w:w="0" w:type="dxa"/>
          </w:tblCellMar>
        </w:tblPrEx>
        <w:tc>
          <w:tcPr>
            <w:tcW w:w="2390" w:type="pct"/>
          </w:tcPr>
          <w:p w:rsidR="00372476" w:rsidRPr="001321A1" w:rsidRDefault="00372476" w:rsidP="00D16260">
            <w:pPr>
              <w:jc w:val="both"/>
              <w:rPr>
                <w:rFonts w:eastAsia="Calibri"/>
                <w:sz w:val="20"/>
              </w:rPr>
            </w:pPr>
            <w:r w:rsidRPr="001321A1">
              <w:rPr>
                <w:rFonts w:eastAsia="Calibri"/>
                <w:sz w:val="20"/>
              </w:rPr>
              <w:t>November 29, 2008</w:t>
            </w:r>
          </w:p>
          <w:p w:rsidR="00372476" w:rsidRPr="001321A1" w:rsidRDefault="00372476" w:rsidP="00D16260">
            <w:pPr>
              <w:jc w:val="both"/>
              <w:rPr>
                <w:rFonts w:eastAsia="Calibri"/>
                <w:sz w:val="20"/>
              </w:rPr>
            </w:pPr>
            <w:r w:rsidRPr="001321A1">
              <w:rPr>
                <w:rFonts w:eastAsia="Calibri"/>
                <w:sz w:val="20"/>
              </w:rPr>
              <w:t>Superior Court of Justice</w:t>
            </w:r>
          </w:p>
          <w:p w:rsidR="00372476" w:rsidRPr="001321A1" w:rsidRDefault="00372476" w:rsidP="00D16260">
            <w:pPr>
              <w:jc w:val="both"/>
              <w:rPr>
                <w:rFonts w:eastAsia="Calibri"/>
                <w:sz w:val="20"/>
              </w:rPr>
            </w:pPr>
            <w:r w:rsidRPr="001321A1">
              <w:rPr>
                <w:rFonts w:eastAsia="Calibri"/>
                <w:sz w:val="20"/>
              </w:rPr>
              <w:t>(Fuerst J.)</w:t>
            </w:r>
          </w:p>
          <w:p w:rsidR="00372476" w:rsidRPr="001321A1" w:rsidRDefault="00372476" w:rsidP="00D16260">
            <w:pPr>
              <w:jc w:val="both"/>
              <w:rPr>
                <w:rFonts w:eastAsia="Calibri"/>
                <w:sz w:val="20"/>
              </w:rPr>
            </w:pPr>
          </w:p>
        </w:tc>
        <w:tc>
          <w:tcPr>
            <w:tcW w:w="270" w:type="pct"/>
          </w:tcPr>
          <w:p w:rsidR="00372476" w:rsidRPr="001321A1" w:rsidRDefault="00372476" w:rsidP="00D16260">
            <w:pPr>
              <w:jc w:val="both"/>
              <w:rPr>
                <w:rFonts w:eastAsia="Calibri"/>
                <w:sz w:val="20"/>
                <w:highlight w:val="yellow"/>
              </w:rPr>
            </w:pPr>
          </w:p>
        </w:tc>
        <w:tc>
          <w:tcPr>
            <w:tcW w:w="2340" w:type="pct"/>
          </w:tcPr>
          <w:p w:rsidR="00372476" w:rsidRPr="001321A1" w:rsidRDefault="00372476" w:rsidP="00D16260">
            <w:pPr>
              <w:jc w:val="both"/>
              <w:rPr>
                <w:rFonts w:eastAsia="Calibri"/>
                <w:sz w:val="20"/>
              </w:rPr>
            </w:pPr>
            <w:r w:rsidRPr="001321A1">
              <w:rPr>
                <w:rFonts w:eastAsia="Calibri"/>
                <w:sz w:val="20"/>
              </w:rPr>
              <w:t>Applicant convicted by jury of second degree murder.</w:t>
            </w:r>
          </w:p>
        </w:tc>
      </w:tr>
      <w:tr w:rsidR="00372476" w:rsidRPr="001321A1" w:rsidTr="00D16260">
        <w:tblPrEx>
          <w:tblCellMar>
            <w:bottom w:w="0" w:type="dxa"/>
          </w:tblCellMar>
        </w:tblPrEx>
        <w:tc>
          <w:tcPr>
            <w:tcW w:w="2390" w:type="pct"/>
          </w:tcPr>
          <w:p w:rsidR="00372476" w:rsidRPr="001321A1" w:rsidRDefault="00372476" w:rsidP="00D16260">
            <w:pPr>
              <w:jc w:val="both"/>
              <w:rPr>
                <w:rFonts w:eastAsia="Calibri"/>
                <w:sz w:val="20"/>
              </w:rPr>
            </w:pPr>
            <w:r w:rsidRPr="001321A1">
              <w:rPr>
                <w:rFonts w:eastAsia="Calibri"/>
                <w:sz w:val="20"/>
              </w:rPr>
              <w:t>April 22, 2013</w:t>
            </w:r>
          </w:p>
          <w:p w:rsidR="00372476" w:rsidRPr="001321A1" w:rsidRDefault="00372476" w:rsidP="00D16260">
            <w:pPr>
              <w:jc w:val="both"/>
              <w:rPr>
                <w:rFonts w:eastAsia="Calibri"/>
                <w:sz w:val="20"/>
              </w:rPr>
            </w:pPr>
            <w:r w:rsidRPr="001321A1">
              <w:rPr>
                <w:rFonts w:eastAsia="Calibri"/>
                <w:sz w:val="20"/>
              </w:rPr>
              <w:t>Court of Appeal for Ontario</w:t>
            </w:r>
          </w:p>
          <w:p w:rsidR="00372476" w:rsidRPr="001321A1" w:rsidRDefault="00372476" w:rsidP="00D16260">
            <w:pPr>
              <w:jc w:val="both"/>
              <w:rPr>
                <w:rFonts w:eastAsia="Calibri"/>
                <w:sz w:val="20"/>
              </w:rPr>
            </w:pPr>
            <w:r w:rsidRPr="001321A1">
              <w:rPr>
                <w:rFonts w:eastAsia="Calibri"/>
                <w:sz w:val="20"/>
              </w:rPr>
              <w:t>(Doherty, Hoy and Pepall JJ.A.)</w:t>
            </w:r>
          </w:p>
          <w:p w:rsidR="00372476" w:rsidRPr="001321A1" w:rsidRDefault="00BF31AA" w:rsidP="00D16260">
            <w:pPr>
              <w:jc w:val="both"/>
              <w:rPr>
                <w:rFonts w:eastAsia="Calibri"/>
                <w:sz w:val="20"/>
              </w:rPr>
            </w:pPr>
            <w:hyperlink r:id="rId43" w:history="1">
              <w:r w:rsidR="00372476" w:rsidRPr="001321A1">
                <w:rPr>
                  <w:rFonts w:eastAsia="Calibri"/>
                  <w:color w:val="0000FF"/>
                  <w:sz w:val="20"/>
                  <w:u w:val="single"/>
                </w:rPr>
                <w:t>2013 ONCA 248</w:t>
              </w:r>
            </w:hyperlink>
          </w:p>
          <w:p w:rsidR="00372476" w:rsidRPr="001321A1" w:rsidRDefault="00372476" w:rsidP="00D16260">
            <w:pPr>
              <w:jc w:val="both"/>
              <w:rPr>
                <w:rFonts w:eastAsia="Calibri"/>
                <w:sz w:val="20"/>
                <w:highlight w:val="yellow"/>
              </w:rPr>
            </w:pPr>
          </w:p>
        </w:tc>
        <w:tc>
          <w:tcPr>
            <w:tcW w:w="270" w:type="pct"/>
          </w:tcPr>
          <w:p w:rsidR="00372476" w:rsidRPr="001321A1" w:rsidRDefault="00372476" w:rsidP="00D16260">
            <w:pPr>
              <w:jc w:val="both"/>
              <w:rPr>
                <w:rFonts w:eastAsia="Calibri"/>
                <w:sz w:val="20"/>
                <w:highlight w:val="yellow"/>
              </w:rPr>
            </w:pPr>
          </w:p>
        </w:tc>
        <w:tc>
          <w:tcPr>
            <w:tcW w:w="2340" w:type="pct"/>
          </w:tcPr>
          <w:p w:rsidR="00372476" w:rsidRPr="001321A1" w:rsidRDefault="00372476" w:rsidP="00D16260">
            <w:pPr>
              <w:jc w:val="both"/>
              <w:rPr>
                <w:rFonts w:eastAsia="Calibri"/>
                <w:sz w:val="20"/>
                <w:highlight w:val="yellow"/>
              </w:rPr>
            </w:pPr>
            <w:r w:rsidRPr="001321A1">
              <w:rPr>
                <w:rFonts w:eastAsia="Calibri"/>
                <w:sz w:val="20"/>
              </w:rPr>
              <w:t>Appeal against conviction dismissed.</w:t>
            </w:r>
          </w:p>
          <w:p w:rsidR="00372476" w:rsidRPr="001321A1" w:rsidRDefault="00372476" w:rsidP="00D16260">
            <w:pPr>
              <w:jc w:val="both"/>
              <w:rPr>
                <w:rFonts w:eastAsia="Calibri"/>
                <w:sz w:val="20"/>
                <w:highlight w:val="yellow"/>
              </w:rPr>
            </w:pPr>
          </w:p>
        </w:tc>
      </w:tr>
      <w:tr w:rsidR="00372476" w:rsidRPr="001321A1" w:rsidTr="00D16260">
        <w:tblPrEx>
          <w:tblCellMar>
            <w:bottom w:w="0" w:type="dxa"/>
          </w:tblCellMar>
        </w:tblPrEx>
        <w:tc>
          <w:tcPr>
            <w:tcW w:w="2390" w:type="pct"/>
          </w:tcPr>
          <w:p w:rsidR="00372476" w:rsidRPr="001321A1" w:rsidRDefault="00372476" w:rsidP="00D16260">
            <w:pPr>
              <w:jc w:val="both"/>
              <w:rPr>
                <w:rFonts w:eastAsia="Calibri"/>
                <w:sz w:val="20"/>
              </w:rPr>
            </w:pPr>
            <w:r w:rsidRPr="001321A1">
              <w:rPr>
                <w:rFonts w:eastAsia="Calibri"/>
                <w:sz w:val="20"/>
              </w:rPr>
              <w:t>January 23, 2014</w:t>
            </w:r>
          </w:p>
          <w:p w:rsidR="00372476" w:rsidRPr="001321A1" w:rsidRDefault="00372476" w:rsidP="00D16260">
            <w:pPr>
              <w:jc w:val="both"/>
              <w:rPr>
                <w:rFonts w:eastAsia="Calibri"/>
                <w:sz w:val="20"/>
              </w:rPr>
            </w:pPr>
            <w:r w:rsidRPr="001321A1">
              <w:rPr>
                <w:rFonts w:eastAsia="Calibri"/>
                <w:sz w:val="20"/>
              </w:rPr>
              <w:t>Supreme Court of Canada</w:t>
            </w:r>
          </w:p>
        </w:tc>
        <w:tc>
          <w:tcPr>
            <w:tcW w:w="270" w:type="pct"/>
          </w:tcPr>
          <w:p w:rsidR="00372476" w:rsidRPr="001321A1" w:rsidRDefault="00372476" w:rsidP="00D16260">
            <w:pPr>
              <w:jc w:val="both"/>
              <w:rPr>
                <w:rFonts w:eastAsia="Calibri"/>
                <w:sz w:val="20"/>
              </w:rPr>
            </w:pPr>
          </w:p>
        </w:tc>
        <w:tc>
          <w:tcPr>
            <w:tcW w:w="2340" w:type="pct"/>
          </w:tcPr>
          <w:p w:rsidR="00372476" w:rsidRPr="001321A1" w:rsidRDefault="00372476" w:rsidP="00D16260">
            <w:pPr>
              <w:jc w:val="both"/>
              <w:rPr>
                <w:rFonts w:eastAsia="Calibri"/>
                <w:sz w:val="20"/>
              </w:rPr>
            </w:pPr>
            <w:r w:rsidRPr="001321A1">
              <w:rPr>
                <w:rFonts w:eastAsia="Calibri"/>
                <w:sz w:val="20"/>
              </w:rPr>
              <w:t>Application for leave to appeal filed together with motion for extension of time to serve and file application itself.</w:t>
            </w:r>
          </w:p>
        </w:tc>
      </w:tr>
    </w:tbl>
    <w:p w:rsidR="00243043" w:rsidRDefault="00243043" w:rsidP="00243043">
      <w:pPr>
        <w:rPr>
          <w:sz w:val="20"/>
          <w:szCs w:val="20"/>
        </w:rPr>
      </w:pPr>
    </w:p>
    <w:p w:rsidR="00243043" w:rsidRDefault="00BF31AA" w:rsidP="00243043">
      <w:pPr>
        <w:rPr>
          <w:sz w:val="20"/>
          <w:szCs w:val="20"/>
          <w:lang w:val="fr-CA"/>
        </w:rPr>
      </w:pPr>
      <w:r>
        <w:rPr>
          <w:sz w:val="20"/>
          <w:szCs w:val="20"/>
          <w:lang w:val="fr-CA"/>
        </w:rPr>
        <w:pict>
          <v:rect id="_x0000_i1044" style="width:2in;height:1pt" o:hrpct="0" o:hralign="center" o:hrstd="t" o:hrnoshade="t" o:hr="t" fillcolor="black [3213]" stroked="f"/>
        </w:pict>
      </w:r>
    </w:p>
    <w:p w:rsidR="00243043" w:rsidRDefault="00243043" w:rsidP="00243043">
      <w:pPr>
        <w:rPr>
          <w:sz w:val="20"/>
          <w:szCs w:val="20"/>
        </w:rPr>
      </w:pPr>
    </w:p>
    <w:p w:rsidR="00243043" w:rsidRPr="001B157C" w:rsidRDefault="00243043" w:rsidP="00243043">
      <w:pPr>
        <w:rPr>
          <w:sz w:val="20"/>
          <w:szCs w:val="20"/>
          <w:u w:val="single"/>
          <w:lang w:val="fr-CA"/>
        </w:rPr>
      </w:pPr>
      <w:r w:rsidRPr="001B157C">
        <w:rPr>
          <w:sz w:val="20"/>
          <w:szCs w:val="20"/>
          <w:u w:val="single"/>
          <w:lang w:val="fr-CA"/>
        </w:rPr>
        <w:t>RÉSUMÉ DE L’AFFAIRE</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372476" w:rsidRPr="00BF31AA" w:rsidTr="00D16260">
        <w:tc>
          <w:tcPr>
            <w:tcW w:w="5000" w:type="pct"/>
            <w:gridSpan w:val="3"/>
          </w:tcPr>
          <w:p w:rsidR="00372476" w:rsidRPr="001321A1" w:rsidRDefault="00372476" w:rsidP="00D16260">
            <w:pPr>
              <w:jc w:val="both"/>
              <w:rPr>
                <w:rFonts w:eastAsia="Calibri"/>
                <w:sz w:val="20"/>
                <w:lang w:val="fr-CA"/>
              </w:rPr>
            </w:pPr>
            <w:r w:rsidRPr="001321A1">
              <w:rPr>
                <w:rFonts w:eastAsia="Calibri"/>
                <w:sz w:val="20"/>
                <w:lang w:val="fr-CA"/>
              </w:rPr>
              <w:t>Droit criminel — Preuve — Déclarations antérieures compatibles — La juge du procès a refusé de permettre à la défense de présenter au demandeur en réinterrogatoire une déclaration qu’il avait faite aux policiers — Le demandeur a été déclaré coupable par un jury du meurtre de son épouse — L’appel du demandeur de sa condamnation a été rejeté — La déclaration du demandeur remplit-elle les critères d’admissibilité à titre de déclaration antérieure compatible? — Une nouvelle preuve est-elle admissible en appel à cette Cour?</w:t>
            </w:r>
          </w:p>
        </w:tc>
      </w:tr>
      <w:tr w:rsidR="00372476" w:rsidRPr="00BF31AA" w:rsidTr="00D16260">
        <w:tc>
          <w:tcPr>
            <w:tcW w:w="5000" w:type="pct"/>
            <w:gridSpan w:val="3"/>
          </w:tcPr>
          <w:p w:rsidR="00372476" w:rsidRPr="001321A1" w:rsidRDefault="00372476" w:rsidP="00D16260">
            <w:pPr>
              <w:jc w:val="both"/>
              <w:rPr>
                <w:rFonts w:eastAsia="Calibri"/>
                <w:sz w:val="20"/>
                <w:lang w:val="fr-CA"/>
              </w:rPr>
            </w:pPr>
          </w:p>
        </w:tc>
      </w:tr>
      <w:tr w:rsidR="00372476" w:rsidRPr="001321A1" w:rsidTr="00D16260">
        <w:tc>
          <w:tcPr>
            <w:tcW w:w="5000" w:type="pct"/>
            <w:gridSpan w:val="3"/>
          </w:tcPr>
          <w:p w:rsidR="00372476" w:rsidRPr="001321A1" w:rsidRDefault="00372476" w:rsidP="00D16260">
            <w:pPr>
              <w:jc w:val="both"/>
              <w:rPr>
                <w:rFonts w:eastAsia="Calibri"/>
                <w:sz w:val="20"/>
                <w:lang w:val="fr-CA"/>
              </w:rPr>
            </w:pPr>
            <w:r w:rsidRPr="001321A1">
              <w:rPr>
                <w:rFonts w:eastAsia="Calibri"/>
                <w:sz w:val="20"/>
                <w:lang w:val="fr-CA"/>
              </w:rPr>
              <w:t>Le demandeur, M. Kailayapillai, a été déclaré coupable par un jury du meurtre de son épouse et condamné à l’emprisonnement à perpétuité sans possibilité de libération conditionnelle avant 14  ans.  L’épouse de M. Kailayapillai a été retrouvée par leur fille dans leur garage.  Un bout de corde était attaché autour de son cou et l’autre bout était enroulé autour du rail de l’ouvre-porte de garage.  Sa tête et son cou se trouvaient à environ six pouces du sol.  Il y avait une mare de sang autour de sa tête et une autre près des marches menant du garage au passage recouvert entre le garage et la maison.  La cause de la mort était une combinaison d’asphyxie par pendaison et de blessure au cerveau causée par un traumatisme contondant.  Un élément clé de la preuve circonstancielle du ministère public a été les deux empreintes palmaires de M. Kailayapillai maculées du sang de son épouse, retrouvées sur le mur de l’intérieur du garage au-dessous d’un l’interrupteur de lampe.  Monsieur Kailayapillai a témoigné au procès et a nié avoir eu quoi que ce soit à voir avec le décès de son épouse.  Toutefois, la juge du procès a refusé de permettre à l’avocat de la défense de présenter à M. Kailayapillai, lors de son réinterrogatoire, l’extrait d’une déclaration qu’il avait faite aux policiers.  Pendant tout le procès, y compris pendant le contre-interrogatoire de M. Kailayapillai, l’avocat de la défense s’était opposé à l’admissibilité de cette déclaration et toute preuve qui en découlait.  Après le contre-interrogatoire, l’avocat a changé d’avis et a plaidé qu’un extrait de la déclaration était admissible en réinterrogatoire parce qu’elle était compatible, du moins dans une certaine mesure, avec le témoignage de M. Kailayapillai et pouvait être utilisée pour réfuter l’allégation de fabrication récente faite pendant son contre-interrogatoire.  L’argument a été rejeté au procès et en appel.  La juge du procès a statué que la déclaration n’était ni compatible avec le témoignage de M. Kailayapillai, ni présentée à bon droit pour réfuter une allégation de fabrication récente.  La Cour d’appel était du même avis.</w:t>
            </w:r>
          </w:p>
          <w:p w:rsidR="00372476" w:rsidRPr="001321A1" w:rsidRDefault="00372476" w:rsidP="00D16260">
            <w:pPr>
              <w:jc w:val="both"/>
              <w:rPr>
                <w:rFonts w:eastAsia="Calibri"/>
                <w:sz w:val="20"/>
                <w:lang w:val="fr-CA"/>
              </w:rPr>
            </w:pPr>
          </w:p>
        </w:tc>
      </w:tr>
      <w:tr w:rsidR="00372476" w:rsidRPr="00BF31AA" w:rsidTr="00D16260">
        <w:tblPrEx>
          <w:tblCellMar>
            <w:bottom w:w="0" w:type="dxa"/>
          </w:tblCellMar>
        </w:tblPrEx>
        <w:tc>
          <w:tcPr>
            <w:tcW w:w="2390" w:type="pct"/>
          </w:tcPr>
          <w:p w:rsidR="00372476" w:rsidRPr="001321A1" w:rsidRDefault="00372476" w:rsidP="00D16260">
            <w:pPr>
              <w:jc w:val="both"/>
              <w:rPr>
                <w:rFonts w:eastAsia="Calibri"/>
                <w:sz w:val="20"/>
                <w:lang w:val="fr-CA"/>
              </w:rPr>
            </w:pPr>
            <w:r w:rsidRPr="001321A1">
              <w:rPr>
                <w:rFonts w:eastAsia="Calibri"/>
                <w:sz w:val="20"/>
                <w:lang w:val="fr-CA"/>
              </w:rPr>
              <w:t>29 novembre 2008</w:t>
            </w:r>
          </w:p>
          <w:p w:rsidR="00372476" w:rsidRPr="001321A1" w:rsidRDefault="00372476" w:rsidP="00D16260">
            <w:pPr>
              <w:jc w:val="both"/>
              <w:rPr>
                <w:rFonts w:eastAsia="Calibri"/>
                <w:sz w:val="20"/>
                <w:lang w:val="fr-CA"/>
              </w:rPr>
            </w:pPr>
            <w:r w:rsidRPr="001321A1">
              <w:rPr>
                <w:rFonts w:eastAsia="Calibri"/>
                <w:sz w:val="20"/>
                <w:lang w:val="fr-CA"/>
              </w:rPr>
              <w:t>Cour supérieure de justice de l’Ontario</w:t>
            </w:r>
          </w:p>
          <w:p w:rsidR="00372476" w:rsidRPr="001321A1" w:rsidRDefault="00372476" w:rsidP="00D16260">
            <w:pPr>
              <w:jc w:val="both"/>
              <w:rPr>
                <w:rFonts w:eastAsia="Calibri"/>
                <w:sz w:val="20"/>
                <w:lang w:val="fr-CA"/>
              </w:rPr>
            </w:pPr>
            <w:r w:rsidRPr="001321A1">
              <w:rPr>
                <w:rFonts w:eastAsia="Calibri"/>
                <w:sz w:val="20"/>
                <w:lang w:val="fr-CA"/>
              </w:rPr>
              <w:t>(Juge Fuerst)</w:t>
            </w:r>
          </w:p>
          <w:p w:rsidR="00372476" w:rsidRPr="001321A1" w:rsidRDefault="00372476" w:rsidP="00D16260">
            <w:pPr>
              <w:jc w:val="both"/>
              <w:rPr>
                <w:rFonts w:eastAsia="Calibri"/>
                <w:sz w:val="20"/>
                <w:lang w:val="fr-CA"/>
              </w:rPr>
            </w:pPr>
          </w:p>
        </w:tc>
        <w:tc>
          <w:tcPr>
            <w:tcW w:w="270" w:type="pct"/>
          </w:tcPr>
          <w:p w:rsidR="00372476" w:rsidRPr="001321A1" w:rsidRDefault="00372476" w:rsidP="00D16260">
            <w:pPr>
              <w:jc w:val="both"/>
              <w:rPr>
                <w:rFonts w:eastAsia="Calibri"/>
                <w:sz w:val="20"/>
                <w:highlight w:val="yellow"/>
                <w:lang w:val="fr-CA"/>
              </w:rPr>
            </w:pPr>
          </w:p>
        </w:tc>
        <w:tc>
          <w:tcPr>
            <w:tcW w:w="2340" w:type="pct"/>
          </w:tcPr>
          <w:p w:rsidR="00372476" w:rsidRPr="001321A1" w:rsidRDefault="00372476" w:rsidP="00D16260">
            <w:pPr>
              <w:jc w:val="both"/>
              <w:rPr>
                <w:rFonts w:eastAsia="Calibri"/>
                <w:sz w:val="20"/>
                <w:lang w:val="fr-CA"/>
              </w:rPr>
            </w:pPr>
            <w:r w:rsidRPr="001321A1">
              <w:rPr>
                <w:rFonts w:eastAsia="Calibri"/>
                <w:sz w:val="20"/>
                <w:lang w:val="fr-CA"/>
              </w:rPr>
              <w:t>Demandeur déclaré coupable par un jury de meurtre au deuxième degré.</w:t>
            </w:r>
          </w:p>
        </w:tc>
      </w:tr>
      <w:tr w:rsidR="00372476" w:rsidRPr="00BF31AA" w:rsidTr="00D16260">
        <w:tblPrEx>
          <w:tblCellMar>
            <w:bottom w:w="0" w:type="dxa"/>
          </w:tblCellMar>
        </w:tblPrEx>
        <w:tc>
          <w:tcPr>
            <w:tcW w:w="2390" w:type="pct"/>
          </w:tcPr>
          <w:p w:rsidR="00372476" w:rsidRPr="001321A1" w:rsidRDefault="00372476" w:rsidP="00D16260">
            <w:pPr>
              <w:jc w:val="both"/>
              <w:rPr>
                <w:rFonts w:eastAsia="Calibri"/>
                <w:sz w:val="20"/>
                <w:lang w:val="fr-CA"/>
              </w:rPr>
            </w:pPr>
            <w:r w:rsidRPr="001321A1">
              <w:rPr>
                <w:rFonts w:eastAsia="Calibri"/>
                <w:sz w:val="20"/>
                <w:lang w:val="fr-CA"/>
              </w:rPr>
              <w:t>22 avril 2013</w:t>
            </w:r>
          </w:p>
          <w:p w:rsidR="00372476" w:rsidRPr="001321A1" w:rsidRDefault="00372476" w:rsidP="00D16260">
            <w:pPr>
              <w:jc w:val="both"/>
              <w:rPr>
                <w:rFonts w:eastAsia="Calibri"/>
                <w:sz w:val="20"/>
                <w:lang w:val="fr-CA"/>
              </w:rPr>
            </w:pPr>
            <w:r w:rsidRPr="001321A1">
              <w:rPr>
                <w:rFonts w:eastAsia="Calibri"/>
                <w:sz w:val="20"/>
                <w:lang w:val="fr-CA"/>
              </w:rPr>
              <w:t>Cour d’appel de l’Ontario</w:t>
            </w:r>
          </w:p>
          <w:p w:rsidR="00372476" w:rsidRPr="001321A1" w:rsidRDefault="00372476" w:rsidP="00D16260">
            <w:pPr>
              <w:jc w:val="both"/>
              <w:rPr>
                <w:rFonts w:eastAsia="Calibri"/>
                <w:sz w:val="20"/>
                <w:lang w:val="fr-CA"/>
              </w:rPr>
            </w:pPr>
            <w:r w:rsidRPr="001321A1">
              <w:rPr>
                <w:rFonts w:eastAsia="Calibri"/>
                <w:sz w:val="20"/>
                <w:lang w:val="fr-CA"/>
              </w:rPr>
              <w:t>(Juges Doherty, Hoy et Pepall)</w:t>
            </w:r>
          </w:p>
          <w:p w:rsidR="00372476" w:rsidRPr="001321A1" w:rsidRDefault="00BF31AA" w:rsidP="00D16260">
            <w:pPr>
              <w:jc w:val="both"/>
              <w:rPr>
                <w:rFonts w:eastAsia="Calibri"/>
                <w:sz w:val="20"/>
                <w:lang w:val="fr-CA"/>
              </w:rPr>
            </w:pPr>
            <w:hyperlink r:id="rId44" w:history="1">
              <w:r w:rsidR="00372476" w:rsidRPr="001321A1">
                <w:rPr>
                  <w:rFonts w:eastAsia="Calibri"/>
                  <w:color w:val="0000FF"/>
                  <w:sz w:val="20"/>
                  <w:u w:val="single"/>
                  <w:lang w:val="fr-CA"/>
                </w:rPr>
                <w:t>2013 ONCA 248</w:t>
              </w:r>
            </w:hyperlink>
          </w:p>
          <w:p w:rsidR="00372476" w:rsidRPr="001321A1" w:rsidRDefault="00372476" w:rsidP="00D16260">
            <w:pPr>
              <w:jc w:val="both"/>
              <w:rPr>
                <w:rFonts w:eastAsia="Calibri"/>
                <w:sz w:val="20"/>
                <w:highlight w:val="yellow"/>
                <w:lang w:val="fr-CA"/>
              </w:rPr>
            </w:pPr>
          </w:p>
        </w:tc>
        <w:tc>
          <w:tcPr>
            <w:tcW w:w="270" w:type="pct"/>
          </w:tcPr>
          <w:p w:rsidR="00372476" w:rsidRPr="001321A1" w:rsidRDefault="00372476" w:rsidP="00D16260">
            <w:pPr>
              <w:jc w:val="both"/>
              <w:rPr>
                <w:rFonts w:eastAsia="Calibri"/>
                <w:sz w:val="20"/>
                <w:highlight w:val="yellow"/>
                <w:lang w:val="fr-CA"/>
              </w:rPr>
            </w:pPr>
          </w:p>
        </w:tc>
        <w:tc>
          <w:tcPr>
            <w:tcW w:w="2340" w:type="pct"/>
          </w:tcPr>
          <w:p w:rsidR="00372476" w:rsidRPr="001321A1" w:rsidRDefault="00372476" w:rsidP="00D16260">
            <w:pPr>
              <w:jc w:val="both"/>
              <w:rPr>
                <w:rFonts w:eastAsia="Calibri"/>
                <w:sz w:val="20"/>
                <w:highlight w:val="yellow"/>
                <w:lang w:val="fr-CA"/>
              </w:rPr>
            </w:pPr>
            <w:r w:rsidRPr="001321A1">
              <w:rPr>
                <w:rFonts w:eastAsia="Calibri"/>
                <w:sz w:val="20"/>
                <w:lang w:val="fr-CA"/>
              </w:rPr>
              <w:t>Appel de la déclaration de culpabilité, rejeté.</w:t>
            </w:r>
          </w:p>
          <w:p w:rsidR="00372476" w:rsidRPr="001321A1" w:rsidRDefault="00372476" w:rsidP="00D16260">
            <w:pPr>
              <w:jc w:val="both"/>
              <w:rPr>
                <w:rFonts w:eastAsia="Calibri"/>
                <w:sz w:val="20"/>
                <w:highlight w:val="yellow"/>
                <w:lang w:val="fr-CA"/>
              </w:rPr>
            </w:pPr>
          </w:p>
        </w:tc>
      </w:tr>
      <w:tr w:rsidR="00372476" w:rsidRPr="00BF31AA" w:rsidTr="00D16260">
        <w:tblPrEx>
          <w:tblCellMar>
            <w:bottom w:w="0" w:type="dxa"/>
          </w:tblCellMar>
        </w:tblPrEx>
        <w:tc>
          <w:tcPr>
            <w:tcW w:w="2390" w:type="pct"/>
          </w:tcPr>
          <w:p w:rsidR="00372476" w:rsidRPr="001321A1" w:rsidRDefault="00372476" w:rsidP="00D16260">
            <w:pPr>
              <w:jc w:val="both"/>
              <w:rPr>
                <w:rFonts w:eastAsia="Calibri"/>
                <w:sz w:val="20"/>
                <w:lang w:val="fr-CA"/>
              </w:rPr>
            </w:pPr>
            <w:r w:rsidRPr="001321A1">
              <w:rPr>
                <w:rFonts w:eastAsia="Calibri"/>
                <w:sz w:val="20"/>
                <w:lang w:val="fr-CA"/>
              </w:rPr>
              <w:t>23 janvier 2014</w:t>
            </w:r>
          </w:p>
          <w:p w:rsidR="00372476" w:rsidRPr="001321A1" w:rsidRDefault="00372476" w:rsidP="00D16260">
            <w:pPr>
              <w:jc w:val="both"/>
              <w:rPr>
                <w:rFonts w:eastAsia="Calibri"/>
                <w:sz w:val="20"/>
                <w:lang w:val="fr-CA"/>
              </w:rPr>
            </w:pPr>
            <w:r w:rsidRPr="001321A1">
              <w:rPr>
                <w:rFonts w:eastAsia="Calibri"/>
                <w:sz w:val="20"/>
                <w:lang w:val="fr-CA"/>
              </w:rPr>
              <w:t>Cour suprême du Canada</w:t>
            </w:r>
          </w:p>
        </w:tc>
        <w:tc>
          <w:tcPr>
            <w:tcW w:w="270" w:type="pct"/>
          </w:tcPr>
          <w:p w:rsidR="00372476" w:rsidRPr="001321A1" w:rsidRDefault="00372476" w:rsidP="00D16260">
            <w:pPr>
              <w:jc w:val="both"/>
              <w:rPr>
                <w:rFonts w:eastAsia="Calibri"/>
                <w:sz w:val="20"/>
                <w:lang w:val="fr-CA"/>
              </w:rPr>
            </w:pPr>
          </w:p>
        </w:tc>
        <w:tc>
          <w:tcPr>
            <w:tcW w:w="2340" w:type="pct"/>
          </w:tcPr>
          <w:p w:rsidR="00372476" w:rsidRPr="001321A1" w:rsidRDefault="00372476" w:rsidP="00D16260">
            <w:pPr>
              <w:jc w:val="both"/>
              <w:rPr>
                <w:rFonts w:eastAsia="Calibri"/>
                <w:sz w:val="20"/>
                <w:lang w:val="fr-CA"/>
              </w:rPr>
            </w:pPr>
            <w:r w:rsidRPr="001321A1">
              <w:rPr>
                <w:rFonts w:eastAsia="Calibri"/>
                <w:sz w:val="20"/>
                <w:lang w:val="fr-CA"/>
              </w:rPr>
              <w:t>Demande d’autorisation d’appel déposée avec une requête en prorogation du délai de signification et de dépôt de la demande elle-même.</w:t>
            </w:r>
          </w:p>
        </w:tc>
      </w:tr>
    </w:tbl>
    <w:p w:rsidR="00243043" w:rsidRPr="00372476" w:rsidRDefault="00243043" w:rsidP="00243043">
      <w:pPr>
        <w:rPr>
          <w:sz w:val="20"/>
          <w:szCs w:val="20"/>
          <w:lang w:val="fr-CA"/>
        </w:rPr>
      </w:pPr>
    </w:p>
    <w:p w:rsidR="00243043" w:rsidRDefault="00BF31AA" w:rsidP="00243043">
      <w:pPr>
        <w:rPr>
          <w:sz w:val="20"/>
          <w:szCs w:val="20"/>
        </w:rPr>
      </w:pPr>
      <w:r>
        <w:rPr>
          <w:sz w:val="20"/>
          <w:szCs w:val="20"/>
          <w:lang w:val="fr-CA"/>
        </w:rPr>
        <w:pict>
          <v:rect id="_x0000_i1045" style="width:2in;height:1pt" o:hrpct="0" o:hralign="center" o:hrstd="t" o:hrnoshade="t" o:hr="t" fillcolor="black [3213]" stroked="f"/>
        </w:pict>
      </w: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437C1" w:rsidRPr="00F437C1" w:rsidTr="00D16260">
        <w:trPr>
          <w:cantSplit/>
        </w:trPr>
        <w:tc>
          <w:tcPr>
            <w:tcW w:w="1458" w:type="dxa"/>
          </w:tcPr>
          <w:p w:rsidR="00F437C1" w:rsidRPr="00F437C1" w:rsidRDefault="00F437C1" w:rsidP="00F437C1">
            <w:pPr>
              <w:rPr>
                <w:sz w:val="20"/>
              </w:rPr>
            </w:pPr>
            <w:r w:rsidRPr="00F437C1">
              <w:rPr>
                <w:b/>
                <w:sz w:val="20"/>
                <w:lang w:val="fr-CA"/>
              </w:rPr>
              <w:t>35704</w:t>
            </w:r>
          </w:p>
          <w:p w:rsidR="00F437C1" w:rsidRPr="00F437C1" w:rsidRDefault="00F437C1" w:rsidP="00F437C1">
            <w:pPr>
              <w:rPr>
                <w:b/>
                <w:sz w:val="20"/>
                <w:lang w:val="fr-CA"/>
              </w:rPr>
            </w:pPr>
          </w:p>
        </w:tc>
        <w:tc>
          <w:tcPr>
            <w:tcW w:w="8118" w:type="dxa"/>
          </w:tcPr>
          <w:p w:rsidR="00F437C1" w:rsidRPr="00F437C1" w:rsidRDefault="00F437C1" w:rsidP="00F437C1">
            <w:pPr>
              <w:jc w:val="both"/>
              <w:rPr>
                <w:sz w:val="20"/>
              </w:rPr>
            </w:pPr>
            <w:r w:rsidRPr="00F437C1">
              <w:rPr>
                <w:b/>
                <w:sz w:val="20"/>
                <w:u w:val="single"/>
              </w:rPr>
              <w:t>Western Larch Limited</w:t>
            </w:r>
            <w:r w:rsidR="000C2785">
              <w:rPr>
                <w:b/>
                <w:sz w:val="20"/>
                <w:u w:val="single"/>
              </w:rPr>
              <w:t xml:space="preserve"> and</w:t>
            </w:r>
            <w:r w:rsidRPr="00F437C1">
              <w:rPr>
                <w:b/>
                <w:sz w:val="20"/>
                <w:u w:val="single"/>
              </w:rPr>
              <w:t xml:space="preserve"> Donald A. MacIver v. Di Poce Management Limited, John Di Poce, Eastern Hemlock Limited, George Frankfort, Large Tooth Aspen Limited, Carmine Guglietti, Red Alder Limited, Executors of the Estate of Giovanni Guglietti, Fincourt Inc., Fincourt Partnership, Alpa Lumber Inc. and Alpa Partnership</w:t>
            </w:r>
            <w:r w:rsidRPr="00F437C1">
              <w:rPr>
                <w:sz w:val="20"/>
              </w:rPr>
              <w:t xml:space="preserve"> (Ont.) (Civil) (By Leave)</w:t>
            </w:r>
          </w:p>
          <w:p w:rsidR="00F437C1" w:rsidRPr="00F437C1" w:rsidRDefault="00F437C1" w:rsidP="00F437C1">
            <w:pPr>
              <w:jc w:val="both"/>
              <w:rPr>
                <w:sz w:val="20"/>
              </w:rPr>
            </w:pPr>
          </w:p>
        </w:tc>
      </w:tr>
      <w:tr w:rsidR="00F437C1" w:rsidRPr="00F437C1" w:rsidTr="00D16260">
        <w:trPr>
          <w:cantSplit/>
        </w:trPr>
        <w:tc>
          <w:tcPr>
            <w:tcW w:w="1458" w:type="dxa"/>
          </w:tcPr>
          <w:p w:rsidR="00F437C1" w:rsidRPr="00F437C1" w:rsidRDefault="00F437C1" w:rsidP="00F437C1">
            <w:pPr>
              <w:rPr>
                <w:sz w:val="20"/>
              </w:rPr>
            </w:pPr>
            <w:r w:rsidRPr="00F437C1">
              <w:rPr>
                <w:sz w:val="20"/>
              </w:rPr>
              <w:t>Coram :</w:t>
            </w:r>
          </w:p>
        </w:tc>
        <w:tc>
          <w:tcPr>
            <w:tcW w:w="8118" w:type="dxa"/>
          </w:tcPr>
          <w:p w:rsidR="00F437C1" w:rsidRPr="00F437C1" w:rsidRDefault="00F437C1" w:rsidP="00F437C1">
            <w:pPr>
              <w:rPr>
                <w:sz w:val="20"/>
              </w:rPr>
            </w:pPr>
            <w:r w:rsidRPr="00F437C1">
              <w:rPr>
                <w:sz w:val="20"/>
                <w:u w:val="single"/>
              </w:rPr>
              <w:t>Abella, Rothstein and Moldaver JJ.</w:t>
            </w:r>
          </w:p>
          <w:p w:rsidR="00F437C1" w:rsidRPr="00F437C1" w:rsidRDefault="00F437C1" w:rsidP="00F437C1">
            <w:pPr>
              <w:rPr>
                <w:sz w:val="20"/>
                <w:u w:val="single"/>
              </w:rPr>
            </w:pPr>
          </w:p>
        </w:tc>
      </w:tr>
      <w:tr w:rsidR="00F437C1" w:rsidRPr="00BF31AA" w:rsidTr="00D16260">
        <w:trPr>
          <w:cantSplit/>
        </w:trPr>
        <w:tc>
          <w:tcPr>
            <w:tcW w:w="9576" w:type="dxa"/>
            <w:gridSpan w:val="2"/>
          </w:tcPr>
          <w:p w:rsidR="00F437C1" w:rsidRPr="00F437C1" w:rsidRDefault="00F437C1" w:rsidP="00F437C1">
            <w:pPr>
              <w:ind w:firstLine="720"/>
              <w:jc w:val="both"/>
              <w:rPr>
                <w:sz w:val="20"/>
              </w:rPr>
            </w:pPr>
            <w:r w:rsidRPr="00F437C1">
              <w:rPr>
                <w:sz w:val="20"/>
              </w:rPr>
              <w:lastRenderedPageBreak/>
              <w:t>The application for leave to appeal from the judgment of the Court of Appeal for Ontario, Number C56453, 2013 ONCA 722, dated November 29, 2013, is dismissed with costs.</w:t>
            </w:r>
          </w:p>
          <w:p w:rsidR="00F437C1" w:rsidRPr="00F437C1" w:rsidRDefault="00F437C1" w:rsidP="00F437C1">
            <w:pPr>
              <w:jc w:val="both"/>
              <w:rPr>
                <w:sz w:val="20"/>
              </w:rPr>
            </w:pPr>
          </w:p>
          <w:p w:rsidR="00F437C1" w:rsidRPr="00F437C1" w:rsidRDefault="00F437C1" w:rsidP="00F437C1">
            <w:pPr>
              <w:ind w:firstLine="720"/>
              <w:jc w:val="both"/>
              <w:rPr>
                <w:sz w:val="20"/>
                <w:lang w:val="fr-CA"/>
              </w:rPr>
            </w:pPr>
            <w:r w:rsidRPr="00F437C1">
              <w:rPr>
                <w:sz w:val="20"/>
                <w:lang w:val="fr-CA"/>
              </w:rPr>
              <w:t>La demande d’autorisation d’appel de l’arrêt de la Cour d’appel de l’Ontario, numéro C56453, 2013 ONCA 722, daté du 29 novembre 2013, est rejetée avec dépens.</w:t>
            </w:r>
          </w:p>
        </w:tc>
      </w:tr>
    </w:tbl>
    <w:p w:rsidR="00243043" w:rsidRPr="00F437C1" w:rsidRDefault="00243043" w:rsidP="000E2959">
      <w:pPr>
        <w:rPr>
          <w:sz w:val="20"/>
          <w:szCs w:val="20"/>
          <w:lang w:val="fr-CA"/>
        </w:rPr>
      </w:pPr>
    </w:p>
    <w:p w:rsidR="00243043" w:rsidRPr="001B157C" w:rsidRDefault="00243043" w:rsidP="00243043">
      <w:pPr>
        <w:rPr>
          <w:sz w:val="20"/>
          <w:szCs w:val="20"/>
          <w:u w:val="single"/>
        </w:rPr>
      </w:pPr>
      <w:r w:rsidRPr="001B157C">
        <w:rPr>
          <w:sz w:val="20"/>
          <w:szCs w:val="20"/>
          <w:u w:val="single"/>
        </w:rPr>
        <w:t>CASE SUMMARY</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t>Commercial law — Partnerships — Partnership agreements — Shotgun buy-sell offers — Validity and enforceability — Strict compliance test — How should shotgun buy</w:t>
            </w:r>
            <w:r w:rsidRPr="001321A1">
              <w:rPr>
                <w:rFonts w:eastAsia="Calibri"/>
                <w:sz w:val="20"/>
              </w:rPr>
              <w:noBreakHyphen/>
              <w:t>sell clauses in agreements amongst partners, shareholders, or joint venturers be interpreted? — Is deference owed on appeal to contractual interpretation or other matters by judges of so</w:t>
            </w:r>
            <w:r w:rsidRPr="001321A1">
              <w:rPr>
                <w:rFonts w:eastAsia="Calibri"/>
                <w:sz w:val="20"/>
              </w:rPr>
              <w:noBreakHyphen/>
              <w:t>called “specialized courts”, and if so, in what circumstances?</w:t>
            </w:r>
          </w:p>
        </w:tc>
      </w:tr>
      <w:tr w:rsidR="00372476" w:rsidRPr="001321A1" w:rsidTr="00D16260">
        <w:tc>
          <w:tcPr>
            <w:tcW w:w="5000" w:type="pct"/>
            <w:gridSpan w:val="3"/>
          </w:tcPr>
          <w:p w:rsidR="00372476" w:rsidRPr="001321A1" w:rsidRDefault="00372476" w:rsidP="00D16260">
            <w:pPr>
              <w:jc w:val="both"/>
              <w:rPr>
                <w:rFonts w:eastAsia="Calibri"/>
                <w:sz w:val="20"/>
              </w:rPr>
            </w:pPr>
          </w:p>
        </w:tc>
      </w:tr>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t>This application for leave to appeal stems from the implementation of a shotgun buy-sell provision contained in the partnership agreement (“PA”) governing the relations between the applicants and respondents, the partner corporations and partner shareholders of the respondent Alpa Partnership.  In December 2009, the applicants received a shotgun buy-sell offer.  They subsequently attacked the validity of the offer by issuing a statement of claim against the respondents, on the basis that the offer did not comply with the provision contained in the PA. The respondents moved for summary judgment to dismiss the action.  The motion judge granted summary judgment in part, and directed a trial on damages for breach of contract.  In the motion judge’s view, although the buy-sell offer did not comply perfectly with the shotgun buy-sell provision in the PA, it was valid and enforceable.  The Court of Appeal dismissed the appeal, finding that the buy-sell offer was sufficiently compliant with the shotgun buy-sell provision in the PA to meet the “strict compliance” standard established by the jurisprudence.</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December 11, 2012</w:t>
            </w:r>
          </w:p>
          <w:p w:rsidR="00372476" w:rsidRPr="001321A1" w:rsidRDefault="00372476" w:rsidP="00D16260">
            <w:pPr>
              <w:jc w:val="both"/>
              <w:rPr>
                <w:rFonts w:eastAsia="Calibri"/>
                <w:sz w:val="20"/>
              </w:rPr>
            </w:pPr>
            <w:r w:rsidRPr="001321A1">
              <w:rPr>
                <w:rFonts w:eastAsia="Calibri"/>
                <w:sz w:val="20"/>
              </w:rPr>
              <w:t>Ontario Superior Court of Justice</w:t>
            </w:r>
          </w:p>
          <w:p w:rsidR="00372476" w:rsidRPr="001321A1" w:rsidRDefault="00372476" w:rsidP="00D16260">
            <w:pPr>
              <w:jc w:val="both"/>
              <w:rPr>
                <w:rFonts w:eastAsia="Calibri"/>
                <w:sz w:val="20"/>
              </w:rPr>
            </w:pPr>
            <w:r w:rsidRPr="001321A1">
              <w:rPr>
                <w:rFonts w:eastAsia="Calibri"/>
                <w:sz w:val="20"/>
              </w:rPr>
              <w:t>(Brown J.)</w:t>
            </w:r>
          </w:p>
          <w:p w:rsidR="00372476" w:rsidRPr="001321A1" w:rsidRDefault="00BF31AA" w:rsidP="00D16260">
            <w:pPr>
              <w:jc w:val="both"/>
              <w:rPr>
                <w:rFonts w:eastAsia="Calibri"/>
                <w:sz w:val="20"/>
              </w:rPr>
            </w:pPr>
            <w:hyperlink r:id="rId45" w:history="1">
              <w:r w:rsidR="00372476" w:rsidRPr="001321A1">
                <w:rPr>
                  <w:rFonts w:eastAsia="Calibri"/>
                  <w:color w:val="0000FF"/>
                  <w:sz w:val="20"/>
                  <w:u w:val="single"/>
                </w:rPr>
                <w:t>2012 ONSC 7014</w:t>
              </w:r>
            </w:hyperlink>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Summary judgment granted in part; trial directed on damages for breach of contract</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November 29, 2013</w:t>
            </w:r>
          </w:p>
          <w:p w:rsidR="00372476" w:rsidRPr="001321A1" w:rsidRDefault="00372476" w:rsidP="00D16260">
            <w:pPr>
              <w:jc w:val="both"/>
              <w:rPr>
                <w:rFonts w:eastAsia="Calibri"/>
                <w:sz w:val="20"/>
              </w:rPr>
            </w:pPr>
            <w:r w:rsidRPr="001321A1">
              <w:rPr>
                <w:rFonts w:eastAsia="Calibri"/>
                <w:sz w:val="20"/>
              </w:rPr>
              <w:t>Court of Appeal for Ontario</w:t>
            </w:r>
          </w:p>
          <w:p w:rsidR="00372476" w:rsidRPr="001321A1" w:rsidRDefault="00372476" w:rsidP="00D16260">
            <w:pPr>
              <w:jc w:val="both"/>
              <w:rPr>
                <w:rFonts w:eastAsia="Calibri"/>
                <w:sz w:val="20"/>
              </w:rPr>
            </w:pPr>
            <w:r w:rsidRPr="001321A1">
              <w:rPr>
                <w:rFonts w:eastAsia="Calibri"/>
                <w:sz w:val="20"/>
              </w:rPr>
              <w:t>(Gillese, Tulloch and Lauwers JJ.A.)</w:t>
            </w:r>
          </w:p>
          <w:p w:rsidR="00372476" w:rsidRPr="001321A1" w:rsidRDefault="00BF31AA" w:rsidP="00D16260">
            <w:pPr>
              <w:jc w:val="both"/>
              <w:rPr>
                <w:rFonts w:eastAsia="Calibri"/>
                <w:sz w:val="20"/>
              </w:rPr>
            </w:pPr>
            <w:hyperlink r:id="rId46" w:history="1">
              <w:r w:rsidR="00372476" w:rsidRPr="001321A1">
                <w:rPr>
                  <w:rFonts w:eastAsia="Calibri"/>
                  <w:color w:val="0000FF"/>
                  <w:sz w:val="20"/>
                  <w:u w:val="single"/>
                </w:rPr>
                <w:t>2013 ONCA 722</w:t>
              </w:r>
            </w:hyperlink>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Appeal dismissed</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January 28, 2014</w:t>
            </w:r>
          </w:p>
          <w:p w:rsidR="00372476" w:rsidRPr="001321A1" w:rsidRDefault="00372476" w:rsidP="00D16260">
            <w:pPr>
              <w:jc w:val="both"/>
              <w:rPr>
                <w:rFonts w:eastAsia="Calibri"/>
                <w:sz w:val="20"/>
              </w:rPr>
            </w:pPr>
            <w:r w:rsidRPr="001321A1">
              <w:rPr>
                <w:rFonts w:eastAsia="Calibri"/>
                <w:sz w:val="20"/>
              </w:rPr>
              <w:t>Supreme Court of Canada</w:t>
            </w: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Application for leave to appeal filed</w:t>
            </w:r>
          </w:p>
          <w:p w:rsidR="00372476" w:rsidRPr="001321A1" w:rsidRDefault="00372476" w:rsidP="00D16260">
            <w:pPr>
              <w:jc w:val="both"/>
              <w:rPr>
                <w:rFonts w:eastAsia="Calibri"/>
                <w:sz w:val="20"/>
              </w:rPr>
            </w:pPr>
          </w:p>
        </w:tc>
      </w:tr>
    </w:tbl>
    <w:p w:rsidR="00243043" w:rsidRDefault="00243043" w:rsidP="00243043">
      <w:pPr>
        <w:rPr>
          <w:sz w:val="20"/>
          <w:szCs w:val="20"/>
        </w:rPr>
      </w:pPr>
    </w:p>
    <w:p w:rsidR="00243043" w:rsidRDefault="00BF31AA" w:rsidP="00243043">
      <w:pPr>
        <w:rPr>
          <w:sz w:val="20"/>
          <w:szCs w:val="20"/>
        </w:rPr>
      </w:pPr>
      <w:r>
        <w:rPr>
          <w:sz w:val="20"/>
          <w:szCs w:val="20"/>
          <w:lang w:val="fr-CA"/>
        </w:rPr>
        <w:pict>
          <v:rect id="_x0000_i1046" style="width:2in;height:1pt" o:hrpct="0" o:hralign="center" o:hrstd="t" o:hrnoshade="t" o:hr="t" fillcolor="black [3213]" stroked="f"/>
        </w:pict>
      </w:r>
    </w:p>
    <w:p w:rsidR="00243043" w:rsidRDefault="00243043" w:rsidP="00243043">
      <w:pPr>
        <w:rPr>
          <w:sz w:val="20"/>
          <w:szCs w:val="20"/>
        </w:rPr>
      </w:pPr>
    </w:p>
    <w:p w:rsidR="00243043" w:rsidRPr="001B157C" w:rsidRDefault="00243043" w:rsidP="00243043">
      <w:pPr>
        <w:rPr>
          <w:sz w:val="20"/>
          <w:szCs w:val="20"/>
          <w:u w:val="single"/>
          <w:lang w:val="fr-CA"/>
        </w:rPr>
      </w:pPr>
      <w:r w:rsidRPr="001B157C">
        <w:rPr>
          <w:sz w:val="20"/>
          <w:szCs w:val="20"/>
          <w:u w:val="single"/>
          <w:lang w:val="fr-CA"/>
        </w:rPr>
        <w:t>RÉSUMÉ DE L’AFFAIRE</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BF31AA" w:rsidTr="00D16260">
        <w:tc>
          <w:tcPr>
            <w:tcW w:w="5000" w:type="pct"/>
            <w:gridSpan w:val="3"/>
          </w:tcPr>
          <w:p w:rsidR="00372476" w:rsidRPr="001321A1" w:rsidRDefault="00372476" w:rsidP="00D16260">
            <w:pPr>
              <w:jc w:val="both"/>
              <w:rPr>
                <w:rFonts w:eastAsia="Calibri"/>
                <w:sz w:val="20"/>
                <w:lang w:val="fr-CA"/>
              </w:rPr>
            </w:pPr>
            <w:r w:rsidRPr="001321A1">
              <w:rPr>
                <w:rFonts w:eastAsia="Calibri"/>
                <w:sz w:val="20"/>
                <w:lang w:val="fr-CA"/>
              </w:rPr>
              <w:t>Droit commercial — Sociétés de personnes — Contrats de société — Offres ultimatums d’achat-vente — Validité et force exécutoire — Critère de la conformité rigoureuse — Comment faut-il interpréter les clauses ultimatums d’achat-vente dans les contrats entre associés, actionnaires ou coentrepreneurs? — Doit-on faire preuve de déférence en appel à l’égard de l’interprétation contractuelle ou d’autres questions traitées par les juges de ce qu’on appelle les « tribunaux spécialisés » et, dans l’affirmative, dans quelles situations?</w:t>
            </w:r>
          </w:p>
        </w:tc>
      </w:tr>
      <w:tr w:rsidR="00372476" w:rsidRPr="00BF31AA" w:rsidTr="00D16260">
        <w:tc>
          <w:tcPr>
            <w:tcW w:w="5000" w:type="pct"/>
            <w:gridSpan w:val="3"/>
          </w:tcPr>
          <w:p w:rsidR="00372476" w:rsidRPr="001321A1" w:rsidRDefault="00372476" w:rsidP="00D16260">
            <w:pPr>
              <w:jc w:val="both"/>
              <w:rPr>
                <w:rFonts w:eastAsia="Calibri"/>
                <w:sz w:val="20"/>
                <w:lang w:val="fr-CA"/>
              </w:rPr>
            </w:pPr>
          </w:p>
        </w:tc>
      </w:tr>
      <w:tr w:rsidR="00372476" w:rsidRPr="00BF31AA" w:rsidTr="00D16260">
        <w:tc>
          <w:tcPr>
            <w:tcW w:w="5000" w:type="pct"/>
            <w:gridSpan w:val="3"/>
          </w:tcPr>
          <w:p w:rsidR="00372476" w:rsidRPr="001321A1" w:rsidRDefault="00372476" w:rsidP="00D16260">
            <w:pPr>
              <w:jc w:val="both"/>
              <w:rPr>
                <w:rFonts w:eastAsia="Calibri"/>
                <w:sz w:val="20"/>
                <w:lang w:val="fr-CA"/>
              </w:rPr>
            </w:pPr>
            <w:r w:rsidRPr="001321A1">
              <w:rPr>
                <w:rFonts w:eastAsia="Calibri"/>
                <w:sz w:val="20"/>
                <w:lang w:val="fr-CA"/>
              </w:rPr>
              <w:t xml:space="preserve">La présente demande d’autorisation d’appel découle de la mise en œuvre d’une disposition ultimatum d’achat-vente prévue dans le contrat de société (« le contrat ») régissant les relations entre les demandeurs et les intimés, les personnes morales associées et les actionnaires associés de l’intimée Alpa Partnership.  En décembre 2009, les </w:t>
            </w:r>
            <w:r w:rsidRPr="001321A1">
              <w:rPr>
                <w:rFonts w:eastAsia="Calibri"/>
                <w:sz w:val="20"/>
                <w:lang w:val="fr-CA"/>
              </w:rPr>
              <w:lastRenderedPageBreak/>
              <w:t>demandeurs ont reçu une offre ultimatum d’achat-vente.  Ils ont subséquemment attaqué la validité de l’offre en déposant une déclaration contre les intimés, plaidant que l’offre n’était pas conforme aux dispositions du contrat. Les intimés ont demandé par motion un jugement sommaire en rejet de l’action.  Le juge saisi de la motion a accueilli celle-ci en partie et a ordonné la tenue d’un procès sur la question des dommages-intérêts pour rupture de contrat.  De l’avis du juge, même si l’offre d’achat-vente n’était pas parfaitement conforme à la disposition ultimatum d’achat-vente prévue dans le contrat, elle était valide et exécutoire.  La Cour d’appel a rejeté l’appel, concluant que l’offre d’achat-vente était suffisamment conforme à la disposition ultimatum d’achat-ventre prévue dans le contrat pour répondre à la norme de la « conformité rigoureuse » établie par la jurisprudence.</w:t>
            </w:r>
          </w:p>
          <w:p w:rsidR="00372476" w:rsidRPr="001321A1" w:rsidRDefault="00372476" w:rsidP="00D16260">
            <w:pPr>
              <w:jc w:val="both"/>
              <w:rPr>
                <w:rFonts w:eastAsia="Calibri"/>
                <w:sz w:val="20"/>
                <w:lang w:val="fr-CA"/>
              </w:rPr>
            </w:pPr>
          </w:p>
        </w:tc>
      </w:tr>
      <w:tr w:rsidR="00372476" w:rsidRPr="00BF31AA"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lastRenderedPageBreak/>
              <w:t>11 décembre 2012</w:t>
            </w:r>
          </w:p>
          <w:p w:rsidR="00372476" w:rsidRPr="001321A1" w:rsidRDefault="00372476" w:rsidP="00D16260">
            <w:pPr>
              <w:jc w:val="both"/>
              <w:rPr>
                <w:rFonts w:eastAsia="Calibri"/>
                <w:sz w:val="20"/>
                <w:lang w:val="fr-CA"/>
              </w:rPr>
            </w:pPr>
            <w:r w:rsidRPr="001321A1">
              <w:rPr>
                <w:rFonts w:eastAsia="Calibri"/>
                <w:sz w:val="20"/>
                <w:lang w:val="fr-CA"/>
              </w:rPr>
              <w:t>Cour supérieure de justice de l’Ontario</w:t>
            </w:r>
          </w:p>
          <w:p w:rsidR="00372476" w:rsidRPr="001321A1" w:rsidRDefault="00372476" w:rsidP="00D16260">
            <w:pPr>
              <w:jc w:val="both"/>
              <w:rPr>
                <w:rFonts w:eastAsia="Calibri"/>
                <w:sz w:val="20"/>
                <w:lang w:val="fr-CA"/>
              </w:rPr>
            </w:pPr>
            <w:r w:rsidRPr="001321A1">
              <w:rPr>
                <w:rFonts w:eastAsia="Calibri"/>
                <w:sz w:val="20"/>
                <w:lang w:val="fr-CA"/>
              </w:rPr>
              <w:t>(Juge Brown)</w:t>
            </w:r>
          </w:p>
          <w:p w:rsidR="00372476" w:rsidRPr="001321A1" w:rsidRDefault="00BF31AA" w:rsidP="00D16260">
            <w:pPr>
              <w:jc w:val="both"/>
              <w:rPr>
                <w:rFonts w:eastAsia="Calibri"/>
                <w:sz w:val="20"/>
                <w:lang w:val="fr-CA"/>
              </w:rPr>
            </w:pPr>
            <w:hyperlink r:id="rId47" w:history="1">
              <w:r w:rsidR="00372476" w:rsidRPr="001321A1">
                <w:rPr>
                  <w:rFonts w:eastAsia="Calibri"/>
                  <w:color w:val="0000FF"/>
                  <w:sz w:val="20"/>
                  <w:u w:val="single"/>
                  <w:lang w:val="fr-CA"/>
                </w:rPr>
                <w:t>2012 ONSC 7014</w:t>
              </w:r>
            </w:hyperlink>
          </w:p>
          <w:p w:rsidR="00372476" w:rsidRPr="001321A1" w:rsidRDefault="00372476" w:rsidP="00D16260">
            <w:pPr>
              <w:jc w:val="both"/>
              <w:rPr>
                <w:rFonts w:eastAsia="Calibri"/>
                <w:sz w:val="20"/>
                <w:lang w:val="fr-CA"/>
              </w:rPr>
            </w:pP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Jugement sommaire accordé en partie; ordonnance de procès sur la question des dommages-intérêts pour rupture de contrat</w:t>
            </w:r>
          </w:p>
          <w:p w:rsidR="00372476" w:rsidRPr="001321A1" w:rsidRDefault="00372476" w:rsidP="00D16260">
            <w:pPr>
              <w:jc w:val="both"/>
              <w:rPr>
                <w:rFonts w:eastAsia="Calibri"/>
                <w:sz w:val="20"/>
                <w:lang w:val="fr-CA"/>
              </w:rPr>
            </w:pPr>
          </w:p>
        </w:tc>
      </w:tr>
      <w:tr w:rsidR="00372476" w:rsidRPr="001321A1"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t>29 novembre 2013</w:t>
            </w:r>
          </w:p>
          <w:p w:rsidR="00372476" w:rsidRPr="001321A1" w:rsidRDefault="00372476" w:rsidP="00D16260">
            <w:pPr>
              <w:jc w:val="both"/>
              <w:rPr>
                <w:rFonts w:eastAsia="Calibri"/>
                <w:sz w:val="20"/>
                <w:lang w:val="fr-CA"/>
              </w:rPr>
            </w:pPr>
            <w:r w:rsidRPr="001321A1">
              <w:rPr>
                <w:rFonts w:eastAsia="Calibri"/>
                <w:sz w:val="20"/>
                <w:lang w:val="fr-CA"/>
              </w:rPr>
              <w:t>Cour d’appel de l’Ontario</w:t>
            </w:r>
          </w:p>
          <w:p w:rsidR="00372476" w:rsidRPr="001321A1" w:rsidRDefault="00372476" w:rsidP="00D16260">
            <w:pPr>
              <w:jc w:val="both"/>
              <w:rPr>
                <w:rFonts w:eastAsia="Calibri"/>
                <w:sz w:val="20"/>
                <w:lang w:val="fr-CA"/>
              </w:rPr>
            </w:pPr>
            <w:r w:rsidRPr="001321A1">
              <w:rPr>
                <w:rFonts w:eastAsia="Calibri"/>
                <w:sz w:val="20"/>
                <w:lang w:val="fr-CA"/>
              </w:rPr>
              <w:t>(Juges Gillese, Tulloch et Lauwers)</w:t>
            </w:r>
          </w:p>
          <w:p w:rsidR="00372476" w:rsidRPr="001321A1" w:rsidRDefault="00BF31AA" w:rsidP="00D16260">
            <w:pPr>
              <w:jc w:val="both"/>
              <w:rPr>
                <w:rFonts w:eastAsia="Calibri"/>
                <w:sz w:val="20"/>
                <w:lang w:val="fr-CA"/>
              </w:rPr>
            </w:pPr>
            <w:hyperlink r:id="rId48" w:history="1">
              <w:r w:rsidR="00372476" w:rsidRPr="001321A1">
                <w:rPr>
                  <w:rFonts w:eastAsia="Calibri"/>
                  <w:color w:val="0000FF"/>
                  <w:sz w:val="20"/>
                  <w:u w:val="single"/>
                  <w:lang w:val="fr-CA"/>
                </w:rPr>
                <w:t>2013 ONCA 722</w:t>
              </w:r>
            </w:hyperlink>
          </w:p>
          <w:p w:rsidR="00372476" w:rsidRPr="001321A1" w:rsidRDefault="00372476" w:rsidP="00D16260">
            <w:pPr>
              <w:jc w:val="both"/>
              <w:rPr>
                <w:rFonts w:eastAsia="Calibri"/>
                <w:sz w:val="20"/>
                <w:lang w:val="fr-CA"/>
              </w:rPr>
            </w:pP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Appel rejeté</w:t>
            </w:r>
          </w:p>
          <w:p w:rsidR="00372476" w:rsidRPr="001321A1" w:rsidRDefault="00372476" w:rsidP="00D16260">
            <w:pPr>
              <w:jc w:val="both"/>
              <w:rPr>
                <w:rFonts w:eastAsia="Calibri"/>
                <w:sz w:val="20"/>
                <w:lang w:val="fr-CA"/>
              </w:rPr>
            </w:pPr>
          </w:p>
        </w:tc>
      </w:tr>
      <w:tr w:rsidR="00372476" w:rsidRPr="001321A1"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t>28 janvier 2014</w:t>
            </w:r>
          </w:p>
          <w:p w:rsidR="00372476" w:rsidRPr="001321A1" w:rsidRDefault="00372476" w:rsidP="00D16260">
            <w:pPr>
              <w:jc w:val="both"/>
              <w:rPr>
                <w:rFonts w:eastAsia="Calibri"/>
                <w:sz w:val="20"/>
                <w:lang w:val="fr-CA"/>
              </w:rPr>
            </w:pPr>
            <w:r w:rsidRPr="001321A1">
              <w:rPr>
                <w:rFonts w:eastAsia="Calibri"/>
                <w:sz w:val="20"/>
                <w:lang w:val="fr-CA"/>
              </w:rPr>
              <w:t>Cour suprême du Canada</w:t>
            </w: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Demande d’autorisation d’appel, déposée</w:t>
            </w:r>
          </w:p>
          <w:p w:rsidR="00372476" w:rsidRPr="001321A1" w:rsidRDefault="00372476" w:rsidP="00D16260">
            <w:pPr>
              <w:jc w:val="both"/>
              <w:rPr>
                <w:rFonts w:eastAsia="Calibri"/>
                <w:sz w:val="20"/>
                <w:lang w:val="fr-CA"/>
              </w:rPr>
            </w:pPr>
          </w:p>
        </w:tc>
      </w:tr>
    </w:tbl>
    <w:p w:rsidR="00243043" w:rsidRDefault="00243043" w:rsidP="00243043">
      <w:pPr>
        <w:rPr>
          <w:sz w:val="20"/>
          <w:szCs w:val="20"/>
        </w:rPr>
      </w:pPr>
    </w:p>
    <w:p w:rsidR="00243043" w:rsidRDefault="00BF31AA" w:rsidP="00243043">
      <w:pPr>
        <w:rPr>
          <w:sz w:val="20"/>
          <w:szCs w:val="20"/>
        </w:rPr>
      </w:pPr>
      <w:r>
        <w:rPr>
          <w:sz w:val="20"/>
          <w:szCs w:val="20"/>
          <w:lang w:val="fr-CA"/>
        </w:rPr>
        <w:pict>
          <v:rect id="_x0000_i1047" style="width:2in;height:1pt" o:hrpct="0" o:hralign="center" o:hrstd="t" o:hrnoshade="t" o:hr="t" fillcolor="black [3213]" stroked="f"/>
        </w:pict>
      </w:r>
    </w:p>
    <w:p w:rsidR="00243043" w:rsidRDefault="00243043" w:rsidP="00243043">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437C1" w:rsidRPr="00BF31AA" w:rsidTr="00D16260">
        <w:trPr>
          <w:cantSplit/>
        </w:trPr>
        <w:tc>
          <w:tcPr>
            <w:tcW w:w="1458" w:type="dxa"/>
          </w:tcPr>
          <w:p w:rsidR="00F437C1" w:rsidRPr="00F437C1" w:rsidRDefault="00F437C1" w:rsidP="00F437C1">
            <w:pPr>
              <w:rPr>
                <w:sz w:val="20"/>
              </w:rPr>
            </w:pPr>
            <w:r w:rsidRPr="00F437C1">
              <w:rPr>
                <w:b/>
                <w:sz w:val="20"/>
                <w:lang w:val="fr-CA"/>
              </w:rPr>
              <w:t>35712</w:t>
            </w:r>
          </w:p>
          <w:p w:rsidR="00F437C1" w:rsidRPr="00F437C1" w:rsidRDefault="00F437C1" w:rsidP="00F437C1">
            <w:pPr>
              <w:rPr>
                <w:b/>
                <w:sz w:val="20"/>
                <w:lang w:val="fr-CA"/>
              </w:rPr>
            </w:pPr>
          </w:p>
        </w:tc>
        <w:tc>
          <w:tcPr>
            <w:tcW w:w="8118" w:type="dxa"/>
          </w:tcPr>
          <w:p w:rsidR="00F437C1" w:rsidRPr="00F437C1" w:rsidRDefault="00F437C1" w:rsidP="00F437C1">
            <w:pPr>
              <w:jc w:val="both"/>
              <w:rPr>
                <w:sz w:val="20"/>
                <w:lang w:val="fr-CA"/>
              </w:rPr>
            </w:pPr>
            <w:r w:rsidRPr="00F437C1">
              <w:rPr>
                <w:b/>
                <w:sz w:val="20"/>
                <w:u w:val="single"/>
                <w:lang w:val="fr-CA"/>
              </w:rPr>
              <w:t>Syndicat des chargées et chargés de cours de l</w:t>
            </w:r>
            <w:r w:rsidR="001C0E24">
              <w:rPr>
                <w:b/>
                <w:sz w:val="20"/>
                <w:u w:val="single"/>
                <w:lang w:val="fr-CA"/>
              </w:rPr>
              <w:t>’</w:t>
            </w:r>
            <w:r w:rsidRPr="00F437C1">
              <w:rPr>
                <w:b/>
                <w:sz w:val="20"/>
                <w:u w:val="single"/>
                <w:lang w:val="fr-CA"/>
              </w:rPr>
              <w:t>UQAM (CSN) c. Claudio Benedetti</w:t>
            </w:r>
            <w:r w:rsidRPr="00F437C1">
              <w:rPr>
                <w:sz w:val="20"/>
                <w:lang w:val="fr-CA"/>
              </w:rPr>
              <w:t xml:space="preserve"> (Qc) (Civile) (Autorisation)</w:t>
            </w:r>
          </w:p>
          <w:p w:rsidR="00F437C1" w:rsidRPr="00F437C1" w:rsidRDefault="00F437C1" w:rsidP="00F437C1">
            <w:pPr>
              <w:jc w:val="both"/>
              <w:rPr>
                <w:sz w:val="20"/>
                <w:lang w:val="fr-CA"/>
              </w:rPr>
            </w:pPr>
          </w:p>
        </w:tc>
      </w:tr>
      <w:tr w:rsidR="00F437C1" w:rsidRPr="00BF31AA" w:rsidTr="00D16260">
        <w:trPr>
          <w:cantSplit/>
        </w:trPr>
        <w:tc>
          <w:tcPr>
            <w:tcW w:w="1458" w:type="dxa"/>
          </w:tcPr>
          <w:p w:rsidR="00F437C1" w:rsidRPr="00F437C1" w:rsidRDefault="00F437C1" w:rsidP="00F437C1">
            <w:pPr>
              <w:rPr>
                <w:sz w:val="20"/>
              </w:rPr>
            </w:pPr>
            <w:r w:rsidRPr="00F437C1">
              <w:rPr>
                <w:sz w:val="20"/>
              </w:rPr>
              <w:t>Coram :</w:t>
            </w:r>
          </w:p>
        </w:tc>
        <w:tc>
          <w:tcPr>
            <w:tcW w:w="8118" w:type="dxa"/>
          </w:tcPr>
          <w:p w:rsidR="00F437C1" w:rsidRPr="00F437C1" w:rsidRDefault="00F437C1" w:rsidP="00F437C1">
            <w:pPr>
              <w:rPr>
                <w:sz w:val="20"/>
                <w:lang w:val="fr-CA"/>
              </w:rPr>
            </w:pPr>
            <w:r w:rsidRPr="00F437C1">
              <w:rPr>
                <w:sz w:val="20"/>
                <w:u w:val="single"/>
                <w:lang w:val="fr-CA"/>
              </w:rPr>
              <w:t>Les juges LeBel, Karakatsanis et Wagner</w:t>
            </w:r>
          </w:p>
          <w:p w:rsidR="00F437C1" w:rsidRPr="00F437C1" w:rsidRDefault="00F437C1" w:rsidP="00F437C1">
            <w:pPr>
              <w:rPr>
                <w:sz w:val="20"/>
                <w:u w:val="single"/>
                <w:lang w:val="fr-CA"/>
              </w:rPr>
            </w:pPr>
          </w:p>
        </w:tc>
      </w:tr>
      <w:tr w:rsidR="00F437C1" w:rsidRPr="00F437C1" w:rsidTr="00D16260">
        <w:trPr>
          <w:cantSplit/>
        </w:trPr>
        <w:tc>
          <w:tcPr>
            <w:tcW w:w="9576" w:type="dxa"/>
            <w:gridSpan w:val="2"/>
          </w:tcPr>
          <w:p w:rsidR="00F437C1" w:rsidRPr="00F437C1" w:rsidRDefault="00F437C1" w:rsidP="00F437C1">
            <w:pPr>
              <w:ind w:firstLine="720"/>
              <w:jc w:val="both"/>
              <w:rPr>
                <w:sz w:val="20"/>
                <w:lang w:val="fr-CA"/>
              </w:rPr>
            </w:pPr>
            <w:r w:rsidRPr="00F437C1">
              <w:rPr>
                <w:sz w:val="20"/>
                <w:lang w:val="fr-CA"/>
              </w:rPr>
              <w:t>La demande d’autorisation d’appel de l’arrêt de la Cour d’appel du Québec (Montréal), numéro 500-09-022227-110, 2013 QCCA 2088, daté du 3 décembre 2013, est rejetée avec dépens en faveur de l’intimé.</w:t>
            </w:r>
          </w:p>
          <w:p w:rsidR="00F437C1" w:rsidRPr="00F437C1" w:rsidRDefault="00F437C1" w:rsidP="00F437C1">
            <w:pPr>
              <w:jc w:val="both"/>
              <w:rPr>
                <w:sz w:val="20"/>
                <w:lang w:val="fr-CA"/>
              </w:rPr>
            </w:pPr>
          </w:p>
          <w:p w:rsidR="00F437C1" w:rsidRPr="00F437C1" w:rsidRDefault="00F437C1" w:rsidP="00F437C1">
            <w:pPr>
              <w:ind w:firstLine="720"/>
              <w:jc w:val="both"/>
              <w:rPr>
                <w:sz w:val="20"/>
              </w:rPr>
            </w:pPr>
            <w:r w:rsidRPr="00F437C1">
              <w:rPr>
                <w:sz w:val="20"/>
              </w:rPr>
              <w:t>The application for leave to appeal from the judgment of the Court of Appeal of Quebec (Montréal), Number 500-09-022227-110, 2013 QCCA 2088, dated December 3, 2013, is dismissed with costs to the respondent.</w:t>
            </w:r>
          </w:p>
        </w:tc>
      </w:tr>
    </w:tbl>
    <w:p w:rsidR="00243043" w:rsidRDefault="00243043" w:rsidP="00243043">
      <w:pPr>
        <w:rPr>
          <w:sz w:val="20"/>
          <w:szCs w:val="20"/>
        </w:rPr>
      </w:pPr>
    </w:p>
    <w:p w:rsidR="00243043" w:rsidRPr="001B157C" w:rsidRDefault="00243043" w:rsidP="00243043">
      <w:pPr>
        <w:rPr>
          <w:sz w:val="20"/>
          <w:szCs w:val="20"/>
          <w:u w:val="single"/>
        </w:rPr>
      </w:pPr>
      <w:r w:rsidRPr="001B157C">
        <w:rPr>
          <w:sz w:val="20"/>
          <w:szCs w:val="20"/>
          <w:u w:val="single"/>
        </w:rPr>
        <w:t>CASE SUMMARY</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t xml:space="preserve">Administrative law – Judicial review – Labour relations – Unions – Obligations of certified associations – Duty of representation – Whether decision of Commission des relations du travail unreasonable – Whether Commission des relations du travail should assess correctness of union’s decision to file grievance or to refer grievance to arbitration – Whether Commission des relations du travail should allow complaint without at least one of types of conduct prohibited by s. 47.2 of </w:t>
            </w:r>
            <w:r w:rsidRPr="001321A1">
              <w:rPr>
                <w:rFonts w:eastAsia="Calibri"/>
                <w:i/>
                <w:sz w:val="20"/>
              </w:rPr>
              <w:t>Labour Code</w:t>
            </w:r>
            <w:r w:rsidRPr="001321A1">
              <w:rPr>
                <w:rFonts w:eastAsia="Calibri"/>
                <w:sz w:val="20"/>
              </w:rPr>
              <w:t>, R.S.Q., c. C-27, being proved on balance of probabilities.</w:t>
            </w:r>
          </w:p>
        </w:tc>
      </w:tr>
      <w:tr w:rsidR="00372476" w:rsidRPr="001321A1" w:rsidTr="00D16260">
        <w:tc>
          <w:tcPr>
            <w:tcW w:w="5000" w:type="pct"/>
            <w:gridSpan w:val="3"/>
          </w:tcPr>
          <w:p w:rsidR="00372476" w:rsidRPr="001321A1" w:rsidRDefault="00372476" w:rsidP="00D16260">
            <w:pPr>
              <w:jc w:val="both"/>
              <w:rPr>
                <w:rFonts w:eastAsia="Calibri"/>
                <w:sz w:val="20"/>
              </w:rPr>
            </w:pPr>
          </w:p>
        </w:tc>
      </w:tr>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t xml:space="preserve">The respondent Mr. Benedetti, who at the time was a lecturer at the Université du Québec à Montréal and a member of the applicant Syndicat des chargées et chargés de cours de l’UQAM (the union), was dismissed for misrepresenting his employment situation and thereby violating the dual employment provisions of the collective agreement.  The union grieved the dismissal but refused to refer the grievance to arbitration on the ground that it could not see the grievance having any chance of success in arbitration based on the information provided by Mr. Benedetti.  In response, Mr. Benedetti filed a complaint under s. 47.3 of the </w:t>
            </w:r>
            <w:r w:rsidRPr="001321A1">
              <w:rPr>
                <w:rFonts w:eastAsia="Calibri"/>
                <w:i/>
                <w:sz w:val="20"/>
              </w:rPr>
              <w:t>Labour Code</w:t>
            </w:r>
            <w:r w:rsidRPr="001321A1">
              <w:rPr>
                <w:rFonts w:eastAsia="Calibri"/>
                <w:sz w:val="20"/>
              </w:rPr>
              <w:t xml:space="preserve"> alleging that the union had not fulfilled its duty to fairly represent him.  The Commission des relations du travail allowed the complaint.  The Superior Court allowed the </w:t>
            </w:r>
            <w:r w:rsidRPr="001321A1">
              <w:rPr>
                <w:rFonts w:eastAsia="Calibri"/>
                <w:sz w:val="20"/>
              </w:rPr>
              <w:lastRenderedPageBreak/>
              <w:t>union’s motion for judicial review, finding that the Commission’s decision was unreasonable because the Commission had usurped the grievance arbitrator’s jurisdiction, imposed on the union an obligation that was unreasonably onerous in the circumstances by requiring an outside legal opinion and allowed the complaint without any of the four types of conduct prohibited by s. 47.2 actually being shown.  The Court of Appeal set aside that decision and restored the Commission’s decision.  In the Court of Appeal’s opinion, although the Superior Court judge had identified the applicable standard of review, namely reasonableness, she had not applied it, choosing instead to reassess all of the parties’ evidence and arguments and to substitute her own opinion for that of the Commission.</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lastRenderedPageBreak/>
              <w:t>October 12, 2010</w:t>
            </w:r>
          </w:p>
          <w:p w:rsidR="00372476" w:rsidRPr="001321A1" w:rsidRDefault="00372476" w:rsidP="00D16260">
            <w:pPr>
              <w:jc w:val="both"/>
              <w:rPr>
                <w:rFonts w:eastAsia="Calibri"/>
                <w:sz w:val="20"/>
                <w:lang w:val="fr-CA"/>
              </w:rPr>
            </w:pPr>
            <w:r w:rsidRPr="001321A1">
              <w:rPr>
                <w:rFonts w:eastAsia="Calibri"/>
                <w:sz w:val="20"/>
                <w:lang w:val="fr-CA"/>
              </w:rPr>
              <w:t>Commission des relations du travail</w:t>
            </w:r>
          </w:p>
          <w:p w:rsidR="00372476" w:rsidRPr="001321A1" w:rsidRDefault="00372476" w:rsidP="00D16260">
            <w:pPr>
              <w:jc w:val="both"/>
              <w:rPr>
                <w:rFonts w:eastAsia="Calibri"/>
                <w:sz w:val="20"/>
              </w:rPr>
            </w:pPr>
            <w:r w:rsidRPr="001321A1">
              <w:rPr>
                <w:rFonts w:eastAsia="Calibri"/>
                <w:sz w:val="20"/>
              </w:rPr>
              <w:t>(Commissioner Monette)</w:t>
            </w:r>
          </w:p>
          <w:p w:rsidR="00372476" w:rsidRPr="001321A1" w:rsidRDefault="00BF31AA" w:rsidP="00D16260">
            <w:pPr>
              <w:jc w:val="both"/>
              <w:rPr>
                <w:rFonts w:eastAsia="Calibri"/>
                <w:sz w:val="20"/>
              </w:rPr>
            </w:pPr>
            <w:hyperlink r:id="rId49" w:history="1">
              <w:r w:rsidR="00372476" w:rsidRPr="001321A1">
                <w:rPr>
                  <w:rFonts w:eastAsia="Calibri"/>
                  <w:color w:val="0000FF"/>
                  <w:sz w:val="20"/>
                  <w:u w:val="single"/>
                </w:rPr>
                <w:t>2010 QCCRT 479</w:t>
              </w:r>
            </w:hyperlink>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 xml:space="preserve">Complaint filed by respondent under s. 47.3 of </w:t>
            </w:r>
            <w:r w:rsidRPr="001321A1">
              <w:rPr>
                <w:rFonts w:eastAsia="Calibri"/>
                <w:i/>
                <w:sz w:val="20"/>
              </w:rPr>
              <w:t>Labour Code</w:t>
            </w:r>
            <w:r w:rsidRPr="001321A1">
              <w:rPr>
                <w:rFonts w:eastAsia="Calibri"/>
                <w:sz w:val="20"/>
              </w:rPr>
              <w:t xml:space="preserve"> allowed</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November 8, 2011</w:t>
            </w:r>
          </w:p>
          <w:p w:rsidR="00372476" w:rsidRPr="001321A1" w:rsidRDefault="00372476" w:rsidP="00D16260">
            <w:pPr>
              <w:jc w:val="both"/>
              <w:rPr>
                <w:rFonts w:eastAsia="Calibri"/>
                <w:sz w:val="20"/>
              </w:rPr>
            </w:pPr>
            <w:r w:rsidRPr="001321A1">
              <w:rPr>
                <w:rFonts w:eastAsia="Calibri"/>
                <w:sz w:val="20"/>
              </w:rPr>
              <w:t>Quebec Superior Court</w:t>
            </w:r>
          </w:p>
          <w:p w:rsidR="00372476" w:rsidRPr="001321A1" w:rsidRDefault="00372476" w:rsidP="00D16260">
            <w:pPr>
              <w:jc w:val="both"/>
              <w:rPr>
                <w:rFonts w:eastAsia="Calibri"/>
                <w:sz w:val="20"/>
              </w:rPr>
            </w:pPr>
            <w:r w:rsidRPr="001321A1">
              <w:rPr>
                <w:rFonts w:eastAsia="Calibri"/>
                <w:sz w:val="20"/>
              </w:rPr>
              <w:t>(Paquette J.)</w:t>
            </w:r>
          </w:p>
          <w:p w:rsidR="00372476" w:rsidRPr="001321A1" w:rsidRDefault="00BF31AA" w:rsidP="00D16260">
            <w:pPr>
              <w:jc w:val="both"/>
              <w:rPr>
                <w:rFonts w:eastAsia="Calibri"/>
                <w:sz w:val="20"/>
              </w:rPr>
            </w:pPr>
            <w:hyperlink r:id="rId50" w:history="1">
              <w:r w:rsidR="00372476" w:rsidRPr="001321A1">
                <w:rPr>
                  <w:rFonts w:eastAsia="Calibri"/>
                  <w:color w:val="0000FF"/>
                  <w:sz w:val="20"/>
                  <w:u w:val="single"/>
                </w:rPr>
                <w:t>2011 QCCS 5932</w:t>
              </w:r>
            </w:hyperlink>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 xml:space="preserve">Motion for judicial review allowed; complaint dismissed </w:t>
            </w: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December 3, 2013</w:t>
            </w:r>
          </w:p>
          <w:p w:rsidR="00372476" w:rsidRPr="001321A1" w:rsidRDefault="00372476" w:rsidP="00D16260">
            <w:pPr>
              <w:jc w:val="both"/>
              <w:rPr>
                <w:rFonts w:eastAsia="Calibri"/>
                <w:sz w:val="20"/>
              </w:rPr>
            </w:pPr>
            <w:r w:rsidRPr="001321A1">
              <w:rPr>
                <w:rFonts w:eastAsia="Calibri"/>
                <w:sz w:val="20"/>
              </w:rPr>
              <w:t>Quebec Court of Appeal (Montréal)</w:t>
            </w:r>
          </w:p>
          <w:p w:rsidR="00372476" w:rsidRPr="001321A1" w:rsidRDefault="00372476" w:rsidP="00D16260">
            <w:pPr>
              <w:jc w:val="both"/>
              <w:rPr>
                <w:rFonts w:eastAsia="Calibri"/>
                <w:sz w:val="20"/>
              </w:rPr>
            </w:pPr>
            <w:r w:rsidRPr="001321A1">
              <w:rPr>
                <w:rFonts w:eastAsia="Calibri"/>
                <w:sz w:val="20"/>
              </w:rPr>
              <w:t>(Bich, Dufresne and Kasirer JJ.A.)</w:t>
            </w:r>
          </w:p>
          <w:p w:rsidR="00372476" w:rsidRPr="001321A1" w:rsidRDefault="00BF31AA" w:rsidP="00D16260">
            <w:pPr>
              <w:jc w:val="both"/>
              <w:rPr>
                <w:rFonts w:eastAsia="Calibri"/>
                <w:sz w:val="20"/>
              </w:rPr>
            </w:pPr>
            <w:hyperlink r:id="rId51" w:history="1">
              <w:r w:rsidR="00372476" w:rsidRPr="001321A1">
                <w:rPr>
                  <w:rFonts w:eastAsia="Calibri"/>
                  <w:color w:val="0000FF"/>
                  <w:sz w:val="20"/>
                  <w:u w:val="single"/>
                </w:rPr>
                <w:t>2013 QCCA 2088</w:t>
              </w:r>
            </w:hyperlink>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Appeal allowed</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February 3, 2014</w:t>
            </w:r>
          </w:p>
          <w:p w:rsidR="00372476" w:rsidRPr="001321A1" w:rsidRDefault="00372476" w:rsidP="00D16260">
            <w:pPr>
              <w:jc w:val="both"/>
              <w:rPr>
                <w:rFonts w:eastAsia="Calibri"/>
                <w:sz w:val="20"/>
              </w:rPr>
            </w:pPr>
            <w:r w:rsidRPr="001321A1">
              <w:rPr>
                <w:rFonts w:eastAsia="Calibri"/>
                <w:sz w:val="20"/>
              </w:rPr>
              <w:t>Supreme Court of Canada</w:t>
            </w: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Application for leave to appeal filed</w:t>
            </w:r>
          </w:p>
        </w:tc>
      </w:tr>
    </w:tbl>
    <w:p w:rsidR="00243043" w:rsidRDefault="00243043" w:rsidP="00243043">
      <w:pPr>
        <w:rPr>
          <w:sz w:val="20"/>
          <w:szCs w:val="20"/>
        </w:rPr>
      </w:pPr>
    </w:p>
    <w:p w:rsidR="00243043" w:rsidRDefault="00BF31AA" w:rsidP="00243043">
      <w:pPr>
        <w:rPr>
          <w:sz w:val="20"/>
          <w:szCs w:val="20"/>
          <w:lang w:val="fr-CA"/>
        </w:rPr>
      </w:pPr>
      <w:r>
        <w:rPr>
          <w:sz w:val="20"/>
          <w:szCs w:val="20"/>
          <w:lang w:val="fr-CA"/>
        </w:rPr>
        <w:pict>
          <v:rect id="_x0000_i1048" style="width:2in;height:1pt" o:hrpct="0" o:hralign="center" o:hrstd="t" o:hrnoshade="t" o:hr="t" fillcolor="black [3213]" stroked="f"/>
        </w:pict>
      </w:r>
    </w:p>
    <w:p w:rsidR="00243043" w:rsidRDefault="00243043" w:rsidP="00243043">
      <w:pPr>
        <w:rPr>
          <w:sz w:val="20"/>
          <w:szCs w:val="20"/>
          <w:lang w:val="fr-CA"/>
        </w:rPr>
      </w:pPr>
    </w:p>
    <w:p w:rsidR="00243043" w:rsidRPr="001B157C" w:rsidRDefault="00243043" w:rsidP="00243043">
      <w:pPr>
        <w:rPr>
          <w:sz w:val="20"/>
          <w:szCs w:val="20"/>
          <w:u w:val="single"/>
          <w:lang w:val="fr-CA"/>
        </w:rPr>
      </w:pPr>
      <w:r w:rsidRPr="001B157C">
        <w:rPr>
          <w:sz w:val="20"/>
          <w:szCs w:val="20"/>
          <w:u w:val="single"/>
          <w:lang w:val="fr-CA"/>
        </w:rPr>
        <w:t>RÉSUMÉ DE L’AFFAIRE</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BF31AA" w:rsidTr="00D16260">
        <w:tc>
          <w:tcPr>
            <w:tcW w:w="5000" w:type="pct"/>
            <w:gridSpan w:val="3"/>
          </w:tcPr>
          <w:p w:rsidR="00372476" w:rsidRPr="001321A1" w:rsidRDefault="00372476" w:rsidP="00D16260">
            <w:pPr>
              <w:jc w:val="both"/>
              <w:rPr>
                <w:rFonts w:eastAsia="Calibri"/>
                <w:sz w:val="20"/>
                <w:lang w:val="fr-CA"/>
              </w:rPr>
            </w:pPr>
            <w:r w:rsidRPr="001321A1">
              <w:rPr>
                <w:rFonts w:eastAsia="Calibri"/>
                <w:sz w:val="20"/>
                <w:lang w:val="fr-CA"/>
              </w:rPr>
              <w:t xml:space="preserve">Droit administratif – Contrôle judiciaire – Relations du travail – Syndicats – Obligations des associations accréditées – Devoir de représentation – La décision de la Commission des relations du travail était-elle déraisonnable? – La Commission des relations du travail devrait-elle procéder à une évaluation de la justesse de la décision d’un syndicat de loger un grief ou de le référer à l’arbitrage? – La Commission des relations du travail devrait-elle accueillir une plainte sans que la preuve prépondérante d’au moins un des comportements interdits par l’art. 47.2 du </w:t>
            </w:r>
            <w:r w:rsidRPr="001321A1">
              <w:rPr>
                <w:rFonts w:eastAsia="Calibri"/>
                <w:i/>
                <w:sz w:val="20"/>
                <w:lang w:val="fr-CA"/>
              </w:rPr>
              <w:t>Code du travail</w:t>
            </w:r>
            <w:r w:rsidRPr="001321A1">
              <w:rPr>
                <w:rFonts w:eastAsia="Calibri"/>
                <w:sz w:val="20"/>
                <w:lang w:val="fr-CA"/>
              </w:rPr>
              <w:t>, L.R.Q., c. C-27, n’ait été faite?</w:t>
            </w:r>
          </w:p>
        </w:tc>
      </w:tr>
      <w:tr w:rsidR="00372476" w:rsidRPr="00BF31AA" w:rsidTr="00D16260">
        <w:tc>
          <w:tcPr>
            <w:tcW w:w="5000" w:type="pct"/>
            <w:gridSpan w:val="3"/>
          </w:tcPr>
          <w:p w:rsidR="00372476" w:rsidRPr="001321A1" w:rsidRDefault="00372476" w:rsidP="00D16260">
            <w:pPr>
              <w:jc w:val="both"/>
              <w:rPr>
                <w:rFonts w:eastAsia="Calibri"/>
                <w:sz w:val="20"/>
                <w:lang w:val="fr-CA"/>
              </w:rPr>
            </w:pPr>
          </w:p>
        </w:tc>
      </w:tr>
      <w:tr w:rsidR="00372476" w:rsidRPr="00BF31AA" w:rsidTr="00D16260">
        <w:tc>
          <w:tcPr>
            <w:tcW w:w="5000" w:type="pct"/>
            <w:gridSpan w:val="3"/>
          </w:tcPr>
          <w:p w:rsidR="00372476" w:rsidRPr="001321A1" w:rsidRDefault="00372476" w:rsidP="00D16260">
            <w:pPr>
              <w:jc w:val="both"/>
              <w:rPr>
                <w:rFonts w:eastAsia="Calibri"/>
                <w:sz w:val="20"/>
                <w:lang w:val="fr-CA"/>
              </w:rPr>
            </w:pPr>
            <w:r w:rsidRPr="001321A1">
              <w:rPr>
                <w:rFonts w:eastAsia="Calibri"/>
                <w:sz w:val="20"/>
                <w:lang w:val="fr-CA"/>
              </w:rPr>
              <w:t xml:space="preserve">Monsieur Benedetti, intimé, alors chargé de cours à l’Université du Québec à Montréal et membre du Syndicat des chargées et chargés de cours de l’UQAM, demandeur, a été congédié pour avoir produit des fausses déclarations sur sa situation d’emploi, contrevenant ainsi aux dispositions relatives au double emploi de la convention collective.  Le Syndicat a déposé un grief pour contester le congédiement, mais il a refusé de le déférer à l’arbitrage au motif que les informations soumises par M. Benedetti ne permettaient pas à ce premier d’envisager des chances de succès du grief en arbitrage.  En réponse, M. Benedetti a déposé une plainte en vertu de l’art. 47.3 du </w:t>
            </w:r>
            <w:r w:rsidRPr="001321A1">
              <w:rPr>
                <w:rFonts w:eastAsia="Calibri"/>
                <w:i/>
                <w:sz w:val="20"/>
                <w:lang w:val="fr-CA"/>
              </w:rPr>
              <w:t>Code du travail</w:t>
            </w:r>
            <w:r w:rsidRPr="001321A1">
              <w:rPr>
                <w:rFonts w:eastAsia="Calibri"/>
                <w:sz w:val="20"/>
                <w:lang w:val="fr-CA"/>
              </w:rPr>
              <w:t xml:space="preserve">, alléguant que le Syndicat ne s’était pas acquitté de son devoir de juste représentation à son égard.  La Commission des relations du travail a accueilli la plainte.  La Cour supérieure a accueilli la requête en révision judiciaire déposée par le Syndicat, concluant que la décision de la Commission était déraisonnable parce que la Commission aurait usurpé la compétence de l’arbitre de grief, qu’elle aurait imposé au Syndicat une obligation déraisonnablement onéreuse dans les circonstances en requérant un avis juridique externe, et qu’elle aurait accueilli la plainte sans qu’aucune des quatre conduites prohibées par l’art. 47.2 n’ait été véritablement démontrée.  La Cour d’appel a infirmé cette décision et a rétabli celle de la Commission. De l’avis de la Cour, bien qu’elle ait identifié la norme de contrôle applicable, soit celle de la décision raisonnable, la juge de la Cour supérieure ne l’a pas appliquée, choisissant plutôt de réévaluer </w:t>
            </w:r>
            <w:r w:rsidRPr="001321A1">
              <w:rPr>
                <w:rFonts w:eastAsia="Calibri"/>
                <w:sz w:val="20"/>
                <w:lang w:val="fr-CA"/>
              </w:rPr>
              <w:lastRenderedPageBreak/>
              <w:t>l’entièreté de la preuve et les arguments des parties et de substituer sa propre opinion à celle de la Commission.</w:t>
            </w:r>
          </w:p>
          <w:p w:rsidR="00372476" w:rsidRPr="001321A1" w:rsidRDefault="00372476" w:rsidP="00D16260">
            <w:pPr>
              <w:jc w:val="both"/>
              <w:rPr>
                <w:rFonts w:eastAsia="Calibri"/>
                <w:sz w:val="20"/>
                <w:lang w:val="fr-CA"/>
              </w:rPr>
            </w:pPr>
          </w:p>
        </w:tc>
      </w:tr>
      <w:tr w:rsidR="00372476" w:rsidRPr="00BF31AA"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lastRenderedPageBreak/>
              <w:t>Le 12 octobre 2010</w:t>
            </w:r>
          </w:p>
          <w:p w:rsidR="00372476" w:rsidRPr="001321A1" w:rsidRDefault="00372476" w:rsidP="00D16260">
            <w:pPr>
              <w:jc w:val="both"/>
              <w:rPr>
                <w:rFonts w:eastAsia="Calibri"/>
                <w:sz w:val="20"/>
                <w:lang w:val="fr-CA"/>
              </w:rPr>
            </w:pPr>
            <w:r w:rsidRPr="001321A1">
              <w:rPr>
                <w:rFonts w:eastAsia="Calibri"/>
                <w:sz w:val="20"/>
                <w:lang w:val="fr-CA"/>
              </w:rPr>
              <w:t>Commission des relations du travail</w:t>
            </w:r>
          </w:p>
          <w:p w:rsidR="00372476" w:rsidRPr="001321A1" w:rsidRDefault="00372476" w:rsidP="00D16260">
            <w:pPr>
              <w:jc w:val="both"/>
              <w:rPr>
                <w:rFonts w:eastAsia="Calibri"/>
                <w:sz w:val="20"/>
                <w:lang w:val="fr-CA"/>
              </w:rPr>
            </w:pPr>
            <w:r w:rsidRPr="001321A1">
              <w:rPr>
                <w:rFonts w:eastAsia="Calibri"/>
                <w:sz w:val="20"/>
                <w:lang w:val="fr-CA"/>
              </w:rPr>
              <w:t>(Monette, Commissaire)</w:t>
            </w:r>
          </w:p>
          <w:p w:rsidR="00372476" w:rsidRPr="001321A1" w:rsidRDefault="00BF31AA" w:rsidP="00D16260">
            <w:pPr>
              <w:jc w:val="both"/>
              <w:rPr>
                <w:rFonts w:eastAsia="Calibri"/>
                <w:sz w:val="20"/>
                <w:lang w:val="fr-CA"/>
              </w:rPr>
            </w:pPr>
            <w:hyperlink r:id="rId52" w:history="1">
              <w:r w:rsidR="00372476" w:rsidRPr="001321A1">
                <w:rPr>
                  <w:rFonts w:eastAsia="Calibri"/>
                  <w:color w:val="0000FF"/>
                  <w:sz w:val="20"/>
                  <w:u w:val="single"/>
                  <w:lang w:val="fr-CA"/>
                </w:rPr>
                <w:t>2010 QCCRT 479</w:t>
              </w:r>
            </w:hyperlink>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 xml:space="preserve">Plainte déposée par l’intimé en vertu de l’art. 47.3 du </w:t>
            </w:r>
            <w:r w:rsidRPr="001321A1">
              <w:rPr>
                <w:rFonts w:eastAsia="Calibri"/>
                <w:i/>
                <w:sz w:val="20"/>
                <w:lang w:val="fr-CA"/>
              </w:rPr>
              <w:t>Code du travail</w:t>
            </w:r>
            <w:r w:rsidRPr="001321A1">
              <w:rPr>
                <w:rFonts w:eastAsia="Calibri"/>
                <w:sz w:val="20"/>
                <w:lang w:val="fr-CA"/>
              </w:rPr>
              <w:t xml:space="preserve"> accueillie</w:t>
            </w:r>
          </w:p>
          <w:p w:rsidR="00372476" w:rsidRPr="001321A1" w:rsidRDefault="00372476" w:rsidP="00D16260">
            <w:pPr>
              <w:jc w:val="both"/>
              <w:rPr>
                <w:rFonts w:eastAsia="Calibri"/>
                <w:sz w:val="20"/>
                <w:lang w:val="fr-CA"/>
              </w:rPr>
            </w:pPr>
          </w:p>
        </w:tc>
      </w:tr>
      <w:tr w:rsidR="00372476" w:rsidRPr="00BF31AA"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t>Le 8 novembre 2011</w:t>
            </w:r>
          </w:p>
          <w:p w:rsidR="00372476" w:rsidRPr="001321A1" w:rsidRDefault="00372476" w:rsidP="00D16260">
            <w:pPr>
              <w:jc w:val="both"/>
              <w:rPr>
                <w:rFonts w:eastAsia="Calibri"/>
                <w:sz w:val="20"/>
                <w:lang w:val="fr-CA"/>
              </w:rPr>
            </w:pPr>
            <w:r w:rsidRPr="001321A1">
              <w:rPr>
                <w:rFonts w:eastAsia="Calibri"/>
                <w:sz w:val="20"/>
                <w:lang w:val="fr-CA"/>
              </w:rPr>
              <w:t>Cour supérieure du Québec</w:t>
            </w:r>
          </w:p>
          <w:p w:rsidR="00372476" w:rsidRPr="001321A1" w:rsidRDefault="00372476" w:rsidP="00D16260">
            <w:pPr>
              <w:jc w:val="both"/>
              <w:rPr>
                <w:rFonts w:eastAsia="Calibri"/>
                <w:sz w:val="20"/>
                <w:lang w:val="fr-CA"/>
              </w:rPr>
            </w:pPr>
            <w:r w:rsidRPr="001321A1">
              <w:rPr>
                <w:rFonts w:eastAsia="Calibri"/>
                <w:sz w:val="20"/>
                <w:lang w:val="fr-CA"/>
              </w:rPr>
              <w:t>(La juge Paquette)</w:t>
            </w:r>
          </w:p>
          <w:p w:rsidR="00372476" w:rsidRPr="001321A1" w:rsidRDefault="00BF31AA" w:rsidP="00D16260">
            <w:pPr>
              <w:jc w:val="both"/>
              <w:rPr>
                <w:rFonts w:eastAsia="Calibri"/>
                <w:sz w:val="20"/>
                <w:lang w:val="fr-CA"/>
              </w:rPr>
            </w:pPr>
            <w:hyperlink r:id="rId53" w:history="1">
              <w:r w:rsidR="00372476" w:rsidRPr="001321A1">
                <w:rPr>
                  <w:rFonts w:eastAsia="Calibri"/>
                  <w:color w:val="0000FF"/>
                  <w:sz w:val="20"/>
                  <w:u w:val="single"/>
                  <w:lang w:val="fr-CA"/>
                </w:rPr>
                <w:t>2011 QCCS 5932</w:t>
              </w:r>
            </w:hyperlink>
          </w:p>
          <w:p w:rsidR="00372476" w:rsidRPr="001321A1" w:rsidRDefault="00372476" w:rsidP="00D16260">
            <w:pPr>
              <w:jc w:val="both"/>
              <w:rPr>
                <w:rFonts w:eastAsia="Calibri"/>
                <w:sz w:val="20"/>
                <w:lang w:val="fr-CA"/>
              </w:rPr>
            </w:pP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 xml:space="preserve">Requête en révision judiciaire accueillie; plainte rejetée </w:t>
            </w:r>
          </w:p>
        </w:tc>
      </w:tr>
      <w:tr w:rsidR="00372476" w:rsidRPr="001321A1"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t>Le 3 décembre 2013</w:t>
            </w:r>
          </w:p>
          <w:p w:rsidR="00372476" w:rsidRPr="001321A1" w:rsidRDefault="00372476" w:rsidP="00D16260">
            <w:pPr>
              <w:jc w:val="both"/>
              <w:rPr>
                <w:rFonts w:eastAsia="Calibri"/>
                <w:sz w:val="20"/>
                <w:lang w:val="fr-CA"/>
              </w:rPr>
            </w:pPr>
            <w:r w:rsidRPr="001321A1">
              <w:rPr>
                <w:rFonts w:eastAsia="Calibri"/>
                <w:sz w:val="20"/>
                <w:lang w:val="fr-CA"/>
              </w:rPr>
              <w:t>Cour d’appel du Québec (Montréal)</w:t>
            </w:r>
          </w:p>
          <w:p w:rsidR="00372476" w:rsidRPr="001321A1" w:rsidRDefault="00372476" w:rsidP="00D16260">
            <w:pPr>
              <w:jc w:val="both"/>
              <w:rPr>
                <w:rFonts w:eastAsia="Calibri"/>
                <w:sz w:val="20"/>
                <w:lang w:val="fr-CA"/>
              </w:rPr>
            </w:pPr>
            <w:r w:rsidRPr="001321A1">
              <w:rPr>
                <w:rFonts w:eastAsia="Calibri"/>
                <w:sz w:val="20"/>
                <w:lang w:val="fr-CA"/>
              </w:rPr>
              <w:t>(Les juges Bich, Dufresne et Kasirer)</w:t>
            </w:r>
          </w:p>
          <w:p w:rsidR="00372476" w:rsidRPr="001321A1" w:rsidRDefault="00BF31AA" w:rsidP="00D16260">
            <w:pPr>
              <w:jc w:val="both"/>
              <w:rPr>
                <w:rFonts w:eastAsia="Calibri"/>
                <w:sz w:val="20"/>
                <w:lang w:val="fr-CA"/>
              </w:rPr>
            </w:pPr>
            <w:hyperlink r:id="rId54" w:history="1">
              <w:r w:rsidR="00372476" w:rsidRPr="001321A1">
                <w:rPr>
                  <w:rFonts w:eastAsia="Calibri"/>
                  <w:color w:val="0000FF"/>
                  <w:sz w:val="20"/>
                  <w:u w:val="single"/>
                  <w:lang w:val="fr-CA"/>
                </w:rPr>
                <w:t>2013 QCCA 2088</w:t>
              </w:r>
            </w:hyperlink>
          </w:p>
          <w:p w:rsidR="00372476" w:rsidRPr="001321A1" w:rsidRDefault="00372476" w:rsidP="00D16260">
            <w:pPr>
              <w:jc w:val="both"/>
              <w:rPr>
                <w:rFonts w:eastAsia="Calibri"/>
                <w:sz w:val="20"/>
                <w:lang w:val="fr-CA"/>
              </w:rPr>
            </w:pP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Appel accueilli</w:t>
            </w:r>
          </w:p>
          <w:p w:rsidR="00372476" w:rsidRPr="001321A1" w:rsidRDefault="00372476" w:rsidP="00D16260">
            <w:pPr>
              <w:jc w:val="both"/>
              <w:rPr>
                <w:rFonts w:eastAsia="Calibri"/>
                <w:sz w:val="20"/>
                <w:lang w:val="fr-CA"/>
              </w:rPr>
            </w:pPr>
          </w:p>
        </w:tc>
      </w:tr>
      <w:tr w:rsidR="00372476" w:rsidRPr="001321A1" w:rsidTr="00D16260">
        <w:tc>
          <w:tcPr>
            <w:tcW w:w="2427" w:type="pct"/>
          </w:tcPr>
          <w:p w:rsidR="00372476" w:rsidRPr="001321A1" w:rsidRDefault="00372476" w:rsidP="00D16260">
            <w:pPr>
              <w:jc w:val="both"/>
              <w:rPr>
                <w:rFonts w:eastAsia="Calibri"/>
                <w:sz w:val="20"/>
                <w:lang w:val="fr-CA"/>
              </w:rPr>
            </w:pPr>
            <w:r w:rsidRPr="001321A1">
              <w:rPr>
                <w:rFonts w:eastAsia="Calibri"/>
                <w:sz w:val="20"/>
                <w:lang w:val="fr-CA"/>
              </w:rPr>
              <w:t>Le 3 février 2014</w:t>
            </w:r>
          </w:p>
          <w:p w:rsidR="00372476" w:rsidRPr="001321A1" w:rsidRDefault="00372476" w:rsidP="00D16260">
            <w:pPr>
              <w:jc w:val="both"/>
              <w:rPr>
                <w:rFonts w:eastAsia="Calibri"/>
                <w:sz w:val="20"/>
                <w:lang w:val="fr-CA"/>
              </w:rPr>
            </w:pPr>
            <w:r w:rsidRPr="001321A1">
              <w:rPr>
                <w:rFonts w:eastAsia="Calibri"/>
                <w:sz w:val="20"/>
                <w:lang w:val="fr-CA"/>
              </w:rPr>
              <w:t>Cour suprême du Canada</w:t>
            </w:r>
          </w:p>
        </w:tc>
        <w:tc>
          <w:tcPr>
            <w:tcW w:w="243" w:type="pct"/>
          </w:tcPr>
          <w:p w:rsidR="00372476" w:rsidRPr="001321A1" w:rsidRDefault="00372476" w:rsidP="00D16260">
            <w:pPr>
              <w:jc w:val="both"/>
              <w:rPr>
                <w:rFonts w:eastAsia="Calibri"/>
                <w:sz w:val="20"/>
                <w:lang w:val="fr-CA"/>
              </w:rPr>
            </w:pPr>
          </w:p>
        </w:tc>
        <w:tc>
          <w:tcPr>
            <w:tcW w:w="2330" w:type="pct"/>
          </w:tcPr>
          <w:p w:rsidR="00372476" w:rsidRPr="001321A1" w:rsidRDefault="00372476" w:rsidP="00D16260">
            <w:pPr>
              <w:jc w:val="both"/>
              <w:rPr>
                <w:rFonts w:eastAsia="Calibri"/>
                <w:sz w:val="20"/>
                <w:lang w:val="fr-CA"/>
              </w:rPr>
            </w:pPr>
            <w:r w:rsidRPr="001321A1">
              <w:rPr>
                <w:rFonts w:eastAsia="Calibri"/>
                <w:sz w:val="20"/>
                <w:lang w:val="fr-CA"/>
              </w:rPr>
              <w:t>Demande d'autorisation d'appel déposée</w:t>
            </w:r>
          </w:p>
        </w:tc>
      </w:tr>
    </w:tbl>
    <w:p w:rsidR="00243043" w:rsidRDefault="00243043" w:rsidP="00243043">
      <w:pPr>
        <w:rPr>
          <w:sz w:val="20"/>
          <w:szCs w:val="20"/>
        </w:rPr>
      </w:pPr>
    </w:p>
    <w:p w:rsidR="00243043" w:rsidRDefault="00BF31AA" w:rsidP="00243043">
      <w:pPr>
        <w:rPr>
          <w:sz w:val="20"/>
          <w:szCs w:val="20"/>
        </w:rPr>
      </w:pPr>
      <w:r>
        <w:rPr>
          <w:sz w:val="20"/>
          <w:szCs w:val="20"/>
          <w:lang w:val="fr-CA"/>
        </w:rPr>
        <w:pict>
          <v:rect id="_x0000_i1049" style="width:2in;height:1pt" o:hrpct="0" o:hralign="center" o:hrstd="t" o:hrnoshade="t" o:hr="t" fillcolor="black [3213]" stroked="f"/>
        </w:pict>
      </w:r>
    </w:p>
    <w:p w:rsidR="00243043" w:rsidRDefault="00243043" w:rsidP="00243043">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437C1" w:rsidRPr="00BF31AA" w:rsidTr="00D16260">
        <w:trPr>
          <w:cantSplit/>
        </w:trPr>
        <w:tc>
          <w:tcPr>
            <w:tcW w:w="1458" w:type="dxa"/>
          </w:tcPr>
          <w:p w:rsidR="00F437C1" w:rsidRPr="00F437C1" w:rsidRDefault="00F437C1" w:rsidP="00F437C1">
            <w:pPr>
              <w:rPr>
                <w:sz w:val="20"/>
              </w:rPr>
            </w:pPr>
            <w:r w:rsidRPr="00F437C1">
              <w:rPr>
                <w:b/>
                <w:sz w:val="20"/>
                <w:lang w:val="fr-CA"/>
              </w:rPr>
              <w:t>35748</w:t>
            </w:r>
          </w:p>
          <w:p w:rsidR="00F437C1" w:rsidRPr="00F437C1" w:rsidRDefault="00F437C1" w:rsidP="00F437C1">
            <w:pPr>
              <w:rPr>
                <w:b/>
                <w:sz w:val="20"/>
                <w:lang w:val="fr-CA"/>
              </w:rPr>
            </w:pPr>
          </w:p>
        </w:tc>
        <w:tc>
          <w:tcPr>
            <w:tcW w:w="8118" w:type="dxa"/>
          </w:tcPr>
          <w:p w:rsidR="00F437C1" w:rsidRPr="00F437C1" w:rsidRDefault="00F437C1" w:rsidP="00F437C1">
            <w:pPr>
              <w:jc w:val="both"/>
              <w:rPr>
                <w:sz w:val="20"/>
                <w:lang w:val="fr-CA"/>
              </w:rPr>
            </w:pPr>
            <w:r w:rsidRPr="00F437C1">
              <w:rPr>
                <w:b/>
                <w:sz w:val="20"/>
                <w:u w:val="single"/>
                <w:lang w:val="fr-CA"/>
              </w:rPr>
              <w:t>Antonio Accurso c. France Charbonneau, ès qualités de commissaire et présidente de la Commission d</w:t>
            </w:r>
            <w:r w:rsidR="00C23318">
              <w:rPr>
                <w:b/>
                <w:sz w:val="20"/>
                <w:u w:val="single"/>
                <w:lang w:val="fr-CA"/>
              </w:rPr>
              <w:t>’</w:t>
            </w:r>
            <w:r w:rsidRPr="00F437C1">
              <w:rPr>
                <w:b/>
                <w:sz w:val="20"/>
                <w:u w:val="single"/>
                <w:lang w:val="fr-CA"/>
              </w:rPr>
              <w:t>enquête sur l</w:t>
            </w:r>
            <w:r w:rsidR="00C23318">
              <w:rPr>
                <w:b/>
                <w:sz w:val="20"/>
                <w:u w:val="single"/>
                <w:lang w:val="fr-CA"/>
              </w:rPr>
              <w:t>’</w:t>
            </w:r>
            <w:r w:rsidRPr="00F437C1">
              <w:rPr>
                <w:b/>
                <w:sz w:val="20"/>
                <w:u w:val="single"/>
                <w:lang w:val="fr-CA"/>
              </w:rPr>
              <w:t>octroi et la gestion des contrats publics dans l</w:t>
            </w:r>
            <w:r w:rsidR="00C23318">
              <w:rPr>
                <w:b/>
                <w:sz w:val="20"/>
                <w:u w:val="single"/>
                <w:lang w:val="fr-CA"/>
              </w:rPr>
              <w:t>’</w:t>
            </w:r>
            <w:r w:rsidRPr="00F437C1">
              <w:rPr>
                <w:b/>
                <w:sz w:val="20"/>
                <w:u w:val="single"/>
                <w:lang w:val="fr-CA"/>
              </w:rPr>
              <w:t>industrie de la construction, Roderick A. Macdonald, ès qualités de commissaire de la Commission d</w:t>
            </w:r>
            <w:r w:rsidR="00C23318">
              <w:rPr>
                <w:b/>
                <w:sz w:val="20"/>
                <w:u w:val="single"/>
                <w:lang w:val="fr-CA"/>
              </w:rPr>
              <w:t>’</w:t>
            </w:r>
            <w:r w:rsidRPr="00F437C1">
              <w:rPr>
                <w:b/>
                <w:sz w:val="20"/>
                <w:u w:val="single"/>
                <w:lang w:val="fr-CA"/>
              </w:rPr>
              <w:t>enquête sur l</w:t>
            </w:r>
            <w:r w:rsidR="00C23318">
              <w:rPr>
                <w:b/>
                <w:sz w:val="20"/>
                <w:u w:val="single"/>
                <w:lang w:val="fr-CA"/>
              </w:rPr>
              <w:t>’</w:t>
            </w:r>
            <w:r w:rsidRPr="00F437C1">
              <w:rPr>
                <w:b/>
                <w:sz w:val="20"/>
                <w:u w:val="single"/>
                <w:lang w:val="fr-CA"/>
              </w:rPr>
              <w:t>octroi et la gestion des contrats publics dans l</w:t>
            </w:r>
            <w:r w:rsidR="00C23318">
              <w:rPr>
                <w:b/>
                <w:sz w:val="20"/>
                <w:u w:val="single"/>
                <w:lang w:val="fr-CA"/>
              </w:rPr>
              <w:t>’</w:t>
            </w:r>
            <w:r w:rsidRPr="00F437C1">
              <w:rPr>
                <w:b/>
                <w:sz w:val="20"/>
                <w:u w:val="single"/>
                <w:lang w:val="fr-CA"/>
              </w:rPr>
              <w:t>industrie de la construction, Renau</w:t>
            </w:r>
            <w:r w:rsidR="00C23318">
              <w:rPr>
                <w:b/>
                <w:sz w:val="20"/>
                <w:u w:val="single"/>
                <w:lang w:val="fr-CA"/>
              </w:rPr>
              <w:t>d</w:t>
            </w:r>
            <w:r w:rsidRPr="00F437C1">
              <w:rPr>
                <w:b/>
                <w:sz w:val="20"/>
                <w:u w:val="single"/>
                <w:lang w:val="fr-CA"/>
              </w:rPr>
              <w:t xml:space="preserve"> Lachance, ès qualités de commissaire de la Commission d</w:t>
            </w:r>
            <w:r w:rsidR="00C23318">
              <w:rPr>
                <w:b/>
                <w:sz w:val="20"/>
                <w:u w:val="single"/>
                <w:lang w:val="fr-CA"/>
              </w:rPr>
              <w:t>’</w:t>
            </w:r>
            <w:r w:rsidRPr="00F437C1">
              <w:rPr>
                <w:b/>
                <w:sz w:val="20"/>
                <w:u w:val="single"/>
                <w:lang w:val="fr-CA"/>
              </w:rPr>
              <w:t>enquête sur l</w:t>
            </w:r>
            <w:r w:rsidR="00C23318">
              <w:rPr>
                <w:b/>
                <w:sz w:val="20"/>
                <w:u w:val="single"/>
                <w:lang w:val="fr-CA"/>
              </w:rPr>
              <w:t>’</w:t>
            </w:r>
            <w:r w:rsidRPr="00F437C1">
              <w:rPr>
                <w:b/>
                <w:sz w:val="20"/>
                <w:u w:val="single"/>
                <w:lang w:val="fr-CA"/>
              </w:rPr>
              <w:t>octroi et la gestion des contrats publics dans l</w:t>
            </w:r>
            <w:r w:rsidR="00C23318">
              <w:rPr>
                <w:b/>
                <w:sz w:val="20"/>
                <w:u w:val="single"/>
                <w:lang w:val="fr-CA"/>
              </w:rPr>
              <w:t>’</w:t>
            </w:r>
            <w:r w:rsidRPr="00F437C1">
              <w:rPr>
                <w:b/>
                <w:sz w:val="20"/>
                <w:u w:val="single"/>
                <w:lang w:val="fr-CA"/>
              </w:rPr>
              <w:t>industrie de la construction</w:t>
            </w:r>
            <w:r w:rsidR="00C23318">
              <w:rPr>
                <w:b/>
                <w:sz w:val="20"/>
                <w:u w:val="single"/>
                <w:lang w:val="fr-CA"/>
              </w:rPr>
              <w:t xml:space="preserve"> et</w:t>
            </w:r>
            <w:r w:rsidRPr="00F437C1">
              <w:rPr>
                <w:b/>
                <w:sz w:val="20"/>
                <w:u w:val="single"/>
                <w:lang w:val="fr-CA"/>
              </w:rPr>
              <w:t xml:space="preserve"> Procureur général du Québec</w:t>
            </w:r>
            <w:r w:rsidRPr="00F437C1">
              <w:rPr>
                <w:sz w:val="20"/>
                <w:lang w:val="fr-CA"/>
              </w:rPr>
              <w:t xml:space="preserve"> (Qc) (Civile) (Autorisation)</w:t>
            </w:r>
          </w:p>
          <w:p w:rsidR="00F437C1" w:rsidRPr="00F437C1" w:rsidRDefault="00F437C1" w:rsidP="00F437C1">
            <w:pPr>
              <w:jc w:val="both"/>
              <w:rPr>
                <w:sz w:val="20"/>
                <w:lang w:val="fr-CA"/>
              </w:rPr>
            </w:pPr>
          </w:p>
        </w:tc>
      </w:tr>
      <w:tr w:rsidR="00F437C1" w:rsidRPr="00BF31AA" w:rsidTr="00D16260">
        <w:trPr>
          <w:cantSplit/>
        </w:trPr>
        <w:tc>
          <w:tcPr>
            <w:tcW w:w="1458" w:type="dxa"/>
          </w:tcPr>
          <w:p w:rsidR="00F437C1" w:rsidRPr="00F437C1" w:rsidRDefault="00F437C1" w:rsidP="00F437C1">
            <w:pPr>
              <w:rPr>
                <w:sz w:val="20"/>
              </w:rPr>
            </w:pPr>
            <w:r w:rsidRPr="00F437C1">
              <w:rPr>
                <w:sz w:val="20"/>
              </w:rPr>
              <w:t>Coram :</w:t>
            </w:r>
          </w:p>
        </w:tc>
        <w:tc>
          <w:tcPr>
            <w:tcW w:w="8118" w:type="dxa"/>
          </w:tcPr>
          <w:p w:rsidR="00F437C1" w:rsidRPr="00F437C1" w:rsidRDefault="00F437C1" w:rsidP="00F437C1">
            <w:pPr>
              <w:rPr>
                <w:sz w:val="20"/>
                <w:lang w:val="fr-CA"/>
              </w:rPr>
            </w:pPr>
            <w:r w:rsidRPr="00F437C1">
              <w:rPr>
                <w:sz w:val="20"/>
                <w:u w:val="single"/>
                <w:lang w:val="fr-CA"/>
              </w:rPr>
              <w:t>Les juges LeBel, Karakatsanis et Wagner</w:t>
            </w:r>
          </w:p>
          <w:p w:rsidR="00F437C1" w:rsidRPr="00F437C1" w:rsidRDefault="00F437C1" w:rsidP="00F437C1">
            <w:pPr>
              <w:rPr>
                <w:sz w:val="20"/>
                <w:u w:val="single"/>
                <w:lang w:val="fr-CA"/>
              </w:rPr>
            </w:pPr>
          </w:p>
        </w:tc>
      </w:tr>
      <w:tr w:rsidR="00F437C1" w:rsidRPr="00F437C1" w:rsidTr="00D16260">
        <w:trPr>
          <w:cantSplit/>
        </w:trPr>
        <w:tc>
          <w:tcPr>
            <w:tcW w:w="9576" w:type="dxa"/>
            <w:gridSpan w:val="2"/>
          </w:tcPr>
          <w:p w:rsidR="00F437C1" w:rsidRPr="00F437C1" w:rsidRDefault="00F437C1" w:rsidP="00F437C1">
            <w:pPr>
              <w:ind w:firstLine="720"/>
              <w:jc w:val="both"/>
              <w:rPr>
                <w:sz w:val="20"/>
                <w:lang w:val="fr-CA"/>
              </w:rPr>
            </w:pPr>
            <w:r w:rsidRPr="00F437C1">
              <w:rPr>
                <w:sz w:val="20"/>
                <w:lang w:val="fr-CA"/>
              </w:rPr>
              <w:t>La requête sollicitant une ordonnance pourvoyant au traitement accéléré de la demande d’autorisation d’appel est accueillie. La demande d’autorisation d’appel de l’arrêt de la Cour d’appel du Québec (Montréal), numéro 500-09-024202-145, 2014 QCCA 282, daté du 17 février 2014, est rejetée avec dépens en faveur des intimés.</w:t>
            </w:r>
          </w:p>
          <w:p w:rsidR="00F437C1" w:rsidRPr="00F437C1" w:rsidRDefault="00F437C1" w:rsidP="00F437C1">
            <w:pPr>
              <w:jc w:val="both"/>
              <w:rPr>
                <w:sz w:val="20"/>
                <w:lang w:val="fr-CA"/>
              </w:rPr>
            </w:pPr>
          </w:p>
          <w:p w:rsidR="00F437C1" w:rsidRPr="00F437C1" w:rsidRDefault="00F437C1" w:rsidP="00F437C1">
            <w:pPr>
              <w:ind w:firstLine="720"/>
              <w:jc w:val="both"/>
              <w:rPr>
                <w:sz w:val="20"/>
              </w:rPr>
            </w:pPr>
            <w:r w:rsidRPr="00F437C1">
              <w:rPr>
                <w:sz w:val="20"/>
              </w:rPr>
              <w:t>The motion seeking an order for expedited treatment of the application for leave to appeal is granted. The application for leave to appeal from the judgment of the Court of Appeal of Quebec (Montréal), Number 500-09-024202-145, 2014 QCCA 282, dated February 17, 2014, is dismissed with costs to the respondents.</w:t>
            </w:r>
          </w:p>
        </w:tc>
      </w:tr>
    </w:tbl>
    <w:p w:rsidR="00372476" w:rsidRDefault="00372476" w:rsidP="000E2959">
      <w:pPr>
        <w:rPr>
          <w:sz w:val="20"/>
          <w:szCs w:val="20"/>
        </w:rPr>
      </w:pPr>
    </w:p>
    <w:p w:rsidR="00243043" w:rsidRPr="001B157C" w:rsidRDefault="00243043" w:rsidP="00243043">
      <w:pPr>
        <w:rPr>
          <w:sz w:val="20"/>
          <w:szCs w:val="20"/>
          <w:u w:val="single"/>
        </w:rPr>
      </w:pPr>
      <w:r w:rsidRPr="001B157C">
        <w:rPr>
          <w:sz w:val="20"/>
          <w:szCs w:val="20"/>
          <w:u w:val="single"/>
        </w:rPr>
        <w:t>CASE SUMMARY</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t xml:space="preserve">Evidence – Objection – Applicant currently subject of penal or criminal investigations summoned to appear before Commission of Inquiry on Awarding and Management of Public Contracts in Construction Industry – Application seeking constitutional exemption and annulment of summons – Crown objecting to testimonial evidence and requesting annulment of </w:t>
            </w:r>
            <w:r w:rsidRPr="001321A1">
              <w:rPr>
                <w:rFonts w:eastAsia="Calibri"/>
                <w:i/>
                <w:sz w:val="20"/>
              </w:rPr>
              <w:t xml:space="preserve">subpoenas duces tecum </w:t>
            </w:r>
            <w:r w:rsidRPr="001321A1">
              <w:rPr>
                <w:rFonts w:eastAsia="Calibri"/>
                <w:sz w:val="20"/>
              </w:rPr>
              <w:t>– Whether evidence sought relevant and admissible in support of request for constitutional exemption – Whether rules on application of public interest immunity to protection of ongoing investigations followed.</w:t>
            </w:r>
          </w:p>
        </w:tc>
      </w:tr>
      <w:tr w:rsidR="00372476" w:rsidRPr="001321A1" w:rsidTr="00D16260">
        <w:tc>
          <w:tcPr>
            <w:tcW w:w="5000" w:type="pct"/>
            <w:gridSpan w:val="3"/>
          </w:tcPr>
          <w:p w:rsidR="00372476" w:rsidRPr="001321A1" w:rsidRDefault="00372476" w:rsidP="00D16260">
            <w:pPr>
              <w:jc w:val="both"/>
              <w:rPr>
                <w:rFonts w:eastAsia="Calibri"/>
                <w:sz w:val="20"/>
              </w:rPr>
            </w:pPr>
          </w:p>
        </w:tc>
      </w:tr>
      <w:tr w:rsidR="00372476" w:rsidRPr="001321A1" w:rsidTr="00D16260">
        <w:tc>
          <w:tcPr>
            <w:tcW w:w="5000" w:type="pct"/>
            <w:gridSpan w:val="3"/>
          </w:tcPr>
          <w:p w:rsidR="00372476" w:rsidRPr="001321A1" w:rsidRDefault="00372476" w:rsidP="00D16260">
            <w:pPr>
              <w:jc w:val="both"/>
              <w:rPr>
                <w:rFonts w:eastAsia="Calibri"/>
                <w:sz w:val="20"/>
              </w:rPr>
            </w:pPr>
            <w:r w:rsidRPr="001321A1">
              <w:rPr>
                <w:rFonts w:eastAsia="Calibri"/>
                <w:sz w:val="20"/>
              </w:rPr>
              <w:lastRenderedPageBreak/>
              <w:t>The applicant Mr. Accurso was summoned to appear before the Commission of Inquiry on the Awarding and Management of Public Contracts in the Construction Industry chaired by the respondent, the Honourable France Charbonneau.  He is currently the subject of penal or criminal investigations.  Fearing that the Commission’s predominant purpose was to force him to provide evidence that would be used to determine his penal liability, he applied to the Quebec Superior Court for judicial review with respect to the summons.  He asked that he be granted a constitutional exemption to excuse him from testifying and that the summons be annulled.</w:t>
            </w:r>
          </w:p>
          <w:p w:rsidR="00372476" w:rsidRPr="001321A1" w:rsidRDefault="00372476" w:rsidP="00D16260">
            <w:pPr>
              <w:jc w:val="both"/>
              <w:rPr>
                <w:rFonts w:eastAsia="Calibri"/>
                <w:sz w:val="20"/>
              </w:rPr>
            </w:pPr>
          </w:p>
          <w:p w:rsidR="00372476" w:rsidRPr="001321A1" w:rsidRDefault="00372476" w:rsidP="00D16260">
            <w:pPr>
              <w:jc w:val="both"/>
              <w:rPr>
                <w:rFonts w:eastAsia="Calibri"/>
                <w:sz w:val="20"/>
              </w:rPr>
            </w:pPr>
            <w:r w:rsidRPr="001321A1">
              <w:rPr>
                <w:rFonts w:eastAsia="Calibri"/>
                <w:sz w:val="20"/>
              </w:rPr>
              <w:t xml:space="preserve">In the judicial review proceedings, the respondents objected to the testimony of certain witnesses summoned by Mr. Accurso and requested that </w:t>
            </w:r>
            <w:r w:rsidRPr="001321A1">
              <w:rPr>
                <w:rFonts w:eastAsia="Calibri"/>
                <w:i/>
                <w:sz w:val="20"/>
              </w:rPr>
              <w:t>subpoenas duces tecum</w:t>
            </w:r>
            <w:r w:rsidRPr="001321A1">
              <w:rPr>
                <w:rFonts w:eastAsia="Calibri"/>
                <w:sz w:val="20"/>
              </w:rPr>
              <w:t xml:space="preserve"> be annulled.  The Superior Court granted the requests in part, and the Court of Appeal denied leave to appeal from the interlocutory judgments.</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January 27, 2014</w:t>
            </w:r>
          </w:p>
          <w:p w:rsidR="00372476" w:rsidRPr="001321A1" w:rsidRDefault="00372476" w:rsidP="00D16260">
            <w:pPr>
              <w:jc w:val="both"/>
              <w:rPr>
                <w:rFonts w:eastAsia="Calibri"/>
                <w:sz w:val="20"/>
              </w:rPr>
            </w:pPr>
            <w:r w:rsidRPr="001321A1">
              <w:rPr>
                <w:rFonts w:eastAsia="Calibri"/>
                <w:sz w:val="20"/>
              </w:rPr>
              <w:t>Quebec Superior Court</w:t>
            </w:r>
          </w:p>
          <w:p w:rsidR="00372476" w:rsidRPr="001321A1" w:rsidRDefault="00372476" w:rsidP="00D16260">
            <w:pPr>
              <w:jc w:val="both"/>
              <w:rPr>
                <w:rFonts w:eastAsia="Calibri"/>
                <w:sz w:val="20"/>
              </w:rPr>
            </w:pPr>
            <w:r w:rsidRPr="001321A1">
              <w:rPr>
                <w:rFonts w:eastAsia="Calibri"/>
                <w:sz w:val="20"/>
              </w:rPr>
              <w:t>(Buffoni J.)</w:t>
            </w:r>
          </w:p>
          <w:p w:rsidR="00372476" w:rsidRPr="001321A1" w:rsidRDefault="00372476" w:rsidP="00D16260">
            <w:pPr>
              <w:jc w:val="both"/>
              <w:rPr>
                <w:rFonts w:eastAsia="Calibri"/>
                <w:sz w:val="20"/>
              </w:rPr>
            </w:pPr>
            <w:r w:rsidRPr="001321A1">
              <w:rPr>
                <w:rFonts w:eastAsia="Calibri"/>
                <w:sz w:val="20"/>
              </w:rPr>
              <w:t>500-17-078622-134</w:t>
            </w:r>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 xml:space="preserve">Objections to evidence allowed; </w:t>
            </w:r>
            <w:r w:rsidRPr="001321A1">
              <w:rPr>
                <w:rFonts w:eastAsia="Calibri"/>
                <w:i/>
                <w:sz w:val="20"/>
              </w:rPr>
              <w:t>subpoena duces tecum</w:t>
            </w:r>
            <w:r w:rsidRPr="001321A1">
              <w:rPr>
                <w:rFonts w:eastAsia="Calibri"/>
                <w:sz w:val="20"/>
              </w:rPr>
              <w:t xml:space="preserve"> annulled</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January 31, 2014</w:t>
            </w:r>
          </w:p>
          <w:p w:rsidR="00372476" w:rsidRPr="001321A1" w:rsidRDefault="00372476" w:rsidP="00D16260">
            <w:pPr>
              <w:jc w:val="both"/>
              <w:rPr>
                <w:rFonts w:eastAsia="Calibri"/>
                <w:sz w:val="20"/>
              </w:rPr>
            </w:pPr>
            <w:r w:rsidRPr="001321A1">
              <w:rPr>
                <w:rFonts w:eastAsia="Calibri"/>
                <w:sz w:val="20"/>
              </w:rPr>
              <w:t>Quebec Superior Court</w:t>
            </w:r>
          </w:p>
          <w:p w:rsidR="00372476" w:rsidRPr="001321A1" w:rsidRDefault="00372476" w:rsidP="00D16260">
            <w:pPr>
              <w:jc w:val="both"/>
              <w:rPr>
                <w:rFonts w:eastAsia="Calibri"/>
                <w:sz w:val="20"/>
              </w:rPr>
            </w:pPr>
            <w:r w:rsidRPr="001321A1">
              <w:rPr>
                <w:rFonts w:eastAsia="Calibri"/>
                <w:sz w:val="20"/>
              </w:rPr>
              <w:t>(Buffoni J.)</w:t>
            </w:r>
          </w:p>
          <w:p w:rsidR="00372476" w:rsidRPr="001321A1" w:rsidRDefault="00372476" w:rsidP="00D16260">
            <w:pPr>
              <w:jc w:val="both"/>
              <w:rPr>
                <w:rFonts w:eastAsia="Calibri"/>
                <w:sz w:val="20"/>
              </w:rPr>
            </w:pPr>
            <w:r w:rsidRPr="001321A1">
              <w:rPr>
                <w:rFonts w:eastAsia="Calibri"/>
                <w:sz w:val="20"/>
              </w:rPr>
              <w:t>500-17-078622-134</w:t>
            </w:r>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Request to summon witnesses denied</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February 17, 2014</w:t>
            </w:r>
          </w:p>
          <w:p w:rsidR="00372476" w:rsidRPr="001321A1" w:rsidRDefault="00372476" w:rsidP="00D16260">
            <w:pPr>
              <w:jc w:val="both"/>
              <w:rPr>
                <w:rFonts w:eastAsia="Calibri"/>
                <w:sz w:val="20"/>
              </w:rPr>
            </w:pPr>
            <w:r w:rsidRPr="001321A1">
              <w:rPr>
                <w:rFonts w:eastAsia="Calibri"/>
                <w:sz w:val="20"/>
              </w:rPr>
              <w:t>Quebec Court of Appeal (Montréal)</w:t>
            </w:r>
          </w:p>
          <w:p w:rsidR="00372476" w:rsidRPr="001321A1" w:rsidRDefault="00372476" w:rsidP="00D16260">
            <w:pPr>
              <w:jc w:val="both"/>
              <w:rPr>
                <w:rFonts w:eastAsia="Calibri"/>
                <w:sz w:val="20"/>
              </w:rPr>
            </w:pPr>
            <w:r w:rsidRPr="001321A1">
              <w:rPr>
                <w:rFonts w:eastAsia="Calibri"/>
                <w:sz w:val="20"/>
              </w:rPr>
              <w:t>(Savard J.A.)</w:t>
            </w:r>
          </w:p>
          <w:p w:rsidR="00372476" w:rsidRPr="001321A1" w:rsidRDefault="00372476" w:rsidP="00D16260">
            <w:pPr>
              <w:jc w:val="both"/>
              <w:rPr>
                <w:rFonts w:eastAsia="Calibri"/>
                <w:sz w:val="20"/>
              </w:rPr>
            </w:pPr>
            <w:r w:rsidRPr="001321A1">
              <w:rPr>
                <w:rFonts w:eastAsia="Calibri"/>
                <w:sz w:val="20"/>
              </w:rPr>
              <w:t xml:space="preserve">500-09-024202-145; </w:t>
            </w:r>
            <w:hyperlink r:id="rId55" w:history="1">
              <w:r w:rsidRPr="001321A1">
                <w:rPr>
                  <w:rFonts w:eastAsia="Calibri"/>
                  <w:color w:val="0000FF"/>
                  <w:sz w:val="20"/>
                  <w:u w:val="single"/>
                </w:rPr>
                <w:t>2014 QCCA 282</w:t>
              </w:r>
            </w:hyperlink>
          </w:p>
          <w:p w:rsidR="00372476" w:rsidRPr="001321A1" w:rsidRDefault="00372476" w:rsidP="00D16260">
            <w:pPr>
              <w:jc w:val="both"/>
              <w:rPr>
                <w:rFonts w:eastAsia="Calibri"/>
                <w:sz w:val="20"/>
              </w:rPr>
            </w:pP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Motion for leave to appeal dismissed</w:t>
            </w:r>
          </w:p>
          <w:p w:rsidR="00372476" w:rsidRPr="001321A1" w:rsidRDefault="00372476" w:rsidP="00D16260">
            <w:pPr>
              <w:jc w:val="both"/>
              <w:rPr>
                <w:rFonts w:eastAsia="Calibri"/>
                <w:sz w:val="20"/>
              </w:rPr>
            </w:pPr>
          </w:p>
        </w:tc>
      </w:tr>
      <w:tr w:rsidR="00372476" w:rsidRPr="001321A1" w:rsidTr="00D16260">
        <w:tc>
          <w:tcPr>
            <w:tcW w:w="2427" w:type="pct"/>
          </w:tcPr>
          <w:p w:rsidR="00372476" w:rsidRPr="001321A1" w:rsidRDefault="00372476" w:rsidP="00D16260">
            <w:pPr>
              <w:jc w:val="both"/>
              <w:rPr>
                <w:rFonts w:eastAsia="Calibri"/>
                <w:sz w:val="20"/>
              </w:rPr>
            </w:pPr>
            <w:r w:rsidRPr="001321A1">
              <w:rPr>
                <w:rFonts w:eastAsia="Calibri"/>
                <w:sz w:val="20"/>
              </w:rPr>
              <w:t>February 25, 2014</w:t>
            </w:r>
          </w:p>
          <w:p w:rsidR="00372476" w:rsidRPr="001321A1" w:rsidRDefault="00372476" w:rsidP="00D16260">
            <w:pPr>
              <w:jc w:val="both"/>
              <w:rPr>
                <w:rFonts w:eastAsia="Calibri"/>
                <w:sz w:val="20"/>
              </w:rPr>
            </w:pPr>
            <w:r w:rsidRPr="001321A1">
              <w:rPr>
                <w:rFonts w:eastAsia="Calibri"/>
                <w:sz w:val="20"/>
              </w:rPr>
              <w:t>Supreme Court of Canada</w:t>
            </w:r>
          </w:p>
        </w:tc>
        <w:tc>
          <w:tcPr>
            <w:tcW w:w="243" w:type="pct"/>
          </w:tcPr>
          <w:p w:rsidR="00372476" w:rsidRPr="001321A1" w:rsidRDefault="00372476" w:rsidP="00D16260">
            <w:pPr>
              <w:jc w:val="both"/>
              <w:rPr>
                <w:rFonts w:eastAsia="Calibri"/>
                <w:sz w:val="20"/>
              </w:rPr>
            </w:pPr>
          </w:p>
        </w:tc>
        <w:tc>
          <w:tcPr>
            <w:tcW w:w="2330" w:type="pct"/>
          </w:tcPr>
          <w:p w:rsidR="00372476" w:rsidRPr="001321A1" w:rsidRDefault="00372476" w:rsidP="00D16260">
            <w:pPr>
              <w:jc w:val="both"/>
              <w:rPr>
                <w:rFonts w:eastAsia="Calibri"/>
                <w:sz w:val="20"/>
              </w:rPr>
            </w:pPr>
            <w:r w:rsidRPr="001321A1">
              <w:rPr>
                <w:rFonts w:eastAsia="Calibri"/>
                <w:sz w:val="20"/>
              </w:rPr>
              <w:t>Application for leave to appeal and motion to expedite application for leave to appeal filed</w:t>
            </w:r>
          </w:p>
        </w:tc>
      </w:tr>
    </w:tbl>
    <w:p w:rsidR="00243043" w:rsidRDefault="00243043" w:rsidP="00243043">
      <w:pPr>
        <w:rPr>
          <w:sz w:val="20"/>
          <w:szCs w:val="20"/>
        </w:rPr>
      </w:pPr>
    </w:p>
    <w:p w:rsidR="00243043" w:rsidRDefault="00BF31AA" w:rsidP="00243043">
      <w:pPr>
        <w:rPr>
          <w:sz w:val="20"/>
          <w:szCs w:val="20"/>
        </w:rPr>
      </w:pPr>
      <w:r>
        <w:rPr>
          <w:sz w:val="20"/>
          <w:szCs w:val="20"/>
          <w:lang w:val="fr-CA"/>
        </w:rPr>
        <w:pict>
          <v:rect id="_x0000_i1050" style="width:2in;height:1pt" o:hrpct="0" o:hralign="center" o:hrstd="t" o:hrnoshade="t" o:hr="t" fillcolor="black [3213]" stroked="f"/>
        </w:pict>
      </w:r>
    </w:p>
    <w:p w:rsidR="00243043" w:rsidRDefault="00243043" w:rsidP="00243043">
      <w:pPr>
        <w:rPr>
          <w:sz w:val="20"/>
          <w:szCs w:val="20"/>
        </w:rPr>
      </w:pPr>
    </w:p>
    <w:p w:rsidR="00243043" w:rsidRPr="001B157C" w:rsidRDefault="00243043" w:rsidP="00243043">
      <w:pPr>
        <w:rPr>
          <w:sz w:val="20"/>
          <w:szCs w:val="20"/>
          <w:u w:val="single"/>
          <w:lang w:val="fr-CA"/>
        </w:rPr>
      </w:pPr>
      <w:r w:rsidRPr="001B157C">
        <w:rPr>
          <w:sz w:val="20"/>
          <w:szCs w:val="20"/>
          <w:u w:val="single"/>
          <w:lang w:val="fr-CA"/>
        </w:rPr>
        <w:t>RÉSUMÉ DE L’AFFAIRE</w:t>
      </w:r>
    </w:p>
    <w:p w:rsidR="00243043" w:rsidRDefault="00243043" w:rsidP="002430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476" w:rsidRPr="00BF31AA" w:rsidTr="00D16260">
        <w:tc>
          <w:tcPr>
            <w:tcW w:w="5000" w:type="pct"/>
            <w:gridSpan w:val="3"/>
          </w:tcPr>
          <w:p w:rsidR="00372476" w:rsidRPr="001321A1" w:rsidRDefault="00372476" w:rsidP="00D16260">
            <w:pPr>
              <w:jc w:val="both"/>
              <w:rPr>
                <w:sz w:val="20"/>
                <w:lang w:val="fr-CA"/>
              </w:rPr>
            </w:pPr>
            <w:r w:rsidRPr="001321A1">
              <w:rPr>
                <w:sz w:val="20"/>
                <w:lang w:val="fr-CA"/>
              </w:rPr>
              <w:t xml:space="preserve">Preuve – Objection – Demandeur faisant actuellement l’objet d’enquêtes pénales ou criminelles assigné à comparaître devant la Commission d’enquête sur l’octroi et la gestion des contrats publics dans l’industrie de la construction – Recours cherchant à obtenir une exemption constitutionnelle et à faire annuler l’assignation – Objection à la preuve par témoignage et demandes d’annulation de </w:t>
            </w:r>
            <w:r w:rsidRPr="001321A1">
              <w:rPr>
                <w:i/>
                <w:sz w:val="20"/>
                <w:lang w:val="fr-CA"/>
              </w:rPr>
              <w:t>subpoenas duces tecum</w:t>
            </w:r>
            <w:r w:rsidRPr="001321A1">
              <w:rPr>
                <w:sz w:val="20"/>
                <w:lang w:val="fr-CA"/>
              </w:rPr>
              <w:t xml:space="preserve"> par le ministère public – La preuve recherchée était-elle pertinente et admissible à l’appui de la demande d’exemption constitutionnelle? – Les règles relatives à l’application de l’immunité d’intérêt public à la protection des enquêtes en cours ont-elles été respectées?</w:t>
            </w:r>
          </w:p>
        </w:tc>
      </w:tr>
      <w:tr w:rsidR="00372476" w:rsidRPr="00BF31AA" w:rsidTr="00D16260">
        <w:tc>
          <w:tcPr>
            <w:tcW w:w="5000" w:type="pct"/>
            <w:gridSpan w:val="3"/>
          </w:tcPr>
          <w:p w:rsidR="00372476" w:rsidRPr="001321A1" w:rsidRDefault="00372476" w:rsidP="00D16260">
            <w:pPr>
              <w:jc w:val="both"/>
              <w:rPr>
                <w:sz w:val="20"/>
                <w:lang w:val="fr-CA"/>
              </w:rPr>
            </w:pPr>
          </w:p>
        </w:tc>
      </w:tr>
      <w:tr w:rsidR="00372476" w:rsidRPr="00BF31AA" w:rsidTr="00D16260">
        <w:tc>
          <w:tcPr>
            <w:tcW w:w="5000" w:type="pct"/>
            <w:gridSpan w:val="3"/>
          </w:tcPr>
          <w:p w:rsidR="00372476" w:rsidRPr="001321A1" w:rsidRDefault="00372476" w:rsidP="00D16260">
            <w:pPr>
              <w:jc w:val="both"/>
              <w:rPr>
                <w:sz w:val="20"/>
                <w:lang w:val="fr-CA"/>
              </w:rPr>
            </w:pPr>
            <w:r w:rsidRPr="001321A1">
              <w:rPr>
                <w:sz w:val="20"/>
                <w:lang w:val="fr-CA"/>
              </w:rPr>
              <w:t>M. Accurso, demandeur, a été assigné à comparaître devant la Commission d’enquête sur l’octroi et la gestion des contrats publics dans l’industrie de la construction présidée par l’intimée, l’honorable France Charbonneau. Il fait actuellement l’objet d’enquêtes pénales ou criminelles.  Craignant que la Commission ait pour objectif prédominant de le forcer à fournir des éléments de preuve qui serviront à établir sa responsabilité pénale, il a formulé devant la Cour supérieure du Québec une demande de révision judiciaire à l’encontre de l’assignation.  Il demande que lui soit reconnue une exemption constitutionnelle qui le dispense de témoigner et souhaite que l’assignation soit annulée.</w:t>
            </w:r>
          </w:p>
          <w:p w:rsidR="00372476" w:rsidRPr="001321A1" w:rsidRDefault="00372476" w:rsidP="00D16260">
            <w:pPr>
              <w:jc w:val="both"/>
              <w:rPr>
                <w:sz w:val="20"/>
                <w:lang w:val="fr-CA"/>
              </w:rPr>
            </w:pPr>
          </w:p>
          <w:p w:rsidR="00372476" w:rsidRPr="001321A1" w:rsidRDefault="00372476" w:rsidP="00D16260">
            <w:pPr>
              <w:jc w:val="both"/>
              <w:rPr>
                <w:sz w:val="20"/>
                <w:lang w:val="fr-CA"/>
              </w:rPr>
            </w:pPr>
            <w:r w:rsidRPr="001321A1">
              <w:rPr>
                <w:sz w:val="20"/>
                <w:lang w:val="fr-CA"/>
              </w:rPr>
              <w:t xml:space="preserve">Dans le cadre du recours en révision judiciaire, les intimés se sont objectés au témoignage de certains témoins assignés par M. Accurso et ont demandé l’annulation de </w:t>
            </w:r>
            <w:r w:rsidRPr="001321A1">
              <w:rPr>
                <w:i/>
                <w:sz w:val="20"/>
                <w:lang w:val="fr-CA"/>
              </w:rPr>
              <w:t>subpoenas duces tecum</w:t>
            </w:r>
            <w:r w:rsidRPr="001321A1">
              <w:rPr>
                <w:sz w:val="20"/>
                <w:lang w:val="fr-CA"/>
              </w:rPr>
              <w:t>.  La Cour supérieure a fait droit en partie à ces demandes, et la Cour d’appel a refusé la permission d’appeler de ces jugements interlocutoires.</w:t>
            </w:r>
          </w:p>
          <w:p w:rsidR="00372476" w:rsidRPr="001321A1" w:rsidRDefault="00372476" w:rsidP="00D16260">
            <w:pPr>
              <w:jc w:val="both"/>
              <w:rPr>
                <w:sz w:val="20"/>
                <w:lang w:val="fr-CA"/>
              </w:rPr>
            </w:pPr>
          </w:p>
        </w:tc>
      </w:tr>
      <w:tr w:rsidR="00372476" w:rsidRPr="00BF31AA" w:rsidTr="00D16260">
        <w:tc>
          <w:tcPr>
            <w:tcW w:w="2427" w:type="pct"/>
          </w:tcPr>
          <w:p w:rsidR="00372476" w:rsidRPr="001321A1" w:rsidRDefault="00372476" w:rsidP="00D16260">
            <w:pPr>
              <w:jc w:val="both"/>
              <w:rPr>
                <w:sz w:val="20"/>
                <w:lang w:val="fr-CA"/>
              </w:rPr>
            </w:pPr>
            <w:r w:rsidRPr="001321A1">
              <w:rPr>
                <w:sz w:val="20"/>
                <w:lang w:val="fr-CA"/>
              </w:rPr>
              <w:lastRenderedPageBreak/>
              <w:t>Le 27 janvier 2014</w:t>
            </w:r>
          </w:p>
          <w:p w:rsidR="00372476" w:rsidRPr="001321A1" w:rsidRDefault="00372476" w:rsidP="00D16260">
            <w:pPr>
              <w:jc w:val="both"/>
              <w:rPr>
                <w:sz w:val="20"/>
                <w:lang w:val="fr-CA"/>
              </w:rPr>
            </w:pPr>
            <w:r w:rsidRPr="001321A1">
              <w:rPr>
                <w:sz w:val="20"/>
                <w:lang w:val="fr-CA"/>
              </w:rPr>
              <w:t>Cour supérieure du Québec</w:t>
            </w:r>
          </w:p>
          <w:p w:rsidR="00372476" w:rsidRPr="001321A1" w:rsidRDefault="00372476" w:rsidP="00D16260">
            <w:pPr>
              <w:jc w:val="both"/>
              <w:rPr>
                <w:sz w:val="20"/>
              </w:rPr>
            </w:pPr>
            <w:r w:rsidRPr="001321A1">
              <w:rPr>
                <w:sz w:val="20"/>
              </w:rPr>
              <w:t>(Le juge Buffoni)</w:t>
            </w:r>
          </w:p>
          <w:p w:rsidR="00372476" w:rsidRPr="001321A1" w:rsidRDefault="00372476" w:rsidP="00D16260">
            <w:pPr>
              <w:jc w:val="both"/>
              <w:rPr>
                <w:sz w:val="20"/>
              </w:rPr>
            </w:pPr>
            <w:r w:rsidRPr="001321A1">
              <w:rPr>
                <w:sz w:val="20"/>
              </w:rPr>
              <w:t>500-17-078622-134</w:t>
            </w:r>
          </w:p>
          <w:p w:rsidR="00372476" w:rsidRPr="001321A1" w:rsidRDefault="00372476" w:rsidP="00D16260">
            <w:pPr>
              <w:jc w:val="both"/>
              <w:rPr>
                <w:sz w:val="20"/>
              </w:rPr>
            </w:pPr>
          </w:p>
        </w:tc>
        <w:tc>
          <w:tcPr>
            <w:tcW w:w="243" w:type="pct"/>
          </w:tcPr>
          <w:p w:rsidR="00372476" w:rsidRPr="001321A1" w:rsidRDefault="00372476" w:rsidP="00D16260">
            <w:pPr>
              <w:rPr>
                <w:sz w:val="20"/>
              </w:rPr>
            </w:pPr>
          </w:p>
        </w:tc>
        <w:tc>
          <w:tcPr>
            <w:tcW w:w="2330" w:type="pct"/>
          </w:tcPr>
          <w:p w:rsidR="00372476" w:rsidRPr="001321A1" w:rsidRDefault="00372476" w:rsidP="00D16260">
            <w:pPr>
              <w:jc w:val="both"/>
              <w:rPr>
                <w:sz w:val="20"/>
                <w:lang w:val="fr-CA"/>
              </w:rPr>
            </w:pPr>
            <w:r w:rsidRPr="001321A1">
              <w:rPr>
                <w:sz w:val="20"/>
                <w:lang w:val="fr-CA"/>
              </w:rPr>
              <w:t xml:space="preserve">Objections à la preuve maintenues; </w:t>
            </w:r>
            <w:r w:rsidRPr="001321A1">
              <w:rPr>
                <w:i/>
                <w:sz w:val="20"/>
                <w:lang w:val="fr-CA"/>
              </w:rPr>
              <w:t>subpoena duces tecum</w:t>
            </w:r>
            <w:r w:rsidRPr="001321A1">
              <w:rPr>
                <w:sz w:val="20"/>
                <w:lang w:val="fr-CA"/>
              </w:rPr>
              <w:t xml:space="preserve"> annulé</w:t>
            </w:r>
          </w:p>
          <w:p w:rsidR="00372476" w:rsidRPr="001321A1" w:rsidRDefault="00372476" w:rsidP="00D16260">
            <w:pPr>
              <w:jc w:val="both"/>
              <w:rPr>
                <w:sz w:val="20"/>
                <w:lang w:val="fr-CA"/>
              </w:rPr>
            </w:pPr>
          </w:p>
        </w:tc>
      </w:tr>
      <w:tr w:rsidR="00372476" w:rsidRPr="001321A1" w:rsidTr="00D16260">
        <w:tc>
          <w:tcPr>
            <w:tcW w:w="2427" w:type="pct"/>
          </w:tcPr>
          <w:p w:rsidR="00372476" w:rsidRPr="001321A1" w:rsidRDefault="00372476" w:rsidP="00D16260">
            <w:pPr>
              <w:jc w:val="both"/>
              <w:rPr>
                <w:sz w:val="20"/>
                <w:lang w:val="fr-CA"/>
              </w:rPr>
            </w:pPr>
            <w:r w:rsidRPr="001321A1">
              <w:rPr>
                <w:sz w:val="20"/>
                <w:lang w:val="fr-CA"/>
              </w:rPr>
              <w:t>Le 31 janvier 2014</w:t>
            </w:r>
          </w:p>
          <w:p w:rsidR="00372476" w:rsidRPr="001321A1" w:rsidRDefault="00372476" w:rsidP="00D16260">
            <w:pPr>
              <w:jc w:val="both"/>
              <w:rPr>
                <w:sz w:val="20"/>
                <w:lang w:val="fr-CA"/>
              </w:rPr>
            </w:pPr>
            <w:r w:rsidRPr="001321A1">
              <w:rPr>
                <w:sz w:val="20"/>
                <w:lang w:val="fr-CA"/>
              </w:rPr>
              <w:t>Cour supérieure du Québec</w:t>
            </w:r>
          </w:p>
          <w:p w:rsidR="00372476" w:rsidRPr="001321A1" w:rsidRDefault="00372476" w:rsidP="00D16260">
            <w:pPr>
              <w:jc w:val="both"/>
              <w:rPr>
                <w:sz w:val="20"/>
              </w:rPr>
            </w:pPr>
            <w:r w:rsidRPr="001321A1">
              <w:rPr>
                <w:sz w:val="20"/>
              </w:rPr>
              <w:t>(Le juge Buffoni)</w:t>
            </w:r>
          </w:p>
          <w:p w:rsidR="00372476" w:rsidRPr="001321A1" w:rsidRDefault="00372476" w:rsidP="00D16260">
            <w:pPr>
              <w:jc w:val="both"/>
              <w:rPr>
                <w:sz w:val="20"/>
              </w:rPr>
            </w:pPr>
            <w:r w:rsidRPr="001321A1">
              <w:rPr>
                <w:sz w:val="20"/>
              </w:rPr>
              <w:t>500-17-078622-134</w:t>
            </w:r>
          </w:p>
          <w:p w:rsidR="00372476" w:rsidRPr="001321A1" w:rsidRDefault="00372476" w:rsidP="00D16260">
            <w:pPr>
              <w:jc w:val="both"/>
              <w:rPr>
                <w:sz w:val="20"/>
              </w:rPr>
            </w:pPr>
          </w:p>
        </w:tc>
        <w:tc>
          <w:tcPr>
            <w:tcW w:w="243" w:type="pct"/>
          </w:tcPr>
          <w:p w:rsidR="00372476" w:rsidRPr="001321A1" w:rsidRDefault="00372476" w:rsidP="00D16260">
            <w:pPr>
              <w:rPr>
                <w:sz w:val="20"/>
              </w:rPr>
            </w:pPr>
          </w:p>
        </w:tc>
        <w:tc>
          <w:tcPr>
            <w:tcW w:w="2330" w:type="pct"/>
          </w:tcPr>
          <w:p w:rsidR="00372476" w:rsidRPr="001321A1" w:rsidRDefault="00372476" w:rsidP="00D16260">
            <w:pPr>
              <w:jc w:val="both"/>
              <w:rPr>
                <w:sz w:val="20"/>
              </w:rPr>
            </w:pPr>
            <w:r w:rsidRPr="001321A1">
              <w:rPr>
                <w:sz w:val="20"/>
              </w:rPr>
              <w:t>Demande d’assignation de témoins refusée</w:t>
            </w:r>
          </w:p>
          <w:p w:rsidR="00372476" w:rsidRPr="001321A1" w:rsidRDefault="00372476" w:rsidP="00D16260">
            <w:pPr>
              <w:jc w:val="both"/>
              <w:rPr>
                <w:sz w:val="20"/>
              </w:rPr>
            </w:pPr>
          </w:p>
        </w:tc>
      </w:tr>
      <w:tr w:rsidR="00372476" w:rsidRPr="001321A1" w:rsidTr="00D16260">
        <w:tc>
          <w:tcPr>
            <w:tcW w:w="2427" w:type="pct"/>
          </w:tcPr>
          <w:p w:rsidR="00372476" w:rsidRPr="001321A1" w:rsidRDefault="00372476" w:rsidP="00D16260">
            <w:pPr>
              <w:jc w:val="both"/>
              <w:rPr>
                <w:sz w:val="20"/>
                <w:lang w:val="fr-CA"/>
              </w:rPr>
            </w:pPr>
            <w:r w:rsidRPr="001321A1">
              <w:rPr>
                <w:sz w:val="20"/>
                <w:lang w:val="fr-CA"/>
              </w:rPr>
              <w:t>Le 17 février 2014</w:t>
            </w:r>
          </w:p>
          <w:p w:rsidR="00372476" w:rsidRPr="001321A1" w:rsidRDefault="00372476" w:rsidP="00D16260">
            <w:pPr>
              <w:jc w:val="both"/>
              <w:rPr>
                <w:sz w:val="20"/>
                <w:lang w:val="fr-CA"/>
              </w:rPr>
            </w:pPr>
            <w:r w:rsidRPr="001321A1">
              <w:rPr>
                <w:sz w:val="20"/>
                <w:lang w:val="fr-CA"/>
              </w:rPr>
              <w:t>Cour d’appel du Québec (Montréal)</w:t>
            </w:r>
          </w:p>
          <w:p w:rsidR="00372476" w:rsidRPr="001321A1" w:rsidRDefault="00372476" w:rsidP="00D16260">
            <w:pPr>
              <w:jc w:val="both"/>
              <w:rPr>
                <w:sz w:val="20"/>
              </w:rPr>
            </w:pPr>
            <w:r w:rsidRPr="001321A1">
              <w:rPr>
                <w:sz w:val="20"/>
              </w:rPr>
              <w:t>(La juge Savard)</w:t>
            </w:r>
          </w:p>
          <w:p w:rsidR="00372476" w:rsidRPr="001321A1" w:rsidRDefault="00372476" w:rsidP="00D16260">
            <w:pPr>
              <w:jc w:val="both"/>
              <w:rPr>
                <w:sz w:val="20"/>
              </w:rPr>
            </w:pPr>
            <w:r w:rsidRPr="001321A1">
              <w:rPr>
                <w:sz w:val="20"/>
              </w:rPr>
              <w:t xml:space="preserve">500-09-024202-145; </w:t>
            </w:r>
            <w:hyperlink r:id="rId56" w:history="1">
              <w:r w:rsidRPr="001321A1">
                <w:rPr>
                  <w:rStyle w:val="Hyperlink"/>
                  <w:sz w:val="20"/>
                </w:rPr>
                <w:t>2014 QCCA 282</w:t>
              </w:r>
            </w:hyperlink>
          </w:p>
          <w:p w:rsidR="00372476" w:rsidRPr="001321A1" w:rsidRDefault="00372476" w:rsidP="00D16260">
            <w:pPr>
              <w:jc w:val="both"/>
              <w:rPr>
                <w:sz w:val="20"/>
              </w:rPr>
            </w:pPr>
          </w:p>
        </w:tc>
        <w:tc>
          <w:tcPr>
            <w:tcW w:w="243" w:type="pct"/>
          </w:tcPr>
          <w:p w:rsidR="00372476" w:rsidRPr="001321A1" w:rsidRDefault="00372476" w:rsidP="00D16260">
            <w:pPr>
              <w:rPr>
                <w:sz w:val="20"/>
              </w:rPr>
            </w:pPr>
          </w:p>
        </w:tc>
        <w:tc>
          <w:tcPr>
            <w:tcW w:w="2330" w:type="pct"/>
          </w:tcPr>
          <w:p w:rsidR="00372476" w:rsidRPr="001321A1" w:rsidRDefault="00372476" w:rsidP="00D16260">
            <w:pPr>
              <w:jc w:val="both"/>
              <w:rPr>
                <w:sz w:val="20"/>
              </w:rPr>
            </w:pPr>
            <w:r w:rsidRPr="001321A1">
              <w:rPr>
                <w:sz w:val="20"/>
              </w:rPr>
              <w:t>Requête pour permission d’appeler rejetée</w:t>
            </w:r>
          </w:p>
          <w:p w:rsidR="00372476" w:rsidRPr="001321A1" w:rsidRDefault="00372476" w:rsidP="00D16260">
            <w:pPr>
              <w:jc w:val="both"/>
              <w:rPr>
                <w:sz w:val="20"/>
              </w:rPr>
            </w:pPr>
          </w:p>
        </w:tc>
      </w:tr>
      <w:tr w:rsidR="00372476" w:rsidRPr="00BF31AA" w:rsidTr="00D16260">
        <w:tc>
          <w:tcPr>
            <w:tcW w:w="2427" w:type="pct"/>
          </w:tcPr>
          <w:p w:rsidR="00372476" w:rsidRPr="001321A1" w:rsidRDefault="00372476" w:rsidP="00D16260">
            <w:pPr>
              <w:jc w:val="both"/>
              <w:rPr>
                <w:sz w:val="20"/>
                <w:lang w:val="fr-CA"/>
              </w:rPr>
            </w:pPr>
            <w:r w:rsidRPr="001321A1">
              <w:rPr>
                <w:sz w:val="20"/>
                <w:lang w:val="fr-CA"/>
              </w:rPr>
              <w:t>Le 25 février 2014</w:t>
            </w:r>
          </w:p>
          <w:p w:rsidR="00372476" w:rsidRPr="001321A1" w:rsidRDefault="00372476" w:rsidP="00D16260">
            <w:pPr>
              <w:jc w:val="both"/>
              <w:rPr>
                <w:sz w:val="20"/>
                <w:lang w:val="fr-CA"/>
              </w:rPr>
            </w:pPr>
            <w:r w:rsidRPr="001321A1">
              <w:rPr>
                <w:sz w:val="20"/>
                <w:lang w:val="fr-CA"/>
              </w:rPr>
              <w:t>Cour suprême du Canada</w:t>
            </w:r>
          </w:p>
        </w:tc>
        <w:tc>
          <w:tcPr>
            <w:tcW w:w="243" w:type="pct"/>
          </w:tcPr>
          <w:p w:rsidR="00372476" w:rsidRPr="001321A1" w:rsidRDefault="00372476" w:rsidP="00D16260">
            <w:pPr>
              <w:rPr>
                <w:sz w:val="20"/>
                <w:lang w:val="fr-CA"/>
              </w:rPr>
            </w:pPr>
          </w:p>
        </w:tc>
        <w:tc>
          <w:tcPr>
            <w:tcW w:w="2330" w:type="pct"/>
          </w:tcPr>
          <w:p w:rsidR="00372476" w:rsidRPr="001321A1" w:rsidRDefault="00372476" w:rsidP="00D16260">
            <w:pPr>
              <w:jc w:val="both"/>
              <w:rPr>
                <w:sz w:val="20"/>
                <w:lang w:val="fr-CA"/>
              </w:rPr>
            </w:pPr>
            <w:r w:rsidRPr="001321A1">
              <w:rPr>
                <w:sz w:val="20"/>
                <w:lang w:val="fr-CA"/>
              </w:rPr>
              <w:t>Demande d'autorisation d'appel et requête pour accélérer le traitement de la demande d’autorisation d’appel déposées</w:t>
            </w:r>
          </w:p>
        </w:tc>
      </w:tr>
    </w:tbl>
    <w:p w:rsidR="00243043" w:rsidRPr="00372476" w:rsidRDefault="00243043" w:rsidP="00243043">
      <w:pPr>
        <w:rPr>
          <w:sz w:val="20"/>
          <w:szCs w:val="20"/>
          <w:lang w:val="fr-CA"/>
        </w:rPr>
      </w:pPr>
    </w:p>
    <w:p w:rsidR="00243043" w:rsidRDefault="00BF31AA" w:rsidP="00243043">
      <w:pPr>
        <w:rPr>
          <w:sz w:val="20"/>
          <w:szCs w:val="20"/>
        </w:rPr>
      </w:pPr>
      <w:r>
        <w:rPr>
          <w:sz w:val="20"/>
          <w:szCs w:val="20"/>
          <w:lang w:val="fr-CA"/>
        </w:rPr>
        <w:pict>
          <v:rect id="_x0000_i1051" style="width:2in;height:1pt" o:hrpct="0" o:hralign="center" o:hrstd="t" o:hrnoshade="t" o:hr="t" fillcolor="black [3213]" stroked="f"/>
        </w:pict>
      </w:r>
    </w:p>
    <w:p w:rsidR="00243043" w:rsidRDefault="00243043" w:rsidP="00243043">
      <w:pPr>
        <w:rPr>
          <w:sz w:val="20"/>
          <w:szCs w:val="20"/>
        </w:rPr>
      </w:pPr>
    </w:p>
    <w:p w:rsidR="00243043" w:rsidRDefault="00243043" w:rsidP="000E295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01.04.2014</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Before / Devant :   KARAKATSANIS J. / LA JUGE KARAKATSANIS</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C49CB" w:rsidRPr="00FC49CB" w:rsidTr="00D16260">
        <w:trPr>
          <w:trHeight w:val="151"/>
        </w:trPr>
        <w:tc>
          <w:tcPr>
            <w:tcW w:w="4338" w:type="dxa"/>
          </w:tcPr>
          <w:p w:rsidR="00FC49CB" w:rsidRPr="00FC49CB" w:rsidRDefault="00B55D94" w:rsidP="00FC49CB">
            <w:pPr>
              <w:tabs>
                <w:tab w:val="left" w:pos="-1440"/>
                <w:tab w:val="left" w:pos="-720"/>
              </w:tabs>
              <w:jc w:val="both"/>
              <w:rPr>
                <w:lang w:val="fr-CA"/>
              </w:rPr>
            </w:pPr>
            <w:r w:rsidRPr="00FC49CB">
              <w:rPr>
                <w:lang w:val="en-US"/>
              </w:rPr>
              <w:fldChar w:fldCharType="begin"/>
            </w:r>
            <w:r w:rsidR="00FC49CB" w:rsidRPr="00FC49CB">
              <w:rPr>
                <w:lang w:val="fr-CA"/>
              </w:rPr>
              <w:instrText xml:space="preserve"> SEQ CHAPTER \h \r 1</w:instrText>
            </w:r>
            <w:r w:rsidRPr="00FC49CB">
              <w:rPr>
                <w:lang w:val="en-US"/>
              </w:rPr>
              <w:fldChar w:fldCharType="end"/>
            </w:r>
            <w:r w:rsidR="00FC49CB" w:rsidRPr="00FC49CB">
              <w:rPr>
                <w:b/>
                <w:bCs/>
                <w:lang w:val="fr-CA"/>
              </w:rPr>
              <w:t>Order</w:t>
            </w:r>
          </w:p>
          <w:p w:rsidR="00FC49CB" w:rsidRPr="00FC49CB" w:rsidRDefault="00B55D94" w:rsidP="00FC49CB">
            <w:pPr>
              <w:tabs>
                <w:tab w:val="left" w:pos="-1440"/>
                <w:tab w:val="left" w:pos="-720"/>
              </w:tabs>
              <w:jc w:val="both"/>
              <w:rPr>
                <w:lang w:val="fr-CA"/>
              </w:rPr>
            </w:pPr>
            <w:r w:rsidRPr="00FC49CB">
              <w:rPr>
                <w:lang w:val="en-US"/>
              </w:rPr>
              <w:fldChar w:fldCharType="begin"/>
            </w:r>
            <w:r w:rsidR="00FC49CB" w:rsidRPr="00FC49CB">
              <w:rPr>
                <w:lang w:val="fr-CA"/>
              </w:rPr>
              <w:instrText xml:space="preserve"> SEQ CHAPTER \h \r 1</w:instrText>
            </w:r>
            <w:r w:rsidRPr="00FC49CB">
              <w:rPr>
                <w:lang w:val="en-US"/>
              </w:rPr>
              <w:fldChar w:fldCharType="end"/>
            </w:r>
          </w:p>
        </w:tc>
        <w:tc>
          <w:tcPr>
            <w:tcW w:w="1170" w:type="dxa"/>
          </w:tcPr>
          <w:p w:rsidR="00FC49CB" w:rsidRPr="00FC49CB" w:rsidRDefault="00FC49CB" w:rsidP="00FC49CB">
            <w:pPr>
              <w:jc w:val="both"/>
              <w:rPr>
                <w:lang w:val="fr-CA"/>
              </w:rPr>
            </w:pPr>
          </w:p>
          <w:p w:rsidR="00FC49CB" w:rsidRPr="00FC49CB" w:rsidRDefault="00FC49CB" w:rsidP="00FC49CB">
            <w:pPr>
              <w:jc w:val="both"/>
              <w:rPr>
                <w:lang w:val="fr-CA"/>
              </w:rPr>
            </w:pPr>
          </w:p>
        </w:tc>
        <w:tc>
          <w:tcPr>
            <w:tcW w:w="4327" w:type="dxa"/>
          </w:tcPr>
          <w:p w:rsidR="00FC49CB" w:rsidRPr="00FC49CB" w:rsidRDefault="00B55D94" w:rsidP="00FC49CB">
            <w:pPr>
              <w:jc w:val="both"/>
              <w:rPr>
                <w:b/>
                <w:lang w:val="fr-CA"/>
              </w:rPr>
            </w:pPr>
            <w:r w:rsidRPr="00FC49CB">
              <w:rPr>
                <w:szCs w:val="24"/>
                <w:lang w:val="en-US"/>
              </w:rPr>
              <w:fldChar w:fldCharType="begin"/>
            </w:r>
            <w:r w:rsidR="00FC49CB" w:rsidRPr="00FC49CB">
              <w:rPr>
                <w:szCs w:val="24"/>
                <w:lang w:val="fr-CA"/>
              </w:rPr>
              <w:instrText xml:space="preserve"> SEQ CHAPTER \h \r 1</w:instrText>
            </w:r>
            <w:r w:rsidRPr="00FC49CB">
              <w:rPr>
                <w:szCs w:val="24"/>
                <w:lang w:val="en-US"/>
              </w:rPr>
              <w:fldChar w:fldCharType="end"/>
            </w:r>
            <w:r w:rsidR="00FC49CB" w:rsidRPr="00FC49CB">
              <w:rPr>
                <w:b/>
                <w:bCs/>
                <w:lang w:val="fr-CA"/>
              </w:rPr>
              <w:t>Ordonnance</w:t>
            </w:r>
          </w:p>
          <w:p w:rsidR="00FC49CB" w:rsidRPr="00FC49CB" w:rsidRDefault="00B55D94" w:rsidP="00FC49CB">
            <w:pPr>
              <w:jc w:val="both"/>
              <w:rPr>
                <w:b/>
                <w:lang w:val="fr-CA"/>
              </w:rPr>
            </w:pPr>
            <w:r w:rsidRPr="00FC49CB">
              <w:rPr>
                <w:b/>
                <w:lang w:val="en-US"/>
              </w:rPr>
              <w:fldChar w:fldCharType="begin"/>
            </w:r>
            <w:r w:rsidR="00FC49CB" w:rsidRPr="00FC49CB">
              <w:rPr>
                <w:b/>
                <w:lang w:val="fr-CA"/>
              </w:rPr>
              <w:instrText xml:space="preserve"> SEQ CHAPTER \h \r 1</w:instrText>
            </w:r>
            <w:r w:rsidRPr="00FC49CB">
              <w:rPr>
                <w:b/>
                <w:lang w:val="en-US"/>
              </w:rPr>
              <w:fldChar w:fldCharType="end"/>
            </w:r>
            <w:r w:rsidRPr="00FC49CB">
              <w:rPr>
                <w:b/>
                <w:lang w:val="en-US"/>
              </w:rPr>
              <w:fldChar w:fldCharType="begin"/>
            </w:r>
            <w:r w:rsidR="00FC49CB" w:rsidRPr="00FC49CB">
              <w:rPr>
                <w:b/>
                <w:lang w:val="fr-CA"/>
              </w:rPr>
              <w:instrText xml:space="preserve"> SEQ CHAPTER \h \r 1</w:instrText>
            </w:r>
            <w:r w:rsidRPr="00FC49CB">
              <w:rPr>
                <w:b/>
                <w:lang w:val="en-US"/>
              </w:rPr>
              <w:fldChar w:fldCharType="end"/>
            </w:r>
          </w:p>
        </w:tc>
      </w:tr>
      <w:tr w:rsidR="00FC49CB" w:rsidRPr="00FC49CB" w:rsidTr="00D16260">
        <w:trPr>
          <w:trHeight w:val="150"/>
        </w:trPr>
        <w:tc>
          <w:tcPr>
            <w:tcW w:w="4338" w:type="dxa"/>
          </w:tcPr>
          <w:p w:rsidR="00FC49CB" w:rsidRPr="00FC49CB" w:rsidRDefault="00FC49CB" w:rsidP="00FC49CB">
            <w:pPr>
              <w:tabs>
                <w:tab w:val="left" w:pos="-1440"/>
                <w:tab w:val="left" w:pos="-720"/>
              </w:tabs>
              <w:jc w:val="both"/>
            </w:pPr>
            <w:r w:rsidRPr="00FC49CB">
              <w:t>Larry Peter Klippenstein</w:t>
            </w:r>
          </w:p>
          <w:p w:rsidR="00FC49CB" w:rsidRPr="00FC49CB" w:rsidRDefault="00FC49CB" w:rsidP="00FC49CB">
            <w:pPr>
              <w:tabs>
                <w:tab w:val="left" w:pos="-1440"/>
                <w:tab w:val="left" w:pos="-720"/>
              </w:tabs>
              <w:jc w:val="both"/>
            </w:pPr>
          </w:p>
          <w:p w:rsidR="00FC49CB" w:rsidRPr="00FC49CB" w:rsidRDefault="00FC49CB" w:rsidP="00FC49CB">
            <w:pPr>
              <w:tabs>
                <w:tab w:val="left" w:pos="-1440"/>
                <w:tab w:val="left" w:pos="-720"/>
              </w:tabs>
              <w:jc w:val="both"/>
            </w:pPr>
            <w:r w:rsidRPr="00FC49CB">
              <w:tab/>
              <w:t>v. (35588)</w:t>
            </w:r>
          </w:p>
          <w:p w:rsidR="00FC49CB" w:rsidRPr="00FC49CB" w:rsidRDefault="00FC49CB" w:rsidP="00FC49CB">
            <w:pPr>
              <w:tabs>
                <w:tab w:val="left" w:pos="-1440"/>
                <w:tab w:val="left" w:pos="-720"/>
              </w:tabs>
              <w:jc w:val="both"/>
            </w:pPr>
          </w:p>
          <w:p w:rsidR="00FC49CB" w:rsidRPr="00FC49CB" w:rsidRDefault="00FC49CB" w:rsidP="00FC49CB">
            <w:pPr>
              <w:tabs>
                <w:tab w:val="left" w:pos="-1440"/>
                <w:tab w:val="left" w:pos="-720"/>
              </w:tabs>
              <w:jc w:val="both"/>
            </w:pPr>
            <w:r w:rsidRPr="00FC49CB">
              <w:t>Manitoba Human Rights Commission (Man.)</w:t>
            </w:r>
          </w:p>
        </w:tc>
        <w:tc>
          <w:tcPr>
            <w:tcW w:w="1170" w:type="dxa"/>
          </w:tcPr>
          <w:p w:rsidR="00FC49CB" w:rsidRPr="00FC49CB" w:rsidRDefault="00FC49CB" w:rsidP="00FC49CB">
            <w:pPr>
              <w:jc w:val="both"/>
            </w:pPr>
          </w:p>
        </w:tc>
        <w:tc>
          <w:tcPr>
            <w:tcW w:w="4327" w:type="dxa"/>
          </w:tcPr>
          <w:p w:rsidR="00FC49CB" w:rsidRPr="00FC49CB" w:rsidRDefault="00FC49CB" w:rsidP="00FC49CB">
            <w:pPr>
              <w:jc w:val="both"/>
            </w:pPr>
          </w:p>
        </w:tc>
      </w:tr>
    </w:tbl>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contextualSpacing/>
        <w:jc w:val="both"/>
        <w:rPr>
          <w:bCs/>
          <w:kern w:val="36"/>
          <w:sz w:val="20"/>
          <w:szCs w:val="20"/>
        </w:rPr>
      </w:pPr>
      <w:r w:rsidRPr="00FC49CB">
        <w:rPr>
          <w:b/>
          <w:bCs/>
          <w:kern w:val="36"/>
          <w:sz w:val="20"/>
          <w:szCs w:val="20"/>
        </w:rPr>
        <w:t xml:space="preserve">WHEREAS </w:t>
      </w:r>
      <w:r w:rsidRPr="00FC49CB">
        <w:rPr>
          <w:bCs/>
          <w:kern w:val="36"/>
          <w:sz w:val="20"/>
          <w:szCs w:val="20"/>
        </w:rPr>
        <w:t xml:space="preserve">the Registrar has applied for an order under Rule 66 of the </w:t>
      </w:r>
      <w:r w:rsidRPr="00FC49CB">
        <w:rPr>
          <w:bCs/>
          <w:i/>
          <w:kern w:val="36"/>
          <w:sz w:val="20"/>
          <w:szCs w:val="20"/>
        </w:rPr>
        <w:t>Rules of the Supreme Court of Canada</w:t>
      </w:r>
      <w:r w:rsidRPr="00FC49CB">
        <w:rPr>
          <w:bCs/>
          <w:kern w:val="36"/>
          <w:sz w:val="20"/>
          <w:szCs w:val="20"/>
        </w:rPr>
        <w:t xml:space="preserve"> (the </w:t>
      </w:r>
      <w:r w:rsidRPr="00FC49CB">
        <w:rPr>
          <w:bCs/>
          <w:i/>
          <w:kern w:val="36"/>
          <w:sz w:val="20"/>
          <w:szCs w:val="20"/>
        </w:rPr>
        <w:t>Rules</w:t>
      </w:r>
      <w:r w:rsidRPr="00FC49CB">
        <w:rPr>
          <w:bCs/>
          <w:kern w:val="36"/>
          <w:sz w:val="20"/>
          <w:szCs w:val="20"/>
        </w:rPr>
        <w:t xml:space="preserve">); Sub-Rule 66(2) of the </w:t>
      </w:r>
      <w:r w:rsidRPr="00FC49CB">
        <w:rPr>
          <w:bCs/>
          <w:i/>
          <w:kern w:val="36"/>
          <w:sz w:val="20"/>
          <w:szCs w:val="20"/>
        </w:rPr>
        <w:t xml:space="preserve">Rules </w:t>
      </w:r>
      <w:r w:rsidRPr="00FC49CB">
        <w:rPr>
          <w:bCs/>
          <w:kern w:val="36"/>
          <w:sz w:val="20"/>
          <w:szCs w:val="20"/>
        </w:rPr>
        <w:t>provides that “</w:t>
      </w:r>
      <w:r w:rsidRPr="00FC49CB">
        <w:rPr>
          <w:sz w:val="20"/>
          <w:szCs w:val="20"/>
        </w:rPr>
        <w:t>A judge may, on motion or at the request of the Registrar under Rule 67, order that no further documents be filed by any party relating to a proceeding if the judge is satisfied that the filing of further documents by a party would be vexatious or made for an improper purpose”;</w:t>
      </w:r>
    </w:p>
    <w:p w:rsidR="00FC49CB" w:rsidRPr="00FC49CB" w:rsidRDefault="00FC49CB" w:rsidP="00FC49CB">
      <w:pPr>
        <w:contextualSpacing/>
        <w:jc w:val="both"/>
        <w:rPr>
          <w:bCs/>
          <w:kern w:val="36"/>
          <w:sz w:val="20"/>
          <w:szCs w:val="20"/>
        </w:rPr>
      </w:pPr>
    </w:p>
    <w:p w:rsidR="00FC49CB" w:rsidRPr="00FC49CB" w:rsidRDefault="00FC49CB" w:rsidP="00FC49CB">
      <w:pPr>
        <w:contextualSpacing/>
        <w:jc w:val="both"/>
        <w:rPr>
          <w:bCs/>
          <w:kern w:val="36"/>
          <w:sz w:val="20"/>
          <w:szCs w:val="20"/>
        </w:rPr>
      </w:pPr>
      <w:r w:rsidRPr="00FC49CB">
        <w:rPr>
          <w:b/>
          <w:bCs/>
          <w:kern w:val="36"/>
          <w:sz w:val="20"/>
          <w:szCs w:val="20"/>
        </w:rPr>
        <w:t>AND WHEREAS</w:t>
      </w:r>
      <w:r w:rsidRPr="00FC49CB">
        <w:rPr>
          <w:bCs/>
          <w:kern w:val="36"/>
          <w:sz w:val="20"/>
          <w:szCs w:val="20"/>
        </w:rPr>
        <w:t xml:space="preserve"> a notice under Rule 67 of the Rules has been served on the parties;</w:t>
      </w:r>
    </w:p>
    <w:p w:rsidR="00FC49CB" w:rsidRPr="00FC49CB" w:rsidRDefault="00FC49CB" w:rsidP="00FC49CB">
      <w:pPr>
        <w:contextualSpacing/>
        <w:jc w:val="both"/>
        <w:rPr>
          <w:bCs/>
          <w:kern w:val="36"/>
          <w:sz w:val="20"/>
          <w:szCs w:val="20"/>
        </w:rPr>
      </w:pPr>
    </w:p>
    <w:p w:rsidR="00FC49CB" w:rsidRPr="00FC49CB" w:rsidRDefault="00FC49CB" w:rsidP="00FC49CB">
      <w:pPr>
        <w:contextualSpacing/>
        <w:jc w:val="both"/>
        <w:rPr>
          <w:b/>
          <w:bCs/>
          <w:kern w:val="36"/>
          <w:sz w:val="20"/>
          <w:szCs w:val="20"/>
          <w:u w:val="single"/>
        </w:rPr>
      </w:pPr>
      <w:r w:rsidRPr="00FC49CB">
        <w:rPr>
          <w:sz w:val="20"/>
          <w:szCs w:val="20"/>
        </w:rPr>
        <w:t xml:space="preserve">Mr. Klippenstein’s application for leave to appeal in this matter was denied on January 23, 2014.  </w:t>
      </w:r>
      <w:r w:rsidRPr="00FC49CB">
        <w:rPr>
          <w:bCs/>
          <w:kern w:val="36"/>
          <w:sz w:val="20"/>
          <w:szCs w:val="20"/>
        </w:rPr>
        <w:t>Mr. Klippenstein applied for reconsideration</w:t>
      </w:r>
      <w:r w:rsidRPr="00FC49CB">
        <w:rPr>
          <w:sz w:val="20"/>
          <w:szCs w:val="20"/>
        </w:rPr>
        <w:t xml:space="preserve"> </w:t>
      </w:r>
      <w:r w:rsidRPr="00FC49CB">
        <w:rPr>
          <w:bCs/>
          <w:kern w:val="36"/>
          <w:sz w:val="20"/>
          <w:szCs w:val="20"/>
        </w:rPr>
        <w:t xml:space="preserve">pursuant to Rule 73 of the </w:t>
      </w:r>
      <w:r w:rsidRPr="00FC49CB">
        <w:rPr>
          <w:bCs/>
          <w:i/>
          <w:kern w:val="36"/>
          <w:sz w:val="20"/>
          <w:szCs w:val="20"/>
        </w:rPr>
        <w:t>Rules</w:t>
      </w:r>
      <w:r w:rsidRPr="00FC49CB">
        <w:rPr>
          <w:bCs/>
          <w:kern w:val="36"/>
          <w:sz w:val="20"/>
          <w:szCs w:val="20"/>
        </w:rPr>
        <w:t xml:space="preserve">.  I have reviewed the motion for reconsideration.  I am satisfied that, as the Registrar determined, there are no exceedingly rare circumstances in this case which warrant reconsideration by the Court.  I am also satisfied that Mr. Klippenstein has no further avenue for recourse under the </w:t>
      </w:r>
      <w:r w:rsidRPr="00FC49CB">
        <w:rPr>
          <w:bCs/>
          <w:i/>
          <w:kern w:val="36"/>
          <w:sz w:val="20"/>
          <w:szCs w:val="20"/>
        </w:rPr>
        <w:t>Supreme Court Act</w:t>
      </w:r>
      <w:r w:rsidRPr="00FC49CB">
        <w:rPr>
          <w:bCs/>
          <w:kern w:val="36"/>
          <w:sz w:val="20"/>
          <w:szCs w:val="20"/>
        </w:rPr>
        <w:t xml:space="preserve"> or the </w:t>
      </w:r>
      <w:r w:rsidRPr="00FC49CB">
        <w:rPr>
          <w:bCs/>
          <w:i/>
          <w:kern w:val="36"/>
          <w:sz w:val="20"/>
          <w:szCs w:val="20"/>
        </w:rPr>
        <w:t xml:space="preserve">Rules </w:t>
      </w:r>
      <w:r w:rsidRPr="00FC49CB">
        <w:rPr>
          <w:bCs/>
          <w:kern w:val="36"/>
          <w:sz w:val="20"/>
          <w:szCs w:val="20"/>
        </w:rPr>
        <w:t>and that the filing of further documents in this matter would be vexatious and would serve no purpose.</w:t>
      </w:r>
    </w:p>
    <w:p w:rsidR="00FC49CB" w:rsidRPr="00FC49CB" w:rsidRDefault="00FC49CB" w:rsidP="00FC49CB">
      <w:pPr>
        <w:contextualSpacing/>
        <w:jc w:val="both"/>
        <w:rPr>
          <w:b/>
          <w:bCs/>
          <w:kern w:val="36"/>
          <w:sz w:val="20"/>
          <w:szCs w:val="20"/>
          <w:u w:val="single"/>
        </w:rPr>
      </w:pPr>
    </w:p>
    <w:p w:rsidR="00FC49CB" w:rsidRPr="00FC49CB" w:rsidRDefault="00FC49CB" w:rsidP="00FC49CB">
      <w:pPr>
        <w:contextualSpacing/>
        <w:jc w:val="both"/>
        <w:rPr>
          <w:b/>
          <w:bCs/>
          <w:kern w:val="36"/>
          <w:sz w:val="20"/>
          <w:szCs w:val="20"/>
          <w:u w:val="single"/>
        </w:rPr>
      </w:pPr>
      <w:r w:rsidRPr="00FC49CB">
        <w:rPr>
          <w:bCs/>
          <w:kern w:val="36"/>
          <w:sz w:val="20"/>
          <w:szCs w:val="20"/>
        </w:rPr>
        <w:t>The Registrar has fulfilled the requirements under Rule 67 and has requested that I make an order under sub-Rule 66(2) in this matter.  Having reviewed this file, including the material filed by Mr. Klippenstein, I am satisfied that no further documents should be filed in this proceeding.</w:t>
      </w:r>
    </w:p>
    <w:p w:rsidR="00FC49CB" w:rsidRPr="00FC49CB" w:rsidRDefault="00FC49CB" w:rsidP="00FC49CB">
      <w:pPr>
        <w:contextualSpacing/>
        <w:rPr>
          <w:bCs/>
          <w:kern w:val="36"/>
          <w:sz w:val="20"/>
          <w:szCs w:val="20"/>
        </w:rPr>
      </w:pPr>
    </w:p>
    <w:p w:rsidR="00FC49CB" w:rsidRPr="00FC49CB" w:rsidRDefault="00FC49CB" w:rsidP="00FC49CB">
      <w:pPr>
        <w:contextualSpacing/>
        <w:jc w:val="both"/>
        <w:rPr>
          <w:b/>
          <w:bCs/>
          <w:kern w:val="36"/>
          <w:sz w:val="20"/>
          <w:szCs w:val="20"/>
          <w:u w:val="single"/>
        </w:rPr>
      </w:pPr>
      <w:r w:rsidRPr="00FC49CB">
        <w:rPr>
          <w:b/>
          <w:bCs/>
          <w:kern w:val="36"/>
          <w:sz w:val="20"/>
          <w:szCs w:val="20"/>
        </w:rPr>
        <w:t>BY VIRTUE</w:t>
      </w:r>
      <w:r w:rsidRPr="00FC49CB">
        <w:rPr>
          <w:bCs/>
          <w:kern w:val="36"/>
          <w:sz w:val="20"/>
          <w:szCs w:val="20"/>
        </w:rPr>
        <w:t xml:space="preserve"> of the authority given to the Court pursuant to Rule 66 of the </w:t>
      </w:r>
      <w:r w:rsidRPr="00FC49CB">
        <w:rPr>
          <w:bCs/>
          <w:i/>
          <w:kern w:val="36"/>
          <w:sz w:val="20"/>
          <w:szCs w:val="20"/>
        </w:rPr>
        <w:t>Rules</w:t>
      </w:r>
      <w:r w:rsidRPr="00FC49CB">
        <w:rPr>
          <w:bCs/>
          <w:kern w:val="36"/>
          <w:sz w:val="20"/>
          <w:szCs w:val="20"/>
        </w:rPr>
        <w:t xml:space="preserve">; </w:t>
      </w:r>
    </w:p>
    <w:p w:rsidR="00FC49CB" w:rsidRPr="00FC49CB" w:rsidRDefault="00FC49CB" w:rsidP="00FC49CB">
      <w:pPr>
        <w:contextualSpacing/>
        <w:rPr>
          <w:b/>
          <w:bCs/>
          <w:kern w:val="36"/>
          <w:sz w:val="20"/>
          <w:szCs w:val="20"/>
          <w:u w:val="single"/>
        </w:rPr>
      </w:pPr>
    </w:p>
    <w:p w:rsidR="00FC49CB" w:rsidRPr="00FC49CB" w:rsidRDefault="00FC49CB" w:rsidP="00FC49CB">
      <w:pPr>
        <w:contextualSpacing/>
        <w:jc w:val="both"/>
        <w:rPr>
          <w:b/>
          <w:bCs/>
          <w:kern w:val="36"/>
          <w:sz w:val="20"/>
          <w:szCs w:val="20"/>
          <w:u w:val="single"/>
        </w:rPr>
      </w:pPr>
      <w:r w:rsidRPr="00FC49CB">
        <w:rPr>
          <w:b/>
          <w:bCs/>
          <w:kern w:val="36"/>
          <w:sz w:val="20"/>
          <w:szCs w:val="20"/>
        </w:rPr>
        <w:t xml:space="preserve">IT IS HEREBY ORDERED </w:t>
      </w:r>
      <w:r w:rsidRPr="00FC49CB">
        <w:rPr>
          <w:bCs/>
          <w:kern w:val="36"/>
          <w:sz w:val="20"/>
          <w:szCs w:val="20"/>
        </w:rPr>
        <w:t>that the applicant is prohibited from filing further documents in this proceeding.</w:t>
      </w:r>
    </w:p>
    <w:p w:rsidR="00FC49CB" w:rsidRPr="00FC49CB" w:rsidRDefault="00FC49CB" w:rsidP="00FC49CB">
      <w:pPr>
        <w:rPr>
          <w:rFonts w:eastAsia="Times New Roman" w:cs="Times New Roman"/>
          <w:sz w:val="20"/>
          <w:szCs w:val="20"/>
          <w:lang w:eastAsia="en-CA"/>
        </w:rPr>
      </w:pPr>
    </w:p>
    <w:p w:rsidR="00FC49CB" w:rsidRPr="00FC49CB" w:rsidRDefault="00FC49CB" w:rsidP="00FC49CB">
      <w:pPr>
        <w:rPr>
          <w:rFonts w:eastAsia="Times New Roman" w:cs="Times New Roman"/>
          <w:sz w:val="20"/>
          <w:szCs w:val="20"/>
          <w:lang w:eastAsia="en-CA"/>
        </w:rPr>
      </w:pPr>
    </w:p>
    <w:p w:rsidR="00FC49CB" w:rsidRPr="00FC49CB" w:rsidRDefault="00FC49CB" w:rsidP="00FC49CB">
      <w:pPr>
        <w:rPr>
          <w:rFonts w:eastAsia="Times New Roman" w:cs="Times New Roman"/>
          <w:sz w:val="20"/>
          <w:szCs w:val="20"/>
          <w:lang w:eastAsia="en-CA"/>
        </w:rPr>
      </w:pPr>
    </w:p>
    <w:p w:rsidR="00FC49CB" w:rsidRPr="00FC49CB" w:rsidRDefault="00FC49CB" w:rsidP="00FC49CB">
      <w:pPr>
        <w:contextualSpacing/>
        <w:jc w:val="both"/>
        <w:rPr>
          <w:bCs/>
          <w:kern w:val="36"/>
          <w:sz w:val="20"/>
          <w:szCs w:val="20"/>
          <w:lang w:val="fr-CA"/>
        </w:rPr>
      </w:pPr>
      <w:r w:rsidRPr="00FC49CB">
        <w:rPr>
          <w:b/>
          <w:bCs/>
          <w:kern w:val="36"/>
          <w:sz w:val="20"/>
          <w:szCs w:val="20"/>
          <w:lang w:val="fr-CA"/>
        </w:rPr>
        <w:t xml:space="preserve">ATTENDU </w:t>
      </w:r>
      <w:r w:rsidRPr="00FC49CB">
        <w:rPr>
          <w:bCs/>
          <w:kern w:val="36"/>
          <w:sz w:val="20"/>
          <w:szCs w:val="20"/>
          <w:lang w:val="fr-CA"/>
        </w:rPr>
        <w:t xml:space="preserve">que le registraire a demandé qu’une ordonnance soit rendue en vertu de l’art. 66 des </w:t>
      </w:r>
      <w:r w:rsidRPr="00FC49CB">
        <w:rPr>
          <w:bCs/>
          <w:i/>
          <w:kern w:val="36"/>
          <w:sz w:val="20"/>
          <w:szCs w:val="20"/>
          <w:lang w:val="fr-CA"/>
        </w:rPr>
        <w:t>Règles de la Cour suprême du Canada</w:t>
      </w:r>
      <w:r w:rsidRPr="00FC49CB">
        <w:rPr>
          <w:bCs/>
          <w:kern w:val="36"/>
          <w:sz w:val="20"/>
          <w:szCs w:val="20"/>
          <w:lang w:val="fr-CA"/>
        </w:rPr>
        <w:t xml:space="preserve"> (les </w:t>
      </w:r>
      <w:r w:rsidRPr="00FC49CB">
        <w:rPr>
          <w:bCs/>
          <w:i/>
          <w:kern w:val="36"/>
          <w:sz w:val="20"/>
          <w:szCs w:val="20"/>
          <w:lang w:val="fr-CA"/>
        </w:rPr>
        <w:t>Règles</w:t>
      </w:r>
      <w:r w:rsidRPr="00FC49CB">
        <w:rPr>
          <w:bCs/>
          <w:kern w:val="36"/>
          <w:sz w:val="20"/>
          <w:szCs w:val="20"/>
          <w:lang w:val="fr-CA"/>
        </w:rPr>
        <w:t xml:space="preserve">); que le par. 66(2) des </w:t>
      </w:r>
      <w:r w:rsidRPr="00FC49CB">
        <w:rPr>
          <w:bCs/>
          <w:i/>
          <w:kern w:val="36"/>
          <w:sz w:val="20"/>
          <w:szCs w:val="20"/>
          <w:lang w:val="fr-CA"/>
        </w:rPr>
        <w:t>Règles</w:t>
      </w:r>
      <w:r w:rsidRPr="00FC49CB">
        <w:rPr>
          <w:bCs/>
          <w:kern w:val="36"/>
          <w:sz w:val="20"/>
          <w:szCs w:val="20"/>
          <w:lang w:val="fr-CA"/>
        </w:rPr>
        <w:t xml:space="preserve"> dispose qu’un juge « peut aussi, sur requête ou sur présentation d’une demande du registraire en vertu de la règle 67, ordonner qu’aucun autre document ne soit déposé par une partie relativement à une procédure, s’il est convaincu que le dépôt d’autres documents par la partie serait vexatoire ou fait dans un but irrégulier</w:t>
      </w:r>
      <w:r w:rsidRPr="00FC49CB">
        <w:rPr>
          <w:sz w:val="20"/>
          <w:szCs w:val="20"/>
          <w:lang w:val="fr-CA"/>
        </w:rPr>
        <w:t> »;</w:t>
      </w:r>
    </w:p>
    <w:p w:rsidR="00FC49CB" w:rsidRPr="00FC49CB" w:rsidRDefault="00FC49CB" w:rsidP="00FC49CB">
      <w:pPr>
        <w:contextualSpacing/>
        <w:jc w:val="both"/>
        <w:rPr>
          <w:bCs/>
          <w:kern w:val="36"/>
          <w:sz w:val="20"/>
          <w:szCs w:val="20"/>
          <w:lang w:val="fr-CA"/>
        </w:rPr>
      </w:pPr>
    </w:p>
    <w:p w:rsidR="00FC49CB" w:rsidRPr="00FC49CB" w:rsidRDefault="00FC49CB" w:rsidP="00FC49CB">
      <w:pPr>
        <w:contextualSpacing/>
        <w:jc w:val="both"/>
        <w:rPr>
          <w:bCs/>
          <w:kern w:val="36"/>
          <w:sz w:val="20"/>
          <w:szCs w:val="20"/>
          <w:lang w:val="fr-CA"/>
        </w:rPr>
      </w:pPr>
      <w:r w:rsidRPr="00FC49CB">
        <w:rPr>
          <w:b/>
          <w:bCs/>
          <w:kern w:val="36"/>
          <w:sz w:val="20"/>
          <w:szCs w:val="20"/>
          <w:lang w:val="fr-CA"/>
        </w:rPr>
        <w:t>ET ATTENDU</w:t>
      </w:r>
      <w:r w:rsidRPr="00FC49CB">
        <w:rPr>
          <w:bCs/>
          <w:kern w:val="36"/>
          <w:sz w:val="20"/>
          <w:szCs w:val="20"/>
          <w:lang w:val="fr-CA"/>
        </w:rPr>
        <w:t xml:space="preserve"> qu’un préavis a été signifié aux parties conformément à l’art. 67 des </w:t>
      </w:r>
      <w:r w:rsidRPr="00FC49CB">
        <w:rPr>
          <w:bCs/>
          <w:i/>
          <w:kern w:val="36"/>
          <w:sz w:val="20"/>
          <w:szCs w:val="20"/>
          <w:lang w:val="fr-CA"/>
        </w:rPr>
        <w:t>Règles</w:t>
      </w:r>
      <w:r w:rsidRPr="00FC49CB">
        <w:rPr>
          <w:bCs/>
          <w:kern w:val="36"/>
          <w:sz w:val="20"/>
          <w:szCs w:val="20"/>
          <w:lang w:val="fr-CA"/>
        </w:rPr>
        <w:t>;</w:t>
      </w:r>
    </w:p>
    <w:p w:rsidR="00FC49CB" w:rsidRPr="00FC49CB" w:rsidRDefault="00FC49CB" w:rsidP="00FC49CB">
      <w:pPr>
        <w:contextualSpacing/>
        <w:jc w:val="both"/>
        <w:rPr>
          <w:bCs/>
          <w:kern w:val="36"/>
          <w:sz w:val="20"/>
          <w:szCs w:val="20"/>
          <w:lang w:val="fr-CA"/>
        </w:rPr>
      </w:pPr>
    </w:p>
    <w:p w:rsidR="00FC49CB" w:rsidRPr="00FC49CB" w:rsidRDefault="00FC49CB" w:rsidP="00FC49CB">
      <w:pPr>
        <w:contextualSpacing/>
        <w:jc w:val="both"/>
        <w:rPr>
          <w:b/>
          <w:bCs/>
          <w:kern w:val="36"/>
          <w:sz w:val="20"/>
          <w:szCs w:val="20"/>
          <w:u w:val="single"/>
          <w:lang w:val="fr-CA"/>
        </w:rPr>
      </w:pPr>
      <w:r w:rsidRPr="00FC49CB">
        <w:rPr>
          <w:sz w:val="20"/>
          <w:szCs w:val="20"/>
          <w:lang w:val="fr-CA"/>
        </w:rPr>
        <w:t>L’autorisation d’appeler demandée par M. Klippenstein en l’espèce a été refusée le 23 janvier 2014.  M. </w:t>
      </w:r>
      <w:r w:rsidRPr="00FC49CB">
        <w:rPr>
          <w:bCs/>
          <w:kern w:val="36"/>
          <w:sz w:val="20"/>
          <w:szCs w:val="20"/>
          <w:lang w:val="fr-CA"/>
        </w:rPr>
        <w:t xml:space="preserve">Klippenstein a présenté une requête en réexamen conformément à l’art. 73 des </w:t>
      </w:r>
      <w:r w:rsidRPr="00FC49CB">
        <w:rPr>
          <w:bCs/>
          <w:i/>
          <w:kern w:val="36"/>
          <w:sz w:val="20"/>
          <w:szCs w:val="20"/>
          <w:lang w:val="fr-CA"/>
        </w:rPr>
        <w:t>Règles</w:t>
      </w:r>
      <w:r w:rsidRPr="00FC49CB">
        <w:rPr>
          <w:bCs/>
          <w:kern w:val="36"/>
          <w:sz w:val="20"/>
          <w:szCs w:val="20"/>
          <w:lang w:val="fr-CA"/>
        </w:rPr>
        <w:t xml:space="preserve">.  J’ai pris connaissance de cette requête.  Je suis convaincue, à l’instar du registraire, qu’aucune circonstance extrêmement rare ne justifie un réexamen par la Cour en l’espèce.  Je suis également convaincue que M. Klippenstein a épuisé tous les recours prévus par la </w:t>
      </w:r>
      <w:r w:rsidRPr="00FC49CB">
        <w:rPr>
          <w:bCs/>
          <w:i/>
          <w:kern w:val="36"/>
          <w:sz w:val="20"/>
          <w:szCs w:val="20"/>
          <w:lang w:val="fr-CA"/>
        </w:rPr>
        <w:t>Loi sur la Cour suprême</w:t>
      </w:r>
      <w:r w:rsidRPr="00FC49CB">
        <w:rPr>
          <w:bCs/>
          <w:kern w:val="36"/>
          <w:sz w:val="20"/>
          <w:szCs w:val="20"/>
          <w:lang w:val="fr-CA"/>
        </w:rPr>
        <w:t xml:space="preserve"> et les </w:t>
      </w:r>
      <w:r w:rsidRPr="00FC49CB">
        <w:rPr>
          <w:bCs/>
          <w:i/>
          <w:kern w:val="36"/>
          <w:sz w:val="20"/>
          <w:szCs w:val="20"/>
          <w:lang w:val="fr-CA"/>
        </w:rPr>
        <w:t xml:space="preserve">Règles </w:t>
      </w:r>
      <w:r w:rsidRPr="00FC49CB">
        <w:rPr>
          <w:bCs/>
          <w:kern w:val="36"/>
          <w:sz w:val="20"/>
          <w:szCs w:val="20"/>
          <w:lang w:val="fr-CA"/>
        </w:rPr>
        <w:t>et que le dépôt d’autres documents serait vexatoire et inutile.</w:t>
      </w:r>
    </w:p>
    <w:p w:rsidR="00FC49CB" w:rsidRPr="00FC49CB" w:rsidRDefault="00FC49CB" w:rsidP="00FC49CB">
      <w:pPr>
        <w:contextualSpacing/>
        <w:jc w:val="both"/>
        <w:rPr>
          <w:b/>
          <w:bCs/>
          <w:kern w:val="36"/>
          <w:sz w:val="20"/>
          <w:szCs w:val="20"/>
          <w:u w:val="single"/>
          <w:lang w:val="fr-CA"/>
        </w:rPr>
      </w:pPr>
    </w:p>
    <w:p w:rsidR="00FC49CB" w:rsidRPr="00FC49CB" w:rsidRDefault="00FC49CB" w:rsidP="00FC49CB">
      <w:pPr>
        <w:contextualSpacing/>
        <w:jc w:val="both"/>
        <w:rPr>
          <w:b/>
          <w:bCs/>
          <w:kern w:val="36"/>
          <w:sz w:val="20"/>
          <w:szCs w:val="20"/>
          <w:u w:val="single"/>
          <w:lang w:val="fr-CA"/>
        </w:rPr>
      </w:pPr>
      <w:r w:rsidRPr="00FC49CB">
        <w:rPr>
          <w:bCs/>
          <w:kern w:val="36"/>
          <w:sz w:val="20"/>
          <w:szCs w:val="20"/>
          <w:lang w:val="fr-CA"/>
        </w:rPr>
        <w:t xml:space="preserve">Le registraire a satisfait aux prescriptions de l’art. 67 et m’a demandé de rendre une ordonnance fondée sur le par. 66(2) des </w:t>
      </w:r>
      <w:r w:rsidRPr="00FC49CB">
        <w:rPr>
          <w:bCs/>
          <w:i/>
          <w:kern w:val="36"/>
          <w:sz w:val="20"/>
          <w:szCs w:val="20"/>
          <w:lang w:val="fr-CA"/>
        </w:rPr>
        <w:t>Règles</w:t>
      </w:r>
      <w:r w:rsidRPr="00FC49CB">
        <w:rPr>
          <w:bCs/>
          <w:kern w:val="36"/>
          <w:sz w:val="20"/>
          <w:szCs w:val="20"/>
          <w:lang w:val="fr-CA"/>
        </w:rPr>
        <w:t xml:space="preserve"> en l’espèce.  Après examen du dossier, y compris les documents déposés par M. Klippenstein, je suis convaincue qu’aucun autre document ne devrait être déposé dans la présente procédure.</w:t>
      </w:r>
    </w:p>
    <w:p w:rsidR="00FC49CB" w:rsidRPr="00FC49CB" w:rsidRDefault="00FC49CB" w:rsidP="00FC49CB">
      <w:pPr>
        <w:rPr>
          <w:b/>
          <w:bCs/>
          <w:kern w:val="36"/>
          <w:sz w:val="20"/>
          <w:szCs w:val="20"/>
          <w:lang w:val="fr-CA"/>
        </w:rPr>
      </w:pPr>
      <w:r w:rsidRPr="00FC49CB">
        <w:rPr>
          <w:rFonts w:eastAsia="Times New Roman" w:cs="Times New Roman"/>
          <w:b/>
          <w:bCs/>
          <w:kern w:val="36"/>
          <w:sz w:val="20"/>
          <w:szCs w:val="20"/>
          <w:lang w:val="fr-CA" w:eastAsia="en-CA"/>
        </w:rPr>
        <w:br w:type="page"/>
      </w:r>
    </w:p>
    <w:p w:rsidR="00FC49CB" w:rsidRPr="00FC49CB" w:rsidRDefault="00FC49CB" w:rsidP="00FC49CB">
      <w:pPr>
        <w:contextualSpacing/>
        <w:jc w:val="both"/>
        <w:rPr>
          <w:b/>
          <w:bCs/>
          <w:kern w:val="36"/>
          <w:sz w:val="20"/>
          <w:szCs w:val="20"/>
          <w:u w:val="single"/>
          <w:lang w:val="fr-CA"/>
        </w:rPr>
      </w:pPr>
      <w:r w:rsidRPr="00FC49CB">
        <w:rPr>
          <w:b/>
          <w:bCs/>
          <w:kern w:val="36"/>
          <w:sz w:val="20"/>
          <w:szCs w:val="20"/>
          <w:lang w:val="fr-CA"/>
        </w:rPr>
        <w:lastRenderedPageBreak/>
        <w:t xml:space="preserve">EN VERTU </w:t>
      </w:r>
      <w:r w:rsidRPr="00FC49CB">
        <w:rPr>
          <w:bCs/>
          <w:kern w:val="36"/>
          <w:sz w:val="20"/>
          <w:szCs w:val="20"/>
          <w:lang w:val="fr-CA"/>
        </w:rPr>
        <w:t xml:space="preserve">du pouvoir conféré à la Cour par l’art. 66 des </w:t>
      </w:r>
      <w:r w:rsidRPr="00FC49CB">
        <w:rPr>
          <w:bCs/>
          <w:i/>
          <w:kern w:val="36"/>
          <w:sz w:val="20"/>
          <w:szCs w:val="20"/>
          <w:lang w:val="fr-CA"/>
        </w:rPr>
        <w:t>Règles</w:t>
      </w:r>
      <w:r w:rsidRPr="00FC49CB">
        <w:rPr>
          <w:bCs/>
          <w:kern w:val="36"/>
          <w:sz w:val="20"/>
          <w:szCs w:val="20"/>
          <w:lang w:val="fr-CA"/>
        </w:rPr>
        <w:t xml:space="preserve">; </w:t>
      </w:r>
    </w:p>
    <w:p w:rsidR="00FC49CB" w:rsidRPr="00FC49CB" w:rsidRDefault="00FC49CB" w:rsidP="00FC49CB">
      <w:pPr>
        <w:contextualSpacing/>
        <w:rPr>
          <w:b/>
          <w:bCs/>
          <w:kern w:val="36"/>
          <w:sz w:val="20"/>
          <w:szCs w:val="20"/>
          <w:u w:val="single"/>
          <w:lang w:val="fr-CA"/>
        </w:rPr>
      </w:pPr>
    </w:p>
    <w:p w:rsidR="00FC49CB" w:rsidRPr="00FC49CB" w:rsidRDefault="00FC49CB" w:rsidP="00FC49CB">
      <w:pPr>
        <w:contextualSpacing/>
        <w:jc w:val="both"/>
        <w:rPr>
          <w:b/>
          <w:bCs/>
          <w:kern w:val="36"/>
          <w:sz w:val="20"/>
          <w:szCs w:val="20"/>
          <w:u w:val="single"/>
          <w:lang w:val="fr-CA"/>
        </w:rPr>
      </w:pPr>
      <w:r w:rsidRPr="00FC49CB">
        <w:rPr>
          <w:b/>
          <w:bCs/>
          <w:kern w:val="36"/>
          <w:sz w:val="20"/>
          <w:szCs w:val="20"/>
          <w:lang w:val="fr-CA"/>
        </w:rPr>
        <w:t xml:space="preserve">IL EST ORDONNÉ CE QUI SUIT : </w:t>
      </w:r>
      <w:r w:rsidRPr="00FC49CB">
        <w:rPr>
          <w:bCs/>
          <w:kern w:val="36"/>
          <w:sz w:val="20"/>
          <w:szCs w:val="20"/>
          <w:lang w:val="fr-CA"/>
        </w:rPr>
        <w:t>Il est interdit au demandeur de déposer d’autres documents dans la présente procédure.</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BF31AA" w:rsidP="00FC49CB">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02.04.2014</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Before / Devant :   WAGNER J. / LE JUGE WAGNER</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FC49CB" w:rsidRPr="00BF31AA" w:rsidTr="00D16260">
        <w:tc>
          <w:tcPr>
            <w:tcW w:w="4338" w:type="dxa"/>
            <w:gridSpan w:val="2"/>
          </w:tcPr>
          <w:p w:rsidR="00FC49CB" w:rsidRPr="00FC49CB" w:rsidRDefault="00FC49CB" w:rsidP="00FC49CB">
            <w:pPr>
              <w:jc w:val="both"/>
              <w:rPr>
                <w:b/>
              </w:rPr>
            </w:pPr>
            <w:r w:rsidRPr="00FC49CB">
              <w:rPr>
                <w:b/>
                <w:bCs/>
                <w:color w:val="000000"/>
                <w:lang w:val="en-GB"/>
              </w:rPr>
              <w:t>Motion for an extension of time and motions for leave to intervene</w:t>
            </w:r>
            <w:r w:rsidRPr="00FC49CB">
              <w:rPr>
                <w:lang w:val="en-US"/>
              </w:rPr>
              <w:t xml:space="preserve"> </w:t>
            </w:r>
            <w:r w:rsidR="00B55D94" w:rsidRPr="00FC49CB">
              <w:rPr>
                <w:lang w:val="en-US"/>
              </w:rPr>
              <w:fldChar w:fldCharType="begin"/>
            </w:r>
            <w:r w:rsidRPr="00FC49CB">
              <w:instrText xml:space="preserve"> SEQ CHAPTER \h \r 1</w:instrText>
            </w:r>
            <w:r w:rsidR="00B55D94" w:rsidRPr="00FC49CB">
              <w:rPr>
                <w:lang w:val="en-US"/>
              </w:rPr>
              <w:fldChar w:fldCharType="end"/>
            </w:r>
          </w:p>
        </w:tc>
        <w:tc>
          <w:tcPr>
            <w:tcW w:w="1170" w:type="dxa"/>
          </w:tcPr>
          <w:p w:rsidR="00FC49CB" w:rsidRPr="00FC49CB" w:rsidRDefault="00FC49CB" w:rsidP="00FC49CB"/>
          <w:p w:rsidR="00FC49CB" w:rsidRPr="00FC49CB" w:rsidRDefault="00FC49CB" w:rsidP="00FC49CB"/>
          <w:p w:rsidR="00FC49CB" w:rsidRPr="00FC49CB" w:rsidRDefault="00FC49CB" w:rsidP="00FC49CB"/>
        </w:tc>
        <w:tc>
          <w:tcPr>
            <w:tcW w:w="4327" w:type="dxa"/>
          </w:tcPr>
          <w:p w:rsidR="00FC49CB" w:rsidRPr="00FC49CB" w:rsidRDefault="00FC49CB" w:rsidP="00FC49CB">
            <w:pPr>
              <w:jc w:val="both"/>
              <w:rPr>
                <w:b/>
                <w:lang w:val="fr-CA"/>
              </w:rPr>
            </w:pPr>
            <w:r w:rsidRPr="00FC49CB">
              <w:rPr>
                <w:b/>
                <w:bCs/>
                <w:color w:val="000000"/>
                <w:lang w:val="fr-CA"/>
              </w:rPr>
              <w:t>Requête en prorogation de délai et requêtes en autorisation d'intervenir</w:t>
            </w:r>
            <w:r w:rsidRPr="00FC49CB">
              <w:rPr>
                <w:lang w:val="fr-CA"/>
              </w:rPr>
              <w:t xml:space="preserve"> </w:t>
            </w:r>
            <w:r w:rsidR="00B55D94" w:rsidRPr="00FC49CB">
              <w:rPr>
                <w:lang w:val="en-US"/>
              </w:rPr>
              <w:fldChar w:fldCharType="begin"/>
            </w:r>
            <w:r w:rsidRPr="00FC49CB">
              <w:rPr>
                <w:lang w:val="fr-CA"/>
              </w:rPr>
              <w:instrText xml:space="preserve"> SEQ CHAPTER \h \r 1</w:instrText>
            </w:r>
            <w:r w:rsidR="00B55D94" w:rsidRPr="00FC49CB">
              <w:rPr>
                <w:lang w:val="en-US"/>
              </w:rPr>
              <w:fldChar w:fldCharType="end"/>
            </w:r>
          </w:p>
        </w:tc>
      </w:tr>
      <w:tr w:rsidR="00FC49CB" w:rsidRPr="00FC49CB" w:rsidTr="00D16260">
        <w:trPr>
          <w:trHeight w:hRule="exact" w:val="547"/>
        </w:trPr>
        <w:tc>
          <w:tcPr>
            <w:tcW w:w="1368" w:type="dxa"/>
          </w:tcPr>
          <w:p w:rsidR="00FC49CB" w:rsidRPr="00FC49CB" w:rsidRDefault="00FC49CB" w:rsidP="00FC49CB">
            <w:r w:rsidRPr="00FC49CB">
              <w:t>BY / PAR</w:t>
            </w:r>
          </w:p>
        </w:tc>
        <w:tc>
          <w:tcPr>
            <w:tcW w:w="2970" w:type="dxa"/>
          </w:tcPr>
          <w:p w:rsidR="00FC49CB" w:rsidRPr="00FC49CB" w:rsidRDefault="00FC49CB" w:rsidP="00FC49CB">
            <w:r w:rsidRPr="00FC49CB">
              <w:rPr>
                <w:lang w:val="en-US"/>
              </w:rPr>
              <w:t>Criminal Lawyers’ Association (Ontario);</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rPr>
          <w:trHeight w:hRule="exact" w:val="547"/>
        </w:trPr>
        <w:tc>
          <w:tcPr>
            <w:tcW w:w="1368" w:type="dxa"/>
          </w:tcPr>
          <w:p w:rsidR="00FC49CB" w:rsidRPr="00FC49CB" w:rsidRDefault="00FC49CB" w:rsidP="00FC49CB"/>
        </w:tc>
        <w:tc>
          <w:tcPr>
            <w:tcW w:w="2970" w:type="dxa"/>
          </w:tcPr>
          <w:p w:rsidR="00FC49CB" w:rsidRPr="00FC49CB" w:rsidRDefault="00FC49CB" w:rsidP="00FC49CB">
            <w:pPr>
              <w:rPr>
                <w:lang w:val="en-US"/>
              </w:rPr>
            </w:pPr>
            <w:r w:rsidRPr="00FC49CB">
              <w:rPr>
                <w:lang w:val="en-US"/>
              </w:rPr>
              <w:t>Canadian Civil Liberties Association;</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rPr>
          <w:trHeight w:hRule="exact" w:val="288"/>
        </w:trPr>
        <w:tc>
          <w:tcPr>
            <w:tcW w:w="1368" w:type="dxa"/>
          </w:tcPr>
          <w:p w:rsidR="00FC49CB" w:rsidRPr="00FC49CB" w:rsidRDefault="00FC49CB" w:rsidP="00FC49CB"/>
        </w:tc>
        <w:tc>
          <w:tcPr>
            <w:tcW w:w="2970" w:type="dxa"/>
          </w:tcPr>
          <w:p w:rsidR="00FC49CB" w:rsidRPr="00FC49CB" w:rsidRDefault="00FC49CB" w:rsidP="00FC49CB">
            <w:pPr>
              <w:rPr>
                <w:lang w:val="en-US"/>
              </w:rPr>
            </w:pPr>
            <w:r w:rsidRPr="00FC49CB">
              <w:rPr>
                <w:lang w:val="en-US"/>
              </w:rPr>
              <w:t>Law Society of British Columbia;</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rPr>
          <w:trHeight w:hRule="exact" w:val="288"/>
        </w:trPr>
        <w:tc>
          <w:tcPr>
            <w:tcW w:w="1368" w:type="dxa"/>
          </w:tcPr>
          <w:p w:rsidR="00FC49CB" w:rsidRPr="00FC49CB" w:rsidRDefault="00FC49CB" w:rsidP="00FC49CB"/>
        </w:tc>
        <w:tc>
          <w:tcPr>
            <w:tcW w:w="2970" w:type="dxa"/>
          </w:tcPr>
          <w:p w:rsidR="00FC49CB" w:rsidRPr="00FC49CB" w:rsidRDefault="00FC49CB" w:rsidP="00FC49CB">
            <w:pPr>
              <w:rPr>
                <w:lang w:val="en-US"/>
              </w:rPr>
            </w:pPr>
            <w:r w:rsidRPr="00FC49CB">
              <w:rPr>
                <w:lang w:val="en-US"/>
              </w:rPr>
              <w:t>Canadian Bar Association;</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rPr>
          <w:trHeight w:hRule="exact" w:val="288"/>
        </w:trPr>
        <w:tc>
          <w:tcPr>
            <w:tcW w:w="1368" w:type="dxa"/>
          </w:tcPr>
          <w:p w:rsidR="00FC49CB" w:rsidRPr="00FC49CB" w:rsidRDefault="00FC49CB" w:rsidP="00FC49CB"/>
        </w:tc>
        <w:tc>
          <w:tcPr>
            <w:tcW w:w="2970" w:type="dxa"/>
          </w:tcPr>
          <w:p w:rsidR="00FC49CB" w:rsidRPr="00FC49CB" w:rsidRDefault="00FC49CB" w:rsidP="00FC49CB">
            <w:pPr>
              <w:rPr>
                <w:lang w:val="en-US"/>
              </w:rPr>
            </w:pPr>
            <w:r w:rsidRPr="00FC49CB">
              <w:rPr>
                <w:lang w:val="en-US"/>
              </w:rPr>
              <w:t>Advocates’ Society;</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rPr>
          <w:trHeight w:hRule="exact" w:val="288"/>
        </w:trPr>
        <w:tc>
          <w:tcPr>
            <w:tcW w:w="1368" w:type="dxa"/>
          </w:tcPr>
          <w:p w:rsidR="00FC49CB" w:rsidRPr="00FC49CB" w:rsidRDefault="00FC49CB" w:rsidP="00FC49CB"/>
        </w:tc>
        <w:tc>
          <w:tcPr>
            <w:tcW w:w="2970" w:type="dxa"/>
          </w:tcPr>
          <w:p w:rsidR="00FC49CB" w:rsidRPr="00FC49CB" w:rsidRDefault="00FC49CB" w:rsidP="00FC49CB">
            <w:pPr>
              <w:rPr>
                <w:lang w:val="en-US"/>
              </w:rPr>
            </w:pPr>
            <w:r w:rsidRPr="00FC49CB">
              <w:rPr>
                <w:lang w:val="en-US"/>
              </w:rPr>
              <w:t>Barreau du Québec;</w:t>
            </w:r>
          </w:p>
        </w:tc>
        <w:tc>
          <w:tcPr>
            <w:tcW w:w="1170" w:type="dxa"/>
          </w:tcPr>
          <w:p w:rsidR="00FC49CB" w:rsidRPr="00FC49CB" w:rsidRDefault="00FC49CB" w:rsidP="00FC49CB"/>
        </w:tc>
        <w:tc>
          <w:tcPr>
            <w:tcW w:w="4327" w:type="dxa"/>
          </w:tcPr>
          <w:p w:rsidR="00FC49CB" w:rsidRPr="00FC49CB" w:rsidRDefault="00FC49CB" w:rsidP="00FC49CB"/>
        </w:tc>
      </w:tr>
      <w:tr w:rsidR="00FC49CB" w:rsidRPr="00BF31AA" w:rsidTr="00D16260">
        <w:trPr>
          <w:trHeight w:hRule="exact" w:val="288"/>
        </w:trPr>
        <w:tc>
          <w:tcPr>
            <w:tcW w:w="1368" w:type="dxa"/>
          </w:tcPr>
          <w:p w:rsidR="00FC49CB" w:rsidRPr="00FC49CB" w:rsidRDefault="00FC49CB" w:rsidP="00FC49CB"/>
        </w:tc>
        <w:tc>
          <w:tcPr>
            <w:tcW w:w="2970" w:type="dxa"/>
          </w:tcPr>
          <w:p w:rsidR="00FC49CB" w:rsidRPr="00FC49CB" w:rsidRDefault="00FC49CB" w:rsidP="00FC49CB">
            <w:pPr>
              <w:rPr>
                <w:lang w:val="fr-CA"/>
              </w:rPr>
            </w:pPr>
            <w:r w:rsidRPr="00FC49CB">
              <w:rPr>
                <w:lang w:val="fr-CA"/>
              </w:rPr>
              <w:t>Chambre des notaires du Québec,</w:t>
            </w:r>
          </w:p>
        </w:tc>
        <w:tc>
          <w:tcPr>
            <w:tcW w:w="1170" w:type="dxa"/>
          </w:tcPr>
          <w:p w:rsidR="00FC49CB" w:rsidRPr="00FC49CB" w:rsidRDefault="00FC49CB" w:rsidP="00FC49CB">
            <w:pPr>
              <w:rPr>
                <w:lang w:val="fr-CA"/>
              </w:rPr>
            </w:pPr>
          </w:p>
        </w:tc>
        <w:tc>
          <w:tcPr>
            <w:tcW w:w="4327" w:type="dxa"/>
          </w:tcPr>
          <w:p w:rsidR="00FC49CB" w:rsidRPr="00FC49CB" w:rsidRDefault="00FC49CB" w:rsidP="00FC49CB">
            <w:pPr>
              <w:rPr>
                <w:lang w:val="fr-CA"/>
              </w:rPr>
            </w:pPr>
          </w:p>
        </w:tc>
      </w:tr>
      <w:tr w:rsidR="00FC49CB" w:rsidRPr="00FC49CB" w:rsidTr="00D16260">
        <w:trPr>
          <w:trHeight w:hRule="exact" w:val="288"/>
        </w:trPr>
        <w:tc>
          <w:tcPr>
            <w:tcW w:w="1368" w:type="dxa"/>
          </w:tcPr>
          <w:p w:rsidR="00FC49CB" w:rsidRPr="00FC49CB" w:rsidRDefault="00FC49CB" w:rsidP="00FC49CB">
            <w:pPr>
              <w:rPr>
                <w:lang w:val="fr-CA"/>
              </w:rPr>
            </w:pPr>
          </w:p>
        </w:tc>
        <w:tc>
          <w:tcPr>
            <w:tcW w:w="2970" w:type="dxa"/>
          </w:tcPr>
          <w:p w:rsidR="00FC49CB" w:rsidRPr="00FC49CB" w:rsidRDefault="00FC49CB" w:rsidP="00FC49CB">
            <w:pPr>
              <w:rPr>
                <w:lang w:val="fr-CA"/>
              </w:rPr>
            </w:pPr>
            <w:r w:rsidRPr="00FC49CB">
              <w:rPr>
                <w:lang w:val="en-US"/>
              </w:rPr>
              <w:t>Attorney General of Canada</w:t>
            </w:r>
          </w:p>
        </w:tc>
        <w:tc>
          <w:tcPr>
            <w:tcW w:w="1170" w:type="dxa"/>
          </w:tcPr>
          <w:p w:rsidR="00FC49CB" w:rsidRPr="00FC49CB" w:rsidRDefault="00FC49CB" w:rsidP="00FC49CB">
            <w:pPr>
              <w:rPr>
                <w:lang w:val="fr-CA"/>
              </w:rPr>
            </w:pPr>
          </w:p>
        </w:tc>
        <w:tc>
          <w:tcPr>
            <w:tcW w:w="4327" w:type="dxa"/>
          </w:tcPr>
          <w:p w:rsidR="00FC49CB" w:rsidRPr="00FC49CB" w:rsidRDefault="00FC49CB" w:rsidP="00FC49CB">
            <w:pPr>
              <w:rPr>
                <w:lang w:val="fr-CA"/>
              </w:rPr>
            </w:pPr>
          </w:p>
        </w:tc>
      </w:tr>
      <w:tr w:rsidR="00FC49CB" w:rsidRPr="00FC49CB" w:rsidTr="00D16260">
        <w:tc>
          <w:tcPr>
            <w:tcW w:w="1368" w:type="dxa"/>
          </w:tcPr>
          <w:p w:rsidR="00FC49CB" w:rsidRPr="00FC49CB" w:rsidRDefault="00FC49CB" w:rsidP="00FC49CB">
            <w:pPr>
              <w:rPr>
                <w:lang w:val="fr-CA"/>
              </w:rPr>
            </w:pPr>
          </w:p>
        </w:tc>
        <w:tc>
          <w:tcPr>
            <w:tcW w:w="2970" w:type="dxa"/>
          </w:tcPr>
          <w:p w:rsidR="00FC49CB" w:rsidRPr="00FC49CB" w:rsidRDefault="00FC49CB" w:rsidP="00FC49CB">
            <w:pPr>
              <w:rPr>
                <w:lang w:val="fr-CA"/>
              </w:rPr>
            </w:pPr>
          </w:p>
        </w:tc>
        <w:tc>
          <w:tcPr>
            <w:tcW w:w="1170" w:type="dxa"/>
          </w:tcPr>
          <w:p w:rsidR="00FC49CB" w:rsidRPr="00FC49CB" w:rsidRDefault="00FC49CB" w:rsidP="00FC49CB">
            <w:pPr>
              <w:rPr>
                <w:lang w:val="fr-CA"/>
              </w:rPr>
            </w:pPr>
          </w:p>
        </w:tc>
        <w:tc>
          <w:tcPr>
            <w:tcW w:w="4327" w:type="dxa"/>
          </w:tcPr>
          <w:p w:rsidR="00FC49CB" w:rsidRPr="00FC49CB" w:rsidRDefault="00FC49CB" w:rsidP="00FC49CB">
            <w:pPr>
              <w:rPr>
                <w:lang w:val="fr-CA"/>
              </w:rPr>
            </w:pPr>
          </w:p>
        </w:tc>
      </w:tr>
      <w:tr w:rsidR="00FC49CB" w:rsidRPr="00FC49CB" w:rsidTr="00D16260">
        <w:tc>
          <w:tcPr>
            <w:tcW w:w="1368" w:type="dxa"/>
          </w:tcPr>
          <w:p w:rsidR="00FC49CB" w:rsidRPr="00FC49CB" w:rsidRDefault="00FC49CB" w:rsidP="00FC49CB">
            <w:r w:rsidRPr="00FC49CB">
              <w:t>IN / DANS :</w:t>
            </w:r>
          </w:p>
        </w:tc>
        <w:tc>
          <w:tcPr>
            <w:tcW w:w="2970" w:type="dxa"/>
          </w:tcPr>
          <w:p w:rsidR="00FC49CB" w:rsidRPr="00FC49CB" w:rsidRDefault="00FC49CB" w:rsidP="00FC49CB">
            <w:r w:rsidRPr="00FC49CB">
              <w:t>Attorney General of Canada</w:t>
            </w:r>
          </w:p>
          <w:p w:rsidR="00FC49CB" w:rsidRPr="00FC49CB" w:rsidRDefault="00FC49CB" w:rsidP="00FC49CB"/>
          <w:p w:rsidR="00FC49CB" w:rsidRPr="00FC49CB" w:rsidRDefault="00FC49CB" w:rsidP="00FC49CB">
            <w:r w:rsidRPr="00FC49CB">
              <w:tab/>
              <w:t>v. (35399)</w:t>
            </w:r>
          </w:p>
          <w:p w:rsidR="00FC49CB" w:rsidRPr="00FC49CB" w:rsidRDefault="00FC49CB" w:rsidP="00FC49CB"/>
          <w:p w:rsidR="00FC49CB" w:rsidRPr="00FC49CB" w:rsidRDefault="00FC49CB" w:rsidP="00FC49CB">
            <w:r w:rsidRPr="00FC49CB">
              <w:t>Federation of Law Societies of Canada (B.C.)</w:t>
            </w:r>
          </w:p>
        </w:tc>
        <w:tc>
          <w:tcPr>
            <w:tcW w:w="1170" w:type="dxa"/>
          </w:tcPr>
          <w:p w:rsidR="00FC49CB" w:rsidRPr="00FC49CB" w:rsidRDefault="00FC49CB" w:rsidP="00FC49CB"/>
        </w:tc>
        <w:tc>
          <w:tcPr>
            <w:tcW w:w="4327" w:type="dxa"/>
          </w:tcPr>
          <w:p w:rsidR="00FC49CB" w:rsidRPr="00FC49CB" w:rsidRDefault="00FC49CB" w:rsidP="00FC49CB"/>
        </w:tc>
      </w:tr>
    </w:tbl>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tabs>
          <w:tab w:val="left" w:pos="-1440"/>
          <w:tab w:val="left" w:pos="-720"/>
        </w:tabs>
        <w:jc w:val="both"/>
        <w:rPr>
          <w:rFonts w:eastAsia="Times New Roman" w:cs="Times New Roman"/>
          <w:sz w:val="20"/>
          <w:szCs w:val="20"/>
          <w:lang w:eastAsia="en-CA"/>
        </w:rPr>
      </w:pPr>
      <w:r w:rsidRPr="00FC49CB">
        <w:rPr>
          <w:rFonts w:eastAsia="Times New Roman" w:cs="Times New Roman"/>
          <w:b/>
          <w:sz w:val="20"/>
          <w:szCs w:val="20"/>
          <w:lang w:eastAsia="en-CA"/>
        </w:rPr>
        <w:t>GRANTED / ACCORDÉES</w:t>
      </w:r>
    </w:p>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val="en-US" w:eastAsia="en-CA"/>
        </w:rPr>
      </w:pPr>
      <w:r w:rsidRPr="00FC49CB">
        <w:rPr>
          <w:rFonts w:eastAsia="Times New Roman" w:cs="Times New Roman"/>
          <w:b/>
          <w:bCs/>
          <w:sz w:val="20"/>
          <w:szCs w:val="20"/>
          <w:lang w:val="en-US" w:eastAsia="en-CA"/>
        </w:rPr>
        <w:t>UPON APPLICATIONS</w:t>
      </w:r>
      <w:r w:rsidRPr="00FC49CB">
        <w:rPr>
          <w:rFonts w:eastAsia="Times New Roman" w:cs="Times New Roman"/>
          <w:sz w:val="20"/>
          <w:szCs w:val="20"/>
          <w:lang w:val="en-US" w:eastAsia="en-CA"/>
        </w:rPr>
        <w:t xml:space="preserve"> by the Criminal Lawyers’ Association (Ontario), the Canadian Civil Liberties Association, the Law Society of British Columbia, the Canadian Bar Association, the Advocates’ Society and the Barreau du Québec and Chambre des notaires du Québec for leave to intervene in the above appeal;</w:t>
      </w:r>
    </w:p>
    <w:p w:rsidR="00FC49CB" w:rsidRPr="00FC49CB" w:rsidRDefault="00FC49CB" w:rsidP="00FC49CB">
      <w:pPr>
        <w:spacing w:line="233" w:lineRule="auto"/>
        <w:jc w:val="both"/>
        <w:rPr>
          <w:rFonts w:eastAsia="Times New Roman" w:cs="Times New Roman"/>
          <w:sz w:val="20"/>
          <w:szCs w:val="20"/>
          <w:lang w:val="en-US" w:eastAsia="en-CA"/>
        </w:rPr>
      </w:pPr>
    </w:p>
    <w:p w:rsidR="00FC49CB" w:rsidRPr="00FC49CB" w:rsidRDefault="00FC49CB" w:rsidP="00FC49CB">
      <w:pPr>
        <w:jc w:val="both"/>
        <w:rPr>
          <w:rFonts w:eastAsia="Times New Roman" w:cs="Times New Roman"/>
          <w:sz w:val="20"/>
          <w:szCs w:val="20"/>
          <w:lang w:val="en-US" w:eastAsia="en-CA"/>
        </w:rPr>
      </w:pPr>
      <w:r w:rsidRPr="00FC49CB">
        <w:rPr>
          <w:rFonts w:eastAsia="Times New Roman" w:cs="Times New Roman"/>
          <w:b/>
          <w:bCs/>
          <w:sz w:val="20"/>
          <w:szCs w:val="20"/>
          <w:lang w:val="en-US" w:eastAsia="en-CA"/>
        </w:rPr>
        <w:t>AND UPON APPLICATION</w:t>
      </w:r>
      <w:r w:rsidRPr="00FC49CB">
        <w:rPr>
          <w:rFonts w:eastAsia="Times New Roman" w:cs="Times New Roman"/>
          <w:sz w:val="20"/>
          <w:szCs w:val="20"/>
          <w:lang w:val="en-US" w:eastAsia="en-CA"/>
        </w:rPr>
        <w:t xml:space="preserve"> by the Attorney General of Canada for an extension of time to serve and file a response to the motions for leave to intervene to March 28, 2014 and for an extension of time to serve and file any reply to the response to April 1, 2014;</w:t>
      </w:r>
    </w:p>
    <w:p w:rsidR="00FC49CB" w:rsidRPr="00FC49CB" w:rsidRDefault="00FC49CB" w:rsidP="00FC49CB">
      <w:pPr>
        <w:jc w:val="both"/>
        <w:rPr>
          <w:rFonts w:eastAsia="Times New Roman" w:cs="Times New Roman"/>
          <w:b/>
          <w:bCs/>
          <w:sz w:val="20"/>
          <w:szCs w:val="20"/>
          <w:lang w:val="en-GB" w:eastAsia="en-CA"/>
        </w:rPr>
      </w:pPr>
    </w:p>
    <w:p w:rsidR="00FC49CB" w:rsidRPr="00FC49CB" w:rsidRDefault="00FC49CB" w:rsidP="00FC49CB">
      <w:pPr>
        <w:jc w:val="both"/>
        <w:rPr>
          <w:rFonts w:eastAsia="Times New Roman" w:cs="Times New Roman"/>
          <w:sz w:val="20"/>
          <w:szCs w:val="20"/>
          <w:lang w:val="en-GB" w:eastAsia="en-CA"/>
        </w:rPr>
      </w:pPr>
      <w:r w:rsidRPr="00FC49CB">
        <w:rPr>
          <w:rFonts w:eastAsia="Times New Roman" w:cs="Times New Roman"/>
          <w:b/>
          <w:bCs/>
          <w:sz w:val="20"/>
          <w:szCs w:val="20"/>
          <w:lang w:val="en-GB" w:eastAsia="en-CA"/>
        </w:rPr>
        <w:t>AND THE MATERIAL FILED</w:t>
      </w:r>
      <w:r w:rsidRPr="00FC49CB">
        <w:rPr>
          <w:rFonts w:eastAsia="Times New Roman" w:cs="Times New Roman"/>
          <w:sz w:val="20"/>
          <w:szCs w:val="20"/>
          <w:lang w:val="en-GB" w:eastAsia="en-CA"/>
        </w:rPr>
        <w:t xml:space="preserve"> having been read;</w:t>
      </w:r>
    </w:p>
    <w:p w:rsidR="00FC49CB" w:rsidRPr="00FC49CB" w:rsidRDefault="00FC49CB" w:rsidP="00FC49CB">
      <w:pPr>
        <w:jc w:val="both"/>
        <w:rPr>
          <w:rFonts w:eastAsia="Times New Roman" w:cs="Times New Roman"/>
          <w:sz w:val="20"/>
          <w:szCs w:val="20"/>
          <w:lang w:val="en-GB" w:eastAsia="en-CA"/>
        </w:rPr>
      </w:pPr>
    </w:p>
    <w:p w:rsidR="00FC49CB" w:rsidRPr="00FC49CB" w:rsidRDefault="00FC49CB" w:rsidP="00FC49CB">
      <w:pPr>
        <w:jc w:val="both"/>
        <w:rPr>
          <w:rFonts w:eastAsia="Times New Roman" w:cs="Times New Roman"/>
          <w:sz w:val="20"/>
          <w:szCs w:val="20"/>
          <w:lang w:val="en-GB" w:eastAsia="en-CA"/>
        </w:rPr>
      </w:pPr>
      <w:r w:rsidRPr="00FC49CB">
        <w:rPr>
          <w:rFonts w:eastAsia="Times New Roman" w:cs="Times New Roman"/>
          <w:b/>
          <w:bCs/>
          <w:sz w:val="20"/>
          <w:szCs w:val="20"/>
          <w:lang w:val="en-GB" w:eastAsia="en-CA"/>
        </w:rPr>
        <w:t>IT IS HEREBY ORDERED THAT:</w:t>
      </w:r>
    </w:p>
    <w:p w:rsidR="00FC49CB" w:rsidRPr="00FC49CB" w:rsidRDefault="00FC49CB" w:rsidP="00FC49CB">
      <w:pPr>
        <w:spacing w:line="233" w:lineRule="auto"/>
        <w:jc w:val="both"/>
        <w:rPr>
          <w:rFonts w:eastAsia="Times New Roman" w:cs="Times New Roman"/>
          <w:sz w:val="20"/>
          <w:szCs w:val="20"/>
          <w:lang w:val="en-GB" w:eastAsia="en-CA"/>
        </w:rPr>
      </w:pPr>
    </w:p>
    <w:p w:rsidR="00FC49CB" w:rsidRPr="00FC49CB" w:rsidRDefault="00FC49CB" w:rsidP="00FC49CB">
      <w:pPr>
        <w:spacing w:line="233" w:lineRule="auto"/>
        <w:jc w:val="both"/>
        <w:rPr>
          <w:rFonts w:eastAsia="Times New Roman" w:cs="Times New Roman"/>
          <w:sz w:val="20"/>
          <w:szCs w:val="20"/>
          <w:lang w:val="en-US" w:eastAsia="en-CA"/>
        </w:rPr>
      </w:pPr>
      <w:r w:rsidRPr="00FC49CB">
        <w:rPr>
          <w:rFonts w:eastAsia="Times New Roman" w:cs="Times New Roman"/>
          <w:sz w:val="20"/>
          <w:szCs w:val="20"/>
          <w:lang w:val="en-GB" w:eastAsia="en-CA"/>
        </w:rPr>
        <w:t xml:space="preserve">The motions for leave to intervene of the </w:t>
      </w:r>
      <w:r w:rsidRPr="00FC49CB">
        <w:rPr>
          <w:rFonts w:eastAsia="Times New Roman" w:cs="Times New Roman"/>
          <w:sz w:val="20"/>
          <w:szCs w:val="20"/>
          <w:lang w:val="en-US" w:eastAsia="en-CA"/>
        </w:rPr>
        <w:t xml:space="preserve">Criminal Lawyers’ Association (Ontario), the Canadian Civil Liberties Association, the Law Society of British Columbia, the Canadian Bar Association, the Advocates’ Society and the Barreau du Québec and Chambre des notaires du Québec are granted and the said six interveners shall be entitled to each serve and file a factum not to exceed 10 pages in length on or before April 30, 2014. </w:t>
      </w:r>
    </w:p>
    <w:p w:rsidR="00FC49CB" w:rsidRPr="00FC49CB" w:rsidRDefault="00FC49CB" w:rsidP="00FC49CB">
      <w:pPr>
        <w:spacing w:line="233" w:lineRule="auto"/>
        <w:jc w:val="both"/>
        <w:rPr>
          <w:rFonts w:eastAsia="Times New Roman" w:cs="Times New Roman"/>
          <w:sz w:val="20"/>
          <w:szCs w:val="20"/>
          <w:lang w:val="en-US" w:eastAsia="en-CA"/>
        </w:rPr>
      </w:pPr>
    </w:p>
    <w:p w:rsidR="00FC49CB" w:rsidRPr="00FC49CB" w:rsidRDefault="00FC49CB" w:rsidP="00FC49CB">
      <w:pPr>
        <w:spacing w:line="233" w:lineRule="auto"/>
        <w:jc w:val="both"/>
        <w:rPr>
          <w:rFonts w:eastAsia="Times New Roman" w:cs="Times New Roman"/>
          <w:sz w:val="20"/>
          <w:szCs w:val="20"/>
          <w:lang w:val="en-US" w:eastAsia="en-CA"/>
        </w:rPr>
      </w:pPr>
      <w:r w:rsidRPr="00FC49CB">
        <w:rPr>
          <w:rFonts w:eastAsia="Times New Roman" w:cs="Times New Roman"/>
          <w:sz w:val="20"/>
          <w:szCs w:val="20"/>
          <w:lang w:val="en-US" w:eastAsia="en-CA"/>
        </w:rPr>
        <w:t>The motion for extensions of time filed by the Attorney General of Canada is granted.</w:t>
      </w:r>
    </w:p>
    <w:p w:rsidR="00FC49CB" w:rsidRPr="00FC49CB" w:rsidRDefault="00FC49CB" w:rsidP="00FC49CB">
      <w:pPr>
        <w:spacing w:line="233" w:lineRule="auto"/>
        <w:jc w:val="both"/>
        <w:rPr>
          <w:rFonts w:eastAsia="Times New Roman" w:cs="Times New Roman"/>
          <w:sz w:val="20"/>
          <w:szCs w:val="20"/>
          <w:lang w:val="en-US" w:eastAsia="en-CA"/>
        </w:rPr>
      </w:pPr>
    </w:p>
    <w:p w:rsidR="00FC49CB" w:rsidRPr="00FC49CB" w:rsidRDefault="00B55D94" w:rsidP="00FC49CB">
      <w:pPr>
        <w:spacing w:line="233" w:lineRule="auto"/>
        <w:jc w:val="both"/>
        <w:rPr>
          <w:rFonts w:eastAsia="Times New Roman" w:cs="Times New Roman"/>
          <w:sz w:val="20"/>
          <w:szCs w:val="20"/>
          <w:lang w:val="en-US" w:eastAsia="en-CA"/>
        </w:rPr>
      </w:pPr>
      <w:r w:rsidRPr="00FC49CB">
        <w:rPr>
          <w:rFonts w:eastAsia="Times New Roman" w:cs="Times New Roman"/>
          <w:sz w:val="20"/>
          <w:szCs w:val="20"/>
          <w:lang w:eastAsia="en-CA"/>
        </w:rPr>
        <w:lastRenderedPageBreak/>
        <w:fldChar w:fldCharType="begin"/>
      </w:r>
      <w:r w:rsidR="00FC49CB" w:rsidRPr="00FC49CB">
        <w:rPr>
          <w:rFonts w:eastAsia="Times New Roman" w:cs="Times New Roman"/>
          <w:sz w:val="20"/>
          <w:szCs w:val="20"/>
          <w:lang w:eastAsia="en-CA"/>
        </w:rPr>
        <w:instrText xml:space="preserve"> SEQ CHAPTER \h \r 1</w:instrText>
      </w:r>
      <w:r w:rsidRPr="00FC49CB">
        <w:rPr>
          <w:rFonts w:eastAsia="Times New Roman" w:cs="Times New Roman"/>
          <w:sz w:val="20"/>
          <w:szCs w:val="20"/>
          <w:lang w:eastAsia="en-CA"/>
        </w:rPr>
        <w:fldChar w:fldCharType="end"/>
      </w:r>
      <w:r w:rsidR="00FC49CB" w:rsidRPr="00FC49CB">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FC49CB" w:rsidRPr="00FC49CB" w:rsidRDefault="00FC49CB" w:rsidP="00FC49CB">
      <w:pPr>
        <w:spacing w:line="233" w:lineRule="auto"/>
        <w:jc w:val="both"/>
        <w:rPr>
          <w:rFonts w:eastAsia="Times New Roman" w:cs="Times New Roman"/>
          <w:sz w:val="20"/>
          <w:szCs w:val="20"/>
          <w:lang w:val="en-US" w:eastAsia="en-CA"/>
        </w:rPr>
      </w:pPr>
    </w:p>
    <w:p w:rsidR="00FC49CB" w:rsidRPr="00FC49CB" w:rsidRDefault="00FC49CB" w:rsidP="00FC49CB">
      <w:pPr>
        <w:spacing w:line="233" w:lineRule="auto"/>
        <w:jc w:val="both"/>
        <w:rPr>
          <w:rFonts w:eastAsia="Times New Roman" w:cs="Times New Roman"/>
          <w:sz w:val="20"/>
          <w:szCs w:val="20"/>
          <w:lang w:val="en-US" w:eastAsia="en-CA"/>
        </w:rPr>
      </w:pPr>
      <w:r w:rsidRPr="00FC49CB">
        <w:rPr>
          <w:rFonts w:eastAsia="Times New Roman" w:cs="Times New Roman"/>
          <w:sz w:val="20"/>
          <w:szCs w:val="20"/>
          <w:lang w:val="en-US" w:eastAsia="en-CA"/>
        </w:rPr>
        <w:t>The interveners are not entitled to raise new issues or to adduce further evidence or otherwise to supplement the record of the parties.</w:t>
      </w:r>
    </w:p>
    <w:p w:rsidR="00FC49CB" w:rsidRPr="00FC49CB" w:rsidRDefault="00FC49CB" w:rsidP="00FC49CB">
      <w:pPr>
        <w:spacing w:line="233" w:lineRule="auto"/>
        <w:jc w:val="both"/>
        <w:rPr>
          <w:rFonts w:eastAsia="Times New Roman" w:cs="Times New Roman"/>
          <w:b/>
          <w:sz w:val="20"/>
          <w:szCs w:val="20"/>
          <w:lang w:val="en-US" w:eastAsia="en-CA"/>
        </w:rPr>
      </w:pPr>
    </w:p>
    <w:p w:rsidR="00FC49CB" w:rsidRPr="00FC49CB" w:rsidRDefault="00FC49CB" w:rsidP="00FC49CB">
      <w:pPr>
        <w:spacing w:line="233" w:lineRule="auto"/>
        <w:jc w:val="both"/>
        <w:rPr>
          <w:rFonts w:eastAsia="Times New Roman" w:cs="Times New Roman"/>
          <w:sz w:val="20"/>
          <w:szCs w:val="20"/>
          <w:lang w:val="en-GB" w:eastAsia="en-CA"/>
        </w:rPr>
      </w:pPr>
      <w:r w:rsidRPr="00FC49CB">
        <w:rPr>
          <w:rFonts w:eastAsia="Times New Roman" w:cs="Times New Roman"/>
          <w:sz w:val="20"/>
          <w:szCs w:val="20"/>
          <w:lang w:val="en-US" w:eastAsia="en-CA"/>
        </w:rPr>
        <w:t>Pursuant to Rule 59(1)(</w:t>
      </w:r>
      <w:r w:rsidRPr="00FC49CB">
        <w:rPr>
          <w:rFonts w:eastAsia="Times New Roman" w:cs="Times New Roman"/>
          <w:i/>
          <w:iCs/>
          <w:sz w:val="20"/>
          <w:szCs w:val="20"/>
          <w:lang w:val="en-US" w:eastAsia="en-CA"/>
        </w:rPr>
        <w:t>a</w:t>
      </w:r>
      <w:r w:rsidRPr="00FC49CB">
        <w:rPr>
          <w:rFonts w:eastAsia="Times New Roman" w:cs="Times New Roman"/>
          <w:sz w:val="20"/>
          <w:szCs w:val="20"/>
          <w:lang w:val="en-US" w:eastAsia="en-CA"/>
        </w:rPr>
        <w:t xml:space="preserve">) of the </w:t>
      </w:r>
      <w:r w:rsidRPr="00FC49CB">
        <w:rPr>
          <w:rFonts w:eastAsia="Times New Roman" w:cs="Times New Roman"/>
          <w:i/>
          <w:iCs/>
          <w:sz w:val="20"/>
          <w:szCs w:val="20"/>
          <w:lang w:val="en-US" w:eastAsia="en-CA"/>
        </w:rPr>
        <w:t>Rules of the Supreme Court of Canada</w:t>
      </w:r>
      <w:r w:rsidRPr="00FC49CB">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FC49CB" w:rsidRPr="00FC49CB" w:rsidRDefault="00FC49CB" w:rsidP="00FC49CB">
      <w:pPr>
        <w:spacing w:line="233" w:lineRule="auto"/>
        <w:jc w:val="both"/>
        <w:rPr>
          <w:rFonts w:eastAsia="Times New Roman" w:cs="Times New Roman"/>
          <w:sz w:val="20"/>
          <w:szCs w:val="20"/>
          <w:lang w:val="en-GB" w:eastAsia="en-CA"/>
        </w:rPr>
      </w:pPr>
    </w:p>
    <w:p w:rsidR="00FC49CB" w:rsidRPr="00FC49CB" w:rsidRDefault="00FC49CB" w:rsidP="00FC49CB">
      <w:pPr>
        <w:spacing w:line="233" w:lineRule="auto"/>
        <w:jc w:val="both"/>
        <w:rPr>
          <w:rFonts w:eastAsia="Times New Roman" w:cs="Times New Roman"/>
          <w:sz w:val="20"/>
          <w:szCs w:val="20"/>
          <w:lang w:val="en-GB" w:eastAsia="en-CA"/>
        </w:rPr>
      </w:pPr>
    </w:p>
    <w:p w:rsidR="00FC49CB" w:rsidRPr="00FC49CB" w:rsidRDefault="00FC49CB" w:rsidP="00FC49CB">
      <w:pPr>
        <w:spacing w:line="233" w:lineRule="auto"/>
        <w:jc w:val="both"/>
        <w:rPr>
          <w:rFonts w:eastAsia="Times New Roman" w:cs="Times New Roman"/>
          <w:sz w:val="20"/>
          <w:szCs w:val="20"/>
          <w:lang w:val="en-US"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sz w:val="20"/>
          <w:szCs w:val="20"/>
          <w:lang w:val="fr-CA" w:eastAsia="en-CA"/>
        </w:rPr>
        <w:t>À LA SUITE DES DEMANDES</w:t>
      </w:r>
      <w:r w:rsidRPr="00FC49CB">
        <w:rPr>
          <w:rFonts w:eastAsia="Times New Roman" w:cs="Times New Roman"/>
          <w:sz w:val="20"/>
          <w:szCs w:val="20"/>
          <w:lang w:val="fr-CA" w:eastAsia="en-CA"/>
        </w:rPr>
        <w:t xml:space="preserve"> présentées par la Criminal Lawyers’ Association (Ontario), l’Association canadienne des libertés civiles, la Law Society of British Columbia, l’Association du barreau canadien, l’Advocates’ Society et le Barreau du Québec et Chambre des notaires du Québec en vue d’intervenir dans l’appel;</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sz w:val="20"/>
          <w:szCs w:val="20"/>
          <w:lang w:val="fr-CA" w:eastAsia="en-CA"/>
        </w:rPr>
        <w:t>ET À LA SUITE DE LA DEMANDE</w:t>
      </w:r>
      <w:r w:rsidRPr="00FC49CB">
        <w:rPr>
          <w:rFonts w:eastAsia="Times New Roman" w:cs="Times New Roman"/>
          <w:sz w:val="20"/>
          <w:szCs w:val="20"/>
          <w:lang w:val="fr-CA" w:eastAsia="en-CA"/>
        </w:rPr>
        <w:t xml:space="preserve"> présentée par le procureur général du Canada en prorogation du délai de signification et de dépôt de la réponse aux requêtes en autorisation d’intervenir au 28 mars 2014 et en prorogation du délai de signification et de dépôt de répliques à la réponse au 1</w:t>
      </w:r>
      <w:r w:rsidRPr="00FC49CB">
        <w:rPr>
          <w:rFonts w:eastAsia="Times New Roman" w:cs="Times New Roman"/>
          <w:sz w:val="20"/>
          <w:szCs w:val="20"/>
          <w:vertAlign w:val="superscript"/>
          <w:lang w:val="fr-CA" w:eastAsia="en-CA"/>
        </w:rPr>
        <w:t>er</w:t>
      </w:r>
      <w:r w:rsidRPr="00FC49CB">
        <w:rPr>
          <w:rFonts w:eastAsia="Times New Roman" w:cs="Times New Roman"/>
          <w:sz w:val="20"/>
          <w:szCs w:val="20"/>
          <w:lang w:val="fr-CA" w:eastAsia="en-CA"/>
        </w:rPr>
        <w:t xml:space="preserve"> avril 2014; </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sz w:val="20"/>
          <w:szCs w:val="20"/>
          <w:lang w:val="fr-CA" w:eastAsia="en-CA"/>
        </w:rPr>
        <w:t>ET APRÈS EXAMEN</w:t>
      </w:r>
      <w:r w:rsidRPr="00FC49CB">
        <w:rPr>
          <w:rFonts w:eastAsia="Times New Roman" w:cs="Times New Roman"/>
          <w:sz w:val="20"/>
          <w:szCs w:val="20"/>
          <w:lang w:val="fr-CA" w:eastAsia="en-CA"/>
        </w:rPr>
        <w:t xml:space="preserve"> des documents déposés;</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sz w:val="20"/>
          <w:szCs w:val="20"/>
          <w:lang w:val="fr-CA" w:eastAsia="en-CA"/>
        </w:rPr>
        <w:t>IL EST PAR LA PRÉSENTE ORDONNÉ CE QUI SUIT :</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jc w:val="both"/>
        <w:rPr>
          <w:rFonts w:eastAsia="Times New Roman" w:cs="Times New Roman"/>
          <w:sz w:val="20"/>
          <w:szCs w:val="20"/>
          <w:lang w:val="fr-CA" w:eastAsia="en-CA"/>
        </w:rPr>
      </w:pPr>
      <w:r w:rsidRPr="00FC49CB">
        <w:rPr>
          <w:rFonts w:eastAsia="Times New Roman" w:cs="Times New Roman"/>
          <w:sz w:val="20"/>
          <w:szCs w:val="20"/>
          <w:lang w:val="fr-CA" w:eastAsia="en-CA"/>
        </w:rPr>
        <w:t>Les requêtes en autorisation d'intervenir présentées par la Criminal Lawyers’ Association (Ontario), l’Association canadienne des libertés civiles, la Law Society of British Columbia, l’Association du barreau canadien, l’Advocates’ Society et le Barreau du Québec et Chambre des notaires du Québec sont accueillies et ces six intervenants pourront chacun signifier et déposer un mémoire d’au plus dix (10) pages au plus tard le 30 avril 2014.</w:t>
      </w:r>
    </w:p>
    <w:p w:rsidR="00FC49CB" w:rsidRPr="00FC49CB" w:rsidRDefault="00FC49CB" w:rsidP="00FC49CB">
      <w:pPr>
        <w:jc w:val="both"/>
        <w:rPr>
          <w:rFonts w:eastAsia="Times New Roman" w:cs="Times New Roman"/>
          <w:sz w:val="20"/>
          <w:szCs w:val="20"/>
          <w:lang w:val="fr-CA" w:eastAsia="en-CA"/>
        </w:rPr>
      </w:pPr>
    </w:p>
    <w:p w:rsidR="00FC49CB" w:rsidRPr="00FC49CB" w:rsidRDefault="00FC49CB" w:rsidP="00FC49CB">
      <w:pPr>
        <w:jc w:val="both"/>
        <w:rPr>
          <w:rFonts w:eastAsia="Times New Roman" w:cs="Times New Roman"/>
          <w:sz w:val="20"/>
          <w:szCs w:val="20"/>
          <w:lang w:val="fr-CA" w:eastAsia="en-CA"/>
        </w:rPr>
      </w:pPr>
      <w:r w:rsidRPr="00FC49CB">
        <w:rPr>
          <w:rFonts w:eastAsia="Times New Roman" w:cs="Times New Roman"/>
          <w:sz w:val="20"/>
          <w:szCs w:val="20"/>
          <w:lang w:val="fr-CA" w:eastAsia="en-CA"/>
        </w:rPr>
        <w:t xml:space="preserve">La requête en prorogation des délais présentée par le procureur général du Canada est accueillie. </w:t>
      </w:r>
    </w:p>
    <w:p w:rsidR="00FC49CB" w:rsidRPr="00FC49CB" w:rsidRDefault="00FC49CB" w:rsidP="00FC49CB">
      <w:pPr>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FC49CB" w:rsidRPr="00FC49CB" w:rsidRDefault="00FC49CB" w:rsidP="00FC49CB">
      <w:pPr>
        <w:spacing w:line="233" w:lineRule="auto"/>
        <w:jc w:val="both"/>
        <w:rPr>
          <w:rFonts w:eastAsia="Times New Roman" w:cs="Times New Roman"/>
          <w:b/>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sz w:val="20"/>
          <w:szCs w:val="20"/>
          <w:lang w:val="fr-CA" w:eastAsia="en-CA"/>
        </w:rPr>
        <w:t>Conformément à l'alinéa 59(1)(</w:t>
      </w:r>
      <w:r w:rsidRPr="00FC49CB">
        <w:rPr>
          <w:rFonts w:eastAsia="Times New Roman" w:cs="Times New Roman"/>
          <w:i/>
          <w:sz w:val="20"/>
          <w:szCs w:val="20"/>
          <w:lang w:val="fr-CA" w:eastAsia="en-CA"/>
        </w:rPr>
        <w:t>a</w:t>
      </w:r>
      <w:r w:rsidRPr="00FC49CB">
        <w:rPr>
          <w:rFonts w:eastAsia="Times New Roman" w:cs="Times New Roman"/>
          <w:sz w:val="20"/>
          <w:szCs w:val="20"/>
          <w:lang w:val="fr-CA" w:eastAsia="en-CA"/>
        </w:rPr>
        <w:t xml:space="preserve">) des </w:t>
      </w:r>
      <w:r w:rsidRPr="00FC49CB">
        <w:rPr>
          <w:rFonts w:eastAsia="Times New Roman" w:cs="Times New Roman"/>
          <w:i/>
          <w:sz w:val="20"/>
          <w:szCs w:val="20"/>
          <w:lang w:val="fr-CA" w:eastAsia="en-CA"/>
        </w:rPr>
        <w:t>Règles de la Cour suprême du Canada</w:t>
      </w:r>
      <w:r w:rsidRPr="00FC49CB">
        <w:rPr>
          <w:rFonts w:eastAsia="Times New Roman" w:cs="Times New Roman"/>
          <w:sz w:val="20"/>
          <w:szCs w:val="20"/>
          <w:lang w:val="fr-CA" w:eastAsia="en-CA"/>
        </w:rPr>
        <w:t>, les intervenants paieront à l’appelant et à l'intimée tous débours supplémentaires résultant de leur intervention.</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BF31AA" w:rsidP="00FC49C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02.04.2014</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Before / Devant :   THE REGISTRAR / LE REGISTRAIRE</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C49CB" w:rsidRPr="00BF31AA" w:rsidTr="00D16260">
        <w:tc>
          <w:tcPr>
            <w:tcW w:w="4338" w:type="dxa"/>
          </w:tcPr>
          <w:p w:rsidR="00FC49CB" w:rsidRPr="00FC49CB" w:rsidRDefault="00FC49CB" w:rsidP="00FC49CB">
            <w:pPr>
              <w:tabs>
                <w:tab w:val="left" w:pos="-1440"/>
                <w:tab w:val="left" w:pos="-720"/>
              </w:tabs>
              <w:jc w:val="both"/>
              <w:rPr>
                <w:b/>
              </w:rPr>
            </w:pPr>
            <w:r w:rsidRPr="00FC49CB">
              <w:rPr>
                <w:b/>
                <w:bCs/>
                <w:lang w:val="en-GB"/>
              </w:rPr>
              <w:t>Motions for extension of time and to file a lengthy factum</w:t>
            </w:r>
          </w:p>
        </w:tc>
        <w:tc>
          <w:tcPr>
            <w:tcW w:w="1170" w:type="dxa"/>
          </w:tcPr>
          <w:p w:rsidR="00FC49CB" w:rsidRPr="00FC49CB" w:rsidRDefault="00FC49CB" w:rsidP="00FC49CB">
            <w:pPr>
              <w:tabs>
                <w:tab w:val="left" w:pos="-1440"/>
                <w:tab w:val="left" w:pos="-720"/>
              </w:tabs>
              <w:jc w:val="both"/>
            </w:pPr>
          </w:p>
          <w:p w:rsidR="00FC49CB" w:rsidRPr="00FC49CB" w:rsidRDefault="00FC49CB" w:rsidP="00FC49CB">
            <w:pPr>
              <w:tabs>
                <w:tab w:val="left" w:pos="-1440"/>
                <w:tab w:val="left" w:pos="-720"/>
              </w:tabs>
              <w:jc w:val="both"/>
            </w:pPr>
          </w:p>
          <w:p w:rsidR="00FC49CB" w:rsidRPr="00FC49CB" w:rsidRDefault="00FC49CB" w:rsidP="00FC49CB">
            <w:pPr>
              <w:tabs>
                <w:tab w:val="left" w:pos="-1440"/>
                <w:tab w:val="left" w:pos="-720"/>
              </w:tabs>
              <w:jc w:val="both"/>
            </w:pPr>
          </w:p>
        </w:tc>
        <w:tc>
          <w:tcPr>
            <w:tcW w:w="4327" w:type="dxa"/>
          </w:tcPr>
          <w:p w:rsidR="00FC49CB" w:rsidRPr="00FC49CB" w:rsidRDefault="00FC49CB" w:rsidP="00FC49CB">
            <w:pPr>
              <w:tabs>
                <w:tab w:val="left" w:pos="-1440"/>
                <w:tab w:val="left" w:pos="-720"/>
              </w:tabs>
              <w:jc w:val="both"/>
              <w:rPr>
                <w:b/>
                <w:lang w:val="fr-CA"/>
              </w:rPr>
            </w:pPr>
            <w:r w:rsidRPr="00FC49CB">
              <w:rPr>
                <w:b/>
                <w:bCs/>
                <w:lang w:val="fr-CA"/>
              </w:rPr>
              <w:t xml:space="preserve">Requêtes </w:t>
            </w:r>
            <w:r w:rsidRPr="00FC49CB">
              <w:rPr>
                <w:b/>
                <w:bCs/>
                <w:color w:val="000000"/>
                <w:lang w:val="fr-CA"/>
              </w:rPr>
              <w:t xml:space="preserve">en prorogation de délai </w:t>
            </w:r>
            <w:r w:rsidRPr="00FC49CB">
              <w:rPr>
                <w:b/>
                <w:bCs/>
                <w:lang w:val="fr-CA"/>
              </w:rPr>
              <w:t xml:space="preserve">et en vue de déposer un mémoire volumineux </w:t>
            </w:r>
          </w:p>
        </w:tc>
      </w:tr>
      <w:tr w:rsidR="00FC49CB" w:rsidRPr="00FC49CB" w:rsidTr="00D16260">
        <w:tc>
          <w:tcPr>
            <w:tcW w:w="4338" w:type="dxa"/>
          </w:tcPr>
          <w:p w:rsidR="00FC49CB" w:rsidRPr="00FC49CB" w:rsidRDefault="00FC49CB" w:rsidP="00FC49CB">
            <w:pPr>
              <w:tabs>
                <w:tab w:val="left" w:pos="-1440"/>
                <w:tab w:val="left" w:pos="-720"/>
              </w:tabs>
              <w:jc w:val="both"/>
            </w:pPr>
            <w:r w:rsidRPr="00FC49CB">
              <w:t>Kris Rana</w:t>
            </w:r>
          </w:p>
          <w:p w:rsidR="00FC49CB" w:rsidRPr="00FC49CB" w:rsidRDefault="00FC49CB" w:rsidP="00FC49CB">
            <w:pPr>
              <w:tabs>
                <w:tab w:val="left" w:pos="-1440"/>
                <w:tab w:val="left" w:pos="-720"/>
              </w:tabs>
              <w:jc w:val="both"/>
            </w:pPr>
          </w:p>
          <w:p w:rsidR="00FC49CB" w:rsidRPr="00FC49CB" w:rsidRDefault="00FC49CB" w:rsidP="00FC49CB">
            <w:pPr>
              <w:tabs>
                <w:tab w:val="left" w:pos="-1440"/>
                <w:tab w:val="left" w:pos="-720"/>
              </w:tabs>
              <w:jc w:val="both"/>
            </w:pPr>
            <w:r w:rsidRPr="00FC49CB">
              <w:tab/>
              <w:t>v. (35653)</w:t>
            </w:r>
          </w:p>
          <w:p w:rsidR="00FC49CB" w:rsidRPr="00FC49CB" w:rsidRDefault="00FC49CB" w:rsidP="00FC49CB">
            <w:pPr>
              <w:tabs>
                <w:tab w:val="left" w:pos="-1440"/>
                <w:tab w:val="left" w:pos="-720"/>
              </w:tabs>
              <w:jc w:val="both"/>
            </w:pPr>
          </w:p>
          <w:p w:rsidR="00FC49CB" w:rsidRPr="00FC49CB" w:rsidRDefault="00FC49CB" w:rsidP="00FC49CB">
            <w:pPr>
              <w:tabs>
                <w:tab w:val="left" w:pos="-1440"/>
                <w:tab w:val="left" w:pos="-720"/>
              </w:tabs>
              <w:jc w:val="both"/>
            </w:pPr>
            <w:r w:rsidRPr="00FC49CB">
              <w:t>Canadian Business College (Ont.)</w:t>
            </w:r>
          </w:p>
        </w:tc>
        <w:tc>
          <w:tcPr>
            <w:tcW w:w="1170" w:type="dxa"/>
          </w:tcPr>
          <w:p w:rsidR="00FC49CB" w:rsidRPr="00FC49CB" w:rsidRDefault="00FC49CB" w:rsidP="00FC49CB">
            <w:pPr>
              <w:tabs>
                <w:tab w:val="left" w:pos="-1440"/>
                <w:tab w:val="left" w:pos="-720"/>
              </w:tabs>
              <w:jc w:val="both"/>
            </w:pPr>
          </w:p>
        </w:tc>
        <w:tc>
          <w:tcPr>
            <w:tcW w:w="4327" w:type="dxa"/>
          </w:tcPr>
          <w:p w:rsidR="00FC49CB" w:rsidRPr="00FC49CB" w:rsidRDefault="00FC49CB" w:rsidP="00FC49CB">
            <w:pPr>
              <w:tabs>
                <w:tab w:val="left" w:pos="-1440"/>
                <w:tab w:val="left" w:pos="-720"/>
              </w:tabs>
              <w:jc w:val="both"/>
            </w:pPr>
          </w:p>
        </w:tc>
      </w:tr>
    </w:tbl>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tabs>
          <w:tab w:val="left" w:pos="-1440"/>
          <w:tab w:val="left" w:pos="-720"/>
        </w:tabs>
        <w:jc w:val="both"/>
        <w:rPr>
          <w:rFonts w:eastAsia="Times New Roman" w:cs="Times New Roman"/>
          <w:sz w:val="20"/>
          <w:szCs w:val="20"/>
          <w:lang w:eastAsia="en-CA"/>
        </w:rPr>
      </w:pPr>
      <w:r w:rsidRPr="00FC49CB">
        <w:rPr>
          <w:rFonts w:eastAsia="Times New Roman" w:cs="Times New Roman"/>
          <w:b/>
          <w:sz w:val="20"/>
          <w:szCs w:val="20"/>
          <w:lang w:eastAsia="en-CA"/>
        </w:rPr>
        <w:t>GRANTED / ACCORDÉE</w:t>
      </w:r>
    </w:p>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r w:rsidRPr="00FC49CB">
        <w:rPr>
          <w:rFonts w:eastAsia="Times New Roman" w:cs="Times New Roman"/>
          <w:b/>
          <w:sz w:val="20"/>
          <w:szCs w:val="20"/>
          <w:lang w:eastAsia="en-CA"/>
        </w:rPr>
        <w:lastRenderedPageBreak/>
        <w:t>UPON APPLICATION</w:t>
      </w:r>
      <w:r w:rsidRPr="00FC49CB">
        <w:rPr>
          <w:rFonts w:eastAsia="Times New Roman" w:cs="Times New Roman"/>
          <w:sz w:val="20"/>
          <w:szCs w:val="20"/>
          <w:lang w:eastAsia="en-CA"/>
        </w:rPr>
        <w:t xml:space="preserve"> by the respondent for an extension of time to serve the response to the application for leave to appeal to January 31, 2014;</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r w:rsidRPr="00FC49CB">
        <w:rPr>
          <w:rFonts w:eastAsia="Times New Roman" w:cs="Times New Roman"/>
          <w:b/>
          <w:sz w:val="20"/>
          <w:szCs w:val="20"/>
          <w:lang w:eastAsia="en-CA"/>
        </w:rPr>
        <w:t xml:space="preserve">AND UPON APPLICATION </w:t>
      </w:r>
      <w:r w:rsidRPr="00FC49CB">
        <w:rPr>
          <w:rFonts w:eastAsia="Times New Roman" w:cs="Times New Roman"/>
          <w:sz w:val="20"/>
          <w:szCs w:val="20"/>
          <w:lang w:eastAsia="en-CA"/>
        </w:rPr>
        <w:t>by the applicant</w:t>
      </w:r>
      <w:r w:rsidRPr="00FC49CB">
        <w:rPr>
          <w:rFonts w:eastAsia="Times New Roman" w:cs="Times New Roman"/>
          <w:b/>
          <w:sz w:val="20"/>
          <w:szCs w:val="20"/>
          <w:lang w:eastAsia="en-CA"/>
        </w:rPr>
        <w:t xml:space="preserve"> </w:t>
      </w:r>
      <w:r w:rsidRPr="00FC49CB">
        <w:rPr>
          <w:rFonts w:eastAsia="Times New Roman" w:cs="Times New Roman"/>
          <w:sz w:val="20"/>
          <w:szCs w:val="20"/>
          <w:lang w:eastAsia="en-CA"/>
        </w:rPr>
        <w:t>for an extension of time to</w:t>
      </w:r>
      <w:r w:rsidRPr="00FC49CB">
        <w:rPr>
          <w:rFonts w:eastAsia="Times New Roman" w:cs="Times New Roman"/>
          <w:b/>
          <w:sz w:val="20"/>
          <w:szCs w:val="20"/>
          <w:lang w:eastAsia="en-CA"/>
        </w:rPr>
        <w:t xml:space="preserve"> </w:t>
      </w:r>
      <w:r w:rsidRPr="00FC49CB">
        <w:rPr>
          <w:rFonts w:eastAsia="Times New Roman" w:cs="Times New Roman"/>
          <w:sz w:val="20"/>
          <w:szCs w:val="20"/>
          <w:lang w:eastAsia="en-CA"/>
        </w:rPr>
        <w:t xml:space="preserve">serve and file the reply to the response to the application for leave to appeal to February 21, 2014; </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r w:rsidRPr="00FC49CB">
        <w:rPr>
          <w:rFonts w:eastAsia="Times New Roman" w:cs="Times New Roman"/>
          <w:b/>
          <w:sz w:val="20"/>
          <w:szCs w:val="20"/>
          <w:lang w:eastAsia="en-CA"/>
        </w:rPr>
        <w:t>AND UPON APPLICATION</w:t>
      </w:r>
      <w:r w:rsidRPr="00FC49CB">
        <w:rPr>
          <w:rFonts w:eastAsia="Times New Roman" w:cs="Times New Roman"/>
          <w:sz w:val="20"/>
          <w:szCs w:val="20"/>
          <w:lang w:eastAsia="en-CA"/>
        </w:rPr>
        <w:t xml:space="preserve"> by the applicant for leave to file a lengthy memorandum of argument;</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r w:rsidRPr="00FC49CB">
        <w:rPr>
          <w:rFonts w:eastAsia="Times New Roman" w:cs="Times New Roman"/>
          <w:b/>
          <w:bCs/>
          <w:sz w:val="20"/>
          <w:szCs w:val="20"/>
          <w:lang w:eastAsia="en-CA"/>
        </w:rPr>
        <w:t>AND THE MATERIAL FILED</w:t>
      </w:r>
      <w:r w:rsidRPr="00FC49CB">
        <w:rPr>
          <w:rFonts w:eastAsia="Times New Roman" w:cs="Times New Roman"/>
          <w:sz w:val="20"/>
          <w:szCs w:val="20"/>
          <w:lang w:eastAsia="en-CA"/>
        </w:rPr>
        <w:t xml:space="preserve"> having been read;</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b/>
          <w:bCs/>
          <w:sz w:val="20"/>
          <w:szCs w:val="20"/>
          <w:lang w:eastAsia="en-CA"/>
        </w:rPr>
      </w:pPr>
      <w:r w:rsidRPr="00FC49CB">
        <w:rPr>
          <w:rFonts w:eastAsia="Times New Roman" w:cs="Times New Roman"/>
          <w:b/>
          <w:bCs/>
          <w:sz w:val="20"/>
          <w:szCs w:val="20"/>
          <w:lang w:eastAsia="en-CA"/>
        </w:rPr>
        <w:t>IT IS HEREBY ORDERED THAT:</w:t>
      </w:r>
    </w:p>
    <w:p w:rsidR="00FC49CB" w:rsidRPr="00FC49CB" w:rsidRDefault="00FC49CB" w:rsidP="00FC49CB">
      <w:pPr>
        <w:spacing w:line="233" w:lineRule="auto"/>
        <w:jc w:val="both"/>
        <w:rPr>
          <w:rFonts w:eastAsia="Times New Roman" w:cs="Times New Roman"/>
          <w:b/>
          <w:bCs/>
          <w:sz w:val="20"/>
          <w:szCs w:val="20"/>
          <w:lang w:eastAsia="en-CA"/>
        </w:rPr>
      </w:pPr>
    </w:p>
    <w:p w:rsidR="00FC49CB" w:rsidRPr="00FC49CB" w:rsidRDefault="00FC49CB" w:rsidP="00FC49CB">
      <w:pPr>
        <w:jc w:val="both"/>
        <w:rPr>
          <w:rFonts w:eastAsia="Times New Roman" w:cs="Times New Roman"/>
          <w:sz w:val="20"/>
          <w:szCs w:val="20"/>
          <w:lang w:eastAsia="en-CA"/>
        </w:rPr>
      </w:pPr>
      <w:r w:rsidRPr="00FC49CB">
        <w:rPr>
          <w:rFonts w:eastAsia="Times New Roman" w:cs="Times New Roman"/>
          <w:sz w:val="20"/>
          <w:szCs w:val="20"/>
          <w:lang w:eastAsia="en-CA"/>
        </w:rPr>
        <w:t>The motions for extension of time and the motion for leave to file a lengthy memorandum of argument are granted. </w:t>
      </w:r>
    </w:p>
    <w:p w:rsidR="00FC49CB" w:rsidRPr="00FC49CB" w:rsidRDefault="00FC49CB" w:rsidP="00FC49CB">
      <w:pPr>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sz w:val="20"/>
          <w:szCs w:val="20"/>
          <w:lang w:val="fr-CA" w:eastAsia="en-CA"/>
        </w:rPr>
        <w:t>À LA SUITE DE LA REQUÊTE</w:t>
      </w:r>
      <w:r w:rsidRPr="00FC49CB">
        <w:rPr>
          <w:rFonts w:eastAsia="Times New Roman" w:cs="Times New Roman"/>
          <w:sz w:val="20"/>
          <w:szCs w:val="20"/>
          <w:lang w:val="fr-CA" w:eastAsia="en-CA"/>
        </w:rPr>
        <w:t xml:space="preserve"> présentée par l’intimé pour faire proroger au 31 janvier 2014 le délai de signification de la réponse à la demande d’autorisation d’appel;</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sz w:val="20"/>
          <w:szCs w:val="20"/>
          <w:lang w:val="fr-CA" w:eastAsia="en-CA"/>
        </w:rPr>
        <w:t xml:space="preserve">ET À LA SUITE DE LA REQUÊTE </w:t>
      </w:r>
      <w:r w:rsidRPr="00FC49CB">
        <w:rPr>
          <w:rFonts w:eastAsia="Times New Roman" w:cs="Times New Roman"/>
          <w:sz w:val="20"/>
          <w:szCs w:val="20"/>
          <w:lang w:val="fr-CA" w:eastAsia="en-CA"/>
        </w:rPr>
        <w:t xml:space="preserve">présentée par la demanderesse pour faire proroger au 21 février 2014 le délai de signification et de dépôt de la réplique à la réponse à la demande d’autorisation d’appel; </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sz w:val="20"/>
          <w:szCs w:val="20"/>
          <w:lang w:val="fr-CA" w:eastAsia="en-CA"/>
        </w:rPr>
        <w:t xml:space="preserve">ET À LA SUITE DE LA REQUÊTE </w:t>
      </w:r>
      <w:r w:rsidRPr="00FC49CB">
        <w:rPr>
          <w:rFonts w:eastAsia="Times New Roman" w:cs="Times New Roman"/>
          <w:sz w:val="20"/>
          <w:szCs w:val="20"/>
          <w:lang w:val="fr-CA" w:eastAsia="en-CA"/>
        </w:rPr>
        <w:t>présentée par la demanderesse pour être autorisée à déposer un mémoire volumineux;</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bCs/>
          <w:sz w:val="20"/>
          <w:szCs w:val="20"/>
          <w:lang w:val="fr-CA" w:eastAsia="en-CA"/>
        </w:rPr>
        <w:t xml:space="preserve">ET APRÈS EXAMEN </w:t>
      </w:r>
      <w:r w:rsidRPr="00FC49CB">
        <w:rPr>
          <w:rFonts w:eastAsia="Times New Roman" w:cs="Times New Roman"/>
          <w:bCs/>
          <w:sz w:val="20"/>
          <w:szCs w:val="20"/>
          <w:lang w:val="fr-CA" w:eastAsia="en-CA"/>
        </w:rPr>
        <w:t>des documents déposés</w:t>
      </w:r>
      <w:r w:rsidRPr="00FC49CB">
        <w:rPr>
          <w:rFonts w:eastAsia="Times New Roman" w:cs="Times New Roman"/>
          <w:sz w:val="20"/>
          <w:szCs w:val="20"/>
          <w:lang w:val="fr-CA" w:eastAsia="en-CA"/>
        </w:rPr>
        <w:t>;</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b/>
          <w:bCs/>
          <w:sz w:val="20"/>
          <w:szCs w:val="20"/>
          <w:lang w:val="fr-CA" w:eastAsia="en-CA"/>
        </w:rPr>
      </w:pPr>
      <w:r w:rsidRPr="00FC49CB">
        <w:rPr>
          <w:rFonts w:eastAsia="Times New Roman" w:cs="Times New Roman"/>
          <w:b/>
          <w:bCs/>
          <w:sz w:val="20"/>
          <w:szCs w:val="20"/>
          <w:lang w:val="fr-CA" w:eastAsia="en-CA"/>
        </w:rPr>
        <w:t>IL EST ORDONNÉ CE QUI SUIT</w:t>
      </w:r>
      <w:r w:rsidRPr="00FC49CB">
        <w:rPr>
          <w:rFonts w:eastAsia="Times New Roman" w:cs="Times New Roman"/>
          <w:sz w:val="20"/>
          <w:szCs w:val="20"/>
          <w:lang w:val="fr-CA" w:eastAsia="en-CA"/>
        </w:rPr>
        <w:t> </w:t>
      </w:r>
      <w:r w:rsidRPr="00FC49CB">
        <w:rPr>
          <w:rFonts w:eastAsia="Times New Roman" w:cs="Times New Roman"/>
          <w:b/>
          <w:bCs/>
          <w:sz w:val="20"/>
          <w:szCs w:val="20"/>
          <w:lang w:val="fr-CA" w:eastAsia="en-CA"/>
        </w:rPr>
        <w:t>:</w:t>
      </w:r>
    </w:p>
    <w:p w:rsidR="00FC49CB" w:rsidRPr="00FC49CB" w:rsidRDefault="00FC49CB" w:rsidP="00FC49CB">
      <w:pPr>
        <w:spacing w:line="233" w:lineRule="auto"/>
        <w:jc w:val="both"/>
        <w:rPr>
          <w:rFonts w:eastAsia="Times New Roman" w:cs="Times New Roman"/>
          <w:b/>
          <w:bCs/>
          <w:sz w:val="20"/>
          <w:szCs w:val="20"/>
          <w:lang w:val="fr-CA" w:eastAsia="en-CA"/>
        </w:rPr>
      </w:pPr>
    </w:p>
    <w:p w:rsidR="00FC49CB" w:rsidRPr="00FC49CB" w:rsidRDefault="00FC49CB" w:rsidP="00FC49CB">
      <w:pPr>
        <w:jc w:val="both"/>
        <w:rPr>
          <w:rFonts w:eastAsia="Times New Roman" w:cs="Times New Roman"/>
          <w:sz w:val="20"/>
          <w:szCs w:val="20"/>
          <w:lang w:val="fr-CA" w:eastAsia="en-CA"/>
        </w:rPr>
      </w:pPr>
      <w:r w:rsidRPr="00FC49CB">
        <w:rPr>
          <w:rFonts w:eastAsia="Times New Roman" w:cs="Times New Roman"/>
          <w:sz w:val="20"/>
          <w:szCs w:val="20"/>
          <w:lang w:val="fr-CA" w:eastAsia="en-CA"/>
        </w:rPr>
        <w:t>Les requêtes en prorogation de délai et la requête pour obtenir l’autorisation de déposer un mémoire volumineux sont accueillies. </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BF31AA" w:rsidP="00FC49C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02.04.2014</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Before / Devant :   WAGNER J. / LE JUGE WAGNER</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C49CB" w:rsidRPr="00BF31AA" w:rsidTr="00D16260">
        <w:tc>
          <w:tcPr>
            <w:tcW w:w="4338" w:type="dxa"/>
          </w:tcPr>
          <w:p w:rsidR="00FC49CB" w:rsidRPr="00FC49CB" w:rsidRDefault="00B55D94" w:rsidP="00FC49CB">
            <w:pPr>
              <w:tabs>
                <w:tab w:val="left" w:pos="-1440"/>
                <w:tab w:val="left" w:pos="-720"/>
              </w:tabs>
              <w:jc w:val="both"/>
              <w:rPr>
                <w:b/>
              </w:rPr>
            </w:pPr>
            <w:r w:rsidRPr="00FC49CB">
              <w:rPr>
                <w:lang w:val="en-US"/>
              </w:rPr>
              <w:fldChar w:fldCharType="begin"/>
            </w:r>
            <w:r w:rsidR="00FC49CB" w:rsidRPr="00FC49CB">
              <w:rPr>
                <w:lang w:val="en-US"/>
              </w:rPr>
              <w:instrText xml:space="preserve"> SEQ CHAPTER \h \r 1</w:instrText>
            </w:r>
            <w:r w:rsidRPr="00FC49CB">
              <w:rPr>
                <w:lang w:val="en-US"/>
              </w:rPr>
              <w:fldChar w:fldCharType="end"/>
            </w:r>
            <w:r w:rsidR="00FC49CB" w:rsidRPr="00FC49CB">
              <w:rPr>
                <w:b/>
                <w:bCs/>
                <w:lang w:val="en-US"/>
              </w:rPr>
              <w:t>Motion to adduce new evidence</w:t>
            </w:r>
            <w:r w:rsidRPr="00FC49CB">
              <w:rPr>
                <w:lang w:val="en-US"/>
              </w:rPr>
              <w:fldChar w:fldCharType="begin"/>
            </w:r>
            <w:r w:rsidR="00FC49CB" w:rsidRPr="00FC49CB">
              <w:instrText xml:space="preserve"> SEQ CHAPTER \h \r 1</w:instrText>
            </w:r>
            <w:r w:rsidRPr="00FC49CB">
              <w:rPr>
                <w:lang w:val="en-US"/>
              </w:rPr>
              <w:fldChar w:fldCharType="end"/>
            </w:r>
          </w:p>
        </w:tc>
        <w:tc>
          <w:tcPr>
            <w:tcW w:w="1170" w:type="dxa"/>
          </w:tcPr>
          <w:p w:rsidR="00FC49CB" w:rsidRPr="00FC49CB" w:rsidRDefault="00FC49CB" w:rsidP="00FC49CB">
            <w:pPr>
              <w:tabs>
                <w:tab w:val="left" w:pos="-1440"/>
                <w:tab w:val="left" w:pos="-720"/>
              </w:tabs>
              <w:jc w:val="both"/>
            </w:pPr>
          </w:p>
          <w:p w:rsidR="00FC49CB" w:rsidRPr="00FC49CB" w:rsidRDefault="00FC49CB" w:rsidP="00FC49CB">
            <w:pPr>
              <w:tabs>
                <w:tab w:val="left" w:pos="-1440"/>
                <w:tab w:val="left" w:pos="-720"/>
              </w:tabs>
              <w:jc w:val="both"/>
            </w:pPr>
          </w:p>
          <w:p w:rsidR="00FC49CB" w:rsidRPr="00FC49CB" w:rsidRDefault="00FC49CB" w:rsidP="00FC49CB">
            <w:pPr>
              <w:tabs>
                <w:tab w:val="left" w:pos="-1440"/>
                <w:tab w:val="left" w:pos="-720"/>
              </w:tabs>
              <w:jc w:val="both"/>
            </w:pPr>
          </w:p>
        </w:tc>
        <w:tc>
          <w:tcPr>
            <w:tcW w:w="4327" w:type="dxa"/>
          </w:tcPr>
          <w:p w:rsidR="00FC49CB" w:rsidRPr="00FC49CB" w:rsidRDefault="00B55D94" w:rsidP="00FC49CB">
            <w:pPr>
              <w:tabs>
                <w:tab w:val="left" w:pos="-1440"/>
                <w:tab w:val="left" w:pos="-720"/>
              </w:tabs>
              <w:jc w:val="both"/>
              <w:rPr>
                <w:b/>
                <w:lang w:val="fr-CA"/>
              </w:rPr>
            </w:pPr>
            <w:r w:rsidRPr="00FC49CB">
              <w:rPr>
                <w:b/>
                <w:lang w:val="en-US"/>
              </w:rPr>
              <w:fldChar w:fldCharType="begin"/>
            </w:r>
            <w:r w:rsidR="00FC49CB" w:rsidRPr="00FC49CB">
              <w:rPr>
                <w:b/>
                <w:lang w:val="fr-CA"/>
              </w:rPr>
              <w:instrText xml:space="preserve"> SEQ CHAPTER \h \r 1</w:instrText>
            </w:r>
            <w:r w:rsidRPr="00FC49CB">
              <w:rPr>
                <w:b/>
                <w:lang w:val="en-US"/>
              </w:rPr>
              <w:fldChar w:fldCharType="end"/>
            </w:r>
            <w:r w:rsidRPr="00FC49CB">
              <w:rPr>
                <w:lang w:val="en-US"/>
              </w:rPr>
              <w:fldChar w:fldCharType="begin"/>
            </w:r>
            <w:r w:rsidR="00FC49CB" w:rsidRPr="00FC49CB">
              <w:rPr>
                <w:lang w:val="fr-CA"/>
              </w:rPr>
              <w:instrText xml:space="preserve"> SEQ CHAPTER \h \r 1</w:instrText>
            </w:r>
            <w:r w:rsidRPr="00FC49CB">
              <w:rPr>
                <w:lang w:val="en-US"/>
              </w:rPr>
              <w:fldChar w:fldCharType="end"/>
            </w:r>
            <w:r w:rsidR="00FC49CB" w:rsidRPr="00FC49CB">
              <w:rPr>
                <w:b/>
                <w:bCs/>
                <w:lang w:val="fr-CA"/>
              </w:rPr>
              <w:t>Requête en vue de produire une nouvelle preuve</w:t>
            </w:r>
            <w:r w:rsidRPr="00FC49CB">
              <w:rPr>
                <w:b/>
                <w:lang w:val="en-US"/>
              </w:rPr>
              <w:fldChar w:fldCharType="begin"/>
            </w:r>
            <w:r w:rsidR="00FC49CB" w:rsidRPr="00FC49CB">
              <w:rPr>
                <w:b/>
                <w:lang w:val="fr-CA"/>
              </w:rPr>
              <w:instrText xml:space="preserve"> SEQ CHAPTER \h \r 1</w:instrText>
            </w:r>
            <w:r w:rsidRPr="00FC49CB">
              <w:rPr>
                <w:b/>
                <w:lang w:val="en-US"/>
              </w:rPr>
              <w:fldChar w:fldCharType="end"/>
            </w:r>
          </w:p>
        </w:tc>
      </w:tr>
      <w:tr w:rsidR="00FC49CB" w:rsidRPr="00FC49CB" w:rsidTr="00D16260">
        <w:tc>
          <w:tcPr>
            <w:tcW w:w="4338" w:type="dxa"/>
          </w:tcPr>
          <w:p w:rsidR="00FC49CB" w:rsidRPr="00FC49CB" w:rsidRDefault="00FC49CB" w:rsidP="00FC49CB">
            <w:r w:rsidRPr="00FC49CB">
              <w:t>James Peter Sipos</w:t>
            </w:r>
          </w:p>
          <w:p w:rsidR="00FC49CB" w:rsidRPr="00FC49CB" w:rsidRDefault="00FC49CB" w:rsidP="00FC49CB"/>
          <w:p w:rsidR="00FC49CB" w:rsidRPr="00FC49CB" w:rsidRDefault="00FC49CB" w:rsidP="00FC49CB">
            <w:r w:rsidRPr="00FC49CB">
              <w:tab/>
              <w:t>c. (35310)</w:t>
            </w:r>
          </w:p>
          <w:p w:rsidR="00FC49CB" w:rsidRPr="00FC49CB" w:rsidRDefault="00FC49CB" w:rsidP="00FC49CB"/>
          <w:p w:rsidR="00FC49CB" w:rsidRPr="00FC49CB" w:rsidRDefault="00FC49CB" w:rsidP="00FC49CB">
            <w:pPr>
              <w:tabs>
                <w:tab w:val="left" w:pos="-1440"/>
                <w:tab w:val="left" w:pos="-720"/>
              </w:tabs>
              <w:jc w:val="both"/>
            </w:pPr>
            <w:r w:rsidRPr="00FC49CB">
              <w:t>Her Majesty the Queen (Crim.) (Ont.)</w:t>
            </w:r>
          </w:p>
        </w:tc>
        <w:tc>
          <w:tcPr>
            <w:tcW w:w="1170" w:type="dxa"/>
          </w:tcPr>
          <w:p w:rsidR="00FC49CB" w:rsidRPr="00FC49CB" w:rsidRDefault="00FC49CB" w:rsidP="00FC49CB">
            <w:pPr>
              <w:tabs>
                <w:tab w:val="left" w:pos="-1440"/>
                <w:tab w:val="left" w:pos="-720"/>
              </w:tabs>
              <w:jc w:val="both"/>
            </w:pPr>
          </w:p>
        </w:tc>
        <w:tc>
          <w:tcPr>
            <w:tcW w:w="4327" w:type="dxa"/>
          </w:tcPr>
          <w:p w:rsidR="00FC49CB" w:rsidRPr="00FC49CB" w:rsidRDefault="00FC49CB" w:rsidP="00FC49CB">
            <w:pPr>
              <w:tabs>
                <w:tab w:val="left" w:pos="-1440"/>
                <w:tab w:val="left" w:pos="-720"/>
              </w:tabs>
              <w:jc w:val="both"/>
            </w:pPr>
          </w:p>
        </w:tc>
      </w:tr>
    </w:tbl>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tabs>
          <w:tab w:val="left" w:pos="-1440"/>
          <w:tab w:val="left" w:pos="-720"/>
        </w:tabs>
        <w:jc w:val="both"/>
        <w:rPr>
          <w:rFonts w:eastAsia="Times New Roman" w:cs="Times New Roman"/>
          <w:sz w:val="20"/>
          <w:szCs w:val="20"/>
          <w:lang w:eastAsia="en-CA"/>
        </w:rPr>
      </w:pPr>
      <w:r w:rsidRPr="00FC49CB">
        <w:rPr>
          <w:rFonts w:eastAsia="Times New Roman" w:cs="Times New Roman"/>
          <w:b/>
          <w:sz w:val="20"/>
          <w:szCs w:val="20"/>
          <w:lang w:eastAsia="en-CA"/>
        </w:rPr>
        <w:t>GRANTED / ACCORDÉE</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jc w:val="both"/>
        <w:rPr>
          <w:rFonts w:eastAsia="Times New Roman" w:cs="Times New Roman"/>
          <w:b/>
          <w:bCs/>
          <w:sz w:val="20"/>
          <w:szCs w:val="20"/>
          <w:lang w:eastAsia="en-CA"/>
        </w:rPr>
      </w:pPr>
      <w:r w:rsidRPr="00FC49CB">
        <w:rPr>
          <w:rFonts w:eastAsia="Times New Roman" w:cs="Times New Roman"/>
          <w:b/>
          <w:bCs/>
          <w:sz w:val="20"/>
          <w:szCs w:val="20"/>
          <w:lang w:eastAsia="en-CA"/>
        </w:rPr>
        <w:t xml:space="preserve">UPON APPLICATION </w:t>
      </w:r>
      <w:r w:rsidRPr="00FC49CB">
        <w:rPr>
          <w:rFonts w:eastAsia="Times New Roman" w:cs="Times New Roman"/>
          <w:sz w:val="20"/>
          <w:szCs w:val="20"/>
          <w:lang w:eastAsia="en-CA"/>
        </w:rPr>
        <w:t>by the appellant for an order to adduce fresh evidence namely a decision of the Parole Board of Canada dated October 3, 2013.</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r w:rsidRPr="00FC49CB">
        <w:rPr>
          <w:rFonts w:eastAsia="Times New Roman" w:cs="Times New Roman"/>
          <w:b/>
          <w:bCs/>
          <w:sz w:val="20"/>
          <w:szCs w:val="20"/>
          <w:lang w:eastAsia="en-CA"/>
        </w:rPr>
        <w:t>AND THE MATERIAL FILED</w:t>
      </w:r>
      <w:r w:rsidRPr="00FC49CB">
        <w:rPr>
          <w:rFonts w:eastAsia="Times New Roman" w:cs="Times New Roman"/>
          <w:sz w:val="20"/>
          <w:szCs w:val="20"/>
          <w:lang w:eastAsia="en-CA"/>
        </w:rPr>
        <w:t xml:space="preserve"> having been read;</w:t>
      </w:r>
    </w:p>
    <w:p w:rsidR="00FC49CB" w:rsidRPr="00FC49CB" w:rsidRDefault="00FC49CB" w:rsidP="00FC49CB">
      <w:pPr>
        <w:spacing w:line="233" w:lineRule="auto"/>
        <w:jc w:val="both"/>
        <w:rPr>
          <w:rFonts w:eastAsia="Times New Roman" w:cs="Times New Roman"/>
          <w:sz w:val="20"/>
          <w:szCs w:val="20"/>
          <w:lang w:eastAsia="en-CA"/>
        </w:rPr>
      </w:pPr>
    </w:p>
    <w:p w:rsidR="00FC49CB" w:rsidRDefault="00FC49CB">
      <w:pPr>
        <w:rPr>
          <w:rFonts w:eastAsia="Times New Roman" w:cs="Times New Roman"/>
          <w:b/>
          <w:bCs/>
          <w:sz w:val="20"/>
          <w:szCs w:val="20"/>
          <w:lang w:eastAsia="en-CA"/>
        </w:rPr>
      </w:pPr>
      <w:r>
        <w:rPr>
          <w:rFonts w:eastAsia="Times New Roman" w:cs="Times New Roman"/>
          <w:b/>
          <w:bCs/>
          <w:sz w:val="20"/>
          <w:szCs w:val="20"/>
          <w:lang w:eastAsia="en-CA"/>
        </w:rPr>
        <w:br w:type="page"/>
      </w:r>
    </w:p>
    <w:p w:rsidR="00FC49CB" w:rsidRPr="00FC49CB" w:rsidRDefault="00FC49CB" w:rsidP="00FC49CB">
      <w:pPr>
        <w:spacing w:line="233" w:lineRule="auto"/>
        <w:jc w:val="both"/>
        <w:rPr>
          <w:rFonts w:eastAsia="Times New Roman" w:cs="Times New Roman"/>
          <w:sz w:val="20"/>
          <w:szCs w:val="20"/>
          <w:lang w:eastAsia="en-CA"/>
        </w:rPr>
      </w:pPr>
      <w:r w:rsidRPr="00FC49CB">
        <w:rPr>
          <w:rFonts w:eastAsia="Times New Roman" w:cs="Times New Roman"/>
          <w:b/>
          <w:bCs/>
          <w:sz w:val="20"/>
          <w:szCs w:val="20"/>
          <w:lang w:eastAsia="en-CA"/>
        </w:rPr>
        <w:lastRenderedPageBreak/>
        <w:t>IT IS HEREBY ORDERED THAT:</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ind w:left="360"/>
        <w:jc w:val="both"/>
        <w:rPr>
          <w:rFonts w:eastAsia="Times New Roman" w:cs="Times New Roman"/>
          <w:sz w:val="20"/>
          <w:szCs w:val="20"/>
          <w:lang w:val="fr-CA" w:eastAsia="en-CA"/>
        </w:rPr>
      </w:pPr>
      <w:r w:rsidRPr="00FC49CB">
        <w:rPr>
          <w:rFonts w:eastAsia="Times New Roman" w:cs="Times New Roman"/>
          <w:sz w:val="20"/>
          <w:szCs w:val="20"/>
          <w:lang w:val="fr-CA" w:eastAsia="en-CA"/>
        </w:rPr>
        <w:t>The motion is granted.</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jc w:val="both"/>
        <w:rPr>
          <w:rFonts w:eastAsia="Times New Roman" w:cs="Times New Roman"/>
          <w:b/>
          <w:bCs/>
          <w:sz w:val="20"/>
          <w:szCs w:val="20"/>
          <w:lang w:val="fr-CA" w:eastAsia="en-CA"/>
        </w:rPr>
      </w:pPr>
      <w:r w:rsidRPr="00FC49CB">
        <w:rPr>
          <w:rFonts w:eastAsia="Times New Roman" w:cs="Times New Roman"/>
          <w:b/>
          <w:bCs/>
          <w:sz w:val="20"/>
          <w:szCs w:val="20"/>
          <w:lang w:val="fr-CA" w:eastAsia="en-CA"/>
        </w:rPr>
        <w:t xml:space="preserve">À LA SUITE DE LA REQUÊTE </w:t>
      </w:r>
      <w:r w:rsidRPr="00FC49CB">
        <w:rPr>
          <w:rFonts w:eastAsia="Times New Roman" w:cs="Times New Roman"/>
          <w:sz w:val="20"/>
          <w:szCs w:val="20"/>
          <w:lang w:val="fr-CA" w:eastAsia="en-CA"/>
        </w:rPr>
        <w:t>présentée par l’appelant en vue de présenter une nouvelle preuve, à savoir une décision de la Commission des libérations conditionnelles du Canada datée du 3 octobre 2013.</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bCs/>
          <w:sz w:val="20"/>
          <w:szCs w:val="20"/>
          <w:lang w:val="fr-CA" w:eastAsia="en-CA"/>
        </w:rPr>
        <w:t>ET APRÈS EXAMEN</w:t>
      </w:r>
      <w:r w:rsidRPr="00FC49CB">
        <w:rPr>
          <w:rFonts w:eastAsia="Times New Roman" w:cs="Times New Roman"/>
          <w:sz w:val="20"/>
          <w:szCs w:val="20"/>
          <w:lang w:val="fr-CA" w:eastAsia="en-CA"/>
        </w:rPr>
        <w:t xml:space="preserve"> des documents déposés;</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bCs/>
          <w:sz w:val="20"/>
          <w:szCs w:val="20"/>
          <w:lang w:val="fr-CA" w:eastAsia="en-CA"/>
        </w:rPr>
        <w:t>IL EST ORDONNÉ CE QUI SUIT :</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ind w:left="360"/>
        <w:jc w:val="both"/>
        <w:rPr>
          <w:rFonts w:eastAsia="Times New Roman" w:cs="Times New Roman"/>
          <w:sz w:val="20"/>
          <w:szCs w:val="20"/>
          <w:lang w:val="fr-CA" w:eastAsia="en-CA"/>
        </w:rPr>
      </w:pPr>
      <w:r w:rsidRPr="00FC49CB">
        <w:rPr>
          <w:rFonts w:eastAsia="Times New Roman" w:cs="Times New Roman"/>
          <w:sz w:val="20"/>
          <w:szCs w:val="20"/>
          <w:lang w:val="fr-CA" w:eastAsia="en-CA"/>
        </w:rPr>
        <w:t>La requête est accueillie.</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BF31AA" w:rsidP="00FC49C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02.04.2014</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Before / Devant :   ROTHSTEIN J. / LE JUGE ROTHSTEIN</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FC49CB" w:rsidRPr="00BF31AA" w:rsidTr="00D16260">
        <w:tc>
          <w:tcPr>
            <w:tcW w:w="4338" w:type="dxa"/>
            <w:gridSpan w:val="2"/>
          </w:tcPr>
          <w:p w:rsidR="00FC49CB" w:rsidRPr="00FC49CB" w:rsidRDefault="00FC49CB" w:rsidP="00FC49CB">
            <w:pPr>
              <w:jc w:val="both"/>
              <w:rPr>
                <w:b/>
              </w:rPr>
            </w:pPr>
            <w:r w:rsidRPr="00FC49CB">
              <w:rPr>
                <w:b/>
                <w:lang w:val="en-US"/>
              </w:rPr>
              <w:t xml:space="preserve">Order on interventions with respect to oral argument </w:t>
            </w:r>
            <w:r w:rsidR="00B55D94" w:rsidRPr="00FC49CB">
              <w:rPr>
                <w:b/>
                <w:lang w:val="en-US"/>
              </w:rPr>
              <w:fldChar w:fldCharType="begin"/>
            </w:r>
            <w:r w:rsidRPr="00FC49CB">
              <w:rPr>
                <w:b/>
              </w:rPr>
              <w:instrText xml:space="preserve"> SEQ CHAPTER \h \r 1</w:instrText>
            </w:r>
            <w:r w:rsidR="00B55D94" w:rsidRPr="00FC49CB">
              <w:rPr>
                <w:b/>
                <w:lang w:val="en-US"/>
              </w:rPr>
              <w:fldChar w:fldCharType="end"/>
            </w:r>
          </w:p>
        </w:tc>
        <w:tc>
          <w:tcPr>
            <w:tcW w:w="1170" w:type="dxa"/>
          </w:tcPr>
          <w:p w:rsidR="00FC49CB" w:rsidRPr="00FC49CB" w:rsidRDefault="00FC49CB" w:rsidP="00FC49CB"/>
          <w:p w:rsidR="00FC49CB" w:rsidRPr="00FC49CB" w:rsidRDefault="00FC49CB" w:rsidP="00FC49CB"/>
          <w:p w:rsidR="00FC49CB" w:rsidRPr="00FC49CB" w:rsidRDefault="00FC49CB" w:rsidP="00FC49CB"/>
        </w:tc>
        <w:tc>
          <w:tcPr>
            <w:tcW w:w="4327" w:type="dxa"/>
          </w:tcPr>
          <w:p w:rsidR="00FC49CB" w:rsidRPr="00FC49CB" w:rsidRDefault="00FC49CB" w:rsidP="00FC49CB">
            <w:pPr>
              <w:jc w:val="both"/>
              <w:rPr>
                <w:b/>
                <w:lang w:val="fr-CA"/>
              </w:rPr>
            </w:pPr>
            <w:r w:rsidRPr="00FC49CB">
              <w:rPr>
                <w:b/>
                <w:lang w:val="fr-CA"/>
              </w:rPr>
              <w:t>Ordonnance relative à la présentation d’une plaidoirie orale par les intervenants</w:t>
            </w:r>
            <w:r w:rsidR="00B55D94" w:rsidRPr="00FC49CB">
              <w:rPr>
                <w:b/>
                <w:lang w:val="en-US"/>
              </w:rPr>
              <w:fldChar w:fldCharType="begin"/>
            </w:r>
            <w:r w:rsidRPr="00FC49CB">
              <w:rPr>
                <w:b/>
                <w:lang w:val="fr-CA"/>
              </w:rPr>
              <w:instrText xml:space="preserve"> SEQ CHAPTER \h \r 1</w:instrText>
            </w:r>
            <w:r w:rsidR="00B55D94" w:rsidRPr="00FC49CB">
              <w:rPr>
                <w:b/>
                <w:lang w:val="en-US"/>
              </w:rPr>
              <w:fldChar w:fldCharType="end"/>
            </w:r>
          </w:p>
        </w:tc>
      </w:tr>
      <w:tr w:rsidR="00FC49CB" w:rsidRPr="00FC49CB" w:rsidTr="00D16260">
        <w:trPr>
          <w:trHeight w:hRule="exact" w:val="547"/>
        </w:trPr>
        <w:tc>
          <w:tcPr>
            <w:tcW w:w="1368" w:type="dxa"/>
          </w:tcPr>
          <w:p w:rsidR="00FC49CB" w:rsidRPr="00FC49CB" w:rsidRDefault="00FC49CB" w:rsidP="00FC49CB">
            <w:r w:rsidRPr="00FC49CB">
              <w:t>RE:</w:t>
            </w:r>
          </w:p>
        </w:tc>
        <w:tc>
          <w:tcPr>
            <w:tcW w:w="2970" w:type="dxa"/>
          </w:tcPr>
          <w:p w:rsidR="00FC49CB" w:rsidRPr="00FC49CB" w:rsidRDefault="00FC49CB" w:rsidP="00FC49CB">
            <w:r w:rsidRPr="00FC49CB">
              <w:t>Canadian Civil Liberties Association</w:t>
            </w:r>
            <w:r w:rsidRPr="00FC49CB">
              <w:rPr>
                <w:lang w:val="en-US"/>
              </w:rPr>
              <w:t>;</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rPr>
          <w:trHeight w:hRule="exact" w:val="547"/>
        </w:trPr>
        <w:tc>
          <w:tcPr>
            <w:tcW w:w="1368" w:type="dxa"/>
          </w:tcPr>
          <w:p w:rsidR="00FC49CB" w:rsidRPr="00FC49CB" w:rsidRDefault="00FC49CB" w:rsidP="00FC49CB"/>
        </w:tc>
        <w:tc>
          <w:tcPr>
            <w:tcW w:w="2970" w:type="dxa"/>
          </w:tcPr>
          <w:p w:rsidR="00FC49CB" w:rsidRPr="00FC49CB" w:rsidRDefault="00FC49CB" w:rsidP="00FC49CB">
            <w:r w:rsidRPr="00FC49CB">
              <w:t>British Columbia Civil Liberties Association;</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rPr>
          <w:trHeight w:hRule="exact" w:val="547"/>
        </w:trPr>
        <w:tc>
          <w:tcPr>
            <w:tcW w:w="1368" w:type="dxa"/>
          </w:tcPr>
          <w:p w:rsidR="00FC49CB" w:rsidRPr="00FC49CB" w:rsidRDefault="00FC49CB" w:rsidP="00FC49CB"/>
        </w:tc>
        <w:tc>
          <w:tcPr>
            <w:tcW w:w="2970" w:type="dxa"/>
          </w:tcPr>
          <w:p w:rsidR="00FC49CB" w:rsidRPr="00FC49CB" w:rsidRDefault="00FC49CB" w:rsidP="00FC49CB">
            <w:r w:rsidRPr="00FC49CB">
              <w:t>Information and Privacy Commissioner of Ontario;</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rPr>
          <w:trHeight w:hRule="exact" w:val="288"/>
        </w:trPr>
        <w:tc>
          <w:tcPr>
            <w:tcW w:w="1368" w:type="dxa"/>
          </w:tcPr>
          <w:p w:rsidR="00FC49CB" w:rsidRPr="00FC49CB" w:rsidRDefault="00FC49CB" w:rsidP="00FC49CB"/>
        </w:tc>
        <w:tc>
          <w:tcPr>
            <w:tcW w:w="2970" w:type="dxa"/>
          </w:tcPr>
          <w:p w:rsidR="00FC49CB" w:rsidRPr="00FC49CB" w:rsidRDefault="00FC49CB" w:rsidP="00FC49CB">
            <w:r w:rsidRPr="00FC49CB">
              <w:t>Privacy Commissioner of Canada</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c>
          <w:tcPr>
            <w:tcW w:w="1368" w:type="dxa"/>
          </w:tcPr>
          <w:p w:rsidR="00FC49CB" w:rsidRPr="00FC49CB" w:rsidRDefault="00FC49CB" w:rsidP="00FC49CB"/>
        </w:tc>
        <w:tc>
          <w:tcPr>
            <w:tcW w:w="2970" w:type="dxa"/>
          </w:tcPr>
          <w:p w:rsidR="00FC49CB" w:rsidRPr="00FC49CB" w:rsidRDefault="00FC49CB" w:rsidP="00FC49CB"/>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c>
          <w:tcPr>
            <w:tcW w:w="1368" w:type="dxa"/>
          </w:tcPr>
          <w:p w:rsidR="00FC49CB" w:rsidRPr="00FC49CB" w:rsidRDefault="00FC49CB" w:rsidP="00FC49CB">
            <w:r w:rsidRPr="00FC49CB">
              <w:t>IN / DANS :</w:t>
            </w:r>
          </w:p>
        </w:tc>
        <w:tc>
          <w:tcPr>
            <w:tcW w:w="2970" w:type="dxa"/>
          </w:tcPr>
          <w:p w:rsidR="00FC49CB" w:rsidRPr="00FC49CB" w:rsidRDefault="00FC49CB" w:rsidP="00FC49CB">
            <w:r w:rsidRPr="00FC49CB">
              <w:t>Andrew Gordon Wakeling et al.</w:t>
            </w:r>
          </w:p>
          <w:p w:rsidR="00FC49CB" w:rsidRPr="00FC49CB" w:rsidRDefault="00FC49CB" w:rsidP="00FC49CB"/>
          <w:p w:rsidR="00FC49CB" w:rsidRPr="00FC49CB" w:rsidRDefault="00FC49CB" w:rsidP="00FC49CB">
            <w:r w:rsidRPr="00FC49CB">
              <w:tab/>
              <w:t>c. (35072)</w:t>
            </w:r>
          </w:p>
          <w:p w:rsidR="00FC49CB" w:rsidRPr="00FC49CB" w:rsidRDefault="00FC49CB" w:rsidP="00FC49CB"/>
          <w:p w:rsidR="00FC49CB" w:rsidRPr="00FC49CB" w:rsidRDefault="00FC49CB" w:rsidP="00FC49CB">
            <w:r w:rsidRPr="00FC49CB">
              <w:t>Attorney General of Canada on behalf of the United States of America et al. (Crim.) (B.C.)</w:t>
            </w:r>
          </w:p>
        </w:tc>
        <w:tc>
          <w:tcPr>
            <w:tcW w:w="1170" w:type="dxa"/>
          </w:tcPr>
          <w:p w:rsidR="00FC49CB" w:rsidRPr="00FC49CB" w:rsidRDefault="00FC49CB" w:rsidP="00FC49CB"/>
        </w:tc>
        <w:tc>
          <w:tcPr>
            <w:tcW w:w="4327" w:type="dxa"/>
          </w:tcPr>
          <w:p w:rsidR="00FC49CB" w:rsidRPr="00FC49CB" w:rsidRDefault="00FC49CB" w:rsidP="00FC49CB"/>
        </w:tc>
      </w:tr>
    </w:tbl>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bCs/>
          <w:sz w:val="20"/>
          <w:szCs w:val="20"/>
          <w:lang w:eastAsia="en-CA"/>
        </w:rPr>
      </w:pPr>
      <w:r w:rsidRPr="00FC49CB">
        <w:rPr>
          <w:rFonts w:eastAsia="Times New Roman" w:cs="Times New Roman"/>
          <w:b/>
          <w:bCs/>
          <w:sz w:val="20"/>
          <w:szCs w:val="20"/>
          <w:lang w:eastAsia="en-CA"/>
        </w:rPr>
        <w:t>FURTHER TO THE ORDER</w:t>
      </w:r>
      <w:r w:rsidRPr="00FC49CB">
        <w:rPr>
          <w:rFonts w:eastAsia="Times New Roman" w:cs="Times New Roman"/>
          <w:sz w:val="20"/>
          <w:szCs w:val="20"/>
          <w:lang w:eastAsia="en-CA"/>
        </w:rPr>
        <w:t xml:space="preserve"> dated February 4, 2014, granting leave to intervene to</w:t>
      </w:r>
      <w:r w:rsidRPr="00FC49CB">
        <w:rPr>
          <w:rFonts w:eastAsia="Times New Roman" w:cs="Times New Roman"/>
          <w:b/>
          <w:bCs/>
          <w:sz w:val="20"/>
          <w:szCs w:val="20"/>
          <w:lang w:eastAsia="en-CA"/>
        </w:rPr>
        <w:t xml:space="preserve"> </w:t>
      </w:r>
      <w:r w:rsidRPr="00FC49CB">
        <w:rPr>
          <w:rFonts w:eastAsia="Times New Roman" w:cs="Times New Roman"/>
          <w:sz w:val="20"/>
          <w:szCs w:val="20"/>
          <w:lang w:eastAsia="en-CA"/>
        </w:rPr>
        <w:t>the Canadian Civil Liberties Association, the British Columbia Civil Liberties Association, the Information and Privacy Commissioner of Ontario and the Privacy Commissioner of Canada;</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r w:rsidRPr="00FC49CB">
        <w:rPr>
          <w:rFonts w:eastAsia="Times New Roman" w:cs="Times New Roman"/>
          <w:b/>
          <w:bCs/>
          <w:sz w:val="20"/>
          <w:szCs w:val="20"/>
          <w:lang w:eastAsia="en-CA"/>
        </w:rPr>
        <w:t xml:space="preserve">IT IS HEREBY FURTHER ORDERED THAT: </w:t>
      </w:r>
      <w:r w:rsidRPr="00FC49CB">
        <w:rPr>
          <w:rFonts w:eastAsia="Times New Roman" w:cs="Times New Roman"/>
          <w:sz w:val="20"/>
          <w:szCs w:val="20"/>
          <w:lang w:eastAsia="en-CA"/>
        </w:rPr>
        <w:t>the said interveners are each granted permission to present oral argument not exceeding ten (10) minutes at the hearing of the appeal.</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bCs/>
          <w:sz w:val="20"/>
          <w:szCs w:val="20"/>
          <w:lang w:val="fr-CA" w:eastAsia="en-CA"/>
        </w:rPr>
        <w:t>À LA SUITE DE L’ORDONNANCE</w:t>
      </w:r>
      <w:r w:rsidRPr="00FC49CB">
        <w:rPr>
          <w:rFonts w:eastAsia="Times New Roman" w:cs="Times New Roman"/>
          <w:sz w:val="20"/>
          <w:szCs w:val="20"/>
          <w:lang w:val="fr-CA" w:eastAsia="en-CA"/>
        </w:rPr>
        <w:t xml:space="preserve"> datée du 4 février 2014 autorisant l’Association canadienne des libertés civiles, l’Association des libertés civiles de la Colombie</w:t>
      </w:r>
      <w:r w:rsidRPr="00FC49CB">
        <w:rPr>
          <w:rFonts w:eastAsia="Times New Roman" w:cs="Times New Roman"/>
          <w:sz w:val="20"/>
          <w:szCs w:val="20"/>
          <w:lang w:val="fr-CA" w:eastAsia="en-CA"/>
        </w:rPr>
        <w:noBreakHyphen/>
        <w:t>Britannique, le Commissaire à l’information et à la protection de la vie privée de l’Ontario et le Commissaire à la protection de la vie privée du Canada à intervenir;</w:t>
      </w:r>
    </w:p>
    <w:p w:rsidR="00FC49CB" w:rsidRPr="00FC49CB" w:rsidRDefault="00FC49CB" w:rsidP="00FC49CB">
      <w:pPr>
        <w:spacing w:line="233" w:lineRule="auto"/>
        <w:jc w:val="both"/>
        <w:rPr>
          <w:rFonts w:eastAsia="Times New Roman" w:cs="Times New Roman"/>
          <w:sz w:val="20"/>
          <w:szCs w:val="20"/>
          <w:lang w:val="fr-CA" w:eastAsia="en-CA"/>
        </w:rPr>
      </w:pPr>
    </w:p>
    <w:p w:rsidR="00FC49CB" w:rsidRDefault="00FC49CB">
      <w:pPr>
        <w:rPr>
          <w:rFonts w:eastAsia="Times New Roman" w:cs="Times New Roman"/>
          <w:b/>
          <w:bCs/>
          <w:sz w:val="20"/>
          <w:szCs w:val="20"/>
          <w:lang w:val="fr-CA" w:eastAsia="en-CA"/>
        </w:rPr>
      </w:pPr>
      <w:r>
        <w:rPr>
          <w:rFonts w:eastAsia="Times New Roman" w:cs="Times New Roman"/>
          <w:b/>
          <w:bCs/>
          <w:sz w:val="20"/>
          <w:szCs w:val="20"/>
          <w:lang w:val="fr-CA" w:eastAsia="en-CA"/>
        </w:rPr>
        <w:br w:type="page"/>
      </w: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bCs/>
          <w:sz w:val="20"/>
          <w:szCs w:val="20"/>
          <w:lang w:val="fr-CA" w:eastAsia="en-CA"/>
        </w:rPr>
        <w:lastRenderedPageBreak/>
        <w:t>IL EST EN OUTRE ORDONNÉ QUE</w:t>
      </w:r>
      <w:r w:rsidRPr="00FC49CB">
        <w:rPr>
          <w:rFonts w:eastAsia="Times New Roman" w:cs="Times New Roman"/>
          <w:sz w:val="20"/>
          <w:szCs w:val="20"/>
          <w:lang w:val="fr-CA" w:eastAsia="en-CA"/>
        </w:rPr>
        <w:t xml:space="preserve"> chacun de ces intervenants est autorisé à présenter une plaidoirie orale d’au plus (10) minutes lors de l’audition de l’appel.</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BF31AA" w:rsidP="00FC49C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03.04.2014</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Before / Devant :   MOLDAVER J. / LE JUGE MOLDAVER</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FC49CB" w:rsidRPr="00BF31AA" w:rsidTr="00D16260">
        <w:tc>
          <w:tcPr>
            <w:tcW w:w="4338" w:type="dxa"/>
            <w:gridSpan w:val="2"/>
          </w:tcPr>
          <w:p w:rsidR="00FC49CB" w:rsidRPr="00FC49CB" w:rsidRDefault="00FC49CB" w:rsidP="00FC49CB">
            <w:pPr>
              <w:jc w:val="both"/>
              <w:rPr>
                <w:b/>
              </w:rPr>
            </w:pPr>
            <w:r w:rsidRPr="00FC49CB">
              <w:rPr>
                <w:b/>
                <w:lang w:val="en-US"/>
              </w:rPr>
              <w:t xml:space="preserve">Order on intervention with respect to oral argument </w:t>
            </w:r>
            <w:r w:rsidR="00B55D94" w:rsidRPr="00FC49CB">
              <w:rPr>
                <w:b/>
                <w:lang w:val="en-US"/>
              </w:rPr>
              <w:fldChar w:fldCharType="begin"/>
            </w:r>
            <w:r w:rsidRPr="00FC49CB">
              <w:rPr>
                <w:b/>
              </w:rPr>
              <w:instrText xml:space="preserve"> SEQ CHAPTER \h \r 1</w:instrText>
            </w:r>
            <w:r w:rsidR="00B55D94" w:rsidRPr="00FC49CB">
              <w:rPr>
                <w:b/>
                <w:lang w:val="en-US"/>
              </w:rPr>
              <w:fldChar w:fldCharType="end"/>
            </w:r>
          </w:p>
        </w:tc>
        <w:tc>
          <w:tcPr>
            <w:tcW w:w="1170" w:type="dxa"/>
          </w:tcPr>
          <w:p w:rsidR="00FC49CB" w:rsidRPr="00FC49CB" w:rsidRDefault="00FC49CB" w:rsidP="00FC49CB"/>
          <w:p w:rsidR="00FC49CB" w:rsidRPr="00FC49CB" w:rsidRDefault="00FC49CB" w:rsidP="00FC49CB"/>
          <w:p w:rsidR="00FC49CB" w:rsidRPr="00FC49CB" w:rsidRDefault="00FC49CB" w:rsidP="00FC49CB"/>
        </w:tc>
        <w:tc>
          <w:tcPr>
            <w:tcW w:w="4327" w:type="dxa"/>
          </w:tcPr>
          <w:p w:rsidR="00FC49CB" w:rsidRPr="00FC49CB" w:rsidRDefault="00FC49CB" w:rsidP="00FC49CB">
            <w:pPr>
              <w:jc w:val="both"/>
              <w:rPr>
                <w:b/>
                <w:lang w:val="fr-CA"/>
              </w:rPr>
            </w:pPr>
            <w:r w:rsidRPr="00FC49CB">
              <w:rPr>
                <w:b/>
                <w:lang w:val="fr-CA"/>
              </w:rPr>
              <w:t>Ordonnance relative à la présentation d’une plaidoirie orale par l’intervenante</w:t>
            </w:r>
            <w:r w:rsidR="00B55D94" w:rsidRPr="00FC49CB">
              <w:rPr>
                <w:b/>
                <w:lang w:val="en-US"/>
              </w:rPr>
              <w:fldChar w:fldCharType="begin"/>
            </w:r>
            <w:r w:rsidRPr="00FC49CB">
              <w:rPr>
                <w:b/>
                <w:lang w:val="fr-CA"/>
              </w:rPr>
              <w:instrText xml:space="preserve"> SEQ CHAPTER \h \r 1</w:instrText>
            </w:r>
            <w:r w:rsidR="00B55D94" w:rsidRPr="00FC49CB">
              <w:rPr>
                <w:b/>
                <w:lang w:val="en-US"/>
              </w:rPr>
              <w:fldChar w:fldCharType="end"/>
            </w:r>
          </w:p>
        </w:tc>
      </w:tr>
      <w:tr w:rsidR="00FC49CB" w:rsidRPr="00FC49CB" w:rsidTr="00D16260">
        <w:tc>
          <w:tcPr>
            <w:tcW w:w="1368" w:type="dxa"/>
          </w:tcPr>
          <w:p w:rsidR="00FC49CB" w:rsidRPr="00FC49CB" w:rsidRDefault="00FC49CB" w:rsidP="00FC49CB">
            <w:r w:rsidRPr="00FC49CB">
              <w:t>RE:</w:t>
            </w:r>
          </w:p>
        </w:tc>
        <w:tc>
          <w:tcPr>
            <w:tcW w:w="2970" w:type="dxa"/>
          </w:tcPr>
          <w:p w:rsidR="00FC49CB" w:rsidRPr="00FC49CB" w:rsidRDefault="00FC49CB" w:rsidP="00FC49CB">
            <w:r w:rsidRPr="00FC49CB">
              <w:t>Criminal Lawyers’ Association (Ontario)</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c>
          <w:tcPr>
            <w:tcW w:w="1368" w:type="dxa"/>
          </w:tcPr>
          <w:p w:rsidR="00FC49CB" w:rsidRPr="00FC49CB" w:rsidRDefault="00FC49CB" w:rsidP="00FC49CB"/>
        </w:tc>
        <w:tc>
          <w:tcPr>
            <w:tcW w:w="2970" w:type="dxa"/>
          </w:tcPr>
          <w:p w:rsidR="00FC49CB" w:rsidRPr="00FC49CB" w:rsidRDefault="00FC49CB" w:rsidP="00FC49CB"/>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c>
          <w:tcPr>
            <w:tcW w:w="1368" w:type="dxa"/>
          </w:tcPr>
          <w:p w:rsidR="00FC49CB" w:rsidRPr="00FC49CB" w:rsidRDefault="00FC49CB" w:rsidP="00FC49CB">
            <w:r w:rsidRPr="00FC49CB">
              <w:t>IN / DANS :</w:t>
            </w:r>
          </w:p>
        </w:tc>
        <w:tc>
          <w:tcPr>
            <w:tcW w:w="2970" w:type="dxa"/>
          </w:tcPr>
          <w:p w:rsidR="00FC49CB" w:rsidRPr="00FC49CB" w:rsidRDefault="00FC49CB" w:rsidP="00FC49CB">
            <w:r w:rsidRPr="00FC49CB">
              <w:t>James Peter Sipos</w:t>
            </w:r>
          </w:p>
          <w:p w:rsidR="00FC49CB" w:rsidRPr="00FC49CB" w:rsidRDefault="00FC49CB" w:rsidP="00FC49CB"/>
          <w:p w:rsidR="00FC49CB" w:rsidRPr="00FC49CB" w:rsidRDefault="00FC49CB" w:rsidP="00FC49CB">
            <w:r w:rsidRPr="00FC49CB">
              <w:tab/>
              <w:t>c. (35310)</w:t>
            </w:r>
          </w:p>
          <w:p w:rsidR="00FC49CB" w:rsidRPr="00FC49CB" w:rsidRDefault="00FC49CB" w:rsidP="00FC49CB"/>
          <w:p w:rsidR="00FC49CB" w:rsidRPr="00FC49CB" w:rsidRDefault="00FC49CB" w:rsidP="00FC49CB">
            <w:r w:rsidRPr="00FC49CB">
              <w:t>Her Majesty the Queen (Crim.) (Ont.)</w:t>
            </w:r>
          </w:p>
        </w:tc>
        <w:tc>
          <w:tcPr>
            <w:tcW w:w="1170" w:type="dxa"/>
          </w:tcPr>
          <w:p w:rsidR="00FC49CB" w:rsidRPr="00FC49CB" w:rsidRDefault="00FC49CB" w:rsidP="00FC49CB"/>
        </w:tc>
        <w:tc>
          <w:tcPr>
            <w:tcW w:w="4327" w:type="dxa"/>
          </w:tcPr>
          <w:p w:rsidR="00FC49CB" w:rsidRPr="00FC49CB" w:rsidRDefault="00FC49CB" w:rsidP="00FC49CB"/>
        </w:tc>
      </w:tr>
    </w:tbl>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bCs/>
          <w:sz w:val="20"/>
          <w:szCs w:val="20"/>
          <w:lang w:eastAsia="en-CA"/>
        </w:rPr>
      </w:pPr>
      <w:r w:rsidRPr="00FC49CB">
        <w:rPr>
          <w:rFonts w:eastAsia="Times New Roman" w:cs="Times New Roman"/>
          <w:b/>
          <w:bCs/>
          <w:sz w:val="20"/>
          <w:szCs w:val="20"/>
          <w:lang w:eastAsia="en-CA"/>
        </w:rPr>
        <w:t>FURTHER TO THE ORDER</w:t>
      </w:r>
      <w:r w:rsidRPr="00FC49CB">
        <w:rPr>
          <w:rFonts w:eastAsia="Times New Roman" w:cs="Times New Roman"/>
          <w:sz w:val="20"/>
          <w:szCs w:val="20"/>
          <w:lang w:eastAsia="en-CA"/>
        </w:rPr>
        <w:t xml:space="preserve"> dated March 6, 2014, granting leave to intervene to</w:t>
      </w:r>
      <w:r w:rsidRPr="00FC49CB">
        <w:rPr>
          <w:rFonts w:eastAsia="Times New Roman" w:cs="Times New Roman"/>
          <w:b/>
          <w:bCs/>
          <w:sz w:val="20"/>
          <w:szCs w:val="20"/>
          <w:lang w:eastAsia="en-CA"/>
        </w:rPr>
        <w:t xml:space="preserve"> </w:t>
      </w:r>
      <w:r w:rsidRPr="00FC49CB">
        <w:rPr>
          <w:rFonts w:eastAsia="Times New Roman" w:cs="Times New Roman"/>
          <w:sz w:val="20"/>
          <w:szCs w:val="20"/>
          <w:lang w:eastAsia="en-CA"/>
        </w:rPr>
        <w:t>the Criminal Lawyers’ Association (Ontario);</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r w:rsidRPr="00FC49CB">
        <w:rPr>
          <w:rFonts w:eastAsia="Times New Roman" w:cs="Times New Roman"/>
          <w:b/>
          <w:bCs/>
          <w:sz w:val="20"/>
          <w:szCs w:val="20"/>
          <w:lang w:eastAsia="en-CA"/>
        </w:rPr>
        <w:t xml:space="preserve">IT IS HEREBY FURTHER ORDERED THAT: </w:t>
      </w:r>
      <w:r w:rsidRPr="00FC49CB">
        <w:rPr>
          <w:rFonts w:eastAsia="Times New Roman" w:cs="Times New Roman"/>
          <w:sz w:val="20"/>
          <w:szCs w:val="20"/>
          <w:lang w:eastAsia="en-CA"/>
        </w:rPr>
        <w:t>the said intervener is granted permission to present oral argument not exceeding ten (10) minutes at the hearing of the appeal.</w:t>
      </w:r>
    </w:p>
    <w:p w:rsidR="00FC49CB" w:rsidRPr="00FC49CB" w:rsidRDefault="00FC49CB" w:rsidP="00FC49CB">
      <w:pPr>
        <w:spacing w:line="233" w:lineRule="auto"/>
        <w:jc w:val="both"/>
        <w:rPr>
          <w:rFonts w:eastAsia="Times New Roman" w:cs="Times New Roman"/>
          <w:bCs/>
          <w:sz w:val="20"/>
          <w:szCs w:val="20"/>
          <w:lang w:eastAsia="en-CA"/>
        </w:rPr>
      </w:pPr>
    </w:p>
    <w:p w:rsidR="00FC49CB" w:rsidRPr="00FC49CB" w:rsidRDefault="00FC49CB" w:rsidP="00FC49CB">
      <w:pPr>
        <w:spacing w:line="233" w:lineRule="auto"/>
        <w:jc w:val="both"/>
        <w:rPr>
          <w:rFonts w:eastAsia="Times New Roman" w:cs="Times New Roman"/>
          <w:bCs/>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bCs/>
          <w:sz w:val="20"/>
          <w:szCs w:val="20"/>
          <w:lang w:val="fr-CA" w:eastAsia="en-CA"/>
        </w:rPr>
      </w:pPr>
      <w:r w:rsidRPr="00FC49CB">
        <w:rPr>
          <w:rFonts w:eastAsia="Times New Roman" w:cs="Times New Roman"/>
          <w:b/>
          <w:bCs/>
          <w:sz w:val="20"/>
          <w:szCs w:val="20"/>
          <w:lang w:val="fr-CA" w:eastAsia="en-CA"/>
        </w:rPr>
        <w:t>À LA SUITE DE L’ORDONNANCE</w:t>
      </w:r>
      <w:r w:rsidRPr="00FC49CB">
        <w:rPr>
          <w:rFonts w:eastAsia="Times New Roman" w:cs="Times New Roman"/>
          <w:sz w:val="20"/>
          <w:szCs w:val="20"/>
          <w:lang w:val="fr-CA" w:eastAsia="en-CA"/>
        </w:rPr>
        <w:t xml:space="preserve"> datée du 6 mars 2014 autorisant la Criminal Lawyers’ Association (Ontario) à intervenir;</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FC49CB" w:rsidP="00FC49CB">
      <w:pPr>
        <w:spacing w:line="233" w:lineRule="auto"/>
        <w:jc w:val="both"/>
        <w:rPr>
          <w:rFonts w:eastAsia="Times New Roman" w:cs="Times New Roman"/>
          <w:sz w:val="20"/>
          <w:szCs w:val="20"/>
          <w:lang w:val="fr-CA" w:eastAsia="en-CA"/>
        </w:rPr>
      </w:pPr>
      <w:r w:rsidRPr="00FC49CB">
        <w:rPr>
          <w:rFonts w:eastAsia="Times New Roman" w:cs="Times New Roman"/>
          <w:b/>
          <w:bCs/>
          <w:sz w:val="20"/>
          <w:szCs w:val="20"/>
          <w:lang w:val="fr-CA" w:eastAsia="en-CA"/>
        </w:rPr>
        <w:t xml:space="preserve">IL EST EN OUTRE ORDONNÉ QUE </w:t>
      </w:r>
      <w:r w:rsidRPr="00FC49CB">
        <w:rPr>
          <w:rFonts w:eastAsia="Times New Roman" w:cs="Times New Roman"/>
          <w:sz w:val="20"/>
          <w:szCs w:val="20"/>
          <w:lang w:val="fr-CA" w:eastAsia="en-CA"/>
        </w:rPr>
        <w:t>cette intervenante est autorisée à présenter une plaidoirie orale d’au plus dix (10) minutes lors de l’audition de l’appel.</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BF31AA" w:rsidP="00FC49C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03.04.2014</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Before / Devant :   WAGNER J. / LE JUGE WAGNER</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C49CB" w:rsidRPr="00BF31AA" w:rsidTr="00D16260">
        <w:tc>
          <w:tcPr>
            <w:tcW w:w="4338" w:type="dxa"/>
          </w:tcPr>
          <w:p w:rsidR="00FC49CB" w:rsidRPr="00FC49CB" w:rsidRDefault="00FC49CB" w:rsidP="00D16260">
            <w:pPr>
              <w:tabs>
                <w:tab w:val="left" w:pos="-1440"/>
                <w:tab w:val="left" w:pos="-720"/>
              </w:tabs>
              <w:jc w:val="both"/>
              <w:rPr>
                <w:b/>
              </w:rPr>
            </w:pPr>
            <w:r w:rsidRPr="00FC49CB">
              <w:rPr>
                <w:b/>
                <w:bCs/>
                <w:lang w:val="en-GB"/>
              </w:rPr>
              <w:t>Motion to file a lengthy factum</w:t>
            </w:r>
          </w:p>
        </w:tc>
        <w:tc>
          <w:tcPr>
            <w:tcW w:w="1170" w:type="dxa"/>
          </w:tcPr>
          <w:p w:rsidR="00FC49CB" w:rsidRPr="00FC49CB" w:rsidRDefault="00FC49CB" w:rsidP="00D16260">
            <w:pPr>
              <w:tabs>
                <w:tab w:val="left" w:pos="-1440"/>
                <w:tab w:val="left" w:pos="-720"/>
              </w:tabs>
              <w:jc w:val="both"/>
            </w:pPr>
          </w:p>
          <w:p w:rsidR="00FC49CB" w:rsidRPr="00FC49CB" w:rsidRDefault="00FC49CB" w:rsidP="00D16260">
            <w:pPr>
              <w:tabs>
                <w:tab w:val="left" w:pos="-1440"/>
                <w:tab w:val="left" w:pos="-720"/>
              </w:tabs>
              <w:jc w:val="both"/>
            </w:pPr>
          </w:p>
          <w:p w:rsidR="00FC49CB" w:rsidRPr="00FC49CB" w:rsidRDefault="00FC49CB" w:rsidP="00D16260">
            <w:pPr>
              <w:tabs>
                <w:tab w:val="left" w:pos="-1440"/>
                <w:tab w:val="left" w:pos="-720"/>
              </w:tabs>
              <w:jc w:val="both"/>
            </w:pPr>
          </w:p>
        </w:tc>
        <w:tc>
          <w:tcPr>
            <w:tcW w:w="4327" w:type="dxa"/>
          </w:tcPr>
          <w:p w:rsidR="00FC49CB" w:rsidRPr="00FC49CB" w:rsidRDefault="00FC49CB" w:rsidP="00D16260">
            <w:pPr>
              <w:tabs>
                <w:tab w:val="left" w:pos="-1440"/>
                <w:tab w:val="left" w:pos="-720"/>
              </w:tabs>
              <w:jc w:val="both"/>
              <w:rPr>
                <w:b/>
                <w:lang w:val="fr-CA"/>
              </w:rPr>
            </w:pPr>
            <w:r w:rsidRPr="00FC49CB">
              <w:rPr>
                <w:b/>
                <w:bCs/>
                <w:lang w:val="fr-CA"/>
              </w:rPr>
              <w:t>Requête en vue de déposer un mémoire volumineux</w:t>
            </w:r>
          </w:p>
        </w:tc>
      </w:tr>
      <w:tr w:rsidR="00FC49CB" w:rsidRPr="00BF31AA" w:rsidTr="00D16260">
        <w:tc>
          <w:tcPr>
            <w:tcW w:w="4338" w:type="dxa"/>
          </w:tcPr>
          <w:p w:rsidR="00FC49CB" w:rsidRPr="00FC49CB" w:rsidRDefault="00FC49CB" w:rsidP="00D16260">
            <w:pPr>
              <w:tabs>
                <w:tab w:val="left" w:pos="-1440"/>
                <w:tab w:val="left" w:pos="-720"/>
              </w:tabs>
              <w:jc w:val="both"/>
              <w:rPr>
                <w:lang w:val="fr-CA"/>
              </w:rPr>
            </w:pPr>
            <w:r w:rsidRPr="00FC49CB">
              <w:rPr>
                <w:lang w:val="fr-CA"/>
              </w:rPr>
              <w:t>Procureur général du Québec</w:t>
            </w:r>
          </w:p>
          <w:p w:rsidR="00FC49CB" w:rsidRPr="00FC49CB" w:rsidRDefault="00FC49CB" w:rsidP="00D16260">
            <w:pPr>
              <w:tabs>
                <w:tab w:val="left" w:pos="-1440"/>
                <w:tab w:val="left" w:pos="-720"/>
              </w:tabs>
              <w:jc w:val="both"/>
              <w:rPr>
                <w:lang w:val="fr-CA"/>
              </w:rPr>
            </w:pPr>
          </w:p>
          <w:p w:rsidR="00FC49CB" w:rsidRPr="00FC49CB" w:rsidRDefault="00FC49CB" w:rsidP="00D16260">
            <w:pPr>
              <w:tabs>
                <w:tab w:val="left" w:pos="-1440"/>
                <w:tab w:val="left" w:pos="-720"/>
              </w:tabs>
              <w:jc w:val="both"/>
              <w:rPr>
                <w:lang w:val="fr-CA"/>
              </w:rPr>
            </w:pPr>
            <w:r w:rsidRPr="00FC49CB">
              <w:rPr>
                <w:lang w:val="fr-CA"/>
              </w:rPr>
              <w:tab/>
              <w:t>c. (35448)</w:t>
            </w:r>
          </w:p>
          <w:p w:rsidR="00FC49CB" w:rsidRPr="00FC49CB" w:rsidRDefault="00FC49CB" w:rsidP="00D16260">
            <w:pPr>
              <w:tabs>
                <w:tab w:val="left" w:pos="-1440"/>
                <w:tab w:val="left" w:pos="-720"/>
              </w:tabs>
              <w:jc w:val="both"/>
              <w:rPr>
                <w:lang w:val="fr-CA"/>
              </w:rPr>
            </w:pPr>
          </w:p>
          <w:p w:rsidR="00FC49CB" w:rsidRPr="00FC49CB" w:rsidRDefault="00FC49CB" w:rsidP="00D16260">
            <w:pPr>
              <w:tabs>
                <w:tab w:val="left" w:pos="-1440"/>
                <w:tab w:val="left" w:pos="-720"/>
              </w:tabs>
              <w:jc w:val="both"/>
              <w:rPr>
                <w:lang w:val="fr-CA"/>
              </w:rPr>
            </w:pPr>
            <w:r w:rsidRPr="00FC49CB">
              <w:rPr>
                <w:lang w:val="fr-CA"/>
              </w:rPr>
              <w:t>Procureur général du Canada et autres (Qc)</w:t>
            </w:r>
          </w:p>
        </w:tc>
        <w:tc>
          <w:tcPr>
            <w:tcW w:w="1170" w:type="dxa"/>
          </w:tcPr>
          <w:p w:rsidR="00FC49CB" w:rsidRPr="00FC49CB" w:rsidRDefault="00FC49CB" w:rsidP="00D16260">
            <w:pPr>
              <w:tabs>
                <w:tab w:val="left" w:pos="-1440"/>
                <w:tab w:val="left" w:pos="-720"/>
              </w:tabs>
              <w:jc w:val="both"/>
              <w:rPr>
                <w:lang w:val="fr-CA"/>
              </w:rPr>
            </w:pPr>
          </w:p>
        </w:tc>
        <w:tc>
          <w:tcPr>
            <w:tcW w:w="4327" w:type="dxa"/>
          </w:tcPr>
          <w:p w:rsidR="00FC49CB" w:rsidRPr="00FC49CB" w:rsidRDefault="00FC49CB" w:rsidP="00D16260">
            <w:pPr>
              <w:tabs>
                <w:tab w:val="left" w:pos="-1440"/>
                <w:tab w:val="left" w:pos="-720"/>
              </w:tabs>
              <w:jc w:val="both"/>
              <w:rPr>
                <w:lang w:val="fr-CA"/>
              </w:rPr>
            </w:pPr>
          </w:p>
        </w:tc>
      </w:tr>
    </w:tbl>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b/>
          <w:sz w:val="20"/>
          <w:szCs w:val="20"/>
          <w:lang w:eastAsia="en-CA"/>
        </w:rPr>
      </w:pPr>
      <w:r w:rsidRPr="00FC49CB">
        <w:rPr>
          <w:rFonts w:eastAsia="Times New Roman" w:cs="Times New Roman"/>
          <w:b/>
          <w:sz w:val="20"/>
          <w:szCs w:val="20"/>
          <w:lang w:eastAsia="en-CA"/>
        </w:rPr>
        <w:t>DISMISSED / REJETÉE</w:t>
      </w:r>
    </w:p>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rPr>
          <w:rFonts w:eastAsia="Times New Roman" w:cs="Times New Roman"/>
          <w:sz w:val="20"/>
          <w:szCs w:val="20"/>
          <w:lang w:eastAsia="en-CA"/>
        </w:rPr>
      </w:pPr>
      <w:r w:rsidRPr="00FC49CB">
        <w:rPr>
          <w:rFonts w:eastAsia="Times New Roman" w:cs="Times New Roman"/>
          <w:b/>
          <w:bCs/>
          <w:sz w:val="20"/>
          <w:szCs w:val="20"/>
          <w:lang w:eastAsia="en-CA"/>
        </w:rPr>
        <w:t xml:space="preserve">UPON APPLICATION </w:t>
      </w:r>
      <w:r w:rsidRPr="00FC49CB">
        <w:rPr>
          <w:rFonts w:eastAsia="Times New Roman" w:cs="Times New Roman"/>
          <w:sz w:val="20"/>
          <w:szCs w:val="20"/>
          <w:lang w:eastAsia="en-CA"/>
        </w:rPr>
        <w:t>by the Attorney General of Quebec</w:t>
      </w:r>
      <w:r w:rsidRPr="00FC49CB">
        <w:rPr>
          <w:rFonts w:eastAsia="Times New Roman" w:cs="Times New Roman"/>
          <w:bCs/>
          <w:sz w:val="20"/>
          <w:szCs w:val="20"/>
          <w:lang w:eastAsia="en-CA"/>
        </w:rPr>
        <w:t xml:space="preserve"> for an order permitting the filing of a 50-page factum</w:t>
      </w:r>
      <w:r w:rsidRPr="00FC49CB">
        <w:rPr>
          <w:rFonts w:eastAsia="Times New Roman" w:cs="Times New Roman"/>
          <w:sz w:val="20"/>
          <w:szCs w:val="20"/>
          <w:lang w:eastAsia="en-CA"/>
        </w:rPr>
        <w:t>;</w:t>
      </w:r>
    </w:p>
    <w:p w:rsidR="00FC49CB" w:rsidRPr="00FC49CB" w:rsidRDefault="00FC49CB" w:rsidP="00FC49CB">
      <w:pPr>
        <w:rPr>
          <w:rFonts w:eastAsia="Times New Roman" w:cs="Times New Roman"/>
          <w:sz w:val="20"/>
          <w:szCs w:val="20"/>
          <w:lang w:eastAsia="en-CA"/>
        </w:rPr>
      </w:pPr>
    </w:p>
    <w:p w:rsidR="00FC49CB" w:rsidRDefault="00FC49CB">
      <w:pPr>
        <w:rPr>
          <w:rFonts w:eastAsia="Times New Roman" w:cs="Times New Roman"/>
          <w:b/>
          <w:bCs/>
          <w:sz w:val="20"/>
          <w:szCs w:val="20"/>
          <w:lang w:eastAsia="en-CA"/>
        </w:rPr>
      </w:pPr>
      <w:r>
        <w:rPr>
          <w:rFonts w:eastAsia="Times New Roman" w:cs="Times New Roman"/>
          <w:b/>
          <w:bCs/>
          <w:sz w:val="20"/>
          <w:szCs w:val="20"/>
          <w:lang w:eastAsia="en-CA"/>
        </w:rPr>
        <w:br w:type="page"/>
      </w:r>
    </w:p>
    <w:p w:rsidR="00FC49CB" w:rsidRPr="00FC49CB" w:rsidRDefault="00FC49CB" w:rsidP="00FC49CB">
      <w:pPr>
        <w:spacing w:line="233" w:lineRule="auto"/>
        <w:rPr>
          <w:rFonts w:eastAsia="Times New Roman" w:cs="Times New Roman"/>
          <w:sz w:val="20"/>
          <w:szCs w:val="20"/>
          <w:lang w:eastAsia="en-CA"/>
        </w:rPr>
      </w:pPr>
      <w:r w:rsidRPr="00FC49CB">
        <w:rPr>
          <w:rFonts w:eastAsia="Times New Roman" w:cs="Times New Roman"/>
          <w:b/>
          <w:bCs/>
          <w:sz w:val="20"/>
          <w:szCs w:val="20"/>
          <w:lang w:eastAsia="en-CA"/>
        </w:rPr>
        <w:lastRenderedPageBreak/>
        <w:t xml:space="preserve">AND THE MATERIAL FILED </w:t>
      </w:r>
      <w:r w:rsidRPr="00FC49CB">
        <w:rPr>
          <w:rFonts w:eastAsia="Times New Roman" w:cs="Times New Roman"/>
          <w:sz w:val="20"/>
          <w:szCs w:val="20"/>
          <w:lang w:eastAsia="en-CA"/>
        </w:rPr>
        <w:t xml:space="preserve">having been read; </w:t>
      </w:r>
    </w:p>
    <w:p w:rsidR="00FC49CB" w:rsidRPr="00FC49CB" w:rsidRDefault="00FC49CB" w:rsidP="00FC49CB">
      <w:pPr>
        <w:spacing w:line="233" w:lineRule="auto"/>
        <w:rPr>
          <w:rFonts w:eastAsia="Times New Roman" w:cs="Times New Roman"/>
          <w:sz w:val="20"/>
          <w:szCs w:val="20"/>
          <w:lang w:eastAsia="en-CA"/>
        </w:rPr>
      </w:pPr>
    </w:p>
    <w:p w:rsidR="00FC49CB" w:rsidRPr="00FC49CB" w:rsidRDefault="00FC49CB" w:rsidP="00FC49CB">
      <w:pPr>
        <w:spacing w:line="233" w:lineRule="auto"/>
        <w:rPr>
          <w:rFonts w:eastAsia="Times New Roman" w:cs="Times New Roman"/>
          <w:sz w:val="20"/>
          <w:szCs w:val="20"/>
          <w:lang w:eastAsia="en-CA"/>
        </w:rPr>
      </w:pPr>
      <w:r w:rsidRPr="00FC49CB">
        <w:rPr>
          <w:rFonts w:eastAsia="Times New Roman" w:cs="Times New Roman"/>
          <w:b/>
          <w:bCs/>
          <w:sz w:val="20"/>
          <w:szCs w:val="20"/>
          <w:lang w:eastAsia="en-CA"/>
        </w:rPr>
        <w:t xml:space="preserve">IT IS HEREBY ORDERED THAT: </w:t>
      </w:r>
    </w:p>
    <w:p w:rsidR="00FC49CB" w:rsidRPr="00FC49CB" w:rsidRDefault="00FC49CB" w:rsidP="00FC49CB">
      <w:pPr>
        <w:rPr>
          <w:rFonts w:eastAsia="Times New Roman" w:cs="Times New Roman"/>
          <w:sz w:val="20"/>
          <w:szCs w:val="20"/>
          <w:lang w:eastAsia="en-CA"/>
        </w:rPr>
      </w:pPr>
    </w:p>
    <w:p w:rsidR="00FC49CB" w:rsidRPr="00FC49CB" w:rsidRDefault="00FC49CB" w:rsidP="00FC49CB">
      <w:pPr>
        <w:rPr>
          <w:rFonts w:eastAsia="Times New Roman" w:cs="Times New Roman"/>
          <w:b/>
          <w:bCs/>
          <w:sz w:val="20"/>
          <w:szCs w:val="20"/>
          <w:lang w:val="fr-CA" w:eastAsia="en-CA"/>
        </w:rPr>
      </w:pPr>
      <w:r w:rsidRPr="00FC49CB">
        <w:rPr>
          <w:rFonts w:eastAsia="Times New Roman" w:cs="Times New Roman"/>
          <w:sz w:val="20"/>
          <w:szCs w:val="20"/>
          <w:lang w:val="fr-CA" w:eastAsia="en-CA"/>
        </w:rPr>
        <w:t>The motion is dismissed.</w:t>
      </w:r>
    </w:p>
    <w:p w:rsidR="00FC49CB" w:rsidRPr="00FC49CB" w:rsidRDefault="00FC49CB" w:rsidP="00FC49CB">
      <w:pPr>
        <w:jc w:val="both"/>
        <w:rPr>
          <w:rFonts w:eastAsia="Times New Roman" w:cs="Times New Roman"/>
          <w:bCs/>
          <w:sz w:val="20"/>
          <w:szCs w:val="20"/>
          <w:lang w:val="fr-CA" w:eastAsia="en-CA"/>
        </w:rPr>
      </w:pPr>
    </w:p>
    <w:p w:rsidR="00FC49CB" w:rsidRPr="00FC49CB" w:rsidRDefault="00FC49CB" w:rsidP="00FC49CB">
      <w:pPr>
        <w:jc w:val="both"/>
        <w:rPr>
          <w:rFonts w:eastAsia="Times New Roman" w:cs="Times New Roman"/>
          <w:bCs/>
          <w:sz w:val="20"/>
          <w:szCs w:val="20"/>
          <w:lang w:val="fr-CA" w:eastAsia="en-CA"/>
        </w:rPr>
      </w:pPr>
    </w:p>
    <w:p w:rsidR="00FC49CB" w:rsidRPr="00FC49CB" w:rsidRDefault="00FC49CB" w:rsidP="00FC49CB">
      <w:pPr>
        <w:jc w:val="both"/>
        <w:rPr>
          <w:rFonts w:eastAsia="Times New Roman" w:cs="Times New Roman"/>
          <w:bCs/>
          <w:sz w:val="20"/>
          <w:szCs w:val="20"/>
          <w:lang w:val="fr-CA" w:eastAsia="en-CA"/>
        </w:rPr>
      </w:pPr>
    </w:p>
    <w:p w:rsidR="00FC49CB" w:rsidRPr="00FC49CB" w:rsidRDefault="00FC49CB" w:rsidP="00FC49CB">
      <w:pPr>
        <w:jc w:val="both"/>
        <w:rPr>
          <w:rFonts w:eastAsia="Times New Roman" w:cs="Times New Roman"/>
          <w:sz w:val="20"/>
          <w:szCs w:val="20"/>
          <w:lang w:val="fr-CA" w:eastAsia="en-CA"/>
        </w:rPr>
      </w:pPr>
      <w:r w:rsidRPr="00FC49CB">
        <w:rPr>
          <w:rFonts w:eastAsia="Times New Roman" w:cs="Times New Roman"/>
          <w:b/>
          <w:bCs/>
          <w:sz w:val="20"/>
          <w:szCs w:val="20"/>
          <w:lang w:val="fr-CA" w:eastAsia="en-CA"/>
        </w:rPr>
        <w:t xml:space="preserve">À LA SUITE D’UNE DEMANDE </w:t>
      </w:r>
      <w:r w:rsidRPr="00FC49CB">
        <w:rPr>
          <w:rFonts w:eastAsia="Times New Roman" w:cs="Times New Roman"/>
          <w:sz w:val="20"/>
          <w:szCs w:val="20"/>
          <w:lang w:val="fr-CA" w:eastAsia="en-CA"/>
        </w:rPr>
        <w:t>par le procureur général du Québec</w:t>
      </w:r>
      <w:r w:rsidRPr="00FC49CB">
        <w:rPr>
          <w:rFonts w:eastAsia="Times New Roman" w:cs="Times New Roman"/>
          <w:bCs/>
          <w:sz w:val="20"/>
          <w:szCs w:val="20"/>
          <w:lang w:val="fr-CA" w:eastAsia="en-CA"/>
        </w:rPr>
        <w:t xml:space="preserve"> pour obtenir l’autorisation </w:t>
      </w:r>
      <w:r w:rsidR="00B55D94" w:rsidRPr="00FC49CB">
        <w:rPr>
          <w:rFonts w:eastAsia="Times New Roman" w:cs="Times New Roman"/>
          <w:sz w:val="20"/>
          <w:szCs w:val="20"/>
          <w:lang w:eastAsia="en-CA"/>
        </w:rPr>
        <w:fldChar w:fldCharType="begin"/>
      </w:r>
      <w:r w:rsidRPr="00FC49CB">
        <w:rPr>
          <w:rFonts w:eastAsia="Times New Roman" w:cs="Times New Roman"/>
          <w:sz w:val="20"/>
          <w:szCs w:val="20"/>
          <w:lang w:val="fr-CA" w:eastAsia="en-CA"/>
        </w:rPr>
        <w:instrText xml:space="preserve"> SEQ CHAPTER \h \r 1</w:instrText>
      </w:r>
      <w:r w:rsidR="00B55D94" w:rsidRPr="00FC49CB">
        <w:rPr>
          <w:rFonts w:eastAsia="Times New Roman" w:cs="Times New Roman"/>
          <w:sz w:val="20"/>
          <w:szCs w:val="20"/>
          <w:lang w:eastAsia="en-CA"/>
        </w:rPr>
        <w:fldChar w:fldCharType="end"/>
      </w:r>
      <w:r w:rsidRPr="00FC49CB">
        <w:rPr>
          <w:rFonts w:eastAsia="Times New Roman" w:cs="Times New Roman"/>
          <w:sz w:val="20"/>
          <w:szCs w:val="20"/>
          <w:lang w:val="fr-CA" w:eastAsia="en-CA"/>
        </w:rPr>
        <w:t>de déposer un mémoire de 50 pages;</w:t>
      </w:r>
    </w:p>
    <w:p w:rsidR="00FC49CB" w:rsidRPr="00FC49CB" w:rsidRDefault="00FC49CB" w:rsidP="00FC49CB">
      <w:pPr>
        <w:rPr>
          <w:rFonts w:eastAsia="Times New Roman" w:cs="Times New Roman"/>
          <w:sz w:val="20"/>
          <w:szCs w:val="20"/>
          <w:lang w:val="fr-CA" w:eastAsia="en-CA"/>
        </w:rPr>
      </w:pPr>
    </w:p>
    <w:p w:rsidR="00FC49CB" w:rsidRPr="00FC49CB" w:rsidRDefault="00FC49CB" w:rsidP="00FC49CB">
      <w:pPr>
        <w:spacing w:line="233" w:lineRule="auto"/>
        <w:rPr>
          <w:rFonts w:eastAsia="Times New Roman" w:cs="Times New Roman"/>
          <w:sz w:val="20"/>
          <w:szCs w:val="20"/>
          <w:lang w:val="fr-CA" w:eastAsia="en-CA"/>
        </w:rPr>
      </w:pPr>
      <w:r w:rsidRPr="00FC49CB">
        <w:rPr>
          <w:rFonts w:eastAsia="Times New Roman" w:cs="Times New Roman"/>
          <w:b/>
          <w:bCs/>
          <w:sz w:val="20"/>
          <w:szCs w:val="20"/>
          <w:lang w:val="fr-CA" w:eastAsia="en-CA"/>
        </w:rPr>
        <w:t xml:space="preserve">ET APRÈS EXAMEN </w:t>
      </w:r>
      <w:r w:rsidRPr="00FC49CB">
        <w:rPr>
          <w:rFonts w:eastAsia="Times New Roman" w:cs="Times New Roman"/>
          <w:sz w:val="20"/>
          <w:szCs w:val="20"/>
          <w:lang w:val="fr-CA" w:eastAsia="en-CA"/>
        </w:rPr>
        <w:t xml:space="preserve">des documents déposés; </w:t>
      </w:r>
    </w:p>
    <w:p w:rsidR="00FC49CB" w:rsidRPr="00FC49CB" w:rsidRDefault="00FC49CB" w:rsidP="00FC49CB">
      <w:pPr>
        <w:spacing w:line="233" w:lineRule="auto"/>
        <w:rPr>
          <w:rFonts w:eastAsia="Times New Roman" w:cs="Times New Roman"/>
          <w:b/>
          <w:bCs/>
          <w:sz w:val="20"/>
          <w:szCs w:val="20"/>
          <w:lang w:val="fr-CA" w:eastAsia="en-CA"/>
        </w:rPr>
      </w:pPr>
    </w:p>
    <w:p w:rsidR="00FC49CB" w:rsidRPr="00FC49CB" w:rsidRDefault="00FC49CB" w:rsidP="00FC49CB">
      <w:pPr>
        <w:spacing w:line="233" w:lineRule="auto"/>
        <w:rPr>
          <w:rFonts w:eastAsia="Times New Roman" w:cs="Times New Roman"/>
          <w:sz w:val="20"/>
          <w:szCs w:val="20"/>
          <w:lang w:val="fr-CA" w:eastAsia="en-CA"/>
        </w:rPr>
      </w:pPr>
      <w:r w:rsidRPr="00FC49CB">
        <w:rPr>
          <w:rFonts w:eastAsia="Times New Roman" w:cs="Times New Roman"/>
          <w:b/>
          <w:bCs/>
          <w:sz w:val="20"/>
          <w:szCs w:val="20"/>
          <w:lang w:val="fr-CA" w:eastAsia="en-CA"/>
        </w:rPr>
        <w:t xml:space="preserve">IL EST ORDONNÉ CE QUI SUIT : </w:t>
      </w:r>
    </w:p>
    <w:p w:rsidR="00FC49CB" w:rsidRPr="00FC49CB" w:rsidRDefault="00FC49CB" w:rsidP="00FC49CB">
      <w:pPr>
        <w:rPr>
          <w:rFonts w:eastAsia="Times New Roman" w:cs="Times New Roman"/>
          <w:sz w:val="20"/>
          <w:szCs w:val="20"/>
          <w:lang w:val="fr-CA" w:eastAsia="en-CA"/>
        </w:rPr>
      </w:pPr>
    </w:p>
    <w:p w:rsidR="00FC49CB" w:rsidRPr="00FC49CB" w:rsidRDefault="00FC49CB" w:rsidP="00FC49CB">
      <w:pPr>
        <w:rPr>
          <w:rFonts w:eastAsia="Times New Roman" w:cs="Times New Roman"/>
          <w:b/>
          <w:bCs/>
          <w:sz w:val="20"/>
          <w:szCs w:val="20"/>
          <w:lang w:val="fr-CA" w:eastAsia="en-CA"/>
        </w:rPr>
      </w:pPr>
      <w:r w:rsidRPr="00FC49CB">
        <w:rPr>
          <w:rFonts w:eastAsia="Times New Roman" w:cs="Times New Roman"/>
          <w:sz w:val="20"/>
          <w:szCs w:val="20"/>
          <w:lang w:val="fr-CA" w:eastAsia="en-CA"/>
        </w:rPr>
        <w:t>La requête est rejetée.</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BF31AA" w:rsidP="00FC49C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04.04.2014</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FC49CB" w:rsidRPr="00FC49CB" w:rsidRDefault="00FC49CB" w:rsidP="00FC49CB">
      <w:pPr>
        <w:tabs>
          <w:tab w:val="left" w:pos="-1440"/>
          <w:tab w:val="left" w:pos="-720"/>
        </w:tabs>
        <w:jc w:val="both"/>
        <w:rPr>
          <w:rFonts w:eastAsia="Times New Roman" w:cs="Times New Roman"/>
          <w:sz w:val="20"/>
          <w:szCs w:val="20"/>
          <w:lang w:val="fr-CA" w:eastAsia="en-CA"/>
        </w:rPr>
      </w:pPr>
      <w:r w:rsidRPr="00FC49CB">
        <w:rPr>
          <w:rFonts w:eastAsia="Times New Roman" w:cs="Times New Roman"/>
          <w:sz w:val="20"/>
          <w:szCs w:val="20"/>
          <w:lang w:val="fr-CA" w:eastAsia="en-CA"/>
        </w:rPr>
        <w:t>Before / Devant :   ROTHSTEIN J. / LE JUGE ROTHSTEIN</w:t>
      </w:r>
    </w:p>
    <w:p w:rsidR="00FC49CB" w:rsidRPr="00FC49CB" w:rsidRDefault="00FC49CB" w:rsidP="00FC49C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FC49CB" w:rsidRPr="00BF31AA" w:rsidTr="00D16260">
        <w:tc>
          <w:tcPr>
            <w:tcW w:w="4338" w:type="dxa"/>
            <w:gridSpan w:val="2"/>
          </w:tcPr>
          <w:p w:rsidR="00FC49CB" w:rsidRPr="00FC49CB" w:rsidRDefault="00FC49CB" w:rsidP="00FC49CB">
            <w:pPr>
              <w:jc w:val="both"/>
              <w:rPr>
                <w:b/>
              </w:rPr>
            </w:pPr>
            <w:r w:rsidRPr="00FC49CB">
              <w:rPr>
                <w:b/>
                <w:lang w:val="en-US"/>
              </w:rPr>
              <w:t xml:space="preserve">Order on interventions with respect to oral argument </w:t>
            </w:r>
            <w:r w:rsidR="00B55D94" w:rsidRPr="00FC49CB">
              <w:rPr>
                <w:b/>
                <w:lang w:val="en-US"/>
              </w:rPr>
              <w:fldChar w:fldCharType="begin"/>
            </w:r>
            <w:r w:rsidRPr="00FC49CB">
              <w:rPr>
                <w:b/>
              </w:rPr>
              <w:instrText xml:space="preserve"> SEQ CHAPTER \h \r 1</w:instrText>
            </w:r>
            <w:r w:rsidR="00B55D94" w:rsidRPr="00FC49CB">
              <w:rPr>
                <w:b/>
                <w:lang w:val="en-US"/>
              </w:rPr>
              <w:fldChar w:fldCharType="end"/>
            </w:r>
          </w:p>
        </w:tc>
        <w:tc>
          <w:tcPr>
            <w:tcW w:w="1170" w:type="dxa"/>
          </w:tcPr>
          <w:p w:rsidR="00FC49CB" w:rsidRPr="00FC49CB" w:rsidRDefault="00FC49CB" w:rsidP="00FC49CB"/>
          <w:p w:rsidR="00FC49CB" w:rsidRPr="00FC49CB" w:rsidRDefault="00FC49CB" w:rsidP="00FC49CB"/>
          <w:p w:rsidR="00FC49CB" w:rsidRPr="00FC49CB" w:rsidRDefault="00FC49CB" w:rsidP="00FC49CB"/>
        </w:tc>
        <w:tc>
          <w:tcPr>
            <w:tcW w:w="4327" w:type="dxa"/>
          </w:tcPr>
          <w:p w:rsidR="00FC49CB" w:rsidRPr="00FC49CB" w:rsidRDefault="00FC49CB" w:rsidP="00FC49CB">
            <w:pPr>
              <w:jc w:val="both"/>
              <w:rPr>
                <w:b/>
                <w:lang w:val="fr-CA"/>
              </w:rPr>
            </w:pPr>
            <w:r w:rsidRPr="00FC49CB">
              <w:rPr>
                <w:b/>
                <w:lang w:val="fr-CA"/>
              </w:rPr>
              <w:t>Ordonnance relative à la présentation d’une plaidoirie orale par les intervenants</w:t>
            </w:r>
            <w:r w:rsidR="00B55D94" w:rsidRPr="00FC49CB">
              <w:rPr>
                <w:b/>
                <w:lang w:val="en-US"/>
              </w:rPr>
              <w:fldChar w:fldCharType="begin"/>
            </w:r>
            <w:r w:rsidRPr="00FC49CB">
              <w:rPr>
                <w:b/>
                <w:lang w:val="fr-CA"/>
              </w:rPr>
              <w:instrText xml:space="preserve"> SEQ CHAPTER \h \r 1</w:instrText>
            </w:r>
            <w:r w:rsidR="00B55D94" w:rsidRPr="00FC49CB">
              <w:rPr>
                <w:b/>
                <w:lang w:val="en-US"/>
              </w:rPr>
              <w:fldChar w:fldCharType="end"/>
            </w:r>
          </w:p>
        </w:tc>
      </w:tr>
      <w:tr w:rsidR="00FC49CB" w:rsidRPr="00FC49CB" w:rsidTr="00D16260">
        <w:trPr>
          <w:trHeight w:hRule="exact" w:val="288"/>
        </w:trPr>
        <w:tc>
          <w:tcPr>
            <w:tcW w:w="1368" w:type="dxa"/>
          </w:tcPr>
          <w:p w:rsidR="00FC49CB" w:rsidRPr="00FC49CB" w:rsidRDefault="00FC49CB" w:rsidP="00FC49CB">
            <w:r w:rsidRPr="00FC49CB">
              <w:t>RE:</w:t>
            </w:r>
          </w:p>
        </w:tc>
        <w:tc>
          <w:tcPr>
            <w:tcW w:w="2970" w:type="dxa"/>
          </w:tcPr>
          <w:p w:rsidR="00FC49CB" w:rsidRPr="00FC49CB" w:rsidRDefault="00FC49CB" w:rsidP="00FC49CB">
            <w:r w:rsidRPr="00FC49CB">
              <w:t>Attorney General of Canada</w:t>
            </w:r>
            <w:r w:rsidRPr="00FC49CB">
              <w:rPr>
                <w:lang w:val="en-US"/>
              </w:rPr>
              <w:t>;</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c>
          <w:tcPr>
            <w:tcW w:w="1368" w:type="dxa"/>
          </w:tcPr>
          <w:p w:rsidR="00FC49CB" w:rsidRPr="00FC49CB" w:rsidRDefault="00FC49CB" w:rsidP="00FC49CB"/>
        </w:tc>
        <w:tc>
          <w:tcPr>
            <w:tcW w:w="2970" w:type="dxa"/>
          </w:tcPr>
          <w:p w:rsidR="00FC49CB" w:rsidRPr="00FC49CB" w:rsidRDefault="00FC49CB" w:rsidP="00FC49CB">
            <w:r w:rsidRPr="00FC49CB">
              <w:t>Attorney General of Ontario</w:t>
            </w:r>
          </w:p>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c>
          <w:tcPr>
            <w:tcW w:w="1368" w:type="dxa"/>
          </w:tcPr>
          <w:p w:rsidR="00FC49CB" w:rsidRPr="00FC49CB" w:rsidRDefault="00FC49CB" w:rsidP="00FC49CB"/>
        </w:tc>
        <w:tc>
          <w:tcPr>
            <w:tcW w:w="2970" w:type="dxa"/>
          </w:tcPr>
          <w:p w:rsidR="00FC49CB" w:rsidRPr="00FC49CB" w:rsidRDefault="00FC49CB" w:rsidP="00FC49CB"/>
        </w:tc>
        <w:tc>
          <w:tcPr>
            <w:tcW w:w="1170" w:type="dxa"/>
          </w:tcPr>
          <w:p w:rsidR="00FC49CB" w:rsidRPr="00FC49CB" w:rsidRDefault="00FC49CB" w:rsidP="00FC49CB"/>
        </w:tc>
        <w:tc>
          <w:tcPr>
            <w:tcW w:w="4327" w:type="dxa"/>
          </w:tcPr>
          <w:p w:rsidR="00FC49CB" w:rsidRPr="00FC49CB" w:rsidRDefault="00FC49CB" w:rsidP="00FC49CB"/>
        </w:tc>
      </w:tr>
      <w:tr w:rsidR="00FC49CB" w:rsidRPr="00FC49CB" w:rsidTr="00D16260">
        <w:tc>
          <w:tcPr>
            <w:tcW w:w="1368" w:type="dxa"/>
          </w:tcPr>
          <w:p w:rsidR="00FC49CB" w:rsidRPr="00FC49CB" w:rsidRDefault="00FC49CB" w:rsidP="00FC49CB">
            <w:r w:rsidRPr="00FC49CB">
              <w:t>IN / DANS :</w:t>
            </w:r>
          </w:p>
        </w:tc>
        <w:tc>
          <w:tcPr>
            <w:tcW w:w="2970" w:type="dxa"/>
          </w:tcPr>
          <w:p w:rsidR="00FC49CB" w:rsidRPr="00FC49CB" w:rsidRDefault="00FC49CB" w:rsidP="00FC49CB">
            <w:r w:rsidRPr="00FC49CB">
              <w:t>Her Majesty the Queen</w:t>
            </w:r>
          </w:p>
          <w:p w:rsidR="00FC49CB" w:rsidRPr="00FC49CB" w:rsidRDefault="00FC49CB" w:rsidP="00FC49CB"/>
          <w:p w:rsidR="00FC49CB" w:rsidRPr="00FC49CB" w:rsidRDefault="00FC49CB" w:rsidP="00FC49CB">
            <w:r w:rsidRPr="00FC49CB">
              <w:tab/>
              <w:t>c. (35364)</w:t>
            </w:r>
          </w:p>
          <w:p w:rsidR="00FC49CB" w:rsidRPr="00FC49CB" w:rsidRDefault="00FC49CB" w:rsidP="00FC49CB"/>
          <w:p w:rsidR="00FC49CB" w:rsidRPr="00FC49CB" w:rsidRDefault="00FC49CB" w:rsidP="00FC49CB">
            <w:r w:rsidRPr="00FC49CB">
              <w:t>John Melville Stelle (Crim.) (Man.)</w:t>
            </w:r>
          </w:p>
        </w:tc>
        <w:tc>
          <w:tcPr>
            <w:tcW w:w="1170" w:type="dxa"/>
          </w:tcPr>
          <w:p w:rsidR="00FC49CB" w:rsidRPr="00FC49CB" w:rsidRDefault="00FC49CB" w:rsidP="00FC49CB"/>
        </w:tc>
        <w:tc>
          <w:tcPr>
            <w:tcW w:w="4327" w:type="dxa"/>
          </w:tcPr>
          <w:p w:rsidR="00FC49CB" w:rsidRPr="00FC49CB" w:rsidRDefault="00FC49CB" w:rsidP="00FC49CB"/>
        </w:tc>
      </w:tr>
    </w:tbl>
    <w:p w:rsidR="00FC49CB" w:rsidRPr="00FC49CB" w:rsidRDefault="00FC49CB" w:rsidP="00FC49CB">
      <w:pPr>
        <w:tabs>
          <w:tab w:val="left" w:pos="-1440"/>
          <w:tab w:val="left" w:pos="-720"/>
        </w:tabs>
        <w:jc w:val="both"/>
        <w:rPr>
          <w:rFonts w:eastAsia="Times New Roman" w:cs="Times New Roman"/>
          <w:sz w:val="20"/>
          <w:szCs w:val="20"/>
          <w:lang w:eastAsia="en-CA"/>
        </w:rPr>
      </w:pPr>
    </w:p>
    <w:p w:rsidR="00FC49CB" w:rsidRPr="00FC49CB" w:rsidRDefault="00FC49CB" w:rsidP="00FC49CB">
      <w:pPr>
        <w:spacing w:line="232" w:lineRule="auto"/>
        <w:jc w:val="both"/>
        <w:rPr>
          <w:rFonts w:eastAsia="Times New Roman" w:cs="Times New Roman"/>
          <w:bCs/>
          <w:sz w:val="20"/>
          <w:szCs w:val="20"/>
          <w:lang w:eastAsia="en-CA"/>
        </w:rPr>
      </w:pPr>
      <w:r w:rsidRPr="00FC49CB">
        <w:rPr>
          <w:rFonts w:eastAsia="Times New Roman" w:cs="Times New Roman"/>
          <w:b/>
          <w:bCs/>
          <w:sz w:val="20"/>
          <w:szCs w:val="20"/>
          <w:lang w:eastAsia="en-CA"/>
        </w:rPr>
        <w:t>FURTHER TO THE ORDER</w:t>
      </w:r>
      <w:r w:rsidRPr="00FC49CB">
        <w:rPr>
          <w:rFonts w:eastAsia="Times New Roman" w:cs="Times New Roman"/>
          <w:sz w:val="20"/>
          <w:szCs w:val="20"/>
          <w:lang w:eastAsia="en-CA"/>
        </w:rPr>
        <w:t xml:space="preserve"> dated February 10, 2014, granting leave to intervene to</w:t>
      </w:r>
      <w:r w:rsidRPr="00FC49CB">
        <w:rPr>
          <w:rFonts w:eastAsia="Times New Roman" w:cs="Times New Roman"/>
          <w:b/>
          <w:bCs/>
          <w:sz w:val="20"/>
          <w:szCs w:val="20"/>
          <w:lang w:eastAsia="en-CA"/>
        </w:rPr>
        <w:t xml:space="preserve"> </w:t>
      </w:r>
      <w:r w:rsidRPr="00FC49CB">
        <w:rPr>
          <w:rFonts w:eastAsia="Times New Roman" w:cs="Times New Roman"/>
          <w:sz w:val="20"/>
          <w:szCs w:val="20"/>
          <w:lang w:eastAsia="en-CA"/>
        </w:rPr>
        <w:t>the Attorney General of Canada and the Attorney General of Ontario;</w:t>
      </w:r>
    </w:p>
    <w:p w:rsidR="00FC49CB" w:rsidRPr="00FC49CB" w:rsidRDefault="00FC49CB" w:rsidP="00FC49CB">
      <w:pPr>
        <w:spacing w:line="232" w:lineRule="auto"/>
        <w:jc w:val="both"/>
        <w:rPr>
          <w:rFonts w:eastAsia="Times New Roman" w:cs="Times New Roman"/>
          <w:sz w:val="20"/>
          <w:szCs w:val="20"/>
          <w:lang w:eastAsia="en-CA"/>
        </w:rPr>
      </w:pPr>
    </w:p>
    <w:p w:rsidR="00FC49CB" w:rsidRPr="00FC49CB" w:rsidRDefault="00FC49CB" w:rsidP="00FC49CB">
      <w:pPr>
        <w:spacing w:line="232" w:lineRule="auto"/>
        <w:jc w:val="both"/>
        <w:rPr>
          <w:rFonts w:eastAsia="Times New Roman" w:cs="Times New Roman"/>
          <w:sz w:val="20"/>
          <w:szCs w:val="20"/>
          <w:lang w:eastAsia="en-CA"/>
        </w:rPr>
      </w:pPr>
      <w:r w:rsidRPr="00FC49CB">
        <w:rPr>
          <w:rFonts w:eastAsia="Times New Roman" w:cs="Times New Roman"/>
          <w:b/>
          <w:bCs/>
          <w:sz w:val="20"/>
          <w:szCs w:val="20"/>
          <w:lang w:eastAsia="en-CA"/>
        </w:rPr>
        <w:t xml:space="preserve">IT IS HEREBY FURTHER ORDERED THAT </w:t>
      </w:r>
      <w:r w:rsidRPr="00FC49CB">
        <w:rPr>
          <w:rFonts w:eastAsia="Times New Roman" w:cs="Times New Roman"/>
          <w:sz w:val="20"/>
          <w:szCs w:val="20"/>
          <w:lang w:eastAsia="en-CA"/>
        </w:rPr>
        <w:t>the said interveners are each granted permission to present oral argument not exceeding ten (10) minutes at the hearing of the appeal.</w:t>
      </w: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3" w:lineRule="auto"/>
        <w:jc w:val="both"/>
        <w:rPr>
          <w:rFonts w:eastAsia="Times New Roman" w:cs="Times New Roman"/>
          <w:sz w:val="20"/>
          <w:szCs w:val="20"/>
          <w:lang w:eastAsia="en-CA"/>
        </w:rPr>
      </w:pPr>
    </w:p>
    <w:p w:rsidR="00FC49CB" w:rsidRPr="00FC49CB" w:rsidRDefault="00FC49CB" w:rsidP="00FC49CB">
      <w:pPr>
        <w:spacing w:line="232" w:lineRule="auto"/>
        <w:jc w:val="both"/>
        <w:rPr>
          <w:rFonts w:eastAsia="Times New Roman" w:cs="Times New Roman"/>
          <w:bCs/>
          <w:sz w:val="20"/>
          <w:szCs w:val="20"/>
          <w:lang w:val="fr-CA" w:eastAsia="en-CA"/>
        </w:rPr>
      </w:pPr>
      <w:r w:rsidRPr="00FC49CB">
        <w:rPr>
          <w:rFonts w:eastAsia="Times New Roman" w:cs="Times New Roman"/>
          <w:b/>
          <w:bCs/>
          <w:sz w:val="20"/>
          <w:szCs w:val="20"/>
          <w:lang w:val="fr-CA" w:eastAsia="en-CA"/>
        </w:rPr>
        <w:t>À LA SUITE DE L’ORDONNANCE</w:t>
      </w:r>
      <w:r w:rsidRPr="00FC49CB">
        <w:rPr>
          <w:rFonts w:eastAsia="Times New Roman" w:cs="Times New Roman"/>
          <w:sz w:val="20"/>
          <w:szCs w:val="20"/>
          <w:lang w:val="fr-CA" w:eastAsia="en-CA"/>
        </w:rPr>
        <w:t xml:space="preserve"> datée du 10 février 2014 autorisant le procureur général du Canada et le procureur général de l’Ontario à intervenir;</w:t>
      </w:r>
    </w:p>
    <w:p w:rsidR="00FC49CB" w:rsidRPr="00FC49CB" w:rsidRDefault="00FC49CB" w:rsidP="00FC49CB">
      <w:pPr>
        <w:spacing w:line="232" w:lineRule="auto"/>
        <w:jc w:val="both"/>
        <w:rPr>
          <w:rFonts w:eastAsia="Times New Roman" w:cs="Times New Roman"/>
          <w:sz w:val="20"/>
          <w:szCs w:val="20"/>
          <w:lang w:val="fr-CA" w:eastAsia="en-CA"/>
        </w:rPr>
      </w:pPr>
    </w:p>
    <w:p w:rsidR="00FC49CB" w:rsidRPr="00FC49CB" w:rsidRDefault="00FC49CB" w:rsidP="00FC49CB">
      <w:pPr>
        <w:spacing w:line="232" w:lineRule="auto"/>
        <w:jc w:val="both"/>
        <w:rPr>
          <w:rFonts w:eastAsia="Times New Roman" w:cs="Times New Roman"/>
          <w:sz w:val="20"/>
          <w:szCs w:val="20"/>
          <w:lang w:val="fr-CA" w:eastAsia="en-CA"/>
        </w:rPr>
      </w:pPr>
      <w:r w:rsidRPr="00FC49CB">
        <w:rPr>
          <w:rFonts w:eastAsia="Times New Roman" w:cs="Times New Roman"/>
          <w:b/>
          <w:bCs/>
          <w:sz w:val="20"/>
          <w:szCs w:val="20"/>
          <w:lang w:val="fr-CA" w:eastAsia="en-CA"/>
        </w:rPr>
        <w:t xml:space="preserve">IL EST EN OUTRE ORDONNÉ QUE </w:t>
      </w:r>
      <w:r w:rsidRPr="00FC49CB">
        <w:rPr>
          <w:rFonts w:eastAsia="Times New Roman" w:cs="Times New Roman"/>
          <w:sz w:val="20"/>
          <w:szCs w:val="20"/>
          <w:lang w:val="fr-CA" w:eastAsia="en-CA"/>
        </w:rPr>
        <w:t>chacun de ces intervenants pourra présenter une plaidoirie orale d’au plus dix (10) minutes lors de l’audition de l’appel.</w:t>
      </w:r>
    </w:p>
    <w:p w:rsidR="00FC49CB" w:rsidRPr="00FC49CB" w:rsidRDefault="00FC49CB" w:rsidP="00FC49CB">
      <w:pPr>
        <w:spacing w:line="233" w:lineRule="auto"/>
        <w:jc w:val="both"/>
        <w:rPr>
          <w:rFonts w:eastAsia="Times New Roman" w:cs="Times New Roman"/>
          <w:sz w:val="20"/>
          <w:szCs w:val="20"/>
          <w:lang w:val="fr-CA" w:eastAsia="en-CA"/>
        </w:rPr>
      </w:pPr>
    </w:p>
    <w:p w:rsidR="00FC49CB" w:rsidRPr="00FC49CB" w:rsidRDefault="00BF31AA" w:rsidP="00FC49C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FC49CB" w:rsidRPr="00FC49CB" w:rsidRDefault="00FC49CB" w:rsidP="00FC49CB">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BF31AA"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E6437B" w:rsidP="003B3977">
            <w:pPr>
              <w:rPr>
                <w:sz w:val="20"/>
                <w:szCs w:val="20"/>
              </w:rPr>
            </w:pPr>
            <w:r>
              <w:rPr>
                <w:sz w:val="20"/>
                <w:szCs w:val="20"/>
              </w:rPr>
              <w:t>28</w:t>
            </w:r>
            <w:r w:rsidR="0010587F" w:rsidRPr="003B3977">
              <w:rPr>
                <w:sz w:val="20"/>
                <w:szCs w:val="20"/>
              </w:rPr>
              <w:t>.0</w:t>
            </w:r>
            <w:r>
              <w:rPr>
                <w:sz w:val="20"/>
                <w:szCs w:val="20"/>
              </w:rPr>
              <w:t>3</w:t>
            </w:r>
            <w:r w:rsidR="0010587F" w:rsidRPr="003B3977">
              <w:rPr>
                <w:sz w:val="20"/>
                <w:szCs w:val="20"/>
              </w:rPr>
              <w:t>.201</w:t>
            </w:r>
            <w:r>
              <w:rPr>
                <w:sz w:val="20"/>
                <w:szCs w:val="20"/>
              </w:rPr>
              <w:t>4</w:t>
            </w:r>
          </w:p>
          <w:p w:rsidR="0010587F" w:rsidRPr="003B3977" w:rsidRDefault="0010587F" w:rsidP="003B3977">
            <w:pPr>
              <w:rPr>
                <w:sz w:val="20"/>
                <w:szCs w:val="20"/>
              </w:rPr>
            </w:pPr>
          </w:p>
          <w:p w:rsidR="0010587F" w:rsidRPr="003B3977" w:rsidRDefault="00E6437B" w:rsidP="003B3977">
            <w:pPr>
              <w:rPr>
                <w:b/>
                <w:sz w:val="20"/>
                <w:szCs w:val="20"/>
              </w:rPr>
            </w:pPr>
            <w:r>
              <w:rPr>
                <w:b/>
                <w:sz w:val="20"/>
                <w:szCs w:val="20"/>
              </w:rPr>
              <w:t>B</w:t>
            </w:r>
            <w:r w:rsidR="0010587F" w:rsidRPr="003B3977">
              <w:rPr>
                <w:b/>
                <w:sz w:val="20"/>
                <w:szCs w:val="20"/>
              </w:rPr>
              <w:t>r</w:t>
            </w:r>
            <w:r>
              <w:rPr>
                <w:b/>
                <w:sz w:val="20"/>
                <w:szCs w:val="20"/>
              </w:rPr>
              <w:t>andon Will</w:t>
            </w:r>
            <w:r w:rsidR="0010587F" w:rsidRPr="003B3977">
              <w:rPr>
                <w:b/>
                <w:sz w:val="20"/>
                <w:szCs w:val="20"/>
              </w:rPr>
              <w:t>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E6437B">
              <w:rPr>
                <w:b/>
                <w:sz w:val="20"/>
                <w:szCs w:val="20"/>
              </w:rPr>
              <w:t>580</w:t>
            </w:r>
            <w:r w:rsidRPr="003B3977">
              <w:rPr>
                <w:b/>
                <w:sz w:val="20"/>
                <w:szCs w:val="20"/>
              </w:rPr>
              <w:t>4)</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E6437B">
              <w:rPr>
                <w:b/>
                <w:sz w:val="20"/>
                <w:szCs w:val="20"/>
              </w:rPr>
              <w:t>On</w:t>
            </w:r>
            <w:r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BF31AA" w:rsidP="003B3977">
            <w:pPr>
              <w:rPr>
                <w:sz w:val="20"/>
                <w:szCs w:val="20"/>
                <w:lang w:val="fr-CA"/>
              </w:rPr>
            </w:pPr>
            <w:r>
              <w:rPr>
                <w:sz w:val="20"/>
                <w:szCs w:val="20"/>
                <w:lang w:val="fr-CA"/>
              </w:rPr>
              <w:pict>
                <v:rect id="_x0000_i106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810FC1" w:rsidP="003B3977">
            <w:pPr>
              <w:rPr>
                <w:sz w:val="20"/>
                <w:szCs w:val="20"/>
              </w:rPr>
            </w:pPr>
            <w:r>
              <w:rPr>
                <w:sz w:val="20"/>
                <w:szCs w:val="20"/>
              </w:rPr>
              <w:t>31</w:t>
            </w:r>
            <w:r w:rsidR="0010587F" w:rsidRPr="003B3977">
              <w:rPr>
                <w:sz w:val="20"/>
                <w:szCs w:val="20"/>
              </w:rPr>
              <w:t>.0</w:t>
            </w:r>
            <w:r w:rsidR="00E6437B">
              <w:rPr>
                <w:sz w:val="20"/>
                <w:szCs w:val="20"/>
              </w:rPr>
              <w:t>3</w:t>
            </w:r>
            <w:r w:rsidR="0010587F" w:rsidRPr="003B3977">
              <w:rPr>
                <w:sz w:val="20"/>
                <w:szCs w:val="20"/>
              </w:rPr>
              <w:t>.201</w:t>
            </w:r>
            <w:r w:rsidR="00E6437B">
              <w:rPr>
                <w:sz w:val="20"/>
                <w:szCs w:val="20"/>
              </w:rPr>
              <w:t>4</w:t>
            </w:r>
          </w:p>
          <w:p w:rsidR="0010587F" w:rsidRPr="003B3977" w:rsidRDefault="0010587F" w:rsidP="003B3977">
            <w:pPr>
              <w:rPr>
                <w:sz w:val="20"/>
                <w:szCs w:val="20"/>
              </w:rPr>
            </w:pPr>
          </w:p>
          <w:p w:rsidR="0010587F" w:rsidRPr="003B3977" w:rsidRDefault="00E6437B" w:rsidP="003B3977">
            <w:pPr>
              <w:rPr>
                <w:b/>
                <w:sz w:val="20"/>
                <w:szCs w:val="20"/>
              </w:rPr>
            </w:pPr>
            <w:r>
              <w:rPr>
                <w:b/>
                <w:sz w:val="20"/>
                <w:szCs w:val="20"/>
              </w:rPr>
              <w:t>Scott Meeking, as representative Plaintiff</w:t>
            </w:r>
            <w:r w:rsidR="002D5099">
              <w:rPr>
                <w:b/>
                <w:sz w:val="20"/>
                <w:szCs w:val="20"/>
              </w:rPr>
              <w:t xml:space="preserve"> et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E6437B">
              <w:rPr>
                <w:b/>
                <w:sz w:val="20"/>
                <w:szCs w:val="20"/>
              </w:rPr>
              <w:t>5608</w:t>
            </w:r>
            <w:r w:rsidRPr="003B3977">
              <w:rPr>
                <w:b/>
                <w:sz w:val="20"/>
                <w:szCs w:val="20"/>
              </w:rPr>
              <w:t>)</w:t>
            </w:r>
          </w:p>
          <w:p w:rsidR="0010587F" w:rsidRPr="003B3977" w:rsidRDefault="0010587F" w:rsidP="003B3977">
            <w:pPr>
              <w:rPr>
                <w:b/>
                <w:sz w:val="20"/>
                <w:szCs w:val="20"/>
              </w:rPr>
            </w:pPr>
          </w:p>
          <w:p w:rsidR="0010587F" w:rsidRPr="00E6437B" w:rsidRDefault="00E6437B" w:rsidP="003B3977">
            <w:pPr>
              <w:rPr>
                <w:b/>
                <w:sz w:val="20"/>
                <w:szCs w:val="20"/>
              </w:rPr>
            </w:pPr>
            <w:r>
              <w:rPr>
                <w:b/>
                <w:sz w:val="20"/>
                <w:szCs w:val="20"/>
              </w:rPr>
              <w:t xml:space="preserve">The Cash Store Inc. </w:t>
            </w:r>
            <w:r w:rsidR="002D5099">
              <w:rPr>
                <w:b/>
                <w:sz w:val="20"/>
                <w:szCs w:val="20"/>
              </w:rPr>
              <w:t xml:space="preserve">et al. </w:t>
            </w:r>
            <w:r w:rsidR="0010587F" w:rsidRPr="00E6437B">
              <w:rPr>
                <w:b/>
                <w:sz w:val="20"/>
                <w:szCs w:val="20"/>
              </w:rPr>
              <w:t>(</w:t>
            </w:r>
            <w:r>
              <w:rPr>
                <w:b/>
                <w:sz w:val="20"/>
                <w:szCs w:val="20"/>
              </w:rPr>
              <w:t>Ma</w:t>
            </w:r>
            <w:r w:rsidR="0010587F" w:rsidRPr="00E6437B">
              <w:rPr>
                <w:b/>
                <w:sz w:val="20"/>
                <w:szCs w:val="20"/>
              </w:rPr>
              <w:t>n.)</w:t>
            </w:r>
          </w:p>
          <w:p w:rsidR="0010587F" w:rsidRPr="00E6437B" w:rsidRDefault="0010587F" w:rsidP="003B3977">
            <w:pPr>
              <w:rPr>
                <w:sz w:val="20"/>
                <w:szCs w:val="20"/>
              </w:rPr>
            </w:pPr>
          </w:p>
          <w:p w:rsidR="0010587F" w:rsidRPr="003B3977" w:rsidRDefault="0010587F" w:rsidP="003B3977">
            <w:pPr>
              <w:rPr>
                <w:sz w:val="20"/>
                <w:szCs w:val="20"/>
              </w:rPr>
            </w:pPr>
            <w:r w:rsidRPr="003B3977">
              <w:rPr>
                <w:sz w:val="20"/>
                <w:szCs w:val="20"/>
              </w:rPr>
              <w:t>(</w:t>
            </w:r>
            <w:r w:rsidR="002D5099">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F31AA" w:rsidP="003B3977">
            <w:pPr>
              <w:rPr>
                <w:sz w:val="20"/>
                <w:szCs w:val="20"/>
              </w:rPr>
            </w:pPr>
            <w:r>
              <w:rPr>
                <w:sz w:val="20"/>
                <w:szCs w:val="20"/>
                <w:lang w:val="fr-CA"/>
              </w:rPr>
              <w:pict>
                <v:rect id="_x0000_i1065"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F31A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35768E" w:rsidP="00AF1715">
      <w:pPr>
        <w:rPr>
          <w:b/>
          <w:sz w:val="20"/>
          <w:szCs w:val="20"/>
        </w:rPr>
      </w:pPr>
      <w:r>
        <w:rPr>
          <w:b/>
          <w:sz w:val="20"/>
          <w:szCs w:val="20"/>
        </w:rPr>
        <w:t>APRIL 11</w:t>
      </w:r>
      <w:r w:rsidR="00AF1715" w:rsidRPr="003B3977">
        <w:rPr>
          <w:b/>
          <w:sz w:val="20"/>
          <w:szCs w:val="20"/>
        </w:rPr>
        <w:t>, 201</w:t>
      </w:r>
      <w:r>
        <w:rPr>
          <w:b/>
          <w:sz w:val="20"/>
          <w:szCs w:val="20"/>
        </w:rPr>
        <w:t>4</w:t>
      </w:r>
      <w:r w:rsidR="00AF1715" w:rsidRPr="003B3977">
        <w:rPr>
          <w:b/>
          <w:sz w:val="20"/>
          <w:szCs w:val="20"/>
        </w:rPr>
        <w:t xml:space="preserve"> / LE </w:t>
      </w:r>
      <w:r>
        <w:rPr>
          <w:b/>
          <w:sz w:val="20"/>
          <w:szCs w:val="20"/>
        </w:rPr>
        <w:t>11</w:t>
      </w:r>
      <w:r w:rsidR="00AF1715" w:rsidRPr="003B3977">
        <w:rPr>
          <w:b/>
          <w:sz w:val="20"/>
          <w:szCs w:val="20"/>
        </w:rPr>
        <w:t xml:space="preserve"> </w:t>
      </w:r>
      <w:r>
        <w:rPr>
          <w:b/>
          <w:sz w:val="20"/>
          <w:szCs w:val="20"/>
        </w:rPr>
        <w:t>AV</w:t>
      </w:r>
      <w:r w:rsidR="00AF1715" w:rsidRPr="003B3977">
        <w:rPr>
          <w:b/>
          <w:sz w:val="20"/>
          <w:szCs w:val="20"/>
        </w:rPr>
        <w:t>R</w:t>
      </w:r>
      <w:r>
        <w:rPr>
          <w:b/>
          <w:sz w:val="20"/>
          <w:szCs w:val="20"/>
        </w:rPr>
        <w:t>IL</w:t>
      </w:r>
      <w:r w:rsidR="00AF1715" w:rsidRPr="003B3977">
        <w:rPr>
          <w:b/>
          <w:sz w:val="20"/>
          <w:szCs w:val="20"/>
        </w:rPr>
        <w:t xml:space="preserve"> 201</w:t>
      </w:r>
      <w:r>
        <w:rPr>
          <w:b/>
          <w:sz w:val="20"/>
          <w:szCs w:val="20"/>
        </w:rPr>
        <w:t>4</w:t>
      </w:r>
    </w:p>
    <w:p w:rsidR="00AF1715" w:rsidRPr="003B3977" w:rsidRDefault="00AF1715" w:rsidP="00AF1715">
      <w:pPr>
        <w:rPr>
          <w:sz w:val="20"/>
          <w:szCs w:val="20"/>
        </w:rPr>
      </w:pPr>
    </w:p>
    <w:p w:rsidR="00315D2A" w:rsidRPr="002B2FCA" w:rsidRDefault="00315D2A" w:rsidP="00315D2A">
      <w:pPr>
        <w:ind w:left="1440" w:hanging="1440"/>
        <w:jc w:val="both"/>
        <w:rPr>
          <w:sz w:val="20"/>
        </w:rPr>
      </w:pPr>
      <w:r w:rsidRPr="00202C5F">
        <w:rPr>
          <w:b/>
          <w:sz w:val="20"/>
        </w:rPr>
        <w:fldChar w:fldCharType="begin"/>
      </w:r>
      <w:r w:rsidRPr="002B2FCA">
        <w:rPr>
          <w:b/>
          <w:sz w:val="20"/>
        </w:rPr>
        <w:instrText xml:space="preserve"> SEQ CHAPTER \h \r 1</w:instrText>
      </w:r>
      <w:r w:rsidRPr="00202C5F">
        <w:rPr>
          <w:b/>
          <w:sz w:val="20"/>
        </w:rPr>
        <w:fldChar w:fldCharType="end"/>
      </w:r>
      <w:r w:rsidRPr="002B2FCA">
        <w:rPr>
          <w:b/>
          <w:sz w:val="20"/>
        </w:rPr>
        <w:t>35</w:t>
      </w:r>
      <w:r>
        <w:rPr>
          <w:b/>
          <w:sz w:val="20"/>
        </w:rPr>
        <w:t>339</w:t>
      </w:r>
      <w:r w:rsidRPr="002B2FCA">
        <w:rPr>
          <w:sz w:val="20"/>
        </w:rPr>
        <w:tab/>
      </w:r>
      <w:r w:rsidRPr="00112091">
        <w:rPr>
          <w:b/>
          <w:sz w:val="20"/>
          <w:u w:val="single"/>
        </w:rPr>
        <w:t xml:space="preserve">Her Majesty the Queen </w:t>
      </w:r>
      <w:r w:rsidRPr="002B2FCA">
        <w:rPr>
          <w:b/>
          <w:sz w:val="20"/>
          <w:u w:val="single"/>
        </w:rPr>
        <w:t xml:space="preserve">v. </w:t>
      </w:r>
      <w:r w:rsidRPr="00112091">
        <w:rPr>
          <w:b/>
          <w:sz w:val="20"/>
          <w:u w:val="single"/>
        </w:rPr>
        <w:t>Sean Summers</w:t>
      </w:r>
      <w:r>
        <w:rPr>
          <w:b/>
          <w:sz w:val="20"/>
          <w:u w:val="single"/>
        </w:rPr>
        <w:t xml:space="preserve"> </w:t>
      </w:r>
      <w:r w:rsidRPr="002B2FCA">
        <w:rPr>
          <w:b/>
          <w:sz w:val="20"/>
          <w:u w:val="single"/>
        </w:rPr>
        <w:t xml:space="preserve">– and – </w:t>
      </w:r>
      <w:r w:rsidRPr="00112091">
        <w:rPr>
          <w:b/>
          <w:sz w:val="20"/>
          <w:u w:val="single"/>
        </w:rPr>
        <w:t>Director of Criminal and Penal Prosecutions of Quebec, British Columbia Civil Liberties Association, Criminal Lawyers’ Association of Ontario, John Howard Society of Canada and Canadian Civil Liberties Association</w:t>
      </w:r>
      <w:r w:rsidRPr="00112091">
        <w:rPr>
          <w:b/>
          <w:sz w:val="20"/>
        </w:rPr>
        <w:t xml:space="preserve"> </w:t>
      </w:r>
      <w:r w:rsidRPr="002B2FCA">
        <w:rPr>
          <w:sz w:val="20"/>
        </w:rPr>
        <w:t>(</w:t>
      </w:r>
      <w:r>
        <w:rPr>
          <w:sz w:val="20"/>
        </w:rPr>
        <w:t>Ont.</w:t>
      </w:r>
      <w:r w:rsidRPr="002B2FCA">
        <w:rPr>
          <w:sz w:val="20"/>
        </w:rPr>
        <w:t>)</w:t>
      </w:r>
    </w:p>
    <w:p w:rsidR="00315D2A" w:rsidRPr="002B2FCA" w:rsidRDefault="00315D2A" w:rsidP="00315D2A">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B2FCA">
        <w:rPr>
          <w:b/>
          <w:sz w:val="20"/>
        </w:rPr>
        <w:t xml:space="preserve">2014 SCC </w:t>
      </w:r>
      <w:r>
        <w:rPr>
          <w:b/>
          <w:sz w:val="20"/>
        </w:rPr>
        <w:t>26</w:t>
      </w:r>
      <w:r w:rsidRPr="002B2FCA">
        <w:rPr>
          <w:b/>
          <w:sz w:val="20"/>
        </w:rPr>
        <w:t xml:space="preserve"> / 2014 CSC </w:t>
      </w:r>
      <w:r>
        <w:rPr>
          <w:b/>
          <w:sz w:val="20"/>
        </w:rPr>
        <w:t>26</w:t>
      </w:r>
    </w:p>
    <w:p w:rsidR="00315D2A" w:rsidRPr="002B2FCA" w:rsidRDefault="00315D2A" w:rsidP="00315D2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315D2A" w:rsidRDefault="00315D2A" w:rsidP="00315D2A">
      <w:pPr>
        <w:ind w:left="1440" w:hanging="1440"/>
        <w:rPr>
          <w:sz w:val="20"/>
          <w:u w:val="single"/>
        </w:rPr>
      </w:pPr>
      <w:r w:rsidRPr="002B2FCA">
        <w:rPr>
          <w:sz w:val="20"/>
        </w:rPr>
        <w:t>Coram:</w:t>
      </w:r>
      <w:r w:rsidRPr="002B2FCA">
        <w:rPr>
          <w:sz w:val="20"/>
        </w:rPr>
        <w:tab/>
      </w:r>
      <w:r w:rsidRPr="00112091">
        <w:rPr>
          <w:sz w:val="20"/>
          <w:u w:val="single"/>
        </w:rPr>
        <w:t>McLachlin C.J. and LeBel, Abella, Rothstein, Cromwell, Karakatsanis and Wagner JJ.</w:t>
      </w:r>
    </w:p>
    <w:p w:rsidR="00315D2A" w:rsidRPr="00112091" w:rsidRDefault="00315D2A" w:rsidP="00315D2A">
      <w:pPr>
        <w:ind w:left="1440" w:hanging="1440"/>
        <w:rPr>
          <w:sz w:val="20"/>
          <w:u w:val="single"/>
        </w:rPr>
      </w:pPr>
    </w:p>
    <w:p w:rsidR="00315D2A" w:rsidRDefault="00315D2A" w:rsidP="00315D2A">
      <w:pPr>
        <w:jc w:val="both"/>
        <w:rPr>
          <w:sz w:val="20"/>
        </w:rPr>
      </w:pPr>
      <w:r w:rsidRPr="00112091">
        <w:rPr>
          <w:sz w:val="20"/>
        </w:rPr>
        <w:t xml:space="preserve">The appeal from the judgment </w:t>
      </w:r>
      <w:bookmarkStart w:id="3" w:name="BM_1_"/>
      <w:bookmarkEnd w:id="3"/>
      <w:r w:rsidRPr="00112091">
        <w:rPr>
          <w:sz w:val="20"/>
        </w:rPr>
        <w:t>of the Court of Appeal for Ontario, Number C53913, 2013 ONCA 147, dated March 12, 2013, heard on January 23, 2014, is dismissed.</w:t>
      </w:r>
    </w:p>
    <w:p w:rsidR="00315D2A" w:rsidRPr="00112091" w:rsidRDefault="00315D2A" w:rsidP="00315D2A">
      <w:pPr>
        <w:jc w:val="both"/>
        <w:rPr>
          <w:sz w:val="20"/>
        </w:rPr>
      </w:pPr>
    </w:p>
    <w:p w:rsidR="00315D2A" w:rsidRPr="00112091" w:rsidRDefault="00315D2A" w:rsidP="00315D2A">
      <w:pPr>
        <w:jc w:val="both"/>
        <w:rPr>
          <w:sz w:val="20"/>
          <w:lang w:val="fr-CA"/>
        </w:rPr>
      </w:pPr>
      <w:r w:rsidRPr="00112091">
        <w:rPr>
          <w:sz w:val="20"/>
          <w:lang w:val="fr-CA"/>
        </w:rPr>
        <w:t>L’appel interjeté contre l’arrêt de la Cour d’appel de l’Ontario, numéro C53913, 2013 ONCA 147, en date du 12 mars 2013, entendu le 23 janvier 2014, est rejeté.</w:t>
      </w:r>
    </w:p>
    <w:p w:rsidR="00315D2A" w:rsidRDefault="00315D2A" w:rsidP="00315D2A">
      <w:pPr>
        <w:widowControl w:val="0"/>
        <w:jc w:val="both"/>
        <w:outlineLvl w:val="0"/>
        <w:rPr>
          <w:sz w:val="20"/>
          <w:lang w:val="fr-CA"/>
        </w:rPr>
      </w:pPr>
    </w:p>
    <w:p w:rsidR="00315D2A" w:rsidRDefault="00BF31AA" w:rsidP="00315D2A">
      <w:pPr>
        <w:widowControl w:val="0"/>
        <w:jc w:val="both"/>
        <w:outlineLvl w:val="0"/>
        <w:rPr>
          <w:sz w:val="20"/>
          <w:lang w:val="fr-CA"/>
        </w:rPr>
      </w:pPr>
      <w:r>
        <w:rPr>
          <w:rFonts w:cs="Times New Roman"/>
          <w:b/>
          <w:sz w:val="20"/>
          <w:szCs w:val="20"/>
        </w:rPr>
        <w:pict>
          <v:rect id="_x0000_i1068" style="width:144.3pt;height:1pt" o:hrpct="300" o:hralign="center" o:hrstd="t" o:hrnoshade="t" o:hr="t" fillcolor="black [3213]" stroked="f"/>
        </w:pict>
      </w:r>
    </w:p>
    <w:p w:rsidR="00315D2A" w:rsidRDefault="00315D2A" w:rsidP="00315D2A">
      <w:pPr>
        <w:widowControl w:val="0"/>
        <w:jc w:val="both"/>
        <w:outlineLvl w:val="0"/>
        <w:rPr>
          <w:sz w:val="20"/>
          <w:lang w:val="fr-CA"/>
        </w:rPr>
      </w:pPr>
    </w:p>
    <w:p w:rsidR="00315D2A" w:rsidRPr="002B2FCA" w:rsidRDefault="00315D2A" w:rsidP="00315D2A">
      <w:pPr>
        <w:ind w:left="1440" w:hanging="1440"/>
        <w:jc w:val="both"/>
        <w:rPr>
          <w:sz w:val="20"/>
        </w:rPr>
      </w:pPr>
      <w:r w:rsidRPr="00202C5F">
        <w:rPr>
          <w:b/>
          <w:sz w:val="20"/>
        </w:rPr>
        <w:fldChar w:fldCharType="begin"/>
      </w:r>
      <w:r w:rsidRPr="002B2FCA">
        <w:rPr>
          <w:b/>
          <w:sz w:val="20"/>
        </w:rPr>
        <w:instrText xml:space="preserve"> SEQ CHAPTER \h \r 1</w:instrText>
      </w:r>
      <w:r w:rsidRPr="00202C5F">
        <w:rPr>
          <w:b/>
          <w:sz w:val="20"/>
        </w:rPr>
        <w:fldChar w:fldCharType="end"/>
      </w:r>
      <w:r w:rsidRPr="002B2FCA">
        <w:rPr>
          <w:b/>
          <w:sz w:val="20"/>
        </w:rPr>
        <w:t>35</w:t>
      </w:r>
      <w:r>
        <w:rPr>
          <w:b/>
          <w:sz w:val="20"/>
        </w:rPr>
        <w:t>115</w:t>
      </w:r>
      <w:r w:rsidRPr="002B2FCA">
        <w:rPr>
          <w:sz w:val="20"/>
        </w:rPr>
        <w:tab/>
      </w:r>
      <w:r w:rsidRPr="00450B66">
        <w:rPr>
          <w:b/>
          <w:sz w:val="20"/>
          <w:u w:val="single"/>
        </w:rPr>
        <w:t>Her Majesty the Queen</w:t>
      </w:r>
      <w:r w:rsidRPr="00073252">
        <w:rPr>
          <w:b/>
          <w:sz w:val="20"/>
          <w:u w:val="single"/>
        </w:rPr>
        <w:t xml:space="preserve"> </w:t>
      </w:r>
      <w:r w:rsidRPr="002B2FCA">
        <w:rPr>
          <w:b/>
          <w:sz w:val="20"/>
          <w:u w:val="single"/>
        </w:rPr>
        <w:t xml:space="preserve">v. </w:t>
      </w:r>
      <w:r w:rsidRPr="00450B66">
        <w:rPr>
          <w:b/>
          <w:sz w:val="20"/>
          <w:u w:val="single"/>
        </w:rPr>
        <w:t xml:space="preserve">Level Aaron Carvery </w:t>
      </w:r>
      <w:r w:rsidRPr="002B2FCA">
        <w:rPr>
          <w:b/>
          <w:sz w:val="20"/>
          <w:u w:val="single"/>
        </w:rPr>
        <w:t xml:space="preserve">– and – </w:t>
      </w:r>
      <w:r w:rsidRPr="00112091">
        <w:rPr>
          <w:b/>
          <w:sz w:val="20"/>
          <w:u w:val="single"/>
        </w:rPr>
        <w:t>Criminal Lawyers’ Association of Ontario and British Columbia Civil Liberties Association</w:t>
      </w:r>
      <w:r w:rsidRPr="00112091">
        <w:rPr>
          <w:b/>
          <w:sz w:val="20"/>
        </w:rPr>
        <w:t xml:space="preserve"> </w:t>
      </w:r>
      <w:r w:rsidRPr="002B2FCA">
        <w:rPr>
          <w:sz w:val="20"/>
        </w:rPr>
        <w:t>(</w:t>
      </w:r>
      <w:r>
        <w:rPr>
          <w:sz w:val="20"/>
        </w:rPr>
        <w:t>N.S.</w:t>
      </w:r>
      <w:r w:rsidRPr="002B2FCA">
        <w:rPr>
          <w:sz w:val="20"/>
        </w:rPr>
        <w:t>)</w:t>
      </w:r>
    </w:p>
    <w:p w:rsidR="00315D2A" w:rsidRPr="002B2FCA" w:rsidRDefault="00315D2A" w:rsidP="00315D2A">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B2FCA">
        <w:rPr>
          <w:b/>
          <w:sz w:val="20"/>
        </w:rPr>
        <w:t xml:space="preserve">2014 SCC </w:t>
      </w:r>
      <w:r>
        <w:rPr>
          <w:b/>
          <w:sz w:val="20"/>
        </w:rPr>
        <w:t>27</w:t>
      </w:r>
      <w:r w:rsidRPr="002B2FCA">
        <w:rPr>
          <w:b/>
          <w:sz w:val="20"/>
        </w:rPr>
        <w:t xml:space="preserve"> / 2014 CSC </w:t>
      </w:r>
      <w:r>
        <w:rPr>
          <w:b/>
          <w:sz w:val="20"/>
        </w:rPr>
        <w:t>27</w:t>
      </w:r>
    </w:p>
    <w:p w:rsidR="00315D2A" w:rsidRPr="002B2FCA" w:rsidRDefault="00315D2A" w:rsidP="00315D2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315D2A" w:rsidRPr="002B2FCA" w:rsidRDefault="00315D2A" w:rsidP="00315D2A">
      <w:pPr>
        <w:ind w:left="1440" w:hanging="1440"/>
        <w:rPr>
          <w:sz w:val="20"/>
          <w:u w:val="single"/>
        </w:rPr>
      </w:pPr>
      <w:r w:rsidRPr="002B2FCA">
        <w:rPr>
          <w:sz w:val="20"/>
        </w:rPr>
        <w:t>Coram:</w:t>
      </w:r>
      <w:r w:rsidRPr="002B2FCA">
        <w:rPr>
          <w:sz w:val="20"/>
        </w:rPr>
        <w:tab/>
      </w:r>
      <w:r w:rsidRPr="00112091">
        <w:rPr>
          <w:sz w:val="20"/>
          <w:u w:val="single"/>
        </w:rPr>
        <w:t>McLachlin C.J. and LeBel, Abella, Rothstein, Cromwell, Karakatsanis and Wagner JJ.</w:t>
      </w:r>
      <w:r w:rsidRPr="002B2FCA">
        <w:rPr>
          <w:sz w:val="20"/>
          <w:u w:val="single"/>
        </w:rPr>
        <w:t xml:space="preserve"> </w:t>
      </w:r>
    </w:p>
    <w:p w:rsidR="00315D2A" w:rsidRPr="00112091" w:rsidRDefault="00315D2A" w:rsidP="00315D2A">
      <w:pPr>
        <w:ind w:left="1440" w:hanging="1440"/>
        <w:jc w:val="both"/>
        <w:rPr>
          <w:sz w:val="20"/>
          <w:u w:val="single"/>
        </w:rPr>
      </w:pPr>
    </w:p>
    <w:p w:rsidR="00315D2A" w:rsidRPr="00112091" w:rsidRDefault="00315D2A" w:rsidP="00315D2A">
      <w:pPr>
        <w:jc w:val="both"/>
        <w:rPr>
          <w:rFonts w:eastAsia="Calibri"/>
          <w:sz w:val="20"/>
        </w:rPr>
      </w:pPr>
      <w:r w:rsidRPr="00112091">
        <w:rPr>
          <w:rFonts w:eastAsia="Calibri"/>
          <w:sz w:val="20"/>
        </w:rPr>
        <w:t>The appeal from the judgment of the Nova Scotia Court of Appeal, Number CAC 353119, 2012 NSCA 107, dated October 3, 2012, heard on January 23, 2014, is dismissed.</w:t>
      </w:r>
    </w:p>
    <w:p w:rsidR="00315D2A" w:rsidRPr="00112091" w:rsidRDefault="00315D2A" w:rsidP="00315D2A">
      <w:pPr>
        <w:jc w:val="both"/>
        <w:rPr>
          <w:rFonts w:eastAsia="Calibri"/>
          <w:sz w:val="20"/>
        </w:rPr>
      </w:pPr>
    </w:p>
    <w:p w:rsidR="00315D2A" w:rsidRPr="00112091" w:rsidRDefault="00315D2A" w:rsidP="00315D2A">
      <w:pPr>
        <w:jc w:val="both"/>
        <w:rPr>
          <w:rFonts w:eastAsia="Calibri"/>
          <w:sz w:val="20"/>
          <w:lang w:val="fr-CA"/>
        </w:rPr>
      </w:pPr>
      <w:r w:rsidRPr="00112091">
        <w:rPr>
          <w:rFonts w:eastAsia="Calibri"/>
          <w:sz w:val="20"/>
          <w:lang w:val="fr-CA"/>
        </w:rPr>
        <w:t>L’appel interjeté contre l’arrêt de la Cour d’appel de la Nouvelle-Écosse, numéro CAC 353119, 2012 NSCA 107, en date du 3 octobre 2012, entendu le 23 janvier 2014, est rejeté.</w:t>
      </w:r>
    </w:p>
    <w:p w:rsidR="00315D2A" w:rsidRDefault="00315D2A" w:rsidP="00315D2A">
      <w:pPr>
        <w:widowControl w:val="0"/>
        <w:jc w:val="both"/>
        <w:outlineLvl w:val="0"/>
        <w:rPr>
          <w:sz w:val="20"/>
          <w:lang w:val="fr-CA"/>
        </w:rPr>
      </w:pPr>
    </w:p>
    <w:p w:rsidR="00315D2A" w:rsidRDefault="00BF31AA" w:rsidP="00315D2A">
      <w:pPr>
        <w:widowControl w:val="0"/>
        <w:jc w:val="both"/>
        <w:outlineLvl w:val="0"/>
        <w:rPr>
          <w:sz w:val="20"/>
          <w:lang w:val="fr-CA"/>
        </w:rPr>
      </w:pPr>
      <w:r>
        <w:rPr>
          <w:rFonts w:cs="Times New Roman"/>
          <w:b/>
          <w:sz w:val="20"/>
          <w:szCs w:val="20"/>
        </w:rPr>
        <w:pict>
          <v:rect id="_x0000_i1069" style="width:144.3pt;height:1pt" o:hrpct="300" o:hralign="center" o:hrstd="t" o:hrnoshade="t" o:hr="t" fillcolor="black [3213]" stroked="f"/>
        </w:pict>
      </w:r>
    </w:p>
    <w:p w:rsidR="00315D2A" w:rsidRDefault="00315D2A" w:rsidP="00315D2A">
      <w:pPr>
        <w:widowControl w:val="0"/>
        <w:jc w:val="both"/>
        <w:outlineLvl w:val="0"/>
        <w:rPr>
          <w:sz w:val="20"/>
          <w:lang w:val="fr-CA"/>
        </w:rPr>
      </w:pPr>
    </w:p>
    <w:p w:rsidR="00315D2A" w:rsidRPr="002B2FCA" w:rsidRDefault="00315D2A" w:rsidP="00315D2A">
      <w:pPr>
        <w:ind w:left="1440" w:hanging="1440"/>
        <w:jc w:val="both"/>
        <w:rPr>
          <w:sz w:val="20"/>
        </w:rPr>
      </w:pPr>
      <w:r w:rsidRPr="00202C5F">
        <w:rPr>
          <w:b/>
          <w:sz w:val="20"/>
        </w:rPr>
        <w:fldChar w:fldCharType="begin"/>
      </w:r>
      <w:r w:rsidRPr="002B2FCA">
        <w:rPr>
          <w:b/>
          <w:sz w:val="20"/>
        </w:rPr>
        <w:instrText xml:space="preserve"> SEQ CHAPTER \h \r 1</w:instrText>
      </w:r>
      <w:r w:rsidRPr="00202C5F">
        <w:rPr>
          <w:b/>
          <w:sz w:val="20"/>
        </w:rPr>
        <w:fldChar w:fldCharType="end"/>
      </w:r>
      <w:r w:rsidRPr="002B2FCA">
        <w:rPr>
          <w:b/>
          <w:sz w:val="20"/>
        </w:rPr>
        <w:t>35</w:t>
      </w:r>
      <w:r>
        <w:rPr>
          <w:b/>
          <w:sz w:val="20"/>
        </w:rPr>
        <w:t>487</w:t>
      </w:r>
      <w:r w:rsidRPr="002B2FCA">
        <w:rPr>
          <w:sz w:val="20"/>
        </w:rPr>
        <w:tab/>
      </w:r>
      <w:r w:rsidRPr="00112091">
        <w:rPr>
          <w:b/>
          <w:sz w:val="20"/>
          <w:u w:val="single"/>
        </w:rPr>
        <w:t xml:space="preserve">Calvin Clarke </w:t>
      </w:r>
      <w:r w:rsidRPr="002B2FCA">
        <w:rPr>
          <w:b/>
          <w:sz w:val="20"/>
          <w:u w:val="single"/>
        </w:rPr>
        <w:t xml:space="preserve">v. </w:t>
      </w:r>
      <w:r>
        <w:rPr>
          <w:b/>
          <w:sz w:val="20"/>
          <w:u w:val="single"/>
        </w:rPr>
        <w:t>Her Majesty the Queen</w:t>
      </w:r>
      <w:r w:rsidRPr="00073252">
        <w:rPr>
          <w:b/>
          <w:sz w:val="20"/>
        </w:rPr>
        <w:t xml:space="preserve"> </w:t>
      </w:r>
      <w:r w:rsidRPr="002B2FCA">
        <w:rPr>
          <w:sz w:val="20"/>
        </w:rPr>
        <w:t>(</w:t>
      </w:r>
      <w:r>
        <w:rPr>
          <w:sz w:val="20"/>
        </w:rPr>
        <w:t>Ont.</w:t>
      </w:r>
      <w:r w:rsidRPr="002B2FCA">
        <w:rPr>
          <w:sz w:val="20"/>
        </w:rPr>
        <w:t>)</w:t>
      </w:r>
    </w:p>
    <w:p w:rsidR="00315D2A" w:rsidRPr="002B2FCA" w:rsidRDefault="00315D2A" w:rsidP="00315D2A">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B2FCA">
        <w:rPr>
          <w:b/>
          <w:sz w:val="20"/>
        </w:rPr>
        <w:t xml:space="preserve">2014 SCC </w:t>
      </w:r>
      <w:r>
        <w:rPr>
          <w:b/>
          <w:sz w:val="20"/>
        </w:rPr>
        <w:t>28</w:t>
      </w:r>
      <w:r w:rsidRPr="002B2FCA">
        <w:rPr>
          <w:b/>
          <w:sz w:val="20"/>
        </w:rPr>
        <w:t xml:space="preserve"> / 2014 CSC </w:t>
      </w:r>
      <w:r>
        <w:rPr>
          <w:b/>
          <w:sz w:val="20"/>
        </w:rPr>
        <w:t>28</w:t>
      </w:r>
    </w:p>
    <w:p w:rsidR="00315D2A" w:rsidRPr="002B2FCA" w:rsidRDefault="00315D2A" w:rsidP="00315D2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315D2A" w:rsidRPr="002B2FCA" w:rsidRDefault="00315D2A" w:rsidP="00315D2A">
      <w:pPr>
        <w:ind w:left="1440" w:hanging="1440"/>
        <w:rPr>
          <w:sz w:val="20"/>
          <w:u w:val="single"/>
        </w:rPr>
      </w:pPr>
      <w:r w:rsidRPr="002B2FCA">
        <w:rPr>
          <w:sz w:val="20"/>
        </w:rPr>
        <w:t>Coram:</w:t>
      </w:r>
      <w:r w:rsidRPr="002B2FCA">
        <w:rPr>
          <w:sz w:val="20"/>
        </w:rPr>
        <w:tab/>
      </w:r>
      <w:r w:rsidRPr="00816FD3">
        <w:rPr>
          <w:sz w:val="20"/>
          <w:u w:val="single"/>
        </w:rPr>
        <w:t>McLachlin C.J. and LeBel, Abella, Rothstein, Cromwell, Karakatsanis and Wagner JJ.</w:t>
      </w:r>
      <w:r w:rsidRPr="002B2FCA">
        <w:rPr>
          <w:sz w:val="20"/>
          <w:u w:val="single"/>
        </w:rPr>
        <w:t xml:space="preserve"> </w:t>
      </w:r>
    </w:p>
    <w:p w:rsidR="00315D2A" w:rsidRPr="002B2FCA" w:rsidRDefault="00315D2A" w:rsidP="00315D2A">
      <w:pPr>
        <w:ind w:left="1440" w:hanging="1440"/>
        <w:jc w:val="both"/>
        <w:rPr>
          <w:sz w:val="20"/>
          <w:u w:val="single"/>
        </w:rPr>
      </w:pPr>
    </w:p>
    <w:p w:rsidR="00315D2A" w:rsidRPr="00901FFD" w:rsidRDefault="00315D2A" w:rsidP="00315D2A">
      <w:pPr>
        <w:ind w:left="720" w:hanging="720"/>
        <w:jc w:val="both"/>
        <w:rPr>
          <w:b/>
          <w:sz w:val="20"/>
        </w:rPr>
      </w:pPr>
      <w:r w:rsidRPr="00901FFD">
        <w:rPr>
          <w:b/>
          <w:sz w:val="20"/>
        </w:rPr>
        <w:t>REASONS RELEASED / MOTIFS DÉPOSÉS</w:t>
      </w:r>
    </w:p>
    <w:p w:rsidR="00D004FC" w:rsidRDefault="00D004FC" w:rsidP="00D004FC">
      <w:pPr>
        <w:spacing w:line="0" w:lineRule="atLeast"/>
        <w:rPr>
          <w:rFonts w:cs="Times New Roman"/>
          <w:sz w:val="20"/>
          <w:szCs w:val="20"/>
        </w:rPr>
      </w:pPr>
    </w:p>
    <w:p w:rsidR="00D004FC" w:rsidRDefault="00BF31AA" w:rsidP="00D004FC">
      <w:pPr>
        <w:jc w:val="both"/>
        <w:rPr>
          <w:rFonts w:cs="Times New Roman"/>
          <w:b/>
          <w:sz w:val="20"/>
          <w:szCs w:val="20"/>
        </w:rPr>
      </w:pPr>
      <w:r>
        <w:rPr>
          <w:rFonts w:cs="Times New Roman"/>
          <w:b/>
          <w:sz w:val="20"/>
          <w:szCs w:val="20"/>
        </w:rPr>
        <w:pict>
          <v:rect id="_x0000_i1070"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B6FFE" w:rsidRPr="00FC7235" w:rsidRDefault="00DB6FFE" w:rsidP="00DB6FFE">
      <w:pPr>
        <w:ind w:left="720" w:hanging="720"/>
        <w:rPr>
          <w:sz w:val="20"/>
          <w:szCs w:val="20"/>
        </w:rPr>
      </w:pPr>
      <w:r w:rsidRPr="00FC7235">
        <w:rPr>
          <w:i/>
          <w:sz w:val="20"/>
          <w:szCs w:val="20"/>
        </w:rPr>
        <w:t>Her Majesty the Queen v. Sean Summers</w:t>
      </w:r>
      <w:r w:rsidRPr="00FC7235">
        <w:rPr>
          <w:sz w:val="20"/>
          <w:szCs w:val="20"/>
        </w:rPr>
        <w:t xml:space="preserve"> (Ont.) (</w:t>
      </w:r>
      <w:hyperlink r:id="rId81" w:history="1">
        <w:r w:rsidRPr="00FC7235">
          <w:rPr>
            <w:rStyle w:val="Hyperlink"/>
            <w:sz w:val="20"/>
            <w:szCs w:val="20"/>
          </w:rPr>
          <w:t>35339</w:t>
        </w:r>
      </w:hyperlink>
      <w:r w:rsidRPr="00FC7235">
        <w:rPr>
          <w:sz w:val="20"/>
          <w:szCs w:val="20"/>
        </w:rPr>
        <w:t>)</w:t>
      </w:r>
    </w:p>
    <w:p w:rsidR="00D16260" w:rsidRPr="00D16260" w:rsidRDefault="00D16260" w:rsidP="00D16260">
      <w:pPr>
        <w:jc w:val="both"/>
        <w:rPr>
          <w:b/>
          <w:sz w:val="20"/>
          <w:szCs w:val="20"/>
        </w:rPr>
      </w:pPr>
      <w:r w:rsidRPr="00D012CE">
        <w:rPr>
          <w:b/>
          <w:sz w:val="20"/>
          <w:szCs w:val="20"/>
        </w:rPr>
        <w:t xml:space="preserve">Indexed as:  R. </w:t>
      </w:r>
      <w:r w:rsidRPr="00D012CE">
        <w:rPr>
          <w:b/>
          <w:i/>
          <w:sz w:val="20"/>
          <w:szCs w:val="20"/>
        </w:rPr>
        <w:t>v.</w:t>
      </w:r>
      <w:r w:rsidRPr="00D012CE">
        <w:rPr>
          <w:b/>
          <w:sz w:val="20"/>
          <w:szCs w:val="20"/>
        </w:rPr>
        <w:t xml:space="preserve"> Summers</w:t>
      </w:r>
      <w:r>
        <w:rPr>
          <w:b/>
          <w:sz w:val="20"/>
          <w:szCs w:val="20"/>
        </w:rPr>
        <w:t xml:space="preserve"> / </w:t>
      </w:r>
      <w:r w:rsidRPr="00D16260">
        <w:rPr>
          <w:b/>
          <w:sz w:val="20"/>
          <w:szCs w:val="20"/>
        </w:rPr>
        <w:t xml:space="preserve">Répertorié : R. </w:t>
      </w:r>
      <w:r w:rsidRPr="00D16260">
        <w:rPr>
          <w:b/>
          <w:i/>
          <w:sz w:val="20"/>
          <w:szCs w:val="20"/>
        </w:rPr>
        <w:t>c.</w:t>
      </w:r>
      <w:r w:rsidRPr="00D16260">
        <w:rPr>
          <w:b/>
          <w:sz w:val="20"/>
          <w:szCs w:val="20"/>
        </w:rPr>
        <w:t xml:space="preserve"> Summers</w:t>
      </w:r>
    </w:p>
    <w:p w:rsidR="005C6840" w:rsidRPr="003B3977" w:rsidRDefault="005C6840" w:rsidP="005C6840">
      <w:pPr>
        <w:pStyle w:val="SCCSystemYear"/>
        <w:jc w:val="both"/>
        <w:rPr>
          <w:sz w:val="20"/>
        </w:rPr>
      </w:pPr>
      <w:r w:rsidRPr="003B3977">
        <w:rPr>
          <w:sz w:val="20"/>
        </w:rPr>
        <w:t>Neutral citation:  201</w:t>
      </w:r>
      <w:r w:rsidR="00DB6FFE">
        <w:rPr>
          <w:sz w:val="20"/>
        </w:rPr>
        <w:t>4</w:t>
      </w:r>
      <w:r w:rsidRPr="003B3977">
        <w:rPr>
          <w:sz w:val="20"/>
        </w:rPr>
        <w:t xml:space="preserve"> SCC </w:t>
      </w:r>
      <w:r w:rsidR="00DB6FFE">
        <w:rPr>
          <w:sz w:val="20"/>
        </w:rPr>
        <w:t>26</w:t>
      </w:r>
      <w:r w:rsidRPr="003B3977">
        <w:rPr>
          <w:sz w:val="20"/>
        </w:rPr>
        <w:t xml:space="preserve"> / Référence neutre : 201</w:t>
      </w:r>
      <w:r w:rsidR="00DB6FFE">
        <w:rPr>
          <w:sz w:val="20"/>
        </w:rPr>
        <w:t>4</w:t>
      </w:r>
      <w:r w:rsidRPr="003B3977">
        <w:rPr>
          <w:sz w:val="20"/>
        </w:rPr>
        <w:t xml:space="preserve"> CSC </w:t>
      </w:r>
      <w:r w:rsidR="00DB6FFE">
        <w:rPr>
          <w:sz w:val="20"/>
        </w:rPr>
        <w:t>26</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D16260">
        <w:rPr>
          <w:rFonts w:cs="Times New Roman"/>
          <w:sz w:val="20"/>
          <w:szCs w:val="20"/>
          <w:lang w:val="fr-CA"/>
        </w:rPr>
        <w:t>Janua</w:t>
      </w:r>
      <w:r w:rsidRPr="003B3977">
        <w:rPr>
          <w:rFonts w:cs="Times New Roman"/>
          <w:sz w:val="20"/>
          <w:szCs w:val="20"/>
          <w:lang w:val="fr-CA"/>
        </w:rPr>
        <w:t>r</w:t>
      </w:r>
      <w:r w:rsidR="00D16260">
        <w:rPr>
          <w:rFonts w:cs="Times New Roman"/>
          <w:sz w:val="20"/>
          <w:szCs w:val="20"/>
          <w:lang w:val="fr-CA"/>
        </w:rPr>
        <w:t>y</w:t>
      </w:r>
      <w:r w:rsidRPr="003B3977">
        <w:rPr>
          <w:rFonts w:cs="Times New Roman"/>
          <w:sz w:val="20"/>
          <w:szCs w:val="20"/>
          <w:lang w:val="fr-CA"/>
        </w:rPr>
        <w:t xml:space="preserve"> </w:t>
      </w:r>
      <w:r w:rsidR="00D16260">
        <w:rPr>
          <w:rFonts w:cs="Times New Roman"/>
          <w:sz w:val="20"/>
          <w:szCs w:val="20"/>
          <w:lang w:val="fr-CA"/>
        </w:rPr>
        <w:t>23</w:t>
      </w:r>
      <w:r w:rsidRPr="003B3977">
        <w:rPr>
          <w:rFonts w:cs="Times New Roman"/>
          <w:sz w:val="20"/>
          <w:szCs w:val="20"/>
          <w:lang w:val="fr-CA"/>
        </w:rPr>
        <w:t>, 201</w:t>
      </w:r>
      <w:r w:rsidR="00D16260">
        <w:rPr>
          <w:rFonts w:cs="Times New Roman"/>
          <w:sz w:val="20"/>
          <w:szCs w:val="20"/>
          <w:lang w:val="fr-CA"/>
        </w:rPr>
        <w:t>4</w:t>
      </w:r>
      <w:r w:rsidRPr="003B3977">
        <w:rPr>
          <w:rFonts w:cs="Times New Roman"/>
          <w:sz w:val="20"/>
          <w:szCs w:val="20"/>
          <w:lang w:val="fr-CA"/>
        </w:rPr>
        <w:t xml:space="preserve"> / Judgment:  </w:t>
      </w:r>
      <w:r w:rsidR="00DB6FFE">
        <w:rPr>
          <w:rFonts w:cs="Times New Roman"/>
          <w:sz w:val="20"/>
          <w:szCs w:val="20"/>
          <w:lang w:val="fr-CA"/>
        </w:rPr>
        <w:t>April 11</w:t>
      </w:r>
      <w:r w:rsidRPr="003B3977">
        <w:rPr>
          <w:rFonts w:cs="Times New Roman"/>
          <w:sz w:val="20"/>
          <w:szCs w:val="20"/>
          <w:lang w:val="fr-CA"/>
        </w:rPr>
        <w:t>, 201</w:t>
      </w:r>
      <w:r w:rsidR="00DB6FFE">
        <w:rPr>
          <w:rFonts w:cs="Times New Roman"/>
          <w:sz w:val="20"/>
          <w:szCs w:val="20"/>
          <w:lang w:val="fr-CA"/>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D16260">
        <w:rPr>
          <w:rFonts w:cs="Times New Roman"/>
          <w:sz w:val="20"/>
          <w:szCs w:val="20"/>
          <w:lang w:val="fr-CA"/>
        </w:rPr>
        <w:t>23 janvi</w:t>
      </w:r>
      <w:r w:rsidRPr="003B3977">
        <w:rPr>
          <w:rFonts w:cs="Times New Roman"/>
          <w:sz w:val="20"/>
          <w:szCs w:val="20"/>
          <w:lang w:val="fr-CA"/>
        </w:rPr>
        <w:t>e</w:t>
      </w:r>
      <w:r w:rsidR="00D16260">
        <w:rPr>
          <w:rFonts w:cs="Times New Roman"/>
          <w:sz w:val="20"/>
          <w:szCs w:val="20"/>
          <w:lang w:val="fr-CA"/>
        </w:rPr>
        <w:t>r</w:t>
      </w:r>
      <w:r w:rsidRPr="003B3977">
        <w:rPr>
          <w:rFonts w:cs="Times New Roman"/>
          <w:sz w:val="20"/>
          <w:szCs w:val="20"/>
          <w:lang w:val="fr-CA"/>
        </w:rPr>
        <w:t xml:space="preserve"> 201</w:t>
      </w:r>
      <w:r w:rsidR="00D16260">
        <w:rPr>
          <w:rFonts w:cs="Times New Roman"/>
          <w:sz w:val="20"/>
          <w:szCs w:val="20"/>
          <w:lang w:val="fr-CA"/>
        </w:rPr>
        <w:t>4</w:t>
      </w:r>
      <w:r w:rsidRPr="003B3977">
        <w:rPr>
          <w:rFonts w:cs="Times New Roman"/>
          <w:sz w:val="20"/>
          <w:szCs w:val="20"/>
          <w:lang w:val="fr-CA"/>
        </w:rPr>
        <w:t xml:space="preserve"> / Jugement : Le </w:t>
      </w:r>
      <w:r w:rsidR="00DB6FFE">
        <w:rPr>
          <w:rFonts w:cs="Times New Roman"/>
          <w:sz w:val="20"/>
          <w:szCs w:val="20"/>
          <w:lang w:val="fr-CA"/>
        </w:rPr>
        <w:t>11</w:t>
      </w:r>
      <w:r w:rsidRPr="003B3977">
        <w:rPr>
          <w:rFonts w:cs="Times New Roman"/>
          <w:sz w:val="20"/>
          <w:szCs w:val="20"/>
          <w:lang w:val="fr-CA"/>
        </w:rPr>
        <w:t xml:space="preserve"> </w:t>
      </w:r>
      <w:r w:rsidR="00DB6FFE">
        <w:rPr>
          <w:rFonts w:cs="Times New Roman"/>
          <w:sz w:val="20"/>
          <w:szCs w:val="20"/>
          <w:lang w:val="fr-CA"/>
        </w:rPr>
        <w:t>av</w:t>
      </w:r>
      <w:r w:rsidRPr="003B3977">
        <w:rPr>
          <w:rFonts w:cs="Times New Roman"/>
          <w:sz w:val="20"/>
          <w:szCs w:val="20"/>
          <w:lang w:val="fr-CA"/>
        </w:rPr>
        <w:t>r</w:t>
      </w:r>
      <w:r w:rsidR="00DB6FFE">
        <w:rPr>
          <w:rFonts w:cs="Times New Roman"/>
          <w:sz w:val="20"/>
          <w:szCs w:val="20"/>
          <w:lang w:val="fr-CA"/>
        </w:rPr>
        <w:t>il</w:t>
      </w:r>
      <w:r w:rsidRPr="003B3977">
        <w:rPr>
          <w:rFonts w:cs="Times New Roman"/>
          <w:sz w:val="20"/>
          <w:szCs w:val="20"/>
          <w:lang w:val="fr-CA"/>
        </w:rPr>
        <w:t xml:space="preserve"> 201</w:t>
      </w:r>
      <w:r w:rsidR="00DB6FFE">
        <w:rPr>
          <w:rFonts w:cs="Times New Roman"/>
          <w:sz w:val="20"/>
          <w:szCs w:val="20"/>
          <w:lang w:val="fr-CA"/>
        </w:rPr>
        <w:t>4</w:t>
      </w:r>
    </w:p>
    <w:p w:rsidR="005C6840" w:rsidRPr="003B3977" w:rsidRDefault="00BF31AA" w:rsidP="005C6840">
      <w:pPr>
        <w:rPr>
          <w:rFonts w:cs="Times New Roman"/>
          <w:sz w:val="20"/>
          <w:szCs w:val="20"/>
          <w:lang w:val="fr-CA"/>
        </w:rPr>
      </w:pPr>
      <w:r>
        <w:rPr>
          <w:rFonts w:cs="Times New Roman"/>
          <w:i/>
          <w:sz w:val="20"/>
          <w:szCs w:val="20"/>
        </w:rPr>
        <w:pict>
          <v:rect id="_x0000_i107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16260" w:rsidRPr="00D012CE" w:rsidRDefault="00D16260" w:rsidP="00D16260">
      <w:pPr>
        <w:jc w:val="both"/>
        <w:rPr>
          <w:sz w:val="20"/>
          <w:szCs w:val="20"/>
        </w:rPr>
      </w:pPr>
      <w:r w:rsidRPr="00D012CE">
        <w:rPr>
          <w:sz w:val="20"/>
          <w:szCs w:val="20"/>
        </w:rPr>
        <w:t>Present:  McLachlin C.J. and LeBel, Abella, Rothstein, Cromwell, Karakatsanis and Wagner JJ.</w:t>
      </w:r>
    </w:p>
    <w:p w:rsidR="00D16260" w:rsidRDefault="00D16260" w:rsidP="00D16260">
      <w:pPr>
        <w:pStyle w:val="SCCLowerCourtNameLowercase"/>
        <w:spacing w:line="240" w:lineRule="auto"/>
        <w:rPr>
          <w:sz w:val="20"/>
        </w:rPr>
      </w:pPr>
    </w:p>
    <w:p w:rsidR="00D16260" w:rsidRPr="00D012CE" w:rsidRDefault="00D16260" w:rsidP="00D16260">
      <w:pPr>
        <w:pStyle w:val="SCCNormalDoubleSpacing"/>
        <w:spacing w:line="240" w:lineRule="auto"/>
        <w:rPr>
          <w:i/>
          <w:sz w:val="20"/>
        </w:rPr>
      </w:pPr>
      <w:r w:rsidRPr="00D012CE">
        <w:rPr>
          <w:sz w:val="20"/>
        </w:rPr>
        <w:tab/>
      </w:r>
      <w:r w:rsidRPr="00D012CE">
        <w:rPr>
          <w:i/>
          <w:sz w:val="20"/>
        </w:rPr>
        <w:t>Criminal law — Sentencing — Considerations — Credit for pre</w:t>
      </w:r>
      <w:r w:rsidRPr="00D012CE">
        <w:rPr>
          <w:i/>
          <w:sz w:val="20"/>
        </w:rPr>
        <w:noBreakHyphen/>
        <w:t>sentence detention — Criminal Code permitting enhanced credit at rate of up to one</w:t>
      </w:r>
      <w:r w:rsidRPr="00D012CE">
        <w:rPr>
          <w:i/>
          <w:sz w:val="20"/>
        </w:rPr>
        <w:noBreakHyphen/>
        <w:t>and</w:t>
      </w:r>
      <w:r w:rsidRPr="00D012CE">
        <w:rPr>
          <w:i/>
          <w:sz w:val="20"/>
        </w:rPr>
        <w:noBreakHyphen/>
        <w:t>one</w:t>
      </w:r>
      <w:r w:rsidRPr="00D012CE">
        <w:rPr>
          <w:i/>
          <w:sz w:val="20"/>
        </w:rPr>
        <w:noBreakHyphen/>
        <w:t>half days for every day of pre</w:t>
      </w:r>
      <w:r w:rsidRPr="00D012CE">
        <w:rPr>
          <w:i/>
          <w:sz w:val="20"/>
        </w:rPr>
        <w:noBreakHyphen/>
        <w:t>sentence detention “if the circumstances justify it” — Sentencing judge applying enhanced credit on basis of lost eligibility for early release and parole — Whether lost opportunity for early release and parole during pre</w:t>
      </w:r>
      <w:r w:rsidRPr="00D012CE">
        <w:rPr>
          <w:i/>
          <w:sz w:val="20"/>
        </w:rPr>
        <w:noBreakHyphen/>
        <w:t>sentence detention can be circumstance capable of justifying enhanced credit at rate of one</w:t>
      </w:r>
      <w:r w:rsidRPr="00D012CE">
        <w:rPr>
          <w:i/>
          <w:sz w:val="20"/>
        </w:rPr>
        <w:noBreakHyphen/>
        <w:t>and</w:t>
      </w:r>
      <w:r w:rsidRPr="00D012CE">
        <w:rPr>
          <w:i/>
          <w:sz w:val="20"/>
        </w:rPr>
        <w:noBreakHyphen/>
        <w:t>one</w:t>
      </w:r>
      <w:r w:rsidRPr="00D012CE">
        <w:rPr>
          <w:i/>
          <w:sz w:val="20"/>
        </w:rPr>
        <w:noBreakHyphen/>
        <w:t>half to one — Criminal Code, R.S.C. 1985, c. C</w:t>
      </w:r>
      <w:r w:rsidRPr="00D012CE">
        <w:rPr>
          <w:i/>
          <w:sz w:val="20"/>
        </w:rPr>
        <w:noBreakHyphen/>
        <w:t>46, ss. 719(3) and 719(3.1).</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 xml:space="preserve">The </w:t>
      </w:r>
      <w:r w:rsidRPr="00D012CE">
        <w:rPr>
          <w:i/>
          <w:sz w:val="20"/>
        </w:rPr>
        <w:t>Truth in Sentencing Act</w:t>
      </w:r>
      <w:r w:rsidRPr="00D012CE">
        <w:rPr>
          <w:sz w:val="20"/>
        </w:rPr>
        <w:t>, passed in 2009, changed the statutory regime governing credit for pre</w:t>
      </w:r>
      <w:r w:rsidRPr="00D012CE">
        <w:rPr>
          <w:sz w:val="20"/>
        </w:rPr>
        <w:noBreakHyphen/>
        <w:t xml:space="preserve">sentence detention.  Parliament modified s. 719(3) of the </w:t>
      </w:r>
      <w:r w:rsidRPr="00D012CE">
        <w:rPr>
          <w:i/>
          <w:sz w:val="20"/>
        </w:rPr>
        <w:t>Criminal Code</w:t>
      </w:r>
      <w:r w:rsidRPr="00D012CE">
        <w:rPr>
          <w:sz w:val="20"/>
        </w:rPr>
        <w:t xml:space="preserve"> to limit credit for pre</w:t>
      </w:r>
      <w:r w:rsidRPr="00D012CE">
        <w:rPr>
          <w:sz w:val="20"/>
        </w:rPr>
        <w:noBreakHyphen/>
        <w:t>trial custody “to a maximum of one day for each day spent in custody”.  Parliament also provided in s. 719(3.1) that despite that limit, “if the circumstances justify it, the maximum is one and one</w:t>
      </w:r>
      <w:r w:rsidRPr="00D012CE">
        <w:rPr>
          <w:sz w:val="20"/>
        </w:rPr>
        <w:noBreakHyphen/>
        <w:t>half days for each day spent in custody”.</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In this case, the accused was on remand for 10.5 months.  The sentencing judge assigned a credit calculated at a rate of 1.5 to 1, on the basis that pre</w:t>
      </w:r>
      <w:r w:rsidRPr="00D012CE">
        <w:rPr>
          <w:sz w:val="20"/>
        </w:rPr>
        <w:noBreakHyphen/>
        <w:t xml:space="preserve">trial detention did not count towards parole eligibility for the accused. The judge found that this was a circumstance justifying credit at a ratio of 1.5 to 1 under the </w:t>
      </w:r>
      <w:r w:rsidRPr="00D012CE">
        <w:rPr>
          <w:i/>
          <w:sz w:val="20"/>
        </w:rPr>
        <w:t>Criminal Code</w:t>
      </w:r>
      <w:r w:rsidRPr="00D012CE">
        <w:rPr>
          <w:sz w:val="20"/>
        </w:rPr>
        <w:t>.  The Court of Appeal agreed and dismissed the appeal.</w:t>
      </w:r>
    </w:p>
    <w:p w:rsidR="00D16260" w:rsidRDefault="00D16260" w:rsidP="00D16260">
      <w:pPr>
        <w:pStyle w:val="SCCNormalDoubleSpacing"/>
        <w:spacing w:line="240" w:lineRule="auto"/>
        <w:rPr>
          <w:i/>
          <w:sz w:val="20"/>
        </w:rPr>
      </w:pPr>
    </w:p>
    <w:p w:rsidR="00D16260" w:rsidRPr="00D012CE" w:rsidRDefault="00D16260" w:rsidP="00D16260">
      <w:pPr>
        <w:pStyle w:val="SCCNormalDoubleSpacing"/>
        <w:spacing w:line="240" w:lineRule="auto"/>
        <w:rPr>
          <w:sz w:val="20"/>
        </w:rPr>
      </w:pPr>
      <w:r w:rsidRPr="00D012CE">
        <w:rPr>
          <w:i/>
          <w:sz w:val="20"/>
        </w:rPr>
        <w:tab/>
        <w:t>Held</w:t>
      </w:r>
      <w:r w:rsidRPr="00D012CE">
        <w:rPr>
          <w:sz w:val="20"/>
        </w:rPr>
        <w:t>:  The appeal should be dismissed.</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 xml:space="preserve">When an accused person is not granted bail, and must be remanded in jail awaiting trial, the </w:t>
      </w:r>
      <w:r w:rsidRPr="00D012CE">
        <w:rPr>
          <w:i/>
          <w:sz w:val="20"/>
        </w:rPr>
        <w:t>Criminal Code</w:t>
      </w:r>
      <w:r w:rsidRPr="00D012CE">
        <w:rPr>
          <w:sz w:val="20"/>
        </w:rPr>
        <w:t xml:space="preserve"> allows time served to be credited towards a resulting sentence of imprisonment.  Historically, t</w:t>
      </w:r>
      <w:r w:rsidRPr="00D012CE" w:rsidDel="00264A5E">
        <w:rPr>
          <w:sz w:val="20"/>
        </w:rPr>
        <w:t xml:space="preserve">he </w:t>
      </w:r>
      <w:r w:rsidRPr="00D012CE" w:rsidDel="00264A5E">
        <w:rPr>
          <w:i/>
          <w:sz w:val="20"/>
        </w:rPr>
        <w:t>Code</w:t>
      </w:r>
      <w:r w:rsidRPr="00D012CE" w:rsidDel="00264A5E">
        <w:rPr>
          <w:sz w:val="20"/>
        </w:rPr>
        <w:t xml:space="preserve"> imposed no restrictions on the reasons for giving credit, nor the rate at which credit was </w:t>
      </w:r>
      <w:r w:rsidRPr="00D012CE">
        <w:rPr>
          <w:sz w:val="20"/>
        </w:rPr>
        <w:t xml:space="preserve">granted. </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 xml:space="preserve">Courts generally gave enhanced credit, at a rate higher than one day for every day of detention, for two reasons.  First, statutory rules for parole eligibility and early release do not take into account time spent in custody before sentencing. Therefore, the </w:t>
      </w:r>
      <w:r w:rsidRPr="00D012CE">
        <w:rPr>
          <w:i/>
          <w:sz w:val="20"/>
        </w:rPr>
        <w:t>quantitative</w:t>
      </w:r>
      <w:r w:rsidRPr="00D012CE">
        <w:rPr>
          <w:sz w:val="20"/>
        </w:rPr>
        <w:t xml:space="preserve"> rationale recognized that pre</w:t>
      </w:r>
      <w:r w:rsidRPr="00D012CE">
        <w:rPr>
          <w:sz w:val="20"/>
        </w:rPr>
        <w:noBreakHyphen/>
        <w:t xml:space="preserve">sentence detention almost always needs to be credited at a rate higher than 1:1 to ensure that an offender who is released after serving two thirds of his sentence serves the same total amount of time in jail whether or not he is released on bail.  Second, the </w:t>
      </w:r>
      <w:r w:rsidRPr="00D012CE">
        <w:rPr>
          <w:i/>
          <w:sz w:val="20"/>
        </w:rPr>
        <w:t xml:space="preserve">qualitative </w:t>
      </w:r>
      <w:r w:rsidRPr="00D012CE">
        <w:rPr>
          <w:sz w:val="20"/>
        </w:rPr>
        <w:t>rationale for enhanced credit recognized that conditions in detention centres tended to be harsher than corrections facilities.  As a result of these twin rationales, a practice developed over time of granting credit for pre</w:t>
      </w:r>
      <w:r w:rsidRPr="00D012CE">
        <w:rPr>
          <w:sz w:val="20"/>
        </w:rPr>
        <w:noBreakHyphen/>
        <w:t>sentence detention at a rate of 2:1.</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 xml:space="preserve">The </w:t>
      </w:r>
      <w:r w:rsidRPr="00D012CE">
        <w:rPr>
          <w:i/>
          <w:sz w:val="20"/>
        </w:rPr>
        <w:t>Truth in Sentencing Act</w:t>
      </w:r>
      <w:r w:rsidRPr="00D012CE">
        <w:rPr>
          <w:sz w:val="20"/>
        </w:rPr>
        <w:t xml:space="preserve"> caps pre</w:t>
      </w:r>
      <w:r w:rsidRPr="00D012CE">
        <w:rPr>
          <w:sz w:val="20"/>
        </w:rPr>
        <w:noBreakHyphen/>
        <w:t>sentence credit, but does not alter the reasons for which it may be assigned.  Section 719(3.1) is free of any language limiting the scope of what may constitute “circumstances” justifying enhanced credit.  While Parliament clearly turned its attention to the circumstances under which s. 719(3.1) should not apply, the provision is devoid of any limiting language which would support the position that “circumstances” resulting from the operation of law, and specifically lost eligibility for early release and parole, could not justify enhanced credit.</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While s. 719(3.1) is structured as an exception to s. 719(3), there is no general rule of statutory interpretation that the circumstances falling under an exception must be numerically fewer than those falling under the general rule. Therefore, it is not a concern that most remand offenders will qualify for enhanced credit on the basis of lost eligibility for early release or parole.  Further, an interpretation of “circumstances” that includes loss of eligibility for parole and early release does not render s. 719(3) redundant.  Where an accused falls under an explicit exception to s. 719(3.1), the one</w:t>
      </w:r>
      <w:r w:rsidRPr="00D012CE">
        <w:rPr>
          <w:sz w:val="20"/>
        </w:rPr>
        <w:noBreakHyphen/>
        <w:t>for</w:t>
      </w:r>
      <w:r w:rsidRPr="00D012CE">
        <w:rPr>
          <w:sz w:val="20"/>
        </w:rPr>
        <w:noBreakHyphen/>
        <w:t xml:space="preserve">one cap set by s. 719(3) will apply.  In addition, the structure of s. 719 is consistent with the rationales for the </w:t>
      </w:r>
      <w:r w:rsidRPr="00D012CE">
        <w:rPr>
          <w:sz w:val="20"/>
        </w:rPr>
        <w:lastRenderedPageBreak/>
        <w:t>existence of pre</w:t>
      </w:r>
      <w:r w:rsidRPr="00D012CE">
        <w:rPr>
          <w:sz w:val="20"/>
        </w:rPr>
        <w:noBreakHyphen/>
        <w:t>sentence credit.  Section 719(3) reflects the general rationale for giving credit; any time in jail should generally be credited day for day.  On the other hand, s. 719(3.1) reflects the rationale for enhanced credit. Crediting a day in pre</w:t>
      </w:r>
      <w:r w:rsidRPr="00D012CE">
        <w:rPr>
          <w:sz w:val="20"/>
        </w:rPr>
        <w:noBreakHyphen/>
        <w:t xml:space="preserve">sentence custody as a day served is insufficient to account for both loss of eligibility for parole and early release (circumstances with quantitative impact) and the harshness of the conditions (circumstances with qualitative impact).  </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The practice of using the former s. 719(3) to award enhanced credit for both the quantitative and qualitative consequences of pre</w:t>
      </w:r>
      <w:r w:rsidRPr="00D012CE">
        <w:rPr>
          <w:sz w:val="20"/>
        </w:rPr>
        <w:noBreakHyphen/>
        <w:t>sentence detention was deeply entrenched in our sentencing system.  It is inconceivable that Parliament intended to overturn a principled and long</w:t>
      </w:r>
      <w:r w:rsidRPr="00D012CE">
        <w:rPr>
          <w:sz w:val="20"/>
        </w:rPr>
        <w:noBreakHyphen/>
        <w:t xml:space="preserve">standing sentencing practice, without using explicit language, by instead relying on inferences that could possibly be drawn from the order of certain provisions in the </w:t>
      </w:r>
      <w:r w:rsidRPr="00D012CE">
        <w:rPr>
          <w:i/>
          <w:sz w:val="20"/>
        </w:rPr>
        <w:t>Criminal Code</w:t>
      </w:r>
      <w:r w:rsidRPr="00D012CE">
        <w:rPr>
          <w:sz w:val="20"/>
        </w:rPr>
        <w:t xml:space="preserve">.  Rather, it seems more likely that Parliament intended to do what it did explicitly.  The amendments clearly impose a cap on the rate at which credit can be awarded, at 1.5 to 1.  Having made its intention so clear on that point, Parliament gave no indication it intended to alter the reasons for which enhanced credit can be granted.  Neither the language of the provision nor the external evidence demonstrates a clear intention to abolish one of the principled rationales for enhanced credit.  </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 xml:space="preserve">As the legislature is presumed to have created a coherent, consistent and harmonious statutory scheme, s. 719 should be interpreted in a manner that is consistent with the principles and purposes of sentencing set out in the </w:t>
      </w:r>
      <w:r w:rsidRPr="00D012CE">
        <w:rPr>
          <w:i/>
          <w:sz w:val="20"/>
        </w:rPr>
        <w:t>Criminal Code</w:t>
      </w:r>
      <w:r w:rsidRPr="00D012CE">
        <w:rPr>
          <w:sz w:val="20"/>
        </w:rPr>
        <w:t>.  A rule that results in longer sentences for offenders who do not obtain bail, compared to otherwise identical offenders is incompatible with the sentencing principles of parity and proportionality.  This is particularly so, given that vulnerable and impoverished offenders are less able to access bail.</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The loss of early release, taken alone, will generally be a sufficient basis to award credit at the rate of 1.5 to 1, even if the conditions of detention are not particularly harsh, and parole is unlikely.  However, if it appears to a sentencing judge that an offender will be denied early release, there is no reason to assign enhanced credit for the meaningless lost opportunity.  The onus is on the offender to demonstrate that he should be awarded enhanced credit based upon his pre</w:t>
      </w:r>
      <w:r w:rsidRPr="00D012CE">
        <w:rPr>
          <w:sz w:val="20"/>
        </w:rPr>
        <w:noBreakHyphen/>
        <w:t>sentence detention.  Of course, the Crown may challenge the inference that the offender has lost eligibility for parole or early release, justifying enhanced credit.  Extensive evidence will rarely be necessary.  A practical approach is required that does not complicate or prolong the sentencing process. </w:t>
      </w:r>
    </w:p>
    <w:p w:rsidR="00D16260" w:rsidRDefault="00D16260" w:rsidP="00D16260">
      <w:pPr>
        <w:pStyle w:val="SCCNormalDoubleSpacing"/>
        <w:spacing w:line="240" w:lineRule="auto"/>
        <w:rPr>
          <w:sz w:val="20"/>
        </w:rPr>
      </w:pPr>
    </w:p>
    <w:p w:rsidR="00D16260" w:rsidRDefault="00D16260" w:rsidP="00D16260">
      <w:pPr>
        <w:pStyle w:val="SCCNormalDoubleSpacing"/>
        <w:spacing w:line="240" w:lineRule="auto"/>
        <w:rPr>
          <w:sz w:val="20"/>
        </w:rPr>
      </w:pPr>
      <w:r w:rsidRPr="00D012CE">
        <w:rPr>
          <w:sz w:val="20"/>
        </w:rPr>
        <w:tab/>
        <w:t>Here, the sentencing judge did not err in law by granting enhanced credit under s. 719(3.1) on the basis of the accused’s loss of eligibility for early release and parole.  There is no serious challenge to the conclusion that the accused was likely to access early release.  It was therefore appropriate to grant credit at a rate of 1.5 days for every day in detention on the basis of the quantitative rationale for enhanced credit.</w:t>
      </w:r>
    </w:p>
    <w:p w:rsidR="00D16260" w:rsidRDefault="00D16260" w:rsidP="00D16260">
      <w:pPr>
        <w:pStyle w:val="SCCNormalDoubleSpacing"/>
        <w:spacing w:line="240" w:lineRule="auto"/>
        <w:rPr>
          <w:sz w:val="20"/>
        </w:rPr>
      </w:pPr>
    </w:p>
    <w:p w:rsidR="00D16260" w:rsidRPr="00D012CE" w:rsidRDefault="00D16260" w:rsidP="00D16260">
      <w:pPr>
        <w:pStyle w:val="SCCNormalDoubleSpacing"/>
        <w:spacing w:line="240" w:lineRule="auto"/>
        <w:rPr>
          <w:sz w:val="20"/>
        </w:rPr>
      </w:pPr>
      <w:r w:rsidRPr="00D012CE">
        <w:rPr>
          <w:sz w:val="20"/>
        </w:rPr>
        <w:tab/>
        <w:t>APPEAL from a judgment of the Ontario Court of Appeal (Cronk, Pepall and Tulloch JJ.A.), 2013 ONCA 147, 114 O.R. (3d) 641, 304 O.A.C. 322, 297 C.C.C. (3d) 166, 279 C.R.R. (2d) 289, 3 C.R. (7th) 125, [2013] O.J. No. 1068 (QL), 2013 CarswellOnt 2626, affirming a decision of Glithero J., [2011] O.J. No. 6377 (QL), 2011 CarswellOnt 16080.  Appeal dismissed.</w:t>
      </w:r>
    </w:p>
    <w:p w:rsidR="00D16260" w:rsidRDefault="00D16260" w:rsidP="00D16260">
      <w:pPr>
        <w:pStyle w:val="SCCNormalDoubleSpacing"/>
        <w:spacing w:line="240" w:lineRule="auto"/>
        <w:rPr>
          <w:i/>
          <w:sz w:val="20"/>
        </w:rPr>
      </w:pPr>
    </w:p>
    <w:p w:rsidR="00D16260" w:rsidRPr="00D012CE" w:rsidRDefault="00D16260" w:rsidP="00D16260">
      <w:pPr>
        <w:pStyle w:val="SCCNormalDoubleSpacing"/>
        <w:spacing w:line="240" w:lineRule="auto"/>
        <w:rPr>
          <w:sz w:val="20"/>
        </w:rPr>
      </w:pPr>
      <w:r w:rsidRPr="00D012CE">
        <w:rPr>
          <w:i/>
          <w:sz w:val="20"/>
        </w:rPr>
        <w:tab/>
        <w:t>Gregory J. Tweney</w:t>
      </w:r>
      <w:r w:rsidRPr="00D012CE">
        <w:rPr>
          <w:sz w:val="20"/>
        </w:rPr>
        <w:t xml:space="preserve"> and </w:t>
      </w:r>
      <w:r w:rsidRPr="00D012CE">
        <w:rPr>
          <w:i/>
          <w:sz w:val="20"/>
        </w:rPr>
        <w:t>Molly Flanagan</w:t>
      </w:r>
      <w:r w:rsidRPr="00D012CE">
        <w:rPr>
          <w:sz w:val="20"/>
        </w:rPr>
        <w:t>, for the appellant.</w:t>
      </w:r>
    </w:p>
    <w:p w:rsidR="00D16260" w:rsidRDefault="00D16260" w:rsidP="00D16260">
      <w:pPr>
        <w:pStyle w:val="SCCNormalDoubleSpacing"/>
        <w:spacing w:line="240" w:lineRule="auto"/>
        <w:rPr>
          <w:i/>
          <w:sz w:val="20"/>
        </w:rPr>
      </w:pPr>
    </w:p>
    <w:p w:rsidR="00D16260" w:rsidRPr="00D012CE" w:rsidRDefault="00D16260" w:rsidP="00D16260">
      <w:pPr>
        <w:pStyle w:val="SCCNormalDoubleSpacing"/>
        <w:spacing w:line="240" w:lineRule="auto"/>
        <w:rPr>
          <w:sz w:val="20"/>
        </w:rPr>
      </w:pPr>
      <w:r w:rsidRPr="00D012CE">
        <w:rPr>
          <w:i/>
          <w:sz w:val="20"/>
        </w:rPr>
        <w:tab/>
        <w:t>Brennan Smart</w:t>
      </w:r>
      <w:r w:rsidRPr="00D012CE">
        <w:rPr>
          <w:sz w:val="20"/>
        </w:rPr>
        <w:t xml:space="preserve"> and </w:t>
      </w:r>
      <w:r w:rsidRPr="00D012CE">
        <w:rPr>
          <w:i/>
          <w:sz w:val="20"/>
        </w:rPr>
        <w:t>Russell Silverstein</w:t>
      </w:r>
      <w:r w:rsidRPr="00D012CE">
        <w:rPr>
          <w:sz w:val="20"/>
        </w:rPr>
        <w:t>, for the respondent.</w:t>
      </w:r>
    </w:p>
    <w:p w:rsidR="00D16260" w:rsidRDefault="00D16260" w:rsidP="00D16260">
      <w:pPr>
        <w:pStyle w:val="SCCNormalDoubleSpacing"/>
        <w:spacing w:line="240" w:lineRule="auto"/>
        <w:rPr>
          <w:i/>
          <w:sz w:val="20"/>
        </w:rPr>
      </w:pPr>
    </w:p>
    <w:p w:rsidR="00D16260" w:rsidRPr="00D012CE" w:rsidRDefault="00D16260" w:rsidP="00D16260">
      <w:pPr>
        <w:pStyle w:val="SCCNormalDoubleSpacing"/>
        <w:spacing w:line="240" w:lineRule="auto"/>
        <w:rPr>
          <w:sz w:val="20"/>
        </w:rPr>
      </w:pPr>
      <w:r w:rsidRPr="00D012CE">
        <w:rPr>
          <w:i/>
          <w:sz w:val="20"/>
        </w:rPr>
        <w:tab/>
        <w:t>Dennis Galiatsatos</w:t>
      </w:r>
      <w:r w:rsidRPr="00D012CE">
        <w:rPr>
          <w:sz w:val="20"/>
        </w:rPr>
        <w:t>, for the intervener the Director of Criminal and Penal Prosecutions of Quebec.</w:t>
      </w:r>
    </w:p>
    <w:p w:rsidR="00D16260" w:rsidRDefault="00D16260" w:rsidP="00D16260">
      <w:pPr>
        <w:pStyle w:val="SCCNormalDoubleSpacing"/>
        <w:spacing w:line="240" w:lineRule="auto"/>
        <w:rPr>
          <w:i/>
          <w:sz w:val="20"/>
        </w:rPr>
      </w:pPr>
    </w:p>
    <w:p w:rsidR="00D16260" w:rsidRPr="00D012CE" w:rsidRDefault="00D16260" w:rsidP="00D16260">
      <w:pPr>
        <w:pStyle w:val="SCCNormalDoubleSpacing"/>
        <w:spacing w:line="240" w:lineRule="auto"/>
        <w:rPr>
          <w:sz w:val="20"/>
        </w:rPr>
      </w:pPr>
      <w:r w:rsidRPr="00D012CE">
        <w:rPr>
          <w:i/>
          <w:sz w:val="20"/>
        </w:rPr>
        <w:tab/>
        <w:t>Ryan D. W. Dalziel</w:t>
      </w:r>
      <w:r w:rsidRPr="00D012CE">
        <w:rPr>
          <w:sz w:val="20"/>
        </w:rPr>
        <w:t xml:space="preserve"> and </w:t>
      </w:r>
      <w:r w:rsidRPr="00D012CE">
        <w:rPr>
          <w:i/>
          <w:sz w:val="20"/>
        </w:rPr>
        <w:t>Anne Amos</w:t>
      </w:r>
      <w:r w:rsidRPr="00D012CE">
        <w:rPr>
          <w:i/>
          <w:sz w:val="20"/>
        </w:rPr>
        <w:noBreakHyphen/>
        <w:t>Stewart</w:t>
      </w:r>
      <w:r w:rsidRPr="00D012CE">
        <w:rPr>
          <w:sz w:val="20"/>
        </w:rPr>
        <w:t>, for the intervener the British Columbia Civil Liberties Association.</w:t>
      </w:r>
    </w:p>
    <w:p w:rsidR="00D16260" w:rsidRDefault="00D16260" w:rsidP="00D16260">
      <w:pPr>
        <w:pStyle w:val="SCCNormalDoubleSpacing"/>
        <w:spacing w:line="240" w:lineRule="auto"/>
        <w:rPr>
          <w:i/>
          <w:sz w:val="20"/>
          <w:lang w:val="en-US"/>
        </w:rPr>
      </w:pPr>
    </w:p>
    <w:p w:rsidR="00D16260" w:rsidRPr="00D012CE" w:rsidRDefault="00D16260" w:rsidP="00D16260">
      <w:pPr>
        <w:pStyle w:val="SCCNormalDoubleSpacing"/>
        <w:spacing w:line="240" w:lineRule="auto"/>
        <w:rPr>
          <w:sz w:val="20"/>
        </w:rPr>
      </w:pPr>
      <w:r w:rsidRPr="00D012CE">
        <w:rPr>
          <w:i/>
          <w:sz w:val="20"/>
          <w:lang w:val="en-US"/>
        </w:rPr>
        <w:tab/>
      </w:r>
      <w:r w:rsidRPr="00D012CE">
        <w:rPr>
          <w:i/>
          <w:sz w:val="20"/>
        </w:rPr>
        <w:t>Ingrid Grant</w:t>
      </w:r>
      <w:r w:rsidRPr="00D012CE">
        <w:rPr>
          <w:sz w:val="20"/>
        </w:rPr>
        <w:t>, for the intervener the Criminal Lawyers’ Association of Ontario.</w:t>
      </w:r>
    </w:p>
    <w:p w:rsidR="00D16260" w:rsidRDefault="00D16260" w:rsidP="00D16260">
      <w:pPr>
        <w:pStyle w:val="SCCNormalDoubleSpacing"/>
        <w:spacing w:line="240" w:lineRule="auto"/>
        <w:rPr>
          <w:i/>
          <w:sz w:val="20"/>
          <w:lang w:val="en-US"/>
        </w:rPr>
      </w:pPr>
    </w:p>
    <w:p w:rsidR="00D16260" w:rsidRPr="00D012CE" w:rsidRDefault="00D16260" w:rsidP="00D16260">
      <w:pPr>
        <w:pStyle w:val="SCCNormalDoubleSpacing"/>
        <w:spacing w:line="240" w:lineRule="auto"/>
        <w:rPr>
          <w:sz w:val="20"/>
        </w:rPr>
      </w:pPr>
      <w:r w:rsidRPr="00D012CE">
        <w:rPr>
          <w:i/>
          <w:sz w:val="20"/>
          <w:lang w:val="en-US"/>
        </w:rPr>
        <w:tab/>
      </w:r>
      <w:r w:rsidRPr="00D012CE">
        <w:rPr>
          <w:i/>
          <w:sz w:val="20"/>
        </w:rPr>
        <w:t>Andrew S. Faith</w:t>
      </w:r>
      <w:r w:rsidRPr="00D012CE">
        <w:rPr>
          <w:sz w:val="20"/>
        </w:rPr>
        <w:t xml:space="preserve"> and </w:t>
      </w:r>
      <w:r w:rsidRPr="00D012CE">
        <w:rPr>
          <w:i/>
          <w:sz w:val="20"/>
        </w:rPr>
        <w:t>Jeffrey Haylock</w:t>
      </w:r>
      <w:r w:rsidRPr="00D012CE">
        <w:rPr>
          <w:sz w:val="20"/>
        </w:rPr>
        <w:t>, for the intervener the John Howard Society of Canada.</w:t>
      </w:r>
    </w:p>
    <w:p w:rsidR="00D16260" w:rsidRDefault="00D16260" w:rsidP="00D16260">
      <w:pPr>
        <w:pStyle w:val="SCCNormalDoubleSpacing"/>
        <w:spacing w:line="240" w:lineRule="auto"/>
        <w:rPr>
          <w:i/>
          <w:sz w:val="20"/>
        </w:rPr>
      </w:pPr>
    </w:p>
    <w:p w:rsidR="00D16260" w:rsidRPr="00D012CE" w:rsidRDefault="00D16260" w:rsidP="00D16260">
      <w:pPr>
        <w:pStyle w:val="SCCNormalDoubleSpacing"/>
        <w:spacing w:line="240" w:lineRule="auto"/>
        <w:rPr>
          <w:sz w:val="20"/>
        </w:rPr>
      </w:pPr>
      <w:r w:rsidRPr="00D012CE">
        <w:rPr>
          <w:i/>
          <w:sz w:val="20"/>
        </w:rPr>
        <w:tab/>
        <w:t>Jasmine T. Akbarali</w:t>
      </w:r>
      <w:r w:rsidRPr="00D012CE">
        <w:rPr>
          <w:sz w:val="20"/>
        </w:rPr>
        <w:t xml:space="preserve"> and </w:t>
      </w:r>
      <w:r w:rsidRPr="00D012CE">
        <w:rPr>
          <w:i/>
          <w:sz w:val="20"/>
        </w:rPr>
        <w:t>Josh Koziebrocki</w:t>
      </w:r>
      <w:r w:rsidRPr="00D012CE">
        <w:rPr>
          <w:sz w:val="20"/>
        </w:rPr>
        <w:t>, for the intervener the Canadian Civil Liberties Association.</w:t>
      </w:r>
    </w:p>
    <w:p w:rsidR="00D16260" w:rsidRDefault="00D16260" w:rsidP="00D16260">
      <w:pPr>
        <w:pStyle w:val="SCCLawFirm"/>
        <w:spacing w:line="240" w:lineRule="auto"/>
        <w:rPr>
          <w:sz w:val="20"/>
        </w:rPr>
      </w:pPr>
    </w:p>
    <w:p w:rsidR="00D16260" w:rsidRPr="00D012CE" w:rsidRDefault="00D16260" w:rsidP="00D16260">
      <w:pPr>
        <w:pStyle w:val="SCCLawFirm"/>
        <w:spacing w:line="240" w:lineRule="auto"/>
        <w:rPr>
          <w:sz w:val="20"/>
        </w:rPr>
      </w:pPr>
      <w:r w:rsidRPr="00D012CE">
        <w:rPr>
          <w:sz w:val="20"/>
        </w:rPr>
        <w:lastRenderedPageBreak/>
        <w:tab/>
        <w:t>Solicitor for the appellant:  Attorney General of Ontario, Toronto.</w:t>
      </w:r>
    </w:p>
    <w:p w:rsidR="00D16260" w:rsidRDefault="00D16260" w:rsidP="00D16260">
      <w:pPr>
        <w:pStyle w:val="SCCLawFirm"/>
        <w:spacing w:line="240" w:lineRule="auto"/>
        <w:rPr>
          <w:sz w:val="20"/>
        </w:rPr>
      </w:pPr>
    </w:p>
    <w:p w:rsidR="00D16260" w:rsidRPr="00D012CE" w:rsidRDefault="00D16260" w:rsidP="00D16260">
      <w:pPr>
        <w:pStyle w:val="SCCLawFirm"/>
        <w:spacing w:line="240" w:lineRule="auto"/>
        <w:rPr>
          <w:sz w:val="20"/>
        </w:rPr>
      </w:pPr>
      <w:r w:rsidRPr="00D012CE">
        <w:rPr>
          <w:sz w:val="20"/>
        </w:rPr>
        <w:tab/>
        <w:t>Solicitors for the respondent:  Brennan Smart Law Office, Kitchener; Russell Silverstein &amp; Associate, Toronto.</w:t>
      </w:r>
    </w:p>
    <w:p w:rsidR="00D16260" w:rsidRDefault="00D16260" w:rsidP="00D16260">
      <w:pPr>
        <w:pStyle w:val="SCCLawFirm"/>
        <w:spacing w:line="240" w:lineRule="auto"/>
        <w:rPr>
          <w:sz w:val="20"/>
        </w:rPr>
      </w:pPr>
    </w:p>
    <w:p w:rsidR="00D16260" w:rsidRPr="00D012CE" w:rsidRDefault="00D16260" w:rsidP="00D16260">
      <w:pPr>
        <w:pStyle w:val="SCCLawFirm"/>
        <w:spacing w:line="240" w:lineRule="auto"/>
        <w:rPr>
          <w:sz w:val="20"/>
        </w:rPr>
      </w:pPr>
      <w:r w:rsidRPr="00D012CE">
        <w:rPr>
          <w:sz w:val="20"/>
        </w:rPr>
        <w:tab/>
        <w:t>Solicitor for the intervener the Director of Criminal and Penal Prosecutions of Quebec:  Criminal and Penal Prosecution Services of Quebec, Montréal.</w:t>
      </w:r>
    </w:p>
    <w:p w:rsidR="00D16260" w:rsidRDefault="00D16260" w:rsidP="00D16260">
      <w:pPr>
        <w:pStyle w:val="SCCLawFirm"/>
        <w:spacing w:line="240" w:lineRule="auto"/>
        <w:rPr>
          <w:sz w:val="20"/>
        </w:rPr>
      </w:pPr>
    </w:p>
    <w:p w:rsidR="00D16260" w:rsidRPr="00D012CE" w:rsidRDefault="00D16260" w:rsidP="00D16260">
      <w:pPr>
        <w:pStyle w:val="SCCLawFirm"/>
        <w:spacing w:line="240" w:lineRule="auto"/>
        <w:rPr>
          <w:sz w:val="20"/>
        </w:rPr>
      </w:pPr>
      <w:r w:rsidRPr="00D012CE">
        <w:rPr>
          <w:sz w:val="20"/>
        </w:rPr>
        <w:tab/>
        <w:t>Solicitors for the intervener the British Columbia Civil Liberties Association:  Bull, Housser &amp; Tupper, Vancouver.</w:t>
      </w:r>
    </w:p>
    <w:p w:rsidR="00D16260" w:rsidRDefault="00D16260" w:rsidP="00D16260">
      <w:pPr>
        <w:pStyle w:val="SCCLawFirm"/>
        <w:spacing w:line="240" w:lineRule="auto"/>
        <w:rPr>
          <w:sz w:val="20"/>
        </w:rPr>
      </w:pPr>
    </w:p>
    <w:p w:rsidR="00D16260" w:rsidRPr="00D012CE" w:rsidRDefault="00D16260" w:rsidP="00D16260">
      <w:pPr>
        <w:pStyle w:val="SCCLawFirm"/>
        <w:spacing w:line="240" w:lineRule="auto"/>
        <w:rPr>
          <w:sz w:val="20"/>
        </w:rPr>
      </w:pPr>
      <w:r w:rsidRPr="00D012CE">
        <w:rPr>
          <w:sz w:val="20"/>
        </w:rPr>
        <w:tab/>
        <w:t>Solicitors for the intervener the Criminal Lawyers’ Association of Ontario:  Russell Silverstein &amp; Associate, Toronto.</w:t>
      </w:r>
    </w:p>
    <w:p w:rsidR="00D16260" w:rsidRDefault="00D16260" w:rsidP="00D16260">
      <w:pPr>
        <w:pStyle w:val="SCCLawFirm"/>
        <w:spacing w:line="240" w:lineRule="auto"/>
        <w:rPr>
          <w:sz w:val="20"/>
        </w:rPr>
      </w:pPr>
    </w:p>
    <w:p w:rsidR="00D16260" w:rsidRPr="00D012CE" w:rsidRDefault="00D16260" w:rsidP="00D16260">
      <w:pPr>
        <w:pStyle w:val="SCCLawFirm"/>
        <w:spacing w:line="240" w:lineRule="auto"/>
        <w:rPr>
          <w:sz w:val="20"/>
        </w:rPr>
      </w:pPr>
      <w:r w:rsidRPr="00D012CE">
        <w:rPr>
          <w:sz w:val="20"/>
        </w:rPr>
        <w:tab/>
        <w:t>Solicitors for the intervener the John Howard Society of Canada:  Polley Faith, Toronto.</w:t>
      </w:r>
    </w:p>
    <w:p w:rsidR="00D16260" w:rsidRDefault="00D16260" w:rsidP="00D16260">
      <w:pPr>
        <w:pStyle w:val="SCCLawFirm"/>
        <w:spacing w:line="240" w:lineRule="auto"/>
        <w:rPr>
          <w:sz w:val="20"/>
        </w:rPr>
      </w:pPr>
    </w:p>
    <w:p w:rsidR="00D16260" w:rsidRDefault="00D16260" w:rsidP="00D16260">
      <w:pPr>
        <w:pStyle w:val="SCCLawFirm"/>
        <w:spacing w:line="240" w:lineRule="auto"/>
        <w:rPr>
          <w:sz w:val="20"/>
        </w:rPr>
      </w:pPr>
      <w:r w:rsidRPr="00D012CE">
        <w:rPr>
          <w:sz w:val="20"/>
        </w:rPr>
        <w:tab/>
        <w:t>Solicitors for the intervener the Canadian Civil Liberties Association:  Lerners,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D16260" w:rsidRPr="00170D99" w:rsidRDefault="00D16260" w:rsidP="00D16260">
      <w:pPr>
        <w:jc w:val="both"/>
        <w:rPr>
          <w:sz w:val="20"/>
          <w:szCs w:val="20"/>
          <w:lang w:val="fr-CA"/>
        </w:rPr>
      </w:pPr>
      <w:r w:rsidRPr="00170D99">
        <w:rPr>
          <w:sz w:val="20"/>
          <w:szCs w:val="20"/>
          <w:lang w:val="fr-CA"/>
        </w:rPr>
        <w:t>Présents : La juge en chef McLachlin et les juges LeBel, Abella, Rothstein, Cromwell, Karakatsanis et Wagner.</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r>
      <w:r w:rsidRPr="00170D99">
        <w:rPr>
          <w:i/>
          <w:sz w:val="20"/>
          <w:lang w:val="fr-CA"/>
        </w:rPr>
        <w:t xml:space="preserve">Droit criminel </w:t>
      </w:r>
      <w:r w:rsidRPr="00170D99">
        <w:rPr>
          <w:sz w:val="20"/>
          <w:lang w:val="fr-CA"/>
        </w:rPr>
        <w:t xml:space="preserve">— </w:t>
      </w:r>
      <w:r w:rsidRPr="00170D99">
        <w:rPr>
          <w:i/>
          <w:sz w:val="20"/>
          <w:lang w:val="fr-CA"/>
        </w:rPr>
        <w:t xml:space="preserve">Détermination de la peine </w:t>
      </w:r>
      <w:r w:rsidRPr="00170D99">
        <w:rPr>
          <w:sz w:val="20"/>
          <w:lang w:val="fr-CA"/>
        </w:rPr>
        <w:t xml:space="preserve">— </w:t>
      </w:r>
      <w:r w:rsidRPr="00170D99">
        <w:rPr>
          <w:i/>
          <w:sz w:val="20"/>
          <w:lang w:val="fr-CA"/>
        </w:rPr>
        <w:t>Considérations</w:t>
      </w:r>
      <w:r w:rsidRPr="00170D99">
        <w:rPr>
          <w:sz w:val="20"/>
          <w:lang w:val="fr-CA"/>
        </w:rPr>
        <w:t xml:space="preserve"> — </w:t>
      </w:r>
      <w:r w:rsidRPr="00170D99">
        <w:rPr>
          <w:i/>
          <w:sz w:val="20"/>
          <w:lang w:val="fr-CA"/>
        </w:rPr>
        <w:t xml:space="preserve">Crédit pour détention présentencielle — Disposition du Code criminel permettant l’octroi d’un crédit majoré d’au plus un jour et demi pour chaque jour de détention présentencielle « si les circonstances le justifient » </w:t>
      </w:r>
      <w:r w:rsidRPr="00170D99">
        <w:rPr>
          <w:sz w:val="20"/>
          <w:lang w:val="fr-CA"/>
        </w:rPr>
        <w:t xml:space="preserve">— </w:t>
      </w:r>
      <w:r w:rsidRPr="00170D99">
        <w:rPr>
          <w:i/>
          <w:sz w:val="20"/>
          <w:lang w:val="fr-CA"/>
        </w:rPr>
        <w:t xml:space="preserve">Octroi d’un tel crédit par le juge chargé de la détermination de la peine en raison de la perte liée à l’admissibilité à la libération anticipée et à la libération conditionnelle </w:t>
      </w:r>
      <w:r w:rsidRPr="00170D99">
        <w:rPr>
          <w:sz w:val="20"/>
          <w:lang w:val="fr-CA"/>
        </w:rPr>
        <w:t>—</w:t>
      </w:r>
      <w:r w:rsidRPr="00170D99">
        <w:rPr>
          <w:i/>
          <w:sz w:val="20"/>
          <w:lang w:val="fr-CA"/>
        </w:rPr>
        <w:t xml:space="preserve"> Cette perte subie pendant la détention présentencielle peut</w:t>
      </w:r>
      <w:r w:rsidRPr="00170D99">
        <w:rPr>
          <w:i/>
          <w:sz w:val="20"/>
          <w:lang w:val="fr-CA"/>
        </w:rPr>
        <w:noBreakHyphen/>
        <w:t>elle constituer une circonstance susceptible de justifier un crédit majoré selon un ratio d’un jour et demi contre un?</w:t>
      </w:r>
      <w:r w:rsidRPr="00170D99">
        <w:rPr>
          <w:sz w:val="20"/>
          <w:lang w:val="fr-CA"/>
        </w:rPr>
        <w:t xml:space="preserve"> — </w:t>
      </w:r>
      <w:r w:rsidRPr="00170D99">
        <w:rPr>
          <w:i/>
          <w:sz w:val="20"/>
          <w:lang w:val="fr-CA"/>
        </w:rPr>
        <w:t>Code criminel, L.R.C. 1985, ch. C</w:t>
      </w:r>
      <w:r w:rsidRPr="00170D99">
        <w:rPr>
          <w:i/>
          <w:sz w:val="20"/>
          <w:lang w:val="fr-CA"/>
        </w:rPr>
        <w:noBreakHyphen/>
        <w:t>24, art. 719(3) et 719(3.1).</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 xml:space="preserve">Adoptée en 2009, la </w:t>
      </w:r>
      <w:r w:rsidRPr="00170D99">
        <w:rPr>
          <w:i/>
          <w:sz w:val="20"/>
          <w:lang w:val="fr-CA"/>
        </w:rPr>
        <w:t>Loi sur l’adéquation de la peine et du crime</w:t>
      </w:r>
      <w:r w:rsidRPr="00170D99">
        <w:rPr>
          <w:sz w:val="20"/>
          <w:lang w:val="fr-CA"/>
        </w:rPr>
        <w:t xml:space="preserve"> a modifié le régime législatif du crédit accordé pour la détention présentencielle.  Le législateur a modifié le par. 719 (3) du </w:t>
      </w:r>
      <w:r w:rsidRPr="00170D99">
        <w:rPr>
          <w:i/>
          <w:sz w:val="20"/>
          <w:lang w:val="fr-CA"/>
        </w:rPr>
        <w:t>Code criminel</w:t>
      </w:r>
      <w:r w:rsidRPr="00170D99">
        <w:rPr>
          <w:sz w:val="20"/>
          <w:lang w:val="fr-CA"/>
        </w:rPr>
        <w:t xml:space="preserve"> pour limiter le temps alloué pour la détention présentencielle « à un maximum d’un jour pour chaque jour passé sous garde ».  Il a également prévu, au par. 719(3.1), que « si les circonstances le justifient, le maximum est d’un jour et demi pour chaque jour passé sous garde ».</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 xml:space="preserve">En l’espèce, l’accusé a passé dix mois et demi sous garde.  Le juge appelé à déterminer la peine a accordé un crédit à raison d’un jour et demi contre un au motif que la détention présentencielle n’est pas prise en compte aux fins de l’admissibilité à la libération conditionnelle.  Il a estimé qu’il s’agissait d’une circonstance qui justifie le crédit majoré prévu par le </w:t>
      </w:r>
      <w:r w:rsidRPr="00170D99">
        <w:rPr>
          <w:i/>
          <w:sz w:val="20"/>
          <w:lang w:val="fr-CA"/>
        </w:rPr>
        <w:t>Code criminel</w:t>
      </w:r>
      <w:r w:rsidRPr="00170D99">
        <w:rPr>
          <w:sz w:val="20"/>
          <w:lang w:val="fr-CA"/>
        </w:rPr>
        <w:t>.  La Cour d’appel en a convenu et a rejeté l’appel.</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r>
      <w:r w:rsidRPr="00170D99">
        <w:rPr>
          <w:i/>
          <w:sz w:val="20"/>
          <w:lang w:val="fr-CA"/>
        </w:rPr>
        <w:t>Arrêt</w:t>
      </w:r>
      <w:r w:rsidRPr="00170D99">
        <w:rPr>
          <w:sz w:val="20"/>
          <w:lang w:val="fr-CA"/>
        </w:rPr>
        <w:t> : Le pourvoi est rejeté</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 xml:space="preserve">Lorsqu’un accusé n’est pas libéré sous caution et qu’il doit demeurer en prison jusqu’au procès, le </w:t>
      </w:r>
      <w:r w:rsidRPr="00170D99">
        <w:rPr>
          <w:i/>
          <w:sz w:val="20"/>
          <w:lang w:val="fr-CA"/>
        </w:rPr>
        <w:t>Code criminel</w:t>
      </w:r>
      <w:r w:rsidRPr="00170D99">
        <w:rPr>
          <w:sz w:val="20"/>
          <w:lang w:val="fr-CA"/>
        </w:rPr>
        <w:t xml:space="preserve"> prévoit que la période passée sous garde est prise en compte dans la détermination de la peine d’emprisonnement.  Le </w:t>
      </w:r>
      <w:r w:rsidRPr="00170D99" w:rsidDel="00264A5E">
        <w:rPr>
          <w:i/>
          <w:sz w:val="20"/>
          <w:lang w:val="fr-CA"/>
        </w:rPr>
        <w:t>Code</w:t>
      </w:r>
      <w:r w:rsidRPr="00170D99" w:rsidDel="00264A5E">
        <w:rPr>
          <w:sz w:val="20"/>
          <w:lang w:val="fr-CA"/>
        </w:rPr>
        <w:t xml:space="preserve"> </w:t>
      </w:r>
      <w:r w:rsidRPr="00170D99">
        <w:rPr>
          <w:sz w:val="20"/>
          <w:lang w:val="fr-CA"/>
        </w:rPr>
        <w:t xml:space="preserve">n’a jamais limité les raisons pour lesquelles il pouvait y avoir octroi d’un crédit, non plus que le ratio du crédit. </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 xml:space="preserve">Deux raisons expliquent que les tribunaux ont généralement alloué plus d’un jour pour chaque jour de détention.  Premièrement, les règles établies par la loi pour l’admissibilité à la libération conditionnelle et à la libération anticipée ne tiennent pas compte de la détention présentencielle.  Par conséquent, la raison d’être d’ordre </w:t>
      </w:r>
      <w:r w:rsidRPr="00170D99">
        <w:rPr>
          <w:i/>
          <w:sz w:val="20"/>
          <w:lang w:val="fr-CA"/>
        </w:rPr>
        <w:t>quantitatif</w:t>
      </w:r>
      <w:r w:rsidRPr="00170D99">
        <w:rPr>
          <w:sz w:val="20"/>
          <w:lang w:val="fr-CA"/>
        </w:rPr>
        <w:t xml:space="preserve"> du crédit majoré reconnaît que la durée de la détention présentencielle doit presque toujours être retranchée de celle de la peine à raison de plus d’un jour contre un afin que le délinquant qui est libéré aux deux tiers de sa peine soit emprisonné pendant la même durée, qu’il ait été libéré sous caution ou non.  Deuxièmement, la raison d’être d’ordre </w:t>
      </w:r>
      <w:r w:rsidRPr="00170D99">
        <w:rPr>
          <w:i/>
          <w:sz w:val="20"/>
          <w:lang w:val="fr-CA"/>
        </w:rPr>
        <w:t>qualificatif</w:t>
      </w:r>
      <w:r w:rsidRPr="00170D99">
        <w:rPr>
          <w:sz w:val="20"/>
          <w:lang w:val="fr-CA"/>
        </w:rPr>
        <w:t xml:space="preserve"> du crédit majoré reconnaît que, dans les centres de détention préventive, les conditions sont habituellement plus dures que dans les établissements correctionnels.  Au vu de ces deux raisons d’être, les tribunaux en sont arrivés à créditer deux jours par jour de détention présentencielle. </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 xml:space="preserve">La </w:t>
      </w:r>
      <w:r w:rsidRPr="00170D99">
        <w:rPr>
          <w:i/>
          <w:sz w:val="20"/>
          <w:lang w:val="fr-CA"/>
        </w:rPr>
        <w:t>Loi sur l’adéquation de la peine et du crime</w:t>
      </w:r>
      <w:r w:rsidRPr="00170D99">
        <w:rPr>
          <w:sz w:val="20"/>
          <w:lang w:val="fr-CA"/>
        </w:rPr>
        <w:t xml:space="preserve"> plafonne le crédit pour détention présentencielle, mais ne limite pas les raisons de son octroi.  Le libellé du par. 719(3.1) n’est pas limitatif quant à ce qui peut constituer des « circonstances » qui justifient la majoration du crédit.  Le législateur a clairement considéré les circonstances dans lesquelles le par. 719(3.1) ne devait pas s’appliquer, mais nul élément de la disposition n’appuie la thèse selon laquelle les « circonstances » découlant de l’application de la loi, et en particulier la perte liée à l’admissibilité à la libération anticipée et à la libération conditionnelle, ne peuvent justifier un crédit majoré.</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Le par. 719(3.1) est conçu comme une exception à l’application du par. 719(3), mais il n’existe pas de règle générale d’interprétation législative selon laquelle les circonstances qui relèvent d’une exception doivent être moins nombreuses que celles qui relèvent de la règle générale.  Il n’est donc pas problématique que presque tous les délinquants détenus préventivement puissent avoir droit au crédit majoré en raison de la perte subie aux fins de l’admissibilité à la libération anticipée ou à la libération conditionnelle.  En outre, interpréter le mot « circonstances » en y assimilant la perte liée à l’admissibilité à la libération conditionnelle et à la libération anticipée ne rend pas le paragraphe 719(3) superflu.  Lorsque l’accusé est visé par une exception expresse au par. 719 (3.1), le plafond d’un jour contre un prévu au par. 719(3) s’applique.  De plus, la construction de l’art. 719 s’harmonise avec les raisons d’être du crédit pour détention présentencielle.  Le paragraphe 719(3) reflète la raison d’être générale de l’octroi du crédit; un jour devrait habituellement être alloué pour chaque jour passé en prison.  En revanche, le par. 719(3.1) reflète la raison d’être du crédit majoré.  Il ne suffit pas d’accorder une journée par jour de détention présentencielle pour tenir compte à la fois de la perte subie aux fins de l’admissibilité à la libération conditionnelle et à la libération anticipée (conséquences d’ordre quantitatif) et de la sévérité des conditions de détention (conséquences d’ordre qualitatif).</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 xml:space="preserve">Le recours à l’ancien par. 719(3) pour accorder un crédit majoré afin de tenir compte des conséquences quantitatives et qualitatives de la détention présentencielle s’inscrivait profondément dans notre régime de détermination de la peine.  Il est inconcevable que le législateur ait voulu écarter une pratique rationnelle ayant cours depuis longtemps en matière de détermination de la peine, mais qu’il ne l’ait pas fait de manière explicite, s’en remettant plutôt à des inférences susceptibles d’être tirées de l’ordre d’apparition de certaines dispositions dans le </w:t>
      </w:r>
      <w:r w:rsidRPr="00170D99">
        <w:rPr>
          <w:i/>
          <w:sz w:val="20"/>
          <w:lang w:val="fr-CA"/>
        </w:rPr>
        <w:t>Code criminel</w:t>
      </w:r>
      <w:r w:rsidRPr="00170D99">
        <w:rPr>
          <w:sz w:val="20"/>
          <w:lang w:val="fr-CA"/>
        </w:rPr>
        <w:t>.  En fait, il semble plus vraisemblable que le législateur ait eu l’intention de faire ce qu’il a fait explicitement.  Les modifications établissent clairement un ratio maximum, à savoir un jour et demi contre un.  Après avoir manifesté son intention si clairement sur ce point, le législateur n’a pas indiqué qu’il voulait modifier les raisons pour lesquelles il pouvait y avoir majoration du crédit.  Ni le libellé de la disposition, ni la preuve externe ne démontrent l’intention claire d’abolir l’une des raisons d’être rationnelles de la majoration du crédit.</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 xml:space="preserve">Comme le législateur est présumé avoir créé un régime législatif cohérent, uniforme et harmonieux, l’art. 719 doit être interprété conformément aux principes et aux objectifs de la détermination de la peine énoncés dans le </w:t>
      </w:r>
      <w:r w:rsidRPr="00170D99">
        <w:rPr>
          <w:i/>
          <w:sz w:val="20"/>
          <w:lang w:val="fr-CA"/>
        </w:rPr>
        <w:t>Code criminel</w:t>
      </w:r>
      <w:r w:rsidRPr="00170D99">
        <w:rPr>
          <w:sz w:val="20"/>
          <w:lang w:val="fr-CA"/>
        </w:rPr>
        <w:t>.  La règle dont l’application entraîne une peine plus longue pour le délinquant qui n’obtient pas de libération sous caution, comparativement à un délinquant dont la situation est par ailleurs identique, heurte les principes de la détermination de la peine que sont la parité et la proportionnalité.  Le cas des délinquants vulnérables et démunis qui ont moins accès à la libération sous caution illustre tout particulièrement cette incompatibilité.</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À elle seule, la perte subie aux fins de l’admissibilité à la libération anticipée suffit habituellement à justifier l’octroi d’un crédit à raison d’un jour et demi contre un, même lorsque les conditions de détention n’ont pas été spécialement dures et que la libération conditionnelle est peu probable.  Toutefois, le juge chargé de la détermination de la peine qui estime que le délinquant se verra refuser la libération anticipée n’est pas justifié d’accorder un crédit majoré pour une perte sans objet.  Le délinquant doit établir que sa détention présentencielle lui vaut un crédit majoré.  Évidemment, le ministère public peut contester l’inférence selon laquelle le délinquant a subi une perte aux fins de l’admissibilité à la libération conditionnelle ou à la libération anticipée, de sorte qu’il aurait droit à un crédit majoré.  Il est rarement nécessaire d’offrir à l’appui une preuve très étoffée.  Concrètement, il ne faut pas compliquer le processus de détermination de la peine, ni accroître sa durée.</w:t>
      </w:r>
    </w:p>
    <w:p w:rsidR="00D16260" w:rsidRDefault="00D16260" w:rsidP="00D16260">
      <w:pPr>
        <w:pStyle w:val="SCCNormalDoubleSpacing"/>
        <w:spacing w:line="240" w:lineRule="auto"/>
        <w:rPr>
          <w:sz w:val="20"/>
          <w:lang w:val="fr-CA"/>
        </w:rPr>
      </w:pPr>
    </w:p>
    <w:p w:rsidR="00D16260" w:rsidRDefault="00D16260" w:rsidP="00D16260">
      <w:pPr>
        <w:pStyle w:val="SCCNormalDoubleSpacing"/>
        <w:spacing w:line="240" w:lineRule="auto"/>
        <w:rPr>
          <w:sz w:val="20"/>
          <w:lang w:val="fr-CA"/>
        </w:rPr>
      </w:pPr>
      <w:r w:rsidRPr="00170D99">
        <w:rPr>
          <w:sz w:val="20"/>
          <w:lang w:val="fr-CA"/>
        </w:rPr>
        <w:tab/>
        <w:t>Dans la présente affaire, le juge qui a déterminé la peine n’a pas commis d’erreur de droit en accordant un crédit majoré sur le fondement du par. 719(3.1) au motif que l’accusé avait subi une perte aux fins de l’admissibilité à la libération anticipée et à la libération conditionnelle.  La conclusion selon laquelle l’accusé aurait obtenu sa libération anticipée n’a pas été sérieusement contestée.  Par conséquent, il convenait d’allouer un jour et demi pour chaque jour passé sous garde sur le fondement de la raison d’être d’ordre quantitatif du crédit majoré.</w:t>
      </w:r>
    </w:p>
    <w:p w:rsidR="00D16260" w:rsidRDefault="00D16260" w:rsidP="00D16260">
      <w:pPr>
        <w:pStyle w:val="SCCNormalDoubleSpacing"/>
        <w:spacing w:line="240" w:lineRule="auto"/>
        <w:rPr>
          <w:sz w:val="20"/>
          <w:lang w:val="fr-CA"/>
        </w:rPr>
      </w:pPr>
    </w:p>
    <w:p w:rsidR="00D16260" w:rsidRPr="00170D99" w:rsidRDefault="00D16260" w:rsidP="00D16260">
      <w:pPr>
        <w:pStyle w:val="SCCNormalDoubleSpacing"/>
        <w:spacing w:line="240" w:lineRule="auto"/>
        <w:rPr>
          <w:sz w:val="20"/>
          <w:lang w:val="fr-CA"/>
        </w:rPr>
      </w:pPr>
      <w:r w:rsidRPr="00170D99">
        <w:rPr>
          <w:sz w:val="20"/>
          <w:lang w:val="fr-CA"/>
        </w:rPr>
        <w:tab/>
        <w:t xml:space="preserve">POURVOI contre un arrêt de la Cour d’appel de l’Ontario (les juges Cronk, Pepall et Tulloch), 2013 ONCA 147, 114 O.R. (3d) 641, 304 O.A.C. 322, 297 C.C.C. (3d) 166, 279 C.R.R. (2d) 289, 3 C.R. (7th) 125, [2013] O.J. No. 1068 (QL), 2013 CarswellOnt 2626, qui a confirmé une décision du juge Glithero, [2011] O.J. No. 6377 (QL), 2011 CarswellOnt 16080.  Pourvoi rejeté. </w:t>
      </w:r>
    </w:p>
    <w:p w:rsidR="00D16260" w:rsidRDefault="00D16260" w:rsidP="00D16260">
      <w:pPr>
        <w:pStyle w:val="SCCNormalDoubleSpacing"/>
        <w:spacing w:line="240" w:lineRule="auto"/>
        <w:rPr>
          <w:i/>
          <w:sz w:val="20"/>
          <w:lang w:val="fr-CA"/>
        </w:rPr>
      </w:pPr>
    </w:p>
    <w:p w:rsidR="00D16260" w:rsidRPr="00170D99" w:rsidRDefault="00D16260" w:rsidP="00D16260">
      <w:pPr>
        <w:pStyle w:val="SCCNormalDoubleSpacing"/>
        <w:spacing w:line="240" w:lineRule="auto"/>
        <w:rPr>
          <w:sz w:val="20"/>
          <w:lang w:val="fr-CA"/>
        </w:rPr>
      </w:pPr>
      <w:r w:rsidRPr="00170D99">
        <w:rPr>
          <w:i/>
          <w:sz w:val="20"/>
          <w:lang w:val="fr-CA"/>
        </w:rPr>
        <w:tab/>
        <w:t>Gregory J. Tweney</w:t>
      </w:r>
      <w:r w:rsidRPr="00170D99">
        <w:rPr>
          <w:sz w:val="20"/>
          <w:lang w:val="fr-CA"/>
        </w:rPr>
        <w:t xml:space="preserve"> et </w:t>
      </w:r>
      <w:r w:rsidRPr="00170D99">
        <w:rPr>
          <w:i/>
          <w:sz w:val="20"/>
          <w:lang w:val="fr-CA"/>
        </w:rPr>
        <w:t>Molly Flanagan</w:t>
      </w:r>
      <w:r w:rsidRPr="00170D99">
        <w:rPr>
          <w:sz w:val="20"/>
          <w:lang w:val="fr-CA"/>
        </w:rPr>
        <w:t>, pour l’appelante.</w:t>
      </w:r>
    </w:p>
    <w:p w:rsidR="00D16260" w:rsidRDefault="00D16260" w:rsidP="00D16260">
      <w:pPr>
        <w:pStyle w:val="SCCNormalDoubleSpacing"/>
        <w:spacing w:line="240" w:lineRule="auto"/>
        <w:rPr>
          <w:i/>
          <w:sz w:val="20"/>
          <w:lang w:val="fr-CA"/>
        </w:rPr>
      </w:pPr>
    </w:p>
    <w:p w:rsidR="00D16260" w:rsidRPr="00170D99" w:rsidRDefault="00D16260" w:rsidP="00D16260">
      <w:pPr>
        <w:pStyle w:val="SCCNormalDoubleSpacing"/>
        <w:spacing w:line="240" w:lineRule="auto"/>
        <w:rPr>
          <w:sz w:val="20"/>
          <w:lang w:val="fr-CA"/>
        </w:rPr>
      </w:pPr>
      <w:r w:rsidRPr="00170D99">
        <w:rPr>
          <w:i/>
          <w:sz w:val="20"/>
          <w:lang w:val="fr-CA"/>
        </w:rPr>
        <w:tab/>
        <w:t>Brennan Smart</w:t>
      </w:r>
      <w:r w:rsidRPr="00170D99">
        <w:rPr>
          <w:sz w:val="20"/>
          <w:lang w:val="fr-CA"/>
        </w:rPr>
        <w:t xml:space="preserve"> et </w:t>
      </w:r>
      <w:r w:rsidRPr="00170D99">
        <w:rPr>
          <w:i/>
          <w:sz w:val="20"/>
          <w:lang w:val="fr-CA"/>
        </w:rPr>
        <w:t>Russell Silverstein</w:t>
      </w:r>
      <w:r w:rsidRPr="00170D99">
        <w:rPr>
          <w:sz w:val="20"/>
          <w:lang w:val="fr-CA"/>
        </w:rPr>
        <w:t>, pour l’intimé.</w:t>
      </w:r>
    </w:p>
    <w:p w:rsidR="00D16260" w:rsidRDefault="00D16260" w:rsidP="00D16260">
      <w:pPr>
        <w:pStyle w:val="SCCNormalDoubleSpacing"/>
        <w:spacing w:line="240" w:lineRule="auto"/>
        <w:rPr>
          <w:i/>
          <w:sz w:val="20"/>
          <w:lang w:val="fr-CA"/>
        </w:rPr>
      </w:pPr>
    </w:p>
    <w:p w:rsidR="00D16260" w:rsidRPr="00170D99" w:rsidRDefault="00D16260" w:rsidP="00D16260">
      <w:pPr>
        <w:pStyle w:val="SCCNormalDoubleSpacing"/>
        <w:spacing w:line="240" w:lineRule="auto"/>
        <w:rPr>
          <w:sz w:val="20"/>
          <w:lang w:val="fr-CA"/>
        </w:rPr>
      </w:pPr>
      <w:r w:rsidRPr="00170D99">
        <w:rPr>
          <w:i/>
          <w:sz w:val="20"/>
          <w:lang w:val="fr-CA"/>
        </w:rPr>
        <w:tab/>
        <w:t>Dennis Galiatsatos</w:t>
      </w:r>
      <w:r w:rsidRPr="00170D99">
        <w:rPr>
          <w:sz w:val="20"/>
          <w:lang w:val="fr-CA"/>
        </w:rPr>
        <w:t>, pour l’intervenant le directeur des poursuites criminelles et pénales du Québec.</w:t>
      </w:r>
    </w:p>
    <w:p w:rsidR="00D16260" w:rsidRDefault="00D16260" w:rsidP="00D16260">
      <w:pPr>
        <w:pStyle w:val="SCCNormalDoubleSpacing"/>
        <w:spacing w:line="240" w:lineRule="auto"/>
        <w:rPr>
          <w:i/>
          <w:sz w:val="20"/>
          <w:lang w:val="fr-CA"/>
        </w:rPr>
      </w:pPr>
    </w:p>
    <w:p w:rsidR="00D16260" w:rsidRPr="00170D99" w:rsidRDefault="00D16260" w:rsidP="00D16260">
      <w:pPr>
        <w:pStyle w:val="SCCNormalDoubleSpacing"/>
        <w:spacing w:line="240" w:lineRule="auto"/>
        <w:rPr>
          <w:sz w:val="20"/>
          <w:lang w:val="fr-CA"/>
        </w:rPr>
      </w:pPr>
      <w:r w:rsidRPr="00170D99">
        <w:rPr>
          <w:i/>
          <w:sz w:val="20"/>
          <w:lang w:val="fr-CA"/>
        </w:rPr>
        <w:tab/>
        <w:t>Ryan D. W. Dalziel</w:t>
      </w:r>
      <w:r w:rsidRPr="00170D99">
        <w:rPr>
          <w:sz w:val="20"/>
          <w:lang w:val="fr-CA"/>
        </w:rPr>
        <w:t xml:space="preserve"> et </w:t>
      </w:r>
      <w:r w:rsidRPr="00170D99">
        <w:rPr>
          <w:i/>
          <w:sz w:val="20"/>
          <w:lang w:val="fr-CA"/>
        </w:rPr>
        <w:t>Anne Amos</w:t>
      </w:r>
      <w:r w:rsidRPr="00170D99">
        <w:rPr>
          <w:i/>
          <w:sz w:val="20"/>
          <w:lang w:val="fr-CA"/>
        </w:rPr>
        <w:noBreakHyphen/>
        <w:t>Stewart</w:t>
      </w:r>
      <w:r w:rsidRPr="00170D99">
        <w:rPr>
          <w:sz w:val="20"/>
          <w:lang w:val="fr-CA"/>
        </w:rPr>
        <w:t>, pour l’intervenante l’Association des libertés civiles de la Colombie</w:t>
      </w:r>
      <w:r w:rsidRPr="00170D99">
        <w:rPr>
          <w:sz w:val="20"/>
          <w:lang w:val="fr-CA"/>
        </w:rPr>
        <w:noBreakHyphen/>
        <w:t>Britannique.</w:t>
      </w:r>
    </w:p>
    <w:p w:rsidR="00D16260" w:rsidRDefault="00D16260" w:rsidP="00D16260">
      <w:pPr>
        <w:pStyle w:val="SCCNormalDoubleSpacing"/>
        <w:spacing w:line="240" w:lineRule="auto"/>
        <w:rPr>
          <w:i/>
          <w:sz w:val="20"/>
          <w:lang w:val="fr-CA"/>
        </w:rPr>
      </w:pPr>
    </w:p>
    <w:p w:rsidR="00D16260" w:rsidRPr="00170D99" w:rsidRDefault="00D16260" w:rsidP="00D16260">
      <w:pPr>
        <w:pStyle w:val="SCCNormalDoubleSpacing"/>
        <w:spacing w:line="240" w:lineRule="auto"/>
        <w:rPr>
          <w:sz w:val="20"/>
          <w:lang w:val="fr-CA"/>
        </w:rPr>
      </w:pPr>
      <w:r w:rsidRPr="00170D99">
        <w:rPr>
          <w:i/>
          <w:sz w:val="20"/>
          <w:lang w:val="fr-CA"/>
        </w:rPr>
        <w:tab/>
        <w:t>Ingrid Grant</w:t>
      </w:r>
      <w:r w:rsidRPr="00170D99">
        <w:rPr>
          <w:sz w:val="20"/>
          <w:lang w:val="fr-CA"/>
        </w:rPr>
        <w:t>, pour l’intervenante Criminal Lawyers’ Association of Ontario.</w:t>
      </w:r>
    </w:p>
    <w:p w:rsidR="00D16260" w:rsidRDefault="00D16260" w:rsidP="00D16260">
      <w:pPr>
        <w:pStyle w:val="SCCNormalDoubleSpacing"/>
        <w:spacing w:line="240" w:lineRule="auto"/>
        <w:rPr>
          <w:i/>
          <w:sz w:val="20"/>
          <w:lang w:val="fr-CA"/>
        </w:rPr>
      </w:pPr>
    </w:p>
    <w:p w:rsidR="00D16260" w:rsidRPr="00170D99" w:rsidRDefault="00D16260" w:rsidP="00D16260">
      <w:pPr>
        <w:pStyle w:val="SCCNormalDoubleSpacing"/>
        <w:spacing w:line="240" w:lineRule="auto"/>
        <w:rPr>
          <w:sz w:val="20"/>
          <w:lang w:val="fr-CA"/>
        </w:rPr>
      </w:pPr>
      <w:r w:rsidRPr="00170D99">
        <w:rPr>
          <w:i/>
          <w:sz w:val="20"/>
          <w:lang w:val="fr-CA"/>
        </w:rPr>
        <w:tab/>
        <w:t>Andrew S. Faith</w:t>
      </w:r>
      <w:r w:rsidRPr="00170D99">
        <w:rPr>
          <w:sz w:val="20"/>
          <w:lang w:val="fr-CA"/>
        </w:rPr>
        <w:t xml:space="preserve"> et </w:t>
      </w:r>
      <w:r w:rsidRPr="00170D99">
        <w:rPr>
          <w:i/>
          <w:sz w:val="20"/>
          <w:lang w:val="fr-CA"/>
        </w:rPr>
        <w:t>Jeffrey Haylock</w:t>
      </w:r>
      <w:r w:rsidRPr="00170D99">
        <w:rPr>
          <w:sz w:val="20"/>
          <w:lang w:val="fr-CA"/>
        </w:rPr>
        <w:t>, pour l’intervenante la Société John Howard Society du Canada.</w:t>
      </w:r>
    </w:p>
    <w:p w:rsidR="00D16260" w:rsidRDefault="00D16260" w:rsidP="00D16260">
      <w:pPr>
        <w:pStyle w:val="SCCNormalDoubleSpacing"/>
        <w:spacing w:line="240" w:lineRule="auto"/>
        <w:rPr>
          <w:i/>
          <w:sz w:val="20"/>
          <w:lang w:val="fr-CA"/>
        </w:rPr>
      </w:pPr>
    </w:p>
    <w:p w:rsidR="00D16260" w:rsidRPr="00170D99" w:rsidRDefault="00D16260" w:rsidP="00D16260">
      <w:pPr>
        <w:pStyle w:val="SCCNormalDoubleSpacing"/>
        <w:spacing w:line="240" w:lineRule="auto"/>
        <w:rPr>
          <w:sz w:val="20"/>
          <w:lang w:val="fr-CA"/>
        </w:rPr>
      </w:pPr>
      <w:r w:rsidRPr="00170D99">
        <w:rPr>
          <w:i/>
          <w:sz w:val="20"/>
          <w:lang w:val="fr-CA"/>
        </w:rPr>
        <w:tab/>
        <w:t>Jasmine T. Akbarali</w:t>
      </w:r>
      <w:r w:rsidRPr="00170D99">
        <w:rPr>
          <w:sz w:val="20"/>
          <w:lang w:val="fr-CA"/>
        </w:rPr>
        <w:t xml:space="preserve"> et </w:t>
      </w:r>
      <w:r w:rsidRPr="00170D99">
        <w:rPr>
          <w:i/>
          <w:sz w:val="20"/>
          <w:lang w:val="fr-CA"/>
        </w:rPr>
        <w:t>Josh Koziebrocki</w:t>
      </w:r>
      <w:r w:rsidRPr="00170D99">
        <w:rPr>
          <w:sz w:val="20"/>
          <w:lang w:val="fr-CA"/>
        </w:rPr>
        <w:t>, pour l’intervenante l’Association canadienne des libertés civiles.</w:t>
      </w:r>
    </w:p>
    <w:p w:rsidR="00D16260" w:rsidRDefault="00D16260" w:rsidP="00D16260">
      <w:pPr>
        <w:pStyle w:val="SCCLawFirm"/>
        <w:spacing w:line="240" w:lineRule="auto"/>
        <w:rPr>
          <w:sz w:val="20"/>
          <w:lang w:val="fr-CA"/>
        </w:rPr>
      </w:pPr>
    </w:p>
    <w:p w:rsidR="00D16260" w:rsidRPr="00170D99" w:rsidRDefault="00D16260" w:rsidP="00D16260">
      <w:pPr>
        <w:pStyle w:val="SCCLawFirm"/>
        <w:spacing w:line="240" w:lineRule="auto"/>
        <w:rPr>
          <w:sz w:val="20"/>
          <w:lang w:val="fr-CA"/>
        </w:rPr>
      </w:pPr>
      <w:r w:rsidRPr="00170D99">
        <w:rPr>
          <w:sz w:val="20"/>
          <w:lang w:val="fr-CA"/>
        </w:rPr>
        <w:tab/>
        <w:t>Procureur de l’appelante : Procureur général de l’Ontario, Toronto.</w:t>
      </w:r>
    </w:p>
    <w:p w:rsidR="00D16260" w:rsidRDefault="00D16260" w:rsidP="00D16260">
      <w:pPr>
        <w:pStyle w:val="SCCLawFirm"/>
        <w:spacing w:line="240" w:lineRule="auto"/>
        <w:rPr>
          <w:sz w:val="20"/>
          <w:lang w:val="fr-CA"/>
        </w:rPr>
      </w:pPr>
    </w:p>
    <w:p w:rsidR="00D16260" w:rsidRPr="00170D99" w:rsidRDefault="00D16260" w:rsidP="00D16260">
      <w:pPr>
        <w:pStyle w:val="SCCLawFirm"/>
        <w:spacing w:line="240" w:lineRule="auto"/>
        <w:rPr>
          <w:sz w:val="20"/>
          <w:lang w:val="fr-CA"/>
        </w:rPr>
      </w:pPr>
      <w:r w:rsidRPr="00170D99">
        <w:rPr>
          <w:sz w:val="20"/>
          <w:lang w:val="fr-CA"/>
        </w:rPr>
        <w:tab/>
        <w:t>Procureurs de l’intimé : Brennan Smart Law Office, Kitchener; Russell Silverstein &amp; Associate, Toronto.</w:t>
      </w:r>
    </w:p>
    <w:p w:rsidR="00D16260" w:rsidRDefault="00D16260" w:rsidP="00D16260">
      <w:pPr>
        <w:pStyle w:val="SCCLawFirm"/>
        <w:spacing w:line="240" w:lineRule="auto"/>
        <w:rPr>
          <w:sz w:val="20"/>
          <w:lang w:val="fr-CA"/>
        </w:rPr>
      </w:pPr>
    </w:p>
    <w:p w:rsidR="00D16260" w:rsidRPr="00170D99" w:rsidRDefault="00D16260" w:rsidP="00D16260">
      <w:pPr>
        <w:pStyle w:val="SCCLawFirm"/>
        <w:spacing w:line="240" w:lineRule="auto"/>
        <w:rPr>
          <w:sz w:val="20"/>
          <w:lang w:val="fr-CA"/>
        </w:rPr>
      </w:pPr>
      <w:r w:rsidRPr="00170D99">
        <w:rPr>
          <w:sz w:val="20"/>
          <w:lang w:val="fr-CA"/>
        </w:rPr>
        <w:tab/>
        <w:t>Procureur de l’intervenant le directeur des poursuites criminelles et pénales du Québec : Directeur des poursuites criminelles et pénales du Québec, Montréal.</w:t>
      </w:r>
    </w:p>
    <w:p w:rsidR="00D16260" w:rsidRDefault="00D16260" w:rsidP="00D16260">
      <w:pPr>
        <w:pStyle w:val="SCCLawFirm"/>
        <w:spacing w:line="240" w:lineRule="auto"/>
        <w:rPr>
          <w:sz w:val="20"/>
          <w:lang w:val="fr-CA"/>
        </w:rPr>
      </w:pPr>
    </w:p>
    <w:p w:rsidR="00D16260" w:rsidRPr="00170D99" w:rsidRDefault="00D16260" w:rsidP="00D16260">
      <w:pPr>
        <w:pStyle w:val="SCCLawFirm"/>
        <w:spacing w:line="240" w:lineRule="auto"/>
        <w:rPr>
          <w:sz w:val="20"/>
          <w:lang w:val="fr-CA"/>
        </w:rPr>
      </w:pPr>
      <w:r w:rsidRPr="00170D99">
        <w:rPr>
          <w:sz w:val="20"/>
          <w:lang w:val="fr-CA"/>
        </w:rPr>
        <w:tab/>
        <w:t>Procureurs de l’intervenante l’Association des libertés civiles de la Colombie</w:t>
      </w:r>
      <w:r w:rsidRPr="00170D99">
        <w:rPr>
          <w:sz w:val="20"/>
          <w:lang w:val="fr-CA"/>
        </w:rPr>
        <w:noBreakHyphen/>
        <w:t>Britannique : Bull, Housser &amp; Tupper, Vancouver.</w:t>
      </w:r>
    </w:p>
    <w:p w:rsidR="00D16260" w:rsidRDefault="00D16260" w:rsidP="00D16260">
      <w:pPr>
        <w:pStyle w:val="SCCLawFirm"/>
        <w:spacing w:line="240" w:lineRule="auto"/>
        <w:rPr>
          <w:sz w:val="20"/>
          <w:lang w:val="fr-CA"/>
        </w:rPr>
      </w:pPr>
    </w:p>
    <w:p w:rsidR="00D16260" w:rsidRPr="00170D99" w:rsidRDefault="00D16260" w:rsidP="00D16260">
      <w:pPr>
        <w:pStyle w:val="SCCLawFirm"/>
        <w:spacing w:line="240" w:lineRule="auto"/>
        <w:rPr>
          <w:sz w:val="20"/>
          <w:lang w:val="fr-CA"/>
        </w:rPr>
      </w:pPr>
      <w:r w:rsidRPr="00170D99">
        <w:rPr>
          <w:sz w:val="20"/>
          <w:lang w:val="fr-CA"/>
        </w:rPr>
        <w:tab/>
        <w:t>Procureurs de l’intervenante Criminal Lawyers’ Association of Ontario : Russell Silverstein &amp; Associate, Toronto.</w:t>
      </w:r>
    </w:p>
    <w:p w:rsidR="00D16260" w:rsidRDefault="00D16260" w:rsidP="00D16260">
      <w:pPr>
        <w:pStyle w:val="SCCLawFirm"/>
        <w:spacing w:line="240" w:lineRule="auto"/>
        <w:rPr>
          <w:sz w:val="20"/>
          <w:lang w:val="fr-CA"/>
        </w:rPr>
      </w:pPr>
    </w:p>
    <w:p w:rsidR="00D16260" w:rsidRPr="00170D99" w:rsidRDefault="00D16260" w:rsidP="00D16260">
      <w:pPr>
        <w:pStyle w:val="SCCLawFirm"/>
        <w:spacing w:line="240" w:lineRule="auto"/>
        <w:rPr>
          <w:sz w:val="20"/>
          <w:lang w:val="fr-CA"/>
        </w:rPr>
      </w:pPr>
      <w:r w:rsidRPr="00170D99">
        <w:rPr>
          <w:sz w:val="20"/>
          <w:lang w:val="fr-CA"/>
        </w:rPr>
        <w:tab/>
        <w:t>Procureurs de l’intervenante la Société John Howard du Canada : Polley Faith, Toronto.</w:t>
      </w:r>
    </w:p>
    <w:p w:rsidR="00D16260" w:rsidRDefault="00D16260" w:rsidP="00D16260">
      <w:pPr>
        <w:pStyle w:val="SCCLawFirm"/>
        <w:spacing w:line="240" w:lineRule="auto"/>
        <w:rPr>
          <w:sz w:val="20"/>
          <w:lang w:val="fr-CA"/>
        </w:rPr>
      </w:pPr>
    </w:p>
    <w:p w:rsidR="00D16260" w:rsidRDefault="00D16260" w:rsidP="00D16260">
      <w:pPr>
        <w:pStyle w:val="SCCLawFirm"/>
        <w:spacing w:line="240" w:lineRule="auto"/>
        <w:rPr>
          <w:sz w:val="20"/>
          <w:lang w:val="fr-CA"/>
        </w:rPr>
      </w:pPr>
      <w:r w:rsidRPr="00170D99">
        <w:rPr>
          <w:sz w:val="20"/>
          <w:lang w:val="fr-CA"/>
        </w:rPr>
        <w:tab/>
        <w:t>Procureurs de l’intervenante l’Association canadienne des libertés civiles : Lerners, Toronto.</w:t>
      </w:r>
    </w:p>
    <w:p w:rsidR="003B3977" w:rsidRDefault="003B3977" w:rsidP="005C6840">
      <w:pPr>
        <w:rPr>
          <w:rFonts w:cs="Times New Roman"/>
          <w:sz w:val="20"/>
          <w:szCs w:val="20"/>
          <w:lang w:val="fr-CA"/>
        </w:rPr>
      </w:pPr>
    </w:p>
    <w:p w:rsidR="005C6840" w:rsidRDefault="00BF31AA" w:rsidP="005C6840">
      <w:pPr>
        <w:rPr>
          <w:lang w:val="fr-CA"/>
        </w:rPr>
      </w:pPr>
      <w:r>
        <w:rPr>
          <w:rFonts w:cs="Times New Roman"/>
          <w:sz w:val="20"/>
          <w:szCs w:val="20"/>
          <w:lang w:val="fr-CA"/>
        </w:rPr>
        <w:pict>
          <v:rect id="_x0000_i1074" style="width:144.3pt;height:1pt" o:hrpct="300" o:hralign="center" o:hrstd="t" o:hrnoshade="t" o:hr="t" fillcolor="black [3213]" stroked="f"/>
        </w:pict>
      </w:r>
      <w:r w:rsidR="005C6840">
        <w:rPr>
          <w:lang w:val="fr-CA"/>
        </w:rPr>
        <w:br w:type="page"/>
      </w:r>
    </w:p>
    <w:p w:rsidR="00DB6FFE" w:rsidRPr="00FC7235" w:rsidRDefault="00DB6FFE" w:rsidP="00DB6FFE">
      <w:pPr>
        <w:ind w:left="720" w:hanging="720"/>
        <w:rPr>
          <w:sz w:val="20"/>
          <w:szCs w:val="20"/>
        </w:rPr>
      </w:pPr>
      <w:r w:rsidRPr="00FC7235">
        <w:rPr>
          <w:i/>
          <w:sz w:val="20"/>
          <w:szCs w:val="20"/>
        </w:rPr>
        <w:lastRenderedPageBreak/>
        <w:t>Her Majesty the Queen v. Level Aaron Carvery</w:t>
      </w:r>
      <w:r w:rsidRPr="00FC7235">
        <w:rPr>
          <w:sz w:val="20"/>
          <w:szCs w:val="20"/>
        </w:rPr>
        <w:t xml:space="preserve"> (N.S.) (</w:t>
      </w:r>
      <w:hyperlink r:id="rId82" w:history="1">
        <w:r w:rsidRPr="00FC7235">
          <w:rPr>
            <w:rStyle w:val="Hyperlink"/>
            <w:sz w:val="20"/>
            <w:szCs w:val="20"/>
          </w:rPr>
          <w:t>35115</w:t>
        </w:r>
      </w:hyperlink>
      <w:r w:rsidRPr="00FC7235">
        <w:rPr>
          <w:sz w:val="20"/>
          <w:szCs w:val="20"/>
        </w:rPr>
        <w:t>)</w:t>
      </w:r>
    </w:p>
    <w:p w:rsidR="00EF05A4" w:rsidRPr="00EF05A4" w:rsidRDefault="00EF05A4" w:rsidP="00EF05A4">
      <w:pPr>
        <w:jc w:val="both"/>
        <w:rPr>
          <w:b/>
          <w:sz w:val="20"/>
          <w:szCs w:val="20"/>
        </w:rPr>
      </w:pPr>
      <w:r w:rsidRPr="00091C08">
        <w:rPr>
          <w:b/>
          <w:sz w:val="20"/>
          <w:szCs w:val="20"/>
        </w:rPr>
        <w:t xml:space="preserve">Indexed as:  R. </w:t>
      </w:r>
      <w:r w:rsidRPr="00091C08">
        <w:rPr>
          <w:b/>
          <w:i/>
          <w:sz w:val="20"/>
          <w:szCs w:val="20"/>
        </w:rPr>
        <w:t>v.</w:t>
      </w:r>
      <w:r w:rsidRPr="00091C08">
        <w:rPr>
          <w:b/>
          <w:sz w:val="20"/>
          <w:szCs w:val="20"/>
        </w:rPr>
        <w:t xml:space="preserve"> Carvery</w:t>
      </w:r>
      <w:r>
        <w:rPr>
          <w:b/>
          <w:sz w:val="20"/>
          <w:szCs w:val="20"/>
        </w:rPr>
        <w:t xml:space="preserve"> / </w:t>
      </w:r>
      <w:r w:rsidRPr="00EF05A4">
        <w:rPr>
          <w:b/>
          <w:sz w:val="20"/>
          <w:szCs w:val="20"/>
        </w:rPr>
        <w:t xml:space="preserve">Répertorié : R. </w:t>
      </w:r>
      <w:r w:rsidRPr="00EF05A4">
        <w:rPr>
          <w:b/>
          <w:i/>
          <w:sz w:val="20"/>
          <w:szCs w:val="20"/>
        </w:rPr>
        <w:t>c.</w:t>
      </w:r>
      <w:r w:rsidRPr="00EF05A4">
        <w:rPr>
          <w:b/>
          <w:sz w:val="20"/>
          <w:szCs w:val="20"/>
        </w:rPr>
        <w:t xml:space="preserve"> Carvery</w:t>
      </w:r>
    </w:p>
    <w:p w:rsidR="00902E51" w:rsidRPr="00352A49" w:rsidRDefault="00902E51" w:rsidP="00902E51">
      <w:pPr>
        <w:pStyle w:val="SCCSystemYear"/>
        <w:jc w:val="both"/>
        <w:rPr>
          <w:sz w:val="20"/>
        </w:rPr>
      </w:pPr>
      <w:r w:rsidRPr="00352A49">
        <w:rPr>
          <w:sz w:val="20"/>
        </w:rPr>
        <w:t>Neutral citation:  201</w:t>
      </w:r>
      <w:r w:rsidR="00DB6FFE">
        <w:rPr>
          <w:sz w:val="20"/>
        </w:rPr>
        <w:t>4</w:t>
      </w:r>
      <w:r w:rsidRPr="00352A49">
        <w:rPr>
          <w:sz w:val="20"/>
        </w:rPr>
        <w:t xml:space="preserve"> SCC 27 / Référence neutre : 201</w:t>
      </w:r>
      <w:r w:rsidR="00DB6FFE">
        <w:rPr>
          <w:sz w:val="20"/>
        </w:rPr>
        <w:t>4</w:t>
      </w:r>
      <w:r w:rsidRPr="00352A49">
        <w:rPr>
          <w:sz w:val="20"/>
        </w:rPr>
        <w:t xml:space="preserve"> CSC 27</w:t>
      </w:r>
    </w:p>
    <w:p w:rsidR="00902E51" w:rsidRPr="00352A49" w:rsidRDefault="00902E51" w:rsidP="00902E51">
      <w:pPr>
        <w:rPr>
          <w:sz w:val="20"/>
          <w:szCs w:val="20"/>
          <w:lang w:val="fr-CA"/>
        </w:rPr>
      </w:pPr>
      <w:r w:rsidRPr="00352A49">
        <w:rPr>
          <w:sz w:val="20"/>
          <w:szCs w:val="20"/>
          <w:lang w:val="fr-CA"/>
        </w:rPr>
        <w:t xml:space="preserve">Hearing:  </w:t>
      </w:r>
      <w:r w:rsidR="00EF05A4">
        <w:rPr>
          <w:sz w:val="20"/>
          <w:szCs w:val="20"/>
          <w:lang w:val="fr-CA"/>
        </w:rPr>
        <w:t>Janua</w:t>
      </w:r>
      <w:r w:rsidRPr="00352A49">
        <w:rPr>
          <w:sz w:val="20"/>
          <w:szCs w:val="20"/>
          <w:lang w:val="fr-CA"/>
        </w:rPr>
        <w:t>r</w:t>
      </w:r>
      <w:r w:rsidR="00EF05A4">
        <w:rPr>
          <w:sz w:val="20"/>
          <w:szCs w:val="20"/>
          <w:lang w:val="fr-CA"/>
        </w:rPr>
        <w:t>y</w:t>
      </w:r>
      <w:r w:rsidRPr="00352A49">
        <w:rPr>
          <w:sz w:val="20"/>
          <w:szCs w:val="20"/>
          <w:lang w:val="fr-CA"/>
        </w:rPr>
        <w:t xml:space="preserve"> 2</w:t>
      </w:r>
      <w:r w:rsidR="00EF05A4">
        <w:rPr>
          <w:sz w:val="20"/>
          <w:szCs w:val="20"/>
          <w:lang w:val="fr-CA"/>
        </w:rPr>
        <w:t>3</w:t>
      </w:r>
      <w:r w:rsidRPr="00352A49">
        <w:rPr>
          <w:sz w:val="20"/>
          <w:szCs w:val="20"/>
          <w:lang w:val="fr-CA"/>
        </w:rPr>
        <w:t>, 201</w:t>
      </w:r>
      <w:r w:rsidR="00EF05A4">
        <w:rPr>
          <w:sz w:val="20"/>
          <w:szCs w:val="20"/>
          <w:lang w:val="fr-CA"/>
        </w:rPr>
        <w:t>4</w:t>
      </w:r>
      <w:r w:rsidRPr="00352A49">
        <w:rPr>
          <w:sz w:val="20"/>
          <w:szCs w:val="20"/>
          <w:lang w:val="fr-CA"/>
        </w:rPr>
        <w:t xml:space="preserve"> / Judgment:  </w:t>
      </w:r>
      <w:r w:rsidR="00DB6FFE">
        <w:rPr>
          <w:sz w:val="20"/>
          <w:szCs w:val="20"/>
          <w:lang w:val="fr-CA"/>
        </w:rPr>
        <w:t>April</w:t>
      </w:r>
      <w:r w:rsidRPr="00352A49">
        <w:rPr>
          <w:sz w:val="20"/>
          <w:szCs w:val="20"/>
          <w:lang w:val="fr-CA"/>
        </w:rPr>
        <w:t xml:space="preserve"> 1</w:t>
      </w:r>
      <w:r w:rsidR="00DB6FFE">
        <w:rPr>
          <w:sz w:val="20"/>
          <w:szCs w:val="20"/>
          <w:lang w:val="fr-CA"/>
        </w:rPr>
        <w:t>1</w:t>
      </w:r>
      <w:r w:rsidRPr="00352A49">
        <w:rPr>
          <w:sz w:val="20"/>
          <w:szCs w:val="20"/>
          <w:lang w:val="fr-CA"/>
        </w:rPr>
        <w:t>, 201</w:t>
      </w:r>
      <w:r w:rsidR="00DB6FFE">
        <w:rPr>
          <w:sz w:val="20"/>
          <w:szCs w:val="20"/>
          <w:lang w:val="fr-CA"/>
        </w:rPr>
        <w:t>4</w:t>
      </w:r>
    </w:p>
    <w:p w:rsidR="00902E51" w:rsidRPr="003B3977" w:rsidRDefault="00902E51" w:rsidP="00902E51">
      <w:pPr>
        <w:rPr>
          <w:sz w:val="20"/>
          <w:szCs w:val="20"/>
          <w:lang w:val="fr-CA"/>
        </w:rPr>
      </w:pPr>
      <w:r w:rsidRPr="003B3977">
        <w:rPr>
          <w:sz w:val="20"/>
          <w:szCs w:val="20"/>
          <w:lang w:val="fr-CA"/>
        </w:rPr>
        <w:t>Audition : Le 2</w:t>
      </w:r>
      <w:r w:rsidR="00EF05A4">
        <w:rPr>
          <w:sz w:val="20"/>
          <w:szCs w:val="20"/>
          <w:lang w:val="fr-CA"/>
        </w:rPr>
        <w:t>3</w:t>
      </w:r>
      <w:r>
        <w:rPr>
          <w:sz w:val="20"/>
          <w:szCs w:val="20"/>
          <w:lang w:val="fr-CA"/>
        </w:rPr>
        <w:t xml:space="preserve"> </w:t>
      </w:r>
      <w:r w:rsidR="00EF05A4">
        <w:rPr>
          <w:sz w:val="20"/>
          <w:szCs w:val="20"/>
          <w:lang w:val="fr-CA"/>
        </w:rPr>
        <w:t>j</w:t>
      </w:r>
      <w:r w:rsidRPr="003B3977">
        <w:rPr>
          <w:sz w:val="20"/>
          <w:szCs w:val="20"/>
          <w:lang w:val="fr-CA"/>
        </w:rPr>
        <w:t>a</w:t>
      </w:r>
      <w:r w:rsidR="00EF05A4">
        <w:rPr>
          <w:sz w:val="20"/>
          <w:szCs w:val="20"/>
          <w:lang w:val="fr-CA"/>
        </w:rPr>
        <w:t>nvier</w:t>
      </w:r>
      <w:r w:rsidRPr="003B3977">
        <w:rPr>
          <w:sz w:val="20"/>
          <w:szCs w:val="20"/>
          <w:lang w:val="fr-CA"/>
        </w:rPr>
        <w:t xml:space="preserve"> 201</w:t>
      </w:r>
      <w:r w:rsidR="00EF05A4">
        <w:rPr>
          <w:sz w:val="20"/>
          <w:szCs w:val="20"/>
          <w:lang w:val="fr-CA"/>
        </w:rPr>
        <w:t>4</w:t>
      </w:r>
      <w:r w:rsidRPr="003B3977">
        <w:rPr>
          <w:sz w:val="20"/>
          <w:szCs w:val="20"/>
          <w:lang w:val="fr-CA"/>
        </w:rPr>
        <w:t xml:space="preserve"> / Jugement : Le </w:t>
      </w:r>
      <w:r>
        <w:rPr>
          <w:sz w:val="20"/>
          <w:szCs w:val="20"/>
          <w:lang w:val="fr-CA"/>
        </w:rPr>
        <w:t>1</w:t>
      </w:r>
      <w:r w:rsidR="00DB6FFE">
        <w:rPr>
          <w:sz w:val="20"/>
          <w:szCs w:val="20"/>
          <w:lang w:val="fr-CA"/>
        </w:rPr>
        <w:t>1</w:t>
      </w:r>
      <w:r>
        <w:rPr>
          <w:sz w:val="20"/>
          <w:szCs w:val="20"/>
          <w:lang w:val="fr-CA"/>
        </w:rPr>
        <w:t xml:space="preserve"> a</w:t>
      </w:r>
      <w:r w:rsidR="00DB6FFE">
        <w:rPr>
          <w:sz w:val="20"/>
          <w:szCs w:val="20"/>
          <w:lang w:val="fr-CA"/>
        </w:rPr>
        <w:t>vr</w:t>
      </w:r>
      <w:r>
        <w:rPr>
          <w:sz w:val="20"/>
          <w:szCs w:val="20"/>
          <w:lang w:val="fr-CA"/>
        </w:rPr>
        <w:t>i</w:t>
      </w:r>
      <w:r w:rsidR="00DB6FFE">
        <w:rPr>
          <w:sz w:val="20"/>
          <w:szCs w:val="20"/>
          <w:lang w:val="fr-CA"/>
        </w:rPr>
        <w:t>l</w:t>
      </w:r>
      <w:r w:rsidRPr="003B3977">
        <w:rPr>
          <w:sz w:val="20"/>
          <w:szCs w:val="20"/>
          <w:lang w:val="fr-CA"/>
        </w:rPr>
        <w:t xml:space="preserve"> 201</w:t>
      </w:r>
      <w:r w:rsidR="00DB6FFE">
        <w:rPr>
          <w:sz w:val="20"/>
          <w:szCs w:val="20"/>
          <w:lang w:val="fr-CA"/>
        </w:rPr>
        <w:t>4</w:t>
      </w:r>
    </w:p>
    <w:p w:rsidR="005C6840" w:rsidRPr="003B3977" w:rsidRDefault="00BF31AA" w:rsidP="005C6840">
      <w:pPr>
        <w:rPr>
          <w:sz w:val="20"/>
          <w:szCs w:val="20"/>
          <w:lang w:val="fr-CA"/>
        </w:rPr>
      </w:pPr>
      <w:r>
        <w:rPr>
          <w:i/>
          <w:sz w:val="20"/>
          <w:szCs w:val="20"/>
        </w:rPr>
        <w:pict>
          <v:rect id="_x0000_i107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EF05A4" w:rsidRPr="00091C08" w:rsidRDefault="00EF05A4" w:rsidP="00EF05A4">
      <w:pPr>
        <w:jc w:val="both"/>
        <w:rPr>
          <w:sz w:val="20"/>
          <w:szCs w:val="20"/>
        </w:rPr>
      </w:pPr>
      <w:r w:rsidRPr="00091C08">
        <w:rPr>
          <w:sz w:val="20"/>
          <w:szCs w:val="20"/>
        </w:rPr>
        <w:t>Present:  McLachlin C.J. and LeBel, Abella, Rothstein, Cromwell, Karakatsanis and Wagner JJ.</w:t>
      </w:r>
    </w:p>
    <w:p w:rsidR="00EF05A4" w:rsidRDefault="00EF05A4" w:rsidP="00EF05A4">
      <w:pPr>
        <w:pStyle w:val="SCCLowerCourtNameLowercase"/>
        <w:spacing w:line="240" w:lineRule="auto"/>
        <w:rPr>
          <w:sz w:val="20"/>
        </w:rPr>
      </w:pPr>
    </w:p>
    <w:p w:rsidR="00EF05A4" w:rsidRPr="00091C08" w:rsidRDefault="00EF05A4" w:rsidP="00EF05A4">
      <w:pPr>
        <w:pStyle w:val="SCCNormalDoubleSpacing"/>
        <w:spacing w:line="240" w:lineRule="auto"/>
        <w:rPr>
          <w:i/>
          <w:sz w:val="20"/>
        </w:rPr>
      </w:pPr>
      <w:r w:rsidRPr="00091C08">
        <w:rPr>
          <w:sz w:val="20"/>
        </w:rPr>
        <w:tab/>
      </w:r>
      <w:r w:rsidRPr="00091C08">
        <w:rPr>
          <w:i/>
          <w:sz w:val="20"/>
        </w:rPr>
        <w:t>Criminal law — Sentencing — Considerations — Credit for pre</w:t>
      </w:r>
      <w:r w:rsidRPr="00091C08">
        <w:rPr>
          <w:i/>
          <w:sz w:val="20"/>
        </w:rPr>
        <w:noBreakHyphen/>
        <w:t>sentence detention — Criminal Code permitting enhanced credit at rate of up to one</w:t>
      </w:r>
      <w:r w:rsidRPr="00091C08">
        <w:rPr>
          <w:i/>
          <w:sz w:val="20"/>
        </w:rPr>
        <w:noBreakHyphen/>
        <w:t>and</w:t>
      </w:r>
      <w:r w:rsidRPr="00091C08">
        <w:rPr>
          <w:i/>
          <w:sz w:val="20"/>
        </w:rPr>
        <w:noBreakHyphen/>
        <w:t>one</w:t>
      </w:r>
      <w:r w:rsidRPr="00091C08">
        <w:rPr>
          <w:i/>
          <w:sz w:val="20"/>
        </w:rPr>
        <w:noBreakHyphen/>
        <w:t>half days for every day of detention “if the circumstances justify it” — Sentencing judge applying enhanced credit on basis of lost eligibility for early release — Whether sentencing judge erred by granting credit for pre</w:t>
      </w:r>
      <w:r w:rsidRPr="00091C08">
        <w:rPr>
          <w:i/>
          <w:sz w:val="20"/>
        </w:rPr>
        <w:noBreakHyphen/>
        <w:t>sentence custody at rate of one</w:t>
      </w:r>
      <w:r w:rsidRPr="00091C08">
        <w:rPr>
          <w:i/>
          <w:sz w:val="20"/>
        </w:rPr>
        <w:noBreakHyphen/>
        <w:t>and</w:t>
      </w:r>
      <w:r w:rsidRPr="00091C08">
        <w:rPr>
          <w:i/>
          <w:sz w:val="20"/>
        </w:rPr>
        <w:noBreakHyphen/>
        <w:t>one</w:t>
      </w:r>
      <w:r w:rsidRPr="00091C08">
        <w:rPr>
          <w:i/>
          <w:sz w:val="20"/>
        </w:rPr>
        <w:noBreakHyphen/>
        <w:t>half to one to account for loss of early release — Criminal Code, R.S.C. 1985, c. C</w:t>
      </w:r>
      <w:r w:rsidRPr="00091C08">
        <w:rPr>
          <w:i/>
          <w:sz w:val="20"/>
        </w:rPr>
        <w:noBreakHyphen/>
        <w:t>46, ss. 719(3) and 719(3.1).</w:t>
      </w:r>
    </w:p>
    <w:p w:rsidR="00EF05A4" w:rsidRDefault="00EF05A4" w:rsidP="00EF05A4">
      <w:pPr>
        <w:pStyle w:val="SCCNormalDoubleSpacing"/>
        <w:spacing w:line="240" w:lineRule="auto"/>
        <w:rPr>
          <w:sz w:val="20"/>
        </w:rPr>
      </w:pPr>
    </w:p>
    <w:p w:rsidR="00EF05A4" w:rsidRPr="00091C08" w:rsidRDefault="00EF05A4" w:rsidP="00EF05A4">
      <w:pPr>
        <w:pStyle w:val="SCCNormalDoubleSpacing"/>
        <w:spacing w:line="240" w:lineRule="auto"/>
        <w:rPr>
          <w:sz w:val="20"/>
        </w:rPr>
      </w:pPr>
      <w:r w:rsidRPr="00091C08">
        <w:rPr>
          <w:sz w:val="20"/>
        </w:rPr>
        <w:tab/>
        <w:t>The accused was on remand for 9.5 months.  The sentencing judge assigned a credit calculated at a rate of one</w:t>
      </w:r>
      <w:r w:rsidRPr="00091C08">
        <w:rPr>
          <w:sz w:val="20"/>
        </w:rPr>
        <w:noBreakHyphen/>
        <w:t>and</w:t>
      </w:r>
      <w:r w:rsidRPr="00091C08">
        <w:rPr>
          <w:sz w:val="20"/>
        </w:rPr>
        <w:noBreakHyphen/>
        <w:t>one</w:t>
      </w:r>
      <w:r w:rsidRPr="00091C08">
        <w:rPr>
          <w:sz w:val="20"/>
        </w:rPr>
        <w:noBreakHyphen/>
        <w:t>half to one, on the basis of loss of remission and parole eligibility.  The Court of Appeal upheld the decision finding that the legislation provides for judicial discretion to grant credit of up to 1.5 to 1 for time spent in pre</w:t>
      </w:r>
      <w:r w:rsidRPr="00091C08">
        <w:rPr>
          <w:sz w:val="20"/>
        </w:rPr>
        <w:noBreakHyphen/>
        <w:t>sentence custody on the basis of loss of remission or parole eligibility.</w:t>
      </w:r>
    </w:p>
    <w:p w:rsidR="00EF05A4" w:rsidRDefault="00EF05A4" w:rsidP="00EF05A4">
      <w:pPr>
        <w:pStyle w:val="SCCNormalDoubleSpacing"/>
        <w:spacing w:line="240" w:lineRule="auto"/>
        <w:rPr>
          <w:i/>
          <w:sz w:val="20"/>
        </w:rPr>
      </w:pPr>
    </w:p>
    <w:p w:rsidR="00EF05A4" w:rsidRPr="00091C08" w:rsidRDefault="00EF05A4" w:rsidP="00EF05A4">
      <w:pPr>
        <w:pStyle w:val="SCCNormalDoubleSpacing"/>
        <w:spacing w:line="240" w:lineRule="auto"/>
        <w:rPr>
          <w:sz w:val="20"/>
        </w:rPr>
      </w:pPr>
      <w:r w:rsidRPr="00091C08">
        <w:rPr>
          <w:i/>
          <w:sz w:val="20"/>
        </w:rPr>
        <w:tab/>
        <w:t>Held</w:t>
      </w:r>
      <w:r w:rsidRPr="00091C08">
        <w:rPr>
          <w:sz w:val="20"/>
        </w:rPr>
        <w:t>:  The appeal should be dismissed.</w:t>
      </w:r>
    </w:p>
    <w:p w:rsidR="00EF05A4" w:rsidRDefault="00EF05A4" w:rsidP="00EF05A4">
      <w:pPr>
        <w:pStyle w:val="SCCNormalDoubleSpacing"/>
        <w:spacing w:line="240" w:lineRule="auto"/>
        <w:rPr>
          <w:sz w:val="20"/>
        </w:rPr>
      </w:pPr>
    </w:p>
    <w:p w:rsidR="00EF05A4" w:rsidRDefault="00EF05A4" w:rsidP="00EF05A4">
      <w:pPr>
        <w:pStyle w:val="SCCNormalDoubleSpacing"/>
        <w:spacing w:line="240" w:lineRule="auto"/>
        <w:rPr>
          <w:sz w:val="20"/>
        </w:rPr>
      </w:pPr>
      <w:r w:rsidRPr="00091C08">
        <w:rPr>
          <w:sz w:val="20"/>
        </w:rPr>
        <w:tab/>
        <w:t xml:space="preserve">For the reasons given in </w:t>
      </w:r>
      <w:r w:rsidRPr="00091C08">
        <w:rPr>
          <w:i/>
          <w:sz w:val="20"/>
        </w:rPr>
        <w:t>R. v. Summers</w:t>
      </w:r>
      <w:r w:rsidRPr="00091C08">
        <w:rPr>
          <w:sz w:val="20"/>
        </w:rPr>
        <w:t>, the circumstances justifying enhanced credit of up to one and one half days for every day of pre</w:t>
      </w:r>
      <w:r w:rsidRPr="00091C08">
        <w:rPr>
          <w:sz w:val="20"/>
        </w:rPr>
        <w:noBreakHyphen/>
        <w:t xml:space="preserve">trial detention under s. 719(3.1) of the </w:t>
      </w:r>
      <w:r w:rsidRPr="00091C08">
        <w:rPr>
          <w:i/>
          <w:sz w:val="20"/>
        </w:rPr>
        <w:t xml:space="preserve">Criminal </w:t>
      </w:r>
      <w:r w:rsidRPr="00091C08">
        <w:rPr>
          <w:sz w:val="20"/>
        </w:rPr>
        <w:t>Code include the effect of pre</w:t>
      </w:r>
      <w:r w:rsidRPr="00091C08">
        <w:rPr>
          <w:sz w:val="20"/>
        </w:rPr>
        <w:noBreakHyphen/>
        <w:t>sentence detention on access to early release.  In this case, there is nothing in the record to indicate that the accused would be denied early release, and the accused did not try to drag out his remand to manipulate or “game” the system.  Thus, there are no grounds to interfere with the sentencing judge’s exercise of discretion.</w:t>
      </w:r>
    </w:p>
    <w:p w:rsidR="00EF05A4" w:rsidRDefault="00EF05A4" w:rsidP="00EF05A4">
      <w:pPr>
        <w:pStyle w:val="SCCNormalDoubleSpacing"/>
        <w:spacing w:line="240" w:lineRule="auto"/>
        <w:rPr>
          <w:sz w:val="20"/>
        </w:rPr>
      </w:pPr>
    </w:p>
    <w:p w:rsidR="00EF05A4" w:rsidRPr="00091C08" w:rsidRDefault="00EF05A4" w:rsidP="00EF05A4">
      <w:pPr>
        <w:pStyle w:val="SCCNormalDoubleSpacing"/>
        <w:spacing w:line="240" w:lineRule="auto"/>
        <w:rPr>
          <w:sz w:val="20"/>
        </w:rPr>
      </w:pPr>
      <w:r w:rsidRPr="00091C08">
        <w:rPr>
          <w:sz w:val="20"/>
        </w:rPr>
        <w:tab/>
        <w:t>APPEAL from a judgment of the Nova Scotia Court of Appeal (MacDonald C.J. and Hamilton and Beveridge JJ.A.), 2012 NSCA 107, 321 N.S.R. (2d) 321, 1018 A.P.R. 321, 267 C.R.R. (2d) 294, [2012] N.S.J. No. 527 (QL), 2012 CarswellNS 1062, affirming a decision of Derrick J., 2011 NSPC 35, 305 N.S.R. (2d) 167, 966 A.P.R. 167, [2011] N.S.J. No. 339 (QL), 2011 CarswellNS 425.  Appeal dismissed.</w:t>
      </w:r>
    </w:p>
    <w:p w:rsidR="00EF05A4" w:rsidRDefault="00EF05A4" w:rsidP="00EF05A4">
      <w:pPr>
        <w:pStyle w:val="SCCNormalDoubleSpacing"/>
        <w:spacing w:line="240" w:lineRule="auto"/>
        <w:rPr>
          <w:i/>
          <w:sz w:val="20"/>
        </w:rPr>
      </w:pPr>
    </w:p>
    <w:p w:rsidR="00EF05A4" w:rsidRPr="00091C08" w:rsidRDefault="00EF05A4" w:rsidP="00EF05A4">
      <w:pPr>
        <w:pStyle w:val="SCCNormalDoubleSpacing"/>
        <w:spacing w:line="240" w:lineRule="auto"/>
        <w:rPr>
          <w:sz w:val="20"/>
        </w:rPr>
      </w:pPr>
      <w:r w:rsidRPr="00091C08">
        <w:rPr>
          <w:i/>
          <w:sz w:val="20"/>
        </w:rPr>
        <w:tab/>
        <w:t>David W. Schermbrucker</w:t>
      </w:r>
      <w:r w:rsidRPr="00091C08">
        <w:rPr>
          <w:sz w:val="20"/>
        </w:rPr>
        <w:t xml:space="preserve"> and </w:t>
      </w:r>
      <w:r w:rsidRPr="00091C08">
        <w:rPr>
          <w:i/>
          <w:sz w:val="20"/>
        </w:rPr>
        <w:t>Brad Reitz</w:t>
      </w:r>
      <w:r w:rsidRPr="00091C08">
        <w:rPr>
          <w:sz w:val="20"/>
        </w:rPr>
        <w:t>, for the appellant.</w:t>
      </w:r>
    </w:p>
    <w:p w:rsidR="00EF05A4" w:rsidRDefault="00EF05A4" w:rsidP="00EF05A4">
      <w:pPr>
        <w:pStyle w:val="SCCNormalDoubleSpacing"/>
        <w:spacing w:line="240" w:lineRule="auto"/>
        <w:rPr>
          <w:i/>
          <w:sz w:val="20"/>
        </w:rPr>
      </w:pPr>
    </w:p>
    <w:p w:rsidR="00EF05A4" w:rsidRPr="00091C08" w:rsidRDefault="00EF05A4" w:rsidP="00EF05A4">
      <w:pPr>
        <w:pStyle w:val="SCCNormalDoubleSpacing"/>
        <w:spacing w:line="240" w:lineRule="auto"/>
        <w:rPr>
          <w:sz w:val="20"/>
        </w:rPr>
      </w:pPr>
      <w:r w:rsidRPr="00091C08">
        <w:rPr>
          <w:i/>
          <w:sz w:val="20"/>
        </w:rPr>
        <w:tab/>
        <w:t>Luke A. Craggs</w:t>
      </w:r>
      <w:r w:rsidRPr="00091C08">
        <w:rPr>
          <w:sz w:val="20"/>
        </w:rPr>
        <w:t>, for the respondent.</w:t>
      </w:r>
    </w:p>
    <w:p w:rsidR="00EF05A4" w:rsidRDefault="00EF05A4" w:rsidP="00EF05A4">
      <w:pPr>
        <w:pStyle w:val="SCCNormalDoubleSpacing"/>
        <w:spacing w:line="240" w:lineRule="auto"/>
        <w:rPr>
          <w:i/>
          <w:sz w:val="20"/>
        </w:rPr>
      </w:pPr>
    </w:p>
    <w:p w:rsidR="00EF05A4" w:rsidRPr="00091C08" w:rsidRDefault="00EF05A4" w:rsidP="00EF05A4">
      <w:pPr>
        <w:pStyle w:val="SCCNormalDoubleSpacing"/>
        <w:spacing w:line="240" w:lineRule="auto"/>
        <w:rPr>
          <w:sz w:val="20"/>
        </w:rPr>
      </w:pPr>
      <w:r w:rsidRPr="00091C08">
        <w:rPr>
          <w:i/>
          <w:sz w:val="20"/>
        </w:rPr>
        <w:tab/>
        <w:t>Ingrid Grant</w:t>
      </w:r>
      <w:r w:rsidRPr="00091C08">
        <w:rPr>
          <w:sz w:val="20"/>
        </w:rPr>
        <w:t>, for the intervener the Criminal Lawyers’ Association of Ontario.</w:t>
      </w:r>
    </w:p>
    <w:p w:rsidR="00EF05A4" w:rsidRDefault="00EF05A4" w:rsidP="00EF05A4">
      <w:pPr>
        <w:pStyle w:val="SCCNormalDoubleSpacing"/>
        <w:spacing w:line="240" w:lineRule="auto"/>
        <w:rPr>
          <w:i/>
          <w:sz w:val="20"/>
        </w:rPr>
      </w:pPr>
    </w:p>
    <w:p w:rsidR="00EF05A4" w:rsidRPr="00091C08" w:rsidRDefault="00EF05A4" w:rsidP="00EF05A4">
      <w:pPr>
        <w:pStyle w:val="SCCNormalDoubleSpacing"/>
        <w:spacing w:line="240" w:lineRule="auto"/>
        <w:rPr>
          <w:sz w:val="20"/>
        </w:rPr>
      </w:pPr>
      <w:r w:rsidRPr="00091C08">
        <w:rPr>
          <w:i/>
          <w:sz w:val="20"/>
        </w:rPr>
        <w:tab/>
        <w:t>Ryan D. W. Dalziel</w:t>
      </w:r>
      <w:r w:rsidRPr="00091C08">
        <w:rPr>
          <w:sz w:val="20"/>
        </w:rPr>
        <w:t xml:space="preserve"> and </w:t>
      </w:r>
      <w:r w:rsidRPr="00091C08">
        <w:rPr>
          <w:i/>
          <w:sz w:val="20"/>
        </w:rPr>
        <w:t>Anne Amos</w:t>
      </w:r>
      <w:r w:rsidRPr="00091C08">
        <w:rPr>
          <w:i/>
          <w:sz w:val="20"/>
        </w:rPr>
        <w:noBreakHyphen/>
        <w:t>Stewart</w:t>
      </w:r>
      <w:r w:rsidRPr="00091C08">
        <w:rPr>
          <w:sz w:val="20"/>
        </w:rPr>
        <w:t>, for the intervener the British Columbia Civil Liberties Association.</w:t>
      </w:r>
    </w:p>
    <w:p w:rsidR="00EF05A4" w:rsidRDefault="00EF05A4" w:rsidP="00EF05A4">
      <w:pPr>
        <w:pStyle w:val="SCCLawFirm"/>
        <w:spacing w:line="240" w:lineRule="auto"/>
        <w:rPr>
          <w:sz w:val="20"/>
        </w:rPr>
      </w:pPr>
    </w:p>
    <w:p w:rsidR="00EF05A4" w:rsidRPr="00091C08" w:rsidRDefault="00EF05A4" w:rsidP="00EF05A4">
      <w:pPr>
        <w:pStyle w:val="SCCLawFirm"/>
        <w:spacing w:line="240" w:lineRule="auto"/>
        <w:rPr>
          <w:sz w:val="20"/>
        </w:rPr>
      </w:pPr>
      <w:r w:rsidRPr="00091C08">
        <w:rPr>
          <w:sz w:val="20"/>
        </w:rPr>
        <w:tab/>
        <w:t>Solicitor for the appellant:  Public Prosecution Service of Canada, Halifax.</w:t>
      </w:r>
    </w:p>
    <w:p w:rsidR="00EF05A4" w:rsidRDefault="00EF05A4" w:rsidP="00EF05A4">
      <w:pPr>
        <w:pStyle w:val="SCCLawFirm"/>
        <w:spacing w:line="240" w:lineRule="auto"/>
        <w:rPr>
          <w:sz w:val="20"/>
        </w:rPr>
      </w:pPr>
    </w:p>
    <w:p w:rsidR="00EF05A4" w:rsidRPr="00091C08" w:rsidRDefault="00EF05A4" w:rsidP="00EF05A4">
      <w:pPr>
        <w:pStyle w:val="SCCLawFirm"/>
        <w:spacing w:line="240" w:lineRule="auto"/>
        <w:rPr>
          <w:sz w:val="20"/>
        </w:rPr>
      </w:pPr>
      <w:r w:rsidRPr="00091C08">
        <w:rPr>
          <w:sz w:val="20"/>
        </w:rPr>
        <w:tab/>
        <w:t>Solicitors for the respondent:  Burke Thompson, Halifax.</w:t>
      </w:r>
    </w:p>
    <w:p w:rsidR="00EF05A4" w:rsidRDefault="00EF05A4" w:rsidP="00EF05A4">
      <w:pPr>
        <w:pStyle w:val="SCCLawFirm"/>
        <w:spacing w:line="240" w:lineRule="auto"/>
        <w:rPr>
          <w:sz w:val="20"/>
        </w:rPr>
      </w:pPr>
    </w:p>
    <w:p w:rsidR="00EF05A4" w:rsidRPr="00091C08" w:rsidRDefault="00EF05A4" w:rsidP="00EF05A4">
      <w:pPr>
        <w:pStyle w:val="SCCLawFirm"/>
        <w:spacing w:line="240" w:lineRule="auto"/>
        <w:rPr>
          <w:sz w:val="20"/>
        </w:rPr>
      </w:pPr>
      <w:r w:rsidRPr="00091C08">
        <w:rPr>
          <w:sz w:val="20"/>
        </w:rPr>
        <w:tab/>
        <w:t>Solicitors for the intervener the Criminal Lawyers’ Association of Ontario:  Russell Silverstein &amp; Associate, Toronto.</w:t>
      </w:r>
    </w:p>
    <w:p w:rsidR="00EF05A4" w:rsidRDefault="00EF05A4" w:rsidP="00EF05A4">
      <w:pPr>
        <w:pStyle w:val="SCCLawFirm"/>
        <w:spacing w:line="240" w:lineRule="auto"/>
        <w:rPr>
          <w:sz w:val="20"/>
        </w:rPr>
      </w:pPr>
    </w:p>
    <w:p w:rsidR="00EF05A4" w:rsidRDefault="00EF05A4" w:rsidP="00EF05A4">
      <w:pPr>
        <w:pStyle w:val="SCCLawFirm"/>
        <w:spacing w:line="240" w:lineRule="auto"/>
        <w:rPr>
          <w:sz w:val="20"/>
        </w:rPr>
      </w:pPr>
      <w:r w:rsidRPr="00091C08">
        <w:rPr>
          <w:sz w:val="20"/>
        </w:rPr>
        <w:tab/>
        <w:t>Solicitors for the intervener the British Columbia Civil Liberties Association:  Bull, Housser &amp; Tupper, Vancouver.</w:t>
      </w:r>
    </w:p>
    <w:p w:rsidR="00902E51" w:rsidRPr="00EF05A4" w:rsidRDefault="00902E51" w:rsidP="00902E51">
      <w:pPr>
        <w:rPr>
          <w:sz w:val="20"/>
          <w:szCs w:val="20"/>
          <w:lang w:val="fr-CA"/>
        </w:rPr>
      </w:pPr>
      <w:r w:rsidRPr="00EF05A4">
        <w:rPr>
          <w:sz w:val="20"/>
          <w:szCs w:val="20"/>
          <w:lang w:val="fr-CA"/>
        </w:rPr>
        <w:t>________________________</w:t>
      </w:r>
    </w:p>
    <w:p w:rsidR="00902E51" w:rsidRPr="00EF05A4" w:rsidRDefault="00902E51" w:rsidP="00902E51">
      <w:pPr>
        <w:rPr>
          <w:sz w:val="20"/>
          <w:szCs w:val="20"/>
          <w:lang w:val="fr-CA"/>
        </w:rPr>
      </w:pPr>
    </w:p>
    <w:p w:rsidR="00EF05A4" w:rsidRPr="00E95524" w:rsidRDefault="00EF05A4" w:rsidP="00EF05A4">
      <w:pPr>
        <w:jc w:val="both"/>
        <w:rPr>
          <w:sz w:val="20"/>
          <w:szCs w:val="20"/>
          <w:lang w:val="fr-CA"/>
        </w:rPr>
      </w:pPr>
      <w:r w:rsidRPr="00E95524">
        <w:rPr>
          <w:sz w:val="20"/>
          <w:szCs w:val="20"/>
          <w:lang w:val="fr-CA"/>
        </w:rPr>
        <w:t>Présents : La juge en chef McLachlin et les juges LeBel, Abella, Rothstein, Cromwell, Karakatsanis et Wagner.</w:t>
      </w:r>
    </w:p>
    <w:p w:rsidR="00EF05A4" w:rsidRDefault="00EF05A4" w:rsidP="00EF05A4">
      <w:pPr>
        <w:jc w:val="both"/>
        <w:rPr>
          <w:smallCaps/>
          <w:sz w:val="20"/>
          <w:lang w:val="fr-CA"/>
        </w:rPr>
      </w:pPr>
    </w:p>
    <w:p w:rsidR="00EF05A4" w:rsidRPr="00E95524" w:rsidRDefault="00EF05A4" w:rsidP="00EF05A4">
      <w:pPr>
        <w:pStyle w:val="SCCNormalDoubleSpacing"/>
        <w:spacing w:line="240" w:lineRule="auto"/>
        <w:rPr>
          <w:sz w:val="20"/>
          <w:lang w:val="fr-CA"/>
        </w:rPr>
      </w:pPr>
      <w:r w:rsidRPr="00E95524">
        <w:rPr>
          <w:sz w:val="20"/>
          <w:lang w:val="fr-CA"/>
        </w:rPr>
        <w:lastRenderedPageBreak/>
        <w:tab/>
      </w:r>
      <w:r w:rsidRPr="00E95524">
        <w:rPr>
          <w:i/>
          <w:sz w:val="20"/>
          <w:lang w:val="fr-CA"/>
        </w:rPr>
        <w:t xml:space="preserve">Droit criminel </w:t>
      </w:r>
      <w:r w:rsidRPr="00E95524">
        <w:rPr>
          <w:sz w:val="20"/>
          <w:lang w:val="fr-CA"/>
        </w:rPr>
        <w:t xml:space="preserve">— </w:t>
      </w:r>
      <w:r w:rsidRPr="00E95524">
        <w:rPr>
          <w:i/>
          <w:sz w:val="20"/>
          <w:lang w:val="fr-CA"/>
        </w:rPr>
        <w:t xml:space="preserve">Détermination de la peine </w:t>
      </w:r>
      <w:r w:rsidRPr="00E95524">
        <w:rPr>
          <w:sz w:val="20"/>
          <w:lang w:val="fr-CA"/>
        </w:rPr>
        <w:t xml:space="preserve">— </w:t>
      </w:r>
      <w:r w:rsidRPr="00E95524">
        <w:rPr>
          <w:i/>
          <w:sz w:val="20"/>
          <w:lang w:val="fr-CA"/>
        </w:rPr>
        <w:t xml:space="preserve">Considérations — Crédit pour détention présentencielle </w:t>
      </w:r>
      <w:r w:rsidRPr="00E95524">
        <w:rPr>
          <w:sz w:val="20"/>
          <w:lang w:val="fr-CA"/>
        </w:rPr>
        <w:t>—</w:t>
      </w:r>
      <w:r w:rsidRPr="00E95524">
        <w:rPr>
          <w:i/>
          <w:sz w:val="20"/>
          <w:lang w:val="fr-CA"/>
        </w:rPr>
        <w:t xml:space="preserve"> Disposition du Code criminel permettant l’octroi d’un crédit majoré d’au plus un jour et demi pour chaque jour de détention présentencielle « si les circonstances le justifient » </w:t>
      </w:r>
      <w:r w:rsidRPr="00E95524">
        <w:rPr>
          <w:sz w:val="20"/>
          <w:lang w:val="fr-CA"/>
        </w:rPr>
        <w:t xml:space="preserve">— </w:t>
      </w:r>
      <w:r w:rsidRPr="00E95524">
        <w:rPr>
          <w:i/>
          <w:sz w:val="20"/>
          <w:lang w:val="fr-CA"/>
        </w:rPr>
        <w:t xml:space="preserve">Octroi d’un tel crédit par la juge chargée de la détermination de la peine en raison de la perte liée à l’admissibilité à la libération anticipée </w:t>
      </w:r>
      <w:r w:rsidRPr="00E95524">
        <w:rPr>
          <w:sz w:val="20"/>
          <w:lang w:val="fr-CA"/>
        </w:rPr>
        <w:t>—</w:t>
      </w:r>
      <w:r w:rsidRPr="00E95524">
        <w:rPr>
          <w:i/>
          <w:sz w:val="20"/>
          <w:lang w:val="fr-CA"/>
        </w:rPr>
        <w:t xml:space="preserve"> La juge a</w:t>
      </w:r>
      <w:r w:rsidRPr="00E95524">
        <w:rPr>
          <w:i/>
          <w:sz w:val="20"/>
          <w:lang w:val="fr-CA"/>
        </w:rPr>
        <w:noBreakHyphen/>
        <w:t>t</w:t>
      </w:r>
      <w:r w:rsidRPr="00E95524">
        <w:rPr>
          <w:i/>
          <w:sz w:val="20"/>
          <w:lang w:val="fr-CA"/>
        </w:rPr>
        <w:noBreakHyphen/>
        <w:t>elle eu tort d’allouer un jour et demi par jour de détention présentencielle pour tenir compte de cette perte? —</w:t>
      </w:r>
      <w:r w:rsidRPr="00E95524">
        <w:rPr>
          <w:sz w:val="20"/>
          <w:lang w:val="fr-CA"/>
        </w:rPr>
        <w:t xml:space="preserve"> </w:t>
      </w:r>
      <w:r w:rsidRPr="00E95524">
        <w:rPr>
          <w:i/>
          <w:sz w:val="20"/>
          <w:lang w:val="fr-CA"/>
        </w:rPr>
        <w:t>Code criminel, L.R.C. 1985, ch. C</w:t>
      </w:r>
      <w:r w:rsidRPr="00E95524">
        <w:rPr>
          <w:i/>
          <w:sz w:val="20"/>
          <w:lang w:val="fr-CA"/>
        </w:rPr>
        <w:noBreakHyphen/>
        <w:t>24, art. 719(3) et 719(3.1).</w:t>
      </w:r>
    </w:p>
    <w:p w:rsidR="00EF05A4" w:rsidRDefault="00EF05A4" w:rsidP="00EF05A4">
      <w:pPr>
        <w:pStyle w:val="SCCNormalDoubleSpacing"/>
        <w:spacing w:line="240" w:lineRule="auto"/>
        <w:rPr>
          <w:sz w:val="20"/>
          <w:lang w:val="fr-CA"/>
        </w:rPr>
      </w:pPr>
    </w:p>
    <w:p w:rsidR="00EF05A4" w:rsidRPr="00E95524" w:rsidRDefault="00EF05A4" w:rsidP="00EF05A4">
      <w:pPr>
        <w:pStyle w:val="SCCNormalDoubleSpacing"/>
        <w:spacing w:line="240" w:lineRule="auto"/>
        <w:rPr>
          <w:sz w:val="20"/>
          <w:lang w:val="fr-CA"/>
        </w:rPr>
      </w:pPr>
      <w:r w:rsidRPr="00E95524">
        <w:rPr>
          <w:sz w:val="20"/>
          <w:lang w:val="fr-CA"/>
        </w:rPr>
        <w:tab/>
        <w:t xml:space="preserve">L’accusé a passé 9,5 mois en détention préventive.  La juge chargée de la détermination de la peine a accordé un crédit à raison d’un jour et demi contre un pour compenser la perte subie aux fins de l’admissibilité à la réduction de peine et à la libération conditionnelle.  La Cour d’appel a confirmé sa décision et conclu que la disposition en cause confère au tribunal un pouvoir discrétionnaire qui lui permet d’allouer au plus un jour et demi pour chaque jour de détention présentencielle afin de compenser la perte liée à l’admissibilité à la réduction de peine ou à la liberté conditionnelle.  </w:t>
      </w:r>
    </w:p>
    <w:p w:rsidR="00EF05A4" w:rsidRDefault="00EF05A4" w:rsidP="00EF05A4">
      <w:pPr>
        <w:pStyle w:val="SCCNormalDoubleSpacing"/>
        <w:spacing w:line="240" w:lineRule="auto"/>
        <w:rPr>
          <w:sz w:val="20"/>
          <w:lang w:val="fr-CA"/>
        </w:rPr>
      </w:pPr>
    </w:p>
    <w:p w:rsidR="00EF05A4" w:rsidRPr="00E95524" w:rsidRDefault="00EF05A4" w:rsidP="00EF05A4">
      <w:pPr>
        <w:pStyle w:val="SCCNormalDoubleSpacing"/>
        <w:spacing w:line="240" w:lineRule="auto"/>
        <w:rPr>
          <w:sz w:val="20"/>
          <w:lang w:val="fr-CA"/>
        </w:rPr>
      </w:pPr>
      <w:r w:rsidRPr="00E95524">
        <w:rPr>
          <w:sz w:val="20"/>
          <w:lang w:val="fr-CA"/>
        </w:rPr>
        <w:tab/>
      </w:r>
      <w:r w:rsidRPr="00E95524">
        <w:rPr>
          <w:i/>
          <w:sz w:val="20"/>
          <w:lang w:val="fr-CA"/>
        </w:rPr>
        <w:t>Arrêt</w:t>
      </w:r>
      <w:r w:rsidRPr="00E95524">
        <w:rPr>
          <w:sz w:val="20"/>
          <w:lang w:val="fr-CA"/>
        </w:rPr>
        <w:t> : Le pourvoi est rejeté.</w:t>
      </w:r>
    </w:p>
    <w:p w:rsidR="00EF05A4" w:rsidRDefault="00EF05A4" w:rsidP="00EF05A4">
      <w:pPr>
        <w:pStyle w:val="SCCNormalDoubleSpacing"/>
        <w:spacing w:line="240" w:lineRule="auto"/>
        <w:rPr>
          <w:sz w:val="20"/>
          <w:lang w:val="fr-CA"/>
        </w:rPr>
      </w:pPr>
    </w:p>
    <w:p w:rsidR="00EF05A4" w:rsidRDefault="00EF05A4" w:rsidP="00EF05A4">
      <w:pPr>
        <w:pStyle w:val="SCCNormalDoubleSpacing"/>
        <w:spacing w:line="240" w:lineRule="auto"/>
        <w:rPr>
          <w:sz w:val="20"/>
          <w:lang w:val="fr-CA"/>
        </w:rPr>
      </w:pPr>
      <w:r w:rsidRPr="00E95524">
        <w:rPr>
          <w:sz w:val="20"/>
          <w:lang w:val="fr-CA"/>
        </w:rPr>
        <w:tab/>
        <w:t xml:space="preserve">Pour les motifs exposés dans </w:t>
      </w:r>
      <w:r w:rsidRPr="00E95524">
        <w:rPr>
          <w:i/>
          <w:sz w:val="20"/>
          <w:lang w:val="fr-CA"/>
        </w:rPr>
        <w:t>R. c.</w:t>
      </w:r>
      <w:r w:rsidRPr="00E95524">
        <w:rPr>
          <w:sz w:val="20"/>
          <w:lang w:val="fr-CA"/>
        </w:rPr>
        <w:t xml:space="preserve"> </w:t>
      </w:r>
      <w:r w:rsidRPr="00E95524">
        <w:rPr>
          <w:i/>
          <w:sz w:val="20"/>
          <w:lang w:val="fr-CA"/>
        </w:rPr>
        <w:t>Summers</w:t>
      </w:r>
      <w:r w:rsidRPr="00E95524">
        <w:rPr>
          <w:sz w:val="20"/>
          <w:lang w:val="fr-CA"/>
        </w:rPr>
        <w:t xml:space="preserve">, les circonstances qui justifient un crédit majoré d’au plus un jour et demi pour chaque jour de détention présentencielle au titre du par. 719(3.1) du </w:t>
      </w:r>
      <w:r w:rsidRPr="00E95524">
        <w:rPr>
          <w:i/>
          <w:sz w:val="20"/>
          <w:lang w:val="fr-CA"/>
        </w:rPr>
        <w:t>Code criminel</w:t>
      </w:r>
      <w:r w:rsidRPr="00E95524">
        <w:rPr>
          <w:sz w:val="20"/>
          <w:lang w:val="fr-CA"/>
        </w:rPr>
        <w:t xml:space="preserve"> comprennent l’effet de la détention présentencielle sur l’accès à la libération anticipée.  Dans la présente affaire, le dossier ne permet pas de conclure que l’accusé se serait vu refuser la libération anticipée, et l’accusé n’a pas tenté de prolonger sa détention pour exploiter le système ou le déjouer.  Il n’y a donc aucune raison d’intervenir dans l’exercice du pouvoir discrétionnaire de la juge chargée de la détermination de la peine. </w:t>
      </w:r>
    </w:p>
    <w:p w:rsidR="00EF05A4" w:rsidRDefault="00EF05A4" w:rsidP="00EF05A4">
      <w:pPr>
        <w:pStyle w:val="SCCNormalDoubleSpacing"/>
        <w:spacing w:line="240" w:lineRule="auto"/>
        <w:rPr>
          <w:sz w:val="20"/>
          <w:lang w:val="fr-CA"/>
        </w:rPr>
      </w:pPr>
    </w:p>
    <w:p w:rsidR="00EF05A4" w:rsidRPr="00E95524" w:rsidRDefault="00EF05A4" w:rsidP="00EF05A4">
      <w:pPr>
        <w:pStyle w:val="SCCNormalDoubleSpacing"/>
        <w:spacing w:line="240" w:lineRule="auto"/>
        <w:rPr>
          <w:sz w:val="20"/>
          <w:lang w:val="fr-CA"/>
        </w:rPr>
      </w:pPr>
      <w:r w:rsidRPr="00E95524">
        <w:rPr>
          <w:sz w:val="20"/>
          <w:lang w:val="fr-CA"/>
        </w:rPr>
        <w:tab/>
        <w:t>POURVOI contre un arrêt de la Cour d’appel de la Nouvelle</w:t>
      </w:r>
      <w:r w:rsidRPr="00E95524">
        <w:rPr>
          <w:sz w:val="20"/>
          <w:lang w:val="fr-CA"/>
        </w:rPr>
        <w:noBreakHyphen/>
        <w:t>Écosse (le juge en chef MacDonald et les juges Hamilton et Beveridge), 2012 NSCA 107, 321 N.S.R. (2d) 321, 1018 A.P.R. 321, 267 C.R.R. (2d) 294, [2012] N.S.J. No. 527 (QL), 2012 CarswellNS 1062, qui a confirmé une décision de la juge Derrick, 2011 NSPC 35, 305 N.S.R. (2d) 167, 966 A.P.R. 167, [2011] N.S.J. No. 339 (QL), 2011 CarswellNS 425.  Pourvoi rejeté.</w:t>
      </w:r>
    </w:p>
    <w:p w:rsidR="00EF05A4" w:rsidRDefault="00EF05A4" w:rsidP="00EF05A4">
      <w:pPr>
        <w:pStyle w:val="SCCNormalDoubleSpacing"/>
        <w:spacing w:line="240" w:lineRule="auto"/>
        <w:rPr>
          <w:i/>
          <w:sz w:val="20"/>
          <w:lang w:val="fr-CA"/>
        </w:rPr>
      </w:pPr>
    </w:p>
    <w:p w:rsidR="00EF05A4" w:rsidRPr="00E95524" w:rsidRDefault="00EF05A4" w:rsidP="00EF05A4">
      <w:pPr>
        <w:pStyle w:val="SCCNormalDoubleSpacing"/>
        <w:spacing w:line="240" w:lineRule="auto"/>
        <w:rPr>
          <w:sz w:val="20"/>
          <w:lang w:val="fr-CA"/>
        </w:rPr>
      </w:pPr>
      <w:r w:rsidRPr="00E95524">
        <w:rPr>
          <w:i/>
          <w:sz w:val="20"/>
          <w:lang w:val="fr-CA"/>
        </w:rPr>
        <w:tab/>
        <w:t>David W. Schermbrucker</w:t>
      </w:r>
      <w:r w:rsidRPr="00E95524">
        <w:rPr>
          <w:sz w:val="20"/>
          <w:lang w:val="fr-CA"/>
        </w:rPr>
        <w:t xml:space="preserve"> et </w:t>
      </w:r>
      <w:r w:rsidRPr="00E95524">
        <w:rPr>
          <w:i/>
          <w:sz w:val="20"/>
          <w:lang w:val="fr-CA"/>
        </w:rPr>
        <w:t>Brad Reitz</w:t>
      </w:r>
      <w:r w:rsidRPr="00E95524">
        <w:rPr>
          <w:sz w:val="20"/>
          <w:lang w:val="fr-CA"/>
        </w:rPr>
        <w:t>, pour l’appelante.</w:t>
      </w:r>
    </w:p>
    <w:p w:rsidR="00EF05A4" w:rsidRDefault="00EF05A4" w:rsidP="00EF05A4">
      <w:pPr>
        <w:pStyle w:val="SCCNormalDoubleSpacing"/>
        <w:spacing w:line="240" w:lineRule="auto"/>
        <w:rPr>
          <w:i/>
          <w:sz w:val="20"/>
          <w:lang w:val="fr-CA"/>
        </w:rPr>
      </w:pPr>
    </w:p>
    <w:p w:rsidR="00EF05A4" w:rsidRPr="00E95524" w:rsidRDefault="00EF05A4" w:rsidP="00EF05A4">
      <w:pPr>
        <w:pStyle w:val="SCCNormalDoubleSpacing"/>
        <w:spacing w:line="240" w:lineRule="auto"/>
        <w:rPr>
          <w:sz w:val="20"/>
          <w:lang w:val="fr-CA"/>
        </w:rPr>
      </w:pPr>
      <w:r w:rsidRPr="00E95524">
        <w:rPr>
          <w:i/>
          <w:sz w:val="20"/>
          <w:lang w:val="fr-CA"/>
        </w:rPr>
        <w:tab/>
        <w:t>Luke A. Craggs</w:t>
      </w:r>
      <w:r w:rsidRPr="00E95524">
        <w:rPr>
          <w:sz w:val="20"/>
          <w:lang w:val="fr-CA"/>
        </w:rPr>
        <w:t>, pour l’intimé.</w:t>
      </w:r>
    </w:p>
    <w:p w:rsidR="00EF05A4" w:rsidRDefault="00EF05A4" w:rsidP="00EF05A4">
      <w:pPr>
        <w:pStyle w:val="SCCNormalDoubleSpacing"/>
        <w:spacing w:line="240" w:lineRule="auto"/>
        <w:rPr>
          <w:i/>
          <w:sz w:val="20"/>
          <w:lang w:val="fr-CA"/>
        </w:rPr>
      </w:pPr>
    </w:p>
    <w:p w:rsidR="00EF05A4" w:rsidRPr="00E95524" w:rsidRDefault="00EF05A4" w:rsidP="00EF05A4">
      <w:pPr>
        <w:pStyle w:val="SCCNormalDoubleSpacing"/>
        <w:spacing w:line="240" w:lineRule="auto"/>
        <w:rPr>
          <w:sz w:val="20"/>
          <w:lang w:val="fr-CA"/>
        </w:rPr>
      </w:pPr>
      <w:r w:rsidRPr="00E95524">
        <w:rPr>
          <w:i/>
          <w:sz w:val="20"/>
          <w:lang w:val="fr-CA"/>
        </w:rPr>
        <w:tab/>
        <w:t>Ingrid Grant</w:t>
      </w:r>
      <w:r w:rsidRPr="00E95524">
        <w:rPr>
          <w:sz w:val="20"/>
          <w:lang w:val="fr-CA"/>
        </w:rPr>
        <w:t>, pour l’intervenante Criminal Lawyers’ Association of Ontario.</w:t>
      </w:r>
    </w:p>
    <w:p w:rsidR="00EF05A4" w:rsidRDefault="00EF05A4" w:rsidP="00EF05A4">
      <w:pPr>
        <w:pStyle w:val="SCCNormalDoubleSpacing"/>
        <w:spacing w:line="240" w:lineRule="auto"/>
        <w:rPr>
          <w:i/>
          <w:sz w:val="20"/>
          <w:lang w:val="fr-CA"/>
        </w:rPr>
      </w:pPr>
    </w:p>
    <w:p w:rsidR="00EF05A4" w:rsidRPr="00E95524" w:rsidRDefault="00EF05A4" w:rsidP="00EF05A4">
      <w:pPr>
        <w:pStyle w:val="SCCNormalDoubleSpacing"/>
        <w:spacing w:line="240" w:lineRule="auto"/>
        <w:rPr>
          <w:sz w:val="20"/>
          <w:lang w:val="fr-CA"/>
        </w:rPr>
      </w:pPr>
      <w:r w:rsidRPr="00E95524">
        <w:rPr>
          <w:i/>
          <w:sz w:val="20"/>
          <w:lang w:val="fr-CA"/>
        </w:rPr>
        <w:tab/>
        <w:t>Ryan D. W. Dalziel</w:t>
      </w:r>
      <w:r w:rsidRPr="00E95524">
        <w:rPr>
          <w:sz w:val="20"/>
          <w:lang w:val="fr-CA"/>
        </w:rPr>
        <w:t xml:space="preserve"> et </w:t>
      </w:r>
      <w:r w:rsidRPr="00E95524">
        <w:rPr>
          <w:i/>
          <w:sz w:val="20"/>
          <w:lang w:val="fr-CA"/>
        </w:rPr>
        <w:t>Anne Amos</w:t>
      </w:r>
      <w:r w:rsidRPr="00E95524">
        <w:rPr>
          <w:i/>
          <w:sz w:val="20"/>
          <w:lang w:val="fr-CA"/>
        </w:rPr>
        <w:noBreakHyphen/>
        <w:t>Stewart</w:t>
      </w:r>
      <w:r w:rsidRPr="00E95524">
        <w:rPr>
          <w:sz w:val="20"/>
          <w:lang w:val="fr-CA"/>
        </w:rPr>
        <w:t>, pour l’intervenante l’Association de libertés civiles de la Colombie</w:t>
      </w:r>
      <w:r w:rsidRPr="00E95524">
        <w:rPr>
          <w:sz w:val="20"/>
          <w:lang w:val="fr-CA"/>
        </w:rPr>
        <w:noBreakHyphen/>
        <w:t>Britannique.</w:t>
      </w:r>
    </w:p>
    <w:p w:rsidR="00EF05A4" w:rsidRDefault="00EF05A4" w:rsidP="00EF05A4">
      <w:pPr>
        <w:pStyle w:val="SCCLawFirm"/>
        <w:spacing w:line="240" w:lineRule="auto"/>
        <w:rPr>
          <w:sz w:val="20"/>
          <w:lang w:val="fr-CA"/>
        </w:rPr>
      </w:pPr>
    </w:p>
    <w:p w:rsidR="00EF05A4" w:rsidRPr="00E95524" w:rsidRDefault="00EF05A4" w:rsidP="00EF05A4">
      <w:pPr>
        <w:pStyle w:val="SCCLawFirm"/>
        <w:spacing w:line="240" w:lineRule="auto"/>
        <w:rPr>
          <w:sz w:val="20"/>
          <w:lang w:val="fr-CA"/>
        </w:rPr>
      </w:pPr>
      <w:r w:rsidRPr="00E95524">
        <w:rPr>
          <w:sz w:val="20"/>
          <w:lang w:val="fr-CA"/>
        </w:rPr>
        <w:tab/>
        <w:t>Procureur de l’appelante : Service des poursuites pénales du Canada, Halifax.</w:t>
      </w:r>
    </w:p>
    <w:p w:rsidR="00EF05A4" w:rsidRDefault="00EF05A4" w:rsidP="00EF05A4">
      <w:pPr>
        <w:pStyle w:val="SCCLawFirm"/>
        <w:spacing w:line="240" w:lineRule="auto"/>
        <w:rPr>
          <w:sz w:val="20"/>
          <w:lang w:val="fr-CA"/>
        </w:rPr>
      </w:pPr>
    </w:p>
    <w:p w:rsidR="00EF05A4" w:rsidRPr="00E95524" w:rsidRDefault="00EF05A4" w:rsidP="00EF05A4">
      <w:pPr>
        <w:pStyle w:val="SCCLawFirm"/>
        <w:spacing w:line="240" w:lineRule="auto"/>
        <w:rPr>
          <w:sz w:val="20"/>
          <w:lang w:val="fr-CA"/>
        </w:rPr>
      </w:pPr>
      <w:r w:rsidRPr="00E95524">
        <w:rPr>
          <w:sz w:val="20"/>
          <w:lang w:val="fr-CA"/>
        </w:rPr>
        <w:tab/>
        <w:t>Procureurs de l’intimé : Burke Thompson, Halifax.</w:t>
      </w:r>
    </w:p>
    <w:p w:rsidR="00EF05A4" w:rsidRDefault="00EF05A4" w:rsidP="00EF05A4">
      <w:pPr>
        <w:pStyle w:val="SCCLawFirm"/>
        <w:spacing w:line="240" w:lineRule="auto"/>
        <w:rPr>
          <w:sz w:val="20"/>
          <w:lang w:val="fr-CA"/>
        </w:rPr>
      </w:pPr>
    </w:p>
    <w:p w:rsidR="00EF05A4" w:rsidRPr="00E95524" w:rsidRDefault="00EF05A4" w:rsidP="00EF05A4">
      <w:pPr>
        <w:pStyle w:val="SCCLawFirm"/>
        <w:spacing w:line="240" w:lineRule="auto"/>
        <w:rPr>
          <w:sz w:val="20"/>
          <w:lang w:val="fr-CA"/>
        </w:rPr>
      </w:pPr>
      <w:r w:rsidRPr="00E95524">
        <w:rPr>
          <w:sz w:val="20"/>
          <w:lang w:val="fr-CA"/>
        </w:rPr>
        <w:tab/>
        <w:t>Procureurs de l’intervenante Criminal Lawyers’ Association of Ontario : Russell Silverstein &amp; Associate, Toronto.</w:t>
      </w:r>
    </w:p>
    <w:p w:rsidR="00EF05A4" w:rsidRDefault="00EF05A4" w:rsidP="00EF05A4">
      <w:pPr>
        <w:pStyle w:val="SCCLawFirm"/>
        <w:spacing w:line="240" w:lineRule="auto"/>
        <w:rPr>
          <w:sz w:val="20"/>
          <w:lang w:val="fr-CA"/>
        </w:rPr>
      </w:pPr>
    </w:p>
    <w:p w:rsidR="00EF05A4" w:rsidRDefault="00EF05A4" w:rsidP="00EF05A4">
      <w:pPr>
        <w:pStyle w:val="SCCLawFirm"/>
        <w:spacing w:line="240" w:lineRule="auto"/>
        <w:rPr>
          <w:sz w:val="20"/>
          <w:lang w:val="fr-CA"/>
        </w:rPr>
      </w:pPr>
      <w:r w:rsidRPr="00E95524">
        <w:rPr>
          <w:sz w:val="20"/>
          <w:lang w:val="fr-CA"/>
        </w:rPr>
        <w:tab/>
        <w:t>Procureurs de l’intervenante l’Association des libertés civiles de la Colombie</w:t>
      </w:r>
      <w:r w:rsidRPr="00E95524">
        <w:rPr>
          <w:sz w:val="20"/>
          <w:lang w:val="fr-CA"/>
        </w:rPr>
        <w:noBreakHyphen/>
        <w:t>Britannique : Bull, Housser &amp; Tupper, Vancouver.</w:t>
      </w:r>
    </w:p>
    <w:p w:rsidR="00902E51" w:rsidRPr="00352A49" w:rsidRDefault="00902E51" w:rsidP="00902E51">
      <w:pPr>
        <w:rPr>
          <w:sz w:val="20"/>
          <w:szCs w:val="20"/>
          <w:lang w:val="fr-CA"/>
        </w:rPr>
      </w:pPr>
    </w:p>
    <w:p w:rsidR="00902E51" w:rsidRDefault="00BF31AA" w:rsidP="00902E51">
      <w:pPr>
        <w:rPr>
          <w:rFonts w:cs="Times New Roman"/>
          <w:sz w:val="20"/>
          <w:szCs w:val="20"/>
          <w:lang w:val="fr-CA"/>
        </w:rPr>
      </w:pPr>
      <w:r>
        <w:rPr>
          <w:rFonts w:cs="Times New Roman"/>
          <w:sz w:val="20"/>
          <w:szCs w:val="20"/>
          <w:lang w:val="fr-CA"/>
        </w:rPr>
        <w:pict>
          <v:rect id="_x0000_i1076" style="width:144.3pt;height:1pt" o:hrpct="300" o:hralign="center" o:hrstd="t" o:hrnoshade="t" o:hr="t" fillcolor="black [3213]" stroked="f"/>
        </w:pict>
      </w:r>
    </w:p>
    <w:p w:rsidR="00DB6FFE" w:rsidRDefault="00DB6FFE">
      <w:pPr>
        <w:rPr>
          <w:sz w:val="20"/>
          <w:szCs w:val="20"/>
        </w:rPr>
      </w:pPr>
      <w:r>
        <w:rPr>
          <w:sz w:val="20"/>
          <w:szCs w:val="20"/>
        </w:rPr>
        <w:br w:type="page"/>
      </w:r>
    </w:p>
    <w:p w:rsidR="00DB6FFE" w:rsidRPr="00FC7235" w:rsidRDefault="00DB6FFE" w:rsidP="00DB6FFE">
      <w:pPr>
        <w:ind w:left="720" w:hanging="720"/>
        <w:rPr>
          <w:sz w:val="20"/>
          <w:szCs w:val="20"/>
        </w:rPr>
      </w:pPr>
      <w:r w:rsidRPr="00FC7235">
        <w:rPr>
          <w:i/>
          <w:sz w:val="20"/>
          <w:szCs w:val="20"/>
        </w:rPr>
        <w:lastRenderedPageBreak/>
        <w:t>Calvin Clarke v. Her Majesty the Queen</w:t>
      </w:r>
      <w:r w:rsidRPr="00FC7235">
        <w:rPr>
          <w:sz w:val="20"/>
          <w:szCs w:val="20"/>
        </w:rPr>
        <w:t xml:space="preserve"> (Ont.) (</w:t>
      </w:r>
      <w:hyperlink r:id="rId83" w:history="1">
        <w:r w:rsidRPr="00FC7235">
          <w:rPr>
            <w:rStyle w:val="Hyperlink"/>
            <w:sz w:val="20"/>
            <w:szCs w:val="20"/>
          </w:rPr>
          <w:t>35487</w:t>
        </w:r>
      </w:hyperlink>
      <w:r w:rsidRPr="00FC7235">
        <w:rPr>
          <w:sz w:val="20"/>
          <w:szCs w:val="20"/>
        </w:rPr>
        <w:t>)</w:t>
      </w:r>
    </w:p>
    <w:p w:rsidR="008E5800" w:rsidRPr="007B6A19" w:rsidRDefault="008E5800" w:rsidP="008E5800">
      <w:pPr>
        <w:jc w:val="both"/>
        <w:rPr>
          <w:b/>
          <w:sz w:val="20"/>
          <w:szCs w:val="20"/>
        </w:rPr>
      </w:pPr>
      <w:r w:rsidRPr="007B6A19">
        <w:rPr>
          <w:b/>
          <w:sz w:val="20"/>
          <w:szCs w:val="20"/>
        </w:rPr>
        <w:t xml:space="preserve">Indexed as:  R. </w:t>
      </w:r>
      <w:r w:rsidRPr="007B6A19">
        <w:rPr>
          <w:b/>
          <w:i/>
          <w:sz w:val="20"/>
          <w:szCs w:val="20"/>
        </w:rPr>
        <w:t>v.</w:t>
      </w:r>
      <w:r w:rsidRPr="007B6A19">
        <w:rPr>
          <w:b/>
          <w:sz w:val="20"/>
          <w:szCs w:val="20"/>
        </w:rPr>
        <w:t xml:space="preserve"> </w:t>
      </w:r>
      <w:r w:rsidRPr="00BF31AA">
        <w:rPr>
          <w:rStyle w:val="SCCAppellantForIndexChar"/>
          <w:rFonts w:eastAsiaTheme="minorHAnsi"/>
          <w:sz w:val="20"/>
          <w:lang w:val="en-US"/>
        </w:rPr>
        <w:t xml:space="preserve">Clarke / </w:t>
      </w:r>
      <w:r w:rsidRPr="00BF31AA">
        <w:rPr>
          <w:b/>
          <w:sz w:val="20"/>
          <w:szCs w:val="20"/>
          <w:lang w:val="en-US"/>
        </w:rPr>
        <w:t xml:space="preserve">Répertorié : R. </w:t>
      </w:r>
      <w:r w:rsidRPr="00BF31AA">
        <w:rPr>
          <w:b/>
          <w:i/>
          <w:sz w:val="20"/>
          <w:szCs w:val="20"/>
          <w:lang w:val="en-US"/>
        </w:rPr>
        <w:t>c.</w:t>
      </w:r>
      <w:r w:rsidRPr="00BF31AA">
        <w:rPr>
          <w:b/>
          <w:sz w:val="20"/>
          <w:szCs w:val="20"/>
          <w:lang w:val="en-US"/>
        </w:rPr>
        <w:t xml:space="preserve"> </w:t>
      </w:r>
      <w:r w:rsidRPr="00BF31AA">
        <w:rPr>
          <w:rStyle w:val="SCCAppellantForIndexChar"/>
          <w:rFonts w:eastAsiaTheme="minorHAnsi"/>
          <w:sz w:val="20"/>
          <w:lang w:val="en-US"/>
        </w:rPr>
        <w:t>Clarke</w:t>
      </w:r>
    </w:p>
    <w:p w:rsidR="00DB6FFE" w:rsidRPr="00BF31AA" w:rsidRDefault="00DB6FFE" w:rsidP="00DB6FFE">
      <w:pPr>
        <w:pStyle w:val="SCCSystemYear"/>
        <w:jc w:val="both"/>
        <w:rPr>
          <w:sz w:val="20"/>
          <w:lang w:val="en-US"/>
        </w:rPr>
      </w:pPr>
      <w:r w:rsidRPr="00BF31AA">
        <w:rPr>
          <w:sz w:val="20"/>
          <w:lang w:val="en-US"/>
        </w:rPr>
        <w:t>Neutral citation:  2014 SCC 28 / Référence neutre : 2014 CSC 28</w:t>
      </w:r>
    </w:p>
    <w:p w:rsidR="00DB6FFE" w:rsidRPr="00BF31AA" w:rsidRDefault="00DB6FFE" w:rsidP="00DB6FFE">
      <w:pPr>
        <w:rPr>
          <w:sz w:val="20"/>
          <w:szCs w:val="20"/>
          <w:lang w:val="en-US"/>
        </w:rPr>
      </w:pPr>
      <w:r w:rsidRPr="00BF31AA">
        <w:rPr>
          <w:sz w:val="20"/>
          <w:szCs w:val="20"/>
          <w:lang w:val="en-US"/>
        </w:rPr>
        <w:t xml:space="preserve">Hearing:  </w:t>
      </w:r>
      <w:r w:rsidR="008E5800" w:rsidRPr="00BF31AA">
        <w:rPr>
          <w:sz w:val="20"/>
          <w:szCs w:val="20"/>
          <w:lang w:val="en-US"/>
        </w:rPr>
        <w:t>Janua</w:t>
      </w:r>
      <w:r w:rsidRPr="00BF31AA">
        <w:rPr>
          <w:sz w:val="20"/>
          <w:szCs w:val="20"/>
          <w:lang w:val="en-US"/>
        </w:rPr>
        <w:t>r</w:t>
      </w:r>
      <w:r w:rsidR="008E5800" w:rsidRPr="00BF31AA">
        <w:rPr>
          <w:sz w:val="20"/>
          <w:szCs w:val="20"/>
          <w:lang w:val="en-US"/>
        </w:rPr>
        <w:t>y</w:t>
      </w:r>
      <w:r w:rsidRPr="00BF31AA">
        <w:rPr>
          <w:sz w:val="20"/>
          <w:szCs w:val="20"/>
          <w:lang w:val="en-US"/>
        </w:rPr>
        <w:t xml:space="preserve"> 2</w:t>
      </w:r>
      <w:r w:rsidR="008E5800" w:rsidRPr="00BF31AA">
        <w:rPr>
          <w:sz w:val="20"/>
          <w:szCs w:val="20"/>
          <w:lang w:val="en-US"/>
        </w:rPr>
        <w:t>4</w:t>
      </w:r>
      <w:r w:rsidRPr="00BF31AA">
        <w:rPr>
          <w:sz w:val="20"/>
          <w:szCs w:val="20"/>
          <w:lang w:val="en-US"/>
        </w:rPr>
        <w:t>, 201</w:t>
      </w:r>
      <w:r w:rsidR="008E5800" w:rsidRPr="00BF31AA">
        <w:rPr>
          <w:sz w:val="20"/>
          <w:szCs w:val="20"/>
          <w:lang w:val="en-US"/>
        </w:rPr>
        <w:t>4</w:t>
      </w:r>
      <w:r w:rsidRPr="00BF31AA">
        <w:rPr>
          <w:sz w:val="20"/>
          <w:szCs w:val="20"/>
          <w:lang w:val="en-US"/>
        </w:rPr>
        <w:t xml:space="preserve"> / Judgment:  April 11, 2014</w:t>
      </w:r>
    </w:p>
    <w:p w:rsidR="00DB6FFE" w:rsidRPr="003B3977" w:rsidRDefault="00DB6FFE" w:rsidP="00DB6FFE">
      <w:pPr>
        <w:rPr>
          <w:sz w:val="20"/>
          <w:szCs w:val="20"/>
          <w:lang w:val="fr-CA"/>
        </w:rPr>
      </w:pPr>
      <w:r w:rsidRPr="003B3977">
        <w:rPr>
          <w:sz w:val="20"/>
          <w:szCs w:val="20"/>
          <w:lang w:val="fr-CA"/>
        </w:rPr>
        <w:t>Audition : Le 2</w:t>
      </w:r>
      <w:r w:rsidR="008E5800">
        <w:rPr>
          <w:sz w:val="20"/>
          <w:szCs w:val="20"/>
          <w:lang w:val="fr-CA"/>
        </w:rPr>
        <w:t>4 j</w:t>
      </w:r>
      <w:r w:rsidRPr="003B3977">
        <w:rPr>
          <w:sz w:val="20"/>
          <w:szCs w:val="20"/>
          <w:lang w:val="fr-CA"/>
        </w:rPr>
        <w:t>a</w:t>
      </w:r>
      <w:r w:rsidR="008E5800">
        <w:rPr>
          <w:sz w:val="20"/>
          <w:szCs w:val="20"/>
          <w:lang w:val="fr-CA"/>
        </w:rPr>
        <w:t>nvie</w:t>
      </w:r>
      <w:r>
        <w:rPr>
          <w:sz w:val="20"/>
          <w:szCs w:val="20"/>
          <w:lang w:val="fr-CA"/>
        </w:rPr>
        <w:t>r</w:t>
      </w:r>
      <w:r w:rsidRPr="003B3977">
        <w:rPr>
          <w:sz w:val="20"/>
          <w:szCs w:val="20"/>
          <w:lang w:val="fr-CA"/>
        </w:rPr>
        <w:t xml:space="preserve"> 201</w:t>
      </w:r>
      <w:r w:rsidR="008E5800">
        <w:rPr>
          <w:sz w:val="20"/>
          <w:szCs w:val="20"/>
          <w:lang w:val="fr-CA"/>
        </w:rPr>
        <w:t>4</w:t>
      </w:r>
      <w:r w:rsidRPr="003B3977">
        <w:rPr>
          <w:sz w:val="20"/>
          <w:szCs w:val="20"/>
          <w:lang w:val="fr-CA"/>
        </w:rPr>
        <w:t xml:space="preserve"> / Jugement : Le </w:t>
      </w:r>
      <w:r>
        <w:rPr>
          <w:sz w:val="20"/>
          <w:szCs w:val="20"/>
          <w:lang w:val="fr-CA"/>
        </w:rPr>
        <w:t>11 avril</w:t>
      </w:r>
      <w:r w:rsidRPr="003B3977">
        <w:rPr>
          <w:sz w:val="20"/>
          <w:szCs w:val="20"/>
          <w:lang w:val="fr-CA"/>
        </w:rPr>
        <w:t xml:space="preserve"> 201</w:t>
      </w:r>
      <w:r>
        <w:rPr>
          <w:sz w:val="20"/>
          <w:szCs w:val="20"/>
          <w:lang w:val="fr-CA"/>
        </w:rPr>
        <w:t>4</w:t>
      </w:r>
    </w:p>
    <w:p w:rsidR="00DB6FFE" w:rsidRPr="003B3977" w:rsidRDefault="00BF31AA" w:rsidP="00DB6FFE">
      <w:pPr>
        <w:rPr>
          <w:sz w:val="20"/>
          <w:szCs w:val="20"/>
          <w:lang w:val="fr-CA"/>
        </w:rPr>
      </w:pPr>
      <w:r>
        <w:rPr>
          <w:i/>
          <w:sz w:val="20"/>
          <w:szCs w:val="20"/>
        </w:rPr>
        <w:pict>
          <v:rect id="_x0000_i1077" style="width:480.95pt;height:1pt" o:hralign="center" o:hrstd="t" o:hrnoshade="t" o:hr="t" fillcolor="black [3213]" stroked="f"/>
        </w:pict>
      </w:r>
    </w:p>
    <w:p w:rsidR="00DB6FFE" w:rsidRPr="003B3977" w:rsidRDefault="00DB6FFE" w:rsidP="00DB6FFE">
      <w:pPr>
        <w:spacing w:line="0" w:lineRule="atLeast"/>
        <w:rPr>
          <w:sz w:val="20"/>
          <w:szCs w:val="20"/>
          <w:lang w:val="fr-CA"/>
        </w:rPr>
      </w:pPr>
    </w:p>
    <w:p w:rsidR="008E5800" w:rsidRPr="007B6A19" w:rsidRDefault="008E5800" w:rsidP="008E5800">
      <w:pPr>
        <w:jc w:val="both"/>
        <w:rPr>
          <w:sz w:val="20"/>
          <w:szCs w:val="20"/>
        </w:rPr>
      </w:pPr>
      <w:r w:rsidRPr="007B6A19">
        <w:rPr>
          <w:sz w:val="20"/>
          <w:szCs w:val="20"/>
        </w:rPr>
        <w:t>Present:  McLachlin C.J. and LeBel, Abella, Rothstein, Cromwell, Karakatsanis and Wagner JJ.</w:t>
      </w:r>
    </w:p>
    <w:p w:rsidR="008E5800" w:rsidRDefault="008E5800" w:rsidP="008E5800">
      <w:pPr>
        <w:pStyle w:val="SCCLowerCourtNameLowercase"/>
        <w:spacing w:line="240" w:lineRule="auto"/>
        <w:rPr>
          <w:sz w:val="20"/>
        </w:rPr>
      </w:pPr>
    </w:p>
    <w:p w:rsidR="008E5800" w:rsidRPr="007B6A19" w:rsidRDefault="008E5800" w:rsidP="008E5800">
      <w:pPr>
        <w:pStyle w:val="SCCNormalDoubleSpacing"/>
        <w:spacing w:line="240" w:lineRule="auto"/>
        <w:rPr>
          <w:i/>
          <w:sz w:val="20"/>
        </w:rPr>
      </w:pPr>
      <w:r w:rsidRPr="007B6A19">
        <w:rPr>
          <w:sz w:val="20"/>
        </w:rPr>
        <w:tab/>
      </w:r>
      <w:r w:rsidRPr="007B6A19">
        <w:rPr>
          <w:i/>
          <w:sz w:val="20"/>
        </w:rPr>
        <w:t>Criminal law — Sentencing — Legislation — Interpretation — Truth in Sentencing Act providing that changes to how much credit given for pre</w:t>
      </w:r>
      <w:r w:rsidRPr="007B6A19">
        <w:rPr>
          <w:i/>
          <w:sz w:val="20"/>
        </w:rPr>
        <w:noBreakHyphen/>
        <w:t xml:space="preserve">sentence custody “apply only to persons charged after” Act came into force — Accused committed offences before Truth in Sentencing Act came into force, but charged after Act came into force — Whether s. 5 of Truth in Sentencing Act applies only to offenders charged after amendments have come into force regardless of when offences were committed — Truth in Sentencing Act, S.C. 2009, c. 29, s. 5. </w:t>
      </w:r>
    </w:p>
    <w:p w:rsidR="008E5800" w:rsidRDefault="008E5800" w:rsidP="008E5800">
      <w:pPr>
        <w:pStyle w:val="SCCNormalDoubleSpacing"/>
        <w:spacing w:line="240" w:lineRule="auto"/>
        <w:rPr>
          <w:sz w:val="20"/>
        </w:rPr>
      </w:pPr>
    </w:p>
    <w:p w:rsidR="008E5800" w:rsidRPr="007B6A19" w:rsidRDefault="008E5800" w:rsidP="008E5800">
      <w:pPr>
        <w:pStyle w:val="SCCNormalDoubleSpacing"/>
        <w:spacing w:line="240" w:lineRule="auto"/>
        <w:rPr>
          <w:sz w:val="20"/>
        </w:rPr>
      </w:pPr>
      <w:r w:rsidRPr="007B6A19">
        <w:rPr>
          <w:sz w:val="20"/>
        </w:rPr>
        <w:tab/>
        <w:t xml:space="preserve">Section 5 of the </w:t>
      </w:r>
      <w:r w:rsidRPr="007B6A19">
        <w:rPr>
          <w:i/>
          <w:sz w:val="20"/>
        </w:rPr>
        <w:t>Truth in Sentencing Act</w:t>
      </w:r>
      <w:r w:rsidRPr="007B6A19">
        <w:rPr>
          <w:sz w:val="20"/>
        </w:rPr>
        <w:t xml:space="preserve"> states that the caps on how much credit should be given for pre</w:t>
      </w:r>
      <w:r w:rsidRPr="007B6A19">
        <w:rPr>
          <w:sz w:val="20"/>
        </w:rPr>
        <w:noBreakHyphen/>
        <w:t xml:space="preserve">sentence custody “apply only to persons charged after” the </w:t>
      </w:r>
      <w:r w:rsidRPr="007B6A19">
        <w:rPr>
          <w:i/>
          <w:sz w:val="20"/>
        </w:rPr>
        <w:t>Act</w:t>
      </w:r>
      <w:r w:rsidRPr="007B6A19">
        <w:rPr>
          <w:sz w:val="20"/>
        </w:rPr>
        <w:t xml:space="preserve"> came into force.  The accused committed the offences for which he was convicted before the </w:t>
      </w:r>
      <w:r w:rsidRPr="007B6A19">
        <w:rPr>
          <w:i/>
          <w:sz w:val="20"/>
        </w:rPr>
        <w:t>Act</w:t>
      </w:r>
      <w:r w:rsidRPr="007B6A19">
        <w:rPr>
          <w:sz w:val="20"/>
        </w:rPr>
        <w:t xml:space="preserve"> came into force but he was charged after the </w:t>
      </w:r>
      <w:r w:rsidRPr="007B6A19">
        <w:rPr>
          <w:i/>
          <w:sz w:val="20"/>
        </w:rPr>
        <w:t>Act</w:t>
      </w:r>
      <w:r w:rsidRPr="007B6A19">
        <w:rPr>
          <w:sz w:val="20"/>
        </w:rPr>
        <w:t xml:space="preserve"> came into force.  He argued that since he committed the offences before the </w:t>
      </w:r>
      <w:r w:rsidRPr="007B6A19">
        <w:rPr>
          <w:i/>
          <w:sz w:val="20"/>
        </w:rPr>
        <w:t>Act</w:t>
      </w:r>
      <w:r w:rsidRPr="007B6A19">
        <w:rPr>
          <w:sz w:val="20"/>
        </w:rPr>
        <w:t xml:space="preserve"> came into force, the caps did not apply to him.  He did not challenge the constitutionality of the provision.  The trial judge and the Court of Appeal held that the impugned provision unambiguously applied.</w:t>
      </w:r>
    </w:p>
    <w:p w:rsidR="008E5800" w:rsidRDefault="008E5800" w:rsidP="008E5800">
      <w:pPr>
        <w:pStyle w:val="SCCNormalDoubleSpacing"/>
        <w:spacing w:line="240" w:lineRule="auto"/>
        <w:rPr>
          <w:sz w:val="20"/>
        </w:rPr>
      </w:pPr>
    </w:p>
    <w:p w:rsidR="008E5800" w:rsidRPr="007B6A19" w:rsidRDefault="008E5800" w:rsidP="008E5800">
      <w:pPr>
        <w:pStyle w:val="SCCNormalDoubleSpacing"/>
        <w:spacing w:line="240" w:lineRule="auto"/>
        <w:rPr>
          <w:sz w:val="20"/>
        </w:rPr>
      </w:pPr>
      <w:r w:rsidRPr="007B6A19">
        <w:rPr>
          <w:sz w:val="20"/>
        </w:rPr>
        <w:tab/>
      </w:r>
      <w:r w:rsidRPr="007B6A19">
        <w:rPr>
          <w:i/>
          <w:sz w:val="20"/>
        </w:rPr>
        <w:t>Held</w:t>
      </w:r>
      <w:r w:rsidRPr="007B6A19">
        <w:rPr>
          <w:sz w:val="20"/>
        </w:rPr>
        <w:t>:  The appeal should be dismissed.</w:t>
      </w:r>
    </w:p>
    <w:p w:rsidR="008E5800" w:rsidRDefault="008E5800" w:rsidP="008E5800">
      <w:pPr>
        <w:pStyle w:val="SCCNormalDoubleSpacing"/>
        <w:spacing w:line="240" w:lineRule="auto"/>
        <w:rPr>
          <w:sz w:val="20"/>
        </w:rPr>
      </w:pPr>
    </w:p>
    <w:p w:rsidR="008E5800" w:rsidRPr="007B6A19" w:rsidRDefault="008E5800" w:rsidP="008E5800">
      <w:pPr>
        <w:pStyle w:val="SCCNormalDoubleSpacing"/>
        <w:spacing w:line="240" w:lineRule="auto"/>
        <w:rPr>
          <w:sz w:val="20"/>
        </w:rPr>
      </w:pPr>
      <w:r w:rsidRPr="007B6A19">
        <w:rPr>
          <w:sz w:val="20"/>
        </w:rPr>
        <w:tab/>
        <w:t xml:space="preserve">While it is true that new sentencing legislation is presumed not to apply retrospectively, in the absence of a constitutional challenge the presumption can be displaced by a clear legislative direction that a provision is to apply retrospectively.  In this case, the language used in s. 5 of the </w:t>
      </w:r>
      <w:r w:rsidRPr="007B6A19">
        <w:rPr>
          <w:i/>
          <w:sz w:val="20"/>
        </w:rPr>
        <w:t>Truth in Sentencing Act</w:t>
      </w:r>
      <w:r w:rsidRPr="007B6A19">
        <w:rPr>
          <w:sz w:val="20"/>
        </w:rPr>
        <w:t xml:space="preserve"> is unambiguous.  In the absence of ambiguity the court must give effect to the clearly expressed legislative intent.  The application of the interpretive assistance of </w:t>
      </w:r>
      <w:r w:rsidRPr="007B6A19">
        <w:rPr>
          <w:i/>
          <w:sz w:val="20"/>
        </w:rPr>
        <w:t xml:space="preserve">Charter </w:t>
      </w:r>
      <w:r w:rsidRPr="007B6A19">
        <w:rPr>
          <w:sz w:val="20"/>
        </w:rPr>
        <w:t xml:space="preserve">values is precluded by this absence of ambiguity.  Section 5 states clearly that the new provisions apply to persons charged after the </w:t>
      </w:r>
      <w:r w:rsidRPr="007B6A19">
        <w:rPr>
          <w:i/>
          <w:sz w:val="20"/>
        </w:rPr>
        <w:t>Truth in Sentencing Act</w:t>
      </w:r>
      <w:r w:rsidRPr="007B6A19">
        <w:rPr>
          <w:sz w:val="20"/>
        </w:rPr>
        <w:t xml:space="preserve"> came into force.  The only triggering event is when the person was charged, regardless of when the offences were committed.  The presumption is therefore rebutted. </w:t>
      </w:r>
    </w:p>
    <w:p w:rsidR="008E5800" w:rsidRDefault="008E5800" w:rsidP="008E5800">
      <w:pPr>
        <w:pStyle w:val="SCCNormalDoubleSpacing"/>
        <w:spacing w:line="240" w:lineRule="auto"/>
        <w:rPr>
          <w:sz w:val="20"/>
        </w:rPr>
      </w:pPr>
    </w:p>
    <w:p w:rsidR="008E5800" w:rsidRDefault="008E5800" w:rsidP="008E5800">
      <w:pPr>
        <w:pStyle w:val="SCCNormalDoubleSpacing"/>
        <w:spacing w:line="240" w:lineRule="auto"/>
        <w:rPr>
          <w:sz w:val="20"/>
        </w:rPr>
      </w:pPr>
      <w:r w:rsidRPr="007B6A19">
        <w:rPr>
          <w:sz w:val="20"/>
        </w:rPr>
        <w:tab/>
        <w:t xml:space="preserve">In this case, the accused was charged after the </w:t>
      </w:r>
      <w:r w:rsidRPr="007B6A19">
        <w:rPr>
          <w:i/>
          <w:sz w:val="20"/>
        </w:rPr>
        <w:t>Truth in Sentencing Act</w:t>
      </w:r>
      <w:r w:rsidRPr="007B6A19">
        <w:rPr>
          <w:sz w:val="20"/>
        </w:rPr>
        <w:t xml:space="preserve"> came into force.  He was therefore subject to the credit limits for pre</w:t>
      </w:r>
      <w:r w:rsidRPr="007B6A19">
        <w:rPr>
          <w:sz w:val="20"/>
        </w:rPr>
        <w:noBreakHyphen/>
        <w:t>sentence custody in accordance with s. 5.</w:t>
      </w:r>
    </w:p>
    <w:p w:rsidR="008E5800" w:rsidRDefault="008E5800" w:rsidP="008E5800">
      <w:pPr>
        <w:pStyle w:val="SCCNormalDoubleSpacing"/>
        <w:spacing w:line="240" w:lineRule="auto"/>
        <w:rPr>
          <w:sz w:val="20"/>
        </w:rPr>
      </w:pPr>
    </w:p>
    <w:p w:rsidR="008E5800" w:rsidRPr="007B6A19" w:rsidRDefault="008E5800" w:rsidP="008E5800">
      <w:pPr>
        <w:pStyle w:val="SCCNormalDoubleSpacing"/>
        <w:spacing w:line="240" w:lineRule="auto"/>
        <w:rPr>
          <w:sz w:val="20"/>
        </w:rPr>
      </w:pPr>
      <w:r w:rsidRPr="007B6A19">
        <w:rPr>
          <w:sz w:val="20"/>
        </w:rPr>
        <w:tab/>
        <w:t>APPEAL from a judgment of the Ontario Court of Appeal (Laskin, Goudge and Gillese JJ.A.), 2013 ONCA 7, 115 O.R. (3d) 75, 302 O.A.C. 40, 293 C.C.C. (3d) 369, 274 C.R.R. (2d) 370, [2013] O.J. No. 94 (QL), 2013 CarswellOnt 263, affirming the sentencing decision of O’Donnell J.  Appeal dismissed.</w:t>
      </w:r>
    </w:p>
    <w:p w:rsidR="008E5800" w:rsidRDefault="008E5800" w:rsidP="008E5800">
      <w:pPr>
        <w:pStyle w:val="SCCNormalDoubleSpacing"/>
        <w:spacing w:line="240" w:lineRule="auto"/>
        <w:rPr>
          <w:rStyle w:val="SCCCounselNameChar"/>
          <w:sz w:val="20"/>
        </w:rPr>
      </w:pPr>
    </w:p>
    <w:p w:rsidR="008E5800" w:rsidRPr="007B6A19" w:rsidRDefault="008E5800" w:rsidP="008E5800">
      <w:pPr>
        <w:pStyle w:val="SCCNormalDoubleSpacing"/>
        <w:spacing w:line="240" w:lineRule="auto"/>
        <w:rPr>
          <w:sz w:val="20"/>
        </w:rPr>
      </w:pPr>
      <w:r w:rsidRPr="007B6A19">
        <w:rPr>
          <w:rStyle w:val="SCCCounselNameChar"/>
          <w:sz w:val="20"/>
        </w:rPr>
        <w:tab/>
        <w:t>Diana Lumba</w:t>
      </w:r>
      <w:r w:rsidRPr="007B6A19">
        <w:rPr>
          <w:rStyle w:val="SCCCounselPartyRoleChar"/>
          <w:sz w:val="20"/>
        </w:rPr>
        <w:t>, for the appellant.</w:t>
      </w:r>
    </w:p>
    <w:p w:rsidR="008E5800" w:rsidRDefault="008E5800" w:rsidP="008E5800">
      <w:pPr>
        <w:pStyle w:val="SCCNormalDoubleSpacing"/>
        <w:spacing w:line="240" w:lineRule="auto"/>
        <w:rPr>
          <w:rStyle w:val="SCCCounselNameChar"/>
          <w:sz w:val="20"/>
        </w:rPr>
      </w:pPr>
    </w:p>
    <w:p w:rsidR="008E5800" w:rsidRPr="007B6A19" w:rsidRDefault="008E5800" w:rsidP="008E5800">
      <w:pPr>
        <w:pStyle w:val="SCCNormalDoubleSpacing"/>
        <w:spacing w:line="240" w:lineRule="auto"/>
        <w:rPr>
          <w:sz w:val="20"/>
        </w:rPr>
      </w:pPr>
      <w:r w:rsidRPr="007B6A19">
        <w:rPr>
          <w:rStyle w:val="SCCCounselNameChar"/>
          <w:sz w:val="20"/>
        </w:rPr>
        <w:tab/>
        <w:t>Mabel Lai</w:t>
      </w:r>
      <w:r w:rsidRPr="007B6A19">
        <w:rPr>
          <w:rStyle w:val="SCCCounselPartyRoleChar"/>
          <w:sz w:val="20"/>
        </w:rPr>
        <w:t>, for the respondent.</w:t>
      </w:r>
    </w:p>
    <w:p w:rsidR="008E5800" w:rsidRDefault="008E5800" w:rsidP="008E5800">
      <w:pPr>
        <w:pStyle w:val="SCCLawFirm"/>
        <w:spacing w:line="240" w:lineRule="auto"/>
        <w:rPr>
          <w:sz w:val="20"/>
        </w:rPr>
      </w:pPr>
    </w:p>
    <w:p w:rsidR="008E5800" w:rsidRPr="007B6A19" w:rsidRDefault="008E5800" w:rsidP="008E5800">
      <w:pPr>
        <w:pStyle w:val="SCCLawFirm"/>
        <w:spacing w:line="240" w:lineRule="auto"/>
        <w:rPr>
          <w:sz w:val="20"/>
        </w:rPr>
      </w:pPr>
      <w:r w:rsidRPr="007B6A19">
        <w:rPr>
          <w:sz w:val="20"/>
        </w:rPr>
        <w:tab/>
        <w:t>Solicitors for the appellant:  Lockyer Campbell Posner, Toronto.</w:t>
      </w:r>
    </w:p>
    <w:p w:rsidR="008E5800" w:rsidRDefault="008E5800" w:rsidP="008E5800">
      <w:pPr>
        <w:pStyle w:val="SCCLawFirm"/>
        <w:spacing w:line="240" w:lineRule="auto"/>
        <w:rPr>
          <w:sz w:val="20"/>
        </w:rPr>
      </w:pPr>
    </w:p>
    <w:p w:rsidR="008E5800" w:rsidRDefault="008E5800" w:rsidP="008E5800">
      <w:pPr>
        <w:pStyle w:val="SCCLawFirm"/>
        <w:spacing w:line="240" w:lineRule="auto"/>
        <w:rPr>
          <w:sz w:val="20"/>
        </w:rPr>
      </w:pPr>
      <w:r w:rsidRPr="007B6A19">
        <w:rPr>
          <w:sz w:val="20"/>
        </w:rPr>
        <w:tab/>
        <w:t>Solicitor for the respondent:  Attorney General of Ontario, Toronto.</w:t>
      </w:r>
    </w:p>
    <w:p w:rsidR="00DB6FFE" w:rsidRPr="008E5800" w:rsidRDefault="00DB6FFE" w:rsidP="00DB6FFE">
      <w:pPr>
        <w:rPr>
          <w:sz w:val="20"/>
          <w:szCs w:val="20"/>
          <w:lang w:val="fr-CA"/>
        </w:rPr>
      </w:pPr>
      <w:r w:rsidRPr="008E5800">
        <w:rPr>
          <w:sz w:val="20"/>
          <w:szCs w:val="20"/>
          <w:lang w:val="fr-CA"/>
        </w:rPr>
        <w:t>________________________</w:t>
      </w:r>
    </w:p>
    <w:p w:rsidR="00DB6FFE" w:rsidRPr="008E5800" w:rsidRDefault="00DB6FFE" w:rsidP="00DB6FFE">
      <w:pPr>
        <w:rPr>
          <w:sz w:val="20"/>
          <w:szCs w:val="20"/>
          <w:lang w:val="fr-CA"/>
        </w:rPr>
      </w:pPr>
    </w:p>
    <w:p w:rsidR="008E5800" w:rsidRPr="001040E8" w:rsidRDefault="008E5800" w:rsidP="008E5800">
      <w:pPr>
        <w:jc w:val="both"/>
        <w:rPr>
          <w:sz w:val="20"/>
          <w:szCs w:val="20"/>
          <w:lang w:val="fr-CA"/>
        </w:rPr>
      </w:pPr>
      <w:r w:rsidRPr="001040E8">
        <w:rPr>
          <w:sz w:val="20"/>
          <w:szCs w:val="20"/>
          <w:lang w:val="fr-CA"/>
        </w:rPr>
        <w:t>Présents : La juge en chef McLachlin et les juges LeBel, Abella, Rothstein, Cromwell, Karakatsanis et Wagner.</w:t>
      </w:r>
    </w:p>
    <w:p w:rsidR="008E5800" w:rsidRDefault="008E5800" w:rsidP="008E5800">
      <w:pPr>
        <w:pStyle w:val="SCCNormalDoubleSpacing"/>
        <w:spacing w:line="240" w:lineRule="auto"/>
        <w:rPr>
          <w:sz w:val="20"/>
          <w:lang w:val="fr-CA"/>
        </w:rPr>
      </w:pPr>
    </w:p>
    <w:p w:rsidR="008E5800" w:rsidRPr="001040E8" w:rsidRDefault="008E5800" w:rsidP="008E5800">
      <w:pPr>
        <w:pStyle w:val="SCCNormalDoubleSpacing"/>
        <w:spacing w:line="240" w:lineRule="auto"/>
        <w:rPr>
          <w:i/>
          <w:sz w:val="20"/>
          <w:lang w:val="fr-CA"/>
        </w:rPr>
      </w:pPr>
      <w:r w:rsidRPr="001040E8">
        <w:rPr>
          <w:sz w:val="20"/>
          <w:lang w:val="fr-CA"/>
        </w:rPr>
        <w:tab/>
      </w:r>
      <w:r w:rsidRPr="001040E8">
        <w:rPr>
          <w:i/>
          <w:sz w:val="20"/>
          <w:lang w:val="fr-CA"/>
        </w:rPr>
        <w:t xml:space="preserve">Droit criminel </w:t>
      </w:r>
      <w:r w:rsidRPr="001040E8">
        <w:rPr>
          <w:sz w:val="20"/>
          <w:lang w:val="fr-CA"/>
        </w:rPr>
        <w:t xml:space="preserve">— </w:t>
      </w:r>
      <w:r w:rsidRPr="001040E8">
        <w:rPr>
          <w:i/>
          <w:sz w:val="20"/>
          <w:lang w:val="fr-CA"/>
        </w:rPr>
        <w:t xml:space="preserve">Détermination de la peine </w:t>
      </w:r>
      <w:r w:rsidRPr="001040E8">
        <w:rPr>
          <w:sz w:val="20"/>
          <w:lang w:val="fr-CA"/>
        </w:rPr>
        <w:t xml:space="preserve">— </w:t>
      </w:r>
      <w:r w:rsidRPr="001040E8">
        <w:rPr>
          <w:i/>
          <w:sz w:val="20"/>
          <w:lang w:val="fr-CA"/>
        </w:rPr>
        <w:t xml:space="preserve">Législation </w:t>
      </w:r>
      <w:r w:rsidRPr="001040E8">
        <w:rPr>
          <w:sz w:val="20"/>
          <w:lang w:val="fr-CA"/>
        </w:rPr>
        <w:t xml:space="preserve">— </w:t>
      </w:r>
      <w:r w:rsidRPr="001040E8">
        <w:rPr>
          <w:i/>
          <w:sz w:val="20"/>
          <w:lang w:val="fr-CA"/>
        </w:rPr>
        <w:t>Interprétation</w:t>
      </w:r>
      <w:r w:rsidRPr="001040E8">
        <w:rPr>
          <w:sz w:val="20"/>
          <w:lang w:val="fr-CA"/>
        </w:rPr>
        <w:t xml:space="preserve"> — </w:t>
      </w:r>
      <w:r w:rsidRPr="001040E8">
        <w:rPr>
          <w:i/>
          <w:sz w:val="20"/>
          <w:lang w:val="fr-CA"/>
        </w:rPr>
        <w:t xml:space="preserve">Disposition de la Loi sur l’adéquation de la peine et du crime selon laquelle les modifications apportées au crédit susceptible d’être accordé pour la détention présentencielle « ne s’appliquent qu’à l’égard des personnes inculpées après » l’entrée en vigueur de la Loi </w:t>
      </w:r>
      <w:r w:rsidRPr="001040E8">
        <w:rPr>
          <w:sz w:val="20"/>
          <w:lang w:val="fr-CA"/>
        </w:rPr>
        <w:t xml:space="preserve">— </w:t>
      </w:r>
      <w:r w:rsidRPr="001040E8">
        <w:rPr>
          <w:i/>
          <w:sz w:val="20"/>
          <w:lang w:val="fr-CA"/>
        </w:rPr>
        <w:t>Infractions perpétrées avant l’entrée en vigueur de la Loi, mais accusé inculpé après celle</w:t>
      </w:r>
      <w:r w:rsidRPr="001040E8">
        <w:rPr>
          <w:i/>
          <w:sz w:val="20"/>
          <w:lang w:val="fr-CA"/>
        </w:rPr>
        <w:noBreakHyphen/>
        <w:t xml:space="preserve">ci </w:t>
      </w:r>
      <w:r w:rsidRPr="001040E8">
        <w:rPr>
          <w:sz w:val="20"/>
          <w:lang w:val="fr-CA"/>
        </w:rPr>
        <w:t xml:space="preserve">— </w:t>
      </w:r>
      <w:r w:rsidRPr="001040E8">
        <w:rPr>
          <w:i/>
          <w:sz w:val="20"/>
          <w:lang w:val="fr-CA"/>
        </w:rPr>
        <w:t>L’article 5 de la Loi s’applique</w:t>
      </w:r>
      <w:r w:rsidRPr="001040E8">
        <w:rPr>
          <w:i/>
          <w:sz w:val="20"/>
          <w:lang w:val="fr-CA"/>
        </w:rPr>
        <w:noBreakHyphen/>
        <w:t>t</w:t>
      </w:r>
      <w:r w:rsidRPr="001040E8">
        <w:rPr>
          <w:i/>
          <w:sz w:val="20"/>
          <w:lang w:val="fr-CA"/>
        </w:rPr>
        <w:noBreakHyphen/>
        <w:t xml:space="preserve">il seulement aux délinquants inculpés après l’entrée en vigueur des modifications peu importe le </w:t>
      </w:r>
      <w:r w:rsidRPr="001040E8">
        <w:rPr>
          <w:i/>
          <w:sz w:val="20"/>
          <w:lang w:val="fr-CA"/>
        </w:rPr>
        <w:lastRenderedPageBreak/>
        <w:t>moment auquel les infractions ont été commises?</w:t>
      </w:r>
      <w:r w:rsidRPr="001040E8">
        <w:rPr>
          <w:sz w:val="20"/>
          <w:lang w:val="fr-CA"/>
        </w:rPr>
        <w:t xml:space="preserve"> — </w:t>
      </w:r>
      <w:r w:rsidRPr="001040E8">
        <w:rPr>
          <w:i/>
          <w:sz w:val="20"/>
          <w:lang w:val="fr-CA"/>
        </w:rPr>
        <w:t>Loi sur l’adéquation de la peine et du crime, L.C. 2009, ch. 29, art. 5.</w:t>
      </w:r>
    </w:p>
    <w:p w:rsidR="008E5800" w:rsidRDefault="008E5800" w:rsidP="008E5800">
      <w:pPr>
        <w:pStyle w:val="SCCNormalDoubleSpacing"/>
        <w:spacing w:line="240" w:lineRule="auto"/>
        <w:rPr>
          <w:sz w:val="20"/>
          <w:lang w:val="fr-CA"/>
        </w:rPr>
      </w:pPr>
    </w:p>
    <w:p w:rsidR="008E5800" w:rsidRPr="001040E8" w:rsidRDefault="008E5800" w:rsidP="008E5800">
      <w:pPr>
        <w:pStyle w:val="SCCNormalDoubleSpacing"/>
        <w:spacing w:line="240" w:lineRule="auto"/>
        <w:rPr>
          <w:sz w:val="20"/>
          <w:lang w:val="fr-CA"/>
        </w:rPr>
      </w:pPr>
      <w:r w:rsidRPr="001040E8">
        <w:rPr>
          <w:sz w:val="20"/>
          <w:lang w:val="fr-CA"/>
        </w:rPr>
        <w:tab/>
        <w:t xml:space="preserve">L’article 5 de la </w:t>
      </w:r>
      <w:r w:rsidRPr="001040E8">
        <w:rPr>
          <w:i/>
          <w:sz w:val="20"/>
          <w:lang w:val="fr-CA"/>
        </w:rPr>
        <w:t>Loi sur l’adéquation de la peine et du crime</w:t>
      </w:r>
      <w:r w:rsidRPr="001040E8">
        <w:rPr>
          <w:sz w:val="20"/>
          <w:lang w:val="fr-CA"/>
        </w:rPr>
        <w:t xml:space="preserve"> précise que les limites apportées à l’octroi d’un crédit pour la détention présentencielle « ne s’appliquent qu’à l’égard des personnes inculpées après » l’entrée en vigueur de la Loi.  L’accusé a commis les infractions dont il a par la suite été reconnu coupable avant l’entrée en vigueur de la Loi, mais il a été inculpé après celle-ci.  Il a soutenu que les limites ne valaient pas à son égard car les infractions avaient été commises avant l’entrée en vigueur de la Loi.  Il n’a pas allégué l’inconstitutionnalité de la disposition en cause.  Le juge de première instance et la Cour d’appel ont statué que cette dernière s’appliquait de manière non équivoque.</w:t>
      </w:r>
    </w:p>
    <w:p w:rsidR="008E5800" w:rsidRDefault="008E5800" w:rsidP="008E5800">
      <w:pPr>
        <w:pStyle w:val="SCCNormalDoubleSpacing"/>
        <w:spacing w:line="240" w:lineRule="auto"/>
        <w:rPr>
          <w:sz w:val="20"/>
          <w:lang w:val="fr-CA"/>
        </w:rPr>
      </w:pPr>
    </w:p>
    <w:p w:rsidR="008E5800" w:rsidRPr="001040E8" w:rsidRDefault="008E5800" w:rsidP="008E5800">
      <w:pPr>
        <w:pStyle w:val="SCCNormalDoubleSpacing"/>
        <w:spacing w:line="240" w:lineRule="auto"/>
        <w:rPr>
          <w:sz w:val="20"/>
          <w:lang w:val="fr-CA"/>
        </w:rPr>
      </w:pPr>
      <w:r w:rsidRPr="001040E8">
        <w:rPr>
          <w:sz w:val="20"/>
          <w:lang w:val="fr-CA"/>
        </w:rPr>
        <w:tab/>
      </w:r>
      <w:r w:rsidRPr="001040E8">
        <w:rPr>
          <w:i/>
          <w:sz w:val="20"/>
          <w:lang w:val="fr-CA"/>
        </w:rPr>
        <w:t>Arrêt</w:t>
      </w:r>
      <w:r w:rsidRPr="001040E8">
        <w:rPr>
          <w:sz w:val="20"/>
          <w:lang w:val="fr-CA"/>
        </w:rPr>
        <w:t> : Le pourvoi est rejeté.</w:t>
      </w:r>
    </w:p>
    <w:p w:rsidR="008E5800" w:rsidRDefault="008E5800" w:rsidP="008E5800">
      <w:pPr>
        <w:pStyle w:val="SCCNormalDoubleSpacing"/>
        <w:spacing w:line="240" w:lineRule="auto"/>
        <w:rPr>
          <w:sz w:val="20"/>
          <w:lang w:val="fr-CA"/>
        </w:rPr>
      </w:pPr>
    </w:p>
    <w:p w:rsidR="008E5800" w:rsidRPr="001040E8" w:rsidRDefault="008E5800" w:rsidP="008E5800">
      <w:pPr>
        <w:pStyle w:val="SCCNormalDoubleSpacing"/>
        <w:spacing w:line="240" w:lineRule="auto"/>
        <w:rPr>
          <w:sz w:val="20"/>
          <w:lang w:val="fr-CA"/>
        </w:rPr>
      </w:pPr>
      <w:r w:rsidRPr="001040E8">
        <w:rPr>
          <w:sz w:val="20"/>
          <w:lang w:val="fr-CA"/>
        </w:rPr>
        <w:tab/>
        <w:t xml:space="preserve">Il est vrai qu’une disposition nouvelle sur la détermination de la peine est présumée ne pas s’appliquer rétrospectivement, mais à défaut d’une contestation constitutionnelle, la présomption peut être écartée par la manifestation claire de l’intention du législateur de conférer un effet rétrospectif à la disposition.  En l’espèce, le libellé de l’art. 5 de la </w:t>
      </w:r>
      <w:r w:rsidRPr="001040E8">
        <w:rPr>
          <w:i/>
          <w:sz w:val="20"/>
          <w:lang w:val="fr-CA"/>
        </w:rPr>
        <w:t>Loi sur l’adéquation de la peine et du crime</w:t>
      </w:r>
      <w:r w:rsidRPr="001040E8">
        <w:rPr>
          <w:sz w:val="20"/>
          <w:lang w:val="fr-CA"/>
        </w:rPr>
        <w:t xml:space="preserve"> n’est pas ambigu.  Lorsque la mesure législative est non équivoque, le tribunal doit donner effet à l’intention manifeste du législateur.  L’absence d’ambiguïté fait obstacle au recours aux valeurs de la </w:t>
      </w:r>
      <w:r w:rsidRPr="001040E8">
        <w:rPr>
          <w:i/>
          <w:sz w:val="20"/>
          <w:lang w:val="fr-CA"/>
        </w:rPr>
        <w:t>Charte</w:t>
      </w:r>
      <w:r w:rsidRPr="001040E8">
        <w:rPr>
          <w:sz w:val="20"/>
          <w:lang w:val="fr-CA"/>
        </w:rPr>
        <w:t xml:space="preserve"> pour interpréter l’art 5.  Ce dernier prévoit clairement que les nouvelles dispositions s’appliquent aux personnes inculpées après l’entrée en vigueur de la Loi.  Le seul moment déterminant est celui de l’inculpation, peu importe celui de la perpétration des infractions.  La présomption est donc réfutée.</w:t>
      </w:r>
    </w:p>
    <w:p w:rsidR="008E5800" w:rsidRDefault="008E5800" w:rsidP="008E5800">
      <w:pPr>
        <w:pStyle w:val="SCCNormalDoubleSpacing"/>
        <w:spacing w:line="240" w:lineRule="auto"/>
        <w:rPr>
          <w:sz w:val="20"/>
          <w:lang w:val="fr-CA"/>
        </w:rPr>
      </w:pPr>
    </w:p>
    <w:p w:rsidR="008E5800" w:rsidRDefault="008E5800" w:rsidP="008E5800">
      <w:pPr>
        <w:pStyle w:val="SCCNormalDoubleSpacing"/>
        <w:spacing w:line="240" w:lineRule="auto"/>
        <w:rPr>
          <w:sz w:val="20"/>
          <w:lang w:val="fr-CA"/>
        </w:rPr>
      </w:pPr>
      <w:r w:rsidRPr="001040E8">
        <w:rPr>
          <w:sz w:val="20"/>
          <w:lang w:val="fr-CA"/>
        </w:rPr>
        <w:tab/>
        <w:t xml:space="preserve">Dans la présente affaire, l’accusé a été inculpé après l’entrée en vigueur de la </w:t>
      </w:r>
      <w:r w:rsidRPr="001040E8">
        <w:rPr>
          <w:i/>
          <w:sz w:val="20"/>
          <w:lang w:val="fr-CA"/>
        </w:rPr>
        <w:t>Loi sur l’adéquation de la peine et du crime</w:t>
      </w:r>
      <w:r w:rsidRPr="001040E8">
        <w:rPr>
          <w:sz w:val="20"/>
          <w:lang w:val="fr-CA"/>
        </w:rPr>
        <w:t>.  Il était donc assujetti aux limites apportées au crédit pour détention présentencielle conformément à l’art. 5.</w:t>
      </w:r>
    </w:p>
    <w:p w:rsidR="008E5800" w:rsidRDefault="008E5800" w:rsidP="008E5800">
      <w:pPr>
        <w:pStyle w:val="SCCNormalDoubleSpacing"/>
        <w:spacing w:line="240" w:lineRule="auto"/>
        <w:rPr>
          <w:sz w:val="20"/>
          <w:lang w:val="fr-CA"/>
        </w:rPr>
      </w:pPr>
    </w:p>
    <w:p w:rsidR="008E5800" w:rsidRPr="001040E8" w:rsidRDefault="008E5800" w:rsidP="008E5800">
      <w:pPr>
        <w:pStyle w:val="SCCNormalDoubleSpacing"/>
        <w:spacing w:line="240" w:lineRule="auto"/>
        <w:rPr>
          <w:sz w:val="20"/>
          <w:lang w:val="fr-CA"/>
        </w:rPr>
      </w:pPr>
      <w:r w:rsidRPr="001040E8">
        <w:rPr>
          <w:sz w:val="20"/>
          <w:lang w:val="fr-CA"/>
        </w:rPr>
        <w:tab/>
        <w:t>POURVOI contre un arrêt de la Cour d’appel de l’Ontario (les juges Laskin, Goudge et Gillese), 2013 ONCA 7, 115 O.R. (3d) 75, 302 O.A.C. 40, 293 C.C.C. (3d) 369, 274 C.R.R. (2d) 370, [2013] O.J. No. 94 (QL), 2013 CarswellOnt 263, qui a confirmé la décision relative à la détermination de la peine du juge O’Donnell.  Pourvoi rejeté.</w:t>
      </w:r>
    </w:p>
    <w:p w:rsidR="008E5800" w:rsidRDefault="008E5800" w:rsidP="008E5800">
      <w:pPr>
        <w:pStyle w:val="SCCNormalDoubleSpacing"/>
        <w:spacing w:line="240" w:lineRule="auto"/>
        <w:rPr>
          <w:rStyle w:val="SCCCounselNameChar"/>
          <w:sz w:val="20"/>
          <w:lang w:val="fr-CA"/>
        </w:rPr>
      </w:pPr>
    </w:p>
    <w:p w:rsidR="008E5800" w:rsidRPr="001040E8" w:rsidRDefault="008E5800" w:rsidP="008E5800">
      <w:pPr>
        <w:pStyle w:val="SCCNormalDoubleSpacing"/>
        <w:spacing w:line="240" w:lineRule="auto"/>
        <w:rPr>
          <w:sz w:val="20"/>
          <w:lang w:val="fr-CA"/>
        </w:rPr>
      </w:pPr>
      <w:r w:rsidRPr="001040E8">
        <w:rPr>
          <w:rStyle w:val="SCCCounselNameChar"/>
          <w:sz w:val="20"/>
          <w:lang w:val="fr-CA"/>
        </w:rPr>
        <w:tab/>
        <w:t>Diana Lumba</w:t>
      </w:r>
      <w:r w:rsidRPr="001040E8">
        <w:rPr>
          <w:rStyle w:val="SCCCounselPartyRoleChar"/>
          <w:sz w:val="20"/>
          <w:lang w:val="fr-CA"/>
        </w:rPr>
        <w:t>, pour l’appelant.</w:t>
      </w:r>
    </w:p>
    <w:p w:rsidR="008E5800" w:rsidRDefault="008E5800" w:rsidP="008E5800">
      <w:pPr>
        <w:pStyle w:val="SCCNormalDoubleSpacing"/>
        <w:spacing w:line="240" w:lineRule="auto"/>
        <w:rPr>
          <w:rStyle w:val="SCCCounselNameChar"/>
          <w:sz w:val="20"/>
          <w:lang w:val="fr-CA"/>
        </w:rPr>
      </w:pPr>
    </w:p>
    <w:p w:rsidR="008E5800" w:rsidRPr="001040E8" w:rsidRDefault="008E5800" w:rsidP="008E5800">
      <w:pPr>
        <w:pStyle w:val="SCCNormalDoubleSpacing"/>
        <w:spacing w:line="240" w:lineRule="auto"/>
        <w:rPr>
          <w:sz w:val="20"/>
          <w:lang w:val="fr-CA"/>
        </w:rPr>
      </w:pPr>
      <w:r w:rsidRPr="001040E8">
        <w:rPr>
          <w:rStyle w:val="SCCCounselNameChar"/>
          <w:sz w:val="20"/>
          <w:lang w:val="fr-CA"/>
        </w:rPr>
        <w:tab/>
        <w:t>Mabel Lai</w:t>
      </w:r>
      <w:r w:rsidRPr="001040E8">
        <w:rPr>
          <w:rStyle w:val="SCCCounselPartyRoleChar"/>
          <w:sz w:val="20"/>
          <w:lang w:val="fr-CA"/>
        </w:rPr>
        <w:t>, pour l’intimée.</w:t>
      </w:r>
    </w:p>
    <w:p w:rsidR="008E5800" w:rsidRDefault="008E5800" w:rsidP="008E5800">
      <w:pPr>
        <w:pStyle w:val="SCCLawFirm"/>
        <w:spacing w:line="240" w:lineRule="auto"/>
        <w:rPr>
          <w:sz w:val="20"/>
          <w:lang w:val="fr-CA"/>
        </w:rPr>
      </w:pPr>
    </w:p>
    <w:p w:rsidR="008E5800" w:rsidRPr="001040E8" w:rsidRDefault="008E5800" w:rsidP="008E5800">
      <w:pPr>
        <w:pStyle w:val="SCCLawFirm"/>
        <w:spacing w:line="240" w:lineRule="auto"/>
        <w:rPr>
          <w:sz w:val="20"/>
          <w:lang w:val="fr-CA"/>
        </w:rPr>
      </w:pPr>
      <w:r w:rsidRPr="001040E8">
        <w:rPr>
          <w:sz w:val="20"/>
          <w:lang w:val="fr-CA"/>
        </w:rPr>
        <w:tab/>
        <w:t>Procureurs de l’appelant : Lockyer Campbell Posner, Toronto.</w:t>
      </w:r>
    </w:p>
    <w:p w:rsidR="008E5800" w:rsidRDefault="008E5800" w:rsidP="008E5800">
      <w:pPr>
        <w:pStyle w:val="SCCLawFirm"/>
        <w:spacing w:line="240" w:lineRule="auto"/>
        <w:rPr>
          <w:sz w:val="20"/>
          <w:lang w:val="fr-CA"/>
        </w:rPr>
      </w:pPr>
    </w:p>
    <w:p w:rsidR="008E5800" w:rsidRDefault="008E5800" w:rsidP="008E5800">
      <w:pPr>
        <w:pStyle w:val="SCCLawFirm"/>
        <w:spacing w:line="240" w:lineRule="auto"/>
        <w:rPr>
          <w:sz w:val="20"/>
          <w:lang w:val="fr-CA"/>
        </w:rPr>
      </w:pPr>
      <w:r w:rsidRPr="001040E8">
        <w:rPr>
          <w:sz w:val="20"/>
          <w:lang w:val="fr-CA"/>
        </w:rPr>
        <w:tab/>
        <w:t>Procureur de l’intimée : Procureur général de l’Ontario, Toronto.</w:t>
      </w:r>
    </w:p>
    <w:p w:rsidR="00DB6FFE" w:rsidRPr="00352A49" w:rsidRDefault="00DB6FFE" w:rsidP="00DB6FFE">
      <w:pPr>
        <w:rPr>
          <w:sz w:val="20"/>
          <w:szCs w:val="20"/>
          <w:lang w:val="fr-CA"/>
        </w:rPr>
      </w:pPr>
    </w:p>
    <w:p w:rsidR="00DB6FFE" w:rsidRDefault="00BF31AA" w:rsidP="00DB6FFE">
      <w:pPr>
        <w:rPr>
          <w:rFonts w:cs="Times New Roman"/>
          <w:sz w:val="20"/>
          <w:szCs w:val="20"/>
          <w:lang w:val="fr-CA"/>
        </w:rPr>
      </w:pPr>
      <w:r>
        <w:rPr>
          <w:rFonts w:cs="Times New Roman"/>
          <w:sz w:val="20"/>
          <w:szCs w:val="20"/>
          <w:lang w:val="fr-CA"/>
        </w:rPr>
        <w:pict>
          <v:rect id="_x0000_i1078" style="width:144.3pt;height:1pt" o:hrpct="300" o:hralign="center" o:hrstd="t" o:hrnoshade="t" o:hr="t" fillcolor="black [3213]" stroked="f"/>
        </w:pict>
      </w:r>
    </w:p>
    <w:p w:rsidR="00DB6FFE" w:rsidRPr="003F4721" w:rsidRDefault="00DB6FFE" w:rsidP="00DB6FFE">
      <w:pPr>
        <w:rPr>
          <w:sz w:val="20"/>
          <w:szCs w:val="20"/>
        </w:rPr>
      </w:pPr>
    </w:p>
    <w:p w:rsidR="00DB6FFE" w:rsidRPr="003F4721" w:rsidRDefault="00DB6FFE"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576" w:footer="960" w:gutter="0"/>
          <w:cols w:space="720"/>
          <w:titlePg/>
          <w:docGrid w:linePitch="272"/>
        </w:sectPr>
      </w:pPr>
    </w:p>
    <w:p w:rsidR="0081610A" w:rsidRPr="002E0C7E" w:rsidRDefault="00B55D94"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8A16A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A16A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A16A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DECEMBER - DÉCEMBRE</w:t>
            </w:r>
          </w:p>
        </w:tc>
      </w:tr>
      <w:tr w:rsidR="0081610A" w:rsidRPr="002E0C7E" w:rsidTr="008A16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S</w:t>
            </w:r>
          </w:p>
        </w:tc>
      </w:tr>
      <w:tr w:rsidR="0081610A" w:rsidRPr="002E0C7E" w:rsidTr="008A16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8A16A7">
            <w:pPr>
              <w:widowControl w:val="0"/>
              <w:jc w:val="center"/>
              <w:rPr>
                <w:rFonts w:ascii="Arial" w:hAnsi="Arial"/>
                <w:b/>
                <w:sz w:val="14"/>
              </w:rPr>
            </w:pPr>
            <w:r>
              <w:rPr>
                <w:rFonts w:ascii="Arial" w:hAnsi="Arial"/>
                <w:b/>
                <w:sz w:val="14"/>
              </w:rPr>
              <w:t>M</w:t>
            </w:r>
          </w:p>
          <w:p w:rsidR="0081610A" w:rsidRPr="002E0C7E" w:rsidRDefault="0081610A" w:rsidP="008A16A7">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7</w:t>
            </w:r>
          </w:p>
        </w:tc>
      </w:tr>
      <w:tr w:rsidR="0081610A" w:rsidRPr="002E0C7E" w:rsidTr="008A16A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8A16A7">
            <w:pPr>
              <w:widowControl w:val="0"/>
              <w:jc w:val="center"/>
              <w:rPr>
                <w:rFonts w:ascii="Arial" w:hAnsi="Arial"/>
                <w:b/>
                <w:sz w:val="14"/>
              </w:rPr>
            </w:pPr>
            <w:r>
              <w:rPr>
                <w:rFonts w:ascii="Arial" w:hAnsi="Arial"/>
                <w:b/>
                <w:sz w:val="14"/>
              </w:rPr>
              <w:t>M</w:t>
            </w:r>
          </w:p>
          <w:p w:rsidR="0081610A" w:rsidRPr="002E0C7E" w:rsidRDefault="0081610A" w:rsidP="008A16A7">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8A16A7">
            <w:pPr>
              <w:widowControl w:val="0"/>
              <w:jc w:val="center"/>
              <w:rPr>
                <w:rFonts w:ascii="Arial" w:hAnsi="Arial"/>
                <w:b/>
                <w:sz w:val="14"/>
              </w:rPr>
            </w:pPr>
          </w:p>
          <w:p w:rsidR="0081610A" w:rsidRPr="002E0C7E" w:rsidRDefault="0081610A" w:rsidP="008A16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M</w:t>
            </w:r>
          </w:p>
          <w:p w:rsidR="0081610A" w:rsidRPr="002E0C7E" w:rsidRDefault="0081610A" w:rsidP="008A16A7">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14</w:t>
            </w:r>
          </w:p>
        </w:tc>
      </w:tr>
      <w:tr w:rsidR="0081610A" w:rsidRPr="002E0C7E" w:rsidTr="008A16A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8A16A7">
            <w:pPr>
              <w:widowControl w:val="0"/>
              <w:jc w:val="center"/>
              <w:rPr>
                <w:rFonts w:ascii="Arial" w:hAnsi="Arial"/>
                <w:b/>
                <w:sz w:val="14"/>
              </w:rPr>
            </w:pPr>
            <w:r>
              <w:rPr>
                <w:rFonts w:ascii="Arial" w:hAnsi="Arial"/>
                <w:b/>
                <w:sz w:val="14"/>
              </w:rPr>
              <w:t>H</w:t>
            </w: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8A16A7">
            <w:pPr>
              <w:widowControl w:val="0"/>
              <w:jc w:val="center"/>
              <w:rPr>
                <w:rFonts w:ascii="Arial" w:hAnsi="Arial"/>
                <w:sz w:val="14"/>
              </w:rPr>
            </w:pPr>
            <w:r>
              <w:rPr>
                <w:rFonts w:ascii="Arial" w:hAnsi="Arial"/>
                <w:b/>
                <w:sz w:val="14"/>
              </w:rPr>
              <w:t>H</w:t>
            </w: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8A16A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8A16A7">
            <w:pPr>
              <w:widowControl w:val="0"/>
              <w:jc w:val="center"/>
              <w:rPr>
                <w:rFonts w:ascii="Arial" w:hAnsi="Arial"/>
                <w:b/>
                <w:sz w:val="14"/>
              </w:rPr>
            </w:pPr>
            <w:r>
              <w:rPr>
                <w:rFonts w:ascii="Arial" w:hAnsi="Arial"/>
                <w:b/>
                <w:sz w:val="14"/>
              </w:rPr>
              <w:t>H</w:t>
            </w:r>
          </w:p>
          <w:p w:rsidR="0081610A" w:rsidRPr="002E0C7E" w:rsidRDefault="0081610A" w:rsidP="008A16A7">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8A16A7">
            <w:pPr>
              <w:widowControl w:val="0"/>
              <w:jc w:val="center"/>
              <w:rPr>
                <w:rFonts w:ascii="Arial" w:hAnsi="Arial"/>
                <w:b/>
                <w:sz w:val="14"/>
              </w:rPr>
            </w:pPr>
            <w:r>
              <w:rPr>
                <w:rFonts w:ascii="Arial" w:hAnsi="Arial"/>
                <w:b/>
                <w:sz w:val="14"/>
              </w:rPr>
              <w:t>H</w:t>
            </w:r>
          </w:p>
          <w:p w:rsidR="0081610A" w:rsidRPr="002E0C7E" w:rsidRDefault="0081610A" w:rsidP="008A16A7">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8A16A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8A16A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A16A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A16A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MARCH - MARS</w:t>
            </w:r>
          </w:p>
        </w:tc>
      </w:tr>
      <w:tr w:rsidR="0081610A" w:rsidRPr="002E0C7E" w:rsidTr="008A16A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S</w:t>
            </w:r>
          </w:p>
        </w:tc>
      </w:tr>
      <w:tr w:rsidR="0081610A" w:rsidRPr="002E0C7E" w:rsidTr="008A16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8A16A7">
            <w:pPr>
              <w:widowControl w:val="0"/>
              <w:jc w:val="center"/>
              <w:rPr>
                <w:rFonts w:ascii="Arial" w:hAnsi="Arial"/>
                <w:b/>
                <w:sz w:val="14"/>
              </w:rPr>
            </w:pPr>
          </w:p>
          <w:p w:rsidR="0081610A" w:rsidRPr="002E0C7E" w:rsidRDefault="0081610A" w:rsidP="008A16A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8A16A7">
            <w:pPr>
              <w:widowControl w:val="0"/>
              <w:jc w:val="center"/>
              <w:rPr>
                <w:rFonts w:ascii="Arial" w:hAnsi="Arial"/>
                <w:b/>
                <w:sz w:val="14"/>
              </w:rPr>
            </w:pPr>
            <w:r>
              <w:rPr>
                <w:rFonts w:ascii="Arial" w:hAnsi="Arial"/>
                <w:b/>
                <w:sz w:val="14"/>
              </w:rPr>
              <w:t>H</w:t>
            </w:r>
          </w:p>
          <w:p w:rsidR="0081610A" w:rsidRPr="002E0C7E" w:rsidRDefault="0081610A" w:rsidP="008A16A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w:t>
            </w:r>
          </w:p>
        </w:tc>
      </w:tr>
      <w:tr w:rsidR="0081610A" w:rsidRPr="002E0C7E" w:rsidTr="008A16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8</w:t>
            </w:r>
          </w:p>
        </w:tc>
      </w:tr>
      <w:tr w:rsidR="0081610A" w:rsidRPr="002E0C7E" w:rsidTr="008A16A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8A16A7">
            <w:pPr>
              <w:widowControl w:val="0"/>
              <w:jc w:val="center"/>
              <w:rPr>
                <w:rFonts w:ascii="Arial" w:hAnsi="Arial"/>
                <w:b/>
                <w:sz w:val="14"/>
              </w:rPr>
            </w:pPr>
            <w:r>
              <w:rPr>
                <w:rFonts w:ascii="Arial" w:hAnsi="Arial"/>
                <w:b/>
                <w:sz w:val="14"/>
              </w:rPr>
              <w:t>M</w:t>
            </w: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8A16A7">
            <w:pPr>
              <w:widowControl w:val="0"/>
              <w:jc w:val="center"/>
              <w:rPr>
                <w:rFonts w:ascii="Arial" w:hAnsi="Arial"/>
                <w:b/>
                <w:sz w:val="14"/>
              </w:rPr>
            </w:pPr>
            <w:r>
              <w:rPr>
                <w:rFonts w:ascii="Arial" w:hAnsi="Arial"/>
                <w:b/>
                <w:sz w:val="14"/>
              </w:rPr>
              <w:t>M</w:t>
            </w: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8A16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8A16A7">
            <w:pPr>
              <w:widowControl w:val="0"/>
              <w:jc w:val="center"/>
              <w:rPr>
                <w:rFonts w:ascii="Arial" w:hAnsi="Arial"/>
                <w:b/>
                <w:sz w:val="14"/>
              </w:rPr>
            </w:pPr>
            <w:r>
              <w:rPr>
                <w:rFonts w:ascii="Arial" w:hAnsi="Arial"/>
                <w:b/>
                <w:sz w:val="14"/>
              </w:rPr>
              <w:t>M</w:t>
            </w: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8A16A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Pr>
                <w:rFonts w:ascii="Arial" w:hAnsi="Arial"/>
                <w:sz w:val="14"/>
              </w:rPr>
              <w:t>23</w:t>
            </w:r>
          </w:p>
          <w:p w:rsidR="0081610A" w:rsidRPr="002E0C7E" w:rsidRDefault="0081610A" w:rsidP="008A16A7">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r>
              <w:rPr>
                <w:rFonts w:ascii="Arial" w:hAnsi="Arial"/>
                <w:sz w:val="14"/>
              </w:rPr>
              <w:t>24</w:t>
            </w:r>
          </w:p>
          <w:p w:rsidR="0081610A" w:rsidRPr="002E0C7E" w:rsidRDefault="0081610A" w:rsidP="008A16A7">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8A16A7">
            <w:pPr>
              <w:widowControl w:val="0"/>
              <w:jc w:val="center"/>
              <w:rPr>
                <w:rFonts w:ascii="Arial" w:hAnsi="Arial"/>
                <w:b/>
                <w:sz w:val="14"/>
              </w:rPr>
            </w:pPr>
          </w:p>
          <w:p w:rsidR="0081610A" w:rsidRPr="002E0C7E" w:rsidRDefault="0081610A" w:rsidP="008A16A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8A16A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A16A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8A16A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8A16A7">
            <w:pPr>
              <w:widowControl w:val="0"/>
              <w:jc w:val="center"/>
              <w:rPr>
                <w:rFonts w:ascii="Arial" w:hAnsi="Arial"/>
                <w:sz w:val="14"/>
              </w:rPr>
            </w:pPr>
            <w:r w:rsidRPr="002E0C7E">
              <w:rPr>
                <w:rFonts w:ascii="Arial" w:hAnsi="Arial"/>
                <w:b/>
                <w:sz w:val="14"/>
              </w:rPr>
              <w:t>JUNE - JUIN</w:t>
            </w:r>
          </w:p>
        </w:tc>
      </w:tr>
      <w:tr w:rsidR="0081610A" w:rsidRPr="002E0C7E" w:rsidTr="008A16A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S</w:t>
            </w:r>
          </w:p>
          <w:p w:rsidR="0081610A" w:rsidRPr="002E0C7E" w:rsidRDefault="0081610A" w:rsidP="008A16A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M</w:t>
            </w:r>
          </w:p>
          <w:p w:rsidR="0081610A" w:rsidRPr="002E0C7E" w:rsidRDefault="0081610A" w:rsidP="008A16A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W</w:t>
            </w:r>
          </w:p>
          <w:p w:rsidR="0081610A" w:rsidRPr="002E0C7E" w:rsidRDefault="0081610A" w:rsidP="008A16A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T</w:t>
            </w:r>
          </w:p>
          <w:p w:rsidR="0081610A" w:rsidRPr="002E0C7E" w:rsidRDefault="0081610A" w:rsidP="008A16A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sidRPr="002E0C7E">
              <w:rPr>
                <w:rFonts w:ascii="Arial" w:hAnsi="Arial"/>
                <w:sz w:val="14"/>
              </w:rPr>
              <w:t>F</w:t>
            </w:r>
          </w:p>
          <w:p w:rsidR="0081610A" w:rsidRPr="002E0C7E" w:rsidRDefault="0081610A" w:rsidP="008A16A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r>
              <w:rPr>
                <w:rFonts w:ascii="Arial" w:hAnsi="Arial"/>
                <w:sz w:val="14"/>
              </w:rPr>
              <w:t>S</w:t>
            </w:r>
          </w:p>
          <w:p w:rsidR="0081610A" w:rsidRPr="002E0C7E" w:rsidRDefault="0081610A" w:rsidP="008A16A7">
            <w:pPr>
              <w:widowControl w:val="0"/>
              <w:jc w:val="center"/>
              <w:rPr>
                <w:rFonts w:ascii="Arial" w:hAnsi="Arial"/>
                <w:sz w:val="14"/>
              </w:rPr>
            </w:pPr>
            <w:r>
              <w:rPr>
                <w:rFonts w:ascii="Arial" w:hAnsi="Arial"/>
                <w:sz w:val="14"/>
              </w:rPr>
              <w:t>S</w:t>
            </w:r>
          </w:p>
        </w:tc>
      </w:tr>
      <w:tr w:rsidR="0081610A" w:rsidRPr="002E0C7E" w:rsidTr="008A16A7">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b/>
                <w:sz w:val="14"/>
              </w:rPr>
            </w:pPr>
          </w:p>
          <w:p w:rsidR="0081610A" w:rsidRPr="002E0C7E" w:rsidRDefault="0081610A" w:rsidP="008A16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7</w:t>
            </w:r>
          </w:p>
        </w:tc>
      </w:tr>
      <w:tr w:rsidR="0081610A" w:rsidRPr="002E0C7E" w:rsidTr="008A16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8A16A7">
            <w:pPr>
              <w:widowControl w:val="0"/>
              <w:jc w:val="center"/>
              <w:rPr>
                <w:rFonts w:ascii="Arial" w:hAnsi="Arial"/>
                <w:b/>
                <w:sz w:val="14"/>
              </w:rPr>
            </w:pPr>
          </w:p>
          <w:p w:rsidR="0081610A" w:rsidRPr="002E0C7E" w:rsidRDefault="0081610A" w:rsidP="008A16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14</w:t>
            </w:r>
          </w:p>
        </w:tc>
      </w:tr>
      <w:tr w:rsidR="0081610A" w:rsidRPr="002E0C7E" w:rsidTr="008A16A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8A16A7">
            <w:pPr>
              <w:widowControl w:val="0"/>
              <w:jc w:val="center"/>
              <w:rPr>
                <w:rFonts w:ascii="Arial" w:hAnsi="Arial"/>
                <w:b/>
                <w:sz w:val="14"/>
              </w:rPr>
            </w:pPr>
            <w:r w:rsidRPr="00DB5777">
              <w:rPr>
                <w:rFonts w:ascii="Arial" w:hAnsi="Arial"/>
                <w:b/>
                <w:sz w:val="14"/>
              </w:rPr>
              <w:t>M</w:t>
            </w: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8A16A7">
            <w:pPr>
              <w:widowControl w:val="0"/>
              <w:jc w:val="center"/>
              <w:rPr>
                <w:rFonts w:ascii="Arial" w:hAnsi="Arial"/>
                <w:b/>
                <w:sz w:val="14"/>
              </w:rPr>
            </w:pPr>
            <w:r>
              <w:rPr>
                <w:rFonts w:ascii="Arial" w:hAnsi="Arial"/>
                <w:b/>
                <w:sz w:val="14"/>
              </w:rPr>
              <w:t>H</w:t>
            </w:r>
          </w:p>
          <w:p w:rsidR="0081610A" w:rsidRPr="002E0C7E" w:rsidRDefault="0081610A" w:rsidP="008A16A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8A16A7">
            <w:pPr>
              <w:widowControl w:val="0"/>
              <w:jc w:val="center"/>
              <w:rPr>
                <w:rFonts w:ascii="Arial" w:hAnsi="Arial"/>
                <w:b/>
                <w:sz w:val="14"/>
              </w:rPr>
            </w:pPr>
            <w:r w:rsidRPr="002453E3">
              <w:rPr>
                <w:rFonts w:ascii="Arial" w:hAnsi="Arial"/>
                <w:b/>
                <w:sz w:val="14"/>
              </w:rPr>
              <w:t>M</w:t>
            </w: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8A16A7">
            <w:pPr>
              <w:widowControl w:val="0"/>
              <w:jc w:val="center"/>
              <w:rPr>
                <w:rFonts w:ascii="Arial" w:hAnsi="Arial"/>
                <w:b/>
                <w:sz w:val="14"/>
              </w:rPr>
            </w:pPr>
            <w:r w:rsidRPr="006A1E8D">
              <w:rPr>
                <w:rFonts w:ascii="Arial" w:hAnsi="Arial"/>
                <w:b/>
                <w:sz w:val="14"/>
              </w:rPr>
              <w:t>M</w:t>
            </w: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8A16A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8A16A7">
            <w:pPr>
              <w:widowControl w:val="0"/>
              <w:jc w:val="center"/>
              <w:rPr>
                <w:rFonts w:ascii="Arial" w:hAnsi="Arial"/>
                <w:b/>
                <w:sz w:val="14"/>
              </w:rPr>
            </w:pPr>
            <w:r w:rsidRPr="00CD57C3">
              <w:rPr>
                <w:rFonts w:ascii="Arial" w:hAnsi="Arial"/>
                <w:b/>
                <w:sz w:val="14"/>
              </w:rPr>
              <w:t>H</w:t>
            </w: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8A16A7">
            <w:pPr>
              <w:widowControl w:val="0"/>
              <w:jc w:val="center"/>
              <w:rPr>
                <w:rFonts w:ascii="Arial" w:hAnsi="Arial"/>
                <w:b/>
                <w:sz w:val="14"/>
              </w:rPr>
            </w:pPr>
            <w:r>
              <w:rPr>
                <w:rFonts w:ascii="Arial" w:hAnsi="Arial"/>
                <w:b/>
                <w:sz w:val="14"/>
              </w:rPr>
              <w:t>H</w:t>
            </w:r>
          </w:p>
          <w:p w:rsidR="0081610A" w:rsidRPr="002E0C7E" w:rsidRDefault="0081610A" w:rsidP="008A16A7">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8A16A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8A16A7">
            <w:pPr>
              <w:widowControl w:val="0"/>
              <w:jc w:val="center"/>
              <w:rPr>
                <w:rFonts w:ascii="Arial" w:hAnsi="Arial"/>
                <w:sz w:val="14"/>
              </w:rPr>
            </w:pPr>
          </w:p>
          <w:p w:rsidR="0081610A" w:rsidRPr="002E0C7E" w:rsidRDefault="0081610A" w:rsidP="008A16A7">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8A16A7">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8A16A7">
            <w:pPr>
              <w:widowControl w:val="0"/>
              <w:rPr>
                <w:rFonts w:ascii="Arial" w:hAnsi="Arial"/>
                <w:sz w:val="16"/>
              </w:rPr>
            </w:pPr>
            <w:r w:rsidRPr="002E0C7E">
              <w:rPr>
                <w:rFonts w:ascii="Arial" w:hAnsi="Arial"/>
                <w:sz w:val="16"/>
              </w:rPr>
              <w:t>Sittings of the court:</w:t>
            </w:r>
          </w:p>
          <w:p w:rsidR="0081610A" w:rsidRPr="002E0C7E" w:rsidRDefault="0081610A" w:rsidP="008A16A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8A16A7">
            <w:pPr>
              <w:widowControl w:val="0"/>
              <w:rPr>
                <w:rFonts w:ascii="Arial" w:hAnsi="Arial"/>
                <w:sz w:val="16"/>
              </w:rPr>
            </w:pPr>
          </w:p>
          <w:p w:rsidR="0081610A" w:rsidRPr="002E0C7E" w:rsidRDefault="0081610A" w:rsidP="008A16A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8A16A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8A16A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8A16A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8A16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0"/>
      <w:footerReference w:type="default" r:id="rId9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A1" w:rsidRDefault="00C231A1" w:rsidP="00A87207">
      <w:r>
        <w:separator/>
      </w:r>
    </w:p>
  </w:endnote>
  <w:endnote w:type="continuationSeparator" w:id="0">
    <w:p w:rsidR="00C231A1" w:rsidRDefault="00C231A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pPr>
      <w:pStyle w:val="Footer"/>
      <w:rPr>
        <w:lang w:val="fr-CA"/>
      </w:rPr>
    </w:pPr>
    <w:r>
      <w:rPr>
        <w:lang w:val="fr-CA"/>
      </w:rPr>
      <w:pict>
        <v:rect id="_x0000_i1053" style="width:480.95pt;height:1pt" o:hralign="center" o:hrstd="t" o:hrnoshade="t" o:hr="t" fillcolor="black [3213]" stroked="f"/>
      </w:pict>
    </w:r>
  </w:p>
  <w:p w:rsidR="00C231A1" w:rsidRDefault="00C231A1" w:rsidP="00245129">
    <w:pPr>
      <w:tabs>
        <w:tab w:val="center" w:pos="4680"/>
      </w:tabs>
    </w:pPr>
    <w:r>
      <w:tab/>
    </w:r>
    <w:r w:rsidRPr="0009648D">
      <w:t xml:space="preserve">- </w:t>
    </w:r>
    <w:r w:rsidR="00BF31AA">
      <w:fldChar w:fldCharType="begin"/>
    </w:r>
    <w:r w:rsidR="00BF31AA">
      <w:instrText xml:space="preserve"> PAGE   \* MERGEFORMAT </w:instrText>
    </w:r>
    <w:r w:rsidR="00BF31AA">
      <w:fldChar w:fldCharType="separate"/>
    </w:r>
    <w:r w:rsidR="00BF31AA">
      <w:rPr>
        <w:noProof/>
      </w:rPr>
      <w:t>634</w:t>
    </w:r>
    <w:r w:rsidR="00BF31AA">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31A1" w:rsidRDefault="00C231A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rsidP="00755F22">
    <w:pPr>
      <w:tabs>
        <w:tab w:val="left" w:pos="-1440"/>
        <w:tab w:val="left" w:pos="-720"/>
      </w:tabs>
    </w:pPr>
    <w:r>
      <w:pict>
        <v:rect id="_x0000_i1062" style="width:480.95pt;height:1pt" o:hralign="center" o:hrstd="t" o:hrnoshade="t" o:hr="t" fillcolor="black [3213]" stroked="f"/>
      </w:pict>
    </w:r>
  </w:p>
  <w:p w:rsidR="00C231A1" w:rsidRDefault="00C231A1" w:rsidP="00EB2B90">
    <w:pPr>
      <w:tabs>
        <w:tab w:val="center" w:pos="4680"/>
      </w:tabs>
    </w:pPr>
    <w:r>
      <w:tab/>
      <w:t xml:space="preserve">- </w:t>
    </w:r>
    <w:r w:rsidR="00BF31AA">
      <w:fldChar w:fldCharType="begin"/>
    </w:r>
    <w:r w:rsidR="00BF31AA">
      <w:instrText xml:space="preserve"> PAGE   \* MERGEFORMAT </w:instrText>
    </w:r>
    <w:r w:rsidR="00BF31AA">
      <w:fldChar w:fldCharType="separate"/>
    </w:r>
    <w:r w:rsidR="00BF31AA">
      <w:rPr>
        <w:noProof/>
      </w:rPr>
      <w:t>657</w:t>
    </w:r>
    <w:r w:rsidR="00BF31AA">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rsidP="00EB2B90">
    <w:pPr>
      <w:tabs>
        <w:tab w:val="center" w:pos="4680"/>
      </w:tabs>
    </w:pPr>
    <w:r>
      <w:pict>
        <v:rect id="_x0000_i1063" style="width:480.95pt;height:1pt" o:hralign="center" o:hrstd="t" o:hrnoshade="t" o:hr="t" fillcolor="black [3213]" stroked="f"/>
      </w:pict>
    </w:r>
  </w:p>
  <w:p w:rsidR="00C231A1" w:rsidRPr="0031432F" w:rsidRDefault="00C231A1" w:rsidP="00EB2B90">
    <w:pPr>
      <w:tabs>
        <w:tab w:val="center" w:pos="4680"/>
      </w:tabs>
    </w:pPr>
    <w:r>
      <w:tab/>
      <w:t xml:space="preserve">- </w:t>
    </w:r>
    <w:r w:rsidR="00BF31AA">
      <w:fldChar w:fldCharType="begin"/>
    </w:r>
    <w:r w:rsidR="00BF31AA">
      <w:instrText xml:space="preserve"> PAGE   \* MERGEFORMAT </w:instrText>
    </w:r>
    <w:r w:rsidR="00BF31AA">
      <w:fldChar w:fldCharType="separate"/>
    </w:r>
    <w:r w:rsidR="00BF31AA">
      <w:rPr>
        <w:noProof/>
      </w:rPr>
      <w:t>650</w:t>
    </w:r>
    <w:r w:rsidR="00BF31AA">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31A1" w:rsidRDefault="00C231A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C231A1" w:rsidRDefault="00C231A1" w:rsidP="00EB2B90">
    <w:pPr>
      <w:tabs>
        <w:tab w:val="center" w:pos="4680"/>
      </w:tabs>
    </w:pPr>
    <w:r>
      <w:tab/>
      <w:t xml:space="preserve">- </w:t>
    </w:r>
    <w:r w:rsidR="00BF31AA">
      <w:fldChar w:fldCharType="begin"/>
    </w:r>
    <w:r w:rsidR="00BF31AA">
      <w:instrText xml:space="preserve"> PAGE   \* MERGEFORMAT </w:instrText>
    </w:r>
    <w:r w:rsidR="00BF31AA">
      <w:fldChar w:fldCharType="separate"/>
    </w:r>
    <w:r>
      <w:rPr>
        <w:noProof/>
      </w:rPr>
      <w:t>519</w:t>
    </w:r>
    <w:r w:rsidR="00BF31AA">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pPr>
      <w:pStyle w:val="Footer"/>
      <w:rPr>
        <w:lang w:val="fr-CA"/>
      </w:rPr>
    </w:pPr>
    <w:r>
      <w:rPr>
        <w:lang w:val="fr-CA"/>
      </w:rPr>
      <w:pict>
        <v:rect id="_x0000_i1067" style="width:480.95pt;height:1pt" o:hralign="center" o:hrstd="t" o:hrnoshade="t" o:hr="t" fillcolor="black [3213]" stroked="f"/>
      </w:pict>
    </w:r>
  </w:p>
  <w:p w:rsidR="00C231A1" w:rsidRDefault="00C231A1" w:rsidP="00EB2B90">
    <w:pPr>
      <w:tabs>
        <w:tab w:val="center" w:pos="4680"/>
      </w:tabs>
    </w:pPr>
    <w:r>
      <w:tab/>
      <w:t xml:space="preserve">- </w:t>
    </w:r>
    <w:r w:rsidR="00BF31AA">
      <w:fldChar w:fldCharType="begin"/>
    </w:r>
    <w:r w:rsidR="00BF31AA">
      <w:instrText xml:space="preserve"> PAGE   \* MERGEFORMAT </w:instrText>
    </w:r>
    <w:r w:rsidR="00BF31AA">
      <w:fldChar w:fldCharType="separate"/>
    </w:r>
    <w:r w:rsidR="00BF31AA">
      <w:rPr>
        <w:noProof/>
      </w:rPr>
      <w:t>658</w:t>
    </w:r>
    <w:r w:rsidR="00BF31AA">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31A1" w:rsidRDefault="00C231A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rsidP="00732DB7">
    <w:r>
      <w:pict>
        <v:rect id="_x0000_i1071" style="width:480.95pt;height:1pt" o:hralign="center" o:hrstd="t" o:hrnoshade="t" o:hr="t" fillcolor="black" stroked="f"/>
      </w:pict>
    </w:r>
  </w:p>
  <w:p w:rsidR="00C231A1" w:rsidRDefault="00C231A1">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pPr>
      <w:pStyle w:val="Footer"/>
    </w:pPr>
    <w:r>
      <w:pict>
        <v:rect id="_x0000_i1072" style="width:480.95pt;height:1pt" o:hralign="center" o:hrstd="t" o:hrnoshade="t" o:hr="t" fillcolor="black [3213]" stroked="f"/>
      </w:pict>
    </w:r>
  </w:p>
  <w:p w:rsidR="00C231A1" w:rsidRPr="003C2C0F" w:rsidRDefault="00C231A1" w:rsidP="00697C62">
    <w:pPr>
      <w:tabs>
        <w:tab w:val="center" w:pos="4680"/>
      </w:tabs>
    </w:pPr>
    <w:r>
      <w:tab/>
      <w:t xml:space="preserve">- </w:t>
    </w:r>
    <w:r w:rsidR="00BF31AA">
      <w:fldChar w:fldCharType="begin"/>
    </w:r>
    <w:r w:rsidR="00BF31AA">
      <w:instrText xml:space="preserve"> PAGE   \* MERGEFORMAT </w:instrText>
    </w:r>
    <w:r w:rsidR="00BF31AA">
      <w:fldChar w:fldCharType="separate"/>
    </w:r>
    <w:r w:rsidR="00BF31AA">
      <w:rPr>
        <w:noProof/>
      </w:rPr>
      <w:t>659</w:t>
    </w:r>
    <w:r w:rsidR="00BF31AA">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31A1" w:rsidRDefault="00C231A1">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231A1" w:rsidRDefault="00BF3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C231A1" w:rsidRDefault="00C231A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F31AA">
      <w:rPr>
        <w:noProof/>
        <w:szCs w:val="24"/>
      </w:rPr>
      <w:t>668</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rsidP="00782AE4">
    <w:pPr>
      <w:tabs>
        <w:tab w:val="center" w:pos="4680"/>
      </w:tabs>
    </w:pPr>
    <w:r>
      <w:pict>
        <v:rect id="_x0000_i1080" style="width:480.95pt;height:1pt" o:hralign="center" o:hrstd="t" o:hrnoshade="t" o:hr="t" fillcolor="black [3213]" stroked="f"/>
      </w:pict>
    </w:r>
  </w:p>
  <w:p w:rsidR="00C231A1" w:rsidRDefault="00C231A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F31AA">
      <w:rPr>
        <w:noProof/>
        <w:szCs w:val="24"/>
      </w:rPr>
      <w:t>660</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Pr="00924065" w:rsidRDefault="00C231A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rsidP="00A87207">
    <w:pPr>
      <w:pStyle w:val="Footer"/>
    </w:pPr>
    <w:r>
      <w:pict>
        <v:rect id="_x0000_i1033" style="width:480.95pt;height:1pt" o:hralign="center" o:hrstd="t" o:hrnoshade="t" o:hr="t" fillcolor="black [3213]" stroked="f"/>
      </w:pict>
    </w:r>
  </w:p>
  <w:p w:rsidR="00C231A1" w:rsidRPr="00B7374B" w:rsidRDefault="00C231A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633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rsidP="00755F22">
    <w:pPr>
      <w:tabs>
        <w:tab w:val="left" w:pos="-1440"/>
        <w:tab w:val="left" w:pos="-720"/>
      </w:tabs>
    </w:pPr>
    <w:r>
      <w:pict>
        <v:rect id="_x0000_i1034" style="width:480.95pt;height:1pt" o:hralign="center" o:hrstd="t" o:hrnoshade="t" o:hr="t" fillcolor="black [3213]" stroked="f"/>
      </w:pict>
    </w:r>
  </w:p>
  <w:p w:rsidR="00C231A1" w:rsidRPr="00954D22" w:rsidRDefault="00C231A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F31AA">
      <w:rPr>
        <w:noProof/>
        <w:szCs w:val="24"/>
      </w:rPr>
      <w:t>632</w:t>
    </w:r>
    <w:r>
      <w:rPr>
        <w:szCs w:val="24"/>
      </w:rPr>
      <w:fldChar w:fldCharType="end"/>
    </w:r>
    <w:r w:rsidRPr="00954D22">
      <w:rPr>
        <w:szCs w:val="24"/>
      </w:rPr>
      <w:t xml:space="preserve"> -</w:t>
    </w:r>
  </w:p>
  <w:p w:rsidR="00C231A1" w:rsidRDefault="00C231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rsidP="00A87207">
    <w:pPr>
      <w:pStyle w:val="Footer"/>
    </w:pPr>
    <w:r>
      <w:pict>
        <v:rect id="_x0000_i1036" style="width:480.95pt;height:1pt" o:hralign="center" o:hrstd="t" o:hrnoshade="t" o:hr="t" fillcolor="black [3213]" stroked="f"/>
      </w:pict>
    </w:r>
  </w:p>
  <w:p w:rsidR="00C231A1" w:rsidRPr="00B7374B" w:rsidRDefault="00C231A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C231A1" w:rsidRPr="00954D22" w:rsidRDefault="00C231A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F31AA">
      <w:rPr>
        <w:noProof/>
        <w:szCs w:val="24"/>
      </w:rPr>
      <w:t>633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31A1" w:rsidRDefault="00C231A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BF3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C231A1" w:rsidRPr="0009648D" w:rsidRDefault="00C231A1" w:rsidP="00ED7E83">
    <w:pPr>
      <w:tabs>
        <w:tab w:val="center" w:pos="4680"/>
      </w:tabs>
    </w:pPr>
    <w:r>
      <w:tab/>
    </w:r>
    <w:r w:rsidRPr="0009648D">
      <w:t xml:space="preserve">- </w:t>
    </w:r>
    <w:r w:rsidR="00BF31AA">
      <w:fldChar w:fldCharType="begin"/>
    </w:r>
    <w:r w:rsidR="00BF31AA">
      <w:instrText xml:space="preserve"> PAGE   \* MERGEFORMAT </w:instrText>
    </w:r>
    <w:r w:rsidR="00BF31AA">
      <w:fldChar w:fldCharType="separate"/>
    </w:r>
    <w:r w:rsidR="00BF31AA">
      <w:rPr>
        <w:noProof/>
      </w:rPr>
      <w:t>649</w:t>
    </w:r>
    <w:r w:rsidR="00BF31AA">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A1" w:rsidRDefault="00C231A1" w:rsidP="00A87207">
      <w:r>
        <w:separator/>
      </w:r>
    </w:p>
  </w:footnote>
  <w:footnote w:type="continuationSeparator" w:id="0">
    <w:p w:rsidR="00C231A1" w:rsidRDefault="00C231A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231A1">
      <w:tc>
        <w:tcPr>
          <w:tcW w:w="423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231A1" w:rsidRDefault="00C231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31A1" w:rsidRDefault="00C231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231A1">
      <w:trPr>
        <w:gridAfter w:val="2"/>
        <w:wAfter w:w="5250" w:type="dxa"/>
      </w:trPr>
      <w:tc>
        <w:tcPr>
          <w:tcW w:w="4230" w:type="dxa"/>
          <w:tcMar>
            <w:left w:w="0" w:type="dxa"/>
            <w:right w:w="0" w:type="dxa"/>
          </w:tcMar>
        </w:tcPr>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231A1" w:rsidRPr="00755F22" w:rsidTr="00245129">
      <w:tc>
        <w:tcPr>
          <w:tcW w:w="4230" w:type="dxa"/>
          <w:tcMar>
            <w:left w:w="0" w:type="dxa"/>
            <w:right w:w="0" w:type="dxa"/>
          </w:tcMar>
        </w:tcPr>
        <w:p w:rsidR="00C231A1" w:rsidRPr="00755F22" w:rsidRDefault="00C231A1" w:rsidP="00831CA9">
          <w:pPr>
            <w:keepNext/>
            <w:keepLines/>
            <w:rPr>
              <w:sz w:val="20"/>
              <w:szCs w:val="20"/>
            </w:rPr>
          </w:pPr>
          <w:r w:rsidRPr="00755F22">
            <w:rPr>
              <w:sz w:val="20"/>
              <w:szCs w:val="20"/>
            </w:rPr>
            <w:t>MOTIONS</w:t>
          </w:r>
        </w:p>
      </w:tc>
      <w:tc>
        <w:tcPr>
          <w:tcW w:w="1170" w:type="dxa"/>
          <w:tcMar>
            <w:left w:w="0" w:type="dxa"/>
            <w:right w:w="0" w:type="dxa"/>
          </w:tcMar>
        </w:tcPr>
        <w:p w:rsidR="00C231A1" w:rsidRPr="00755F22" w:rsidRDefault="00C231A1" w:rsidP="00831CA9">
          <w:pPr>
            <w:keepLines/>
            <w:jc w:val="center"/>
            <w:rPr>
              <w:sz w:val="20"/>
              <w:szCs w:val="20"/>
            </w:rPr>
          </w:pPr>
        </w:p>
        <w:p w:rsidR="00C231A1" w:rsidRPr="00755F22" w:rsidRDefault="00C231A1" w:rsidP="00831CA9">
          <w:pPr>
            <w:keepLines/>
            <w:tabs>
              <w:tab w:val="left" w:pos="-1440"/>
              <w:tab w:val="left" w:pos="-720"/>
            </w:tabs>
            <w:jc w:val="center"/>
            <w:rPr>
              <w:sz w:val="20"/>
              <w:szCs w:val="20"/>
            </w:rPr>
          </w:pPr>
        </w:p>
      </w:tc>
      <w:tc>
        <w:tcPr>
          <w:tcW w:w="4080" w:type="dxa"/>
          <w:tcMar>
            <w:left w:w="0" w:type="dxa"/>
            <w:right w:w="0" w:type="dxa"/>
          </w:tcMar>
        </w:tcPr>
        <w:p w:rsidR="00C231A1" w:rsidRPr="00BA6468" w:rsidRDefault="00C231A1" w:rsidP="00BA6468">
          <w:pPr>
            <w:keepLines/>
            <w:rPr>
              <w:sz w:val="20"/>
              <w:szCs w:val="20"/>
              <w:lang w:val="fr-CA"/>
            </w:rPr>
          </w:pPr>
          <w:r w:rsidRPr="00BA6468">
            <w:rPr>
              <w:sz w:val="20"/>
              <w:szCs w:val="20"/>
              <w:lang w:val="fr-CA"/>
            </w:rPr>
            <w:t>REQUÊTES</w:t>
          </w:r>
        </w:p>
      </w:tc>
    </w:tr>
  </w:tbl>
  <w:p w:rsidR="00C231A1" w:rsidRDefault="00C231A1"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231A1" w:rsidRPr="00D16260">
      <w:tc>
        <w:tcPr>
          <w:tcW w:w="420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31A1" w:rsidRPr="00B01A03" w:rsidRDefault="00C231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231A1" w:rsidRPr="00B01A03"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231A1" w:rsidRPr="00B01A03"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231A1" w:rsidRPr="00D16260" w:rsidTr="00245129">
      <w:tc>
        <w:tcPr>
          <w:tcW w:w="4200" w:type="dxa"/>
          <w:tcMar>
            <w:left w:w="0" w:type="dxa"/>
            <w:right w:w="0" w:type="dxa"/>
          </w:tcMar>
        </w:tcPr>
        <w:p w:rsidR="00C231A1" w:rsidRPr="00F40249" w:rsidRDefault="00C231A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231A1" w:rsidRDefault="00C231A1" w:rsidP="00102926">
          <w:pPr>
            <w:keepNext/>
            <w:keepLines/>
            <w:tabs>
              <w:tab w:val="left" w:pos="-1440"/>
              <w:tab w:val="left" w:pos="-720"/>
            </w:tabs>
            <w:jc w:val="center"/>
            <w:rPr>
              <w:sz w:val="20"/>
              <w:szCs w:val="20"/>
            </w:rPr>
          </w:pPr>
        </w:p>
        <w:p w:rsidR="00C231A1" w:rsidRDefault="00C231A1" w:rsidP="00102926">
          <w:pPr>
            <w:keepNext/>
            <w:keepLines/>
            <w:tabs>
              <w:tab w:val="left" w:pos="-1440"/>
              <w:tab w:val="left" w:pos="-720"/>
            </w:tabs>
            <w:jc w:val="center"/>
            <w:rPr>
              <w:sz w:val="20"/>
              <w:szCs w:val="20"/>
            </w:rPr>
          </w:pPr>
        </w:p>
        <w:p w:rsidR="00C231A1" w:rsidRPr="00F40249" w:rsidRDefault="00C231A1" w:rsidP="00102926">
          <w:pPr>
            <w:keepNext/>
            <w:keepLines/>
            <w:tabs>
              <w:tab w:val="left" w:pos="-1440"/>
              <w:tab w:val="left" w:pos="-720"/>
            </w:tabs>
            <w:jc w:val="center"/>
            <w:rPr>
              <w:sz w:val="20"/>
              <w:szCs w:val="20"/>
            </w:rPr>
          </w:pPr>
        </w:p>
      </w:tc>
      <w:tc>
        <w:tcPr>
          <w:tcW w:w="4230" w:type="dxa"/>
          <w:tcMar>
            <w:left w:w="0" w:type="dxa"/>
            <w:right w:w="0" w:type="dxa"/>
          </w:tcMar>
        </w:tcPr>
        <w:p w:rsidR="00C231A1" w:rsidRPr="00F40249" w:rsidRDefault="00C231A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231A1" w:rsidRPr="00B01A03" w:rsidRDefault="00C231A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231A1" w:rsidRPr="00D16260">
      <w:tc>
        <w:tcPr>
          <w:tcW w:w="420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231A1" w:rsidRPr="003C2C0F" w:rsidRDefault="00C231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231A1" w:rsidRPr="003C2C0F"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231A1" w:rsidRPr="003C2C0F"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231A1" w:rsidRPr="00D16260" w:rsidTr="00245129">
      <w:tc>
        <w:tcPr>
          <w:tcW w:w="4200" w:type="dxa"/>
          <w:tcMar>
            <w:left w:w="0" w:type="dxa"/>
            <w:right w:w="0" w:type="dxa"/>
          </w:tcMar>
        </w:tcPr>
        <w:p w:rsidR="00C231A1" w:rsidRPr="00FF6EEC" w:rsidRDefault="00C231A1" w:rsidP="00FF6EEC">
          <w:pPr>
            <w:rPr>
              <w:sz w:val="20"/>
              <w:szCs w:val="20"/>
            </w:rPr>
          </w:pPr>
          <w:r w:rsidRPr="00FF6EEC">
            <w:rPr>
              <w:sz w:val="20"/>
              <w:szCs w:val="20"/>
            </w:rPr>
            <w:t>PRONOUNCEMENTS OF APPEALS RESERVED</w:t>
          </w:r>
        </w:p>
      </w:tc>
      <w:tc>
        <w:tcPr>
          <w:tcW w:w="1200" w:type="dxa"/>
          <w:tcMar>
            <w:left w:w="0" w:type="dxa"/>
            <w:right w:w="0" w:type="dxa"/>
          </w:tcMar>
        </w:tcPr>
        <w:p w:rsidR="00C231A1" w:rsidRPr="00FF6EEC" w:rsidRDefault="00C231A1" w:rsidP="00FF6EEC">
          <w:pPr>
            <w:jc w:val="center"/>
            <w:rPr>
              <w:sz w:val="20"/>
              <w:szCs w:val="20"/>
            </w:rPr>
          </w:pPr>
        </w:p>
        <w:p w:rsidR="00C231A1" w:rsidRPr="00FF6EEC" w:rsidRDefault="00C231A1" w:rsidP="00FF6EEC">
          <w:pPr>
            <w:jc w:val="center"/>
            <w:rPr>
              <w:sz w:val="20"/>
              <w:szCs w:val="20"/>
            </w:rPr>
          </w:pPr>
        </w:p>
        <w:p w:rsidR="00C231A1" w:rsidRPr="00FF6EEC" w:rsidRDefault="00C231A1" w:rsidP="00FF6EEC">
          <w:pPr>
            <w:jc w:val="center"/>
            <w:rPr>
              <w:sz w:val="20"/>
              <w:szCs w:val="20"/>
            </w:rPr>
          </w:pPr>
        </w:p>
      </w:tc>
      <w:tc>
        <w:tcPr>
          <w:tcW w:w="4080" w:type="dxa"/>
          <w:tcMar>
            <w:left w:w="0" w:type="dxa"/>
            <w:right w:w="0" w:type="dxa"/>
          </w:tcMar>
        </w:tcPr>
        <w:p w:rsidR="00C231A1" w:rsidRPr="00FF6EEC" w:rsidRDefault="00C231A1" w:rsidP="00FF6EEC">
          <w:pPr>
            <w:rPr>
              <w:sz w:val="20"/>
              <w:szCs w:val="20"/>
              <w:lang w:val="fr-CA"/>
            </w:rPr>
          </w:pPr>
          <w:r w:rsidRPr="00FF6EEC">
            <w:rPr>
              <w:sz w:val="20"/>
              <w:szCs w:val="20"/>
              <w:lang w:val="fr-CA"/>
            </w:rPr>
            <w:t>JUGEMENTS RENDUS SUR LES APPELS EN DÉLIBÉRÉ</w:t>
          </w:r>
        </w:p>
      </w:tc>
    </w:tr>
  </w:tbl>
  <w:p w:rsidR="00C231A1" w:rsidRPr="003C2C0F" w:rsidRDefault="00C231A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231A1">
      <w:tc>
        <w:tcPr>
          <w:tcW w:w="423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231A1" w:rsidRDefault="00C231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231A1"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231A1" w:rsidRPr="00782AE4" w:rsidTr="00245129">
      <w:tc>
        <w:tcPr>
          <w:tcW w:w="4230" w:type="dxa"/>
          <w:tcMar>
            <w:left w:w="0" w:type="dxa"/>
            <w:right w:w="0" w:type="dxa"/>
          </w:tcMar>
        </w:tcPr>
        <w:p w:rsidR="00C231A1" w:rsidRPr="00782AE4" w:rsidRDefault="00C231A1" w:rsidP="00102926">
          <w:pPr>
            <w:keepNext/>
            <w:keepLines/>
            <w:tabs>
              <w:tab w:val="left" w:pos="-1440"/>
              <w:tab w:val="left" w:pos="-720"/>
            </w:tabs>
            <w:rPr>
              <w:sz w:val="20"/>
              <w:szCs w:val="20"/>
            </w:rPr>
          </w:pPr>
          <w:r w:rsidRPr="00782AE4">
            <w:rPr>
              <w:sz w:val="20"/>
              <w:szCs w:val="20"/>
            </w:rPr>
            <w:t xml:space="preserve">HEADNOTES OF RECENT </w:t>
          </w:r>
        </w:p>
        <w:p w:rsidR="00C231A1" w:rsidRPr="00782AE4"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231A1" w:rsidRDefault="00C231A1" w:rsidP="00102926">
          <w:pPr>
            <w:keepNext/>
            <w:keepLines/>
            <w:tabs>
              <w:tab w:val="left" w:pos="-1440"/>
              <w:tab w:val="left" w:pos="-720"/>
            </w:tabs>
            <w:jc w:val="center"/>
            <w:rPr>
              <w:sz w:val="20"/>
              <w:szCs w:val="20"/>
            </w:rPr>
          </w:pPr>
        </w:p>
        <w:p w:rsidR="00C231A1" w:rsidRDefault="00C231A1" w:rsidP="00102926">
          <w:pPr>
            <w:keepNext/>
            <w:keepLines/>
            <w:tabs>
              <w:tab w:val="left" w:pos="-1440"/>
              <w:tab w:val="left" w:pos="-720"/>
            </w:tabs>
            <w:jc w:val="center"/>
            <w:rPr>
              <w:sz w:val="20"/>
              <w:szCs w:val="20"/>
            </w:rPr>
          </w:pPr>
        </w:p>
        <w:p w:rsidR="00C231A1" w:rsidRPr="00782AE4" w:rsidRDefault="00C231A1" w:rsidP="00102926">
          <w:pPr>
            <w:keepNext/>
            <w:keepLines/>
            <w:tabs>
              <w:tab w:val="left" w:pos="-1440"/>
              <w:tab w:val="left" w:pos="-720"/>
            </w:tabs>
            <w:jc w:val="center"/>
            <w:rPr>
              <w:sz w:val="20"/>
              <w:szCs w:val="20"/>
            </w:rPr>
          </w:pPr>
        </w:p>
      </w:tc>
      <w:tc>
        <w:tcPr>
          <w:tcW w:w="4080" w:type="dxa"/>
          <w:tcMar>
            <w:left w:w="0" w:type="dxa"/>
            <w:right w:w="0" w:type="dxa"/>
          </w:tcMar>
        </w:tcPr>
        <w:p w:rsidR="00C231A1" w:rsidRPr="00102926"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231A1" w:rsidRPr="00782AE4" w:rsidRDefault="00C231A1" w:rsidP="00102926">
          <w:pPr>
            <w:keepLines/>
            <w:tabs>
              <w:tab w:val="left" w:pos="-1440"/>
              <w:tab w:val="left" w:pos="-720"/>
            </w:tabs>
            <w:rPr>
              <w:sz w:val="20"/>
              <w:szCs w:val="20"/>
            </w:rPr>
          </w:pPr>
          <w:r w:rsidRPr="00102926">
            <w:rPr>
              <w:sz w:val="20"/>
              <w:szCs w:val="20"/>
              <w:lang w:val="fr-CA"/>
            </w:rPr>
            <w:t>RÉCENTS</w:t>
          </w:r>
        </w:p>
      </w:tc>
    </w:tr>
  </w:tbl>
  <w:p w:rsidR="00C231A1" w:rsidRDefault="00C231A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231A1" w:rsidRPr="0044776A" w:rsidTr="00245129">
      <w:tc>
        <w:tcPr>
          <w:tcW w:w="4290" w:type="dxa"/>
          <w:tcMar>
            <w:left w:w="0" w:type="dxa"/>
            <w:right w:w="0" w:type="dxa"/>
          </w:tcMar>
        </w:tcPr>
        <w:p w:rsidR="00C231A1" w:rsidRPr="0044776A" w:rsidRDefault="00C231A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231A1" w:rsidRPr="0044776A" w:rsidRDefault="00C231A1" w:rsidP="002E2327">
          <w:pPr>
            <w:keepNext/>
            <w:keepLines/>
            <w:tabs>
              <w:tab w:val="left" w:pos="-1440"/>
              <w:tab w:val="left" w:pos="-720"/>
            </w:tabs>
            <w:jc w:val="center"/>
            <w:rPr>
              <w:sz w:val="20"/>
              <w:szCs w:val="20"/>
            </w:rPr>
          </w:pPr>
        </w:p>
        <w:p w:rsidR="00C231A1" w:rsidRPr="0044776A" w:rsidRDefault="00C231A1" w:rsidP="002E2327">
          <w:pPr>
            <w:keepNext/>
            <w:keepLines/>
            <w:tabs>
              <w:tab w:val="left" w:pos="-1440"/>
              <w:tab w:val="left" w:pos="-720"/>
            </w:tabs>
            <w:jc w:val="center"/>
            <w:rPr>
              <w:sz w:val="20"/>
              <w:szCs w:val="20"/>
            </w:rPr>
          </w:pPr>
        </w:p>
        <w:p w:rsidR="00C231A1" w:rsidRPr="0044776A" w:rsidRDefault="00C231A1" w:rsidP="002E2327">
          <w:pPr>
            <w:keepNext/>
            <w:keepLines/>
            <w:tabs>
              <w:tab w:val="left" w:pos="-1440"/>
              <w:tab w:val="left" w:pos="-720"/>
            </w:tabs>
            <w:jc w:val="center"/>
            <w:rPr>
              <w:sz w:val="20"/>
              <w:szCs w:val="20"/>
            </w:rPr>
          </w:pPr>
        </w:p>
      </w:tc>
      <w:tc>
        <w:tcPr>
          <w:tcW w:w="4320" w:type="dxa"/>
          <w:tcMar>
            <w:left w:w="0" w:type="dxa"/>
            <w:right w:w="0" w:type="dxa"/>
          </w:tcMar>
        </w:tcPr>
        <w:p w:rsidR="00C231A1" w:rsidRPr="0044776A" w:rsidRDefault="00C231A1" w:rsidP="002E2327">
          <w:pPr>
            <w:keepLines/>
            <w:rPr>
              <w:sz w:val="20"/>
              <w:szCs w:val="20"/>
              <w:lang w:val="fr-CA"/>
            </w:rPr>
          </w:pPr>
          <w:r w:rsidRPr="0044776A">
            <w:rPr>
              <w:sz w:val="20"/>
              <w:szCs w:val="20"/>
              <w:lang w:val="fr-CA"/>
            </w:rPr>
            <w:t>DEMANDES D'AUTORISATION D'APPEL DÉPOSÉES</w:t>
          </w:r>
        </w:p>
      </w:tc>
    </w:tr>
  </w:tbl>
  <w:p w:rsidR="00C231A1" w:rsidRDefault="00C231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231A1" w:rsidRPr="00D16260" w:rsidTr="00245129">
      <w:tc>
        <w:tcPr>
          <w:tcW w:w="4200" w:type="dxa"/>
          <w:tcMar>
            <w:left w:w="0" w:type="dxa"/>
            <w:right w:w="0" w:type="dxa"/>
          </w:tcMar>
        </w:tcPr>
        <w:p w:rsidR="00C231A1" w:rsidRPr="0044776A" w:rsidRDefault="00C231A1" w:rsidP="0044776A">
          <w:pPr>
            <w:keepNext/>
            <w:keepLines/>
            <w:widowControl w:val="0"/>
            <w:rPr>
              <w:sz w:val="20"/>
              <w:szCs w:val="20"/>
            </w:rPr>
          </w:pPr>
          <w:r>
            <w:rPr>
              <w:sz w:val="20"/>
              <w:szCs w:val="20"/>
            </w:rPr>
            <w:t>APPLICATIONS FOR LEAVE</w:t>
          </w:r>
        </w:p>
        <w:p w:rsidR="00C231A1" w:rsidRPr="0044776A" w:rsidRDefault="00C231A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231A1" w:rsidRPr="0044776A" w:rsidRDefault="00C231A1" w:rsidP="0044776A">
          <w:pPr>
            <w:keepNext/>
            <w:keepLines/>
            <w:widowControl w:val="0"/>
            <w:jc w:val="center"/>
            <w:rPr>
              <w:sz w:val="20"/>
              <w:szCs w:val="20"/>
            </w:rPr>
          </w:pPr>
        </w:p>
        <w:p w:rsidR="00C231A1" w:rsidRPr="0044776A" w:rsidRDefault="00C231A1" w:rsidP="0044776A">
          <w:pPr>
            <w:keepNext/>
            <w:keepLines/>
            <w:widowControl w:val="0"/>
            <w:jc w:val="center"/>
            <w:rPr>
              <w:sz w:val="20"/>
              <w:szCs w:val="20"/>
            </w:rPr>
          </w:pPr>
        </w:p>
        <w:p w:rsidR="00C231A1" w:rsidRPr="0044776A" w:rsidRDefault="00C231A1" w:rsidP="0044776A">
          <w:pPr>
            <w:keepNext/>
            <w:keepLines/>
            <w:widowControl w:val="0"/>
            <w:jc w:val="center"/>
            <w:rPr>
              <w:sz w:val="20"/>
              <w:szCs w:val="20"/>
            </w:rPr>
          </w:pPr>
        </w:p>
      </w:tc>
      <w:tc>
        <w:tcPr>
          <w:tcW w:w="4080" w:type="dxa"/>
          <w:tcMar>
            <w:left w:w="0" w:type="dxa"/>
            <w:right w:w="0" w:type="dxa"/>
          </w:tcMar>
        </w:tcPr>
        <w:p w:rsidR="00C231A1" w:rsidRPr="0044776A" w:rsidRDefault="00C231A1" w:rsidP="0044776A">
          <w:pPr>
            <w:keepLines/>
            <w:widowControl w:val="0"/>
            <w:rPr>
              <w:sz w:val="20"/>
              <w:szCs w:val="20"/>
              <w:lang w:val="fr-CA"/>
            </w:rPr>
          </w:pPr>
          <w:r w:rsidRPr="0044776A">
            <w:rPr>
              <w:sz w:val="20"/>
              <w:szCs w:val="20"/>
              <w:lang w:val="fr-CA"/>
            </w:rPr>
            <w:t>DEMANDES SOUMISES À LA COUR DEPUIS LA DERNIÈRE PARUTION</w:t>
          </w:r>
        </w:p>
        <w:p w:rsidR="00C231A1" w:rsidRPr="0044776A" w:rsidRDefault="00C231A1" w:rsidP="0044776A">
          <w:pPr>
            <w:widowControl w:val="0"/>
            <w:rPr>
              <w:sz w:val="20"/>
              <w:szCs w:val="20"/>
              <w:lang w:val="fr-CA"/>
            </w:rPr>
          </w:pPr>
        </w:p>
      </w:tc>
    </w:tr>
  </w:tbl>
  <w:p w:rsidR="00C231A1" w:rsidRPr="002E2327" w:rsidRDefault="00C231A1">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1" w:rsidRDefault="00C231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231A1" w:rsidRPr="00D16260">
      <w:tc>
        <w:tcPr>
          <w:tcW w:w="4200" w:type="dxa"/>
          <w:tcMar>
            <w:left w:w="0" w:type="dxa"/>
            <w:right w:w="0" w:type="dxa"/>
          </w:tcMar>
        </w:tcPr>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231A1"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231A1" w:rsidRDefault="00C231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31A1" w:rsidRPr="00FF6BA5" w:rsidRDefault="00C231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231A1" w:rsidRPr="00FF6BA5"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231A1" w:rsidRPr="00FF6BA5"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231A1" w:rsidRPr="00FF6BA5" w:rsidRDefault="00C23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231A1" w:rsidRPr="00D16260" w:rsidTr="00245129">
      <w:tc>
        <w:tcPr>
          <w:tcW w:w="4200" w:type="dxa"/>
          <w:tcMar>
            <w:left w:w="0" w:type="dxa"/>
            <w:right w:w="0" w:type="dxa"/>
          </w:tcMar>
        </w:tcPr>
        <w:p w:rsidR="00C231A1" w:rsidRPr="00755F22"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231A1" w:rsidRPr="00755F22" w:rsidRDefault="00C231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231A1" w:rsidRPr="00755F22" w:rsidRDefault="00C231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231A1" w:rsidRPr="00755F22" w:rsidRDefault="00C231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231A1" w:rsidRPr="00755F22" w:rsidRDefault="00C231A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231A1" w:rsidRPr="00755F22" w:rsidRDefault="00C231A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231A1" w:rsidRPr="00FF6BA5" w:rsidRDefault="00C231A1"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57359"/>
  </w:hdrShapeDefaults>
  <w:footnotePr>
    <w:footnote w:id="-1"/>
    <w:footnote w:id="0"/>
  </w:footnotePr>
  <w:endnotePr>
    <w:endnote w:id="-1"/>
    <w:endnote w:id="0"/>
  </w:endnotePr>
  <w:compat>
    <w:compatSetting w:name="compatibilityMode" w:uri="http://schemas.microsoft.com/office/word" w:val="12"/>
  </w:compat>
  <w:rsids>
    <w:rsidRoot w:val="0057304C"/>
    <w:rsid w:val="0003223B"/>
    <w:rsid w:val="000327B2"/>
    <w:rsid w:val="00091FA6"/>
    <w:rsid w:val="00096BD9"/>
    <w:rsid w:val="000B3C9A"/>
    <w:rsid w:val="000B40A2"/>
    <w:rsid w:val="000B4624"/>
    <w:rsid w:val="000C0ACD"/>
    <w:rsid w:val="000C0D2A"/>
    <w:rsid w:val="000C2785"/>
    <w:rsid w:val="000C5CE8"/>
    <w:rsid w:val="000E2959"/>
    <w:rsid w:val="000E5C51"/>
    <w:rsid w:val="000F0B60"/>
    <w:rsid w:val="00102926"/>
    <w:rsid w:val="0010587F"/>
    <w:rsid w:val="00111C6B"/>
    <w:rsid w:val="0012102B"/>
    <w:rsid w:val="0013369E"/>
    <w:rsid w:val="00164E6D"/>
    <w:rsid w:val="001B157C"/>
    <w:rsid w:val="001B5C23"/>
    <w:rsid w:val="001C0E24"/>
    <w:rsid w:val="001D0D5F"/>
    <w:rsid w:val="001D6B8C"/>
    <w:rsid w:val="001F1F83"/>
    <w:rsid w:val="001F40DF"/>
    <w:rsid w:val="001F7600"/>
    <w:rsid w:val="002021A9"/>
    <w:rsid w:val="002139A7"/>
    <w:rsid w:val="00215F7C"/>
    <w:rsid w:val="0022323B"/>
    <w:rsid w:val="002410B8"/>
    <w:rsid w:val="00242AEE"/>
    <w:rsid w:val="00243043"/>
    <w:rsid w:val="00245129"/>
    <w:rsid w:val="00245879"/>
    <w:rsid w:val="00267FD5"/>
    <w:rsid w:val="00274116"/>
    <w:rsid w:val="00274D34"/>
    <w:rsid w:val="00283ED8"/>
    <w:rsid w:val="002868D0"/>
    <w:rsid w:val="002A008C"/>
    <w:rsid w:val="002A27D1"/>
    <w:rsid w:val="002A4AFA"/>
    <w:rsid w:val="002B516C"/>
    <w:rsid w:val="002D0610"/>
    <w:rsid w:val="002D5099"/>
    <w:rsid w:val="002D72EB"/>
    <w:rsid w:val="002E2327"/>
    <w:rsid w:val="002E3583"/>
    <w:rsid w:val="002E5576"/>
    <w:rsid w:val="00315D2A"/>
    <w:rsid w:val="00331B52"/>
    <w:rsid w:val="003359D3"/>
    <w:rsid w:val="00355967"/>
    <w:rsid w:val="0035768E"/>
    <w:rsid w:val="00372476"/>
    <w:rsid w:val="00382C47"/>
    <w:rsid w:val="00384384"/>
    <w:rsid w:val="0038562F"/>
    <w:rsid w:val="003866AE"/>
    <w:rsid w:val="003B3977"/>
    <w:rsid w:val="003B62C0"/>
    <w:rsid w:val="003C71AC"/>
    <w:rsid w:val="003E1D4C"/>
    <w:rsid w:val="00432989"/>
    <w:rsid w:val="00440E24"/>
    <w:rsid w:val="0044776A"/>
    <w:rsid w:val="00460AFC"/>
    <w:rsid w:val="0047471F"/>
    <w:rsid w:val="004B195E"/>
    <w:rsid w:val="004B66B4"/>
    <w:rsid w:val="004B7F60"/>
    <w:rsid w:val="004C1AAC"/>
    <w:rsid w:val="004E1E0A"/>
    <w:rsid w:val="004F090E"/>
    <w:rsid w:val="00501F3C"/>
    <w:rsid w:val="00516261"/>
    <w:rsid w:val="00527CC7"/>
    <w:rsid w:val="00571CA4"/>
    <w:rsid w:val="0057304C"/>
    <w:rsid w:val="00582136"/>
    <w:rsid w:val="00590587"/>
    <w:rsid w:val="005C6840"/>
    <w:rsid w:val="005D2392"/>
    <w:rsid w:val="005F263E"/>
    <w:rsid w:val="00600252"/>
    <w:rsid w:val="00612A40"/>
    <w:rsid w:val="0062505E"/>
    <w:rsid w:val="0062714A"/>
    <w:rsid w:val="00675479"/>
    <w:rsid w:val="00680709"/>
    <w:rsid w:val="00696BF9"/>
    <w:rsid w:val="00697C62"/>
    <w:rsid w:val="006A329B"/>
    <w:rsid w:val="006A4092"/>
    <w:rsid w:val="006A7EB8"/>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C04FC"/>
    <w:rsid w:val="007D3E0F"/>
    <w:rsid w:val="007E4282"/>
    <w:rsid w:val="007F02D9"/>
    <w:rsid w:val="007F387B"/>
    <w:rsid w:val="00802863"/>
    <w:rsid w:val="00810FC1"/>
    <w:rsid w:val="00815B3C"/>
    <w:rsid w:val="0081610A"/>
    <w:rsid w:val="0082783A"/>
    <w:rsid w:val="00831660"/>
    <w:rsid w:val="00831CA9"/>
    <w:rsid w:val="00850E1F"/>
    <w:rsid w:val="0085476B"/>
    <w:rsid w:val="00890FEB"/>
    <w:rsid w:val="008A16A7"/>
    <w:rsid w:val="008A5C1A"/>
    <w:rsid w:val="008D292F"/>
    <w:rsid w:val="008E03DC"/>
    <w:rsid w:val="008E5800"/>
    <w:rsid w:val="00902E51"/>
    <w:rsid w:val="00907041"/>
    <w:rsid w:val="00924065"/>
    <w:rsid w:val="00927BFD"/>
    <w:rsid w:val="00927F5A"/>
    <w:rsid w:val="00930D68"/>
    <w:rsid w:val="00932DB4"/>
    <w:rsid w:val="00941A4B"/>
    <w:rsid w:val="00946242"/>
    <w:rsid w:val="0095096B"/>
    <w:rsid w:val="00970CD3"/>
    <w:rsid w:val="009723FA"/>
    <w:rsid w:val="00984546"/>
    <w:rsid w:val="00996510"/>
    <w:rsid w:val="009D1F15"/>
    <w:rsid w:val="009D555E"/>
    <w:rsid w:val="009E3459"/>
    <w:rsid w:val="009F3024"/>
    <w:rsid w:val="009F4ED6"/>
    <w:rsid w:val="00A0355E"/>
    <w:rsid w:val="00A27105"/>
    <w:rsid w:val="00A33D62"/>
    <w:rsid w:val="00A375D1"/>
    <w:rsid w:val="00A51D10"/>
    <w:rsid w:val="00A52A83"/>
    <w:rsid w:val="00A6552C"/>
    <w:rsid w:val="00A87207"/>
    <w:rsid w:val="00A935AA"/>
    <w:rsid w:val="00AA1399"/>
    <w:rsid w:val="00AB2201"/>
    <w:rsid w:val="00AD3259"/>
    <w:rsid w:val="00AF1715"/>
    <w:rsid w:val="00AF3904"/>
    <w:rsid w:val="00B010C0"/>
    <w:rsid w:val="00B4740D"/>
    <w:rsid w:val="00B55D94"/>
    <w:rsid w:val="00B61629"/>
    <w:rsid w:val="00B7374B"/>
    <w:rsid w:val="00B90DC0"/>
    <w:rsid w:val="00BA116A"/>
    <w:rsid w:val="00BA5582"/>
    <w:rsid w:val="00BA6468"/>
    <w:rsid w:val="00BB1D44"/>
    <w:rsid w:val="00BD06DA"/>
    <w:rsid w:val="00BD4217"/>
    <w:rsid w:val="00BF25F3"/>
    <w:rsid w:val="00BF31AA"/>
    <w:rsid w:val="00C14ABB"/>
    <w:rsid w:val="00C1697B"/>
    <w:rsid w:val="00C21CB5"/>
    <w:rsid w:val="00C231A1"/>
    <w:rsid w:val="00C23318"/>
    <w:rsid w:val="00C50A5C"/>
    <w:rsid w:val="00C50FDF"/>
    <w:rsid w:val="00C63381"/>
    <w:rsid w:val="00C73D06"/>
    <w:rsid w:val="00C73E1B"/>
    <w:rsid w:val="00C759B4"/>
    <w:rsid w:val="00C77713"/>
    <w:rsid w:val="00C85BB7"/>
    <w:rsid w:val="00CA2DEA"/>
    <w:rsid w:val="00CA4464"/>
    <w:rsid w:val="00CB43D5"/>
    <w:rsid w:val="00CC4D84"/>
    <w:rsid w:val="00CE126A"/>
    <w:rsid w:val="00CE198A"/>
    <w:rsid w:val="00CF08C8"/>
    <w:rsid w:val="00D004FC"/>
    <w:rsid w:val="00D16260"/>
    <w:rsid w:val="00D33841"/>
    <w:rsid w:val="00D64901"/>
    <w:rsid w:val="00D76BDF"/>
    <w:rsid w:val="00D862C1"/>
    <w:rsid w:val="00D93B50"/>
    <w:rsid w:val="00D94028"/>
    <w:rsid w:val="00D94670"/>
    <w:rsid w:val="00DA46F6"/>
    <w:rsid w:val="00DB6C2F"/>
    <w:rsid w:val="00DB6FFE"/>
    <w:rsid w:val="00DD0B49"/>
    <w:rsid w:val="00DE0502"/>
    <w:rsid w:val="00DE214D"/>
    <w:rsid w:val="00DE349D"/>
    <w:rsid w:val="00E06DFA"/>
    <w:rsid w:val="00E20A0A"/>
    <w:rsid w:val="00E356C7"/>
    <w:rsid w:val="00E45FE4"/>
    <w:rsid w:val="00E6437B"/>
    <w:rsid w:val="00E64FA7"/>
    <w:rsid w:val="00E770CB"/>
    <w:rsid w:val="00E903A1"/>
    <w:rsid w:val="00E940EB"/>
    <w:rsid w:val="00E9703F"/>
    <w:rsid w:val="00EB2B90"/>
    <w:rsid w:val="00ED7E83"/>
    <w:rsid w:val="00EE091F"/>
    <w:rsid w:val="00EF05A4"/>
    <w:rsid w:val="00EF4B63"/>
    <w:rsid w:val="00F0068D"/>
    <w:rsid w:val="00F0576D"/>
    <w:rsid w:val="00F14E6D"/>
    <w:rsid w:val="00F15EA8"/>
    <w:rsid w:val="00F16C8D"/>
    <w:rsid w:val="00F22981"/>
    <w:rsid w:val="00F26C61"/>
    <w:rsid w:val="00F33CCE"/>
    <w:rsid w:val="00F40249"/>
    <w:rsid w:val="00F437C1"/>
    <w:rsid w:val="00F526C8"/>
    <w:rsid w:val="00F761A3"/>
    <w:rsid w:val="00F9272D"/>
    <w:rsid w:val="00F9518C"/>
    <w:rsid w:val="00FA316E"/>
    <w:rsid w:val="00FA59EF"/>
    <w:rsid w:val="00FB19A2"/>
    <w:rsid w:val="00FC49C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FC49C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F760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F760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F760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437C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437C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F437C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F437C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canlii.ca/en/ca/laws/stat/rsc-1985-c-c-46/latest/rsc-1985-c-c-46.html" TargetMode="External"/><Relationship Id="rId39" Type="http://schemas.openxmlformats.org/officeDocument/2006/relationships/hyperlink" Target="http://canlii.ca/en/ca/laws/stat/rsc-1985-c-c-46/latest/rsc-1985-c-c-46.html" TargetMode="External"/><Relationship Id="rId21" Type="http://schemas.openxmlformats.org/officeDocument/2006/relationships/footer" Target="footer6.xml"/><Relationship Id="rId34" Type="http://schemas.openxmlformats.org/officeDocument/2006/relationships/hyperlink" Target="http://canlii.ca/en/ca/laws/stat/rsc-1985-c-c-46/latest/rsc-1985-c-c-46.html" TargetMode="External"/><Relationship Id="rId42" Type="http://schemas.openxmlformats.org/officeDocument/2006/relationships/hyperlink" Target="http://canlii.ca/en/ca/laws/stat/rsc-1985-c-c-46/latest/rsc-1985-c-c-46.html" TargetMode="External"/><Relationship Id="rId47" Type="http://schemas.openxmlformats.org/officeDocument/2006/relationships/hyperlink" Target="http://canlii.ca/en/on/onsc/doc/2012/2012onsc7014/2012onsc7014.html" TargetMode="External"/><Relationship Id="rId50" Type="http://schemas.openxmlformats.org/officeDocument/2006/relationships/hyperlink" Target="http://canlii.ca/fr/qc/qccs/doc/2011/2011qccs5932/2011qccs5932.html" TargetMode="External"/><Relationship Id="rId55" Type="http://schemas.openxmlformats.org/officeDocument/2006/relationships/hyperlink" Target="http://canlii.ca/t/g3586" TargetMode="External"/><Relationship Id="rId63" Type="http://schemas.openxmlformats.org/officeDocument/2006/relationships/header" Target="header11.xml"/><Relationship Id="rId68" Type="http://schemas.openxmlformats.org/officeDocument/2006/relationships/footer" Target="footer13.xml"/><Relationship Id="rId76" Type="http://schemas.openxmlformats.org/officeDocument/2006/relationships/header" Target="header18.xml"/><Relationship Id="rId84" Type="http://schemas.openxmlformats.org/officeDocument/2006/relationships/header" Target="header20.xml"/><Relationship Id="rId89" Type="http://schemas.openxmlformats.org/officeDocument/2006/relationships/footer" Target="footer22.xml"/><Relationship Id="rId7" Type="http://schemas.openxmlformats.org/officeDocument/2006/relationships/image" Target="media/image1.wmf"/><Relationship Id="rId71" Type="http://schemas.openxmlformats.org/officeDocument/2006/relationships/footer" Target="footer14.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en/on/onsc/doc/2011/2011onsc4874/2011onsc4874.html" TargetMode="External"/><Relationship Id="rId11" Type="http://schemas.openxmlformats.org/officeDocument/2006/relationships/header" Target="header2.xml"/><Relationship Id="rId24" Type="http://schemas.openxmlformats.org/officeDocument/2006/relationships/hyperlink" Target="http://canlii.ca/en/on/onsc/doc/2011/2011onsc4874/2011onsc4874.html" TargetMode="External"/><Relationship Id="rId32" Type="http://schemas.openxmlformats.org/officeDocument/2006/relationships/hyperlink" Target="http://canlii.ca/en/on/onca/doc/2013/2013onca677/2013onca677.html" TargetMode="External"/><Relationship Id="rId37" Type="http://schemas.openxmlformats.org/officeDocument/2006/relationships/hyperlink" Target="http://canlii.ca/en/ca/laws/stat/rsc-1985-c-c-46/latest/rsc-1985-c-c-46.html" TargetMode="External"/><Relationship Id="rId40" Type="http://schemas.openxmlformats.org/officeDocument/2006/relationships/hyperlink" Target="http://canlii.ca/en/ca/laws/stat/rsc-1985-c-c-46/latest/rsc-1985-c-c-46.html" TargetMode="External"/><Relationship Id="rId45" Type="http://schemas.openxmlformats.org/officeDocument/2006/relationships/hyperlink" Target="http://canlii.ca/en/on/onsc/doc/2012/2012onsc7014/2012onsc7014.html" TargetMode="External"/><Relationship Id="rId53" Type="http://schemas.openxmlformats.org/officeDocument/2006/relationships/hyperlink" Target="http://canlii.ca/fr/qc/qccs/doc/2011/2011qccs5932/2011qccs5932.html" TargetMode="External"/><Relationship Id="rId58" Type="http://schemas.openxmlformats.org/officeDocument/2006/relationships/header" Target="header9.xml"/><Relationship Id="rId66" Type="http://schemas.openxmlformats.org/officeDocument/2006/relationships/footer" Target="footer12.xml"/><Relationship Id="rId74" Type="http://schemas.openxmlformats.org/officeDocument/2006/relationships/footer" Target="footer16.xml"/><Relationship Id="rId79" Type="http://schemas.openxmlformats.org/officeDocument/2006/relationships/header" Target="header19.xml"/><Relationship Id="rId87" Type="http://schemas.openxmlformats.org/officeDocument/2006/relationships/footer" Target="footer21.xml"/><Relationship Id="rId5" Type="http://schemas.openxmlformats.org/officeDocument/2006/relationships/footnotes" Target="footnotes.xml"/><Relationship Id="rId61" Type="http://schemas.openxmlformats.org/officeDocument/2006/relationships/header" Target="header10.xml"/><Relationship Id="rId82" Type="http://schemas.openxmlformats.org/officeDocument/2006/relationships/hyperlink" Target="http://www.scc-csc.ca/case-dossier/info/sum-som-eng.aspx?cas=35115" TargetMode="External"/><Relationship Id="rId90" Type="http://schemas.openxmlformats.org/officeDocument/2006/relationships/header" Target="header2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en/on/onca/doc/2013/2013onca677/2013onca677.html" TargetMode="External"/><Relationship Id="rId30" Type="http://schemas.openxmlformats.org/officeDocument/2006/relationships/hyperlink" Target="http://canlii.ca/en/ca/laws/stat/rsc-1985-c-c-46/latest/rsc-1985-c-c-46.html" TargetMode="External"/><Relationship Id="rId35" Type="http://schemas.openxmlformats.org/officeDocument/2006/relationships/hyperlink" Target="http://canlii.ca/en/ca/laws/stat/rsc-1985-c-c-46/latest/rsc-1985-c-c-46.html" TargetMode="External"/><Relationship Id="rId43" Type="http://schemas.openxmlformats.org/officeDocument/2006/relationships/hyperlink" Target="http://www.canlii.org/en/on/onca/doc/2013/2013onca248/2013onca248.html" TargetMode="External"/><Relationship Id="rId48" Type="http://schemas.openxmlformats.org/officeDocument/2006/relationships/hyperlink" Target="http://canlii.ca/en/on/onca/doc/2013/2013onca722/2013onca722.html" TargetMode="External"/><Relationship Id="rId56" Type="http://schemas.openxmlformats.org/officeDocument/2006/relationships/hyperlink" Target="http://canlii.ca/t/g3586" TargetMode="External"/><Relationship Id="rId64" Type="http://schemas.openxmlformats.org/officeDocument/2006/relationships/header" Target="header12.xml"/><Relationship Id="rId69" Type="http://schemas.openxmlformats.org/officeDocument/2006/relationships/header" Target="header14.xml"/><Relationship Id="rId77" Type="http://schemas.openxmlformats.org/officeDocument/2006/relationships/footer" Target="footer17.xml"/><Relationship Id="rId8" Type="http://schemas.openxmlformats.org/officeDocument/2006/relationships/hyperlink" Target="http://www.scc-csc.ca" TargetMode="External"/><Relationship Id="rId51" Type="http://schemas.openxmlformats.org/officeDocument/2006/relationships/hyperlink" Target="http://canlii.ca/fr/qc/qcca/doc/2013/2013qcca2088/2013qcca2088.html" TargetMode="External"/><Relationship Id="rId72" Type="http://schemas.openxmlformats.org/officeDocument/2006/relationships/footer" Target="footer15.xml"/><Relationship Id="rId80" Type="http://schemas.openxmlformats.org/officeDocument/2006/relationships/footer" Target="footer19.xml"/><Relationship Id="rId85" Type="http://schemas.openxmlformats.org/officeDocument/2006/relationships/header" Target="header21.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en/ca/laws/stat/rsc-1985-c-c-46/latest/rsc-1985-c-c-46.html" TargetMode="External"/><Relationship Id="rId33" Type="http://schemas.openxmlformats.org/officeDocument/2006/relationships/hyperlink" Target="http://canlii.ca/en/ca/laws/stat/rsc-1985-c-c-46/latest/rsc-1985-c-c-46.html" TargetMode="External"/><Relationship Id="rId38" Type="http://schemas.openxmlformats.org/officeDocument/2006/relationships/hyperlink" Target="http://canlii.ca/en/on/onsc/doc/2010/2010onsc5437/2010onsc5437.html" TargetMode="External"/><Relationship Id="rId46" Type="http://schemas.openxmlformats.org/officeDocument/2006/relationships/hyperlink" Target="http://canlii.ca/en/on/onca/doc/2013/2013onca722/2013onca722.html" TargetMode="External"/><Relationship Id="rId59" Type="http://schemas.openxmlformats.org/officeDocument/2006/relationships/footer" Target="footer8.xml"/><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hyperlink" Target="http://canlii.ca/en/on/onca/doc/2013/2013onca681/2013onca681.html" TargetMode="External"/><Relationship Id="rId54" Type="http://schemas.openxmlformats.org/officeDocument/2006/relationships/hyperlink" Target="http://canlii.ca/fr/qc/qcca/doc/2013/2013qcca2088/2013qcca2088.html" TargetMode="External"/><Relationship Id="rId62" Type="http://schemas.openxmlformats.org/officeDocument/2006/relationships/footer" Target="footer10.xml"/><Relationship Id="rId70" Type="http://schemas.openxmlformats.org/officeDocument/2006/relationships/header" Target="header15.xml"/><Relationship Id="rId75" Type="http://schemas.openxmlformats.org/officeDocument/2006/relationships/header" Target="header17.xml"/><Relationship Id="rId83" Type="http://schemas.openxmlformats.org/officeDocument/2006/relationships/hyperlink" Target="http://www.scc-csc.ca/case-dossier/info/sum-som-eng.aspx?cas=35487" TargetMode="External"/><Relationship Id="rId88" Type="http://schemas.openxmlformats.org/officeDocument/2006/relationships/header" Target="header22.xml"/><Relationship Id="rId9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en/ca/laws/stat/rsc-1985-c-c-46/latest/rsc-1985-c-c-46.html" TargetMode="External"/><Relationship Id="rId36" Type="http://schemas.openxmlformats.org/officeDocument/2006/relationships/hyperlink" Target="http://canlii.ca/en/on/onca/doc/2013/2013onca681/2013onca681.html" TargetMode="External"/><Relationship Id="rId49" Type="http://schemas.openxmlformats.org/officeDocument/2006/relationships/hyperlink" Target="http://canlii.ca/fr/qc/qccrt/doc/2010/2010qccrt479/2010qccrt479.html" TargetMode="External"/><Relationship Id="rId57" Type="http://schemas.openxmlformats.org/officeDocument/2006/relationships/header" Target="header8.xml"/><Relationship Id="rId10" Type="http://schemas.openxmlformats.org/officeDocument/2006/relationships/header" Target="header1.xml"/><Relationship Id="rId31" Type="http://schemas.openxmlformats.org/officeDocument/2006/relationships/hyperlink" Target="http://canlii.ca/en/ca/laws/stat/rsc-1985-c-c-46/latest/rsc-1985-c-c-46.html" TargetMode="External"/><Relationship Id="rId44" Type="http://schemas.openxmlformats.org/officeDocument/2006/relationships/hyperlink" Target="http://www.canlii.org/en/on/onca/doc/2013/2013onca248/2013onca248.html" TargetMode="External"/><Relationship Id="rId52" Type="http://schemas.openxmlformats.org/officeDocument/2006/relationships/hyperlink" Target="http://canlii.ca/fr/qc/qccrt/doc/2010/2010qccrt479/2010qccrt479.html" TargetMode="External"/><Relationship Id="rId60" Type="http://schemas.openxmlformats.org/officeDocument/2006/relationships/footer" Target="footer9.xml"/><Relationship Id="rId65" Type="http://schemas.openxmlformats.org/officeDocument/2006/relationships/footer" Target="footer11.xml"/><Relationship Id="rId73" Type="http://schemas.openxmlformats.org/officeDocument/2006/relationships/header" Target="header16.xml"/><Relationship Id="rId78" Type="http://schemas.openxmlformats.org/officeDocument/2006/relationships/footer" Target="footer18.xml"/><Relationship Id="rId81" Type="http://schemas.openxmlformats.org/officeDocument/2006/relationships/hyperlink" Target="http://www.scc-csc.ca/case-dossier/info/sum-som-eng.aspx?cas=35339" TargetMode="External"/><Relationship Id="rId86"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15299</Words>
  <Characters>87206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2014-04-08T17:21:00Z</dcterms:created>
  <dcterms:modified xsi:type="dcterms:W3CDTF">2015-12-15T20:59:00Z</dcterms:modified>
</cp:coreProperties>
</file>