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A460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A46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A460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A46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A4608" w:rsidTr="002E5576">
        <w:tc>
          <w:tcPr>
            <w:tcW w:w="4518" w:type="dxa"/>
          </w:tcPr>
          <w:p w:rsidR="00BF25F3" w:rsidRPr="002E2327" w:rsidRDefault="00EF579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F579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A460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A460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B3306">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B3306">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26D72"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w:t>
      </w:r>
      <w:r w:rsidR="00440E24" w:rsidRPr="00675479">
        <w:rPr>
          <w:lang w:val="fr-CA"/>
        </w:rPr>
        <w:t>, 201</w:t>
      </w:r>
      <w:r w:rsidR="00501F3C">
        <w:rPr>
          <w:lang w:val="fr-CA"/>
        </w:rPr>
        <w:t>4</w:t>
      </w:r>
      <w:r w:rsidR="00F0068D" w:rsidRPr="00675479">
        <w:rPr>
          <w:lang w:val="fr-CA"/>
        </w:rPr>
        <w:tab/>
      </w:r>
      <w:r w:rsidR="00790566">
        <w:rPr>
          <w:lang w:val="fr-CA"/>
        </w:rPr>
        <w:t>758</w:t>
      </w:r>
      <w:r w:rsidR="00F0068D" w:rsidRPr="00675479">
        <w:rPr>
          <w:lang w:val="fr-CA"/>
        </w:rPr>
        <w:t xml:space="preserve"> </w:t>
      </w:r>
      <w:r w:rsidR="005E79B1">
        <w:rPr>
          <w:lang w:val="fr-CA"/>
        </w:rPr>
        <w:t>-</w:t>
      </w:r>
      <w:r w:rsidR="00F0068D" w:rsidRPr="00675479">
        <w:rPr>
          <w:lang w:val="fr-CA"/>
        </w:rPr>
        <w:t xml:space="preserve"> </w:t>
      </w:r>
      <w:r w:rsidR="00585401">
        <w:rPr>
          <w:lang w:val="fr-CA"/>
        </w:rPr>
        <w:t>80</w:t>
      </w:r>
      <w:r w:rsidR="000A781C">
        <w:rPr>
          <w:lang w:val="fr-CA"/>
        </w:rPr>
        <w:t>8</w:t>
      </w:r>
      <w:r w:rsidR="00440E24" w:rsidRPr="00675479">
        <w:rPr>
          <w:lang w:val="fr-CA"/>
        </w:rPr>
        <w:tab/>
      </w:r>
      <w:r w:rsidR="00440E24" w:rsidRPr="002E2327">
        <w:rPr>
          <w:lang w:val="fr-CA"/>
        </w:rPr>
        <w:t>Le</w:t>
      </w:r>
      <w:r w:rsidR="00C73D06">
        <w:rPr>
          <w:lang w:val="fr-CA"/>
        </w:rPr>
        <w:t xml:space="preserve"> </w:t>
      </w:r>
      <w:r>
        <w:rPr>
          <w:lang w:val="fr-CA"/>
        </w:rPr>
        <w:t>2</w:t>
      </w:r>
      <w:r w:rsidR="00C73D06">
        <w:rPr>
          <w:lang w:val="fr-CA"/>
        </w:rPr>
        <w:t xml:space="preserve"> </w:t>
      </w:r>
      <w:r>
        <w:rPr>
          <w:lang w:val="fr-CA"/>
        </w:rPr>
        <w:t>m</w:t>
      </w:r>
      <w:r w:rsidR="00440E24" w:rsidRPr="002E2327">
        <w:rPr>
          <w:lang w:val="fr-CA"/>
        </w:rPr>
        <w:t>ai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7474A0" w:rsidRPr="00675479" w:rsidRDefault="007474A0"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Rehearing</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16011B">
            <w:pPr>
              <w:tabs>
                <w:tab w:val="right" w:pos="9360"/>
              </w:tabs>
              <w:rPr>
                <w:rFonts w:cs="Times New Roman"/>
                <w:sz w:val="20"/>
                <w:szCs w:val="20"/>
              </w:rPr>
            </w:pPr>
          </w:p>
        </w:tc>
        <w:tc>
          <w:tcPr>
            <w:tcW w:w="1980" w:type="dxa"/>
          </w:tcPr>
          <w:p w:rsidR="0095096B" w:rsidRPr="002E2327" w:rsidRDefault="00790566" w:rsidP="0095096B">
            <w:pPr>
              <w:jc w:val="center"/>
              <w:rPr>
                <w:rFonts w:cs="Times New Roman"/>
                <w:sz w:val="20"/>
                <w:szCs w:val="20"/>
              </w:rPr>
            </w:pPr>
            <w:r>
              <w:rPr>
                <w:rFonts w:cs="Times New Roman"/>
                <w:sz w:val="20"/>
                <w:szCs w:val="20"/>
              </w:rPr>
              <w:t xml:space="preserve">758 </w:t>
            </w:r>
            <w:r w:rsidR="00EF5791" w:rsidRPr="002E2327">
              <w:rPr>
                <w:rFonts w:cs="Times New Roman"/>
                <w:sz w:val="20"/>
                <w:szCs w:val="20"/>
              </w:rPr>
              <w:fldChar w:fldCharType="begin"/>
            </w:r>
            <w:r w:rsidR="0095096B" w:rsidRPr="002E2327">
              <w:rPr>
                <w:rFonts w:cs="Times New Roman"/>
                <w:sz w:val="20"/>
                <w:szCs w:val="20"/>
              </w:rPr>
              <w:instrText xml:space="preserve"> SEQ CHAPTER \h \r 1</w:instrText>
            </w:r>
            <w:r w:rsidR="00EF5791" w:rsidRPr="002E2327">
              <w:rPr>
                <w:rFonts w:cs="Times New Roman"/>
                <w:sz w:val="20"/>
                <w:szCs w:val="20"/>
              </w:rPr>
              <w:fldChar w:fldCharType="end"/>
            </w:r>
            <w:r w:rsidR="0095096B" w:rsidRPr="002E2327">
              <w:rPr>
                <w:rFonts w:cs="Times New Roman"/>
                <w:sz w:val="20"/>
                <w:szCs w:val="20"/>
              </w:rPr>
              <w:t>-</w:t>
            </w:r>
            <w:r w:rsidR="005C21FF">
              <w:rPr>
                <w:rFonts w:cs="Times New Roman"/>
                <w:sz w:val="20"/>
                <w:szCs w:val="20"/>
              </w:rPr>
              <w:t xml:space="preserve"> 759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C21FF" w:rsidP="0095096B">
            <w:pPr>
              <w:jc w:val="center"/>
              <w:rPr>
                <w:rFonts w:cs="Times New Roman"/>
                <w:sz w:val="20"/>
                <w:szCs w:val="20"/>
              </w:rPr>
            </w:pPr>
            <w:r>
              <w:rPr>
                <w:rFonts w:cs="Times New Roman"/>
                <w:sz w:val="20"/>
                <w:szCs w:val="20"/>
              </w:rPr>
              <w:t>760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6011B" w:rsidP="0095096B">
            <w:pPr>
              <w:jc w:val="center"/>
              <w:rPr>
                <w:rFonts w:cs="Times New Roman"/>
                <w:sz w:val="20"/>
                <w:szCs w:val="20"/>
              </w:rPr>
            </w:pPr>
            <w:r>
              <w:rPr>
                <w:rFonts w:cs="Times New Roman"/>
                <w:sz w:val="20"/>
                <w:szCs w:val="20"/>
              </w:rPr>
              <w:t>761 - 77</w:t>
            </w:r>
            <w:r w:rsidR="000A781C">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6011B" w:rsidP="0095096B">
            <w:pPr>
              <w:jc w:val="center"/>
              <w:rPr>
                <w:rFonts w:cs="Times New Roman"/>
                <w:sz w:val="20"/>
                <w:szCs w:val="20"/>
              </w:rPr>
            </w:pPr>
            <w:r>
              <w:rPr>
                <w:rFonts w:cs="Times New Roman"/>
                <w:sz w:val="20"/>
                <w:szCs w:val="20"/>
              </w:rPr>
              <w:t>7</w:t>
            </w:r>
            <w:r w:rsidR="000A781C">
              <w:rPr>
                <w:rFonts w:cs="Times New Roman"/>
                <w:sz w:val="20"/>
                <w:szCs w:val="20"/>
              </w:rPr>
              <w:t>79</w:t>
            </w:r>
            <w:r>
              <w:rPr>
                <w:rFonts w:cs="Times New Roman"/>
                <w:sz w:val="20"/>
                <w:szCs w:val="20"/>
              </w:rPr>
              <w:t xml:space="preserve"> </w:t>
            </w:r>
            <w:r w:rsidR="0095096B" w:rsidRPr="002E2327">
              <w:rPr>
                <w:rFonts w:cs="Times New Roman"/>
                <w:sz w:val="20"/>
                <w:szCs w:val="20"/>
              </w:rPr>
              <w:t>-</w:t>
            </w:r>
            <w:r w:rsidR="006E0D94">
              <w:rPr>
                <w:rFonts w:cs="Times New Roman"/>
                <w:sz w:val="20"/>
                <w:szCs w:val="20"/>
              </w:rPr>
              <w:t>78</w:t>
            </w:r>
            <w:r w:rsidR="000A781C">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633E2E" w:rsidP="0095096B">
            <w:pPr>
              <w:jc w:val="center"/>
              <w:rPr>
                <w:rFonts w:cs="Times New Roman"/>
                <w:sz w:val="20"/>
                <w:szCs w:val="20"/>
              </w:rPr>
            </w:pPr>
            <w:r>
              <w:rPr>
                <w:rFonts w:cs="Times New Roman"/>
                <w:sz w:val="20"/>
                <w:szCs w:val="20"/>
              </w:rPr>
              <w:t>78</w:t>
            </w:r>
            <w:r w:rsidR="000A781C">
              <w:rPr>
                <w:rFonts w:cs="Times New Roman"/>
                <w:sz w:val="20"/>
                <w:szCs w:val="20"/>
              </w:rPr>
              <w:t>4</w:t>
            </w:r>
          </w:p>
          <w:p w:rsidR="0095096B" w:rsidRPr="002E2327" w:rsidRDefault="0095096B" w:rsidP="0095096B">
            <w:pPr>
              <w:jc w:val="center"/>
              <w:rPr>
                <w:rFonts w:cs="Times New Roman"/>
                <w:sz w:val="20"/>
                <w:szCs w:val="20"/>
              </w:rPr>
            </w:pPr>
          </w:p>
          <w:p w:rsidR="0016011B" w:rsidRDefault="0016011B" w:rsidP="0095096B">
            <w:pPr>
              <w:jc w:val="center"/>
              <w:rPr>
                <w:rFonts w:cs="Times New Roman"/>
                <w:sz w:val="20"/>
                <w:szCs w:val="20"/>
              </w:rPr>
            </w:pPr>
          </w:p>
          <w:p w:rsidR="0095096B" w:rsidRPr="002E2327" w:rsidRDefault="00633E2E" w:rsidP="0095096B">
            <w:pPr>
              <w:jc w:val="center"/>
              <w:rPr>
                <w:rFonts w:cs="Times New Roman"/>
                <w:sz w:val="20"/>
                <w:szCs w:val="20"/>
              </w:rPr>
            </w:pPr>
            <w:r>
              <w:rPr>
                <w:rFonts w:cs="Times New Roman"/>
                <w:sz w:val="20"/>
                <w:szCs w:val="20"/>
              </w:rPr>
              <w:t>78</w:t>
            </w:r>
            <w:r w:rsidR="000A781C">
              <w:rPr>
                <w:rFonts w:cs="Times New Roman"/>
                <w:sz w:val="20"/>
                <w:szCs w:val="20"/>
              </w:rPr>
              <w:t>5</w:t>
            </w:r>
          </w:p>
          <w:p w:rsidR="0095096B" w:rsidRPr="002E2327" w:rsidRDefault="0095096B" w:rsidP="0095096B">
            <w:pPr>
              <w:jc w:val="center"/>
              <w:rPr>
                <w:rFonts w:cs="Times New Roman"/>
                <w:sz w:val="20"/>
                <w:szCs w:val="20"/>
              </w:rPr>
            </w:pPr>
          </w:p>
          <w:p w:rsidR="0016011B" w:rsidRDefault="0016011B" w:rsidP="0095096B">
            <w:pPr>
              <w:jc w:val="center"/>
              <w:rPr>
                <w:rFonts w:cs="Times New Roman"/>
                <w:sz w:val="20"/>
                <w:szCs w:val="20"/>
              </w:rPr>
            </w:pPr>
          </w:p>
          <w:p w:rsidR="0095096B" w:rsidRPr="002E2327" w:rsidRDefault="00633E2E" w:rsidP="0095096B">
            <w:pPr>
              <w:jc w:val="center"/>
              <w:rPr>
                <w:rFonts w:cs="Times New Roman"/>
                <w:sz w:val="20"/>
                <w:szCs w:val="20"/>
              </w:rPr>
            </w:pPr>
            <w:r>
              <w:rPr>
                <w:rFonts w:cs="Times New Roman"/>
                <w:sz w:val="20"/>
                <w:szCs w:val="20"/>
              </w:rPr>
              <w:t>78</w:t>
            </w:r>
            <w:r w:rsidR="000A781C">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79</w:t>
            </w:r>
            <w:r w:rsidR="000A781C">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633E2E" w:rsidP="0095096B">
            <w:pPr>
              <w:jc w:val="center"/>
              <w:rPr>
                <w:rFonts w:cs="Times New Roman"/>
                <w:sz w:val="20"/>
                <w:szCs w:val="20"/>
              </w:rPr>
            </w:pPr>
            <w:r>
              <w:rPr>
                <w:rFonts w:cs="Times New Roman"/>
                <w:sz w:val="20"/>
                <w:szCs w:val="20"/>
              </w:rPr>
              <w:t>79</w:t>
            </w:r>
            <w:r w:rsidR="000A781C">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633E2E" w:rsidP="0095096B">
            <w:pPr>
              <w:jc w:val="center"/>
              <w:rPr>
                <w:rFonts w:cs="Times New Roman"/>
                <w:sz w:val="20"/>
                <w:szCs w:val="20"/>
              </w:rPr>
            </w:pPr>
            <w:r>
              <w:rPr>
                <w:rFonts w:cs="Times New Roman"/>
                <w:sz w:val="20"/>
                <w:szCs w:val="20"/>
              </w:rPr>
              <w:t>79</w:t>
            </w:r>
            <w:r w:rsidR="000A781C">
              <w:rPr>
                <w:rFonts w:cs="Times New Roman"/>
                <w:sz w:val="20"/>
                <w:szCs w:val="20"/>
              </w:rPr>
              <w:t>4</w:t>
            </w:r>
          </w:p>
          <w:p w:rsidR="0095096B" w:rsidRPr="002E2327" w:rsidRDefault="0095096B" w:rsidP="0095096B">
            <w:pPr>
              <w:jc w:val="center"/>
              <w:rPr>
                <w:rFonts w:cs="Times New Roman"/>
                <w:sz w:val="20"/>
                <w:szCs w:val="20"/>
              </w:rPr>
            </w:pPr>
          </w:p>
          <w:p w:rsidR="00A87207" w:rsidRPr="002E2327" w:rsidRDefault="00633E2E" w:rsidP="000A781C">
            <w:pPr>
              <w:jc w:val="center"/>
              <w:rPr>
                <w:rFonts w:cs="Times New Roman"/>
                <w:sz w:val="20"/>
                <w:szCs w:val="20"/>
              </w:rPr>
            </w:pPr>
            <w:r>
              <w:rPr>
                <w:rFonts w:cs="Times New Roman"/>
                <w:sz w:val="20"/>
                <w:szCs w:val="20"/>
              </w:rPr>
              <w:t>79</w:t>
            </w:r>
            <w:r w:rsidR="000A781C">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80</w:t>
            </w:r>
            <w:r w:rsidR="000A781C">
              <w:rPr>
                <w:rFonts w:cs="Times New Roman"/>
                <w:sz w:val="20"/>
                <w:szCs w:val="20"/>
              </w:rPr>
              <w:t>8</w:t>
            </w:r>
          </w:p>
        </w:tc>
        <w:tc>
          <w:tcPr>
            <w:tcW w:w="3888" w:type="dxa"/>
          </w:tcPr>
          <w:p w:rsidR="0095096B" w:rsidRPr="002E2327" w:rsidRDefault="00EF579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Nouvelle audition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16011B">
            <w:pPr>
              <w:tabs>
                <w:tab w:val="right" w:pos="9360"/>
              </w:tabs>
              <w:rPr>
                <w:rFonts w:cs="Times New Roman"/>
                <w:sz w:val="20"/>
                <w:szCs w:val="20"/>
                <w:lang w:val="fr-CA"/>
              </w:rPr>
            </w:pPr>
          </w:p>
        </w:tc>
      </w:tr>
    </w:tbl>
    <w:p w:rsidR="0095096B" w:rsidRDefault="0095096B" w:rsidP="0095096B">
      <w:pPr>
        <w:tabs>
          <w:tab w:val="right" w:pos="9360"/>
        </w:tabs>
      </w:pPr>
    </w:p>
    <w:p w:rsidR="00ED7AF6" w:rsidRDefault="00ED7AF6" w:rsidP="0095096B">
      <w:pPr>
        <w:tabs>
          <w:tab w:val="right" w:pos="9360"/>
        </w:tabs>
      </w:pPr>
    </w:p>
    <w:p w:rsidR="00ED7AF6" w:rsidRDefault="00ED7AF6" w:rsidP="0095096B">
      <w:pPr>
        <w:tabs>
          <w:tab w:val="right" w:pos="9360"/>
        </w:tabs>
      </w:pPr>
    </w:p>
    <w:p w:rsidR="00ED7AF6" w:rsidRPr="002E2327" w:rsidRDefault="00ED7AF6" w:rsidP="0095096B">
      <w:pPr>
        <w:tabs>
          <w:tab w:val="right" w:pos="9360"/>
        </w:tabs>
      </w:pPr>
    </w:p>
    <w:tbl>
      <w:tblPr>
        <w:tblStyle w:val="TableGrid"/>
        <w:tblW w:w="0" w:type="auto"/>
        <w:tblLook w:val="04A0" w:firstRow="1" w:lastRow="0" w:firstColumn="1" w:lastColumn="0" w:noHBand="0" w:noVBand="1"/>
      </w:tblPr>
      <w:tblGrid>
        <w:gridCol w:w="9576"/>
      </w:tblGrid>
      <w:tr w:rsidR="0079724F" w:rsidRPr="00EA460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244A8" w:rsidRPr="00C21644" w:rsidTr="003B3977">
        <w:tc>
          <w:tcPr>
            <w:tcW w:w="4320" w:type="dxa"/>
            <w:shd w:val="clear" w:color="auto" w:fill="auto"/>
          </w:tcPr>
          <w:p w:rsidR="00E244A8" w:rsidRPr="00A935AA" w:rsidRDefault="00E244A8" w:rsidP="005F1ED8">
            <w:pPr>
              <w:rPr>
                <w:b/>
                <w:sz w:val="20"/>
                <w:szCs w:val="20"/>
              </w:rPr>
            </w:pPr>
            <w:r>
              <w:rPr>
                <w:b/>
                <w:sz w:val="20"/>
                <w:szCs w:val="20"/>
              </w:rPr>
              <w:t>Canadian Imperial Bank of Commerce</w:t>
            </w:r>
          </w:p>
          <w:p w:rsidR="00E244A8" w:rsidRPr="00A935AA" w:rsidRDefault="00E244A8" w:rsidP="005F1ED8">
            <w:pPr>
              <w:tabs>
                <w:tab w:val="left" w:pos="-1440"/>
                <w:tab w:val="left" w:pos="-720"/>
              </w:tabs>
              <w:rPr>
                <w:sz w:val="20"/>
                <w:szCs w:val="20"/>
              </w:rPr>
            </w:pPr>
            <w:r w:rsidRPr="00A935AA">
              <w:rPr>
                <w:sz w:val="20"/>
                <w:szCs w:val="20"/>
              </w:rPr>
              <w:tab/>
            </w:r>
            <w:r>
              <w:rPr>
                <w:sz w:val="20"/>
                <w:szCs w:val="20"/>
              </w:rPr>
              <w:t xml:space="preserve">Sheila R. Block </w:t>
            </w:r>
          </w:p>
          <w:p w:rsidR="00E244A8" w:rsidRPr="00E463EF" w:rsidRDefault="00E244A8" w:rsidP="005F1ED8">
            <w:pPr>
              <w:tabs>
                <w:tab w:val="left" w:pos="-1440"/>
                <w:tab w:val="left" w:pos="-720"/>
              </w:tabs>
              <w:rPr>
                <w:sz w:val="20"/>
                <w:szCs w:val="20"/>
              </w:rPr>
            </w:pPr>
            <w:r w:rsidRPr="00A935AA">
              <w:rPr>
                <w:sz w:val="20"/>
                <w:szCs w:val="20"/>
              </w:rPr>
              <w:tab/>
            </w:r>
            <w:r w:rsidRPr="00E463EF">
              <w:rPr>
                <w:sz w:val="20"/>
                <w:szCs w:val="20"/>
              </w:rPr>
              <w:t>T</w:t>
            </w:r>
            <w:r>
              <w:rPr>
                <w:sz w:val="20"/>
                <w:szCs w:val="20"/>
              </w:rPr>
              <w:t>or</w:t>
            </w:r>
            <w:r w:rsidRPr="00E463EF">
              <w:rPr>
                <w:sz w:val="20"/>
                <w:szCs w:val="20"/>
              </w:rPr>
              <w:t>ys</w:t>
            </w:r>
            <w:r>
              <w:rPr>
                <w:sz w:val="20"/>
                <w:szCs w:val="20"/>
              </w:rPr>
              <w:t xml:space="preserve"> LLP</w:t>
            </w:r>
          </w:p>
          <w:p w:rsidR="00E244A8" w:rsidRPr="00E463EF" w:rsidRDefault="00E244A8" w:rsidP="005F1ED8">
            <w:pPr>
              <w:tabs>
                <w:tab w:val="left" w:pos="-1440"/>
                <w:tab w:val="left" w:pos="-720"/>
              </w:tabs>
              <w:rPr>
                <w:sz w:val="20"/>
                <w:szCs w:val="20"/>
              </w:rPr>
            </w:pPr>
          </w:p>
          <w:p w:rsidR="00E244A8" w:rsidRPr="00E463EF" w:rsidRDefault="00E244A8" w:rsidP="005F1ED8">
            <w:pPr>
              <w:tabs>
                <w:tab w:val="left" w:pos="-1440"/>
                <w:tab w:val="left" w:pos="-720"/>
              </w:tabs>
              <w:rPr>
                <w:sz w:val="20"/>
                <w:szCs w:val="20"/>
              </w:rPr>
            </w:pPr>
            <w:r w:rsidRPr="00E463EF">
              <w:rPr>
                <w:sz w:val="20"/>
                <w:szCs w:val="20"/>
              </w:rPr>
              <w:tab/>
              <w:t>v. (358</w:t>
            </w:r>
            <w:r>
              <w:rPr>
                <w:sz w:val="20"/>
                <w:szCs w:val="20"/>
              </w:rPr>
              <w:t>07</w:t>
            </w:r>
            <w:r w:rsidRPr="00E463EF">
              <w:rPr>
                <w:sz w:val="20"/>
                <w:szCs w:val="20"/>
              </w:rPr>
              <w:t>)</w:t>
            </w:r>
          </w:p>
          <w:p w:rsidR="00E244A8" w:rsidRPr="00E463EF" w:rsidRDefault="00E244A8" w:rsidP="005F1ED8">
            <w:pPr>
              <w:tabs>
                <w:tab w:val="left" w:pos="-1440"/>
                <w:tab w:val="left" w:pos="-720"/>
              </w:tabs>
              <w:rPr>
                <w:sz w:val="20"/>
                <w:szCs w:val="20"/>
              </w:rPr>
            </w:pPr>
          </w:p>
          <w:p w:rsidR="00E244A8" w:rsidRPr="00E40D79" w:rsidRDefault="00E244A8" w:rsidP="005F1ED8">
            <w:pPr>
              <w:tabs>
                <w:tab w:val="left" w:pos="-1440"/>
                <w:tab w:val="left" w:pos="-720"/>
              </w:tabs>
              <w:rPr>
                <w:b/>
                <w:sz w:val="20"/>
                <w:szCs w:val="20"/>
                <w:lang w:val="fr-CA"/>
              </w:rPr>
            </w:pPr>
            <w:r>
              <w:rPr>
                <w:b/>
                <w:sz w:val="20"/>
                <w:szCs w:val="20"/>
              </w:rPr>
              <w:t>Howard Green</w:t>
            </w:r>
            <w:r w:rsidRPr="00E463EF">
              <w:rPr>
                <w:b/>
                <w:sz w:val="20"/>
                <w:szCs w:val="20"/>
              </w:rPr>
              <w:t xml:space="preserve"> et al.</w:t>
            </w:r>
            <w:r w:rsidRPr="00E463EF">
              <w:rPr>
                <w:sz w:val="20"/>
                <w:szCs w:val="20"/>
              </w:rPr>
              <w:t xml:space="preserve"> </w:t>
            </w:r>
            <w:r w:rsidRPr="00E40D79">
              <w:rPr>
                <w:b/>
                <w:sz w:val="20"/>
                <w:szCs w:val="20"/>
                <w:lang w:val="fr-CA"/>
              </w:rPr>
              <w:t>(Ont.)</w:t>
            </w:r>
          </w:p>
          <w:p w:rsidR="00E244A8" w:rsidRPr="00E40D79" w:rsidRDefault="00E244A8" w:rsidP="005F1ED8">
            <w:pPr>
              <w:tabs>
                <w:tab w:val="left" w:pos="-1440"/>
                <w:tab w:val="left" w:pos="-720"/>
              </w:tabs>
              <w:rPr>
                <w:sz w:val="20"/>
                <w:szCs w:val="20"/>
                <w:lang w:val="fr-CA"/>
              </w:rPr>
            </w:pPr>
            <w:r w:rsidRPr="00E40D79">
              <w:rPr>
                <w:sz w:val="20"/>
                <w:szCs w:val="20"/>
                <w:lang w:val="fr-CA"/>
              </w:rPr>
              <w:tab/>
            </w:r>
            <w:r w:rsidR="002102EE" w:rsidRPr="00E40D79">
              <w:rPr>
                <w:sz w:val="20"/>
                <w:szCs w:val="20"/>
                <w:lang w:val="fr-CA"/>
              </w:rPr>
              <w:t>Joel P. Rochon</w:t>
            </w:r>
          </w:p>
          <w:p w:rsidR="00E244A8" w:rsidRPr="00E40D79" w:rsidRDefault="00E244A8" w:rsidP="005F1ED8">
            <w:pPr>
              <w:tabs>
                <w:tab w:val="left" w:pos="-1440"/>
                <w:tab w:val="left" w:pos="-720"/>
              </w:tabs>
              <w:rPr>
                <w:sz w:val="20"/>
                <w:szCs w:val="20"/>
                <w:lang w:val="fr-CA"/>
              </w:rPr>
            </w:pPr>
            <w:r w:rsidRPr="00E40D79">
              <w:rPr>
                <w:sz w:val="20"/>
                <w:szCs w:val="20"/>
                <w:lang w:val="fr-CA"/>
              </w:rPr>
              <w:tab/>
            </w:r>
            <w:r w:rsidR="002102EE" w:rsidRPr="00E40D79">
              <w:rPr>
                <w:sz w:val="20"/>
                <w:szCs w:val="20"/>
                <w:lang w:val="fr-CA"/>
              </w:rPr>
              <w:t>Rochon, Geova</w:t>
            </w:r>
            <w:r w:rsidRPr="00E40D79">
              <w:rPr>
                <w:sz w:val="20"/>
                <w:szCs w:val="20"/>
                <w:lang w:val="fr-CA"/>
              </w:rPr>
              <w:t xml:space="preserve"> LLP</w:t>
            </w:r>
          </w:p>
          <w:p w:rsidR="00E244A8" w:rsidRPr="00E40D79" w:rsidRDefault="00E244A8" w:rsidP="005F1ED8">
            <w:pPr>
              <w:tabs>
                <w:tab w:val="left" w:pos="-1440"/>
                <w:tab w:val="left" w:pos="-720"/>
              </w:tabs>
              <w:rPr>
                <w:sz w:val="20"/>
                <w:szCs w:val="20"/>
                <w:lang w:val="fr-CA"/>
              </w:rPr>
            </w:pPr>
          </w:p>
          <w:p w:rsidR="00E244A8" w:rsidRPr="00A935AA" w:rsidRDefault="00E244A8" w:rsidP="00E463EF">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4</w:t>
            </w:r>
          </w:p>
          <w:p w:rsidR="00E244A8" w:rsidRPr="00A935AA" w:rsidRDefault="00E244A8" w:rsidP="005F1ED8">
            <w:pPr>
              <w:tabs>
                <w:tab w:val="left" w:pos="-1440"/>
                <w:tab w:val="left" w:pos="-720"/>
              </w:tabs>
              <w:rPr>
                <w:sz w:val="20"/>
                <w:szCs w:val="20"/>
              </w:rPr>
            </w:pPr>
          </w:p>
          <w:p w:rsidR="00E244A8" w:rsidRPr="00A935AA" w:rsidRDefault="00E244A8" w:rsidP="005F1ED8">
            <w:pPr>
              <w:rPr>
                <w:sz w:val="20"/>
                <w:szCs w:val="20"/>
              </w:rPr>
            </w:pPr>
            <w:r>
              <w:rPr>
                <w:sz w:val="20"/>
                <w:szCs w:val="20"/>
              </w:rPr>
              <w:t xml:space="preserve">and between </w:t>
            </w:r>
          </w:p>
          <w:p w:rsidR="00E244A8" w:rsidRPr="00A935AA" w:rsidRDefault="00E244A8" w:rsidP="005F1ED8">
            <w:pPr>
              <w:rPr>
                <w:sz w:val="20"/>
                <w:szCs w:val="20"/>
              </w:rPr>
            </w:pPr>
          </w:p>
        </w:tc>
        <w:tc>
          <w:tcPr>
            <w:tcW w:w="1181" w:type="dxa"/>
            <w:shd w:val="clear" w:color="auto" w:fill="auto"/>
          </w:tcPr>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Default="00E244A8" w:rsidP="00242AEE">
            <w:pPr>
              <w:jc w:val="center"/>
              <w:rPr>
                <w:sz w:val="20"/>
                <w:szCs w:val="20"/>
              </w:rPr>
            </w:pPr>
          </w:p>
          <w:p w:rsidR="00E244A8"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tc>
        <w:tc>
          <w:tcPr>
            <w:tcW w:w="4320" w:type="dxa"/>
            <w:shd w:val="clear" w:color="auto" w:fill="auto"/>
          </w:tcPr>
          <w:p w:rsidR="00E244A8" w:rsidRPr="00E40D79" w:rsidRDefault="00E244A8" w:rsidP="00747482">
            <w:pPr>
              <w:rPr>
                <w:b/>
                <w:sz w:val="20"/>
                <w:szCs w:val="20"/>
                <w:lang w:val="fr-CA"/>
              </w:rPr>
            </w:pPr>
            <w:r w:rsidRPr="00E40D79">
              <w:rPr>
                <w:b/>
                <w:sz w:val="20"/>
                <w:szCs w:val="20"/>
                <w:lang w:val="fr-CA"/>
              </w:rPr>
              <w:t>Robert T. Strickland et al.</w:t>
            </w:r>
          </w:p>
          <w:p w:rsidR="00E244A8" w:rsidRPr="00465A27" w:rsidRDefault="00E244A8" w:rsidP="00747482">
            <w:pPr>
              <w:tabs>
                <w:tab w:val="left" w:pos="-1440"/>
                <w:tab w:val="left" w:pos="-720"/>
              </w:tabs>
              <w:rPr>
                <w:sz w:val="20"/>
                <w:szCs w:val="20"/>
              </w:rPr>
            </w:pPr>
            <w:r w:rsidRPr="00E40D79">
              <w:rPr>
                <w:sz w:val="20"/>
                <w:szCs w:val="20"/>
                <w:lang w:val="fr-CA"/>
              </w:rPr>
              <w:tab/>
            </w:r>
            <w:r w:rsidRPr="00465A27">
              <w:rPr>
                <w:sz w:val="20"/>
                <w:szCs w:val="20"/>
              </w:rPr>
              <w:t>Glenn Solomon, Q.C.</w:t>
            </w:r>
          </w:p>
          <w:p w:rsidR="00E244A8" w:rsidRPr="00465A27" w:rsidRDefault="00E244A8" w:rsidP="00747482">
            <w:pPr>
              <w:tabs>
                <w:tab w:val="left" w:pos="-1440"/>
                <w:tab w:val="left" w:pos="-720"/>
              </w:tabs>
              <w:rPr>
                <w:sz w:val="20"/>
                <w:szCs w:val="20"/>
              </w:rPr>
            </w:pPr>
            <w:r w:rsidRPr="00465A27">
              <w:rPr>
                <w:sz w:val="20"/>
                <w:szCs w:val="20"/>
              </w:rPr>
              <w:tab/>
              <w:t xml:space="preserve">Jensen Shawa Solomon Duguid Hawkes </w:t>
            </w:r>
            <w:r w:rsidRPr="00465A27">
              <w:rPr>
                <w:sz w:val="20"/>
                <w:szCs w:val="20"/>
              </w:rPr>
              <w:tab/>
              <w:t>LLP</w:t>
            </w:r>
          </w:p>
          <w:p w:rsidR="00E244A8" w:rsidRPr="00465A27" w:rsidRDefault="00E244A8" w:rsidP="00747482">
            <w:pPr>
              <w:tabs>
                <w:tab w:val="left" w:pos="-1440"/>
                <w:tab w:val="left" w:pos="-720"/>
              </w:tabs>
              <w:rPr>
                <w:sz w:val="20"/>
                <w:szCs w:val="20"/>
              </w:rPr>
            </w:pPr>
          </w:p>
          <w:p w:rsidR="00E244A8" w:rsidRPr="00465A27" w:rsidRDefault="00E244A8" w:rsidP="00747482">
            <w:pPr>
              <w:tabs>
                <w:tab w:val="left" w:pos="-1440"/>
                <w:tab w:val="left" w:pos="-720"/>
              </w:tabs>
              <w:rPr>
                <w:sz w:val="20"/>
                <w:szCs w:val="20"/>
              </w:rPr>
            </w:pPr>
            <w:r w:rsidRPr="00465A27">
              <w:rPr>
                <w:sz w:val="20"/>
                <w:szCs w:val="20"/>
              </w:rPr>
              <w:tab/>
              <w:t>v. (35</w:t>
            </w:r>
            <w:r>
              <w:rPr>
                <w:sz w:val="20"/>
                <w:szCs w:val="20"/>
              </w:rPr>
              <w:t>808</w:t>
            </w:r>
            <w:r w:rsidRPr="00465A27">
              <w:rPr>
                <w:sz w:val="20"/>
                <w:szCs w:val="20"/>
              </w:rPr>
              <w:t>)</w:t>
            </w:r>
          </w:p>
          <w:p w:rsidR="00E244A8" w:rsidRPr="00465A27" w:rsidRDefault="00E244A8" w:rsidP="00747482">
            <w:pPr>
              <w:tabs>
                <w:tab w:val="left" w:pos="-1440"/>
                <w:tab w:val="left" w:pos="-720"/>
              </w:tabs>
              <w:rPr>
                <w:sz w:val="20"/>
                <w:szCs w:val="20"/>
              </w:rPr>
            </w:pPr>
          </w:p>
          <w:p w:rsidR="00E244A8" w:rsidRPr="00465A27" w:rsidRDefault="00E244A8" w:rsidP="00747482">
            <w:pPr>
              <w:tabs>
                <w:tab w:val="left" w:pos="-1440"/>
                <w:tab w:val="left" w:pos="-720"/>
              </w:tabs>
              <w:rPr>
                <w:b/>
                <w:sz w:val="20"/>
                <w:szCs w:val="20"/>
              </w:rPr>
            </w:pPr>
            <w:r>
              <w:rPr>
                <w:b/>
                <w:sz w:val="20"/>
                <w:szCs w:val="20"/>
              </w:rPr>
              <w:t xml:space="preserve">Attorney General of Canada </w:t>
            </w:r>
            <w:r w:rsidRPr="00465A27">
              <w:rPr>
                <w:b/>
                <w:sz w:val="20"/>
                <w:szCs w:val="20"/>
              </w:rPr>
              <w:t>(</w:t>
            </w:r>
            <w:r>
              <w:rPr>
                <w:b/>
                <w:sz w:val="20"/>
                <w:szCs w:val="20"/>
              </w:rPr>
              <w:t>F.C</w:t>
            </w:r>
            <w:r w:rsidRPr="00465A27">
              <w:rPr>
                <w:b/>
                <w:sz w:val="20"/>
                <w:szCs w:val="20"/>
              </w:rPr>
              <w:t>.)</w:t>
            </w:r>
          </w:p>
          <w:p w:rsidR="00E244A8" w:rsidRPr="00465A27" w:rsidRDefault="00E244A8" w:rsidP="00747482">
            <w:pPr>
              <w:tabs>
                <w:tab w:val="left" w:pos="-1440"/>
                <w:tab w:val="left" w:pos="-720"/>
              </w:tabs>
              <w:rPr>
                <w:sz w:val="20"/>
                <w:szCs w:val="20"/>
              </w:rPr>
            </w:pPr>
            <w:r w:rsidRPr="00465A27">
              <w:rPr>
                <w:sz w:val="20"/>
                <w:szCs w:val="20"/>
              </w:rPr>
              <w:tab/>
            </w:r>
            <w:r>
              <w:rPr>
                <w:sz w:val="20"/>
                <w:szCs w:val="20"/>
              </w:rPr>
              <w:t>Jaxine Oltean</w:t>
            </w:r>
          </w:p>
          <w:p w:rsidR="00E244A8" w:rsidRPr="00465A27" w:rsidRDefault="00E244A8" w:rsidP="00747482">
            <w:pPr>
              <w:tabs>
                <w:tab w:val="left" w:pos="-1440"/>
                <w:tab w:val="left" w:pos="-720"/>
              </w:tabs>
              <w:rPr>
                <w:sz w:val="20"/>
                <w:szCs w:val="20"/>
              </w:rPr>
            </w:pPr>
            <w:r w:rsidRPr="00465A27">
              <w:rPr>
                <w:sz w:val="20"/>
                <w:szCs w:val="20"/>
              </w:rPr>
              <w:tab/>
            </w:r>
            <w:r>
              <w:rPr>
                <w:sz w:val="20"/>
                <w:szCs w:val="20"/>
              </w:rPr>
              <w:t>A.G. of Canada</w:t>
            </w:r>
          </w:p>
          <w:p w:rsidR="00E244A8" w:rsidRPr="00465A27" w:rsidRDefault="00E244A8" w:rsidP="00747482">
            <w:pPr>
              <w:tabs>
                <w:tab w:val="left" w:pos="-1440"/>
                <w:tab w:val="left" w:pos="-720"/>
              </w:tabs>
              <w:rPr>
                <w:sz w:val="20"/>
                <w:szCs w:val="20"/>
              </w:rPr>
            </w:pPr>
          </w:p>
          <w:p w:rsidR="00E244A8" w:rsidRPr="00465A27" w:rsidRDefault="00E244A8" w:rsidP="00747482">
            <w:pPr>
              <w:rPr>
                <w:sz w:val="20"/>
                <w:szCs w:val="20"/>
              </w:rPr>
            </w:pPr>
            <w:r w:rsidRPr="00465A27">
              <w:rPr>
                <w:sz w:val="20"/>
                <w:szCs w:val="20"/>
              </w:rPr>
              <w:t>FILING DATE:</w:t>
            </w:r>
            <w:r>
              <w:rPr>
                <w:sz w:val="20"/>
                <w:szCs w:val="20"/>
              </w:rPr>
              <w:t xml:space="preserve"> 0</w:t>
            </w:r>
            <w:r w:rsidRPr="00465A27">
              <w:rPr>
                <w:sz w:val="20"/>
                <w:szCs w:val="20"/>
              </w:rPr>
              <w:t>2.0</w:t>
            </w:r>
            <w:r>
              <w:rPr>
                <w:sz w:val="20"/>
                <w:szCs w:val="20"/>
              </w:rPr>
              <w:t>4</w:t>
            </w:r>
            <w:r w:rsidRPr="00465A27">
              <w:rPr>
                <w:sz w:val="20"/>
                <w:szCs w:val="20"/>
              </w:rPr>
              <w:t>.2014</w:t>
            </w:r>
          </w:p>
          <w:p w:rsidR="00E244A8" w:rsidRPr="00465A27" w:rsidRDefault="000B3306" w:rsidP="00747482">
            <w:pPr>
              <w:rPr>
                <w:sz w:val="20"/>
                <w:szCs w:val="20"/>
              </w:rPr>
            </w:pPr>
            <w:r>
              <w:rPr>
                <w:sz w:val="20"/>
                <w:szCs w:val="20"/>
                <w:lang w:val="fr-CA"/>
              </w:rPr>
              <w:pict>
                <v:rect id="_x0000_i1025" style="width:108pt;height:1pt" o:hrpct="0" o:hralign="center" o:hrstd="t" o:hrnoshade="t" o:hr="t" fillcolor="black [3213]" stroked="f"/>
              </w:pict>
            </w:r>
          </w:p>
        </w:tc>
      </w:tr>
      <w:tr w:rsidR="00E244A8" w:rsidRPr="002102EE" w:rsidTr="003B3977">
        <w:tc>
          <w:tcPr>
            <w:tcW w:w="4320" w:type="dxa"/>
            <w:shd w:val="clear" w:color="auto" w:fill="auto"/>
          </w:tcPr>
          <w:p w:rsidR="00E244A8" w:rsidRPr="00E463EF" w:rsidRDefault="00E244A8" w:rsidP="003B3977">
            <w:pPr>
              <w:rPr>
                <w:b/>
                <w:sz w:val="20"/>
                <w:szCs w:val="20"/>
              </w:rPr>
            </w:pPr>
            <w:r>
              <w:rPr>
                <w:b/>
                <w:sz w:val="20"/>
                <w:szCs w:val="20"/>
              </w:rPr>
              <w:t>Gerald McCaughey et al.</w:t>
            </w:r>
          </w:p>
          <w:p w:rsidR="00E244A8" w:rsidRPr="00E463EF" w:rsidRDefault="00E244A8" w:rsidP="003B3977">
            <w:pPr>
              <w:tabs>
                <w:tab w:val="left" w:pos="-1440"/>
                <w:tab w:val="left" w:pos="-720"/>
              </w:tabs>
              <w:rPr>
                <w:sz w:val="20"/>
                <w:szCs w:val="20"/>
              </w:rPr>
            </w:pPr>
            <w:r w:rsidRPr="00E463EF">
              <w:rPr>
                <w:sz w:val="20"/>
                <w:szCs w:val="20"/>
              </w:rPr>
              <w:tab/>
            </w:r>
            <w:r>
              <w:rPr>
                <w:sz w:val="20"/>
                <w:szCs w:val="20"/>
              </w:rPr>
              <w:t>Benjamin Zarnett</w:t>
            </w:r>
          </w:p>
          <w:p w:rsidR="00E244A8" w:rsidRPr="00E463EF" w:rsidRDefault="00E244A8" w:rsidP="003B3977">
            <w:pPr>
              <w:tabs>
                <w:tab w:val="left" w:pos="-1440"/>
                <w:tab w:val="left" w:pos="-720"/>
              </w:tabs>
              <w:rPr>
                <w:sz w:val="20"/>
                <w:szCs w:val="20"/>
              </w:rPr>
            </w:pPr>
            <w:r w:rsidRPr="00E463EF">
              <w:rPr>
                <w:sz w:val="20"/>
                <w:szCs w:val="20"/>
              </w:rPr>
              <w:tab/>
            </w:r>
            <w:r>
              <w:rPr>
                <w:sz w:val="20"/>
                <w:szCs w:val="20"/>
              </w:rPr>
              <w:t>Goodmans LLP</w:t>
            </w:r>
          </w:p>
          <w:p w:rsidR="00E244A8" w:rsidRPr="00E463EF" w:rsidRDefault="00E244A8" w:rsidP="003B3977">
            <w:pPr>
              <w:tabs>
                <w:tab w:val="left" w:pos="-1440"/>
                <w:tab w:val="left" w:pos="-720"/>
              </w:tabs>
              <w:rPr>
                <w:sz w:val="20"/>
                <w:szCs w:val="20"/>
              </w:rPr>
            </w:pPr>
          </w:p>
          <w:p w:rsidR="00E244A8" w:rsidRPr="00A935AA" w:rsidRDefault="00E244A8" w:rsidP="003B3977">
            <w:pPr>
              <w:tabs>
                <w:tab w:val="left" w:pos="-1440"/>
                <w:tab w:val="left" w:pos="-720"/>
              </w:tabs>
              <w:rPr>
                <w:sz w:val="20"/>
                <w:szCs w:val="20"/>
              </w:rPr>
            </w:pPr>
            <w:r w:rsidRPr="00E463EF">
              <w:rPr>
                <w:sz w:val="20"/>
                <w:szCs w:val="20"/>
              </w:rPr>
              <w:tab/>
            </w:r>
            <w:r w:rsidRPr="00A935AA">
              <w:rPr>
                <w:sz w:val="20"/>
                <w:szCs w:val="20"/>
              </w:rPr>
              <w:t>v. (3</w:t>
            </w:r>
            <w:r>
              <w:rPr>
                <w:sz w:val="20"/>
                <w:szCs w:val="20"/>
              </w:rPr>
              <w:t>5807</w:t>
            </w:r>
            <w:r w:rsidRPr="00A935AA">
              <w:rPr>
                <w:sz w:val="20"/>
                <w:szCs w:val="20"/>
              </w:rPr>
              <w:t>)</w:t>
            </w:r>
          </w:p>
          <w:p w:rsidR="00E244A8" w:rsidRPr="00A935AA" w:rsidRDefault="00E244A8" w:rsidP="003B3977">
            <w:pPr>
              <w:tabs>
                <w:tab w:val="left" w:pos="-1440"/>
                <w:tab w:val="left" w:pos="-720"/>
              </w:tabs>
              <w:rPr>
                <w:sz w:val="20"/>
                <w:szCs w:val="20"/>
              </w:rPr>
            </w:pPr>
          </w:p>
          <w:p w:rsidR="00E244A8" w:rsidRPr="00790566" w:rsidRDefault="00E244A8" w:rsidP="003B3977">
            <w:pPr>
              <w:tabs>
                <w:tab w:val="left" w:pos="-1440"/>
                <w:tab w:val="left" w:pos="-720"/>
              </w:tabs>
              <w:rPr>
                <w:b/>
                <w:sz w:val="20"/>
                <w:szCs w:val="20"/>
                <w:lang w:val="fr-CA"/>
              </w:rPr>
            </w:pPr>
            <w:r>
              <w:rPr>
                <w:b/>
                <w:sz w:val="20"/>
                <w:szCs w:val="20"/>
              </w:rPr>
              <w:t xml:space="preserve">Howard Green et al. </w:t>
            </w:r>
            <w:r w:rsidRPr="00790566">
              <w:rPr>
                <w:b/>
                <w:sz w:val="20"/>
                <w:szCs w:val="20"/>
                <w:lang w:val="fr-CA"/>
              </w:rPr>
              <w:t>(Ont.)</w:t>
            </w:r>
          </w:p>
          <w:p w:rsidR="00E244A8" w:rsidRPr="00790566" w:rsidRDefault="00E244A8" w:rsidP="003B3977">
            <w:pPr>
              <w:tabs>
                <w:tab w:val="left" w:pos="-1440"/>
                <w:tab w:val="left" w:pos="-720"/>
              </w:tabs>
              <w:rPr>
                <w:sz w:val="20"/>
                <w:szCs w:val="20"/>
                <w:lang w:val="fr-CA"/>
              </w:rPr>
            </w:pPr>
            <w:r w:rsidRPr="00790566">
              <w:rPr>
                <w:sz w:val="20"/>
                <w:szCs w:val="20"/>
                <w:lang w:val="fr-CA"/>
              </w:rPr>
              <w:tab/>
              <w:t>Joel P. Rochon</w:t>
            </w:r>
          </w:p>
          <w:p w:rsidR="00E244A8" w:rsidRPr="00790566" w:rsidRDefault="00E244A8" w:rsidP="003B3977">
            <w:pPr>
              <w:tabs>
                <w:tab w:val="left" w:pos="-1440"/>
                <w:tab w:val="left" w:pos="-720"/>
              </w:tabs>
              <w:rPr>
                <w:sz w:val="20"/>
                <w:szCs w:val="20"/>
                <w:lang w:val="fr-CA"/>
              </w:rPr>
            </w:pPr>
            <w:r w:rsidRPr="00790566">
              <w:rPr>
                <w:sz w:val="20"/>
                <w:szCs w:val="20"/>
                <w:lang w:val="fr-CA"/>
              </w:rPr>
              <w:tab/>
              <w:t>Rochon, Genova LLP</w:t>
            </w:r>
          </w:p>
          <w:p w:rsidR="00E244A8" w:rsidRPr="00790566" w:rsidRDefault="00E244A8" w:rsidP="003B3977">
            <w:pPr>
              <w:tabs>
                <w:tab w:val="left" w:pos="-1440"/>
                <w:tab w:val="left" w:pos="-720"/>
              </w:tabs>
              <w:rPr>
                <w:sz w:val="20"/>
                <w:szCs w:val="20"/>
                <w:lang w:val="fr-CA"/>
              </w:rPr>
            </w:pPr>
          </w:p>
          <w:p w:rsidR="00E244A8" w:rsidRPr="00A935AA" w:rsidRDefault="00E244A8" w:rsidP="003B3977">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4</w:t>
            </w:r>
            <w:r w:rsidRPr="00A935AA">
              <w:rPr>
                <w:sz w:val="20"/>
                <w:szCs w:val="20"/>
              </w:rPr>
              <w:t>.201</w:t>
            </w:r>
            <w:r>
              <w:rPr>
                <w:sz w:val="20"/>
                <w:szCs w:val="20"/>
              </w:rPr>
              <w:t>4</w:t>
            </w:r>
          </w:p>
          <w:p w:rsidR="00E244A8" w:rsidRPr="00A935AA" w:rsidRDefault="000B3306" w:rsidP="003B3977">
            <w:pPr>
              <w:rPr>
                <w:sz w:val="20"/>
                <w:szCs w:val="20"/>
              </w:rPr>
            </w:pPr>
            <w:r>
              <w:rPr>
                <w:sz w:val="20"/>
                <w:szCs w:val="20"/>
                <w:lang w:val="fr-CA"/>
              </w:rPr>
              <w:pict>
                <v:rect id="_x0000_i1026" style="width:108pt;height:1pt" o:hrpct="0" o:hralign="center" o:hrstd="t" o:hrnoshade="t" o:hr="t" fillcolor="black [3213]" stroked="f"/>
              </w:pict>
            </w:r>
          </w:p>
        </w:tc>
        <w:tc>
          <w:tcPr>
            <w:tcW w:w="1181" w:type="dxa"/>
            <w:shd w:val="clear" w:color="auto" w:fill="auto"/>
          </w:tcPr>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tc>
        <w:tc>
          <w:tcPr>
            <w:tcW w:w="4320" w:type="dxa"/>
            <w:shd w:val="clear" w:color="auto" w:fill="auto"/>
          </w:tcPr>
          <w:p w:rsidR="002102EE" w:rsidRPr="00790566" w:rsidRDefault="002102EE" w:rsidP="002102EE">
            <w:pPr>
              <w:rPr>
                <w:b/>
                <w:sz w:val="20"/>
                <w:szCs w:val="20"/>
                <w:lang w:val="fr-CA"/>
              </w:rPr>
            </w:pPr>
            <w:r w:rsidRPr="00790566">
              <w:rPr>
                <w:b/>
                <w:sz w:val="20"/>
                <w:szCs w:val="20"/>
                <w:lang w:val="fr-CA"/>
              </w:rPr>
              <w:t>IMAX Corporation et al.</w:t>
            </w:r>
          </w:p>
          <w:p w:rsidR="002102EE" w:rsidRPr="00790566" w:rsidRDefault="002102EE" w:rsidP="002102EE">
            <w:pPr>
              <w:tabs>
                <w:tab w:val="left" w:pos="-1440"/>
                <w:tab w:val="left" w:pos="-720"/>
              </w:tabs>
              <w:rPr>
                <w:sz w:val="20"/>
                <w:szCs w:val="20"/>
                <w:lang w:val="fr-CA"/>
              </w:rPr>
            </w:pPr>
            <w:r w:rsidRPr="00790566">
              <w:rPr>
                <w:sz w:val="20"/>
                <w:szCs w:val="20"/>
                <w:lang w:val="fr-CA"/>
              </w:rPr>
              <w:tab/>
              <w:t>R. Paul Steep</w:t>
            </w:r>
          </w:p>
          <w:p w:rsidR="002102EE" w:rsidRPr="00790566" w:rsidRDefault="002102EE" w:rsidP="002102EE">
            <w:pPr>
              <w:tabs>
                <w:tab w:val="left" w:pos="-1440"/>
                <w:tab w:val="left" w:pos="-720"/>
              </w:tabs>
              <w:rPr>
                <w:sz w:val="20"/>
                <w:szCs w:val="20"/>
                <w:lang w:val="fr-CA"/>
              </w:rPr>
            </w:pPr>
            <w:r w:rsidRPr="00790566">
              <w:rPr>
                <w:sz w:val="20"/>
                <w:szCs w:val="20"/>
                <w:lang w:val="fr-CA"/>
              </w:rPr>
              <w:tab/>
              <w:t>McCarthy Tétrault LLP</w:t>
            </w:r>
          </w:p>
          <w:p w:rsidR="002102EE" w:rsidRPr="00790566" w:rsidRDefault="002102EE" w:rsidP="002102EE">
            <w:pPr>
              <w:tabs>
                <w:tab w:val="left" w:pos="-1440"/>
                <w:tab w:val="left" w:pos="-720"/>
              </w:tabs>
              <w:rPr>
                <w:sz w:val="20"/>
                <w:szCs w:val="20"/>
                <w:lang w:val="fr-CA"/>
              </w:rPr>
            </w:pPr>
          </w:p>
          <w:p w:rsidR="002102EE" w:rsidRPr="00790566" w:rsidRDefault="002102EE" w:rsidP="002102EE">
            <w:pPr>
              <w:tabs>
                <w:tab w:val="left" w:pos="-1440"/>
                <w:tab w:val="left" w:pos="-720"/>
              </w:tabs>
              <w:rPr>
                <w:sz w:val="20"/>
                <w:szCs w:val="20"/>
                <w:lang w:val="fr-CA"/>
              </w:rPr>
            </w:pPr>
            <w:r w:rsidRPr="00790566">
              <w:rPr>
                <w:sz w:val="20"/>
                <w:szCs w:val="20"/>
                <w:lang w:val="fr-CA"/>
              </w:rPr>
              <w:tab/>
              <w:t>v. (35811)</w:t>
            </w:r>
          </w:p>
          <w:p w:rsidR="002102EE" w:rsidRPr="00790566" w:rsidRDefault="002102EE" w:rsidP="002102EE">
            <w:pPr>
              <w:tabs>
                <w:tab w:val="left" w:pos="-1440"/>
                <w:tab w:val="left" w:pos="-720"/>
              </w:tabs>
              <w:rPr>
                <w:sz w:val="20"/>
                <w:szCs w:val="20"/>
                <w:lang w:val="fr-CA"/>
              </w:rPr>
            </w:pPr>
          </w:p>
          <w:p w:rsidR="002102EE" w:rsidRPr="00790566" w:rsidRDefault="002102EE" w:rsidP="002102EE">
            <w:pPr>
              <w:tabs>
                <w:tab w:val="left" w:pos="-1440"/>
                <w:tab w:val="left" w:pos="-720"/>
              </w:tabs>
              <w:rPr>
                <w:b/>
                <w:sz w:val="20"/>
                <w:szCs w:val="20"/>
                <w:lang w:val="fr-CA"/>
              </w:rPr>
            </w:pPr>
            <w:r w:rsidRPr="00E463EF">
              <w:rPr>
                <w:b/>
                <w:sz w:val="20"/>
                <w:szCs w:val="20"/>
                <w:lang w:val="fr-CA"/>
              </w:rPr>
              <w:t xml:space="preserve">Marvin Neil Silver et al. </w:t>
            </w:r>
            <w:r w:rsidRPr="00790566">
              <w:rPr>
                <w:b/>
                <w:sz w:val="20"/>
                <w:szCs w:val="20"/>
                <w:lang w:val="fr-CA"/>
              </w:rPr>
              <w:t>(Ont.)</w:t>
            </w:r>
          </w:p>
          <w:p w:rsidR="002102EE" w:rsidRPr="00A935AA" w:rsidRDefault="002102EE" w:rsidP="002102EE">
            <w:pPr>
              <w:tabs>
                <w:tab w:val="left" w:pos="-1440"/>
                <w:tab w:val="left" w:pos="-720"/>
              </w:tabs>
              <w:rPr>
                <w:sz w:val="20"/>
                <w:szCs w:val="20"/>
              </w:rPr>
            </w:pPr>
            <w:r w:rsidRPr="00790566">
              <w:rPr>
                <w:sz w:val="20"/>
                <w:szCs w:val="20"/>
                <w:lang w:val="fr-CA"/>
              </w:rPr>
              <w:tab/>
            </w:r>
            <w:r>
              <w:rPr>
                <w:sz w:val="20"/>
                <w:szCs w:val="20"/>
              </w:rPr>
              <w:t>Michael G. Robb</w:t>
            </w:r>
          </w:p>
          <w:p w:rsidR="002102EE" w:rsidRPr="00A935AA" w:rsidRDefault="002102EE" w:rsidP="002102EE">
            <w:pPr>
              <w:tabs>
                <w:tab w:val="left" w:pos="-1440"/>
                <w:tab w:val="left" w:pos="-720"/>
              </w:tabs>
              <w:rPr>
                <w:sz w:val="20"/>
                <w:szCs w:val="20"/>
              </w:rPr>
            </w:pPr>
            <w:r w:rsidRPr="00A935AA">
              <w:rPr>
                <w:sz w:val="20"/>
                <w:szCs w:val="20"/>
              </w:rPr>
              <w:tab/>
            </w:r>
            <w:r>
              <w:rPr>
                <w:sz w:val="20"/>
                <w:szCs w:val="20"/>
              </w:rPr>
              <w:t>Siskinds LLP</w:t>
            </w:r>
          </w:p>
          <w:p w:rsidR="002102EE" w:rsidRPr="00A935AA" w:rsidRDefault="002102EE" w:rsidP="002102EE">
            <w:pPr>
              <w:tabs>
                <w:tab w:val="left" w:pos="-1440"/>
                <w:tab w:val="left" w:pos="-720"/>
              </w:tabs>
              <w:rPr>
                <w:sz w:val="20"/>
                <w:szCs w:val="20"/>
              </w:rPr>
            </w:pPr>
          </w:p>
          <w:p w:rsidR="002102EE" w:rsidRPr="00A935AA" w:rsidRDefault="002102EE" w:rsidP="002102EE">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4</w:t>
            </w:r>
          </w:p>
          <w:p w:rsidR="00E244A8" w:rsidRPr="00172CAA" w:rsidRDefault="000B3306" w:rsidP="00747482">
            <w:pPr>
              <w:rPr>
                <w:sz w:val="20"/>
                <w:szCs w:val="20"/>
                <w:lang w:val="fr-CA"/>
              </w:rPr>
            </w:pPr>
            <w:r>
              <w:rPr>
                <w:sz w:val="20"/>
                <w:szCs w:val="20"/>
                <w:lang w:val="fr-CA"/>
              </w:rPr>
              <w:pict>
                <v:rect id="_x0000_i1027" style="width:108pt;height:1pt" o:hrpct="0" o:hralign="center" o:hrstd="t" o:hrnoshade="t" o:hr="t" fillcolor="black [3213]" stroked="f"/>
              </w:pict>
            </w:r>
          </w:p>
        </w:tc>
      </w:tr>
      <w:tr w:rsidR="00E244A8" w:rsidRPr="00A935AA" w:rsidTr="003B3977">
        <w:tc>
          <w:tcPr>
            <w:tcW w:w="4320" w:type="dxa"/>
            <w:shd w:val="clear" w:color="auto" w:fill="auto"/>
          </w:tcPr>
          <w:p w:rsidR="002102EE" w:rsidRPr="00465A27" w:rsidRDefault="002102EE" w:rsidP="002102EE">
            <w:pPr>
              <w:keepNext/>
              <w:keepLines/>
              <w:tabs>
                <w:tab w:val="left" w:pos="-1440"/>
                <w:tab w:val="left" w:pos="-720"/>
              </w:tabs>
              <w:rPr>
                <w:b/>
                <w:sz w:val="20"/>
                <w:szCs w:val="20"/>
                <w:lang w:val="fr-CA"/>
              </w:rPr>
            </w:pPr>
            <w:r w:rsidRPr="00465A27">
              <w:rPr>
                <w:b/>
                <w:sz w:val="20"/>
                <w:szCs w:val="20"/>
                <w:lang w:val="fr-CA"/>
              </w:rPr>
              <w:t>Roger Couture et autre</w:t>
            </w:r>
          </w:p>
          <w:p w:rsidR="002102EE" w:rsidRPr="00465A27" w:rsidRDefault="002102EE" w:rsidP="002102EE">
            <w:pPr>
              <w:keepNext/>
              <w:keepLines/>
              <w:tabs>
                <w:tab w:val="left" w:pos="-1440"/>
                <w:tab w:val="left" w:pos="-720"/>
              </w:tabs>
              <w:rPr>
                <w:sz w:val="20"/>
                <w:szCs w:val="20"/>
                <w:lang w:val="fr-CA"/>
              </w:rPr>
            </w:pPr>
            <w:r w:rsidRPr="00465A27">
              <w:rPr>
                <w:sz w:val="20"/>
                <w:szCs w:val="20"/>
                <w:lang w:val="fr-CA"/>
              </w:rPr>
              <w:tab/>
              <w:t>Roger Couture</w:t>
            </w:r>
          </w:p>
          <w:p w:rsidR="002102EE" w:rsidRPr="00465A27" w:rsidRDefault="002102EE" w:rsidP="002102EE">
            <w:pPr>
              <w:keepNext/>
              <w:keepLines/>
              <w:tabs>
                <w:tab w:val="left" w:pos="-1440"/>
                <w:tab w:val="left" w:pos="-720"/>
              </w:tabs>
              <w:rPr>
                <w:sz w:val="20"/>
                <w:szCs w:val="20"/>
                <w:lang w:val="fr-CA"/>
              </w:rPr>
            </w:pPr>
          </w:p>
          <w:p w:rsidR="002102EE" w:rsidRPr="00465A27" w:rsidRDefault="002102EE" w:rsidP="002102EE">
            <w:pPr>
              <w:keepNext/>
              <w:keepLines/>
              <w:tabs>
                <w:tab w:val="left" w:pos="-1440"/>
                <w:tab w:val="left" w:pos="-720"/>
              </w:tabs>
              <w:rPr>
                <w:sz w:val="20"/>
                <w:szCs w:val="20"/>
                <w:lang w:val="fr-CA"/>
              </w:rPr>
            </w:pPr>
            <w:r w:rsidRPr="00465A27">
              <w:rPr>
                <w:sz w:val="20"/>
                <w:szCs w:val="20"/>
                <w:lang w:val="fr-CA"/>
              </w:rPr>
              <w:tab/>
              <w:t>c. (35809)</w:t>
            </w:r>
          </w:p>
          <w:p w:rsidR="002102EE" w:rsidRPr="00465A27" w:rsidRDefault="002102EE" w:rsidP="002102EE">
            <w:pPr>
              <w:keepNext/>
              <w:keepLines/>
              <w:tabs>
                <w:tab w:val="left" w:pos="-1440"/>
                <w:tab w:val="left" w:pos="-720"/>
              </w:tabs>
              <w:rPr>
                <w:sz w:val="20"/>
                <w:szCs w:val="20"/>
                <w:lang w:val="fr-CA"/>
              </w:rPr>
            </w:pPr>
          </w:p>
          <w:p w:rsidR="002102EE" w:rsidRPr="00465A27" w:rsidRDefault="002102EE" w:rsidP="002102EE">
            <w:pPr>
              <w:keepNext/>
              <w:keepLines/>
              <w:tabs>
                <w:tab w:val="left" w:pos="-1440"/>
                <w:tab w:val="left" w:pos="-720"/>
              </w:tabs>
              <w:rPr>
                <w:b/>
                <w:sz w:val="20"/>
                <w:szCs w:val="20"/>
                <w:lang w:val="fr-CA"/>
              </w:rPr>
            </w:pPr>
            <w:r w:rsidRPr="00465A27">
              <w:rPr>
                <w:b/>
                <w:sz w:val="20"/>
                <w:szCs w:val="20"/>
                <w:lang w:val="fr-CA"/>
              </w:rPr>
              <w:t>Sa Majesté la Reine (C.F.)</w:t>
            </w:r>
          </w:p>
          <w:p w:rsidR="002102EE" w:rsidRPr="00465A27" w:rsidRDefault="002102EE" w:rsidP="002102EE">
            <w:pPr>
              <w:keepNext/>
              <w:keepLines/>
              <w:tabs>
                <w:tab w:val="left" w:pos="-1440"/>
                <w:tab w:val="left" w:pos="-720"/>
              </w:tabs>
              <w:rPr>
                <w:sz w:val="20"/>
                <w:szCs w:val="20"/>
                <w:lang w:val="fr-CA"/>
              </w:rPr>
            </w:pPr>
            <w:r w:rsidRPr="00465A27">
              <w:rPr>
                <w:sz w:val="20"/>
                <w:szCs w:val="20"/>
                <w:lang w:val="fr-CA"/>
              </w:rPr>
              <w:tab/>
            </w:r>
            <w:r>
              <w:rPr>
                <w:sz w:val="20"/>
                <w:szCs w:val="20"/>
                <w:lang w:val="fr-CA"/>
              </w:rPr>
              <w:t>Michel Rossignol</w:t>
            </w:r>
          </w:p>
          <w:p w:rsidR="002102EE" w:rsidRPr="00465A27" w:rsidRDefault="002102EE" w:rsidP="002102EE">
            <w:pPr>
              <w:keepNext/>
              <w:keepLines/>
              <w:tabs>
                <w:tab w:val="left" w:pos="-1440"/>
                <w:tab w:val="left" w:pos="-720"/>
              </w:tabs>
              <w:rPr>
                <w:sz w:val="20"/>
                <w:szCs w:val="20"/>
                <w:lang w:val="fr-CA"/>
              </w:rPr>
            </w:pPr>
            <w:r w:rsidRPr="00465A27">
              <w:rPr>
                <w:sz w:val="20"/>
                <w:szCs w:val="20"/>
                <w:lang w:val="fr-CA"/>
              </w:rPr>
              <w:tab/>
            </w:r>
            <w:r>
              <w:rPr>
                <w:sz w:val="20"/>
                <w:szCs w:val="20"/>
                <w:lang w:val="fr-CA"/>
              </w:rPr>
              <w:t>Larivière Meunier</w:t>
            </w:r>
          </w:p>
          <w:p w:rsidR="002102EE" w:rsidRPr="00465A27" w:rsidRDefault="002102EE" w:rsidP="002102EE">
            <w:pPr>
              <w:keepNext/>
              <w:keepLines/>
              <w:tabs>
                <w:tab w:val="left" w:pos="-1440"/>
                <w:tab w:val="left" w:pos="-720"/>
              </w:tabs>
              <w:rPr>
                <w:sz w:val="20"/>
                <w:szCs w:val="20"/>
                <w:lang w:val="fr-CA"/>
              </w:rPr>
            </w:pPr>
          </w:p>
          <w:p w:rsidR="00E244A8" w:rsidRPr="00E40D79" w:rsidRDefault="002102EE" w:rsidP="002102EE">
            <w:pPr>
              <w:rPr>
                <w:sz w:val="20"/>
                <w:szCs w:val="20"/>
                <w:lang w:val="fr-CA"/>
              </w:rPr>
            </w:pPr>
            <w:r w:rsidRPr="00806A5B">
              <w:rPr>
                <w:sz w:val="20"/>
                <w:szCs w:val="20"/>
                <w:lang w:val="fr-CA"/>
              </w:rPr>
              <w:t xml:space="preserve">DATE DE PRODUCTION: </w:t>
            </w:r>
            <w:r>
              <w:rPr>
                <w:sz w:val="20"/>
                <w:szCs w:val="20"/>
                <w:lang w:val="fr-CA"/>
              </w:rPr>
              <w:t>02</w:t>
            </w:r>
            <w:r w:rsidRPr="00806A5B">
              <w:rPr>
                <w:sz w:val="20"/>
                <w:szCs w:val="20"/>
                <w:lang w:val="fr-CA"/>
              </w:rPr>
              <w:t>.0</w:t>
            </w:r>
            <w:r>
              <w:rPr>
                <w:sz w:val="20"/>
                <w:szCs w:val="20"/>
                <w:lang w:val="fr-CA"/>
              </w:rPr>
              <w:t>4</w:t>
            </w:r>
            <w:r w:rsidRPr="00806A5B">
              <w:rPr>
                <w:sz w:val="20"/>
                <w:szCs w:val="20"/>
                <w:lang w:val="fr-CA"/>
              </w:rPr>
              <w:t>.2014</w:t>
            </w:r>
            <w:r w:rsidR="000B3306">
              <w:rPr>
                <w:sz w:val="20"/>
                <w:szCs w:val="20"/>
                <w:lang w:val="fr-CA"/>
              </w:rPr>
              <w:pict>
                <v:rect id="_x0000_i1028" style="width:108pt;height:1pt" o:hrpct="0" o:hralign="center" o:hrstd="t" o:hrnoshade="t" o:hr="t" fillcolor="black [3213]" stroked="f"/>
              </w:pict>
            </w:r>
          </w:p>
        </w:tc>
        <w:tc>
          <w:tcPr>
            <w:tcW w:w="1181" w:type="dxa"/>
            <w:shd w:val="clear" w:color="auto" w:fill="auto"/>
          </w:tcPr>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p w:rsidR="00E244A8" w:rsidRPr="00E40D79" w:rsidRDefault="00E244A8" w:rsidP="00242AEE">
            <w:pPr>
              <w:jc w:val="center"/>
              <w:rPr>
                <w:sz w:val="20"/>
                <w:szCs w:val="20"/>
                <w:lang w:val="fr-CA"/>
              </w:rPr>
            </w:pPr>
          </w:p>
        </w:tc>
        <w:tc>
          <w:tcPr>
            <w:tcW w:w="4320" w:type="dxa"/>
            <w:shd w:val="clear" w:color="auto" w:fill="auto"/>
          </w:tcPr>
          <w:p w:rsidR="00E244A8" w:rsidRPr="001C3490" w:rsidRDefault="00E244A8" w:rsidP="00747482">
            <w:pPr>
              <w:rPr>
                <w:b/>
                <w:sz w:val="20"/>
                <w:szCs w:val="20"/>
                <w:lang w:val="fr-CA"/>
              </w:rPr>
            </w:pPr>
            <w:r w:rsidRPr="001C3490">
              <w:rPr>
                <w:b/>
                <w:sz w:val="20"/>
                <w:szCs w:val="20"/>
                <w:lang w:val="fr-CA"/>
              </w:rPr>
              <w:t>Jeannine M. Kapelus</w:t>
            </w:r>
          </w:p>
          <w:p w:rsidR="00E244A8" w:rsidRPr="001C3490" w:rsidRDefault="00E244A8" w:rsidP="00747482">
            <w:pPr>
              <w:tabs>
                <w:tab w:val="left" w:pos="-1440"/>
                <w:tab w:val="left" w:pos="-720"/>
              </w:tabs>
              <w:rPr>
                <w:sz w:val="20"/>
                <w:szCs w:val="20"/>
                <w:lang w:val="fr-CA"/>
              </w:rPr>
            </w:pPr>
            <w:r w:rsidRPr="001C3490">
              <w:rPr>
                <w:sz w:val="20"/>
                <w:szCs w:val="20"/>
                <w:lang w:val="fr-CA"/>
              </w:rPr>
              <w:tab/>
              <w:t>Jeannine M. Kapelus</w:t>
            </w:r>
          </w:p>
          <w:p w:rsidR="00E244A8" w:rsidRPr="001C3490" w:rsidRDefault="00E244A8" w:rsidP="00747482">
            <w:pPr>
              <w:tabs>
                <w:tab w:val="left" w:pos="-1440"/>
                <w:tab w:val="left" w:pos="-720"/>
              </w:tabs>
              <w:rPr>
                <w:sz w:val="20"/>
                <w:szCs w:val="20"/>
                <w:lang w:val="fr-CA"/>
              </w:rPr>
            </w:pPr>
          </w:p>
          <w:p w:rsidR="00E244A8" w:rsidRPr="00A935AA" w:rsidRDefault="00E244A8" w:rsidP="00747482">
            <w:pPr>
              <w:tabs>
                <w:tab w:val="left" w:pos="-1440"/>
                <w:tab w:val="left" w:pos="-720"/>
              </w:tabs>
              <w:rPr>
                <w:sz w:val="20"/>
                <w:szCs w:val="20"/>
              </w:rPr>
            </w:pPr>
            <w:r w:rsidRPr="001C3490">
              <w:rPr>
                <w:sz w:val="20"/>
                <w:szCs w:val="20"/>
                <w:lang w:val="fr-CA"/>
              </w:rPr>
              <w:tab/>
            </w:r>
            <w:r w:rsidRPr="00A935AA">
              <w:rPr>
                <w:sz w:val="20"/>
                <w:szCs w:val="20"/>
              </w:rPr>
              <w:t>v. (3</w:t>
            </w:r>
            <w:r>
              <w:rPr>
                <w:sz w:val="20"/>
                <w:szCs w:val="20"/>
              </w:rPr>
              <w:t>5817</w:t>
            </w:r>
            <w:r w:rsidRPr="00A935AA">
              <w:rPr>
                <w:sz w:val="20"/>
                <w:szCs w:val="20"/>
              </w:rPr>
              <w:t>)</w:t>
            </w:r>
          </w:p>
          <w:p w:rsidR="00E244A8" w:rsidRPr="00A935AA" w:rsidRDefault="00E244A8" w:rsidP="00747482">
            <w:pPr>
              <w:tabs>
                <w:tab w:val="left" w:pos="-1440"/>
                <w:tab w:val="left" w:pos="-720"/>
              </w:tabs>
              <w:rPr>
                <w:sz w:val="20"/>
                <w:szCs w:val="20"/>
              </w:rPr>
            </w:pPr>
          </w:p>
          <w:p w:rsidR="00E244A8" w:rsidRPr="00A935AA" w:rsidRDefault="00E244A8" w:rsidP="00747482">
            <w:pPr>
              <w:tabs>
                <w:tab w:val="left" w:pos="-1440"/>
                <w:tab w:val="left" w:pos="-720"/>
              </w:tabs>
              <w:rPr>
                <w:b/>
                <w:sz w:val="20"/>
                <w:szCs w:val="20"/>
              </w:rPr>
            </w:pPr>
            <w:r>
              <w:rPr>
                <w:b/>
                <w:sz w:val="20"/>
                <w:szCs w:val="20"/>
              </w:rPr>
              <w:t xml:space="preserve">University of British Columbia </w:t>
            </w:r>
            <w:r w:rsidRPr="00A935AA">
              <w:rPr>
                <w:b/>
                <w:sz w:val="20"/>
                <w:szCs w:val="20"/>
              </w:rPr>
              <w:t>(</w:t>
            </w:r>
            <w:r>
              <w:rPr>
                <w:b/>
                <w:sz w:val="20"/>
                <w:szCs w:val="20"/>
              </w:rPr>
              <w:t>B.C</w:t>
            </w:r>
            <w:r w:rsidRPr="00A935AA">
              <w:rPr>
                <w:b/>
                <w:sz w:val="20"/>
                <w:szCs w:val="20"/>
              </w:rPr>
              <w:t>.)</w:t>
            </w:r>
          </w:p>
          <w:p w:rsidR="00E244A8" w:rsidRPr="00A935AA" w:rsidRDefault="00E244A8" w:rsidP="00747482">
            <w:pPr>
              <w:tabs>
                <w:tab w:val="left" w:pos="-1440"/>
                <w:tab w:val="left" w:pos="-720"/>
              </w:tabs>
              <w:rPr>
                <w:sz w:val="20"/>
                <w:szCs w:val="20"/>
              </w:rPr>
            </w:pPr>
            <w:r w:rsidRPr="00A935AA">
              <w:rPr>
                <w:sz w:val="20"/>
                <w:szCs w:val="20"/>
              </w:rPr>
              <w:tab/>
            </w:r>
            <w:r>
              <w:rPr>
                <w:sz w:val="20"/>
                <w:szCs w:val="20"/>
              </w:rPr>
              <w:t>Aiyaz A. Alibhai</w:t>
            </w:r>
          </w:p>
          <w:p w:rsidR="00E244A8" w:rsidRPr="00A935AA" w:rsidRDefault="00E244A8" w:rsidP="00747482">
            <w:pPr>
              <w:tabs>
                <w:tab w:val="left" w:pos="-1440"/>
                <w:tab w:val="left" w:pos="-720"/>
              </w:tabs>
              <w:rPr>
                <w:sz w:val="20"/>
                <w:szCs w:val="20"/>
              </w:rPr>
            </w:pPr>
            <w:r w:rsidRPr="00A935AA">
              <w:rPr>
                <w:sz w:val="20"/>
                <w:szCs w:val="20"/>
              </w:rPr>
              <w:tab/>
            </w:r>
            <w:r>
              <w:rPr>
                <w:sz w:val="20"/>
                <w:szCs w:val="20"/>
              </w:rPr>
              <w:t>Miller Thomson LLP</w:t>
            </w:r>
          </w:p>
          <w:p w:rsidR="00E244A8" w:rsidRPr="00A935AA" w:rsidRDefault="00E244A8" w:rsidP="00747482">
            <w:pPr>
              <w:tabs>
                <w:tab w:val="left" w:pos="-1440"/>
                <w:tab w:val="left" w:pos="-720"/>
              </w:tabs>
              <w:rPr>
                <w:sz w:val="20"/>
                <w:szCs w:val="20"/>
              </w:rPr>
            </w:pPr>
          </w:p>
          <w:p w:rsidR="00E244A8" w:rsidRPr="00A935AA" w:rsidRDefault="00E244A8" w:rsidP="00747482">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4</w:t>
            </w:r>
          </w:p>
          <w:p w:rsidR="00E244A8" w:rsidRPr="00A935AA" w:rsidRDefault="000B3306" w:rsidP="00747482">
            <w:pPr>
              <w:rPr>
                <w:sz w:val="20"/>
                <w:szCs w:val="20"/>
              </w:rPr>
            </w:pPr>
            <w:r>
              <w:rPr>
                <w:sz w:val="20"/>
                <w:szCs w:val="20"/>
                <w:lang w:val="fr-CA"/>
              </w:rPr>
              <w:pict>
                <v:rect id="_x0000_i1029" style="width:108pt;height:1pt" o:hrpct="0" o:hralign="center" o:hrstd="t" o:hrnoshade="t" o:hr="t" fillcolor="black [3213]" stroked="f"/>
              </w:pict>
            </w:r>
          </w:p>
        </w:tc>
      </w:tr>
      <w:tr w:rsidR="00E244A8" w:rsidRPr="00A935AA" w:rsidTr="003B3977">
        <w:trPr>
          <w:cantSplit/>
        </w:trPr>
        <w:tc>
          <w:tcPr>
            <w:tcW w:w="4320" w:type="dxa"/>
            <w:shd w:val="clear" w:color="auto" w:fill="auto"/>
          </w:tcPr>
          <w:p w:rsidR="00E244A8" w:rsidRPr="00A935AA" w:rsidRDefault="00E244A8" w:rsidP="005F1ED8">
            <w:pPr>
              <w:rPr>
                <w:b/>
                <w:sz w:val="20"/>
                <w:szCs w:val="20"/>
              </w:rPr>
            </w:pPr>
            <w:r>
              <w:rPr>
                <w:b/>
                <w:sz w:val="20"/>
                <w:szCs w:val="20"/>
              </w:rPr>
              <w:t xml:space="preserve">Celestica Inc. et al. </w:t>
            </w:r>
          </w:p>
          <w:p w:rsidR="00E244A8" w:rsidRPr="00A935AA" w:rsidRDefault="00E244A8" w:rsidP="005F1ED8">
            <w:pPr>
              <w:tabs>
                <w:tab w:val="left" w:pos="-1440"/>
                <w:tab w:val="left" w:pos="-720"/>
              </w:tabs>
              <w:rPr>
                <w:sz w:val="20"/>
                <w:szCs w:val="20"/>
              </w:rPr>
            </w:pPr>
            <w:r w:rsidRPr="00A935AA">
              <w:rPr>
                <w:sz w:val="20"/>
                <w:szCs w:val="20"/>
              </w:rPr>
              <w:tab/>
            </w:r>
            <w:r>
              <w:rPr>
                <w:sz w:val="20"/>
                <w:szCs w:val="20"/>
              </w:rPr>
              <w:t>Nigel Campbell</w:t>
            </w:r>
          </w:p>
          <w:p w:rsidR="00E244A8" w:rsidRPr="00A935AA" w:rsidRDefault="00E244A8" w:rsidP="005F1ED8">
            <w:pPr>
              <w:tabs>
                <w:tab w:val="left" w:pos="-1440"/>
                <w:tab w:val="left" w:pos="-720"/>
              </w:tabs>
              <w:rPr>
                <w:sz w:val="20"/>
                <w:szCs w:val="20"/>
              </w:rPr>
            </w:pPr>
            <w:r w:rsidRPr="00A935AA">
              <w:rPr>
                <w:sz w:val="20"/>
                <w:szCs w:val="20"/>
              </w:rPr>
              <w:tab/>
            </w:r>
            <w:r>
              <w:rPr>
                <w:sz w:val="20"/>
                <w:szCs w:val="20"/>
              </w:rPr>
              <w:t>Blake, Cassels &amp; Graydon LLP</w:t>
            </w:r>
          </w:p>
          <w:p w:rsidR="00E244A8" w:rsidRPr="00A935AA" w:rsidRDefault="00E244A8" w:rsidP="005F1ED8">
            <w:pPr>
              <w:tabs>
                <w:tab w:val="left" w:pos="-1440"/>
                <w:tab w:val="left" w:pos="-720"/>
              </w:tabs>
              <w:rPr>
                <w:sz w:val="20"/>
                <w:szCs w:val="20"/>
              </w:rPr>
            </w:pPr>
          </w:p>
          <w:p w:rsidR="00E244A8" w:rsidRPr="00A935AA" w:rsidRDefault="00E244A8" w:rsidP="005F1ED8">
            <w:pPr>
              <w:tabs>
                <w:tab w:val="left" w:pos="-1440"/>
                <w:tab w:val="left" w:pos="-720"/>
              </w:tabs>
              <w:rPr>
                <w:sz w:val="20"/>
                <w:szCs w:val="20"/>
              </w:rPr>
            </w:pPr>
            <w:r w:rsidRPr="00A935AA">
              <w:rPr>
                <w:sz w:val="20"/>
                <w:szCs w:val="20"/>
              </w:rPr>
              <w:tab/>
              <w:t>v. (3</w:t>
            </w:r>
            <w:r>
              <w:rPr>
                <w:sz w:val="20"/>
                <w:szCs w:val="20"/>
              </w:rPr>
              <w:t>5813</w:t>
            </w:r>
            <w:r w:rsidRPr="00A935AA">
              <w:rPr>
                <w:sz w:val="20"/>
                <w:szCs w:val="20"/>
              </w:rPr>
              <w:t>)</w:t>
            </w:r>
          </w:p>
          <w:p w:rsidR="00E244A8" w:rsidRPr="00A935AA" w:rsidRDefault="00E244A8" w:rsidP="005F1ED8">
            <w:pPr>
              <w:tabs>
                <w:tab w:val="left" w:pos="-1440"/>
                <w:tab w:val="left" w:pos="-720"/>
              </w:tabs>
              <w:rPr>
                <w:sz w:val="20"/>
                <w:szCs w:val="20"/>
              </w:rPr>
            </w:pPr>
          </w:p>
          <w:p w:rsidR="00E244A8" w:rsidRPr="00A935AA" w:rsidRDefault="00E244A8" w:rsidP="005F1ED8">
            <w:pPr>
              <w:tabs>
                <w:tab w:val="left" w:pos="-1440"/>
                <w:tab w:val="left" w:pos="-720"/>
              </w:tabs>
              <w:rPr>
                <w:b/>
                <w:sz w:val="20"/>
                <w:szCs w:val="20"/>
              </w:rPr>
            </w:pPr>
            <w:r>
              <w:rPr>
                <w:b/>
                <w:sz w:val="20"/>
                <w:szCs w:val="20"/>
              </w:rPr>
              <w:t>Trustees of the Millwright Regional Council of Ontario Pension Trust Fund et al.</w:t>
            </w:r>
            <w:r w:rsidRPr="00A935AA">
              <w:rPr>
                <w:b/>
                <w:sz w:val="20"/>
                <w:szCs w:val="20"/>
              </w:rPr>
              <w:t xml:space="preserve"> (</w:t>
            </w:r>
            <w:r>
              <w:rPr>
                <w:b/>
                <w:sz w:val="20"/>
                <w:szCs w:val="20"/>
              </w:rPr>
              <w:t>Ont</w:t>
            </w:r>
            <w:r w:rsidRPr="00A935AA">
              <w:rPr>
                <w:b/>
                <w:sz w:val="20"/>
                <w:szCs w:val="20"/>
              </w:rPr>
              <w:t>.)</w:t>
            </w:r>
          </w:p>
          <w:p w:rsidR="00E244A8" w:rsidRPr="00A935AA" w:rsidRDefault="00E244A8" w:rsidP="005F1ED8">
            <w:pPr>
              <w:tabs>
                <w:tab w:val="left" w:pos="-1440"/>
                <w:tab w:val="left" w:pos="-720"/>
              </w:tabs>
              <w:rPr>
                <w:sz w:val="20"/>
                <w:szCs w:val="20"/>
              </w:rPr>
            </w:pPr>
            <w:r w:rsidRPr="00A935AA">
              <w:rPr>
                <w:sz w:val="20"/>
                <w:szCs w:val="20"/>
              </w:rPr>
              <w:tab/>
            </w:r>
            <w:r>
              <w:rPr>
                <w:sz w:val="20"/>
                <w:szCs w:val="20"/>
              </w:rPr>
              <w:t>Kirk M. Baert</w:t>
            </w:r>
          </w:p>
          <w:p w:rsidR="00E244A8" w:rsidRPr="00A935AA" w:rsidRDefault="00E244A8" w:rsidP="005F1ED8">
            <w:pPr>
              <w:tabs>
                <w:tab w:val="left" w:pos="-1440"/>
                <w:tab w:val="left" w:pos="-720"/>
              </w:tabs>
              <w:rPr>
                <w:sz w:val="20"/>
                <w:szCs w:val="20"/>
              </w:rPr>
            </w:pPr>
            <w:r w:rsidRPr="00A935AA">
              <w:rPr>
                <w:sz w:val="20"/>
                <w:szCs w:val="20"/>
              </w:rPr>
              <w:tab/>
            </w:r>
            <w:r>
              <w:rPr>
                <w:sz w:val="20"/>
                <w:szCs w:val="20"/>
              </w:rPr>
              <w:t>Koskie Minsky LLP</w:t>
            </w:r>
          </w:p>
          <w:p w:rsidR="00E244A8" w:rsidRPr="00A935AA" w:rsidRDefault="00E244A8" w:rsidP="005F1ED8">
            <w:pPr>
              <w:tabs>
                <w:tab w:val="left" w:pos="-1440"/>
                <w:tab w:val="left" w:pos="-720"/>
              </w:tabs>
              <w:rPr>
                <w:sz w:val="20"/>
                <w:szCs w:val="20"/>
              </w:rPr>
            </w:pPr>
          </w:p>
          <w:p w:rsidR="00E244A8" w:rsidRPr="00A935AA" w:rsidRDefault="00E244A8" w:rsidP="005F1ED8">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4</w:t>
            </w:r>
          </w:p>
          <w:p w:rsidR="00E244A8" w:rsidRPr="00A935AA" w:rsidRDefault="000B3306" w:rsidP="005F1ED8">
            <w:pPr>
              <w:rPr>
                <w:sz w:val="20"/>
                <w:szCs w:val="20"/>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p w:rsidR="00E244A8" w:rsidRPr="00A935AA" w:rsidRDefault="00E244A8" w:rsidP="00242AEE">
            <w:pPr>
              <w:jc w:val="center"/>
              <w:rPr>
                <w:sz w:val="20"/>
                <w:szCs w:val="20"/>
              </w:rPr>
            </w:pPr>
          </w:p>
        </w:tc>
        <w:tc>
          <w:tcPr>
            <w:tcW w:w="4320" w:type="dxa"/>
            <w:shd w:val="clear" w:color="auto" w:fill="auto"/>
          </w:tcPr>
          <w:p w:rsidR="00E244A8" w:rsidRPr="00A935AA" w:rsidRDefault="00E244A8" w:rsidP="00747482">
            <w:pPr>
              <w:rPr>
                <w:b/>
                <w:sz w:val="20"/>
                <w:szCs w:val="20"/>
              </w:rPr>
            </w:pPr>
            <w:r>
              <w:rPr>
                <w:b/>
                <w:sz w:val="20"/>
                <w:szCs w:val="20"/>
              </w:rPr>
              <w:t>Lombard General Insurance Company of Canada</w:t>
            </w:r>
          </w:p>
          <w:p w:rsidR="00E244A8" w:rsidRPr="00A935AA" w:rsidRDefault="00E244A8" w:rsidP="00747482">
            <w:pPr>
              <w:tabs>
                <w:tab w:val="left" w:pos="-1440"/>
                <w:tab w:val="left" w:pos="-720"/>
              </w:tabs>
              <w:rPr>
                <w:sz w:val="20"/>
                <w:szCs w:val="20"/>
              </w:rPr>
            </w:pPr>
            <w:r w:rsidRPr="00A935AA">
              <w:rPr>
                <w:sz w:val="20"/>
                <w:szCs w:val="20"/>
              </w:rPr>
              <w:tab/>
            </w:r>
            <w:r>
              <w:rPr>
                <w:sz w:val="20"/>
                <w:szCs w:val="20"/>
              </w:rPr>
              <w:t>William S. Chalmers</w:t>
            </w:r>
          </w:p>
          <w:p w:rsidR="00E244A8" w:rsidRPr="00A935AA" w:rsidRDefault="00E244A8" w:rsidP="00747482">
            <w:pPr>
              <w:tabs>
                <w:tab w:val="left" w:pos="-1440"/>
                <w:tab w:val="left" w:pos="-720"/>
              </w:tabs>
              <w:rPr>
                <w:sz w:val="20"/>
                <w:szCs w:val="20"/>
              </w:rPr>
            </w:pPr>
            <w:r w:rsidRPr="00A935AA">
              <w:rPr>
                <w:sz w:val="20"/>
                <w:szCs w:val="20"/>
              </w:rPr>
              <w:tab/>
            </w:r>
            <w:r>
              <w:rPr>
                <w:sz w:val="20"/>
                <w:szCs w:val="20"/>
              </w:rPr>
              <w:t>Hughes Amys LLP</w:t>
            </w:r>
          </w:p>
          <w:p w:rsidR="00E244A8" w:rsidRPr="00A935AA" w:rsidRDefault="00E244A8" w:rsidP="00747482">
            <w:pPr>
              <w:tabs>
                <w:tab w:val="left" w:pos="-1440"/>
                <w:tab w:val="left" w:pos="-720"/>
              </w:tabs>
              <w:rPr>
                <w:sz w:val="20"/>
                <w:szCs w:val="20"/>
              </w:rPr>
            </w:pPr>
          </w:p>
          <w:p w:rsidR="00E244A8" w:rsidRPr="00172CAA" w:rsidRDefault="00E244A8" w:rsidP="00747482">
            <w:pPr>
              <w:tabs>
                <w:tab w:val="left" w:pos="-1440"/>
                <w:tab w:val="left" w:pos="-720"/>
              </w:tabs>
              <w:rPr>
                <w:sz w:val="20"/>
                <w:szCs w:val="20"/>
                <w:lang w:val="fr-CA"/>
              </w:rPr>
            </w:pPr>
            <w:r w:rsidRPr="00A935AA">
              <w:rPr>
                <w:sz w:val="20"/>
                <w:szCs w:val="20"/>
              </w:rPr>
              <w:tab/>
            </w:r>
            <w:r w:rsidRPr="00172CAA">
              <w:rPr>
                <w:sz w:val="20"/>
                <w:szCs w:val="20"/>
                <w:lang w:val="fr-CA"/>
              </w:rPr>
              <w:t>v. (35816)</w:t>
            </w:r>
          </w:p>
          <w:p w:rsidR="00E244A8" w:rsidRPr="00172CAA" w:rsidRDefault="00E244A8" w:rsidP="00747482">
            <w:pPr>
              <w:tabs>
                <w:tab w:val="left" w:pos="-1440"/>
                <w:tab w:val="left" w:pos="-720"/>
              </w:tabs>
              <w:rPr>
                <w:sz w:val="20"/>
                <w:szCs w:val="20"/>
                <w:lang w:val="fr-CA"/>
              </w:rPr>
            </w:pPr>
          </w:p>
          <w:p w:rsidR="00E244A8" w:rsidRPr="00172CAA" w:rsidRDefault="00E244A8" w:rsidP="00747482">
            <w:pPr>
              <w:tabs>
                <w:tab w:val="left" w:pos="-1440"/>
                <w:tab w:val="left" w:pos="-720"/>
              </w:tabs>
              <w:rPr>
                <w:b/>
                <w:sz w:val="20"/>
                <w:szCs w:val="20"/>
                <w:lang w:val="fr-CA"/>
              </w:rPr>
            </w:pPr>
            <w:r w:rsidRPr="00172CAA">
              <w:rPr>
                <w:b/>
                <w:sz w:val="20"/>
                <w:szCs w:val="20"/>
                <w:lang w:val="fr-CA"/>
              </w:rPr>
              <w:t>Eckhart Schmitz et al. (Ont.)</w:t>
            </w:r>
          </w:p>
          <w:p w:rsidR="00E244A8" w:rsidRPr="00A935AA" w:rsidRDefault="00E244A8" w:rsidP="00747482">
            <w:pPr>
              <w:tabs>
                <w:tab w:val="left" w:pos="-1440"/>
                <w:tab w:val="left" w:pos="-720"/>
              </w:tabs>
              <w:rPr>
                <w:sz w:val="20"/>
                <w:szCs w:val="20"/>
              </w:rPr>
            </w:pPr>
            <w:r w:rsidRPr="00172CAA">
              <w:rPr>
                <w:sz w:val="20"/>
                <w:szCs w:val="20"/>
                <w:lang w:val="fr-CA"/>
              </w:rPr>
              <w:tab/>
            </w:r>
            <w:r>
              <w:rPr>
                <w:sz w:val="20"/>
                <w:szCs w:val="20"/>
              </w:rPr>
              <w:t>William S. Zener</w:t>
            </w:r>
          </w:p>
          <w:p w:rsidR="00E244A8" w:rsidRPr="00A935AA" w:rsidRDefault="00E244A8" w:rsidP="00747482">
            <w:pPr>
              <w:tabs>
                <w:tab w:val="left" w:pos="-1440"/>
                <w:tab w:val="left" w:pos="-720"/>
              </w:tabs>
              <w:rPr>
                <w:sz w:val="20"/>
                <w:szCs w:val="20"/>
              </w:rPr>
            </w:pPr>
            <w:r w:rsidRPr="00A935AA">
              <w:rPr>
                <w:sz w:val="20"/>
                <w:szCs w:val="20"/>
              </w:rPr>
              <w:tab/>
            </w:r>
            <w:r>
              <w:rPr>
                <w:sz w:val="20"/>
                <w:szCs w:val="20"/>
              </w:rPr>
              <w:t xml:space="preserve">Lipman, Zener &amp; Waxman </w:t>
            </w:r>
          </w:p>
          <w:p w:rsidR="00E244A8" w:rsidRPr="00A935AA" w:rsidRDefault="00E244A8" w:rsidP="00747482">
            <w:pPr>
              <w:tabs>
                <w:tab w:val="left" w:pos="-1440"/>
                <w:tab w:val="left" w:pos="-720"/>
              </w:tabs>
              <w:rPr>
                <w:sz w:val="20"/>
                <w:szCs w:val="20"/>
              </w:rPr>
            </w:pPr>
          </w:p>
          <w:p w:rsidR="00E244A8" w:rsidRPr="00A935AA" w:rsidRDefault="00E244A8" w:rsidP="00747482">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4</w:t>
            </w:r>
          </w:p>
          <w:p w:rsidR="00E244A8" w:rsidRPr="00A935AA" w:rsidRDefault="000B3306" w:rsidP="00747482">
            <w:pPr>
              <w:rPr>
                <w:sz w:val="20"/>
                <w:szCs w:val="20"/>
              </w:rPr>
            </w:pPr>
            <w:r>
              <w:rPr>
                <w:sz w:val="20"/>
                <w:szCs w:val="20"/>
                <w:lang w:val="fr-CA"/>
              </w:rPr>
              <w:pict>
                <v:rect id="_x0000_i1031" style="width:108pt;height:1pt" o:hrpct="0" o:hralign="center" o:hrstd="t" o:hrnoshade="t" o:hr="t" fillcolor="black [3213]" stroked="f"/>
              </w:pict>
            </w:r>
          </w:p>
        </w:tc>
      </w:tr>
      <w:tr w:rsidR="005D0E05" w:rsidRPr="00A935AA" w:rsidTr="003B3977">
        <w:trPr>
          <w:cantSplit/>
        </w:trPr>
        <w:tc>
          <w:tcPr>
            <w:tcW w:w="4320" w:type="dxa"/>
            <w:shd w:val="clear" w:color="auto" w:fill="auto"/>
          </w:tcPr>
          <w:p w:rsidR="005D0E05" w:rsidRPr="005D0E05" w:rsidRDefault="005D0E05" w:rsidP="003B4800">
            <w:pPr>
              <w:rPr>
                <w:b/>
                <w:sz w:val="20"/>
                <w:szCs w:val="20"/>
                <w:lang w:val="fr-CA"/>
              </w:rPr>
            </w:pPr>
            <w:r w:rsidRPr="005D0E05">
              <w:rPr>
                <w:b/>
                <w:sz w:val="20"/>
                <w:szCs w:val="20"/>
                <w:lang w:val="fr-CA"/>
              </w:rPr>
              <w:lastRenderedPageBreak/>
              <w:t xml:space="preserve">Rita Congiu </w:t>
            </w:r>
          </w:p>
          <w:p w:rsidR="005D0E05" w:rsidRPr="005D0E05" w:rsidRDefault="005D0E05" w:rsidP="003B4800">
            <w:pPr>
              <w:tabs>
                <w:tab w:val="left" w:pos="-1440"/>
                <w:tab w:val="left" w:pos="-720"/>
              </w:tabs>
              <w:rPr>
                <w:sz w:val="20"/>
                <w:szCs w:val="20"/>
                <w:lang w:val="fr-CA"/>
              </w:rPr>
            </w:pPr>
            <w:r w:rsidRPr="005D0E05">
              <w:rPr>
                <w:sz w:val="20"/>
                <w:szCs w:val="20"/>
                <w:lang w:val="fr-CA"/>
              </w:rPr>
              <w:tab/>
              <w:t>J.L. Marc Boivin</w:t>
            </w:r>
          </w:p>
          <w:p w:rsidR="005D0E05" w:rsidRPr="005D0E05" w:rsidRDefault="005D0E05" w:rsidP="003B4800">
            <w:pPr>
              <w:tabs>
                <w:tab w:val="left" w:pos="-1440"/>
                <w:tab w:val="left" w:pos="-720"/>
              </w:tabs>
              <w:rPr>
                <w:sz w:val="20"/>
                <w:szCs w:val="20"/>
                <w:lang w:val="fr-CA"/>
              </w:rPr>
            </w:pPr>
          </w:p>
          <w:p w:rsidR="005D0E05" w:rsidRPr="005D0E05" w:rsidRDefault="005D0E05" w:rsidP="003B4800">
            <w:pPr>
              <w:tabs>
                <w:tab w:val="left" w:pos="-1440"/>
                <w:tab w:val="left" w:pos="-720"/>
              </w:tabs>
              <w:rPr>
                <w:sz w:val="20"/>
                <w:szCs w:val="20"/>
                <w:lang w:val="fr-CA"/>
              </w:rPr>
            </w:pPr>
            <w:r w:rsidRPr="005D0E05">
              <w:rPr>
                <w:sz w:val="20"/>
                <w:szCs w:val="20"/>
                <w:lang w:val="fr-CA"/>
              </w:rPr>
              <w:tab/>
              <w:t>c. (35830)</w:t>
            </w:r>
          </w:p>
          <w:p w:rsidR="005D0E05" w:rsidRPr="005D0E05" w:rsidRDefault="005D0E05" w:rsidP="003B4800">
            <w:pPr>
              <w:tabs>
                <w:tab w:val="left" w:pos="-1440"/>
                <w:tab w:val="left" w:pos="-720"/>
              </w:tabs>
              <w:rPr>
                <w:sz w:val="20"/>
                <w:szCs w:val="20"/>
                <w:lang w:val="fr-CA"/>
              </w:rPr>
            </w:pPr>
          </w:p>
          <w:p w:rsidR="005D0E05" w:rsidRPr="005D0E05" w:rsidRDefault="005D0E05" w:rsidP="003B4800">
            <w:pPr>
              <w:tabs>
                <w:tab w:val="left" w:pos="-1440"/>
                <w:tab w:val="left" w:pos="-720"/>
              </w:tabs>
              <w:rPr>
                <w:b/>
                <w:sz w:val="20"/>
                <w:szCs w:val="20"/>
                <w:lang w:val="fr-CA"/>
              </w:rPr>
            </w:pPr>
            <w:r w:rsidRPr="00E22D67">
              <w:rPr>
                <w:b/>
                <w:sz w:val="20"/>
                <w:szCs w:val="20"/>
                <w:lang w:val="fr-CA"/>
              </w:rPr>
              <w:t>L'Agence du revenu du Québec</w:t>
            </w:r>
            <w:r>
              <w:rPr>
                <w:b/>
                <w:sz w:val="20"/>
                <w:szCs w:val="20"/>
                <w:lang w:val="fr-CA"/>
              </w:rPr>
              <w:t xml:space="preserve"> </w:t>
            </w:r>
            <w:r w:rsidRPr="005D0E05">
              <w:rPr>
                <w:b/>
                <w:sz w:val="20"/>
                <w:szCs w:val="20"/>
                <w:lang w:val="fr-CA"/>
              </w:rPr>
              <w:t>(Qc)</w:t>
            </w:r>
          </w:p>
          <w:p w:rsidR="005D0E05" w:rsidRPr="00DC61B5" w:rsidRDefault="005D0E05" w:rsidP="003B4800">
            <w:pPr>
              <w:tabs>
                <w:tab w:val="left" w:pos="-1440"/>
                <w:tab w:val="left" w:pos="-720"/>
              </w:tabs>
              <w:rPr>
                <w:sz w:val="20"/>
                <w:szCs w:val="20"/>
                <w:lang w:val="fr-CA"/>
              </w:rPr>
            </w:pPr>
            <w:r w:rsidRPr="005D0E05">
              <w:rPr>
                <w:sz w:val="20"/>
                <w:szCs w:val="20"/>
                <w:lang w:val="fr-CA"/>
              </w:rPr>
              <w:tab/>
            </w:r>
            <w:r w:rsidRPr="00DC61B5">
              <w:rPr>
                <w:sz w:val="20"/>
                <w:szCs w:val="20"/>
                <w:lang w:val="fr-CA"/>
              </w:rPr>
              <w:t>Josée Fournier</w:t>
            </w:r>
          </w:p>
          <w:p w:rsidR="005D0E05" w:rsidRPr="00DC61B5" w:rsidRDefault="005D0E05" w:rsidP="003B4800">
            <w:pPr>
              <w:tabs>
                <w:tab w:val="left" w:pos="-1440"/>
                <w:tab w:val="left" w:pos="-720"/>
              </w:tabs>
              <w:rPr>
                <w:sz w:val="20"/>
                <w:szCs w:val="20"/>
                <w:lang w:val="fr-CA"/>
              </w:rPr>
            </w:pPr>
            <w:r w:rsidRPr="00DC61B5">
              <w:rPr>
                <w:sz w:val="20"/>
                <w:szCs w:val="20"/>
                <w:lang w:val="fr-CA"/>
              </w:rPr>
              <w:tab/>
              <w:t>Larivière Meunier</w:t>
            </w:r>
          </w:p>
          <w:p w:rsidR="005D0E05" w:rsidRPr="00DC61B5" w:rsidRDefault="005D0E05" w:rsidP="003B4800">
            <w:pPr>
              <w:tabs>
                <w:tab w:val="left" w:pos="-1440"/>
                <w:tab w:val="left" w:pos="-720"/>
              </w:tabs>
              <w:rPr>
                <w:sz w:val="20"/>
                <w:szCs w:val="20"/>
                <w:lang w:val="fr-CA"/>
              </w:rPr>
            </w:pPr>
          </w:p>
          <w:p w:rsidR="005D0E05" w:rsidRPr="00DC61B5" w:rsidRDefault="005D0E05" w:rsidP="003B4800">
            <w:pPr>
              <w:rPr>
                <w:sz w:val="20"/>
                <w:szCs w:val="20"/>
                <w:lang w:val="fr-CA"/>
              </w:rPr>
            </w:pPr>
            <w:r>
              <w:rPr>
                <w:sz w:val="20"/>
                <w:szCs w:val="20"/>
                <w:lang w:val="fr-CA"/>
              </w:rPr>
              <w:t xml:space="preserve">DATE DE PRODUCTION </w:t>
            </w:r>
            <w:r w:rsidRPr="00DC61B5">
              <w:rPr>
                <w:sz w:val="20"/>
                <w:szCs w:val="20"/>
                <w:lang w:val="fr-CA"/>
              </w:rPr>
              <w:t>: 07.04.2014</w:t>
            </w:r>
          </w:p>
          <w:p w:rsidR="005D0E05" w:rsidRPr="00A935AA" w:rsidRDefault="000B3306" w:rsidP="003B4800">
            <w:pPr>
              <w:rPr>
                <w:sz w:val="20"/>
                <w:szCs w:val="20"/>
              </w:rPr>
            </w:pPr>
            <w:r>
              <w:rPr>
                <w:sz w:val="20"/>
                <w:szCs w:val="20"/>
                <w:lang w:val="fr-CA"/>
              </w:rPr>
              <w:pict>
                <v:rect id="_x0000_i1032" style="width:108pt;height:1pt" o:hrpct="0" o:hralign="center" o:hrstd="t" o:hrnoshade="t" o:hr="t" fillcolor="black [3213]" stroked="f"/>
              </w:pict>
            </w:r>
          </w:p>
        </w:tc>
        <w:tc>
          <w:tcPr>
            <w:tcW w:w="1181" w:type="dxa"/>
            <w:shd w:val="clear" w:color="auto" w:fill="auto"/>
          </w:tcPr>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Pr="00A935AA" w:rsidRDefault="005D0E05" w:rsidP="003B4800">
            <w:pPr>
              <w:jc w:val="center"/>
              <w:rPr>
                <w:sz w:val="20"/>
                <w:szCs w:val="20"/>
              </w:rPr>
            </w:pPr>
          </w:p>
          <w:p w:rsidR="005D0E05" w:rsidRDefault="005D0E05" w:rsidP="003B4800">
            <w:pPr>
              <w:jc w:val="center"/>
              <w:rPr>
                <w:sz w:val="20"/>
                <w:szCs w:val="20"/>
              </w:rPr>
            </w:pPr>
          </w:p>
          <w:p w:rsidR="005D0E05" w:rsidRPr="00A935AA" w:rsidRDefault="005D0E05" w:rsidP="003B4800">
            <w:pPr>
              <w:jc w:val="center"/>
              <w:rPr>
                <w:sz w:val="20"/>
                <w:szCs w:val="20"/>
              </w:rPr>
            </w:pPr>
          </w:p>
        </w:tc>
        <w:tc>
          <w:tcPr>
            <w:tcW w:w="4320" w:type="dxa"/>
            <w:shd w:val="clear" w:color="auto" w:fill="auto"/>
          </w:tcPr>
          <w:p w:rsidR="005D0E05" w:rsidRPr="00DC61B5" w:rsidRDefault="005D0E05" w:rsidP="003B4800">
            <w:pPr>
              <w:rPr>
                <w:b/>
                <w:sz w:val="20"/>
                <w:szCs w:val="20"/>
                <w:lang w:val="fr-CA"/>
              </w:rPr>
            </w:pPr>
            <w:r w:rsidRPr="00DC61B5">
              <w:rPr>
                <w:b/>
                <w:sz w:val="20"/>
                <w:szCs w:val="20"/>
                <w:lang w:val="fr-CA"/>
              </w:rPr>
              <w:t>Rita Congiu</w:t>
            </w:r>
            <w:r>
              <w:rPr>
                <w:b/>
                <w:sz w:val="20"/>
                <w:szCs w:val="20"/>
                <w:lang w:val="fr-CA"/>
              </w:rPr>
              <w:t xml:space="preserve"> et a</w:t>
            </w:r>
            <w:r w:rsidR="002102EE">
              <w:rPr>
                <w:b/>
                <w:sz w:val="20"/>
                <w:szCs w:val="20"/>
                <w:lang w:val="fr-CA"/>
              </w:rPr>
              <w:t>utre</w:t>
            </w:r>
            <w:r w:rsidRPr="00DC61B5">
              <w:rPr>
                <w:b/>
                <w:sz w:val="20"/>
                <w:szCs w:val="20"/>
                <w:lang w:val="fr-CA"/>
              </w:rPr>
              <w:t xml:space="preserve"> </w:t>
            </w:r>
          </w:p>
          <w:p w:rsidR="005D0E05" w:rsidRPr="00DC61B5" w:rsidRDefault="005D0E05" w:rsidP="003B4800">
            <w:pPr>
              <w:tabs>
                <w:tab w:val="left" w:pos="-1440"/>
                <w:tab w:val="left" w:pos="-720"/>
              </w:tabs>
              <w:rPr>
                <w:sz w:val="20"/>
                <w:szCs w:val="20"/>
                <w:lang w:val="fr-CA"/>
              </w:rPr>
            </w:pPr>
            <w:r w:rsidRPr="00DC61B5">
              <w:rPr>
                <w:sz w:val="20"/>
                <w:szCs w:val="20"/>
                <w:lang w:val="fr-CA"/>
              </w:rPr>
              <w:tab/>
              <w:t>J.L. Marc Boivin</w:t>
            </w:r>
          </w:p>
          <w:p w:rsidR="005D0E05" w:rsidRPr="00DC61B5" w:rsidRDefault="005D0E05" w:rsidP="003B4800">
            <w:pPr>
              <w:tabs>
                <w:tab w:val="left" w:pos="-1440"/>
                <w:tab w:val="left" w:pos="-720"/>
              </w:tabs>
              <w:rPr>
                <w:sz w:val="20"/>
                <w:szCs w:val="20"/>
                <w:lang w:val="fr-CA"/>
              </w:rPr>
            </w:pPr>
          </w:p>
          <w:p w:rsidR="005D0E05" w:rsidRPr="00E40D79" w:rsidRDefault="005D0E05" w:rsidP="003B4800">
            <w:pPr>
              <w:tabs>
                <w:tab w:val="left" w:pos="-1440"/>
                <w:tab w:val="left" w:pos="-720"/>
              </w:tabs>
              <w:rPr>
                <w:sz w:val="20"/>
                <w:szCs w:val="20"/>
                <w:lang w:val="fr-CA"/>
              </w:rPr>
            </w:pPr>
            <w:r w:rsidRPr="00DC61B5">
              <w:rPr>
                <w:sz w:val="20"/>
                <w:szCs w:val="20"/>
                <w:lang w:val="fr-CA"/>
              </w:rPr>
              <w:tab/>
            </w:r>
            <w:r w:rsidR="00155776" w:rsidRPr="00E40D79">
              <w:rPr>
                <w:sz w:val="20"/>
                <w:szCs w:val="20"/>
                <w:lang w:val="fr-CA"/>
              </w:rPr>
              <w:t>c</w:t>
            </w:r>
            <w:r w:rsidRPr="00E40D79">
              <w:rPr>
                <w:sz w:val="20"/>
                <w:szCs w:val="20"/>
                <w:lang w:val="fr-CA"/>
              </w:rPr>
              <w:t>. (35833)</w:t>
            </w:r>
          </w:p>
          <w:p w:rsidR="005D0E05" w:rsidRPr="00E40D79" w:rsidRDefault="005D0E05" w:rsidP="003B4800">
            <w:pPr>
              <w:tabs>
                <w:tab w:val="left" w:pos="-1440"/>
                <w:tab w:val="left" w:pos="-720"/>
              </w:tabs>
              <w:rPr>
                <w:sz w:val="20"/>
                <w:szCs w:val="20"/>
                <w:lang w:val="fr-CA"/>
              </w:rPr>
            </w:pPr>
          </w:p>
          <w:p w:rsidR="005D0E05" w:rsidRPr="002102EE" w:rsidRDefault="002102EE" w:rsidP="003B4800">
            <w:pPr>
              <w:tabs>
                <w:tab w:val="left" w:pos="-1440"/>
                <w:tab w:val="left" w:pos="-720"/>
              </w:tabs>
              <w:rPr>
                <w:b/>
                <w:sz w:val="20"/>
                <w:szCs w:val="20"/>
                <w:lang w:val="fr-CA"/>
              </w:rPr>
            </w:pPr>
            <w:r w:rsidRPr="002102EE">
              <w:rPr>
                <w:b/>
                <w:sz w:val="20"/>
                <w:szCs w:val="20"/>
                <w:lang w:val="fr-CA"/>
              </w:rPr>
              <w:t xml:space="preserve">Sa Majesté la Reine </w:t>
            </w:r>
            <w:r w:rsidR="005D0E05" w:rsidRPr="002102EE">
              <w:rPr>
                <w:b/>
                <w:sz w:val="20"/>
                <w:szCs w:val="20"/>
                <w:lang w:val="fr-CA"/>
              </w:rPr>
              <w:t>(Q</w:t>
            </w:r>
            <w:r w:rsidR="00155776" w:rsidRPr="002102EE">
              <w:rPr>
                <w:b/>
                <w:sz w:val="20"/>
                <w:szCs w:val="20"/>
                <w:lang w:val="fr-CA"/>
              </w:rPr>
              <w:t>c</w:t>
            </w:r>
            <w:r w:rsidR="005D0E05" w:rsidRPr="002102EE">
              <w:rPr>
                <w:b/>
                <w:sz w:val="20"/>
                <w:szCs w:val="20"/>
                <w:lang w:val="fr-CA"/>
              </w:rPr>
              <w:t>)</w:t>
            </w:r>
          </w:p>
          <w:p w:rsidR="005D0E05" w:rsidRPr="00DC61B5" w:rsidRDefault="005D0E05" w:rsidP="003B4800">
            <w:pPr>
              <w:tabs>
                <w:tab w:val="left" w:pos="-1440"/>
                <w:tab w:val="left" w:pos="-720"/>
              </w:tabs>
              <w:rPr>
                <w:sz w:val="20"/>
                <w:szCs w:val="20"/>
                <w:lang w:val="fr-CA"/>
              </w:rPr>
            </w:pPr>
            <w:r w:rsidRPr="002102EE">
              <w:rPr>
                <w:sz w:val="20"/>
                <w:szCs w:val="20"/>
                <w:lang w:val="fr-CA"/>
              </w:rPr>
              <w:tab/>
            </w:r>
            <w:r w:rsidRPr="00DC61B5">
              <w:rPr>
                <w:sz w:val="20"/>
                <w:szCs w:val="20"/>
                <w:lang w:val="fr-CA"/>
              </w:rPr>
              <w:t>Josée Fournier</w:t>
            </w:r>
          </w:p>
          <w:p w:rsidR="005D0E05" w:rsidRPr="00DC61B5" w:rsidRDefault="005D0E05" w:rsidP="003B4800">
            <w:pPr>
              <w:tabs>
                <w:tab w:val="left" w:pos="-1440"/>
                <w:tab w:val="left" w:pos="-720"/>
              </w:tabs>
              <w:rPr>
                <w:sz w:val="20"/>
                <w:szCs w:val="20"/>
                <w:lang w:val="fr-CA"/>
              </w:rPr>
            </w:pPr>
            <w:r w:rsidRPr="00DC61B5">
              <w:rPr>
                <w:sz w:val="20"/>
                <w:szCs w:val="20"/>
                <w:lang w:val="fr-CA"/>
              </w:rPr>
              <w:tab/>
              <w:t>Larivière Meunier</w:t>
            </w:r>
          </w:p>
          <w:p w:rsidR="005D0E05" w:rsidRPr="00DC61B5" w:rsidRDefault="005D0E05" w:rsidP="003B4800">
            <w:pPr>
              <w:tabs>
                <w:tab w:val="left" w:pos="-1440"/>
                <w:tab w:val="left" w:pos="-720"/>
              </w:tabs>
              <w:rPr>
                <w:sz w:val="20"/>
                <w:szCs w:val="20"/>
                <w:lang w:val="fr-CA"/>
              </w:rPr>
            </w:pPr>
          </w:p>
          <w:p w:rsidR="005D0E05" w:rsidRPr="00DC61B5" w:rsidRDefault="00155776" w:rsidP="003B4800">
            <w:pPr>
              <w:rPr>
                <w:sz w:val="20"/>
                <w:szCs w:val="20"/>
                <w:lang w:val="fr-CA"/>
              </w:rPr>
            </w:pPr>
            <w:r>
              <w:rPr>
                <w:sz w:val="20"/>
                <w:szCs w:val="20"/>
                <w:lang w:val="fr-CA"/>
              </w:rPr>
              <w:t xml:space="preserve">DATE DE PRODUCTION </w:t>
            </w:r>
            <w:r w:rsidR="005D0E05" w:rsidRPr="005D0E05">
              <w:rPr>
                <w:sz w:val="20"/>
                <w:szCs w:val="20"/>
                <w:lang w:val="fr-CA"/>
              </w:rPr>
              <w:t>:</w:t>
            </w:r>
            <w:r w:rsidR="005D0E05" w:rsidRPr="00DC61B5">
              <w:rPr>
                <w:sz w:val="20"/>
                <w:szCs w:val="20"/>
                <w:lang w:val="fr-CA"/>
              </w:rPr>
              <w:t xml:space="preserve"> </w:t>
            </w:r>
            <w:r w:rsidR="005D0E05">
              <w:rPr>
                <w:sz w:val="20"/>
                <w:szCs w:val="20"/>
                <w:lang w:val="fr-CA"/>
              </w:rPr>
              <w:t>11</w:t>
            </w:r>
            <w:r w:rsidR="005D0E05" w:rsidRPr="00DC61B5">
              <w:rPr>
                <w:sz w:val="20"/>
                <w:szCs w:val="20"/>
                <w:lang w:val="fr-CA"/>
              </w:rPr>
              <w:t>.04.2014</w:t>
            </w:r>
          </w:p>
          <w:p w:rsidR="005D0E05" w:rsidRPr="00A935AA" w:rsidRDefault="000B3306" w:rsidP="003B4800">
            <w:pPr>
              <w:rPr>
                <w:sz w:val="20"/>
                <w:szCs w:val="20"/>
              </w:rPr>
            </w:pPr>
            <w:r>
              <w:rPr>
                <w:sz w:val="20"/>
                <w:szCs w:val="20"/>
                <w:lang w:val="fr-CA"/>
              </w:rPr>
              <w:pict>
                <v:rect id="_x0000_i1033" style="width:108pt;height:1pt" o:hrpct="0" o:hralign="center" o:hrstd="t" o:hrnoshade="t" o:hr="t" fillcolor="black [3213]" stroked="f"/>
              </w:pict>
            </w:r>
          </w:p>
        </w:tc>
      </w:tr>
      <w:tr w:rsidR="005D0E05" w:rsidRPr="00A935AA" w:rsidTr="003B3977">
        <w:trPr>
          <w:cantSplit/>
        </w:trPr>
        <w:tc>
          <w:tcPr>
            <w:tcW w:w="4320" w:type="dxa"/>
            <w:shd w:val="clear" w:color="auto" w:fill="auto"/>
          </w:tcPr>
          <w:p w:rsidR="002102EE" w:rsidRDefault="005D0E05" w:rsidP="005F1ED8">
            <w:pPr>
              <w:rPr>
                <w:b/>
                <w:sz w:val="20"/>
                <w:szCs w:val="20"/>
                <w:lang w:val="fr-CA"/>
              </w:rPr>
            </w:pPr>
            <w:r w:rsidRPr="00747482">
              <w:rPr>
                <w:b/>
                <w:sz w:val="20"/>
                <w:szCs w:val="20"/>
                <w:lang w:val="fr-CA"/>
              </w:rPr>
              <w:t xml:space="preserve">Commission scolaire francophone du Yukon </w:t>
            </w:r>
          </w:p>
          <w:p w:rsidR="005D0E05" w:rsidRPr="00747482" w:rsidRDefault="005D0E05" w:rsidP="005F1ED8">
            <w:pPr>
              <w:rPr>
                <w:b/>
                <w:sz w:val="20"/>
                <w:szCs w:val="20"/>
                <w:lang w:val="fr-CA"/>
              </w:rPr>
            </w:pPr>
            <w:r w:rsidRPr="00747482">
              <w:rPr>
                <w:b/>
                <w:sz w:val="20"/>
                <w:szCs w:val="20"/>
                <w:lang w:val="fr-CA"/>
              </w:rPr>
              <w:t>No 23</w:t>
            </w:r>
          </w:p>
          <w:p w:rsidR="005D0E05" w:rsidRPr="00747482" w:rsidRDefault="005D0E05" w:rsidP="005F1ED8">
            <w:pPr>
              <w:tabs>
                <w:tab w:val="left" w:pos="-1440"/>
                <w:tab w:val="left" w:pos="-720"/>
              </w:tabs>
              <w:rPr>
                <w:sz w:val="20"/>
                <w:szCs w:val="20"/>
                <w:lang w:val="en-US"/>
              </w:rPr>
            </w:pPr>
            <w:r w:rsidRPr="00747482">
              <w:rPr>
                <w:sz w:val="20"/>
                <w:szCs w:val="20"/>
                <w:lang w:val="fr-CA"/>
              </w:rPr>
              <w:tab/>
            </w:r>
            <w:r w:rsidRPr="00747482">
              <w:rPr>
                <w:sz w:val="20"/>
                <w:szCs w:val="20"/>
                <w:lang w:val="en-US"/>
              </w:rPr>
              <w:t>Roger J.F. Lepage</w:t>
            </w:r>
          </w:p>
          <w:p w:rsidR="005D0E05" w:rsidRPr="00747482" w:rsidRDefault="005D0E05" w:rsidP="005F1ED8">
            <w:pPr>
              <w:tabs>
                <w:tab w:val="left" w:pos="-1440"/>
                <w:tab w:val="left" w:pos="-720"/>
              </w:tabs>
              <w:rPr>
                <w:sz w:val="20"/>
                <w:szCs w:val="20"/>
                <w:lang w:val="en-US"/>
              </w:rPr>
            </w:pPr>
            <w:r w:rsidRPr="00747482">
              <w:rPr>
                <w:sz w:val="20"/>
                <w:szCs w:val="20"/>
                <w:lang w:val="en-US"/>
              </w:rPr>
              <w:tab/>
              <w:t>Miller Thomson LLP</w:t>
            </w:r>
          </w:p>
          <w:p w:rsidR="005D0E05" w:rsidRPr="00747482" w:rsidRDefault="005D0E05" w:rsidP="005F1ED8">
            <w:pPr>
              <w:tabs>
                <w:tab w:val="left" w:pos="-1440"/>
                <w:tab w:val="left" w:pos="-720"/>
              </w:tabs>
              <w:rPr>
                <w:sz w:val="20"/>
                <w:szCs w:val="20"/>
                <w:lang w:val="en-US"/>
              </w:rPr>
            </w:pPr>
          </w:p>
          <w:p w:rsidR="005D0E05" w:rsidRPr="005D0E05" w:rsidRDefault="005D0E05" w:rsidP="005F1ED8">
            <w:pPr>
              <w:tabs>
                <w:tab w:val="left" w:pos="-1440"/>
                <w:tab w:val="left" w:pos="-720"/>
              </w:tabs>
              <w:rPr>
                <w:sz w:val="20"/>
                <w:szCs w:val="20"/>
                <w:lang w:val="fr-CA"/>
              </w:rPr>
            </w:pPr>
            <w:r w:rsidRPr="00747482">
              <w:rPr>
                <w:sz w:val="20"/>
                <w:szCs w:val="20"/>
                <w:lang w:val="en-US"/>
              </w:rPr>
              <w:tab/>
            </w:r>
            <w:r w:rsidRPr="005D0E05">
              <w:rPr>
                <w:sz w:val="20"/>
                <w:szCs w:val="20"/>
                <w:lang w:val="fr-CA"/>
              </w:rPr>
              <w:t>c. (35823)</w:t>
            </w:r>
          </w:p>
          <w:p w:rsidR="005D0E05" w:rsidRPr="005D0E05" w:rsidRDefault="005D0E05" w:rsidP="005F1ED8">
            <w:pPr>
              <w:tabs>
                <w:tab w:val="left" w:pos="-1440"/>
                <w:tab w:val="left" w:pos="-720"/>
              </w:tabs>
              <w:rPr>
                <w:sz w:val="20"/>
                <w:szCs w:val="20"/>
                <w:lang w:val="fr-CA"/>
              </w:rPr>
            </w:pPr>
          </w:p>
          <w:p w:rsidR="005D0E05" w:rsidRPr="00747482" w:rsidRDefault="005D0E05" w:rsidP="005F1ED8">
            <w:pPr>
              <w:tabs>
                <w:tab w:val="left" w:pos="-1440"/>
                <w:tab w:val="left" w:pos="-720"/>
              </w:tabs>
              <w:rPr>
                <w:b/>
                <w:sz w:val="20"/>
                <w:szCs w:val="20"/>
                <w:lang w:val="fr-CA"/>
              </w:rPr>
            </w:pPr>
            <w:r w:rsidRPr="00E22D67">
              <w:rPr>
                <w:b/>
                <w:sz w:val="20"/>
                <w:szCs w:val="20"/>
                <w:lang w:val="fr-CA"/>
              </w:rPr>
              <w:t>Procureure générale du territoire du Yukon</w:t>
            </w:r>
            <w:r>
              <w:rPr>
                <w:b/>
                <w:sz w:val="20"/>
                <w:szCs w:val="20"/>
                <w:lang w:val="fr-CA"/>
              </w:rPr>
              <w:t xml:space="preserve"> (Y</w:t>
            </w:r>
            <w:r w:rsidR="00801D59">
              <w:rPr>
                <w:b/>
                <w:sz w:val="20"/>
                <w:szCs w:val="20"/>
                <w:lang w:val="fr-CA"/>
              </w:rPr>
              <w:t>n</w:t>
            </w:r>
            <w:r w:rsidRPr="00747482">
              <w:rPr>
                <w:b/>
                <w:sz w:val="20"/>
                <w:szCs w:val="20"/>
                <w:lang w:val="fr-CA"/>
              </w:rPr>
              <w:t>)</w:t>
            </w:r>
          </w:p>
          <w:p w:rsidR="005D0E05" w:rsidRPr="00747482" w:rsidRDefault="005D0E05" w:rsidP="005F1ED8">
            <w:pPr>
              <w:tabs>
                <w:tab w:val="left" w:pos="-1440"/>
                <w:tab w:val="left" w:pos="-720"/>
              </w:tabs>
              <w:rPr>
                <w:sz w:val="20"/>
                <w:szCs w:val="20"/>
                <w:lang w:val="fr-CA"/>
              </w:rPr>
            </w:pPr>
            <w:r w:rsidRPr="00747482">
              <w:rPr>
                <w:sz w:val="20"/>
                <w:szCs w:val="20"/>
                <w:lang w:val="fr-CA"/>
              </w:rPr>
              <w:tab/>
              <w:t>Maxime Faille</w:t>
            </w:r>
          </w:p>
          <w:p w:rsidR="005D0E05" w:rsidRPr="00747482" w:rsidRDefault="005D0E05" w:rsidP="005F1ED8">
            <w:pPr>
              <w:tabs>
                <w:tab w:val="left" w:pos="-1440"/>
                <w:tab w:val="left" w:pos="-720"/>
              </w:tabs>
              <w:rPr>
                <w:sz w:val="20"/>
                <w:szCs w:val="20"/>
                <w:lang w:val="fr-CA"/>
              </w:rPr>
            </w:pPr>
            <w:r w:rsidRPr="00747482">
              <w:rPr>
                <w:sz w:val="20"/>
                <w:szCs w:val="20"/>
                <w:lang w:val="fr-CA"/>
              </w:rPr>
              <w:tab/>
              <w:t>Gowling Lafleur Henderson LLP</w:t>
            </w:r>
          </w:p>
          <w:p w:rsidR="005D0E05" w:rsidRPr="00747482" w:rsidRDefault="005D0E05" w:rsidP="005F1ED8">
            <w:pPr>
              <w:tabs>
                <w:tab w:val="left" w:pos="-1440"/>
                <w:tab w:val="left" w:pos="-720"/>
              </w:tabs>
              <w:rPr>
                <w:sz w:val="20"/>
                <w:szCs w:val="20"/>
                <w:lang w:val="fr-CA"/>
              </w:rPr>
            </w:pPr>
          </w:p>
          <w:p w:rsidR="005D0E05" w:rsidRPr="00C67823" w:rsidRDefault="005D0E05" w:rsidP="005F1ED8">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w:t>
            </w:r>
            <w:r w:rsidRPr="00C67823">
              <w:rPr>
                <w:sz w:val="20"/>
                <w:szCs w:val="20"/>
                <w:lang w:val="fr-CA"/>
              </w:rPr>
              <w:t xml:space="preserve"> 11.04.2014</w:t>
            </w:r>
          </w:p>
          <w:p w:rsidR="005D0E05" w:rsidRPr="00A935AA" w:rsidRDefault="000B3306" w:rsidP="005F1ED8">
            <w:pPr>
              <w:rPr>
                <w:sz w:val="20"/>
                <w:szCs w:val="20"/>
              </w:rPr>
            </w:pPr>
            <w:r>
              <w:rPr>
                <w:sz w:val="20"/>
                <w:szCs w:val="20"/>
                <w:lang w:val="fr-CA"/>
              </w:rPr>
              <w:pict>
                <v:rect id="_x0000_i1034" style="width:108pt;height:1pt" o:hrpct="0" o:hralign="center" o:hrstd="t" o:hrnoshade="t" o:hr="t" fillcolor="black [3213]" stroked="f"/>
              </w:pict>
            </w:r>
          </w:p>
        </w:tc>
        <w:tc>
          <w:tcPr>
            <w:tcW w:w="1181" w:type="dxa"/>
            <w:shd w:val="clear" w:color="auto" w:fill="auto"/>
          </w:tcPr>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Pr="00A935AA" w:rsidRDefault="005D0E05" w:rsidP="00242AEE">
            <w:pPr>
              <w:jc w:val="center"/>
              <w:rPr>
                <w:sz w:val="20"/>
                <w:szCs w:val="20"/>
              </w:rPr>
            </w:pPr>
          </w:p>
          <w:p w:rsidR="005D0E05" w:rsidRDefault="005D0E05" w:rsidP="00242AEE">
            <w:pPr>
              <w:jc w:val="center"/>
              <w:rPr>
                <w:sz w:val="20"/>
                <w:szCs w:val="20"/>
              </w:rPr>
            </w:pPr>
          </w:p>
          <w:p w:rsidR="00ED7AF6" w:rsidRDefault="00ED7AF6" w:rsidP="00242AEE">
            <w:pPr>
              <w:jc w:val="center"/>
              <w:rPr>
                <w:sz w:val="20"/>
                <w:szCs w:val="20"/>
              </w:rPr>
            </w:pPr>
          </w:p>
          <w:p w:rsidR="00ED7AF6" w:rsidRDefault="00ED7AF6" w:rsidP="00242AEE">
            <w:pPr>
              <w:jc w:val="center"/>
              <w:rPr>
                <w:sz w:val="20"/>
                <w:szCs w:val="20"/>
              </w:rPr>
            </w:pPr>
          </w:p>
          <w:p w:rsidR="00ED7AF6" w:rsidRPr="00A935AA" w:rsidRDefault="00ED7AF6" w:rsidP="00242AEE">
            <w:pPr>
              <w:jc w:val="center"/>
              <w:rPr>
                <w:sz w:val="20"/>
                <w:szCs w:val="20"/>
              </w:rPr>
            </w:pPr>
          </w:p>
          <w:p w:rsidR="005D0E05" w:rsidRPr="00A935AA" w:rsidRDefault="005D0E05" w:rsidP="00242AEE">
            <w:pPr>
              <w:jc w:val="center"/>
              <w:rPr>
                <w:sz w:val="20"/>
                <w:szCs w:val="20"/>
              </w:rPr>
            </w:pPr>
          </w:p>
        </w:tc>
        <w:tc>
          <w:tcPr>
            <w:tcW w:w="4320" w:type="dxa"/>
            <w:shd w:val="clear" w:color="auto" w:fill="auto"/>
          </w:tcPr>
          <w:p w:rsidR="005D0E05" w:rsidRPr="00A935AA" w:rsidRDefault="005D0E05" w:rsidP="005F1ED8">
            <w:pPr>
              <w:rPr>
                <w:b/>
                <w:sz w:val="20"/>
                <w:szCs w:val="20"/>
              </w:rPr>
            </w:pPr>
            <w:r w:rsidRPr="00E22D67">
              <w:rPr>
                <w:b/>
                <w:sz w:val="20"/>
                <w:szCs w:val="20"/>
              </w:rPr>
              <w:t>Stuart Olson Dominion Construction Ltd., formerly known as Dominion Construction Company Inc.</w:t>
            </w:r>
          </w:p>
          <w:p w:rsidR="005D0E05" w:rsidRPr="00A935AA" w:rsidRDefault="005D0E05" w:rsidP="005F1ED8">
            <w:pPr>
              <w:tabs>
                <w:tab w:val="left" w:pos="-1440"/>
                <w:tab w:val="left" w:pos="-720"/>
              </w:tabs>
              <w:rPr>
                <w:sz w:val="20"/>
                <w:szCs w:val="20"/>
              </w:rPr>
            </w:pPr>
            <w:r w:rsidRPr="00A935AA">
              <w:rPr>
                <w:sz w:val="20"/>
                <w:szCs w:val="20"/>
              </w:rPr>
              <w:tab/>
            </w:r>
            <w:r>
              <w:rPr>
                <w:sz w:val="20"/>
                <w:szCs w:val="20"/>
              </w:rPr>
              <w:t>David G. Hill</w:t>
            </w:r>
          </w:p>
          <w:p w:rsidR="005D0E05" w:rsidRPr="00A935AA" w:rsidRDefault="005D0E05" w:rsidP="005F1ED8">
            <w:pPr>
              <w:tabs>
                <w:tab w:val="left" w:pos="-1440"/>
                <w:tab w:val="left" w:pos="-720"/>
              </w:tabs>
              <w:rPr>
                <w:sz w:val="20"/>
                <w:szCs w:val="20"/>
              </w:rPr>
            </w:pPr>
            <w:r w:rsidRPr="00A935AA">
              <w:rPr>
                <w:sz w:val="20"/>
                <w:szCs w:val="20"/>
              </w:rPr>
              <w:tab/>
            </w:r>
            <w:r>
              <w:rPr>
                <w:sz w:val="20"/>
                <w:szCs w:val="20"/>
              </w:rPr>
              <w:t>Hill Sokalski Walsh Tripp</w:t>
            </w:r>
            <w:r w:rsidR="002102EE">
              <w:rPr>
                <w:sz w:val="20"/>
                <w:szCs w:val="20"/>
              </w:rPr>
              <w:t>i</w:t>
            </w:r>
            <w:r>
              <w:rPr>
                <w:sz w:val="20"/>
                <w:szCs w:val="20"/>
              </w:rPr>
              <w:t>er LLP</w:t>
            </w:r>
          </w:p>
          <w:p w:rsidR="005D0E05" w:rsidRPr="00A935AA" w:rsidRDefault="005D0E05" w:rsidP="005F1ED8">
            <w:pPr>
              <w:tabs>
                <w:tab w:val="left" w:pos="-1440"/>
                <w:tab w:val="left" w:pos="-720"/>
              </w:tabs>
              <w:rPr>
                <w:sz w:val="20"/>
                <w:szCs w:val="20"/>
              </w:rPr>
            </w:pPr>
          </w:p>
          <w:p w:rsidR="005D0E05" w:rsidRDefault="005D0E05" w:rsidP="005F1ED8">
            <w:pPr>
              <w:tabs>
                <w:tab w:val="left" w:pos="-1440"/>
                <w:tab w:val="left" w:pos="-720"/>
              </w:tabs>
              <w:rPr>
                <w:sz w:val="20"/>
                <w:szCs w:val="20"/>
              </w:rPr>
            </w:pPr>
            <w:r w:rsidRPr="00A935AA">
              <w:rPr>
                <w:sz w:val="20"/>
                <w:szCs w:val="20"/>
              </w:rPr>
              <w:tab/>
              <w:t>v. (3</w:t>
            </w:r>
            <w:r>
              <w:rPr>
                <w:sz w:val="20"/>
                <w:szCs w:val="20"/>
              </w:rPr>
              <w:t>5777</w:t>
            </w:r>
            <w:r w:rsidRPr="00A935AA">
              <w:rPr>
                <w:sz w:val="20"/>
                <w:szCs w:val="20"/>
              </w:rPr>
              <w:t>)</w:t>
            </w:r>
          </w:p>
          <w:p w:rsidR="005D0E05" w:rsidRPr="00A935AA" w:rsidRDefault="005D0E05" w:rsidP="005F1ED8">
            <w:pPr>
              <w:tabs>
                <w:tab w:val="left" w:pos="-1440"/>
                <w:tab w:val="left" w:pos="-720"/>
              </w:tabs>
              <w:rPr>
                <w:sz w:val="20"/>
                <w:szCs w:val="20"/>
              </w:rPr>
            </w:pPr>
          </w:p>
          <w:p w:rsidR="005D0E05" w:rsidRPr="00A935AA" w:rsidRDefault="005D0E05" w:rsidP="005F1ED8">
            <w:pPr>
              <w:tabs>
                <w:tab w:val="left" w:pos="-1440"/>
                <w:tab w:val="left" w:pos="-720"/>
              </w:tabs>
              <w:rPr>
                <w:b/>
                <w:sz w:val="20"/>
                <w:szCs w:val="20"/>
              </w:rPr>
            </w:pPr>
            <w:r w:rsidRPr="00E22D67">
              <w:rPr>
                <w:b/>
                <w:sz w:val="20"/>
                <w:szCs w:val="20"/>
              </w:rPr>
              <w:t>Structal Heavy Steel, A Division of Canam Group Inc.</w:t>
            </w:r>
            <w:r>
              <w:rPr>
                <w:b/>
                <w:sz w:val="20"/>
                <w:szCs w:val="20"/>
              </w:rPr>
              <w:t xml:space="preserve"> </w:t>
            </w:r>
            <w:r w:rsidRPr="00A935AA">
              <w:rPr>
                <w:b/>
                <w:sz w:val="20"/>
                <w:szCs w:val="20"/>
              </w:rPr>
              <w:t>(</w:t>
            </w:r>
            <w:r>
              <w:rPr>
                <w:b/>
                <w:sz w:val="20"/>
                <w:szCs w:val="20"/>
              </w:rPr>
              <w:t>Man</w:t>
            </w:r>
            <w:r w:rsidRPr="00A935AA">
              <w:rPr>
                <w:b/>
                <w:sz w:val="20"/>
                <w:szCs w:val="20"/>
              </w:rPr>
              <w:t>.)</w:t>
            </w:r>
          </w:p>
          <w:p w:rsidR="005D0E05" w:rsidRPr="00A935AA" w:rsidRDefault="005D0E05" w:rsidP="005F1ED8">
            <w:pPr>
              <w:tabs>
                <w:tab w:val="left" w:pos="-1440"/>
                <w:tab w:val="left" w:pos="-720"/>
              </w:tabs>
              <w:rPr>
                <w:sz w:val="20"/>
                <w:szCs w:val="20"/>
              </w:rPr>
            </w:pPr>
            <w:r w:rsidRPr="00A935AA">
              <w:rPr>
                <w:sz w:val="20"/>
                <w:szCs w:val="20"/>
              </w:rPr>
              <w:tab/>
            </w:r>
            <w:r>
              <w:rPr>
                <w:sz w:val="20"/>
                <w:szCs w:val="20"/>
              </w:rPr>
              <w:t>Kevin T. Williams</w:t>
            </w:r>
          </w:p>
          <w:p w:rsidR="005D0E05" w:rsidRPr="00A935AA" w:rsidRDefault="005D0E05" w:rsidP="005F1ED8">
            <w:pPr>
              <w:tabs>
                <w:tab w:val="left" w:pos="-1440"/>
                <w:tab w:val="left" w:pos="-720"/>
              </w:tabs>
              <w:rPr>
                <w:sz w:val="20"/>
                <w:szCs w:val="20"/>
              </w:rPr>
            </w:pPr>
            <w:r w:rsidRPr="00A935AA">
              <w:rPr>
                <w:sz w:val="20"/>
                <w:szCs w:val="20"/>
              </w:rPr>
              <w:tab/>
            </w:r>
            <w:r>
              <w:rPr>
                <w:sz w:val="20"/>
                <w:szCs w:val="20"/>
              </w:rPr>
              <w:t>Taylor McCaffrey LLP</w:t>
            </w:r>
          </w:p>
          <w:p w:rsidR="005D0E05" w:rsidRPr="00A935AA" w:rsidRDefault="005D0E05" w:rsidP="005F1ED8">
            <w:pPr>
              <w:tabs>
                <w:tab w:val="left" w:pos="-1440"/>
                <w:tab w:val="left" w:pos="-720"/>
              </w:tabs>
              <w:rPr>
                <w:sz w:val="20"/>
                <w:szCs w:val="20"/>
              </w:rPr>
            </w:pPr>
          </w:p>
          <w:p w:rsidR="005D0E05" w:rsidRPr="00A935AA" w:rsidRDefault="005D0E05" w:rsidP="005F1ED8">
            <w:pPr>
              <w:rPr>
                <w:sz w:val="20"/>
                <w:szCs w:val="20"/>
              </w:rPr>
            </w:pPr>
            <w:r w:rsidRPr="00A935AA">
              <w:rPr>
                <w:sz w:val="20"/>
                <w:szCs w:val="20"/>
              </w:rPr>
              <w:t>FILING DATE: 2</w:t>
            </w:r>
            <w:r>
              <w:rPr>
                <w:sz w:val="20"/>
                <w:szCs w:val="20"/>
              </w:rPr>
              <w:t>0</w:t>
            </w:r>
            <w:r w:rsidRPr="00A935AA">
              <w:rPr>
                <w:sz w:val="20"/>
                <w:szCs w:val="20"/>
              </w:rPr>
              <w:t>.0</w:t>
            </w:r>
            <w:r>
              <w:rPr>
                <w:sz w:val="20"/>
                <w:szCs w:val="20"/>
              </w:rPr>
              <w:t>3</w:t>
            </w:r>
            <w:r w:rsidRPr="00A935AA">
              <w:rPr>
                <w:sz w:val="20"/>
                <w:szCs w:val="20"/>
              </w:rPr>
              <w:t>.201</w:t>
            </w:r>
            <w:r>
              <w:rPr>
                <w:sz w:val="20"/>
                <w:szCs w:val="20"/>
              </w:rPr>
              <w:t>4</w:t>
            </w:r>
          </w:p>
          <w:p w:rsidR="005D0E05" w:rsidRDefault="000B3306" w:rsidP="005F1ED8">
            <w:pPr>
              <w:rPr>
                <w:sz w:val="20"/>
                <w:szCs w:val="20"/>
                <w:lang w:val="fr-CA"/>
              </w:rPr>
            </w:pPr>
            <w:r>
              <w:rPr>
                <w:sz w:val="20"/>
                <w:szCs w:val="20"/>
                <w:lang w:val="fr-CA"/>
              </w:rPr>
              <w:pict>
                <v:rect id="_x0000_i1035" style="width:108pt;height:1pt" o:hrpct="0" o:hralign="center" o:hrstd="t" o:hrnoshade="t" o:hr="t" fillcolor="black [3213]" stroked="f"/>
              </w:pict>
            </w:r>
          </w:p>
          <w:p w:rsidR="005D0E05" w:rsidRPr="00A935AA" w:rsidRDefault="005D0E05" w:rsidP="005F1ED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303B3">
          <w:headerReference w:type="default" r:id="rId17"/>
          <w:footerReference w:type="default" r:id="rId18"/>
          <w:headerReference w:type="first" r:id="rId19"/>
          <w:footerReference w:type="first" r:id="rId20"/>
          <w:pgSz w:w="12240" w:h="15840"/>
          <w:pgMar w:top="720" w:right="965" w:bottom="1080" w:left="1656" w:header="706" w:footer="706" w:gutter="0"/>
          <w:pgNumType w:start="75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A460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E08CD" w:rsidP="00CB3520">
      <w:pPr>
        <w:widowControl w:val="0"/>
        <w:rPr>
          <w:b/>
          <w:sz w:val="20"/>
          <w:szCs w:val="20"/>
        </w:rPr>
      </w:pPr>
      <w:r>
        <w:rPr>
          <w:b/>
          <w:sz w:val="20"/>
          <w:szCs w:val="20"/>
        </w:rPr>
        <w:t>APRIL 28</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2</w:t>
      </w:r>
      <w:r>
        <w:rPr>
          <w:b/>
          <w:sz w:val="20"/>
          <w:szCs w:val="20"/>
        </w:rPr>
        <w:t>8</w:t>
      </w:r>
      <w:r w:rsidR="00CB3520">
        <w:rPr>
          <w:b/>
          <w:sz w:val="20"/>
          <w:szCs w:val="20"/>
        </w:rPr>
        <w:t xml:space="preserve"> </w:t>
      </w:r>
      <w:r>
        <w:rPr>
          <w:b/>
          <w:sz w:val="20"/>
          <w:szCs w:val="20"/>
        </w:rPr>
        <w:t xml:space="preserve">AVRIL </w:t>
      </w:r>
      <w:r w:rsidR="00CB3520" w:rsidRPr="00C50A5C">
        <w:rPr>
          <w:b/>
          <w:sz w:val="20"/>
          <w:szCs w:val="20"/>
        </w:rPr>
        <w:t>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DE08CD" w:rsidRDefault="00DE08CD" w:rsidP="00DE08CD">
      <w:pPr>
        <w:pStyle w:val="ListParagraph"/>
        <w:widowControl w:val="0"/>
        <w:numPr>
          <w:ilvl w:val="0"/>
          <w:numId w:val="1"/>
        </w:numPr>
        <w:ind w:hanging="720"/>
        <w:jc w:val="both"/>
        <w:rPr>
          <w:sz w:val="20"/>
          <w:szCs w:val="20"/>
        </w:rPr>
      </w:pPr>
      <w:r w:rsidRPr="00DE08CD">
        <w:rPr>
          <w:i/>
          <w:sz w:val="20"/>
          <w:szCs w:val="20"/>
        </w:rPr>
        <w:t>Alicia Ganitano v. Metro Vancouver Housing Corporation et al.</w:t>
      </w:r>
      <w:r w:rsidRPr="00DE08CD">
        <w:rPr>
          <w:sz w:val="20"/>
          <w:szCs w:val="20"/>
        </w:rPr>
        <w:t xml:space="preserve"> (B.C.) (Civil) (By Leave)</w:t>
      </w:r>
      <w:r>
        <w:rPr>
          <w:sz w:val="20"/>
          <w:szCs w:val="20"/>
        </w:rPr>
        <w:t xml:space="preserve"> (</w:t>
      </w:r>
      <w:r w:rsidRPr="00DE08CD">
        <w:rPr>
          <w:sz w:val="20"/>
          <w:szCs w:val="20"/>
        </w:rPr>
        <w:t>35766</w:t>
      </w:r>
      <w:r>
        <w:rPr>
          <w:sz w:val="20"/>
          <w:szCs w:val="20"/>
        </w:rPr>
        <w:t>)</w:t>
      </w:r>
    </w:p>
    <w:p w:rsidR="00CB3520" w:rsidRPr="00C50A5C" w:rsidRDefault="00CB3520" w:rsidP="00CB3520">
      <w:pPr>
        <w:widowControl w:val="0"/>
        <w:jc w:val="both"/>
        <w:rPr>
          <w:sz w:val="20"/>
          <w:szCs w:val="20"/>
        </w:rPr>
      </w:pPr>
    </w:p>
    <w:p w:rsidR="00CB3520" w:rsidRPr="00DE08CD" w:rsidRDefault="00DE08CD" w:rsidP="00DE08CD">
      <w:pPr>
        <w:pStyle w:val="ListParagraph"/>
        <w:widowControl w:val="0"/>
        <w:numPr>
          <w:ilvl w:val="0"/>
          <w:numId w:val="1"/>
        </w:numPr>
        <w:ind w:hanging="720"/>
        <w:jc w:val="both"/>
        <w:rPr>
          <w:sz w:val="20"/>
          <w:szCs w:val="20"/>
        </w:rPr>
      </w:pPr>
      <w:r w:rsidRPr="00DE08CD">
        <w:rPr>
          <w:i/>
          <w:sz w:val="20"/>
          <w:szCs w:val="20"/>
        </w:rPr>
        <w:t>Marilyn Juel Shaw v. Howie Preston Boyda</w:t>
      </w:r>
      <w:r w:rsidRPr="00DE08CD">
        <w:rPr>
          <w:sz w:val="20"/>
          <w:szCs w:val="20"/>
        </w:rPr>
        <w:t xml:space="preserve"> (Alta.) (Civil) (By Leave)</w:t>
      </w:r>
      <w:r>
        <w:rPr>
          <w:sz w:val="20"/>
          <w:szCs w:val="20"/>
        </w:rPr>
        <w:t xml:space="preserve"> (</w:t>
      </w:r>
      <w:r w:rsidRPr="00DE08CD">
        <w:rPr>
          <w:sz w:val="20"/>
          <w:szCs w:val="20"/>
        </w:rPr>
        <w:t>35751</w:t>
      </w:r>
      <w:r>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B3520" w:rsidRPr="00C16CB3" w:rsidRDefault="00CB3520" w:rsidP="00CB3520">
      <w:pPr>
        <w:widowControl w:val="0"/>
        <w:jc w:val="both"/>
        <w:rPr>
          <w:sz w:val="20"/>
          <w:szCs w:val="20"/>
          <w:lang w:val="fr-CA"/>
        </w:rPr>
      </w:pPr>
    </w:p>
    <w:p w:rsidR="00CB3520" w:rsidRPr="00DE08CD" w:rsidRDefault="00DE08CD" w:rsidP="00DE08CD">
      <w:pPr>
        <w:pStyle w:val="ListParagraph"/>
        <w:widowControl w:val="0"/>
        <w:numPr>
          <w:ilvl w:val="0"/>
          <w:numId w:val="1"/>
        </w:numPr>
        <w:ind w:hanging="720"/>
        <w:jc w:val="both"/>
        <w:rPr>
          <w:sz w:val="20"/>
          <w:szCs w:val="20"/>
          <w:lang w:val="fr-CA"/>
        </w:rPr>
      </w:pPr>
      <w:r w:rsidRPr="00DE08CD">
        <w:rPr>
          <w:i/>
          <w:sz w:val="20"/>
          <w:szCs w:val="20"/>
          <w:lang w:val="fr-CA"/>
        </w:rPr>
        <w:t xml:space="preserve">Christopher Ouellet c. Sa Majesté la Reine </w:t>
      </w:r>
      <w:r w:rsidRPr="00DE08CD">
        <w:rPr>
          <w:sz w:val="20"/>
          <w:szCs w:val="20"/>
          <w:lang w:val="fr-CA"/>
        </w:rPr>
        <w:t>(Qc) (Crim</w:t>
      </w:r>
      <w:r>
        <w:rPr>
          <w:sz w:val="20"/>
          <w:szCs w:val="20"/>
          <w:lang w:val="fr-CA"/>
        </w:rPr>
        <w:t>.</w:t>
      </w:r>
      <w:r w:rsidRPr="00DE08CD">
        <w:rPr>
          <w:sz w:val="20"/>
          <w:szCs w:val="20"/>
          <w:lang w:val="fr-CA"/>
        </w:rPr>
        <w:t>) (Autorisation) (35360</w:t>
      </w:r>
      <w:r>
        <w:rPr>
          <w:sz w:val="20"/>
          <w:szCs w:val="20"/>
          <w:lang w:val="fr-CA"/>
        </w:rPr>
        <w:t>)</w:t>
      </w:r>
    </w:p>
    <w:p w:rsidR="00CB3520" w:rsidRPr="00DE08CD" w:rsidRDefault="00CB3520" w:rsidP="00CB3520">
      <w:pPr>
        <w:widowControl w:val="0"/>
        <w:jc w:val="both"/>
        <w:rPr>
          <w:sz w:val="20"/>
          <w:szCs w:val="20"/>
          <w:lang w:val="fr-CA"/>
        </w:rPr>
      </w:pPr>
    </w:p>
    <w:p w:rsidR="00CB3520" w:rsidRPr="00DE08CD" w:rsidRDefault="00DE08CD" w:rsidP="00DE08CD">
      <w:pPr>
        <w:pStyle w:val="ListParagraph"/>
        <w:widowControl w:val="0"/>
        <w:numPr>
          <w:ilvl w:val="0"/>
          <w:numId w:val="1"/>
        </w:numPr>
        <w:ind w:hanging="720"/>
        <w:jc w:val="both"/>
        <w:rPr>
          <w:sz w:val="20"/>
          <w:szCs w:val="20"/>
          <w:lang w:val="en-US"/>
        </w:rPr>
      </w:pPr>
      <w:r w:rsidRPr="00DE08CD">
        <w:rPr>
          <w:i/>
          <w:sz w:val="20"/>
          <w:szCs w:val="20"/>
          <w:lang w:val="en-US"/>
        </w:rPr>
        <w:t>TransAlta Corporation v. Her Majesty the Queen</w:t>
      </w:r>
      <w:r w:rsidRPr="00DE08CD">
        <w:rPr>
          <w:sz w:val="20"/>
          <w:szCs w:val="20"/>
          <w:lang w:val="en-US"/>
        </w:rPr>
        <w:t xml:space="preserve"> (F</w:t>
      </w:r>
      <w:r>
        <w:rPr>
          <w:sz w:val="20"/>
          <w:szCs w:val="20"/>
          <w:lang w:val="en-US"/>
        </w:rPr>
        <w:t>.</w:t>
      </w:r>
      <w:r w:rsidRPr="00DE08CD">
        <w:rPr>
          <w:sz w:val="20"/>
          <w:szCs w:val="20"/>
          <w:lang w:val="en-US"/>
        </w:rPr>
        <w:t>C</w:t>
      </w:r>
      <w:r>
        <w:rPr>
          <w:sz w:val="20"/>
          <w:szCs w:val="20"/>
          <w:lang w:val="en-US"/>
        </w:rPr>
        <w:t>.</w:t>
      </w:r>
      <w:r w:rsidRPr="00DE08CD">
        <w:rPr>
          <w:sz w:val="20"/>
          <w:szCs w:val="20"/>
          <w:lang w:val="en-US"/>
        </w:rPr>
        <w:t>) (Civil) (By Leave)</w:t>
      </w:r>
      <w:r>
        <w:rPr>
          <w:sz w:val="20"/>
          <w:szCs w:val="20"/>
          <w:lang w:val="en-US"/>
        </w:rPr>
        <w:t xml:space="preserve"> (</w:t>
      </w:r>
      <w:r w:rsidRPr="00DE08CD">
        <w:rPr>
          <w:sz w:val="20"/>
          <w:szCs w:val="20"/>
          <w:lang w:val="en-US"/>
        </w:rPr>
        <w:t>35717</w:t>
      </w:r>
      <w:r>
        <w:rPr>
          <w:sz w:val="20"/>
          <w:szCs w:val="20"/>
          <w:lang w:val="en-US"/>
        </w:rPr>
        <w:t>)</w:t>
      </w:r>
    </w:p>
    <w:p w:rsidR="00CB3520" w:rsidRPr="00DE08CD" w:rsidRDefault="00CB3520" w:rsidP="00CB3520">
      <w:pPr>
        <w:widowControl w:val="0"/>
        <w:jc w:val="both"/>
        <w:rPr>
          <w:sz w:val="20"/>
          <w:szCs w:val="20"/>
          <w:lang w:val="en-US"/>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DE08CD" w:rsidRDefault="00DE08CD" w:rsidP="00DE08CD">
      <w:pPr>
        <w:pStyle w:val="ListParagraph"/>
        <w:widowControl w:val="0"/>
        <w:numPr>
          <w:ilvl w:val="0"/>
          <w:numId w:val="1"/>
        </w:numPr>
        <w:ind w:hanging="720"/>
        <w:jc w:val="both"/>
        <w:rPr>
          <w:sz w:val="20"/>
          <w:szCs w:val="20"/>
        </w:rPr>
      </w:pPr>
      <w:r w:rsidRPr="00DE08CD">
        <w:rPr>
          <w:i/>
          <w:sz w:val="20"/>
          <w:szCs w:val="20"/>
        </w:rPr>
        <w:t xml:space="preserve">Monica Loughlin v. </w:t>
      </w:r>
      <w:r>
        <w:rPr>
          <w:i/>
          <w:sz w:val="20"/>
          <w:szCs w:val="20"/>
        </w:rPr>
        <w:t>Abigail Gordon</w:t>
      </w:r>
      <w:r w:rsidRPr="00DE08CD">
        <w:rPr>
          <w:i/>
          <w:sz w:val="20"/>
          <w:szCs w:val="20"/>
        </w:rPr>
        <w:t xml:space="preserve"> et al.</w:t>
      </w:r>
      <w:r w:rsidRPr="00DE08CD">
        <w:rPr>
          <w:sz w:val="20"/>
          <w:szCs w:val="20"/>
        </w:rPr>
        <w:t xml:space="preserve"> (Alta.) (Civil) (By Leave)</w:t>
      </w:r>
      <w:r>
        <w:rPr>
          <w:sz w:val="20"/>
          <w:szCs w:val="20"/>
        </w:rPr>
        <w:t xml:space="preserve"> (</w:t>
      </w:r>
      <w:r w:rsidRPr="00DE08CD">
        <w:rPr>
          <w:sz w:val="20"/>
          <w:szCs w:val="20"/>
        </w:rPr>
        <w:t>35776</w:t>
      </w:r>
      <w:r>
        <w:rPr>
          <w:sz w:val="20"/>
          <w:szCs w:val="20"/>
        </w:rPr>
        <w:t>)</w:t>
      </w:r>
    </w:p>
    <w:p w:rsidR="00CB3520" w:rsidRPr="00115C9E" w:rsidRDefault="00CB3520" w:rsidP="00CB3520">
      <w:pPr>
        <w:widowControl w:val="0"/>
        <w:jc w:val="both"/>
        <w:rPr>
          <w:sz w:val="20"/>
          <w:szCs w:val="20"/>
        </w:rPr>
      </w:pPr>
    </w:p>
    <w:p w:rsidR="00CB3520" w:rsidRPr="00DE08CD" w:rsidRDefault="00DE08CD" w:rsidP="00DE08CD">
      <w:pPr>
        <w:pStyle w:val="ListParagraph"/>
        <w:widowControl w:val="0"/>
        <w:numPr>
          <w:ilvl w:val="0"/>
          <w:numId w:val="1"/>
        </w:numPr>
        <w:ind w:hanging="720"/>
        <w:jc w:val="both"/>
        <w:rPr>
          <w:sz w:val="20"/>
          <w:szCs w:val="20"/>
        </w:rPr>
      </w:pPr>
      <w:r w:rsidRPr="00DE08CD">
        <w:rPr>
          <w:i/>
          <w:sz w:val="20"/>
          <w:szCs w:val="20"/>
        </w:rPr>
        <w:t xml:space="preserve">MHR Board Game Design Inc. et al. v. Canadian Broadcasting Corporation </w:t>
      </w:r>
      <w:r w:rsidRPr="00DE08CD">
        <w:rPr>
          <w:sz w:val="20"/>
          <w:szCs w:val="20"/>
        </w:rPr>
        <w:t xml:space="preserve">(Ont.) (Civil) (By Leave) </w:t>
      </w:r>
      <w:r>
        <w:rPr>
          <w:sz w:val="20"/>
          <w:szCs w:val="20"/>
        </w:rPr>
        <w:t>(</w:t>
      </w:r>
      <w:r w:rsidRPr="00DE08CD">
        <w:rPr>
          <w:sz w:val="20"/>
          <w:szCs w:val="20"/>
        </w:rPr>
        <w:t>35752</w:t>
      </w:r>
      <w:r>
        <w:rPr>
          <w:sz w:val="20"/>
          <w:szCs w:val="20"/>
        </w:rPr>
        <w:t>)</w:t>
      </w:r>
    </w:p>
    <w:p w:rsidR="00CB3520" w:rsidRPr="009C5D38" w:rsidRDefault="00CB3520" w:rsidP="00CB3520">
      <w:pPr>
        <w:widowControl w:val="0"/>
        <w:rPr>
          <w:i/>
          <w:sz w:val="20"/>
          <w:szCs w:val="20"/>
        </w:rPr>
      </w:pPr>
    </w:p>
    <w:p w:rsidR="002E2327" w:rsidRDefault="000B3306"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A460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732A82" w:rsidRDefault="000E2959" w:rsidP="000E2959">
      <w:pPr>
        <w:rPr>
          <w:rFonts w:cs="Times New Roman"/>
          <w:b/>
          <w:sz w:val="20"/>
          <w:szCs w:val="20"/>
        </w:rPr>
      </w:pPr>
      <w:r w:rsidRPr="00732A82">
        <w:rPr>
          <w:rFonts w:cs="Times New Roman"/>
          <w:b/>
          <w:sz w:val="20"/>
          <w:szCs w:val="20"/>
        </w:rPr>
        <w:t>MAY</w:t>
      </w:r>
      <w:r w:rsidR="006E4C71" w:rsidRPr="00732A82">
        <w:rPr>
          <w:rFonts w:cs="Times New Roman"/>
          <w:b/>
          <w:sz w:val="20"/>
          <w:szCs w:val="20"/>
        </w:rPr>
        <w:t xml:space="preserve"> 1</w:t>
      </w:r>
      <w:r w:rsidR="006E4C71" w:rsidRPr="00732A82">
        <w:rPr>
          <w:rFonts w:cs="Times New Roman"/>
          <w:b/>
          <w:sz w:val="20"/>
          <w:szCs w:val="20"/>
          <w:vertAlign w:val="superscript"/>
        </w:rPr>
        <w:t>st</w:t>
      </w:r>
      <w:r w:rsidRPr="00732A82">
        <w:rPr>
          <w:rFonts w:cs="Times New Roman"/>
          <w:b/>
          <w:sz w:val="20"/>
          <w:szCs w:val="20"/>
        </w:rPr>
        <w:t>, 201</w:t>
      </w:r>
      <w:r w:rsidR="006E4C71" w:rsidRPr="00732A82">
        <w:rPr>
          <w:rFonts w:cs="Times New Roman"/>
          <w:b/>
          <w:sz w:val="20"/>
          <w:szCs w:val="20"/>
        </w:rPr>
        <w:t>4</w:t>
      </w:r>
      <w:r w:rsidRPr="00732A82">
        <w:rPr>
          <w:rFonts w:cs="Times New Roman"/>
          <w:b/>
          <w:sz w:val="20"/>
          <w:szCs w:val="20"/>
        </w:rPr>
        <w:t xml:space="preserve"> / LE </w:t>
      </w:r>
      <w:r w:rsidR="006E4C71" w:rsidRPr="00732A82">
        <w:rPr>
          <w:rFonts w:cs="Times New Roman"/>
          <w:b/>
          <w:sz w:val="20"/>
          <w:szCs w:val="20"/>
        </w:rPr>
        <w:t>1</w:t>
      </w:r>
      <w:r w:rsidR="006E4C71" w:rsidRPr="00732A82">
        <w:rPr>
          <w:rFonts w:cs="Times New Roman"/>
          <w:b/>
          <w:sz w:val="20"/>
          <w:szCs w:val="20"/>
          <w:vertAlign w:val="superscript"/>
        </w:rPr>
        <w:t>er</w:t>
      </w:r>
      <w:r w:rsidR="006E4C71" w:rsidRPr="00732A82">
        <w:rPr>
          <w:rFonts w:cs="Times New Roman"/>
          <w:b/>
          <w:sz w:val="20"/>
          <w:szCs w:val="20"/>
        </w:rPr>
        <w:t xml:space="preserve"> </w:t>
      </w:r>
      <w:r w:rsidRPr="00732A82">
        <w:rPr>
          <w:rFonts w:cs="Times New Roman"/>
          <w:b/>
          <w:sz w:val="20"/>
          <w:szCs w:val="20"/>
        </w:rPr>
        <w:t>MAI 201</w:t>
      </w:r>
      <w:r w:rsidR="006E4C71" w:rsidRPr="00732A82">
        <w:rPr>
          <w:rFonts w:cs="Times New Roman"/>
          <w:b/>
          <w:sz w:val="20"/>
          <w:szCs w:val="20"/>
        </w:rPr>
        <w:t>4</w:t>
      </w:r>
    </w:p>
    <w:p w:rsidR="006E4C71" w:rsidRPr="00732A82" w:rsidRDefault="006E4C71" w:rsidP="006E4C71">
      <w:pPr>
        <w:pStyle w:val="ListParagraph"/>
        <w:ind w:left="0"/>
        <w:jc w:val="both"/>
        <w:rPr>
          <w:rFonts w:cs="Times New Roman"/>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40D79" w:rsidRPr="00732A82" w:rsidTr="00E40D79">
        <w:trPr>
          <w:cantSplit/>
        </w:trPr>
        <w:tc>
          <w:tcPr>
            <w:tcW w:w="1458" w:type="dxa"/>
          </w:tcPr>
          <w:p w:rsidR="00E40D79" w:rsidRPr="00732A82" w:rsidRDefault="00E40D79" w:rsidP="00E40D79">
            <w:pPr>
              <w:rPr>
                <w:rFonts w:cs="Times New Roman"/>
                <w:sz w:val="20"/>
                <w:szCs w:val="20"/>
              </w:rPr>
            </w:pPr>
            <w:r w:rsidRPr="00732A82">
              <w:rPr>
                <w:rFonts w:cs="Times New Roman"/>
                <w:b/>
                <w:sz w:val="20"/>
                <w:szCs w:val="20"/>
                <w:lang w:val="fr-CA"/>
              </w:rPr>
              <w:t>34655</w:t>
            </w:r>
          </w:p>
          <w:p w:rsidR="00E40D79" w:rsidRPr="00732A82" w:rsidRDefault="00E40D79" w:rsidP="00E40D79">
            <w:pPr>
              <w:rPr>
                <w:rFonts w:cs="Times New Roman"/>
                <w:b/>
                <w:sz w:val="20"/>
                <w:szCs w:val="20"/>
                <w:lang w:val="fr-CA"/>
              </w:rPr>
            </w:pPr>
          </w:p>
        </w:tc>
        <w:tc>
          <w:tcPr>
            <w:tcW w:w="8118" w:type="dxa"/>
          </w:tcPr>
          <w:p w:rsidR="00E40D79" w:rsidRPr="00732A82" w:rsidRDefault="00E40D79" w:rsidP="00732A82">
            <w:pPr>
              <w:jc w:val="both"/>
              <w:rPr>
                <w:rFonts w:cs="Times New Roman"/>
                <w:sz w:val="20"/>
                <w:szCs w:val="20"/>
              </w:rPr>
            </w:pPr>
            <w:r w:rsidRPr="00732A82">
              <w:rPr>
                <w:rFonts w:cs="Times New Roman"/>
                <w:b/>
                <w:sz w:val="20"/>
                <w:szCs w:val="20"/>
                <w:u w:val="single"/>
                <w:lang w:val="en-US"/>
              </w:rPr>
              <w:t>Saskatchewan Financial Services Commission v. Brian Norvel Mallard AND BETWEEN Mutual Fund Dealers Association of Canada/ Association Canadienne des Courtiers de Fonds Mutuels and Shaun Devlin v. Brian Norvel Mallard</w:t>
            </w:r>
            <w:r w:rsidRPr="00732A82">
              <w:rPr>
                <w:rFonts w:cs="Times New Roman"/>
                <w:sz w:val="20"/>
                <w:szCs w:val="20"/>
              </w:rPr>
              <w:t xml:space="preserve"> (Sask.) (Civil) (By Leave)</w:t>
            </w:r>
          </w:p>
          <w:p w:rsidR="00E40D79" w:rsidRPr="00732A82" w:rsidRDefault="00E40D79" w:rsidP="00E40D79">
            <w:pPr>
              <w:rPr>
                <w:rFonts w:cs="Times New Roman"/>
                <w:sz w:val="20"/>
                <w:szCs w:val="20"/>
              </w:rPr>
            </w:pPr>
          </w:p>
        </w:tc>
      </w:tr>
      <w:tr w:rsidR="00E40D79" w:rsidRPr="00732A82" w:rsidTr="00E40D79">
        <w:trPr>
          <w:cantSplit/>
        </w:trPr>
        <w:tc>
          <w:tcPr>
            <w:tcW w:w="1458" w:type="dxa"/>
          </w:tcPr>
          <w:p w:rsidR="00E40D79" w:rsidRPr="00732A82" w:rsidRDefault="00E40D79" w:rsidP="00E40D79">
            <w:pPr>
              <w:rPr>
                <w:rFonts w:cs="Times New Roman"/>
                <w:sz w:val="20"/>
                <w:szCs w:val="20"/>
              </w:rPr>
            </w:pPr>
            <w:r w:rsidRPr="00732A82">
              <w:rPr>
                <w:rFonts w:cs="Times New Roman"/>
                <w:sz w:val="20"/>
                <w:szCs w:val="20"/>
              </w:rPr>
              <w:t>Coram :</w:t>
            </w:r>
          </w:p>
        </w:tc>
        <w:tc>
          <w:tcPr>
            <w:tcW w:w="8118" w:type="dxa"/>
          </w:tcPr>
          <w:p w:rsidR="00E40D79" w:rsidRPr="00732A82" w:rsidRDefault="00E40D79" w:rsidP="00E40D79">
            <w:pPr>
              <w:rPr>
                <w:rFonts w:cs="Times New Roman"/>
                <w:sz w:val="20"/>
                <w:szCs w:val="20"/>
              </w:rPr>
            </w:pPr>
            <w:r w:rsidRPr="00732A82">
              <w:rPr>
                <w:rFonts w:cs="Times New Roman"/>
                <w:sz w:val="20"/>
                <w:szCs w:val="20"/>
                <w:u w:val="single"/>
                <w:lang w:val="en-US"/>
              </w:rPr>
              <w:t>McLachlin C.J. and Rothstein and Moldaver JJ.</w:t>
            </w:r>
          </w:p>
          <w:p w:rsidR="00E40D79" w:rsidRPr="00732A82" w:rsidRDefault="00E40D79" w:rsidP="00E40D79">
            <w:pPr>
              <w:rPr>
                <w:rFonts w:cs="Times New Roman"/>
                <w:sz w:val="20"/>
                <w:szCs w:val="20"/>
                <w:u w:val="single"/>
              </w:rPr>
            </w:pPr>
          </w:p>
        </w:tc>
      </w:tr>
      <w:tr w:rsidR="00E40D79" w:rsidRPr="00EA4608" w:rsidTr="00E40D79">
        <w:trPr>
          <w:cantSplit/>
        </w:trPr>
        <w:tc>
          <w:tcPr>
            <w:tcW w:w="9576" w:type="dxa"/>
            <w:gridSpan w:val="2"/>
          </w:tcPr>
          <w:p w:rsidR="00E40D79" w:rsidRPr="00732A82" w:rsidRDefault="00E40D79" w:rsidP="00E40D79">
            <w:pPr>
              <w:ind w:firstLine="720"/>
              <w:jc w:val="both"/>
              <w:rPr>
                <w:rFonts w:cs="Times New Roman"/>
                <w:sz w:val="20"/>
                <w:szCs w:val="20"/>
              </w:rPr>
            </w:pPr>
            <w:r w:rsidRPr="00732A82">
              <w:rPr>
                <w:rFonts w:cs="Times New Roman"/>
                <w:sz w:val="20"/>
                <w:szCs w:val="20"/>
              </w:rPr>
              <w:t>Pursuant to subsection 43 (1.1) of the Supreme Court Act, the case forming the basis of the applications for leave to appeal from the judgment of the Court of Appeal for Saskatchewan, Numbers CACV2032 and CACV2033, 2011 SKCA 150, dated December 9, 2011, is remanded to the Court of Appeal for Saskatchewan for disposition in accordance with A.I. Enterprises Ltd. et al. v. Bram Enterprises Ltd. et al., 2014 SCC 12.</w:t>
            </w:r>
          </w:p>
          <w:p w:rsidR="00E40D79" w:rsidRPr="00732A82" w:rsidRDefault="00E40D79" w:rsidP="00E40D79">
            <w:pPr>
              <w:jc w:val="both"/>
              <w:rPr>
                <w:rFonts w:cs="Times New Roman"/>
                <w:sz w:val="20"/>
                <w:szCs w:val="20"/>
              </w:rPr>
            </w:pPr>
          </w:p>
          <w:p w:rsidR="00E40D79" w:rsidRPr="00732A82" w:rsidRDefault="00E40D79" w:rsidP="00E40D79">
            <w:pPr>
              <w:ind w:firstLine="720"/>
              <w:jc w:val="both"/>
              <w:rPr>
                <w:rFonts w:cs="Times New Roman"/>
                <w:sz w:val="20"/>
                <w:szCs w:val="20"/>
                <w:lang w:val="fr-CA"/>
              </w:rPr>
            </w:pPr>
            <w:r w:rsidRPr="00732A82">
              <w:rPr>
                <w:rFonts w:cs="Times New Roman"/>
                <w:sz w:val="20"/>
                <w:szCs w:val="20"/>
                <w:lang w:val="fr-CA"/>
              </w:rPr>
              <w:t>Conformément au paragraphe 43 (1.1) de la Loi sur la Cour suprême, l’affaire à l’origine des demandes d’autorisation d’appel de l’arrêt de la Cour d’appel de la Saskatchewan, numéros CACV2032 et CACV2033, 2011 SKCA 150, daté du 9 décembre 2011, est renvoyée à la Cour d’appel de la Saskatchewan pour qu’elle statue en conformité avec l’arrêt A.I. Enterprises Ltd. et autre c. Bram Enterprises Ltd. et autre, 2014 CSC 12.</w:t>
            </w:r>
          </w:p>
        </w:tc>
      </w:tr>
    </w:tbl>
    <w:p w:rsidR="006E4C71" w:rsidRPr="00732A82" w:rsidRDefault="006E4C71" w:rsidP="006E4C71">
      <w:pPr>
        <w:rPr>
          <w:rFonts w:cs="Times New Roman"/>
          <w:sz w:val="20"/>
          <w:szCs w:val="20"/>
          <w:lang w:val="fr-CA"/>
        </w:rPr>
      </w:pPr>
    </w:p>
    <w:p w:rsidR="006E4C71" w:rsidRPr="00732A82" w:rsidRDefault="006E4C71" w:rsidP="006E4C71">
      <w:pPr>
        <w:rPr>
          <w:rFonts w:cs="Times New Roman"/>
          <w:sz w:val="20"/>
          <w:szCs w:val="20"/>
          <w:u w:val="single"/>
        </w:rPr>
      </w:pPr>
      <w:r w:rsidRPr="00732A82">
        <w:rPr>
          <w:rFonts w:cs="Times New Roman"/>
          <w:sz w:val="20"/>
          <w:szCs w:val="20"/>
          <w:u w:val="single"/>
        </w:rPr>
        <w:t>CASE SUMMARY</w:t>
      </w:r>
    </w:p>
    <w:p w:rsidR="006E4C71" w:rsidRPr="00732A82" w:rsidRDefault="006E4C71" w:rsidP="006E4C7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Civil procedure ― Appeals ― Torts ― Unlawful interference with economic relations ― Applicants bringing unsuccessful applications under Rule 173(a) of Saskatchewan </w:t>
            </w:r>
            <w:r w:rsidRPr="00732A82">
              <w:rPr>
                <w:rFonts w:eastAsia="Calibri" w:cs="Times New Roman"/>
                <w:i/>
                <w:sz w:val="20"/>
                <w:szCs w:val="20"/>
              </w:rPr>
              <w:t>Queen’s Bench Rules</w:t>
            </w:r>
            <w:r w:rsidRPr="00732A82">
              <w:rPr>
                <w:rFonts w:eastAsia="Calibri" w:cs="Times New Roman"/>
                <w:sz w:val="20"/>
                <w:szCs w:val="20"/>
              </w:rPr>
              <w:t xml:space="preserve"> to strike Mr. Mallard’s statement of claim on basis it disclosed no reasonable cause of action ― Court of Appeal upholding chambers judge decision ― What are the constituent elements of the tort of unlawful interference with economic relations in Canada? ― Is it a required element of the tort of unlawful interference with economic relations that the unlawful means complained of by the plaintiff cannot (a) be directly actionable by the plaintiff and (b) must be directed at a third party? ― Whether there is uncertainty in the law in Canada with respect to the parameters for the tort of unlawful interference with economic interests ― Whether Canada should follow the decision of the House of Lords in </w:t>
            </w:r>
            <w:r w:rsidRPr="00732A82">
              <w:rPr>
                <w:rFonts w:eastAsia="Calibri" w:cs="Times New Roman"/>
                <w:i/>
                <w:sz w:val="20"/>
                <w:szCs w:val="20"/>
              </w:rPr>
              <w:t>OBG Ltd. v. Allen</w:t>
            </w:r>
            <w:r w:rsidRPr="00732A82">
              <w:rPr>
                <w:rFonts w:eastAsia="Calibri" w:cs="Times New Roman"/>
                <w:sz w:val="20"/>
                <w:szCs w:val="20"/>
              </w:rPr>
              <w:t xml:space="preserve"> [2007] UKHL 21.</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The respondent, Mr. Mallard commenced an action against the applicants seeking damages for tortious conduct.  The applicants brought unsuccessful applications to strike (in whole and in part) Mr. Mallard’s statement of claim on the basis it disclosed no reasonable cause of action. They obtained leave to appeal this decision. The Court of Appeal dismissed the appeal.     </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December 21, 2010</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Court of Queen’s Bench of Saskatchewan</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(Mills J.)</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2010 SKQB 468</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Applications to strike dismissed.</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December 9, 2011</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Court of Appeal for Saskatchewan</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(Lane, Richards and Herauf JJ.A.)</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2011 SKCA 150</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Appeals dismissed.</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February 6, 2012</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Canada</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First Application for leave to appeal filed.</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lastRenderedPageBreak/>
              <w:t>February 7, 2012</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Second Application for leave to appeal filed.</w:t>
            </w:r>
          </w:p>
          <w:p w:rsidR="006E4C71" w:rsidRPr="00732A82" w:rsidRDefault="006E4C71" w:rsidP="006E4C71">
            <w:pPr>
              <w:jc w:val="both"/>
              <w:rPr>
                <w:rFonts w:eastAsia="Calibri" w:cs="Times New Roman"/>
                <w:sz w:val="20"/>
                <w:szCs w:val="20"/>
              </w:rPr>
            </w:pPr>
          </w:p>
        </w:tc>
      </w:tr>
    </w:tbl>
    <w:p w:rsidR="006E4C71" w:rsidRPr="00732A82" w:rsidRDefault="006E4C71" w:rsidP="006E4C71">
      <w:pPr>
        <w:rPr>
          <w:rFonts w:cs="Times New Roman"/>
          <w:sz w:val="20"/>
          <w:szCs w:val="20"/>
        </w:rPr>
      </w:pPr>
    </w:p>
    <w:p w:rsidR="006E4C71" w:rsidRPr="00732A82" w:rsidRDefault="000B3306" w:rsidP="006E4C71">
      <w:pPr>
        <w:rPr>
          <w:rFonts w:cs="Times New Roman"/>
          <w:sz w:val="20"/>
          <w:szCs w:val="20"/>
        </w:rPr>
      </w:pPr>
      <w:r>
        <w:rPr>
          <w:rFonts w:cs="Times New Roman"/>
          <w:sz w:val="20"/>
          <w:szCs w:val="20"/>
          <w:lang w:val="fr-CA"/>
        </w:rPr>
        <w:pict>
          <v:rect id="_x0000_i1041" style="width:2in;height:1pt" o:hrpct="0" o:hralign="center" o:hrstd="t" o:hrnoshade="t" o:hr="t" fillcolor="black [3213]" stroked="f"/>
        </w:pict>
      </w:r>
    </w:p>
    <w:p w:rsidR="006E4C71" w:rsidRPr="00732A82" w:rsidRDefault="006E4C71" w:rsidP="006E4C71">
      <w:pPr>
        <w:rPr>
          <w:rFonts w:cs="Times New Roman"/>
          <w:sz w:val="20"/>
          <w:szCs w:val="20"/>
        </w:rPr>
      </w:pPr>
    </w:p>
    <w:p w:rsidR="006E4C71" w:rsidRPr="00732A82" w:rsidRDefault="006E4C71" w:rsidP="006E4C71">
      <w:pPr>
        <w:rPr>
          <w:rFonts w:cs="Times New Roman"/>
          <w:sz w:val="20"/>
          <w:szCs w:val="20"/>
          <w:u w:val="single"/>
          <w:lang w:val="fr-CA"/>
        </w:rPr>
      </w:pPr>
      <w:r w:rsidRPr="00732A82">
        <w:rPr>
          <w:rFonts w:cs="Times New Roman"/>
          <w:sz w:val="20"/>
          <w:szCs w:val="20"/>
          <w:u w:val="single"/>
          <w:lang w:val="fr-CA"/>
        </w:rPr>
        <w:t>RÉSUMÉ DE L’AFFAIRE</w:t>
      </w:r>
    </w:p>
    <w:p w:rsidR="006E4C71" w:rsidRPr="00732A82" w:rsidRDefault="006E4C71" w:rsidP="006E4C71">
      <w:pPr>
        <w:jc w:val="both"/>
        <w:rPr>
          <w:rFonts w:eastAsia="Calibri" w:cs="Times New Roman"/>
          <w:sz w:val="20"/>
          <w:szCs w:val="20"/>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Procédure civile ― Appels ― Responsabilité délictuelle ― Atteinte illégale à des relations économiques ― Les demanderesses ont été déboutées dans leurs requêtes fondées sur la règle 173a) des </w:t>
            </w:r>
            <w:r w:rsidRPr="00732A82">
              <w:rPr>
                <w:rFonts w:eastAsia="Calibri" w:cs="Times New Roman"/>
                <w:i/>
                <w:sz w:val="20"/>
                <w:szCs w:val="20"/>
                <w:lang w:val="fr-CA"/>
              </w:rPr>
              <w:t>Queen’s Bench Rules</w:t>
            </w:r>
            <w:r w:rsidRPr="00732A82">
              <w:rPr>
                <w:rFonts w:eastAsia="Calibri" w:cs="Times New Roman"/>
                <w:sz w:val="20"/>
                <w:szCs w:val="20"/>
                <w:lang w:val="fr-CA"/>
              </w:rPr>
              <w:t xml:space="preserve"> de la Saskatchewan en radiation de la déclaration de M. Mallard pour absence de cause d'action fondée ― La Cour d'appel a confirmé la décision du juge en chambre ― Quels sont les éléments constitutifs du délit civil d'atteinte illégale à des relations économiques au Canada? ― Pour établir le délit civil d'atteinte illégale à des relations économiques, faut-il que le moyen illégal dont se plaint le demandeur a) ne puisse pas donner directement ouverture à une poursuite par le demandeur et b) soit dirigé contre un tiers? ― L'état du droit canadien en ce qui a trait aux critères relatifs au délit civil d’atteinte illégale à des relations économiques est-il incertain? ― Le Canada devrait-il suivre l'arrêt de la Chambre des lords </w:t>
            </w:r>
            <w:r w:rsidRPr="00732A82">
              <w:rPr>
                <w:rFonts w:eastAsia="Calibri" w:cs="Times New Roman"/>
                <w:i/>
                <w:sz w:val="20"/>
                <w:szCs w:val="20"/>
                <w:lang w:val="fr-CA"/>
              </w:rPr>
              <w:t>OBG Ltd. c. Allen</w:t>
            </w:r>
            <w:r w:rsidRPr="00732A82">
              <w:rPr>
                <w:rFonts w:eastAsia="Calibri" w:cs="Times New Roman"/>
                <w:sz w:val="20"/>
                <w:szCs w:val="20"/>
                <w:lang w:val="fr-CA"/>
              </w:rPr>
              <w:t xml:space="preserve"> [2007] UKHL 21?</w:t>
            </w: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L'intimé, M. Mallard a intenté contre les demanderesses une action en dommages-intérêts pour conduite délictueuse. Les demanderesses ont été déboutées dans leurs requêtes en radiation (en totalité ou en partie) de la déclaration pour absence de cause d'action fondée. Elles ont obtenu l'autorisation d'appel de cette décision. La Cour d'appel a rejeté l'appel.     </w:t>
            </w:r>
          </w:p>
          <w:p w:rsidR="006E4C71" w:rsidRPr="00732A82" w:rsidRDefault="006E4C71" w:rsidP="006E4C71">
            <w:pPr>
              <w:jc w:val="both"/>
              <w:rPr>
                <w:rFonts w:eastAsia="Calibri" w:cs="Times New Roman"/>
                <w:sz w:val="20"/>
                <w:szCs w:val="20"/>
                <w:lang w:val="fr-CA"/>
              </w:rPr>
            </w:pPr>
          </w:p>
        </w:tc>
      </w:tr>
      <w:tr w:rsidR="006E4C71" w:rsidRPr="00732A82"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21 décembre 2010</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du Banc de la Reine de la Saskatchewan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 Mills)</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2010 SKQB 468</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Requêtes en radiation, rejetées.</w:t>
            </w:r>
          </w:p>
          <w:p w:rsidR="006E4C71" w:rsidRPr="00732A82" w:rsidRDefault="006E4C71" w:rsidP="006E4C71">
            <w:pPr>
              <w:jc w:val="both"/>
              <w:rPr>
                <w:rFonts w:eastAsia="Calibri" w:cs="Times New Roman"/>
                <w:sz w:val="20"/>
                <w:szCs w:val="20"/>
                <w:lang w:val="fr-CA"/>
              </w:rPr>
            </w:pPr>
          </w:p>
        </w:tc>
      </w:tr>
      <w:tr w:rsidR="006E4C71" w:rsidRPr="00732A82"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9 décembre 2011</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d'appel de la Saskatchewan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(Juges Lane, Richards et Herauf)</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2011 SKCA 150</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Appels rejetés.</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6 février 2012</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du Canada</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Première demande d'autorisation d'appel, déposée.</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7 février 2012</w:t>
            </w:r>
          </w:p>
          <w:p w:rsidR="006E4C71" w:rsidRPr="00732A82" w:rsidRDefault="006E4C71" w:rsidP="005F5FEC">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Deuxième demande d'autorisation d'appel, déposée.</w:t>
            </w:r>
          </w:p>
          <w:p w:rsidR="006E4C71" w:rsidRPr="00732A82" w:rsidRDefault="006E4C71" w:rsidP="006E4C71">
            <w:pPr>
              <w:jc w:val="both"/>
              <w:rPr>
                <w:rFonts w:eastAsia="Calibri" w:cs="Times New Roman"/>
                <w:sz w:val="20"/>
                <w:szCs w:val="20"/>
                <w:lang w:val="fr-CA"/>
              </w:rPr>
            </w:pPr>
          </w:p>
        </w:tc>
      </w:tr>
    </w:tbl>
    <w:p w:rsidR="006E4C71" w:rsidRPr="00732A82" w:rsidRDefault="006E4C71" w:rsidP="006E4C71">
      <w:pPr>
        <w:rPr>
          <w:rFonts w:cs="Times New Roman"/>
          <w:sz w:val="20"/>
          <w:szCs w:val="20"/>
          <w:lang w:val="fr-CA"/>
        </w:rPr>
      </w:pPr>
    </w:p>
    <w:p w:rsidR="006E4C71" w:rsidRPr="00732A82" w:rsidRDefault="000B3306" w:rsidP="006E4C71">
      <w:pPr>
        <w:rPr>
          <w:rFonts w:cs="Times New Roman"/>
          <w:sz w:val="20"/>
          <w:szCs w:val="20"/>
          <w:lang w:val="fr-CA"/>
        </w:rPr>
      </w:pPr>
      <w:r>
        <w:rPr>
          <w:rFonts w:cs="Times New Roman"/>
          <w:sz w:val="20"/>
          <w:szCs w:val="20"/>
          <w:lang w:val="fr-CA"/>
        </w:rPr>
        <w:pict>
          <v:rect id="_x0000_i1042" style="width:2in;height:1pt" o:hrpct="0" o:hralign="center" o:hrstd="t" o:hrnoshade="t" o:hr="t" fillcolor="black [3213]" stroked="f"/>
        </w:pict>
      </w:r>
    </w:p>
    <w:p w:rsidR="006E4C71" w:rsidRPr="00732A82" w:rsidRDefault="006E4C71" w:rsidP="006E4C71">
      <w:pPr>
        <w:rPr>
          <w:rFonts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35235</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David Pearlman v. Phelps Leasing Ltd.</w:t>
            </w:r>
            <w:r w:rsidR="00970B11">
              <w:rPr>
                <w:rFonts w:cs="Times New Roman"/>
                <w:b/>
                <w:sz w:val="20"/>
                <w:szCs w:val="20"/>
                <w:u w:val="single"/>
                <w:lang w:val="en-US"/>
              </w:rPr>
              <w:t xml:space="preserve"> and</w:t>
            </w:r>
            <w:r w:rsidRPr="00732A82">
              <w:rPr>
                <w:rFonts w:cs="Times New Roman"/>
                <w:b/>
                <w:sz w:val="20"/>
                <w:szCs w:val="20"/>
                <w:u w:val="single"/>
                <w:lang w:val="en-US"/>
              </w:rPr>
              <w:t xml:space="preserve"> Thanh Hoang Phan</w:t>
            </w:r>
            <w:r w:rsidRPr="0014756B">
              <w:rPr>
                <w:rFonts w:cs="Times New Roman"/>
                <w:sz w:val="20"/>
                <w:szCs w:val="20"/>
              </w:rPr>
              <w:t xml:space="preserve"> (B.C.) (Civil)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LeBel, Karakatsanis and Wagner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Court of Appeal for British Columbia (Vancouver), Number CA039642, 2014 BCCA 20, dated January 16, 2014, is dismissed without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d’appel de la Colombie-Britannique (Vancouver), numéro CA039642, 2014 BCCA 20, daté du 16 janvier 2014, est rejetée sans dépens.</w:t>
            </w:r>
          </w:p>
        </w:tc>
      </w:tr>
    </w:tbl>
    <w:p w:rsidR="006E4C71" w:rsidRPr="00732A82" w:rsidRDefault="006E4C71" w:rsidP="006E4C71">
      <w:pPr>
        <w:rPr>
          <w:rFonts w:cs="Times New Roman"/>
          <w:sz w:val="20"/>
          <w:szCs w:val="20"/>
          <w:lang w:val="fr-CA"/>
        </w:rPr>
      </w:pPr>
    </w:p>
    <w:p w:rsidR="006E4C71" w:rsidRPr="00732A82" w:rsidRDefault="006E4C71" w:rsidP="006E4C71">
      <w:pPr>
        <w:rPr>
          <w:rFonts w:cs="Times New Roman"/>
          <w:sz w:val="20"/>
          <w:szCs w:val="20"/>
          <w:u w:val="single"/>
        </w:rPr>
      </w:pPr>
      <w:r w:rsidRPr="00732A82">
        <w:rPr>
          <w:rFonts w:cs="Times New Roman"/>
          <w:sz w:val="20"/>
          <w:szCs w:val="20"/>
          <w:u w:val="single"/>
        </w:rPr>
        <w:t>CASE SUMMARY</w:t>
      </w:r>
    </w:p>
    <w:p w:rsidR="006E4C71" w:rsidRPr="00732A82" w:rsidRDefault="006E4C71" w:rsidP="006E4C7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6E4C71" w:rsidP="006E4C71">
            <w:pPr>
              <w:autoSpaceDE w:val="0"/>
              <w:autoSpaceDN w:val="0"/>
              <w:adjustRightInd w:val="0"/>
              <w:jc w:val="both"/>
              <w:rPr>
                <w:rFonts w:eastAsia="Calibri" w:cs="Times New Roman"/>
                <w:sz w:val="20"/>
                <w:szCs w:val="20"/>
              </w:rPr>
            </w:pPr>
            <w:r w:rsidRPr="00732A82">
              <w:rPr>
                <w:rFonts w:eastAsia="Calibri" w:cs="Times New Roman"/>
                <w:sz w:val="20"/>
                <w:szCs w:val="20"/>
              </w:rPr>
              <w:t>Civil procedure – Costs – Master making costs award – Whether offer of settlement was improper and a nullity – Whether appeal judge had jurisdiction to hear appeal – Whether evidence improperly admitted.</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Mr. Pearlman was involved in a motor vehicle accident and brought an action for damages against the other driver.  Liability was admitted and the trial judge awarded him $20,000 in non-pecuniary damages.  This amount was less than the offer of settlement made by the defendant.  </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May 2, 2012</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British Columbia</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(Kloegman J.)</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Unreported</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Applicant awarded costs up to date of offer of settlement; defendants awarded costs after date of offer</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January 3,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British Columbia</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(Master McDiarmid)</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Unreported</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Costs award</w:t>
            </w: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July 2,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Court of Appeal for British Columbia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(Vancouver)</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(Levine J.A.)</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Unreported</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Applicant’s application for leave to appeal order dismissing his appeal from award of costs, dismissed</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January 16, 2014</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Court of Appeal for British Columbia </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(Vancouver)</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(Kirkpatrick, Frankel and Groberman JJ.A.)</w:t>
            </w:r>
          </w:p>
          <w:p w:rsidR="006E4C71" w:rsidRPr="00732A82" w:rsidRDefault="000B3306" w:rsidP="006E4C71">
            <w:pPr>
              <w:jc w:val="both"/>
              <w:rPr>
                <w:rFonts w:eastAsia="Calibri" w:cs="Times New Roman"/>
                <w:sz w:val="20"/>
                <w:szCs w:val="20"/>
              </w:rPr>
            </w:pPr>
            <w:hyperlink r:id="rId25" w:history="1">
              <w:r w:rsidR="006E4C71" w:rsidRPr="00732A82">
                <w:rPr>
                  <w:rFonts w:eastAsia="Calibri" w:cs="Times New Roman"/>
                  <w:color w:val="0000FF"/>
                  <w:sz w:val="20"/>
                  <w:szCs w:val="20"/>
                  <w:u w:val="single"/>
                </w:rPr>
                <w:t>2014 BCCA 20</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Applicant’s application to vary order of single justice dismissing his application for leave to appeal, dismissed</w:t>
            </w:r>
          </w:p>
          <w:p w:rsidR="006E4C71" w:rsidRPr="00732A82" w:rsidRDefault="006E4C71" w:rsidP="006E4C71">
            <w:pPr>
              <w:jc w:val="both"/>
              <w:rPr>
                <w:rFonts w:eastAsia="Calibri" w:cs="Times New Roman"/>
                <w:sz w:val="20"/>
                <w:szCs w:val="20"/>
              </w:rPr>
            </w:pP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March 13, 2014</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Application for leave to appeal filed</w:t>
            </w:r>
          </w:p>
          <w:p w:rsidR="006E4C71" w:rsidRPr="00732A82" w:rsidRDefault="006E4C71" w:rsidP="006E4C71">
            <w:pPr>
              <w:jc w:val="both"/>
              <w:rPr>
                <w:rFonts w:eastAsia="Calibri" w:cs="Times New Roman"/>
                <w:sz w:val="20"/>
                <w:szCs w:val="20"/>
              </w:rPr>
            </w:pPr>
          </w:p>
        </w:tc>
      </w:tr>
    </w:tbl>
    <w:p w:rsidR="006E4C71" w:rsidRPr="00732A82" w:rsidRDefault="006E4C71" w:rsidP="006E4C71">
      <w:pPr>
        <w:rPr>
          <w:rFonts w:cs="Times New Roman"/>
          <w:sz w:val="20"/>
          <w:szCs w:val="20"/>
        </w:rPr>
      </w:pPr>
    </w:p>
    <w:p w:rsidR="006E4C71" w:rsidRPr="00732A82" w:rsidRDefault="000B3306" w:rsidP="006E4C71">
      <w:pPr>
        <w:rPr>
          <w:rFonts w:cs="Times New Roman"/>
          <w:sz w:val="20"/>
          <w:szCs w:val="20"/>
        </w:rPr>
      </w:pPr>
      <w:r>
        <w:rPr>
          <w:rFonts w:cs="Times New Roman"/>
          <w:sz w:val="20"/>
          <w:szCs w:val="20"/>
          <w:lang w:val="fr-CA"/>
        </w:rPr>
        <w:pict>
          <v:rect id="_x0000_i1043" style="width:2in;height:1pt" o:hrpct="0" o:hralign="center" o:hrstd="t" o:hrnoshade="t" o:hr="t" fillcolor="black [3213]" stroked="f"/>
        </w:pict>
      </w:r>
    </w:p>
    <w:p w:rsidR="006E4C71" w:rsidRPr="00732A82" w:rsidRDefault="006E4C71" w:rsidP="006E4C71">
      <w:pPr>
        <w:rPr>
          <w:rFonts w:cs="Times New Roman"/>
          <w:sz w:val="20"/>
          <w:szCs w:val="20"/>
        </w:rPr>
      </w:pPr>
    </w:p>
    <w:p w:rsidR="006E4C71" w:rsidRPr="00732A82" w:rsidRDefault="006E4C71" w:rsidP="006E4C71">
      <w:pPr>
        <w:rPr>
          <w:rFonts w:cs="Times New Roman"/>
          <w:sz w:val="20"/>
          <w:szCs w:val="20"/>
          <w:u w:val="single"/>
          <w:lang w:val="fr-CA"/>
        </w:rPr>
      </w:pPr>
      <w:r w:rsidRPr="00732A82">
        <w:rPr>
          <w:rFonts w:cs="Times New Roman"/>
          <w:sz w:val="20"/>
          <w:szCs w:val="20"/>
          <w:u w:val="single"/>
          <w:lang w:val="fr-CA"/>
        </w:rPr>
        <w:t>RÉSUMÉ DE L’AFFAIRE</w:t>
      </w:r>
    </w:p>
    <w:p w:rsidR="006E4C71" w:rsidRPr="00732A82" w:rsidRDefault="006E4C71" w:rsidP="006E4C7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EA4608" w:rsidTr="006E4C71">
        <w:tc>
          <w:tcPr>
            <w:tcW w:w="5000" w:type="pct"/>
            <w:gridSpan w:val="3"/>
          </w:tcPr>
          <w:p w:rsidR="006E4C71" w:rsidRPr="00732A82" w:rsidRDefault="006E4C71" w:rsidP="006E4C71">
            <w:pPr>
              <w:autoSpaceDE w:val="0"/>
              <w:autoSpaceDN w:val="0"/>
              <w:adjustRightInd w:val="0"/>
              <w:jc w:val="both"/>
              <w:rPr>
                <w:rFonts w:eastAsia="Calibri" w:cs="Times New Roman"/>
                <w:sz w:val="20"/>
                <w:szCs w:val="20"/>
                <w:lang w:val="fr-CA"/>
              </w:rPr>
            </w:pPr>
            <w:r w:rsidRPr="00732A82">
              <w:rPr>
                <w:rFonts w:eastAsia="Calibri" w:cs="Times New Roman"/>
                <w:sz w:val="20"/>
                <w:szCs w:val="20"/>
                <w:lang w:val="fr-CA"/>
              </w:rPr>
              <w:t>Procédure civile – Dépens – Octroi des dépens par un protonotaire – L’offre de règlement était-elle irrégulière et nulle? – Le juge d’appel avait-il compétence pour entendre l’appel? – Certains éléments de preuve ont-ils été admis irrégulièrement?</w:t>
            </w: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M. Pearlman a eu accident automobile et a intenté une action en dommages-intérêts contre l’autre conducteur.  La responsabilité a été admise et le juge de première instance lui a accordé 20 000 $ en dommages-intérêts non pécuniaires.  Cette somme est moindre que celle proposée dans l’offre de règlement des intimés.  </w:t>
            </w:r>
          </w:p>
          <w:p w:rsidR="006E4C71" w:rsidRPr="00732A82" w:rsidRDefault="006E4C71" w:rsidP="006E4C71">
            <w:pPr>
              <w:jc w:val="both"/>
              <w:rPr>
                <w:rFonts w:eastAsia="Calibri" w:cs="Times New Roman"/>
                <w:sz w:val="20"/>
                <w:szCs w:val="20"/>
                <w:lang w:val="fr-CA"/>
              </w:rPr>
            </w:pPr>
          </w:p>
        </w:tc>
      </w:tr>
      <w:tr w:rsidR="006E4C71" w:rsidRPr="00EA4608"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lastRenderedPageBreak/>
              <w:t>2 mai 2012</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de la Colombie-Britannique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 Kloegman)</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Non publié</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 demandeur a droit à ses dépens jusqu’à la date de l’offre de règlement; les intimés ont droit à leurs dépens à partir de cette date</w:t>
            </w:r>
          </w:p>
          <w:p w:rsidR="006E4C71" w:rsidRPr="00732A82" w:rsidRDefault="006E4C71" w:rsidP="006E4C71">
            <w:pPr>
              <w:jc w:val="both"/>
              <w:rPr>
                <w:rFonts w:eastAsia="Calibri" w:cs="Times New Roman"/>
                <w:sz w:val="20"/>
                <w:szCs w:val="20"/>
                <w:lang w:val="fr-CA"/>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3 janvier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de la Colombie-Britannique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(Protonotaire McDiarmid)</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Non publié</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Octroi des dépens</w:t>
            </w:r>
          </w:p>
        </w:tc>
      </w:tr>
      <w:tr w:rsidR="006E4C71" w:rsidRPr="00EA4608"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2 juillet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d’appel de la Colombie-Britannique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(Vancouver)</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 Levine)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Non publié</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Rejet de la demande présentée par le demandeur pour être autorisé à interjeter appel de l’ordonnance rejetant son appel de l’octroi des dépens</w:t>
            </w:r>
          </w:p>
          <w:p w:rsidR="006E4C71" w:rsidRPr="00732A82" w:rsidRDefault="006E4C71" w:rsidP="006E4C71">
            <w:pPr>
              <w:jc w:val="both"/>
              <w:rPr>
                <w:rFonts w:eastAsia="Calibri" w:cs="Times New Roman"/>
                <w:sz w:val="20"/>
                <w:szCs w:val="20"/>
                <w:lang w:val="fr-CA"/>
              </w:rPr>
            </w:pPr>
          </w:p>
        </w:tc>
      </w:tr>
      <w:tr w:rsidR="006E4C71" w:rsidRPr="00EA4608"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16 janvier 2014</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d’appel de la Colombie-Britannique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(Vancouver)</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(Juges Kirkpatrick, Frankel et Groberman)</w:t>
            </w:r>
          </w:p>
          <w:p w:rsidR="006E4C71" w:rsidRPr="00732A82" w:rsidRDefault="000B3306" w:rsidP="006E4C71">
            <w:pPr>
              <w:jc w:val="both"/>
              <w:rPr>
                <w:rFonts w:eastAsia="Calibri" w:cs="Times New Roman"/>
                <w:sz w:val="20"/>
                <w:szCs w:val="20"/>
                <w:lang w:val="fr-CA"/>
              </w:rPr>
            </w:pPr>
            <w:hyperlink r:id="rId26" w:history="1">
              <w:r w:rsidR="006E4C71" w:rsidRPr="00732A82">
                <w:rPr>
                  <w:rFonts w:eastAsia="Calibri" w:cs="Times New Roman"/>
                  <w:color w:val="0000FF"/>
                  <w:sz w:val="20"/>
                  <w:szCs w:val="20"/>
                  <w:u w:val="single"/>
                  <w:lang w:val="fr-CA"/>
                </w:rPr>
                <w:t>2014 BCCA 20</w:t>
              </w:r>
            </w:hyperlink>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Rejet de la demande présentée par le demandeur pour faire modifier l’ordonnance d’un juge siégeant seul rejetant sa demande d’autorisation d’appel</w:t>
            </w:r>
          </w:p>
          <w:p w:rsidR="006E4C71" w:rsidRPr="00732A82" w:rsidRDefault="006E4C71" w:rsidP="006E4C71">
            <w:pPr>
              <w:jc w:val="both"/>
              <w:rPr>
                <w:rFonts w:eastAsia="Calibri" w:cs="Times New Roman"/>
                <w:sz w:val="20"/>
                <w:szCs w:val="20"/>
                <w:lang w:val="fr-CA"/>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13 mars 2014</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p w:rsidR="006E4C71" w:rsidRPr="00732A82" w:rsidRDefault="006E4C71" w:rsidP="006E4C71">
            <w:pPr>
              <w:jc w:val="both"/>
              <w:rPr>
                <w:rFonts w:eastAsia="Calibri" w:cs="Times New Roman"/>
                <w:sz w:val="20"/>
                <w:szCs w:val="20"/>
                <w:lang w:val="fr-CA"/>
              </w:rPr>
            </w:pPr>
          </w:p>
        </w:tc>
      </w:tr>
    </w:tbl>
    <w:p w:rsidR="006E4C71" w:rsidRPr="00732A82" w:rsidRDefault="006E4C71" w:rsidP="006E4C71">
      <w:pPr>
        <w:rPr>
          <w:rFonts w:cs="Times New Roman"/>
          <w:sz w:val="20"/>
          <w:szCs w:val="20"/>
        </w:rPr>
      </w:pPr>
    </w:p>
    <w:p w:rsidR="006E4C71" w:rsidRPr="00732A82" w:rsidRDefault="000B3306" w:rsidP="006E4C71">
      <w:pPr>
        <w:rPr>
          <w:rFonts w:cs="Times New Roman"/>
          <w:sz w:val="20"/>
          <w:szCs w:val="20"/>
        </w:rPr>
      </w:pPr>
      <w:r>
        <w:rPr>
          <w:rFonts w:cs="Times New Roman"/>
          <w:sz w:val="20"/>
          <w:szCs w:val="20"/>
          <w:lang w:val="fr-CA"/>
        </w:rPr>
        <w:pict>
          <v:rect id="_x0000_i1044" style="width:2in;height:1pt" o:hrpct="0" o:hralign="center" o:hrstd="t" o:hrnoshade="t" o:hr="t" fillcolor="black [3213]" stroked="f"/>
        </w:pict>
      </w:r>
    </w:p>
    <w:p w:rsidR="006E4C71" w:rsidRPr="00732A82" w:rsidRDefault="006E4C71" w:rsidP="006E4C71">
      <w:pPr>
        <w:rPr>
          <w:rFonts w:cs="Times New Roman"/>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35516</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Ellwood Thomas Bradbury v. Her Majesty the Queen</w:t>
            </w:r>
            <w:r w:rsidRPr="0014756B">
              <w:rPr>
                <w:rFonts w:cs="Times New Roman"/>
                <w:sz w:val="20"/>
                <w:szCs w:val="20"/>
              </w:rPr>
              <w:t xml:space="preserve"> (B.C.) (Criminal)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McLachlin C.J. and Cromwell and Wagner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Pursuant to subsection 43 (1.1) of the Supreme Court Act, the case forming the basis of the application for leave to appeal from the judgment of the Court of Appeal for British Columbia (Vancouver), Number CA040382, 2013 BCCA 280, dated June 14, 2013, is remanded to the Court of Appeal for British Columbia for disposition in accordance with R. v. Carvery, 2014 SCC 27 and R. v. Summers, 2014 SCC 26.</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Conformément au paragraphe 43 (1.1) de la Loi sur la Cour suprême, l’affaire à l’origine de la demande d’autorisation d’appel de l’arrêt de la Cour d’appel de la Colombie-Britannique (Vancouver), numéro CA040382, 2013 BCCA 280, daté du 14 juin 2013, est renvoyée à la Cour d’appel de la Colombie-Britannique pour qu’elle statue en conformité avec les arrêts R. c. Carvery, 2014 CSC 27 et R. c. Summers, 2014 CSC 26.</w:t>
            </w:r>
          </w:p>
        </w:tc>
      </w:tr>
    </w:tbl>
    <w:p w:rsidR="00D94A41" w:rsidRPr="00732A82" w:rsidRDefault="00D94A41" w:rsidP="00D94A41">
      <w:pPr>
        <w:rPr>
          <w:rFonts w:cs="Times New Roman"/>
          <w:sz w:val="20"/>
          <w:szCs w:val="20"/>
          <w:lang w:val="fr-CA"/>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D94A41" w:rsidP="006E4C71">
            <w:pPr>
              <w:jc w:val="both"/>
              <w:rPr>
                <w:rFonts w:eastAsia="Calibri" w:cs="Times New Roman"/>
                <w:smallCaps/>
                <w:sz w:val="20"/>
                <w:szCs w:val="20"/>
              </w:rPr>
            </w:pPr>
            <w:r w:rsidRPr="00732A82">
              <w:rPr>
                <w:rFonts w:eastAsia="Calibri" w:cs="Times New Roman"/>
                <w:smallCaps/>
                <w:sz w:val="20"/>
                <w:szCs w:val="20"/>
              </w:rPr>
              <w:t xml:space="preserve"> </w:t>
            </w:r>
            <w:r w:rsidR="006E4C71" w:rsidRPr="00732A82">
              <w:rPr>
                <w:rFonts w:eastAsia="Calibri" w:cs="Times New Roman"/>
                <w:smallCaps/>
                <w:sz w:val="20"/>
                <w:szCs w:val="20"/>
              </w:rPr>
              <w:t xml:space="preserve">(Publication </w:t>
            </w:r>
            <w:r w:rsidR="00970B11">
              <w:rPr>
                <w:rFonts w:eastAsia="Calibri" w:cs="Times New Roman"/>
                <w:smallCaps/>
                <w:sz w:val="20"/>
                <w:szCs w:val="20"/>
              </w:rPr>
              <w:t>B</w:t>
            </w:r>
            <w:r w:rsidR="006E4C71" w:rsidRPr="00732A82">
              <w:rPr>
                <w:rFonts w:eastAsia="Calibri" w:cs="Times New Roman"/>
                <w:smallCaps/>
                <w:sz w:val="20"/>
                <w:szCs w:val="20"/>
              </w:rPr>
              <w:t xml:space="preserve">an in </w:t>
            </w:r>
            <w:r w:rsidR="00970B11">
              <w:rPr>
                <w:rFonts w:eastAsia="Calibri" w:cs="Times New Roman"/>
                <w:smallCaps/>
                <w:sz w:val="20"/>
                <w:szCs w:val="20"/>
              </w:rPr>
              <w:t>C</w:t>
            </w:r>
            <w:r w:rsidR="006E4C71" w:rsidRPr="00732A82">
              <w:rPr>
                <w:rFonts w:eastAsia="Calibri" w:cs="Times New Roman"/>
                <w:smallCaps/>
                <w:sz w:val="20"/>
                <w:szCs w:val="20"/>
              </w:rPr>
              <w:t>ase)</w:t>
            </w:r>
          </w:p>
          <w:p w:rsidR="006E4C71" w:rsidRPr="00732A82" w:rsidRDefault="006E4C71" w:rsidP="006E4C71">
            <w:pPr>
              <w:jc w:val="both"/>
              <w:rPr>
                <w:rFonts w:eastAsia="Calibri" w:cs="Times New Roman"/>
                <w:sz w:val="20"/>
                <w:szCs w:val="20"/>
              </w:rPr>
            </w:pP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Criminal law – Sentencing – Credit for pre-trial custody - Whether the Court erred in law by interpreting s. 719(3.1) of the </w:t>
            </w:r>
            <w:r w:rsidRPr="00732A82">
              <w:rPr>
                <w:rFonts w:eastAsia="Calibri" w:cs="Times New Roman"/>
                <w:i/>
                <w:sz w:val="20"/>
                <w:szCs w:val="20"/>
              </w:rPr>
              <w:t>Criminal Code</w:t>
            </w:r>
            <w:r w:rsidRPr="00732A82">
              <w:rPr>
                <w:rFonts w:eastAsia="Calibri" w:cs="Times New Roman"/>
                <w:sz w:val="20"/>
                <w:szCs w:val="20"/>
              </w:rPr>
              <w:t xml:space="preserve"> in such a way as to preclude recognition of lost remission or eligibility for early release and relative scarcity of educational and other programming as circumstances potentially serving to justify enhanced credit against sentence for time spent in pre-sentence custody.</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p>
        </w:tc>
      </w:tr>
      <w:tr w:rsidR="006E4C71" w:rsidRPr="00732A82" w:rsidTr="006E4C71">
        <w:trPr>
          <w:trHeight w:val="432"/>
        </w:trPr>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lastRenderedPageBreak/>
              <w:t>The applicant pled guilty to conspiracy to traffic in cocaine.  The sentence imposed was 42 months’ imprisonment less credit of 22 months for pre-sentence custody. The sentencing judge applied a 1:1 credit for custody from arrest to the guilty plea, and a 1.5:1 (enhanced) credit for time between the guilty plea and sentence.  A majority of the Court of Appeal upheld the sentencing judge’s decision.</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October 16, 2012</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Provincial Court of British Columbia</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(Bagnall P.C.J.)</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Neutral citation: </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Sentence imposed: 42 months’ imprisonment less credit of 22 months for pre-sentence custody; credit of 1:1 for custody from arrest to guilty plea: credit of 1.5:1 for time between his guilty plea and sentence</w:t>
            </w: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June 14,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Court of Appeal for British Columbia </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(Vancouver)</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(D. Smith and Neilson JJ.A., and Prowse J.A. (dissenting))</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2013 BCCA 280</w:t>
            </w:r>
          </w:p>
          <w:p w:rsidR="006E4C71" w:rsidRPr="00732A82" w:rsidRDefault="000B3306" w:rsidP="006E4C71">
            <w:pPr>
              <w:jc w:val="both"/>
              <w:rPr>
                <w:rFonts w:eastAsia="Calibri" w:cs="Times New Roman"/>
                <w:sz w:val="20"/>
                <w:szCs w:val="20"/>
              </w:rPr>
            </w:pPr>
            <w:hyperlink r:id="rId27" w:history="1">
              <w:r w:rsidR="006E4C71" w:rsidRPr="00732A82">
                <w:rPr>
                  <w:rFonts w:eastAsia="Calibri" w:cs="Times New Roman"/>
                  <w:color w:val="0000FF"/>
                  <w:sz w:val="20"/>
                  <w:szCs w:val="20"/>
                  <w:u w:val="single"/>
                </w:rPr>
                <w:t>http://canlii.ca/t/fz65t</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Leave to appeal sentence granted; appeal from sentence dismissed</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September 11, 2013</w:t>
            </w:r>
          </w:p>
          <w:p w:rsidR="006E4C71" w:rsidRPr="00732A82" w:rsidRDefault="006E4C7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Application for leave to appeal filed</w:t>
            </w:r>
          </w:p>
          <w:p w:rsidR="006E4C71" w:rsidRPr="00732A82" w:rsidRDefault="006E4C71" w:rsidP="006E4C71">
            <w:pPr>
              <w:jc w:val="both"/>
              <w:rPr>
                <w:rFonts w:eastAsia="Calibri" w:cs="Times New Roman"/>
                <w:sz w:val="20"/>
                <w:szCs w:val="20"/>
              </w:rPr>
            </w:pPr>
          </w:p>
        </w:tc>
      </w:tr>
    </w:tbl>
    <w:p w:rsidR="00D94A41" w:rsidRPr="00732A82" w:rsidRDefault="00D94A41" w:rsidP="00D94A41">
      <w:pPr>
        <w:rPr>
          <w:rFonts w:cs="Times New Roman"/>
          <w:sz w:val="20"/>
          <w:szCs w:val="20"/>
        </w:rPr>
      </w:pPr>
    </w:p>
    <w:p w:rsidR="00D94A41" w:rsidRPr="00732A82" w:rsidRDefault="000B3306" w:rsidP="00D94A41">
      <w:pPr>
        <w:rPr>
          <w:rFonts w:cs="Times New Roman"/>
          <w:sz w:val="20"/>
          <w:szCs w:val="20"/>
        </w:rPr>
      </w:pPr>
      <w:r>
        <w:rPr>
          <w:rFonts w:cs="Times New Roman"/>
          <w:sz w:val="20"/>
          <w:szCs w:val="20"/>
          <w:lang w:val="fr-CA"/>
        </w:rPr>
        <w:pict>
          <v:rect id="_x0000_i1045" style="width:2in;height:1pt" o:hrpct="0" o:hralign="center" o:hrstd="t" o:hrnoshade="t" o:hr="t" fillcolor="black [3213]" stroked="f"/>
        </w:pict>
      </w:r>
    </w:p>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EA4608" w:rsidTr="006E4C71">
        <w:tc>
          <w:tcPr>
            <w:tcW w:w="5000" w:type="pct"/>
            <w:gridSpan w:val="3"/>
          </w:tcPr>
          <w:p w:rsidR="006E4C71" w:rsidRPr="00732A82" w:rsidRDefault="006E4C71" w:rsidP="006E4C71">
            <w:pPr>
              <w:jc w:val="both"/>
              <w:rPr>
                <w:rFonts w:eastAsia="Calibri" w:cs="Times New Roman"/>
                <w:smallCaps/>
                <w:sz w:val="20"/>
                <w:szCs w:val="20"/>
                <w:lang w:val="fr-CA"/>
              </w:rPr>
            </w:pPr>
            <w:r w:rsidRPr="00732A82">
              <w:rPr>
                <w:rFonts w:eastAsia="Calibri" w:cs="Times New Roman"/>
                <w:smallCaps/>
                <w:sz w:val="20"/>
                <w:szCs w:val="20"/>
                <w:lang w:val="fr-CA"/>
              </w:rPr>
              <w:t>(Ordonnance de non-publication dans le Dossier)</w:t>
            </w:r>
          </w:p>
          <w:p w:rsidR="006E4C71" w:rsidRPr="00732A82" w:rsidRDefault="006E4C71" w:rsidP="006E4C71">
            <w:pPr>
              <w:jc w:val="both"/>
              <w:rPr>
                <w:rFonts w:eastAsia="Calibri" w:cs="Times New Roman"/>
                <w:sz w:val="20"/>
                <w:szCs w:val="20"/>
                <w:lang w:val="fr-CA"/>
              </w:rPr>
            </w:pP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Droit criminel – Détermination de la peine – Réduction de la peine compte tenu de la détention avant procès – La Cour a-t-elle commis une erreur de droit en interprétant l’art. 719(3.1)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xml:space="preserve"> de manière à empêcher la reconnaissance de la perte de réduction de la peine ou de l'admissibilité à une libération anticipée et de la rareté relative des programmes de formation et d'autres programmes comme circonstances susceptibles de justifier une plus grande réduction de la peine compte tenu de la détention avant procès?</w:t>
            </w: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 demandeur a plaidé coupable de complot en vue de faire le trafic de la cocaïne.  Il s'est vu imposer une peine d'emprisonnement de 42 mois, peine réduite de 22 mois compte tenu de sa détention avant procès.  Le juge qui a imposé la peine a réduit celle-ci d'une durée équivalente à la durée de la détention entre le moment de l'arrestation et le plaidoyer de culpabilité, et d'une durée équivalente à une fois et demie la durée qui s'est écoulée entre le plaidoyer de culpabilité et le prononcé de la peine.  Les juges majoritaires de la Cour d'appel ont confirmé la décision du juge qui a imposé la peine.</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16 octobre 2012</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provinciale de la Colombie-Britannique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 Bagnall)</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Référence neutre : </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Peine imposée : 42 mois d’emprisonnement, réduite de 22 mois compte tenu de la détention avant procès; réduction de la peine d'une durée équivalente à la durée de la détention entre le moment de l'arrestation et le plaidoyer de culpabilité, et d'une durée équivalente à une fois et demie la durée qui s'est écoulée entre le plaidoyer de culpabilité et le prononcé de la sentence</w:t>
            </w:r>
          </w:p>
          <w:p w:rsidR="006E4C71" w:rsidRPr="00732A82" w:rsidRDefault="006E4C71" w:rsidP="006E4C71">
            <w:pPr>
              <w:jc w:val="both"/>
              <w:rPr>
                <w:rFonts w:eastAsia="Calibri" w:cs="Times New Roman"/>
                <w:sz w:val="20"/>
                <w:szCs w:val="20"/>
                <w:lang w:val="fr-CA"/>
              </w:rPr>
            </w:pPr>
          </w:p>
        </w:tc>
      </w:tr>
      <w:tr w:rsidR="006E4C71" w:rsidRPr="00EA4608"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lastRenderedPageBreak/>
              <w:t>14 juin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d'appel de la Colombie-Britannique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(Vancouver)</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(Juges D. Smith, Neilson et Prowse (dissidente))</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2013 BCCA 280</w:t>
            </w:r>
          </w:p>
          <w:p w:rsidR="006E4C71" w:rsidRPr="00732A82" w:rsidRDefault="000B3306" w:rsidP="006E4C71">
            <w:pPr>
              <w:jc w:val="both"/>
              <w:rPr>
                <w:rFonts w:eastAsia="Calibri" w:cs="Times New Roman"/>
                <w:sz w:val="20"/>
                <w:szCs w:val="20"/>
              </w:rPr>
            </w:pPr>
            <w:hyperlink r:id="rId28" w:history="1">
              <w:r w:rsidR="006E4C71" w:rsidRPr="00732A82">
                <w:rPr>
                  <w:rFonts w:eastAsia="Calibri" w:cs="Times New Roman"/>
                  <w:color w:val="0000FF"/>
                  <w:sz w:val="20"/>
                  <w:szCs w:val="20"/>
                  <w:u w:val="single"/>
                </w:rPr>
                <w:t>http://canlii.ca/t/fz65t</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Autorisation d'appel de la peine accordée; appel de la peine, rejeté</w:t>
            </w:r>
          </w:p>
          <w:p w:rsidR="006E4C71" w:rsidRPr="00732A82" w:rsidRDefault="006E4C71" w:rsidP="006E4C71">
            <w:pPr>
              <w:jc w:val="both"/>
              <w:rPr>
                <w:rFonts w:eastAsia="Calibri" w:cs="Times New Roman"/>
                <w:sz w:val="20"/>
                <w:szCs w:val="20"/>
                <w:lang w:val="fr-CA"/>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11 septembre 2013</w:t>
            </w:r>
          </w:p>
          <w:p w:rsidR="006E4C71" w:rsidRPr="00732A82" w:rsidRDefault="006E4C7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p w:rsidR="006E4C71" w:rsidRPr="00732A82" w:rsidRDefault="006E4C71" w:rsidP="006E4C71">
            <w:pPr>
              <w:jc w:val="both"/>
              <w:rPr>
                <w:rFonts w:eastAsia="Calibri" w:cs="Times New Roman"/>
                <w:sz w:val="20"/>
                <w:szCs w:val="20"/>
                <w:lang w:val="fr-CA"/>
              </w:rPr>
            </w:pPr>
          </w:p>
        </w:tc>
      </w:tr>
    </w:tbl>
    <w:p w:rsidR="00D94A41" w:rsidRPr="00732A82" w:rsidRDefault="00D94A41" w:rsidP="00D94A41">
      <w:pPr>
        <w:rPr>
          <w:rFonts w:cs="Times New Roman"/>
          <w:sz w:val="20"/>
          <w:szCs w:val="20"/>
        </w:rPr>
      </w:pPr>
    </w:p>
    <w:p w:rsidR="00D94A41" w:rsidRPr="00732A82" w:rsidRDefault="000B3306" w:rsidP="00D94A41">
      <w:pPr>
        <w:rPr>
          <w:rFonts w:cs="Times New Roman"/>
          <w:sz w:val="20"/>
          <w:szCs w:val="20"/>
        </w:rPr>
      </w:pPr>
      <w:r>
        <w:rPr>
          <w:rFonts w:cs="Times New Roman"/>
          <w:sz w:val="20"/>
          <w:szCs w:val="20"/>
          <w:lang w:val="fr-CA"/>
        </w:rPr>
        <w:pict>
          <v:rect id="_x0000_i1046" style="width:2in;height:1pt" o:hrpct="0" o:hralign="center" o:hrstd="t" o:hrnoshade="t" o:hr="t" fillcolor="black [3213]" stroked="f"/>
        </w:pict>
      </w:r>
    </w:p>
    <w:p w:rsidR="00D94A41" w:rsidRPr="00732A82" w:rsidRDefault="00D94A41" w:rsidP="00D94A41">
      <w:pPr>
        <w:rPr>
          <w:rFonts w:cs="Times New Roman"/>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EA4608"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35625</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jc w:val="both"/>
              <w:rPr>
                <w:rFonts w:cs="Times New Roman"/>
                <w:sz w:val="20"/>
                <w:szCs w:val="20"/>
                <w:lang w:val="fr-CA"/>
              </w:rPr>
            </w:pPr>
            <w:r w:rsidRPr="00732A82">
              <w:rPr>
                <w:rFonts w:cs="Times New Roman"/>
                <w:b/>
                <w:sz w:val="20"/>
                <w:szCs w:val="20"/>
                <w:u w:val="single"/>
                <w:lang w:val="fr-CA"/>
              </w:rPr>
              <w:t>Commission des droits de la personne et des droits de la jeunesse c. Bombardier Inc. (Bombardier Aéronautique Centre de Formation)</w:t>
            </w:r>
            <w:r w:rsidR="00970B11">
              <w:rPr>
                <w:rFonts w:cs="Times New Roman"/>
                <w:b/>
                <w:sz w:val="20"/>
                <w:szCs w:val="20"/>
                <w:u w:val="single"/>
                <w:lang w:val="fr-CA"/>
              </w:rPr>
              <w:t xml:space="preserve"> et</w:t>
            </w:r>
            <w:r w:rsidRPr="00732A82">
              <w:rPr>
                <w:rFonts w:cs="Times New Roman"/>
                <w:b/>
                <w:sz w:val="20"/>
                <w:szCs w:val="20"/>
                <w:u w:val="single"/>
                <w:lang w:val="fr-CA"/>
              </w:rPr>
              <w:t xml:space="preserve"> Javed Latif ET ENTRE Javed Latif c. Bombardier Inc. (Bombardier Aéronautique Centre de Formation)</w:t>
            </w:r>
            <w:r w:rsidR="00732B63">
              <w:rPr>
                <w:rFonts w:cs="Times New Roman"/>
                <w:b/>
                <w:sz w:val="20"/>
                <w:szCs w:val="20"/>
                <w:u w:val="single"/>
                <w:lang w:val="fr-CA"/>
              </w:rPr>
              <w:t xml:space="preserve"> et</w:t>
            </w:r>
            <w:r w:rsidRPr="00732A82">
              <w:rPr>
                <w:rFonts w:cs="Times New Roman"/>
                <w:b/>
                <w:sz w:val="20"/>
                <w:szCs w:val="20"/>
                <w:u w:val="single"/>
                <w:lang w:val="fr-CA"/>
              </w:rPr>
              <w:t xml:space="preserve"> Commission des droits de la personne et des droits de la jeunesse</w:t>
            </w:r>
            <w:r w:rsidRPr="0014756B">
              <w:rPr>
                <w:rFonts w:cs="Times New Roman"/>
                <w:sz w:val="20"/>
                <w:szCs w:val="20"/>
                <w:lang w:val="fr-CA"/>
              </w:rPr>
              <w:t xml:space="preserve"> (Qc) (Civile) (Autorisation)</w:t>
            </w:r>
          </w:p>
          <w:p w:rsidR="0014756B" w:rsidRPr="0014756B" w:rsidRDefault="0014756B" w:rsidP="0014756B">
            <w:pPr>
              <w:rPr>
                <w:rFonts w:cs="Times New Roman"/>
                <w:sz w:val="20"/>
                <w:szCs w:val="20"/>
                <w:lang w:val="fr-CA"/>
              </w:rPr>
            </w:pPr>
          </w:p>
        </w:tc>
      </w:tr>
      <w:tr w:rsidR="0014756B" w:rsidRPr="00EA4608"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lang w:val="fr-CA"/>
              </w:rPr>
            </w:pPr>
            <w:r w:rsidRPr="00732A82">
              <w:rPr>
                <w:rFonts w:cs="Times New Roman"/>
                <w:sz w:val="20"/>
                <w:szCs w:val="20"/>
                <w:u w:val="single"/>
                <w:lang w:val="fr-CA"/>
              </w:rPr>
              <w:t>Les juges LeBel, Karakatsanis et Wagner</w:t>
            </w:r>
          </w:p>
          <w:p w:rsidR="0014756B" w:rsidRPr="0014756B" w:rsidRDefault="0014756B" w:rsidP="0014756B">
            <w:pPr>
              <w:rPr>
                <w:rFonts w:cs="Times New Roman"/>
                <w:sz w:val="20"/>
                <w:szCs w:val="20"/>
                <w:u w:val="single"/>
                <w:lang w:val="fr-CA"/>
              </w:rPr>
            </w:pPr>
          </w:p>
        </w:tc>
      </w:tr>
      <w:tr w:rsidR="0014756B" w:rsidRPr="0014756B" w:rsidTr="00732A82">
        <w:trPr>
          <w:cantSplit/>
        </w:trPr>
        <w:tc>
          <w:tcPr>
            <w:tcW w:w="9576" w:type="dxa"/>
            <w:gridSpan w:val="2"/>
          </w:tcPr>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Les demandes d’autorisation d’appel de l’arrêt de la Cour d’appel du Québec (Montréal), numéro 500-09-021287-107, 2013 QCCA 1650, daté du 24 septembre 2013, sont accueillies avec dépens selon l’issue de la cause.</w:t>
            </w:r>
          </w:p>
          <w:p w:rsidR="0014756B" w:rsidRPr="0014756B" w:rsidRDefault="0014756B" w:rsidP="0014756B">
            <w:pPr>
              <w:jc w:val="both"/>
              <w:rPr>
                <w:rFonts w:cs="Times New Roman"/>
                <w:sz w:val="20"/>
                <w:szCs w:val="20"/>
                <w:lang w:val="fr-CA"/>
              </w:rPr>
            </w:pPr>
          </w:p>
          <w:p w:rsidR="0014756B" w:rsidRPr="0014756B" w:rsidRDefault="0014756B" w:rsidP="0014756B">
            <w:pPr>
              <w:ind w:firstLine="720"/>
              <w:jc w:val="both"/>
              <w:rPr>
                <w:rFonts w:cs="Times New Roman"/>
                <w:sz w:val="20"/>
                <w:szCs w:val="20"/>
              </w:rPr>
            </w:pPr>
            <w:r w:rsidRPr="0014756B">
              <w:rPr>
                <w:rFonts w:cs="Times New Roman"/>
                <w:sz w:val="20"/>
                <w:szCs w:val="20"/>
              </w:rPr>
              <w:t>The applications for leave to appeal from the judgment of the Court of Appeal of Quebec (Montréal), Number 500-09-021287-107, 2013 QCCA 1650, dated September 24, 2013, are granted with costs in the cause.</w:t>
            </w:r>
          </w:p>
        </w:tc>
      </w:tr>
    </w:tbl>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Human rights – Discrimination – Canadian pilot of Pakistani origin denied training provided by Bombardier in Texas and Quebec as result of his exclusion by American authorities for security reasons that remained secret – Exclusion lifted and admission authorized four years later – Whether exclusion based automatically on foreign decision can be presumed discriminatory where there is plausible prohibited ground – Whether candidate excluded because of his ethic origin – Whether Court of Appeal erred in requiring evidence of causal connection between ethnic origin and exclusion – Standard of review applicable to decision of Human Rights Tribunal – Whether prospective order within jurisdiction of Human Rights Tribunal – Whether punitive damages justified in this case – </w:t>
            </w:r>
            <w:r w:rsidRPr="00732A82">
              <w:rPr>
                <w:rFonts w:eastAsia="Calibri" w:cs="Times New Roman"/>
                <w:i/>
                <w:sz w:val="20"/>
                <w:szCs w:val="20"/>
              </w:rPr>
              <w:t>Charter of human rights and freedoms</w:t>
            </w:r>
            <w:r w:rsidRPr="00732A82">
              <w:rPr>
                <w:rFonts w:eastAsia="Calibri" w:cs="Times New Roman"/>
                <w:sz w:val="20"/>
                <w:szCs w:val="20"/>
              </w:rPr>
              <w:t>, R.S.Q. c. C</w:t>
            </w:r>
            <w:r w:rsidRPr="00732A82">
              <w:rPr>
                <w:rFonts w:eastAsia="Calibri" w:cs="Times New Roman"/>
                <w:sz w:val="20"/>
                <w:szCs w:val="20"/>
              </w:rPr>
              <w:noBreakHyphen/>
              <w:t>12, ss. 10, 12, 49.</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Mr. Latif has been a Canadian citizen since 2001.  His American and Canadian pilot’s licences are valid for life, but for each type of aircraft, specific continuing training is required under the Canadian or American licence.  Bombardier trains pilots in Montréal and Dallas.  After being offered a job piloting a Challenger 604 in 2004, Mr. Latif applied to Bombardier to take the necessary training under the American licence.  At the same time, he applied to the American authorities for a security check as required by the Alien Flight Students Program.  In April 2004, when Mr. Latif had a reserved spot in the Dallas course that spring, the company received notification of denial from the Department of Justice on the ground that Mr. Latif was a threat to air safety.  The denial was maintained until August 2008, with the result that Mr. Latif had to change jobs several times and was even without employment for some time.  Although he asked Bombardier to enrol him in the training in Montréal under the Canadian licence, Bombardier refused, saying that it was obliged to comply with the American decision.</w:t>
            </w:r>
          </w:p>
          <w:p w:rsidR="006E4C71" w:rsidRPr="00732A82" w:rsidRDefault="006E4C71" w:rsidP="006E4C71">
            <w:pPr>
              <w:jc w:val="both"/>
              <w:rPr>
                <w:rFonts w:eastAsia="Calibri" w:cs="Times New Roman"/>
                <w:sz w:val="20"/>
                <w:szCs w:val="20"/>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lastRenderedPageBreak/>
              <w:t>November 29, 2010</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Human Rights Tribunal</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(Judge Rivet)</w:t>
            </w:r>
          </w:p>
          <w:p w:rsidR="006E4C71" w:rsidRPr="00732A82" w:rsidRDefault="000B3306" w:rsidP="006E4C71">
            <w:pPr>
              <w:jc w:val="both"/>
              <w:rPr>
                <w:rFonts w:eastAsia="Calibri" w:cs="Times New Roman"/>
                <w:b/>
                <w:sz w:val="20"/>
                <w:szCs w:val="20"/>
              </w:rPr>
            </w:pPr>
            <w:hyperlink r:id="rId29" w:history="1">
              <w:r w:rsidR="006E4C71" w:rsidRPr="00732A82">
                <w:rPr>
                  <w:rFonts w:eastAsia="Calibri" w:cs="Times New Roman"/>
                  <w:color w:val="0000FF"/>
                  <w:sz w:val="20"/>
                  <w:szCs w:val="20"/>
                  <w:u w:val="single"/>
                </w:rPr>
                <w:t>2010 QCTDP 16</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Commission’s action in favour of complainant allowed; over $200,000 in material damages, $25,000 in moral damages and $50,000 in punitive damages awarded; Bombardier ordered to cease automatically applying American government decisions to training under Canadian licence</w:t>
            </w:r>
          </w:p>
          <w:p w:rsidR="006E4C71" w:rsidRPr="00732A82" w:rsidRDefault="006E4C71" w:rsidP="006E4C71">
            <w:pPr>
              <w:jc w:val="both"/>
              <w:rPr>
                <w:rFonts w:eastAsia="Calibri" w:cs="Times New Roman"/>
                <w:sz w:val="20"/>
                <w:szCs w:val="20"/>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September 24,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Quebec Court of Appeal (Montréal)</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(Fournier, St-Pierre and Viens JJ.A.)</w:t>
            </w:r>
          </w:p>
          <w:p w:rsidR="006E4C71" w:rsidRPr="00732A82" w:rsidRDefault="000B3306" w:rsidP="006E4C71">
            <w:pPr>
              <w:jc w:val="both"/>
              <w:rPr>
                <w:rFonts w:eastAsia="Calibri" w:cs="Times New Roman"/>
                <w:b/>
                <w:sz w:val="20"/>
                <w:szCs w:val="20"/>
              </w:rPr>
            </w:pPr>
            <w:hyperlink r:id="rId30" w:history="1">
              <w:r w:rsidR="006E4C71" w:rsidRPr="00732A82">
                <w:rPr>
                  <w:rFonts w:eastAsia="Calibri" w:cs="Times New Roman"/>
                  <w:color w:val="0000FF"/>
                  <w:sz w:val="20"/>
                  <w:szCs w:val="20"/>
                  <w:u w:val="single"/>
                </w:rPr>
                <w:t>2013 QCCA 1650</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Bombardier’s appeal allowed; action dismissed</w:t>
            </w: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November 22,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Canada</w:t>
            </w:r>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Commission’s application for leave to appeal filed</w:t>
            </w:r>
          </w:p>
          <w:p w:rsidR="006E4C71" w:rsidRPr="00732A82" w:rsidRDefault="006E4C71" w:rsidP="006E4C71">
            <w:pPr>
              <w:jc w:val="both"/>
              <w:rPr>
                <w:rFonts w:eastAsia="Calibri" w:cs="Times New Roman"/>
                <w:sz w:val="20"/>
                <w:szCs w:val="20"/>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November 25, 2013</w:t>
            </w:r>
          </w:p>
          <w:p w:rsidR="006E4C71" w:rsidRPr="00732A82" w:rsidRDefault="006E4C7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Mr. Latif’s application for leave to appeal filed</w:t>
            </w:r>
          </w:p>
        </w:tc>
      </w:tr>
    </w:tbl>
    <w:p w:rsidR="00D94A41" w:rsidRPr="00732A82" w:rsidRDefault="00D94A41" w:rsidP="00D94A41">
      <w:pPr>
        <w:rPr>
          <w:rFonts w:cs="Times New Roman"/>
          <w:sz w:val="20"/>
          <w:szCs w:val="20"/>
          <w:lang w:val="en-US"/>
        </w:rPr>
      </w:pPr>
    </w:p>
    <w:p w:rsidR="00D94A41" w:rsidRPr="00732A82" w:rsidRDefault="000B3306" w:rsidP="00D94A41">
      <w:pPr>
        <w:rPr>
          <w:rFonts w:cs="Times New Roman"/>
          <w:sz w:val="20"/>
          <w:szCs w:val="20"/>
        </w:rPr>
      </w:pPr>
      <w:r>
        <w:rPr>
          <w:rFonts w:cs="Times New Roman"/>
          <w:sz w:val="20"/>
          <w:szCs w:val="20"/>
          <w:lang w:val="fr-CA"/>
        </w:rPr>
        <w:pict>
          <v:rect id="_x0000_i1047" style="width:2in;height:1pt" o:hrpct="0" o:hralign="center" o:hrstd="t" o:hrnoshade="t" o:hr="t" fillcolor="black [3213]" stroked="f"/>
        </w:pict>
      </w:r>
    </w:p>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lang w:val="fr-CA"/>
        </w:rPr>
      </w:pPr>
      <w:r w:rsidRPr="00732A82">
        <w:rPr>
          <w:rFonts w:cs="Times New Roman"/>
          <w:sz w:val="20"/>
          <w:szCs w:val="20"/>
          <w:u w:val="single"/>
          <w:lang w:val="fr-CA"/>
        </w:rPr>
        <w:t>RÉSUMÉ DE L’AFFAIRE</w:t>
      </w:r>
    </w:p>
    <w:p w:rsidR="006E4C71" w:rsidRPr="00732A82" w:rsidRDefault="006E4C71" w:rsidP="006E4C71">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Droits de la personne – Discrimination – Pilote canadien d’origine pakistanaise refusé à une formation dispensée par Bombardier au Texas et au Québec à la suite de son exclusion par les autorités américaines pour des raisons de sécurité restées secrètes – Exclusion levée et admission permise quatre ans plus tard – L’exclusion calquée de façon automatique sur une décision étrangère peut-elle être présumée discriminatoire en présence d’un motif prohibé plausible? – L’exclusion du candidat résultait-elle de son origine ethnique? – La Cour d’appel a-t-elle erré en exigeant une preuve de lien causal entre l’origine ethnique et l’exclusion? – Quelle norme de contrôle s’applique à une décision du Tribunal des droits de la personne? – Une ordonnance pour le futur relève-t-elle de la compétence du Tribunal des droits de la personne? – Des dommages-intérêts punitifs étaient-ils justifiés dans ce cas? – </w:t>
            </w:r>
            <w:r w:rsidRPr="00732A82">
              <w:rPr>
                <w:rFonts w:eastAsia="Calibri" w:cs="Times New Roman"/>
                <w:i/>
                <w:sz w:val="20"/>
                <w:szCs w:val="20"/>
                <w:lang w:val="fr-CA"/>
              </w:rPr>
              <w:t>Charte des droits et libertés de la personne</w:t>
            </w:r>
            <w:r w:rsidRPr="00732A82">
              <w:rPr>
                <w:rFonts w:eastAsia="Calibri" w:cs="Times New Roman"/>
                <w:sz w:val="20"/>
                <w:szCs w:val="20"/>
                <w:lang w:val="fr-CA"/>
              </w:rPr>
              <w:t>, L.R.Q. ch. C-12, art. 10, 12, 49.</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lang w:val="fr-CA"/>
              </w:rPr>
            </w:pP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M. Latif est citoyen canadien depuis 2001. Sa licence américaine et sa licence canadienne de pilote sont valides à vie mais pour chaque type d’appareils, une formation spécifique continue est exigée, sous licence canadienne ou américaine.  Bombardier offre de la formation aux pilotes à Montréal et à Dallas. Après avoir reçu une offre d’emploi pour piloter un </w:t>
            </w:r>
            <w:r w:rsidRPr="00732A82">
              <w:rPr>
                <w:rFonts w:eastAsia="Calibri" w:cs="Times New Roman"/>
                <w:i/>
                <w:sz w:val="20"/>
                <w:szCs w:val="20"/>
                <w:lang w:val="fr-CA"/>
              </w:rPr>
              <w:t>Challenger</w:t>
            </w:r>
            <w:r w:rsidRPr="00732A82">
              <w:rPr>
                <w:rFonts w:eastAsia="Calibri" w:cs="Times New Roman"/>
                <w:sz w:val="20"/>
                <w:szCs w:val="20"/>
                <w:lang w:val="fr-CA"/>
              </w:rPr>
              <w:t xml:space="preserve"> 604 en 2004, M. Latif demande à Bombardier de lui dispenser la formation requise sous licence américaine.  Parallèlement, il adresse aux autorités américaines la demande de vérification de sécurité requise selon le </w:t>
            </w:r>
            <w:r w:rsidRPr="00732A82">
              <w:rPr>
                <w:rFonts w:eastAsia="Calibri" w:cs="Times New Roman"/>
                <w:i/>
                <w:sz w:val="20"/>
                <w:szCs w:val="20"/>
                <w:lang w:val="fr-CA"/>
              </w:rPr>
              <w:t>Alien Flight Students Program</w:t>
            </w:r>
            <w:r w:rsidRPr="00732A82">
              <w:rPr>
                <w:rFonts w:eastAsia="Calibri" w:cs="Times New Roman"/>
                <w:sz w:val="20"/>
                <w:szCs w:val="20"/>
                <w:lang w:val="fr-CA"/>
              </w:rPr>
              <w:t>.  Alors que sa place est réservée au cours de Dallas au printemps 2004, la compagnie reçoit en avril un avis de refus du Department of Justice, au motif qu’il constitue une menace pour la sécurité aérienne.  Ce refus sera maintenu jusqu’en août 2008, l’obligeant à changer d’emploi plusieurs fois et même l’en privant pendant quelque temps.  Bien qu’il ait demandé à Bombardier de l’inscrire à la formation sous licence canadienne à Montréal, celle-ci refuse, se disant contrainte de respecter la décision américaine.</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 29 novembre 2010</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Tribunal des droits de la personne</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(La juge Rivet)</w:t>
            </w:r>
          </w:p>
          <w:p w:rsidR="006E4C71" w:rsidRPr="00732A82" w:rsidRDefault="000B3306" w:rsidP="006E4C71">
            <w:pPr>
              <w:jc w:val="both"/>
              <w:rPr>
                <w:rFonts w:eastAsia="Calibri" w:cs="Times New Roman"/>
                <w:b/>
                <w:sz w:val="20"/>
                <w:szCs w:val="20"/>
                <w:lang w:val="fr-CA"/>
              </w:rPr>
            </w:pPr>
            <w:hyperlink r:id="rId31" w:history="1">
              <w:r w:rsidR="006E4C71" w:rsidRPr="00732A82">
                <w:rPr>
                  <w:rFonts w:eastAsia="Calibri" w:cs="Times New Roman"/>
                  <w:color w:val="0000FF"/>
                  <w:sz w:val="20"/>
                  <w:szCs w:val="20"/>
                  <w:u w:val="single"/>
                  <w:lang w:val="fr-CA"/>
                </w:rPr>
                <w:t>2010 QCTDP 16</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Action de la Commission en faveur du plaignant accueillie; plus de 200 000$ accordés en dommages matériels, 25 000$ en dommages moraux et 50 000$ en dommages punitifs; ordonnance prononcée contre Bombardier à l’effet de cesser de relayer les décisions gouvernementales américaines de façon automatique pour la formation sous licence canadienne.</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lastRenderedPageBreak/>
              <w:t>Le 24 septembre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d’appel du Québec (Montréal)</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(Les juges Fournier, St-Pierre et Viens)</w:t>
            </w:r>
          </w:p>
          <w:p w:rsidR="006E4C71" w:rsidRPr="00732A82" w:rsidRDefault="000B3306" w:rsidP="006E4C71">
            <w:pPr>
              <w:jc w:val="both"/>
              <w:rPr>
                <w:rFonts w:eastAsia="Calibri" w:cs="Times New Roman"/>
                <w:b/>
                <w:sz w:val="20"/>
                <w:szCs w:val="20"/>
                <w:lang w:val="fr-CA"/>
              </w:rPr>
            </w:pPr>
            <w:hyperlink r:id="rId32" w:history="1">
              <w:r w:rsidR="006E4C71" w:rsidRPr="00732A82">
                <w:rPr>
                  <w:rFonts w:eastAsia="Calibri" w:cs="Times New Roman"/>
                  <w:color w:val="0000FF"/>
                  <w:sz w:val="20"/>
                  <w:szCs w:val="20"/>
                  <w:u w:val="single"/>
                  <w:lang w:val="fr-CA"/>
                </w:rPr>
                <w:t>2013 QCCA 1650</w:t>
              </w:r>
            </w:hyperlink>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Appel de Bombardier accueilli; action rejetée.</w:t>
            </w: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 22 novembre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du Canada</w:t>
            </w:r>
          </w:p>
          <w:p w:rsidR="006E4C71" w:rsidRPr="00732A82" w:rsidRDefault="006E4C71" w:rsidP="006E4C71">
            <w:pPr>
              <w:jc w:val="both"/>
              <w:rPr>
                <w:rFonts w:eastAsia="Calibri" w:cs="Times New Roman"/>
                <w:sz w:val="20"/>
                <w:szCs w:val="20"/>
                <w:lang w:val="fr-CA"/>
              </w:rPr>
            </w:pP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Demande d'autorisation d'appel de la Commission déposée.</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Le 25 novembre 2013</w:t>
            </w:r>
          </w:p>
          <w:p w:rsidR="006E4C71" w:rsidRPr="00732A82" w:rsidRDefault="006E4C7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Demande d'autorisation d'appel de M. Latif déposée.</w:t>
            </w:r>
          </w:p>
        </w:tc>
      </w:tr>
    </w:tbl>
    <w:p w:rsidR="00D94A41" w:rsidRPr="00732A82" w:rsidRDefault="00D94A41" w:rsidP="00D94A41">
      <w:pPr>
        <w:rPr>
          <w:rFonts w:cs="Times New Roman"/>
          <w:sz w:val="20"/>
          <w:szCs w:val="20"/>
          <w:lang w:val="fr-CA"/>
        </w:rPr>
      </w:pPr>
    </w:p>
    <w:p w:rsidR="00D94A41" w:rsidRPr="00732A82" w:rsidRDefault="000B3306" w:rsidP="00D94A41">
      <w:pPr>
        <w:rPr>
          <w:rFonts w:cs="Times New Roman"/>
          <w:sz w:val="20"/>
          <w:szCs w:val="20"/>
        </w:rPr>
      </w:pPr>
      <w:r>
        <w:rPr>
          <w:rFonts w:cs="Times New Roman"/>
          <w:sz w:val="20"/>
          <w:szCs w:val="20"/>
          <w:lang w:val="fr-CA"/>
        </w:rPr>
        <w:pict>
          <v:rect id="_x0000_i1048" style="width:2in;height:1pt" o:hrpct="0" o:hralign="center" o:hrstd="t" o:hrnoshade="t" o:hr="t" fillcolor="black [3213]" stroked="f"/>
        </w:pict>
      </w:r>
    </w:p>
    <w:p w:rsidR="00D94A41" w:rsidRPr="00732A82" w:rsidRDefault="00D94A41" w:rsidP="00D94A41">
      <w:pPr>
        <w:rPr>
          <w:rFonts w:cs="Times New Roman"/>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jc w:val="both"/>
              <w:rPr>
                <w:rFonts w:cs="Times New Roman"/>
                <w:sz w:val="20"/>
                <w:szCs w:val="20"/>
              </w:rPr>
            </w:pPr>
            <w:r w:rsidRPr="00732A82">
              <w:rPr>
                <w:rFonts w:cs="Times New Roman"/>
                <w:b/>
                <w:sz w:val="20"/>
                <w:szCs w:val="20"/>
                <w:lang w:val="fr-CA"/>
              </w:rPr>
              <w:t>35649</w:t>
            </w:r>
          </w:p>
          <w:p w:rsidR="0014756B" w:rsidRPr="0014756B" w:rsidRDefault="0014756B" w:rsidP="0014756B">
            <w:pPr>
              <w:jc w:val="both"/>
              <w:rPr>
                <w:rFonts w:cs="Times New Roman"/>
                <w:b/>
                <w:sz w:val="20"/>
                <w:szCs w:val="20"/>
                <w:lang w:val="fr-CA"/>
              </w:rPr>
            </w:pPr>
          </w:p>
        </w:tc>
        <w:tc>
          <w:tcPr>
            <w:tcW w:w="8118" w:type="dxa"/>
          </w:tcPr>
          <w:p w:rsidR="0014756B" w:rsidRPr="0014756B" w:rsidRDefault="0014756B" w:rsidP="0014756B">
            <w:pPr>
              <w:jc w:val="both"/>
              <w:rPr>
                <w:rFonts w:cs="Times New Roman"/>
                <w:sz w:val="20"/>
                <w:szCs w:val="20"/>
              </w:rPr>
            </w:pPr>
            <w:r w:rsidRPr="00732A82">
              <w:rPr>
                <w:rFonts w:cs="Times New Roman"/>
                <w:b/>
                <w:sz w:val="20"/>
                <w:szCs w:val="20"/>
                <w:u w:val="single"/>
                <w:lang w:val="en-US"/>
              </w:rPr>
              <w:t>Stevan Ellis v. Her Majesty the Queen</w:t>
            </w:r>
            <w:r w:rsidRPr="0014756B">
              <w:rPr>
                <w:rFonts w:cs="Times New Roman"/>
                <w:sz w:val="20"/>
                <w:szCs w:val="20"/>
              </w:rPr>
              <w:t xml:space="preserve"> (Ont.) (Criminal) (By Leave)</w:t>
            </w:r>
          </w:p>
          <w:p w:rsidR="0014756B" w:rsidRPr="0014756B" w:rsidRDefault="0014756B" w:rsidP="0014756B">
            <w:pPr>
              <w:jc w:val="both"/>
              <w:rPr>
                <w:rFonts w:cs="Times New Roman"/>
                <w:sz w:val="20"/>
                <w:szCs w:val="20"/>
              </w:rPr>
            </w:pPr>
          </w:p>
        </w:tc>
      </w:tr>
      <w:tr w:rsidR="0014756B" w:rsidRPr="0014756B" w:rsidTr="00732A82">
        <w:trPr>
          <w:cantSplit/>
        </w:trPr>
        <w:tc>
          <w:tcPr>
            <w:tcW w:w="1458" w:type="dxa"/>
          </w:tcPr>
          <w:p w:rsidR="0014756B" w:rsidRPr="0014756B" w:rsidRDefault="0014756B" w:rsidP="0014756B">
            <w:pPr>
              <w:jc w:val="both"/>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jc w:val="both"/>
              <w:rPr>
                <w:rFonts w:cs="Times New Roman"/>
                <w:sz w:val="20"/>
                <w:szCs w:val="20"/>
              </w:rPr>
            </w:pPr>
            <w:r w:rsidRPr="00732A82">
              <w:rPr>
                <w:rFonts w:cs="Times New Roman"/>
                <w:sz w:val="20"/>
                <w:szCs w:val="20"/>
                <w:u w:val="single"/>
                <w:lang w:val="en-US"/>
              </w:rPr>
              <w:t>Abella, Rothstein and Moldaver JJ.</w:t>
            </w:r>
          </w:p>
          <w:p w:rsidR="0014756B" w:rsidRPr="0014756B" w:rsidRDefault="0014756B" w:rsidP="0014756B">
            <w:pPr>
              <w:jc w:val="both"/>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Court of Appeal for Ontario, Number C52475, 2013 ONCA 739, dated December 9, 2013, is dismissed without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d’appel de l’Ontario, numéro C52475, 2013 ONCA 739, daté du 9 décembre 2013, est rejetée sans dépens.</w:t>
            </w:r>
          </w:p>
        </w:tc>
      </w:tr>
    </w:tbl>
    <w:p w:rsidR="00D94A41" w:rsidRPr="00732A82" w:rsidRDefault="00D94A41" w:rsidP="00D94A41">
      <w:pPr>
        <w:rPr>
          <w:rFonts w:cs="Times New Roman"/>
          <w:sz w:val="20"/>
          <w:szCs w:val="20"/>
          <w:lang w:val="fr-CA"/>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Criminal law – Sentencing – Considerations – Whether an offender’s mental illness, not rising to the level of negating liability, can be a basis for varying a sentence that is otherwise fit – Whether a trial judge’s failure to give sufficient emphasis to the offender’s mental illness constitutes an error in principle justifying appellate intervention – In determining a fit and appropriate sentence, to what extent does there have to be a casual connection between the underlying mental illness and the offence – i.e. a central role (the majority), a contributing cause (the dissent) or need it to have played any role at all in commission of the offence?</w:t>
            </w: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p>
        </w:tc>
      </w:tr>
      <w:tr w:rsidR="006E4C71" w:rsidRPr="00732A82" w:rsidTr="006E4C71">
        <w:tc>
          <w:tcPr>
            <w:tcW w:w="5000" w:type="pct"/>
            <w:gridSpan w:val="3"/>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The applicant was a member of the Refugee Protection Division of the Immigration and Refugee Board.  He was responsible for deciding refugee claims.  The trial judge held that the applicant had a bipolar disorder and that it may have affected his judgment at the time of the offence.  He was convicted of breach of trust in connection with his office contrary to s. 122 of the </w:t>
            </w:r>
            <w:r w:rsidRPr="00732A82">
              <w:rPr>
                <w:rFonts w:eastAsia="Calibri" w:cs="Times New Roman"/>
                <w:i/>
                <w:sz w:val="20"/>
                <w:szCs w:val="20"/>
              </w:rPr>
              <w:t>Criminal Code</w:t>
            </w:r>
            <w:r w:rsidRPr="00732A82">
              <w:rPr>
                <w:rFonts w:eastAsia="Calibri" w:cs="Times New Roman"/>
                <w:sz w:val="20"/>
                <w:szCs w:val="20"/>
              </w:rPr>
              <w:t>, by suggesting to a refugee claimant that he would approve her application if she engaged in intimate relations with him.  He was sentenced to 18 months’ imprisonment.  The conviction appeal was dismissed.  Leave to appeal sentence was granted.  The sentence appeal was dismissed with Laskin J.A. dissenting.</w:t>
            </w:r>
          </w:p>
          <w:p w:rsidR="006E4C71" w:rsidRPr="00732A82" w:rsidRDefault="006E4C71" w:rsidP="006E4C71">
            <w:pPr>
              <w:jc w:val="both"/>
              <w:rPr>
                <w:rFonts w:eastAsia="Calibri" w:cs="Times New Roman"/>
                <w:sz w:val="20"/>
                <w:szCs w:val="20"/>
              </w:rPr>
            </w:pPr>
          </w:p>
        </w:tc>
      </w:tr>
      <w:tr w:rsidR="006E4C71" w:rsidRPr="00732A82" w:rsidTr="006E4C71">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July 29, 2010</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Ontario Superior Court of Justice</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(Herman J.)</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2010 ONSC 2390</w:t>
            </w:r>
          </w:p>
          <w:p w:rsidR="006E4C71" w:rsidRPr="00732A82" w:rsidRDefault="000B3306" w:rsidP="006E4C71">
            <w:pPr>
              <w:jc w:val="both"/>
              <w:rPr>
                <w:rFonts w:eastAsia="Calibri" w:cs="Times New Roman"/>
                <w:sz w:val="20"/>
                <w:szCs w:val="20"/>
              </w:rPr>
            </w:pPr>
            <w:hyperlink r:id="rId33" w:history="1">
              <w:r w:rsidR="006E4C71" w:rsidRPr="00732A82">
                <w:rPr>
                  <w:rFonts w:eastAsia="Calibri" w:cs="Times New Roman"/>
                  <w:color w:val="0000FF"/>
                  <w:sz w:val="20"/>
                  <w:szCs w:val="20"/>
                  <w:u w:val="single"/>
                </w:rPr>
                <w:t>http://canlii.ca/t/29fjh</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Sentence imposed: 18 months’ imprisonment</w:t>
            </w:r>
          </w:p>
          <w:p w:rsidR="006E4C71" w:rsidRPr="00732A82" w:rsidRDefault="006E4C71" w:rsidP="006E4C71">
            <w:pPr>
              <w:jc w:val="both"/>
              <w:rPr>
                <w:rFonts w:eastAsia="Calibri" w:cs="Times New Roman"/>
                <w:sz w:val="20"/>
                <w:szCs w:val="20"/>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lastRenderedPageBreak/>
              <w:t>December 9, 2013</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Court of Appeal for Ontario</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 xml:space="preserve">(Laskin (dissenting), Gillese and Strathy </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JJ.A.)</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2013 ONCA 739</w:t>
            </w:r>
          </w:p>
          <w:p w:rsidR="006E4C71" w:rsidRPr="00732A82" w:rsidRDefault="000B3306" w:rsidP="006E4C71">
            <w:pPr>
              <w:jc w:val="both"/>
              <w:rPr>
                <w:rFonts w:eastAsia="Calibri" w:cs="Times New Roman"/>
                <w:sz w:val="20"/>
                <w:szCs w:val="20"/>
              </w:rPr>
            </w:pPr>
            <w:hyperlink r:id="rId34" w:history="1">
              <w:r w:rsidR="006E4C71" w:rsidRPr="00732A82">
                <w:rPr>
                  <w:rFonts w:eastAsia="Calibri" w:cs="Times New Roman"/>
                  <w:color w:val="0000FF"/>
                  <w:sz w:val="20"/>
                  <w:szCs w:val="20"/>
                  <w:u w:val="single"/>
                </w:rPr>
                <w:t>http://canlii.ca/t/g27bw</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Leave to appeal sentence granted; sentence appeal dismissed</w:t>
            </w:r>
          </w:p>
          <w:p w:rsidR="006E4C71" w:rsidRPr="00732A82" w:rsidRDefault="006E4C71" w:rsidP="006E4C71">
            <w:pPr>
              <w:jc w:val="both"/>
              <w:rPr>
                <w:rFonts w:eastAsia="Calibri" w:cs="Times New Roman"/>
                <w:sz w:val="20"/>
                <w:szCs w:val="20"/>
              </w:rPr>
            </w:pPr>
          </w:p>
        </w:tc>
      </w:tr>
      <w:tr w:rsidR="006E4C71" w:rsidRPr="00732A82" w:rsidTr="00970B11">
        <w:trPr>
          <w:cantSplit/>
        </w:trPr>
        <w:tc>
          <w:tcPr>
            <w:tcW w:w="2427"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February 7, 2014</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rPr>
            </w:pPr>
            <w:r w:rsidRPr="00732A82">
              <w:rPr>
                <w:rFonts w:eastAsia="Calibri" w:cs="Times New Roman"/>
                <w:sz w:val="20"/>
                <w:szCs w:val="20"/>
              </w:rPr>
              <w:t>Application for leave to appeal filed</w:t>
            </w:r>
          </w:p>
          <w:p w:rsidR="006E4C71" w:rsidRPr="00732A82" w:rsidRDefault="006E4C71" w:rsidP="006E4C71">
            <w:pPr>
              <w:jc w:val="both"/>
              <w:rPr>
                <w:rFonts w:eastAsia="Calibri" w:cs="Times New Roman"/>
                <w:sz w:val="20"/>
                <w:szCs w:val="20"/>
              </w:rPr>
            </w:pPr>
          </w:p>
        </w:tc>
      </w:tr>
    </w:tbl>
    <w:p w:rsidR="00D94A41" w:rsidRPr="00732A82" w:rsidRDefault="00D94A41" w:rsidP="00D94A41">
      <w:pPr>
        <w:rPr>
          <w:rFonts w:cs="Times New Roman"/>
          <w:sz w:val="20"/>
          <w:szCs w:val="20"/>
          <w:lang w:val="en-US"/>
        </w:rPr>
      </w:pPr>
    </w:p>
    <w:p w:rsidR="00D94A41" w:rsidRPr="00732A82" w:rsidRDefault="000B3306" w:rsidP="00D94A41">
      <w:pPr>
        <w:rPr>
          <w:rFonts w:cs="Times New Roman"/>
          <w:sz w:val="20"/>
          <w:szCs w:val="20"/>
        </w:rPr>
      </w:pPr>
      <w:r>
        <w:rPr>
          <w:rFonts w:cs="Times New Roman"/>
          <w:sz w:val="20"/>
          <w:szCs w:val="20"/>
          <w:lang w:val="fr-CA"/>
        </w:rPr>
        <w:pict>
          <v:rect id="_x0000_i1049" style="width:2in;height:1pt" o:hrpct="0" o:hralign="center" o:hrstd="t" o:hrnoshade="t" o:hr="t" fillcolor="black [3213]" stroked="f"/>
        </w:pict>
      </w:r>
    </w:p>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Droit criminel – Détermination de la peine – Considérations – La maladie mentale d’un délinquant, dont le degré n’est pas suffisant pour le rendre non responsable, peut-elle être un motif pour modifier une peine qui est par ailleurs juste? – L’omission du juge du procès d’avoir mis suffisamment l’accent sur la maladie mentale du délinquant constitue-t-elle une erreur de principe qui justifie une intervention en appel? – Dans la détermination d’une peine juste et appropriée, dans quelle mesure faut-il y avoir une relation causale entre la maladie mentale sous-jacente et l’infraction? – Autrement dit, la maladie doit-elle avoir joué un rôle central (comme l’ont soutenu les juges majoritaires), doit-elle avoir été une cause concourante (comme le soutient le juge dissident) ou doit-elle avoir joué quelque rôle que ce soit dans la commission de l’infraction?</w:t>
            </w: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p>
        </w:tc>
      </w:tr>
      <w:tr w:rsidR="006E4C71" w:rsidRPr="00EA4608" w:rsidTr="006E4C71">
        <w:tc>
          <w:tcPr>
            <w:tcW w:w="5000" w:type="pct"/>
            <w:gridSpan w:val="3"/>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Le demandeur était membre de la Section de la protection des réfugiés de la Commission de l’immigration et du statut de réfugié.  Il était chargé de trancher des revendications du statut de réfugié.  Le juge du procès a statué que le demandeur avait un trouble bipolaire et que ce trouble a pu altérer son jugement au moment de l’infraction.  Il a été déclaré coupable d’abus de confiance relativement à sa charge, une infraction prévue à l’art. 122 du </w:t>
            </w:r>
            <w:r w:rsidRPr="00732A82">
              <w:rPr>
                <w:rFonts w:eastAsia="Calibri" w:cs="Times New Roman"/>
                <w:i/>
                <w:sz w:val="20"/>
                <w:szCs w:val="20"/>
                <w:lang w:val="fr-CA"/>
              </w:rPr>
              <w:t>Code criminel</w:t>
            </w:r>
            <w:r w:rsidRPr="00732A82">
              <w:rPr>
                <w:rFonts w:eastAsia="Calibri" w:cs="Times New Roman"/>
                <w:sz w:val="20"/>
                <w:szCs w:val="20"/>
                <w:lang w:val="fr-CA"/>
              </w:rPr>
              <w:t>, en laissant entendre à une revendicatrice du statut de réfugié qu’il approuverait sa demande si elle avait des relations intimes avec lui.  Il a été condamné à une peine d’emprisonnement de 18 mois.  L’appel de la déclaration de culpabilité a été rejeté.  L’autorisation d’appel de la peine a été accordée.  L’appel de la peine a été rejeté, avec la dissidence du juge Laskin.</w:t>
            </w:r>
          </w:p>
          <w:p w:rsidR="006E4C71" w:rsidRPr="00732A82" w:rsidRDefault="006E4C71" w:rsidP="006E4C71">
            <w:pPr>
              <w:jc w:val="both"/>
              <w:rPr>
                <w:rFonts w:eastAsia="Calibri" w:cs="Times New Roman"/>
                <w:sz w:val="20"/>
                <w:szCs w:val="20"/>
                <w:lang w:val="fr-CA"/>
              </w:rPr>
            </w:pPr>
          </w:p>
        </w:tc>
      </w:tr>
      <w:tr w:rsidR="006E4C71" w:rsidRPr="00732A82"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29 juillet 2010</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supérieure de justice de l’Ontario </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(Juge Herman)</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2010 ONSC 2390</w:t>
            </w:r>
          </w:p>
          <w:p w:rsidR="006E4C71" w:rsidRPr="00732A82" w:rsidRDefault="000B3306" w:rsidP="006E4C71">
            <w:pPr>
              <w:jc w:val="both"/>
              <w:rPr>
                <w:rFonts w:eastAsia="Calibri" w:cs="Times New Roman"/>
                <w:sz w:val="20"/>
                <w:szCs w:val="20"/>
              </w:rPr>
            </w:pPr>
            <w:hyperlink r:id="rId35" w:history="1">
              <w:r w:rsidR="006E4C71" w:rsidRPr="00732A82">
                <w:rPr>
                  <w:rFonts w:eastAsia="Calibri" w:cs="Times New Roman"/>
                  <w:color w:val="0000FF"/>
                  <w:sz w:val="20"/>
                  <w:szCs w:val="20"/>
                  <w:u w:val="single"/>
                </w:rPr>
                <w:t>http://canlii.ca/t/29fjh</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Peine imposée : 18 mois d’emprisonnement</w:t>
            </w:r>
          </w:p>
          <w:p w:rsidR="006E4C71" w:rsidRPr="00732A82" w:rsidRDefault="006E4C71" w:rsidP="006E4C71">
            <w:pPr>
              <w:jc w:val="both"/>
              <w:rPr>
                <w:rFonts w:eastAsia="Calibri" w:cs="Times New Roman"/>
                <w:sz w:val="20"/>
                <w:szCs w:val="20"/>
                <w:lang w:val="fr-CA"/>
              </w:rPr>
            </w:pPr>
          </w:p>
        </w:tc>
      </w:tr>
      <w:tr w:rsidR="006E4C71" w:rsidRPr="00EA4608"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9 décembre 2013</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 xml:space="preserve">Cour d’appel de l’Ontario </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(Juges Laskin (dissident), Gillese et Strathy)</w:t>
            </w:r>
          </w:p>
          <w:p w:rsidR="006E4C71" w:rsidRPr="00732A82" w:rsidRDefault="006E4C71" w:rsidP="006E4C71">
            <w:pPr>
              <w:jc w:val="both"/>
              <w:rPr>
                <w:rFonts w:eastAsia="Calibri" w:cs="Times New Roman"/>
                <w:sz w:val="20"/>
                <w:szCs w:val="20"/>
              </w:rPr>
            </w:pPr>
            <w:r w:rsidRPr="00732A82">
              <w:rPr>
                <w:rFonts w:eastAsia="Calibri" w:cs="Times New Roman"/>
                <w:sz w:val="20"/>
                <w:szCs w:val="20"/>
              </w:rPr>
              <w:t>2013 ONCA 739</w:t>
            </w:r>
          </w:p>
          <w:p w:rsidR="006E4C71" w:rsidRPr="00732A82" w:rsidRDefault="000B3306" w:rsidP="006E4C71">
            <w:pPr>
              <w:jc w:val="both"/>
              <w:rPr>
                <w:rFonts w:eastAsia="Calibri" w:cs="Times New Roman"/>
                <w:sz w:val="20"/>
                <w:szCs w:val="20"/>
              </w:rPr>
            </w:pPr>
            <w:hyperlink r:id="rId36" w:history="1">
              <w:r w:rsidR="006E4C71" w:rsidRPr="00732A82">
                <w:rPr>
                  <w:rFonts w:eastAsia="Calibri" w:cs="Times New Roman"/>
                  <w:color w:val="0000FF"/>
                  <w:sz w:val="20"/>
                  <w:szCs w:val="20"/>
                  <w:u w:val="single"/>
                </w:rPr>
                <w:t>http://canlii.ca/t/g27bw</w:t>
              </w:r>
            </w:hyperlink>
          </w:p>
          <w:p w:rsidR="006E4C71" w:rsidRPr="00732A82" w:rsidRDefault="006E4C71" w:rsidP="006E4C71">
            <w:pPr>
              <w:jc w:val="both"/>
              <w:rPr>
                <w:rFonts w:eastAsia="Calibri" w:cs="Times New Roman"/>
                <w:sz w:val="20"/>
                <w:szCs w:val="20"/>
              </w:rPr>
            </w:pPr>
          </w:p>
        </w:tc>
        <w:tc>
          <w:tcPr>
            <w:tcW w:w="243" w:type="pct"/>
          </w:tcPr>
          <w:p w:rsidR="006E4C71" w:rsidRPr="00732A82" w:rsidRDefault="006E4C71" w:rsidP="006E4C71">
            <w:pPr>
              <w:jc w:val="both"/>
              <w:rPr>
                <w:rFonts w:eastAsia="Calibri" w:cs="Times New Roman"/>
                <w:sz w:val="20"/>
                <w:szCs w:val="20"/>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Autorisation d’appel de la peine accueillie; appel de la peine, rejeté</w:t>
            </w:r>
          </w:p>
          <w:p w:rsidR="006E4C71" w:rsidRPr="00732A82" w:rsidRDefault="006E4C71" w:rsidP="006E4C71">
            <w:pPr>
              <w:jc w:val="both"/>
              <w:rPr>
                <w:rFonts w:eastAsia="Calibri" w:cs="Times New Roman"/>
                <w:sz w:val="20"/>
                <w:szCs w:val="20"/>
                <w:lang w:val="fr-CA"/>
              </w:rPr>
            </w:pPr>
          </w:p>
        </w:tc>
      </w:tr>
      <w:tr w:rsidR="006E4C71" w:rsidRPr="00732A82" w:rsidTr="006E4C71">
        <w:tc>
          <w:tcPr>
            <w:tcW w:w="2427"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7 février 2014</w:t>
            </w:r>
          </w:p>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6E4C71" w:rsidRPr="00732A82" w:rsidRDefault="006E4C71" w:rsidP="006E4C71">
            <w:pPr>
              <w:jc w:val="both"/>
              <w:rPr>
                <w:rFonts w:eastAsia="Calibri" w:cs="Times New Roman"/>
                <w:sz w:val="20"/>
                <w:szCs w:val="20"/>
                <w:lang w:val="fr-CA"/>
              </w:rPr>
            </w:pPr>
          </w:p>
        </w:tc>
        <w:tc>
          <w:tcPr>
            <w:tcW w:w="2330" w:type="pct"/>
          </w:tcPr>
          <w:p w:rsidR="006E4C71" w:rsidRPr="00732A82" w:rsidRDefault="006E4C71" w:rsidP="006E4C7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p w:rsidR="006E4C71" w:rsidRPr="00732A82" w:rsidRDefault="006E4C71" w:rsidP="006E4C71">
            <w:pPr>
              <w:jc w:val="both"/>
              <w:rPr>
                <w:rFonts w:eastAsia="Calibri" w:cs="Times New Roman"/>
                <w:sz w:val="20"/>
                <w:szCs w:val="20"/>
                <w:lang w:val="fr-CA"/>
              </w:rPr>
            </w:pPr>
          </w:p>
        </w:tc>
      </w:tr>
    </w:tbl>
    <w:p w:rsidR="00D94A41" w:rsidRPr="00732A82" w:rsidRDefault="00D94A41" w:rsidP="00D94A41">
      <w:pPr>
        <w:rPr>
          <w:rFonts w:cs="Times New Roman"/>
          <w:sz w:val="20"/>
          <w:szCs w:val="20"/>
        </w:rPr>
      </w:pPr>
    </w:p>
    <w:p w:rsidR="00D94A41" w:rsidRPr="00732A82" w:rsidRDefault="000B3306" w:rsidP="00D94A41">
      <w:pPr>
        <w:rPr>
          <w:rFonts w:cs="Times New Roman"/>
          <w:sz w:val="20"/>
          <w:szCs w:val="20"/>
        </w:rPr>
      </w:pPr>
      <w:r>
        <w:rPr>
          <w:rFonts w:cs="Times New Roman"/>
          <w:sz w:val="20"/>
          <w:szCs w:val="20"/>
          <w:lang w:val="fr-CA"/>
        </w:rPr>
        <w:pict>
          <v:rect id="_x0000_i1050" style="width:2in;height:1pt" o:hrpct="0" o:hralign="center" o:hrstd="t" o:hrnoshade="t" o:hr="t" fillcolor="black [3213]" stroked="f"/>
        </w:pict>
      </w:r>
    </w:p>
    <w:p w:rsidR="00D94A41" w:rsidRPr="00732A82" w:rsidRDefault="00D94A41" w:rsidP="00D94A41">
      <w:pPr>
        <w:rPr>
          <w:rFonts w:cs="Times New Roman"/>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lastRenderedPageBreak/>
              <w:t>35700</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MasterCard International Inc. v. The Aldo Group Inc.</w:t>
            </w:r>
            <w:r w:rsidR="00732B63">
              <w:rPr>
                <w:rFonts w:cs="Times New Roman"/>
                <w:b/>
                <w:sz w:val="20"/>
                <w:szCs w:val="20"/>
                <w:u w:val="single"/>
                <w:lang w:val="en-US"/>
              </w:rPr>
              <w:t xml:space="preserve"> and</w:t>
            </w:r>
            <w:r w:rsidRPr="00732A82">
              <w:rPr>
                <w:rFonts w:cs="Times New Roman"/>
                <w:b/>
                <w:sz w:val="20"/>
                <w:szCs w:val="20"/>
                <w:u w:val="single"/>
                <w:lang w:val="en-US"/>
              </w:rPr>
              <w:t xml:space="preserve"> Moneris Solutions Corporation</w:t>
            </w:r>
            <w:r w:rsidRPr="0014756B">
              <w:rPr>
                <w:rFonts w:cs="Times New Roman"/>
                <w:sz w:val="20"/>
                <w:szCs w:val="20"/>
              </w:rPr>
              <w:t xml:space="preserve"> (Ont.) (Civil)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Abella, Rothstein and Moldaver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Court of Appeal for Ontario, Number C55533, 2013 ONCA 725, dated November 29, 2013, is dismissed with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d’appel de l’Ontario, numéro C55533, 2013 ONCA 725, daté du 29 novembre 2013, est rejetée avec dépens.</w:t>
            </w:r>
          </w:p>
        </w:tc>
      </w:tr>
    </w:tbl>
    <w:p w:rsidR="00D94A41" w:rsidRPr="00732A82" w:rsidRDefault="00D94A41" w:rsidP="00D94A41">
      <w:pPr>
        <w:rPr>
          <w:rFonts w:cs="Times New Roman"/>
          <w:sz w:val="20"/>
          <w:szCs w:val="20"/>
          <w:lang w:val="fr-CA"/>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Civil procedure — Courts — Contracts — Characterization of claims —Jurisdiction — Forum chosen in contracts between MasterCard, Bank of Montreal, Harris National Association and Moneris Solutions Corporation — Alternate forum chosen in contract between Moneris and The Aldo Group Inc. — Whether the appeal court erred in finding that Aldo is not bound by the forum selection clause contained in MasterCard’s contracts with BMO and Harris and/or MasterCard’s contract with Moneris — Whether the appeal court erred in articulating and applying the “closely related” doctrine — Whether the appeal court erred by concluding that Aldo is not a “closely related party” to whom that forum selection clause should apply — Whether the appeal court erred in concluding that Aldo’s claims were not contractual in nature — Whether the appeal court erred in articulating and applying the doctrine of equitable subrogation — Whether the appeal court erred by concluding that Aldo was not asserting its claims against MasterCard by way of equitable subrogation — Whether the appeal court erred by introducing asymmetry to the doctrine of privity by permitting a non-signatory to a contract to accept and invoke some of the contract’s terms while rejecting and disregarding others.</w:t>
            </w: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MasterCard entered into licensing agreements with the Bank of Montreal and Harris National Association and a Third Party Processing Agreement with Moneris which included choice of law and choice of forum clauses in favour of New York.  Moneris then entered into a Merchant Agreement with The Aldo Group Inc. for itself and BMO which included a forum selection clause in favour of Ontario.  MasterCard, which was not a party to the Merchant Agreement, required certain clauses in merchant agreements, but did not specify forum selection clauses.</w:t>
            </w:r>
          </w:p>
          <w:p w:rsidR="00D94A41" w:rsidRPr="00732A82" w:rsidRDefault="00D94A41" w:rsidP="00D94A41">
            <w:pPr>
              <w:jc w:val="both"/>
              <w:rPr>
                <w:rFonts w:eastAsia="Calibri" w:cs="Times New Roman"/>
                <w:sz w:val="20"/>
                <w:szCs w:val="20"/>
              </w:rPr>
            </w:pPr>
          </w:p>
          <w:p w:rsidR="00D94A41" w:rsidRPr="00732A82" w:rsidRDefault="00D94A41" w:rsidP="00D94A41">
            <w:pPr>
              <w:jc w:val="both"/>
              <w:rPr>
                <w:rFonts w:eastAsia="Calibri" w:cs="Times New Roman"/>
                <w:sz w:val="20"/>
                <w:szCs w:val="20"/>
              </w:rPr>
            </w:pPr>
            <w:r w:rsidRPr="00732A82">
              <w:rPr>
                <w:rFonts w:eastAsia="Calibri" w:cs="Times New Roman"/>
                <w:sz w:val="20"/>
                <w:szCs w:val="20"/>
              </w:rPr>
              <w:t>When Moneris identified a potential breach of Aldo’s computer system that allegedly led to fraudulent transactions, MasterCard took the position that Aldo had failed to comply with its data security obligations, and debited the Acquiring Banks’ account for the assessed financial liability. In turn, Aldo’s account was debited.  Aldo initiated an action against MasterCard and Moneris pleading multiple tort claims.  MasterCard moved to stay the statement of claim on the grounds that the New York forum selection clause applied to the action.  The motions judge denied the stay, and the Court of Appeal dismissed MasterCard’s appeal.</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May 1, 2012</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Ontario Superior Court of Justice</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(Brown J.)</w:t>
            </w:r>
          </w:p>
          <w:p w:rsidR="00D94A41" w:rsidRPr="00732A82" w:rsidRDefault="000B3306" w:rsidP="00D94A41">
            <w:pPr>
              <w:jc w:val="both"/>
              <w:rPr>
                <w:rFonts w:eastAsia="Calibri" w:cs="Times New Roman"/>
                <w:sz w:val="20"/>
                <w:szCs w:val="20"/>
              </w:rPr>
            </w:pPr>
            <w:hyperlink r:id="rId37" w:history="1">
              <w:r w:rsidR="00D94A41" w:rsidRPr="00732A82">
                <w:rPr>
                  <w:rFonts w:eastAsia="Calibri" w:cs="Times New Roman"/>
                  <w:color w:val="0000FF"/>
                  <w:sz w:val="20"/>
                  <w:szCs w:val="20"/>
                  <w:u w:val="single"/>
                </w:rPr>
                <w:t>2012 ONSC 2581</w:t>
              </w:r>
            </w:hyperlink>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 </w:t>
            </w: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Motion to stay of the causes of action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November 29,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Court of Appeal for Ontario</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(Blair, Juriansz, Tulloch JJ.A.)</w:t>
            </w:r>
          </w:p>
          <w:p w:rsidR="00D94A41" w:rsidRPr="00732A82" w:rsidRDefault="000B3306" w:rsidP="00D94A41">
            <w:pPr>
              <w:jc w:val="both"/>
              <w:rPr>
                <w:rFonts w:eastAsia="Calibri" w:cs="Times New Roman"/>
                <w:sz w:val="20"/>
                <w:szCs w:val="20"/>
              </w:rPr>
            </w:pPr>
            <w:hyperlink r:id="rId38" w:history="1">
              <w:r w:rsidR="00D94A41" w:rsidRPr="00732A82">
                <w:rPr>
                  <w:rFonts w:eastAsia="Calibri" w:cs="Times New Roman"/>
                  <w:color w:val="0000FF"/>
                  <w:sz w:val="20"/>
                  <w:szCs w:val="20"/>
                  <w:u w:val="single"/>
                </w:rPr>
                <w:t>2013 ONCA 725</w:t>
              </w:r>
            </w:hyperlink>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Appeal dismissed</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lastRenderedPageBreak/>
              <w:t>January 27,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for leave to appeal filed</w:t>
            </w:r>
          </w:p>
        </w:tc>
      </w:tr>
    </w:tbl>
    <w:p w:rsidR="00D94A41" w:rsidRPr="00732A82" w:rsidRDefault="00D94A41" w:rsidP="00D94A41">
      <w:pPr>
        <w:rPr>
          <w:rFonts w:cs="Times New Roman"/>
          <w:sz w:val="20"/>
          <w:szCs w:val="20"/>
          <w:lang w:val="en-US"/>
        </w:rPr>
      </w:pPr>
    </w:p>
    <w:p w:rsidR="00D94A41" w:rsidRPr="00732A82" w:rsidRDefault="000B3306" w:rsidP="00D94A41">
      <w:pPr>
        <w:rPr>
          <w:rFonts w:cs="Times New Roman"/>
          <w:sz w:val="20"/>
          <w:szCs w:val="20"/>
        </w:rPr>
      </w:pPr>
      <w:r>
        <w:rPr>
          <w:rFonts w:cs="Times New Roman"/>
          <w:sz w:val="20"/>
          <w:szCs w:val="20"/>
          <w:lang w:val="fr-CA"/>
        </w:rPr>
        <w:pict>
          <v:rect id="_x0000_i1051" style="width:2in;height:1pt" o:hrpct="0" o:hralign="center" o:hrstd="t" o:hrnoshade="t" o:hr="t" fillcolor="black [3213]" stroked="f"/>
        </w:pict>
      </w:r>
    </w:p>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Procédure civile — Tribunaux — Contrats — Qualification des demandes — Compétence — Tribunal choisi dans les contrats conclus entre MasterCard, la Banque de Montréal, Harris National Association et Moneris Solutions Corporation — Autre tribunal choisi dans le contrat conclu entre Moneris et le Groupe Aldo inc. — La Cour d’appel a-t-elle eu tort de conclure qu’Aldo n’était pas liée par la clause d’élection du for qui se trouvait dans les contrats de MasterCard conclus avec BMO et Harris et/ou dans le contrat de MasterCard conclu avec Moneris? — La Cour d’appel a-t-elle commis une erreur en exposant et en appliquant la doctrine dite « du lien étroit »? — La Cour d’appel a-t-elle eu tort de conclure qu’Aldo n’était pas une « partie étroitement liée » à qui cette clause d’élection du for devait s'appliquer? — La Cour d’appel a-t-elle eu tort de conclure que les demandes d’Aldo n’étaient pas de nature contractuelle? — La Cour d’appel a-t-elle commis une erreur en exposant et en appliquant la doctrine de la subrogation en equity? — La Cour d’appel a-t-elle eu tort de conclure qu’Aldo ne faisait pas valoir ses droits contre MasterCard par voie de subrogation en equity? — La Cour d’appel a-t-elle eu tort d’introduire un élément d’asymétrie dans la règle du lien contractuel en permettant au non-signataire d’un contrat d’accepter et d’invoquer certaines dispositions du contrat alors qu’il en rejette ou en écarte d’autres?</w:t>
            </w: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MasterCard a conclu des contrats de licence avec la Banque de Montréal et Harris National Association et un contrat de traitement par un tiers avec Moneris, qui renfermaient des clauses de compétence législative et d’élection du for en faveur de New York.  Moneris a ensuite conclu un contrat de commerçant avec le Groupe Aldo inc. pour elle-même et BMO, qui renfermait une clause d’élection du for en faveur de l’Ontario.  MasterCard, qui n’était pas partie au contrat de commerçant, exigeait certaines clauses dans les contrats de commerçant, mais ne précisait pas les clauses d’élection du for.</w:t>
            </w:r>
          </w:p>
          <w:p w:rsidR="00D94A41" w:rsidRPr="00732A82" w:rsidRDefault="00D94A41" w:rsidP="00D94A41">
            <w:pPr>
              <w:jc w:val="both"/>
              <w:rPr>
                <w:rFonts w:eastAsia="Calibri" w:cs="Times New Roman"/>
                <w:sz w:val="20"/>
                <w:szCs w:val="20"/>
                <w:lang w:val="fr-CA"/>
              </w:rPr>
            </w:pP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Lorsque Moneris a identifié une intrusion potentielle dans le système informatique d’Aldo, ce qui avait censément donné lieu à des opérations frauduleuses, MasterCard a soutenu qu’Aldo avait omis de se conformer à ses obligations de sécurité informatique et a débité du compte des banques acquéreuses le montant de la responsabilité financière liquidée.  À son tour, le compte d’Aldo a été débité.  Aldo a intenté une action contre MasterCard et Moneris, plaidant plusieurs chefs de responsabilité délictuelle.  MasterCard a demandé par motion la suspension de la déclaration, invoquant que la clause d’élection du for de New York s’appliquait à l’action.  Le juge saisi de la motion a refusé la suspension et la Cour d’appel a rejeté l’appel de MasterCard.</w:t>
            </w:r>
          </w:p>
          <w:p w:rsidR="00D94A41" w:rsidRPr="00732A82" w:rsidRDefault="00D94A41" w:rsidP="00D94A41">
            <w:pPr>
              <w:jc w:val="both"/>
              <w:rPr>
                <w:rFonts w:eastAsia="Calibri" w:cs="Times New Roman"/>
                <w:sz w:val="20"/>
                <w:szCs w:val="20"/>
                <w:lang w:val="fr-CA"/>
              </w:rPr>
            </w:pPr>
          </w:p>
        </w:tc>
      </w:tr>
      <w:tr w:rsidR="00D94A41" w:rsidRPr="00EA4608"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1</w:t>
            </w:r>
            <w:r w:rsidRPr="00732A82">
              <w:rPr>
                <w:rFonts w:eastAsia="Calibri" w:cs="Times New Roman"/>
                <w:sz w:val="20"/>
                <w:szCs w:val="20"/>
                <w:vertAlign w:val="superscript"/>
                <w:lang w:val="fr-CA"/>
              </w:rPr>
              <w:t>er</w:t>
            </w:r>
            <w:r w:rsidRPr="00732A82">
              <w:rPr>
                <w:rFonts w:eastAsia="Calibri" w:cs="Times New Roman"/>
                <w:sz w:val="20"/>
                <w:szCs w:val="20"/>
                <w:lang w:val="fr-CA"/>
              </w:rPr>
              <w:t xml:space="preserve"> mai 2012</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supérieure de justice de l’Ontario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Brown)</w:t>
            </w:r>
          </w:p>
          <w:p w:rsidR="00D94A41" w:rsidRPr="00732A82" w:rsidRDefault="000B3306" w:rsidP="00D94A41">
            <w:pPr>
              <w:jc w:val="both"/>
              <w:rPr>
                <w:rFonts w:eastAsia="Calibri" w:cs="Times New Roman"/>
                <w:sz w:val="20"/>
                <w:szCs w:val="20"/>
                <w:lang w:val="fr-CA"/>
              </w:rPr>
            </w:pPr>
            <w:hyperlink r:id="rId39" w:history="1">
              <w:r w:rsidR="00D94A41" w:rsidRPr="00732A82">
                <w:rPr>
                  <w:rFonts w:eastAsia="Calibri" w:cs="Times New Roman"/>
                  <w:color w:val="0000FF"/>
                  <w:sz w:val="20"/>
                  <w:szCs w:val="20"/>
                  <w:u w:val="single"/>
                  <w:lang w:val="fr-CA"/>
                </w:rPr>
                <w:t>2012 ONSC 2581</w:t>
              </w:r>
            </w:hyperlink>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Motion pour suspension des causes d’action, rejetée</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29 novembre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d’appel de l’Ontario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(Juges Blair, Juriansz et Tulloch)</w:t>
            </w:r>
          </w:p>
          <w:p w:rsidR="00D94A41" w:rsidRPr="00732A82" w:rsidRDefault="000B3306" w:rsidP="00D94A41">
            <w:pPr>
              <w:jc w:val="both"/>
              <w:rPr>
                <w:rFonts w:eastAsia="Calibri" w:cs="Times New Roman"/>
                <w:sz w:val="20"/>
                <w:szCs w:val="20"/>
                <w:lang w:val="fr-CA"/>
              </w:rPr>
            </w:pPr>
            <w:hyperlink r:id="rId40" w:history="1">
              <w:r w:rsidR="00D94A41" w:rsidRPr="00732A82">
                <w:rPr>
                  <w:rFonts w:eastAsia="Calibri" w:cs="Times New Roman"/>
                  <w:color w:val="0000FF"/>
                  <w:sz w:val="20"/>
                  <w:szCs w:val="20"/>
                  <w:u w:val="single"/>
                  <w:lang w:val="fr-CA"/>
                </w:rPr>
                <w:t>2013 ONCA 725</w:t>
              </w:r>
            </w:hyperlink>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Appel rejeté</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27 janvier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tc>
      </w:tr>
    </w:tbl>
    <w:p w:rsidR="00D94A41" w:rsidRPr="00732A82" w:rsidRDefault="00D94A41" w:rsidP="00D94A41">
      <w:pPr>
        <w:rPr>
          <w:rFonts w:cs="Times New Roman"/>
          <w:sz w:val="20"/>
          <w:szCs w:val="20"/>
          <w:lang w:val="fr-CA"/>
        </w:rPr>
      </w:pPr>
    </w:p>
    <w:p w:rsidR="00D94A41" w:rsidRPr="00732A82" w:rsidRDefault="000B3306" w:rsidP="00D94A41">
      <w:pPr>
        <w:rPr>
          <w:rFonts w:cs="Times New Roman"/>
          <w:sz w:val="20"/>
          <w:szCs w:val="20"/>
        </w:rPr>
      </w:pPr>
      <w:r>
        <w:rPr>
          <w:rFonts w:cs="Times New Roman"/>
          <w:sz w:val="20"/>
          <w:szCs w:val="20"/>
          <w:lang w:val="fr-CA"/>
        </w:rPr>
        <w:pict>
          <v:rect id="_x0000_i1052" style="width:2in;height:1pt" o:hrpct="0" o:hralign="center" o:hrstd="t" o:hrnoshade="t" o:hr="t" fillcolor="black [3213]" stroked="f"/>
        </w:pict>
      </w:r>
    </w:p>
    <w:p w:rsidR="004733D2" w:rsidRDefault="004733D2">
      <w:pPr>
        <w:rPr>
          <w:rFonts w:cs="Times New Roman"/>
          <w:sz w:val="20"/>
          <w:szCs w:val="20"/>
        </w:rPr>
      </w:pPr>
      <w:r>
        <w:rPr>
          <w:rFonts w:cs="Times New Roman"/>
          <w:sz w:val="20"/>
          <w:szCs w:val="20"/>
        </w:rPr>
        <w:br w:type="page"/>
      </w:r>
    </w:p>
    <w:p w:rsidR="00D94A41" w:rsidRPr="00732A82" w:rsidRDefault="00D94A41" w:rsidP="00D94A41">
      <w:pPr>
        <w:rPr>
          <w:rFonts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35716</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V.S. v. Her Majesty the Queen</w:t>
            </w:r>
            <w:r w:rsidRPr="0014756B">
              <w:rPr>
                <w:rFonts w:cs="Times New Roman"/>
                <w:sz w:val="20"/>
                <w:szCs w:val="20"/>
              </w:rPr>
              <w:t xml:space="preserve"> (Ont.) (Criminal)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LeBel, Karakatsanis and Wagner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Ontario Superior Court of Justice, Number 85069/13, 2013 ONSC 7406, dated December 5, 2013, is dismissed without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supérieure de justice de l’Ontario, numéro 85069/13, 2013 ONSC 7406, daté du 5 décembre 2013, est rejetée sans dépens.</w:t>
            </w:r>
          </w:p>
        </w:tc>
      </w:tr>
    </w:tbl>
    <w:p w:rsidR="00D94A41" w:rsidRPr="00732A82" w:rsidRDefault="00D94A41" w:rsidP="00D94A41">
      <w:pPr>
        <w:rPr>
          <w:rFonts w:cs="Times New Roman"/>
          <w:sz w:val="20"/>
          <w:szCs w:val="20"/>
          <w:lang w:val="fr-CA"/>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732A82" w:rsidTr="00D94A41">
        <w:tc>
          <w:tcPr>
            <w:tcW w:w="5000" w:type="pct"/>
            <w:gridSpan w:val="3"/>
          </w:tcPr>
          <w:p w:rsidR="00D94A41" w:rsidRPr="00732A82" w:rsidRDefault="00D94A41" w:rsidP="00D94A41">
            <w:pPr>
              <w:jc w:val="both"/>
              <w:rPr>
                <w:rFonts w:eastAsia="Calibri" w:cs="Times New Roman"/>
                <w:smallCaps/>
                <w:sz w:val="20"/>
                <w:szCs w:val="20"/>
              </w:rPr>
            </w:pPr>
            <w:r w:rsidRPr="00732A82">
              <w:rPr>
                <w:rFonts w:eastAsia="Calibri" w:cs="Times New Roman"/>
                <w:smallCaps/>
                <w:sz w:val="20"/>
                <w:szCs w:val="20"/>
              </w:rPr>
              <w:t xml:space="preserve"> (Publication ban in case) (Publication ban on party)</w:t>
            </w:r>
          </w:p>
          <w:p w:rsidR="00D94A41" w:rsidRPr="00732A82" w:rsidRDefault="00D94A41" w:rsidP="00D94A41">
            <w:pPr>
              <w:jc w:val="both"/>
              <w:rPr>
                <w:rFonts w:eastAsia="Calibri" w:cs="Times New Roman"/>
                <w:sz w:val="20"/>
                <w:szCs w:val="20"/>
              </w:rPr>
            </w:pPr>
          </w:p>
          <w:p w:rsidR="00D94A41" w:rsidRPr="00732A82" w:rsidRDefault="00D94A41" w:rsidP="00D94A41">
            <w:pPr>
              <w:jc w:val="both"/>
              <w:rPr>
                <w:rFonts w:eastAsia="Calibri" w:cs="Times New Roman"/>
                <w:sz w:val="20"/>
                <w:szCs w:val="20"/>
              </w:rPr>
            </w:pPr>
            <w:r w:rsidRPr="00732A82">
              <w:rPr>
                <w:rFonts w:eastAsia="Calibri" w:cs="Times New Roman"/>
                <w:i/>
                <w:sz w:val="20"/>
                <w:szCs w:val="20"/>
              </w:rPr>
              <w:t>Charter of Rights and Freedoms</w:t>
            </w:r>
            <w:r w:rsidRPr="00732A82">
              <w:rPr>
                <w:rFonts w:eastAsia="Calibri" w:cs="Times New Roman"/>
                <w:sz w:val="20"/>
                <w:szCs w:val="20"/>
              </w:rPr>
              <w:t xml:space="preserve"> – Right to life, liberty and security of the person – Self-incrimination – Criminal law – Evidence – Application under s. 462.34 (4)(c)(ii) of the </w:t>
            </w:r>
            <w:r w:rsidRPr="00732A82">
              <w:rPr>
                <w:rFonts w:eastAsia="Calibri" w:cs="Times New Roman"/>
                <w:i/>
                <w:sz w:val="20"/>
                <w:szCs w:val="20"/>
              </w:rPr>
              <w:t>Criminal Code</w:t>
            </w:r>
            <w:r w:rsidRPr="00732A82">
              <w:rPr>
                <w:rFonts w:eastAsia="Calibri" w:cs="Times New Roman"/>
                <w:sz w:val="20"/>
                <w:szCs w:val="20"/>
              </w:rPr>
              <w:t xml:space="preserve"> for the release of seized funds in order to pay legal expenses dismissed – What is the proper scope of cross-examination of an accused person making application pursuant to s. 462.34(4)(c)(ii) of the </w:t>
            </w:r>
            <w:r w:rsidRPr="00732A82">
              <w:rPr>
                <w:rFonts w:eastAsia="Calibri" w:cs="Times New Roman"/>
                <w:i/>
                <w:sz w:val="20"/>
                <w:szCs w:val="20"/>
              </w:rPr>
              <w:t>Criminal Code</w:t>
            </w:r>
            <w:r w:rsidRPr="00732A82">
              <w:rPr>
                <w:rFonts w:eastAsia="Calibri" w:cs="Times New Roman"/>
                <w:sz w:val="20"/>
                <w:szCs w:val="20"/>
              </w:rPr>
              <w:t xml:space="preserve">, for release of funds to meet reasonable legal expenses in light of the accused’s fundamental right to counsel and right to silence in the face of the most serious of criminal charges – Are non-seized assets or possible assets that are clearly proceeds of crime, to be considered “available assets” for the purpose of determining if an accused has means to meet their legal expenses for the purpose of s. 462.34(4) of the </w:t>
            </w:r>
            <w:r w:rsidRPr="00732A82">
              <w:rPr>
                <w:rFonts w:eastAsia="Calibri" w:cs="Times New Roman"/>
                <w:i/>
                <w:sz w:val="20"/>
                <w:szCs w:val="20"/>
              </w:rPr>
              <w:t>Criminal Code</w:t>
            </w:r>
            <w:r w:rsidRPr="00732A82">
              <w:rPr>
                <w:rFonts w:eastAsia="Calibri" w:cs="Times New Roman"/>
                <w:sz w:val="20"/>
                <w:szCs w:val="20"/>
              </w:rPr>
              <w:t xml:space="preserve"> – How sections 7 and 13 of the </w:t>
            </w:r>
            <w:r w:rsidRPr="00732A82">
              <w:rPr>
                <w:rFonts w:eastAsia="Calibri" w:cs="Times New Roman"/>
                <w:i/>
                <w:sz w:val="20"/>
                <w:szCs w:val="20"/>
              </w:rPr>
              <w:t>Charter of Rights and Freedoms</w:t>
            </w:r>
            <w:r w:rsidRPr="00732A82">
              <w:rPr>
                <w:rFonts w:eastAsia="Calibri" w:cs="Times New Roman"/>
                <w:sz w:val="20"/>
                <w:szCs w:val="20"/>
              </w:rPr>
              <w:t xml:space="preserve">, limit the scope of cross-examination of the accused on an application pursuant to section 462.34 (4) ( c ) (ii) of the </w:t>
            </w:r>
            <w:r w:rsidRPr="00732A82">
              <w:rPr>
                <w:rFonts w:eastAsia="Calibri" w:cs="Times New Roman"/>
                <w:i/>
                <w:sz w:val="20"/>
                <w:szCs w:val="20"/>
              </w:rPr>
              <w:t>Criminal Code</w:t>
            </w:r>
            <w:r w:rsidRPr="00732A82">
              <w:rPr>
                <w:rFonts w:eastAsia="Calibri" w:cs="Times New Roman"/>
                <w:sz w:val="20"/>
                <w:szCs w:val="20"/>
              </w:rPr>
              <w:t xml:space="preserve"> – Section 462.34 (4) of the </w:t>
            </w:r>
            <w:r w:rsidRPr="00732A82">
              <w:rPr>
                <w:rFonts w:eastAsia="Calibri" w:cs="Times New Roman"/>
                <w:i/>
                <w:sz w:val="20"/>
                <w:szCs w:val="20"/>
              </w:rPr>
              <w:t>Criminal Code</w:t>
            </w:r>
            <w:r w:rsidRPr="00732A82">
              <w:rPr>
                <w:rFonts w:eastAsia="Calibri" w:cs="Times New Roman"/>
                <w:sz w:val="20"/>
                <w:szCs w:val="20"/>
              </w:rPr>
              <w:t xml:space="preserve"> – Sections 7 and 13 of the </w:t>
            </w:r>
            <w:r w:rsidRPr="00732A82">
              <w:rPr>
                <w:rFonts w:eastAsia="Calibri" w:cs="Times New Roman"/>
                <w:i/>
                <w:sz w:val="20"/>
                <w:szCs w:val="20"/>
              </w:rPr>
              <w:t>Charter</w:t>
            </w:r>
            <w:r w:rsidRPr="00732A82">
              <w:rPr>
                <w:rFonts w:eastAsia="Calibri" w:cs="Times New Roman"/>
                <w:sz w:val="20"/>
                <w:szCs w:val="20"/>
              </w:rPr>
              <w:t>.</w:t>
            </w:r>
          </w:p>
          <w:p w:rsidR="00D94A41" w:rsidRPr="00732A82" w:rsidRDefault="00D94A41" w:rsidP="00D94A41">
            <w:pPr>
              <w:jc w:val="both"/>
              <w:rPr>
                <w:rFonts w:eastAsia="Calibri" w:cs="Times New Roman"/>
                <w:sz w:val="20"/>
                <w:szCs w:val="20"/>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The applicant commenced an application under s. 462.34 (4)(c)(ii) of the </w:t>
            </w:r>
            <w:r w:rsidRPr="00732A82">
              <w:rPr>
                <w:rFonts w:eastAsia="Calibri" w:cs="Times New Roman"/>
                <w:i/>
                <w:sz w:val="20"/>
                <w:szCs w:val="20"/>
              </w:rPr>
              <w:t>Criminal Code</w:t>
            </w:r>
            <w:r w:rsidRPr="00732A82">
              <w:rPr>
                <w:rFonts w:eastAsia="Calibri" w:cs="Times New Roman"/>
                <w:sz w:val="20"/>
                <w:szCs w:val="20"/>
              </w:rPr>
              <w:t xml:space="preserve"> for the release of seized funds in order to pay legal expenses.  It was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December 5,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Ontario Superior Court of Justice</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(Boswell J.)</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2013 ONSC 7406</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February 3,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for leave to appeal filed</w:t>
            </w:r>
          </w:p>
          <w:p w:rsidR="00D94A41" w:rsidRPr="00732A82" w:rsidRDefault="00D94A41" w:rsidP="00D94A41">
            <w:pPr>
              <w:jc w:val="both"/>
              <w:rPr>
                <w:rFonts w:eastAsia="Calibri" w:cs="Times New Roman"/>
                <w:sz w:val="20"/>
                <w:szCs w:val="20"/>
              </w:rPr>
            </w:pPr>
          </w:p>
        </w:tc>
      </w:tr>
    </w:tbl>
    <w:p w:rsidR="00D94A41" w:rsidRPr="00732A82" w:rsidRDefault="00D94A41" w:rsidP="00D94A41">
      <w:pPr>
        <w:rPr>
          <w:rFonts w:cs="Times New Roman"/>
          <w:sz w:val="20"/>
          <w:szCs w:val="20"/>
        </w:rPr>
      </w:pPr>
    </w:p>
    <w:p w:rsidR="00D94A41" w:rsidRPr="00732A82" w:rsidRDefault="000B3306" w:rsidP="00D94A41">
      <w:pPr>
        <w:rPr>
          <w:rFonts w:cs="Times New Roman"/>
          <w:sz w:val="20"/>
          <w:szCs w:val="20"/>
        </w:rPr>
      </w:pPr>
      <w:r>
        <w:rPr>
          <w:rFonts w:cs="Times New Roman"/>
          <w:sz w:val="20"/>
          <w:szCs w:val="20"/>
          <w:lang w:val="fr-CA"/>
        </w:rPr>
        <w:pict>
          <v:rect id="_x0000_i1053" style="width:2in;height:1pt" o:hrpct="0" o:hralign="center" o:hrstd="t" o:hrnoshade="t" o:hr="t" fillcolor="black [3213]" stroked="f"/>
        </w:pict>
      </w:r>
    </w:p>
    <w:p w:rsidR="00D94A41" w:rsidRPr="00732A82" w:rsidRDefault="00D94A41" w:rsidP="00D94A41">
      <w:pPr>
        <w:rPr>
          <w:rFonts w:cs="Times New Roman"/>
          <w:sz w:val="20"/>
          <w:szCs w:val="20"/>
        </w:rPr>
      </w:pPr>
    </w:p>
    <w:p w:rsidR="00D94A41" w:rsidRPr="00732A82" w:rsidRDefault="00D94A41" w:rsidP="00D94A41">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EA4608" w:rsidTr="00D94A41">
        <w:tc>
          <w:tcPr>
            <w:tcW w:w="5000" w:type="pct"/>
            <w:gridSpan w:val="3"/>
          </w:tcPr>
          <w:p w:rsidR="00D94A41" w:rsidRPr="00732A82" w:rsidRDefault="00D94A41" w:rsidP="00D94A41">
            <w:pPr>
              <w:jc w:val="both"/>
              <w:rPr>
                <w:rFonts w:eastAsia="Calibri" w:cs="Times New Roman"/>
                <w:smallCaps/>
                <w:sz w:val="20"/>
                <w:szCs w:val="20"/>
                <w:lang w:val="fr-CA"/>
              </w:rPr>
            </w:pPr>
            <w:r w:rsidRPr="00732A82">
              <w:rPr>
                <w:rFonts w:eastAsia="Calibri" w:cs="Times New Roman"/>
                <w:smallCaps/>
                <w:sz w:val="20"/>
                <w:szCs w:val="20"/>
                <w:lang w:val="fr-CA"/>
              </w:rPr>
              <w:t>(Ordonnance de non-publication dans le dossier) (Ordonnance de non-publication visant une partie)</w:t>
            </w:r>
          </w:p>
          <w:p w:rsidR="00D94A41" w:rsidRPr="00732A82" w:rsidRDefault="00D94A41" w:rsidP="00D94A41">
            <w:pPr>
              <w:jc w:val="both"/>
              <w:rPr>
                <w:rFonts w:eastAsia="Calibri" w:cs="Times New Roman"/>
                <w:sz w:val="20"/>
                <w:szCs w:val="20"/>
                <w:lang w:val="fr-CA"/>
              </w:rPr>
            </w:pPr>
          </w:p>
          <w:p w:rsidR="00D94A41" w:rsidRPr="00732A82" w:rsidRDefault="00D94A41" w:rsidP="00D94A41">
            <w:pPr>
              <w:jc w:val="both"/>
              <w:rPr>
                <w:rFonts w:eastAsia="Calibri" w:cs="Times New Roman"/>
                <w:sz w:val="20"/>
                <w:szCs w:val="20"/>
                <w:lang w:val="fr-CA"/>
              </w:rPr>
            </w:pPr>
            <w:r w:rsidRPr="00732A82">
              <w:rPr>
                <w:rFonts w:eastAsia="Calibri" w:cs="Times New Roman"/>
                <w:i/>
                <w:sz w:val="20"/>
                <w:szCs w:val="20"/>
                <w:lang w:val="fr-CA"/>
              </w:rPr>
              <w:t xml:space="preserve">Charte des droits et libertés </w:t>
            </w:r>
            <w:r w:rsidRPr="00732A82">
              <w:rPr>
                <w:rFonts w:eastAsia="Calibri" w:cs="Times New Roman"/>
                <w:sz w:val="20"/>
                <w:szCs w:val="20"/>
                <w:lang w:val="fr-CA"/>
              </w:rPr>
              <w:t>– Droit à la vie, à la liberté et à la sécurité de la personne – Auto-incrimination – Droit criminel – Preuve – Rejet d’une demande en application du sous-al. 462.34(4)</w:t>
            </w:r>
            <w:r w:rsidRPr="00732A82">
              <w:rPr>
                <w:rFonts w:eastAsia="Calibri" w:cs="Times New Roman"/>
                <w:i/>
                <w:sz w:val="20"/>
                <w:szCs w:val="20"/>
                <w:lang w:val="fr-CA"/>
              </w:rPr>
              <w:t>c)</w:t>
            </w:r>
            <w:r w:rsidRPr="00732A82">
              <w:rPr>
                <w:rFonts w:eastAsia="Calibri" w:cs="Times New Roman"/>
                <w:sz w:val="20"/>
                <w:szCs w:val="20"/>
                <w:lang w:val="fr-CA"/>
              </w:rPr>
              <w:t>(ii)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xml:space="preserve"> en vue de débloquer des fonds saisis afin d’acquitter des frais juridiques – Quelle devrait être la portée du contre-interrogatoire d’un accusé qui fait une demande en application du sous-al. 462.34(4)</w:t>
            </w:r>
            <w:r w:rsidRPr="00732A82">
              <w:rPr>
                <w:rFonts w:eastAsia="Calibri" w:cs="Times New Roman"/>
                <w:i/>
                <w:sz w:val="20"/>
                <w:szCs w:val="20"/>
                <w:lang w:val="fr-CA"/>
              </w:rPr>
              <w:t>c)</w:t>
            </w:r>
            <w:r w:rsidRPr="00732A82">
              <w:rPr>
                <w:rFonts w:eastAsia="Calibri" w:cs="Times New Roman"/>
                <w:sz w:val="20"/>
                <w:szCs w:val="20"/>
                <w:lang w:val="fr-CA"/>
              </w:rPr>
              <w:t>(ii)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xml:space="preserve"> en vue de débloquer des fonds saisis afin d’acquitter des frais juridiques compte tenu du droit fondamental de l’accusé à l’assistance d’un avocat et le droit de garder le silence alors que les accusations criminelles les plus graves sont portées contre lui? – Les biens non saisis ou les biens éventuels qui sont clairement des produits de la criminalité doivent-ils être considérés comme des « biens disponibles » afin de déterminer si un accusé a les moyens d’acquitter ses frais juridiques en </w:t>
            </w:r>
            <w:r w:rsidRPr="00732A82">
              <w:rPr>
                <w:rFonts w:eastAsia="Calibri" w:cs="Times New Roman"/>
                <w:sz w:val="20"/>
                <w:szCs w:val="20"/>
                <w:lang w:val="fr-CA"/>
              </w:rPr>
              <w:lastRenderedPageBreak/>
              <w:t xml:space="preserve">application du par. 462.34(4) du </w:t>
            </w:r>
            <w:r w:rsidRPr="00732A82">
              <w:rPr>
                <w:rFonts w:eastAsia="Calibri" w:cs="Times New Roman"/>
                <w:i/>
                <w:sz w:val="20"/>
                <w:szCs w:val="20"/>
                <w:lang w:val="fr-CA"/>
              </w:rPr>
              <w:t>Code criminel</w:t>
            </w:r>
            <w:r w:rsidRPr="00732A82">
              <w:rPr>
                <w:rFonts w:eastAsia="Calibri" w:cs="Times New Roman"/>
                <w:sz w:val="20"/>
                <w:szCs w:val="20"/>
                <w:lang w:val="fr-CA"/>
              </w:rPr>
              <w:t xml:space="preserve">? – Comment les articles 7 et 13 de la </w:t>
            </w:r>
            <w:r w:rsidRPr="00732A82">
              <w:rPr>
                <w:rFonts w:eastAsia="Calibri" w:cs="Times New Roman"/>
                <w:i/>
                <w:sz w:val="20"/>
                <w:szCs w:val="20"/>
                <w:lang w:val="fr-CA"/>
              </w:rPr>
              <w:t>Charte des droits et libertés</w:t>
            </w:r>
            <w:r w:rsidRPr="00732A82">
              <w:rPr>
                <w:rFonts w:eastAsia="Calibri" w:cs="Times New Roman"/>
                <w:sz w:val="20"/>
                <w:szCs w:val="20"/>
                <w:lang w:val="fr-CA"/>
              </w:rPr>
              <w:t xml:space="preserve"> limitent-ils la portée du contre-interrogatoire de l’accusé dans le cadre d’une demande en application du sous-al. 462.34(4)</w:t>
            </w:r>
            <w:r w:rsidRPr="00732A82">
              <w:rPr>
                <w:rFonts w:eastAsia="Calibri" w:cs="Times New Roman"/>
                <w:i/>
                <w:sz w:val="20"/>
                <w:szCs w:val="20"/>
                <w:lang w:val="fr-CA"/>
              </w:rPr>
              <w:t>c)</w:t>
            </w:r>
            <w:r w:rsidRPr="00732A82">
              <w:rPr>
                <w:rFonts w:eastAsia="Calibri" w:cs="Times New Roman"/>
                <w:sz w:val="20"/>
                <w:szCs w:val="20"/>
                <w:lang w:val="fr-CA"/>
              </w:rPr>
              <w:t>(ii)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 Sous-al. 462.34(4)</w:t>
            </w:r>
            <w:r w:rsidRPr="00732A82">
              <w:rPr>
                <w:rFonts w:eastAsia="Calibri" w:cs="Times New Roman"/>
                <w:i/>
                <w:sz w:val="20"/>
                <w:szCs w:val="20"/>
                <w:lang w:val="fr-CA"/>
              </w:rPr>
              <w:t>c)</w:t>
            </w:r>
            <w:r w:rsidRPr="00732A82">
              <w:rPr>
                <w:rFonts w:eastAsia="Calibri" w:cs="Times New Roman"/>
                <w:sz w:val="20"/>
                <w:szCs w:val="20"/>
                <w:lang w:val="fr-CA"/>
              </w:rPr>
              <w:t>(ii)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xml:space="preserve"> – Articles 7 et 13 de la </w:t>
            </w:r>
            <w:r w:rsidRPr="00732A82">
              <w:rPr>
                <w:rFonts w:eastAsia="Calibri" w:cs="Times New Roman"/>
                <w:i/>
                <w:sz w:val="20"/>
                <w:szCs w:val="20"/>
                <w:lang w:val="fr-CA"/>
              </w:rPr>
              <w:t>Charte</w:t>
            </w:r>
            <w:r w:rsidRPr="00732A82">
              <w:rPr>
                <w:rFonts w:eastAsia="Calibri" w:cs="Times New Roman"/>
                <w:sz w:val="20"/>
                <w:szCs w:val="20"/>
                <w:lang w:val="fr-CA"/>
              </w:rPr>
              <w:t>.</w:t>
            </w:r>
          </w:p>
          <w:p w:rsidR="00D94A41" w:rsidRPr="00732A82" w:rsidRDefault="00D94A41" w:rsidP="00D94A41">
            <w:pPr>
              <w:jc w:val="both"/>
              <w:rPr>
                <w:rFonts w:eastAsia="Calibri" w:cs="Times New Roman"/>
                <w:sz w:val="20"/>
                <w:szCs w:val="20"/>
                <w:lang w:val="fr-CA"/>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lastRenderedPageBreak/>
              <w:t>Le demandeur a introduit une demande en application du sous-al. 462.34(4)</w:t>
            </w:r>
            <w:r w:rsidRPr="00732A82">
              <w:rPr>
                <w:rFonts w:eastAsia="Calibri" w:cs="Times New Roman"/>
                <w:i/>
                <w:sz w:val="20"/>
                <w:szCs w:val="20"/>
                <w:lang w:val="fr-CA"/>
              </w:rPr>
              <w:t>c)</w:t>
            </w:r>
            <w:r w:rsidRPr="00732A82">
              <w:rPr>
                <w:rFonts w:eastAsia="Calibri" w:cs="Times New Roman"/>
                <w:sz w:val="20"/>
                <w:szCs w:val="20"/>
                <w:lang w:val="fr-CA"/>
              </w:rPr>
              <w:t>(ii) du</w:t>
            </w:r>
            <w:r w:rsidRPr="00732A82">
              <w:rPr>
                <w:rFonts w:eastAsia="Calibri" w:cs="Times New Roman"/>
                <w:i/>
                <w:sz w:val="20"/>
                <w:szCs w:val="20"/>
                <w:lang w:val="fr-CA"/>
              </w:rPr>
              <w:t xml:space="preserve"> Code criminel</w:t>
            </w:r>
            <w:r w:rsidRPr="00732A82">
              <w:rPr>
                <w:rFonts w:eastAsia="Calibri" w:cs="Times New Roman"/>
                <w:sz w:val="20"/>
                <w:szCs w:val="20"/>
                <w:lang w:val="fr-CA"/>
              </w:rPr>
              <w:t xml:space="preserve"> en vue de débloquer des fonds saisis afin de d’acquitter des frais juridiques.  La demande a été rejetée.</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5 décembre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supérieure de justice de l’Ontario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Boswell)</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2013 ONSC 7406</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rejetée</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3 février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autorisation d’appel, déposée</w:t>
            </w:r>
          </w:p>
          <w:p w:rsidR="00D94A41" w:rsidRPr="00732A82" w:rsidRDefault="00D94A41" w:rsidP="00D94A41">
            <w:pPr>
              <w:jc w:val="both"/>
              <w:rPr>
                <w:rFonts w:eastAsia="Calibri" w:cs="Times New Roman"/>
                <w:sz w:val="20"/>
                <w:szCs w:val="20"/>
                <w:lang w:val="fr-CA"/>
              </w:rPr>
            </w:pPr>
          </w:p>
        </w:tc>
      </w:tr>
    </w:tbl>
    <w:p w:rsidR="00D94A41" w:rsidRPr="00732A82" w:rsidRDefault="00D94A41" w:rsidP="00D94A41">
      <w:pPr>
        <w:rPr>
          <w:rFonts w:cs="Times New Roman"/>
          <w:sz w:val="20"/>
          <w:szCs w:val="20"/>
          <w:lang w:val="fr-CA"/>
        </w:rPr>
      </w:pPr>
    </w:p>
    <w:p w:rsidR="00D94A41" w:rsidRPr="00732A82" w:rsidRDefault="000B3306" w:rsidP="00D94A41">
      <w:pPr>
        <w:rPr>
          <w:rFonts w:cs="Times New Roman"/>
          <w:sz w:val="20"/>
          <w:szCs w:val="20"/>
        </w:rPr>
      </w:pPr>
      <w:r>
        <w:rPr>
          <w:rFonts w:cs="Times New Roman"/>
          <w:sz w:val="20"/>
          <w:szCs w:val="20"/>
          <w:lang w:val="fr-CA"/>
        </w:rPr>
        <w:pict>
          <v:rect id="_x0000_i1054" style="width:2in;height:1pt" o:hrpct="0" o:hralign="center" o:hrstd="t" o:hrnoshade="t" o:hr="t" fillcolor="black [3213]" stroked="f"/>
        </w:pict>
      </w:r>
    </w:p>
    <w:p w:rsidR="00D94A41" w:rsidRPr="00732A82" w:rsidRDefault="00D94A41" w:rsidP="00D94A41">
      <w:pPr>
        <w:rPr>
          <w:rFonts w:cs="Times New Roman"/>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35743</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Ade Olumide v. Her Majesty the Queen in Right of Canada</w:t>
            </w:r>
            <w:r w:rsidRPr="0014756B">
              <w:rPr>
                <w:rFonts w:cs="Times New Roman"/>
                <w:sz w:val="20"/>
                <w:szCs w:val="20"/>
              </w:rPr>
              <w:t xml:space="preserve"> (F</w:t>
            </w:r>
            <w:r w:rsidR="00732B63">
              <w:rPr>
                <w:rFonts w:cs="Times New Roman"/>
                <w:sz w:val="20"/>
                <w:szCs w:val="20"/>
              </w:rPr>
              <w:t>.</w:t>
            </w:r>
            <w:r w:rsidRPr="0014756B">
              <w:rPr>
                <w:rFonts w:cs="Times New Roman"/>
                <w:sz w:val="20"/>
                <w:szCs w:val="20"/>
              </w:rPr>
              <w:t>C</w:t>
            </w:r>
            <w:r w:rsidR="00732B63">
              <w:rPr>
                <w:rFonts w:cs="Times New Roman"/>
                <w:sz w:val="20"/>
                <w:szCs w:val="20"/>
              </w:rPr>
              <w:t>.</w:t>
            </w:r>
            <w:r w:rsidRPr="0014756B">
              <w:rPr>
                <w:rFonts w:cs="Times New Roman"/>
                <w:sz w:val="20"/>
                <w:szCs w:val="20"/>
              </w:rPr>
              <w:t>) (Civil)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Abella, Rothstein and Moldaver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Federal Court of Appeal, Number 14-A-5, dated January 30, 2014, is dismissed with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d’appel fédérale, numéro 14-A-5, daté du 30 janvier 2014, est rejetée avec dépens.</w:t>
            </w:r>
          </w:p>
        </w:tc>
      </w:tr>
    </w:tbl>
    <w:p w:rsidR="00D94A41" w:rsidRPr="00732A82" w:rsidRDefault="00D94A41" w:rsidP="00D94A41">
      <w:pPr>
        <w:rPr>
          <w:rFonts w:cs="Times New Roman"/>
          <w:sz w:val="20"/>
          <w:szCs w:val="20"/>
          <w:lang w:val="fr-CA"/>
        </w:rPr>
      </w:pPr>
    </w:p>
    <w:p w:rsidR="00D94A41" w:rsidRPr="00732A82" w:rsidRDefault="00D94A41" w:rsidP="00D94A41">
      <w:pPr>
        <w:rPr>
          <w:rFonts w:cs="Times New Roman"/>
          <w:sz w:val="20"/>
          <w:szCs w:val="20"/>
          <w:u w:val="single"/>
        </w:rPr>
      </w:pPr>
      <w:r w:rsidRPr="00732A82">
        <w:rPr>
          <w:rFonts w:cs="Times New Roman"/>
          <w:sz w:val="20"/>
          <w:szCs w:val="20"/>
          <w:u w:val="single"/>
        </w:rPr>
        <w:t>CASE SUMMARY</w:t>
      </w:r>
    </w:p>
    <w:p w:rsidR="00D94A41" w:rsidRPr="00732A82" w:rsidRDefault="00D94A41" w:rsidP="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Civil procedure – Appeals – Extension of time – Whether Federal Court of Appeal should have granted extension of time to appeal from judgement of Federal Court.</w:t>
            </w: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Mr. Olumide claims that the Canada Revenue Agency (“the CRA”) must pay him $16,570.02 with respect to a GST rebate.  The CRA denied his application for the rebate because he submitted it past the statutory deadline. In February 2013, Mr. Olumide filed a claim asking the Federal Court to order the CRA to pay him the GST rebate.  One month later, Mr. Olumide filed a second claim.  At a hearing to strike the first statement of claim, Scott J. consolidated both claims and allowed Mr. Olumide to file an amended statement of claim.  Mr. Olumide then filed two amended claims, but later filed a third statement of claim. </w:t>
            </w:r>
          </w:p>
          <w:p w:rsidR="00D94A41" w:rsidRPr="00732A82" w:rsidRDefault="00D94A41" w:rsidP="00D94A41">
            <w:pPr>
              <w:jc w:val="both"/>
              <w:rPr>
                <w:rFonts w:eastAsia="Calibri" w:cs="Times New Roman"/>
                <w:sz w:val="20"/>
                <w:szCs w:val="20"/>
              </w:rPr>
            </w:pPr>
          </w:p>
          <w:p w:rsidR="00D94A41" w:rsidRPr="00732A82" w:rsidRDefault="00D94A41" w:rsidP="00D94A41">
            <w:pPr>
              <w:jc w:val="both"/>
              <w:rPr>
                <w:rFonts w:eastAsia="Calibri" w:cs="Times New Roman"/>
                <w:sz w:val="20"/>
                <w:szCs w:val="20"/>
              </w:rPr>
            </w:pPr>
            <w:r w:rsidRPr="00732A82">
              <w:rPr>
                <w:rFonts w:eastAsia="Calibri" w:cs="Times New Roman"/>
                <w:sz w:val="20"/>
                <w:szCs w:val="20"/>
              </w:rPr>
              <w:t>Prothonotary Aronovitch struck the amended claims on the basis that the allegations were vexatious and constituted an abuse of process.  Prothonotary Tabib struck the plaintiff’s third claim two months later.  Mr. Olumide submitted three motions in the Federal Court requesting to vary Prothonotary Aronovitch’s order and to set aside Prothonotary Tabib’s order, but Annis J. dismissed them. Stratas J.A. dismissed Mr. Olumide’s motion for an extension of time to appeal that judgement.</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lastRenderedPageBreak/>
              <w:t>July 22,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Federal Court</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(Prothonotary Aronovitch)</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T-310-13</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Motion to strike two amended statements of claim granted. </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September 17,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Federal Court</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(Prothonotary Tabib)</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T-954-13</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Motion to strike statement of claim granted. </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November 27,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Federal Court</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(Annis J.)</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T-310-13</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Motion to vary Prothonotary Aronovitch’s order and set aside Prothonotary Tabib’s order dismissed. </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January 30,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Federal Court of Appeal</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(Stratas J.A.)</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Docket: 14-A-5 </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Motion to extend the time to appeal orders of the Federal Court dismissed. </w:t>
            </w:r>
          </w:p>
          <w:p w:rsidR="00D94A41" w:rsidRPr="00732A82" w:rsidRDefault="00D94A41" w:rsidP="00D94A41">
            <w:pPr>
              <w:jc w:val="both"/>
              <w:rPr>
                <w:rFonts w:eastAsia="Calibri" w:cs="Times New Roman"/>
                <w:sz w:val="20"/>
                <w:szCs w:val="20"/>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February 19,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for leave to appeal filed.</w:t>
            </w:r>
          </w:p>
        </w:tc>
      </w:tr>
    </w:tbl>
    <w:p w:rsidR="00D94A41" w:rsidRPr="00732A82" w:rsidRDefault="00D94A41" w:rsidP="00D94A41">
      <w:pPr>
        <w:rPr>
          <w:rFonts w:cs="Times New Roman"/>
          <w:sz w:val="20"/>
          <w:szCs w:val="20"/>
          <w:lang w:val="en-US"/>
        </w:rPr>
      </w:pPr>
    </w:p>
    <w:p w:rsidR="00D94A41" w:rsidRPr="00732A82" w:rsidRDefault="000B3306" w:rsidP="00D94A41">
      <w:pPr>
        <w:rPr>
          <w:rFonts w:cs="Times New Roman"/>
          <w:sz w:val="20"/>
          <w:szCs w:val="20"/>
        </w:rPr>
      </w:pPr>
      <w:r>
        <w:rPr>
          <w:rFonts w:cs="Times New Roman"/>
          <w:sz w:val="20"/>
          <w:szCs w:val="20"/>
          <w:lang w:val="fr-CA"/>
        </w:rPr>
        <w:pict>
          <v:rect id="_x0000_i1055" style="width:2in;height:1pt" o:hrpct="0" o:hralign="center" o:hrstd="t" o:hrnoshade="t" o:hr="t" fillcolor="black [3213]" stroked="f"/>
        </w:pict>
      </w:r>
    </w:p>
    <w:p w:rsidR="00D94A41" w:rsidRPr="00732A82" w:rsidRDefault="00D94A41" w:rsidP="00D94A41">
      <w:pPr>
        <w:rPr>
          <w:rFonts w:cs="Times New Roman"/>
          <w:sz w:val="20"/>
          <w:szCs w:val="20"/>
        </w:rPr>
      </w:pPr>
    </w:p>
    <w:p w:rsidR="005F5FEC" w:rsidRPr="00732A82" w:rsidRDefault="005F5FEC" w:rsidP="005F5FEC">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Procédure civile – Appels – Prorogation de délai – La Cour d’appel fédérale aurait-elle dû proroger le délai d’appel du jugement de la Cour fédérale?</w:t>
            </w: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Monsieur Olumide allègue que l’Agence du revenu du Canada (l’« ARC ») doit lui payer la somme de 16 570,02 $ à titre de remboursement de la TPS.  L’ARC a rejeté sa demande de remboursement parce qu’il l’avait présentée après l’expiration du délai prescrit par la loi.  En février 2013, M. Olumide a déposé une demande à la Cour fédérale pour que celle-ci ordonne à l’ARC de lui payer le remboursement de la TPS.  Un mois plus tard, M. Olumide a déposé une deuxième demande. À une audience en radiation de la première déclaration, le juge Scott a réuni les deux demandes et a permis à M. Olumide de déposer une déclaration modifiée.  Monsieur Olumide a ensuite déposé deux demandes modifiées, mais il a déposé une troisième demande par la suite. </w:t>
            </w:r>
          </w:p>
          <w:p w:rsidR="00D94A41" w:rsidRPr="00732A82" w:rsidRDefault="00D94A41" w:rsidP="00D94A41">
            <w:pPr>
              <w:jc w:val="both"/>
              <w:rPr>
                <w:rFonts w:eastAsia="Calibri" w:cs="Times New Roman"/>
                <w:sz w:val="20"/>
                <w:szCs w:val="20"/>
                <w:lang w:val="fr-CA"/>
              </w:rPr>
            </w:pP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Le protonotaire Aronovitch a radié les demandes modifiées, au motif que les allégations étaient vexatoires et constituaient un abus de procédure.  Le protonotaire Tabib a radié la troisième demande du demandeur deux mois plus tard.  Monsieur Olumide a présenté trois requêtes en Cour fédérale visant à modifier l’ordonnance du protonotaire Aronovitch et à annuler l’ordonnance du protonotaire Tabib, mais le juge Annis les a rejetées.  Le juge Stratas a rejeté la requête de Monsieur Olumide en prorogation du délai d’appel de ce jugement.</w:t>
            </w:r>
          </w:p>
          <w:p w:rsidR="00D94A41" w:rsidRPr="00732A82" w:rsidRDefault="00D94A41" w:rsidP="00D94A41">
            <w:pPr>
              <w:jc w:val="both"/>
              <w:rPr>
                <w:rFonts w:eastAsia="Calibri" w:cs="Times New Roman"/>
                <w:sz w:val="20"/>
                <w:szCs w:val="20"/>
                <w:lang w:val="fr-CA"/>
              </w:rPr>
            </w:pPr>
          </w:p>
        </w:tc>
      </w:tr>
      <w:tr w:rsidR="00D94A41" w:rsidRPr="00EA4608"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22 juillet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fédérale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(Protonotaire Aronovitch)</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T-310-13</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Requête en radiation de deux déclarations modifiées, accueillie. </w:t>
            </w:r>
          </w:p>
          <w:p w:rsidR="00D94A41" w:rsidRPr="00732A82" w:rsidRDefault="00D94A41" w:rsidP="00D94A41">
            <w:pPr>
              <w:jc w:val="both"/>
              <w:rPr>
                <w:rFonts w:eastAsia="Calibri" w:cs="Times New Roman"/>
                <w:sz w:val="20"/>
                <w:szCs w:val="20"/>
                <w:lang w:val="fr-CA"/>
              </w:rPr>
            </w:pPr>
          </w:p>
        </w:tc>
      </w:tr>
      <w:tr w:rsidR="00D94A41" w:rsidRPr="00EA4608" w:rsidTr="00970B11">
        <w:trPr>
          <w:cantSplit/>
        </w:trPr>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lastRenderedPageBreak/>
              <w:t>17 septembre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fédérale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(Protonotaire Tabib)</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T-954-13</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Requête en radiation de la déclaration, accueillie. </w:t>
            </w:r>
          </w:p>
          <w:p w:rsidR="00D94A41" w:rsidRPr="00732A82" w:rsidRDefault="00D94A41" w:rsidP="00D94A41">
            <w:pPr>
              <w:jc w:val="both"/>
              <w:rPr>
                <w:rFonts w:eastAsia="Calibri" w:cs="Times New Roman"/>
                <w:sz w:val="20"/>
                <w:szCs w:val="20"/>
                <w:lang w:val="fr-CA"/>
              </w:rPr>
            </w:pPr>
          </w:p>
        </w:tc>
      </w:tr>
      <w:tr w:rsidR="00D94A41" w:rsidRPr="00EA4608" w:rsidTr="00970B11">
        <w:trPr>
          <w:cantSplit/>
        </w:trPr>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27 novembre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fédérale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Annis)</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T-310-13</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Requête en modification de l’ordonnance du protonotaire Aronovitch et en annulation de l’ordonnance du protonotaire Tabib, rejetée. </w:t>
            </w:r>
          </w:p>
          <w:p w:rsidR="00D94A41" w:rsidRPr="00732A82" w:rsidRDefault="00D94A41" w:rsidP="00D94A41">
            <w:pPr>
              <w:jc w:val="both"/>
              <w:rPr>
                <w:rFonts w:eastAsia="Calibri" w:cs="Times New Roman"/>
                <w:sz w:val="20"/>
                <w:szCs w:val="20"/>
                <w:lang w:val="fr-CA"/>
              </w:rPr>
            </w:pPr>
          </w:p>
        </w:tc>
      </w:tr>
      <w:tr w:rsidR="00D94A41" w:rsidRPr="00EA4608" w:rsidTr="00970B11">
        <w:trPr>
          <w:cantSplit/>
        </w:trPr>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30 janvier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d’appel fédérale</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Stratas)</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N</w:t>
            </w:r>
            <w:r w:rsidRPr="00732A82">
              <w:rPr>
                <w:rFonts w:eastAsia="Calibri" w:cs="Times New Roman"/>
                <w:sz w:val="20"/>
                <w:szCs w:val="20"/>
                <w:vertAlign w:val="superscript"/>
                <w:lang w:val="fr-CA"/>
              </w:rPr>
              <w:t>o</w:t>
            </w:r>
            <w:r w:rsidRPr="00732A82">
              <w:rPr>
                <w:rFonts w:eastAsia="Calibri" w:cs="Times New Roman"/>
                <w:sz w:val="20"/>
                <w:szCs w:val="20"/>
                <w:lang w:val="fr-CA"/>
              </w:rPr>
              <w:t xml:space="preserve"> du greffe 14-A-5 </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Requête en prorogation du délai d’appel des ordonnances de la Cour fédérale, rejetée. </w:t>
            </w:r>
          </w:p>
          <w:p w:rsidR="00D94A41" w:rsidRPr="00732A82" w:rsidRDefault="00D94A41" w:rsidP="00D94A41">
            <w:pPr>
              <w:jc w:val="both"/>
              <w:rPr>
                <w:rFonts w:eastAsia="Calibri" w:cs="Times New Roman"/>
                <w:sz w:val="20"/>
                <w:szCs w:val="20"/>
                <w:lang w:val="fr-CA"/>
              </w:rPr>
            </w:pPr>
          </w:p>
        </w:tc>
      </w:tr>
      <w:tr w:rsidR="00D94A41" w:rsidRPr="00732A82" w:rsidTr="00970B11">
        <w:trPr>
          <w:cantSplit/>
        </w:trPr>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19 février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tc>
      </w:tr>
    </w:tbl>
    <w:p w:rsidR="005F5FEC" w:rsidRPr="00732A82" w:rsidRDefault="005F5FEC" w:rsidP="005F5FEC">
      <w:pPr>
        <w:rPr>
          <w:rFonts w:cs="Times New Roman"/>
          <w:sz w:val="20"/>
          <w:szCs w:val="20"/>
          <w:lang w:val="fr-CA"/>
        </w:rPr>
      </w:pPr>
    </w:p>
    <w:p w:rsidR="005F5FEC" w:rsidRPr="00732A82" w:rsidRDefault="000B3306" w:rsidP="005F5FEC">
      <w:pPr>
        <w:rPr>
          <w:rFonts w:cs="Times New Roman"/>
          <w:sz w:val="20"/>
          <w:szCs w:val="20"/>
        </w:rPr>
      </w:pPr>
      <w:r>
        <w:rPr>
          <w:rFonts w:cs="Times New Roman"/>
          <w:sz w:val="20"/>
          <w:szCs w:val="20"/>
          <w:lang w:val="fr-CA"/>
        </w:rPr>
        <w:pict>
          <v:rect id="_x0000_i1056" style="width:2in;height:1pt" o:hrpct="0" o:hralign="center" o:hrstd="t" o:hrnoshade="t" o:hr="t" fillcolor="black [3213]" stroked="f"/>
        </w:pict>
      </w:r>
    </w:p>
    <w:p w:rsidR="005F5FEC" w:rsidRPr="00732A82" w:rsidRDefault="005F5FEC" w:rsidP="005F5FEC">
      <w:pPr>
        <w:rPr>
          <w:rFonts w:cs="Times New Roman"/>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35747</w:t>
            </w:r>
          </w:p>
          <w:p w:rsidR="0014756B" w:rsidRPr="0014756B" w:rsidRDefault="0014756B" w:rsidP="0014756B">
            <w:pPr>
              <w:rPr>
                <w:rFonts w:cs="Times New Roman"/>
                <w:b/>
                <w:sz w:val="20"/>
                <w:szCs w:val="20"/>
                <w:lang w:val="fr-CA"/>
              </w:rPr>
            </w:pPr>
          </w:p>
        </w:tc>
        <w:tc>
          <w:tcPr>
            <w:tcW w:w="8118" w:type="dxa"/>
          </w:tcPr>
          <w:p w:rsidR="0014756B" w:rsidRPr="0014756B" w:rsidRDefault="0014756B" w:rsidP="0014756B">
            <w:pPr>
              <w:rPr>
                <w:rFonts w:cs="Times New Roman"/>
                <w:sz w:val="20"/>
                <w:szCs w:val="20"/>
              </w:rPr>
            </w:pPr>
            <w:r w:rsidRPr="00732A82">
              <w:rPr>
                <w:rFonts w:cs="Times New Roman"/>
                <w:b/>
                <w:sz w:val="20"/>
                <w:szCs w:val="20"/>
                <w:u w:val="single"/>
                <w:lang w:val="en-US"/>
              </w:rPr>
              <w:t>Richwood Adjei v. Her Majesty the Queen</w:t>
            </w:r>
            <w:r w:rsidRPr="0014756B">
              <w:rPr>
                <w:rFonts w:cs="Times New Roman"/>
                <w:sz w:val="20"/>
                <w:szCs w:val="20"/>
              </w:rPr>
              <w:t xml:space="preserve"> (Ont.) (Criminal) (By Leave)</w:t>
            </w:r>
          </w:p>
          <w:p w:rsidR="0014756B" w:rsidRPr="0014756B" w:rsidRDefault="0014756B" w:rsidP="0014756B">
            <w:pPr>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LeBel, Karakatsanis and Wagner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motion for an extension of time to serve and file the application for leave to appeal is granted. The application for leave to appeal from the judgment of the Court of Appeal for Ontario, Number C54638, 2013 ONCA 512, dated August 12, 2013, is dismissed without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requête en prorogation du délai de signification et de dépôt de la demande d’autorisation d’appel est accueillie. La demande d’autorisation d’appel de l’arrêt de la Cour d’appel de l’Ontario, numéro C54638, 2013 ONCA 512, daté du 12 août 2013, est rejetée sans dépens.</w:t>
            </w:r>
          </w:p>
        </w:tc>
      </w:tr>
    </w:tbl>
    <w:p w:rsidR="005F5FEC" w:rsidRPr="00732A82" w:rsidRDefault="005F5FEC" w:rsidP="005F5FEC">
      <w:pPr>
        <w:rPr>
          <w:rFonts w:cs="Times New Roman"/>
          <w:sz w:val="20"/>
          <w:szCs w:val="20"/>
          <w:lang w:val="fr-CA"/>
        </w:rPr>
      </w:pPr>
    </w:p>
    <w:p w:rsidR="005F5FEC" w:rsidRPr="00732A82" w:rsidRDefault="005F5FEC" w:rsidP="005F5FEC">
      <w:pPr>
        <w:rPr>
          <w:rFonts w:cs="Times New Roman"/>
          <w:sz w:val="20"/>
          <w:szCs w:val="20"/>
          <w:u w:val="single"/>
        </w:rPr>
      </w:pPr>
      <w:r w:rsidRPr="00732A82">
        <w:rPr>
          <w:rFonts w:cs="Times New Roman"/>
          <w:sz w:val="20"/>
          <w:szCs w:val="20"/>
          <w:u w:val="single"/>
        </w:rPr>
        <w:t>CASE SUMMARY</w:t>
      </w:r>
    </w:p>
    <w:p w:rsidR="005F5FEC" w:rsidRPr="00732A82" w:rsidRDefault="005F5FEC" w:rsidP="005F5FEC">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Criminal law – Evidence – Hearsay – Whether the Court of Appeal erred in concluding that the hearsay statement of a Crown witness was sufficiently reliable to be admitted under the principled approach to hearsay because it was made to police after the declarant’s arrest</w:t>
            </w: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After a family dispute, the applicant told his brother Clifford not to join other family members to mourn the loss of their sister.  Clifford and his girlfriend ignored the warning.  As Clifford approached the home, the applicant was outside.  Clifford called 911 and reported that the applicant had a big gun in his pocket.  When the police arrived, they saw the brothers arguing. The officers saw another man, Stephen Amofah, leave the house carrying a black duffle bag which seemed to have something long and heavy in it.  When Amofah saw the police, he took the bag back inside the house.  The officers were invited inside the house where they found the black bag with a sawed off shotgun, a rifle and a high capacity magazine suitable for use in the rifle inside the bag. </w:t>
            </w:r>
          </w:p>
          <w:p w:rsidR="00D94A41" w:rsidRPr="00732A82" w:rsidRDefault="00D94A41" w:rsidP="00D94A41">
            <w:pPr>
              <w:jc w:val="both"/>
              <w:rPr>
                <w:rFonts w:eastAsia="Calibri" w:cs="Times New Roman"/>
                <w:sz w:val="20"/>
                <w:szCs w:val="20"/>
              </w:rPr>
            </w:pPr>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The police arrested the applicant and Amofah.  Each was charged with firearms and related offences.  Amofah was advised of the reasons for his arrest and read his </w:t>
            </w:r>
            <w:r w:rsidRPr="00732A82">
              <w:rPr>
                <w:rFonts w:eastAsia="Calibri" w:cs="Times New Roman"/>
                <w:i/>
                <w:sz w:val="20"/>
                <w:szCs w:val="20"/>
              </w:rPr>
              <w:t>Charter</w:t>
            </w:r>
            <w:r w:rsidRPr="00732A82">
              <w:rPr>
                <w:rFonts w:eastAsia="Calibri" w:cs="Times New Roman"/>
                <w:sz w:val="20"/>
                <w:szCs w:val="20"/>
              </w:rPr>
              <w:t xml:space="preserve"> rights.  Amofah gave a statement to police implicating the applicant.  His statement was not under oath and he had not been warned about the consequences of providing a false statement.  The statement was videotaped in its entirety.  At trial, Amofah recanted his statement.  It was admitted </w:t>
            </w:r>
            <w:r w:rsidRPr="00732A82">
              <w:rPr>
                <w:rFonts w:eastAsia="Calibri" w:cs="Times New Roman"/>
                <w:sz w:val="20"/>
                <w:szCs w:val="20"/>
              </w:rPr>
              <w:lastRenderedPageBreak/>
              <w:t xml:space="preserve">under the principled exception to the hearsay rule. </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lastRenderedPageBreak/>
              <w:t>June 17, 2011</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Ontario Superior Court of Justice</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(Belobaba J.)</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Neutral citation: </w:t>
            </w:r>
            <w:hyperlink r:id="rId41" w:history="1">
              <w:r w:rsidRPr="00732A82">
                <w:rPr>
                  <w:rFonts w:eastAsia="Calibri" w:cs="Times New Roman"/>
                  <w:color w:val="0000FF"/>
                  <w:sz w:val="20"/>
                  <w:szCs w:val="20"/>
                  <w:u w:val="single"/>
                </w:rPr>
                <w:t>2011 ONSC 3372</w:t>
              </w:r>
            </w:hyperlink>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Applicant convicted of carrying a concealed weapon, assault with a weapon, and other firearms offences.</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August 12,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Court of Appeal for Ontario</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(Rosenberg, Watt, and Pepall JJ.A.)</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Neutral citation: </w:t>
            </w:r>
            <w:hyperlink r:id="rId42" w:history="1">
              <w:r w:rsidRPr="00732A82">
                <w:rPr>
                  <w:rFonts w:eastAsia="Calibri" w:cs="Times New Roman"/>
                  <w:color w:val="0000FF"/>
                  <w:sz w:val="20"/>
                  <w:szCs w:val="20"/>
                  <w:u w:val="single"/>
                </w:rPr>
                <w:t>2013 ONCA 512</w:t>
              </w:r>
            </w:hyperlink>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Appeal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February 25,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Canada</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5F5FEC">
            <w:pPr>
              <w:jc w:val="both"/>
              <w:rPr>
                <w:rFonts w:eastAsia="Calibri" w:cs="Times New Roman"/>
                <w:sz w:val="20"/>
                <w:szCs w:val="20"/>
              </w:rPr>
            </w:pPr>
            <w:r w:rsidRPr="00732A82">
              <w:rPr>
                <w:rFonts w:eastAsia="Calibri" w:cs="Times New Roman"/>
                <w:sz w:val="20"/>
                <w:szCs w:val="20"/>
              </w:rPr>
              <w:t>Motion for an extension of time to file and/or serve the application for leave to appeal and application for leave to appeal filed.</w:t>
            </w:r>
          </w:p>
        </w:tc>
      </w:tr>
    </w:tbl>
    <w:p w:rsidR="005F5FEC" w:rsidRPr="00732A82" w:rsidRDefault="005F5FEC" w:rsidP="005F5FEC">
      <w:pPr>
        <w:rPr>
          <w:rFonts w:cs="Times New Roman"/>
          <w:sz w:val="20"/>
          <w:szCs w:val="20"/>
        </w:rPr>
      </w:pPr>
    </w:p>
    <w:p w:rsidR="005F5FEC" w:rsidRPr="00732A82" w:rsidRDefault="000B3306" w:rsidP="005F5FEC">
      <w:pPr>
        <w:rPr>
          <w:rFonts w:cs="Times New Roman"/>
          <w:sz w:val="20"/>
          <w:szCs w:val="20"/>
        </w:rPr>
      </w:pPr>
      <w:r>
        <w:rPr>
          <w:rFonts w:cs="Times New Roman"/>
          <w:sz w:val="20"/>
          <w:szCs w:val="20"/>
          <w:lang w:val="fr-CA"/>
        </w:rPr>
        <w:pict>
          <v:rect id="_x0000_i1057" style="width:2in;height:1pt" o:hrpct="0" o:hralign="center" o:hrstd="t" o:hrnoshade="t" o:hr="t" fillcolor="black [3213]" stroked="f"/>
        </w:pict>
      </w:r>
    </w:p>
    <w:p w:rsidR="005F5FEC" w:rsidRPr="00732A82" w:rsidRDefault="005F5FEC" w:rsidP="005F5FEC">
      <w:pPr>
        <w:rPr>
          <w:rFonts w:cs="Times New Roman"/>
          <w:sz w:val="20"/>
          <w:szCs w:val="20"/>
        </w:rPr>
      </w:pPr>
    </w:p>
    <w:p w:rsidR="005F5FEC" w:rsidRPr="00732A82" w:rsidRDefault="005F5FEC" w:rsidP="005F5FEC">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Droit criminel – Preuve – Ouï-dire – La Cour d’appel a-t-elle eu tort de conclure que la déclaration relatée du témoin du ministère public était suffisamment fiable pour être admise suivant l’approche raisonnée en matière de ouï-dire parce qu’elle avait été faite aux policiers après l’arrestation de l’auteur de la déclaration?</w:t>
            </w: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À la suite d’une dispute familiale, le demandeur a dit à son frère Clifford de ne pas se joindre à d’autres membres de la famille pour pleurer la perte de leur sœur.  Clifford et sa petite amie ont fait fi de la mise en garde.  Alors que Clifford approchait la maison, le demandeur se trouvait à l’extérieur.  Clifford a composé le 911 et a déclaré que le demandeur avait un gros fusil dans sa poche.  Lorsque les policiers sont arrivés, ils ont vu les frères en train de se disputer. Les policiers ont aperçu un autre homme, Stephen Amofah, quitter la maison portant un sac de voyage noir qui semblait contenir quelque chose de long et de lourd.  Lorsque M. Amofah a aperçu les policiers, il a rapporté le sac dans la maison.  Les policiers ont été invités dans la maison où ils ont trouvé le sac noir renfermant un fusil de chasse à canon tronqué, une carabine et un chargeur de haute capacité qui pouvait être utilisé avec la carabine. </w:t>
            </w:r>
          </w:p>
          <w:p w:rsidR="00D94A41" w:rsidRPr="00732A82" w:rsidRDefault="00D94A41" w:rsidP="00D94A41">
            <w:pPr>
              <w:jc w:val="both"/>
              <w:rPr>
                <w:rFonts w:eastAsia="Calibri" w:cs="Times New Roman"/>
                <w:sz w:val="20"/>
                <w:szCs w:val="20"/>
                <w:lang w:val="fr-CA"/>
              </w:rPr>
            </w:pP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Les policiers ont arrêté le demandeur et M. Amofah. Chacun a été accusé d’infractions liées aux armes à feu et d’infractions connexes.  Monsieur Amofah a été informé des motifs de son arrestation et on lui a fait lecture de ses droits garantis par la </w:t>
            </w:r>
            <w:r w:rsidRPr="00732A82">
              <w:rPr>
                <w:rFonts w:eastAsia="Calibri" w:cs="Times New Roman"/>
                <w:i/>
                <w:sz w:val="20"/>
                <w:szCs w:val="20"/>
                <w:lang w:val="fr-CA"/>
              </w:rPr>
              <w:t>Charte</w:t>
            </w:r>
            <w:r w:rsidRPr="00732A82">
              <w:rPr>
                <w:rFonts w:eastAsia="Calibri" w:cs="Times New Roman"/>
                <w:sz w:val="20"/>
                <w:szCs w:val="20"/>
                <w:lang w:val="fr-CA"/>
              </w:rPr>
              <w:t>.  Monsieur Amofah a fait une déclaration aux policiers impliquant le demandeur.  Sa déclaration n’a pas été faite sous serment et il n’avait pas été averti des conséquences d’une fausse déclaration.  La déclaration a été intégralement enregistrée sur bande vidéo.  Au procès, Monsieur Amofah est revenu sur sa déclaration.  Celle-ci a été admise en vertu de l’exception raisonnée à la règle du ouï</w:t>
            </w:r>
            <w:r w:rsidRPr="00732A82">
              <w:rPr>
                <w:rFonts w:eastAsia="Calibri" w:cs="Times New Roman"/>
                <w:sz w:val="20"/>
                <w:szCs w:val="20"/>
                <w:lang w:val="fr-CA"/>
              </w:rPr>
              <w:noBreakHyphen/>
              <w:t xml:space="preserve">dire. </w:t>
            </w:r>
          </w:p>
          <w:p w:rsidR="00D94A41" w:rsidRPr="00732A82" w:rsidRDefault="00D94A41" w:rsidP="00D94A41">
            <w:pPr>
              <w:jc w:val="both"/>
              <w:rPr>
                <w:rFonts w:eastAsia="Calibri" w:cs="Times New Roman"/>
                <w:sz w:val="20"/>
                <w:szCs w:val="20"/>
                <w:lang w:val="fr-CA"/>
              </w:rPr>
            </w:pPr>
          </w:p>
        </w:tc>
      </w:tr>
      <w:tr w:rsidR="00D94A41" w:rsidRPr="00EA4608"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17 juin 2011</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supérieure de justice de l’Ontario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Belobaba)</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Référence neutre : </w:t>
            </w:r>
            <w:hyperlink r:id="rId43" w:history="1">
              <w:r w:rsidRPr="00732A82">
                <w:rPr>
                  <w:rFonts w:eastAsia="Calibri" w:cs="Times New Roman"/>
                  <w:color w:val="0000FF"/>
                  <w:sz w:val="20"/>
                  <w:szCs w:val="20"/>
                  <w:u w:val="single"/>
                  <w:lang w:val="fr-CA"/>
                </w:rPr>
                <w:t>2011 ONSC 3372</w:t>
              </w:r>
            </w:hyperlink>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Demandeur déclaré coupable de port d’une arme dissimulée, d’agression armée et d’autres infractions liées aux armes à feu.</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12 août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Cour d’appel de l’Ontario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(Juges Rosenberg, Watt et Pepall)</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Référence neutre : </w:t>
            </w:r>
            <w:hyperlink r:id="rId44" w:history="1">
              <w:r w:rsidRPr="00732A82">
                <w:rPr>
                  <w:rFonts w:eastAsia="Calibri" w:cs="Times New Roman"/>
                  <w:color w:val="0000FF"/>
                  <w:sz w:val="20"/>
                  <w:szCs w:val="20"/>
                  <w:u w:val="single"/>
                  <w:lang w:val="fr-CA"/>
                </w:rPr>
                <w:t>2013 ONCA 512</w:t>
              </w:r>
            </w:hyperlink>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Appel rejeté.</w:t>
            </w:r>
          </w:p>
          <w:p w:rsidR="00D94A41" w:rsidRPr="00732A82" w:rsidRDefault="00D94A41" w:rsidP="00D94A41">
            <w:pPr>
              <w:jc w:val="both"/>
              <w:rPr>
                <w:rFonts w:eastAsia="Calibri" w:cs="Times New Roman"/>
                <w:sz w:val="20"/>
                <w:szCs w:val="20"/>
                <w:lang w:val="fr-CA"/>
              </w:rPr>
            </w:pPr>
          </w:p>
        </w:tc>
      </w:tr>
      <w:tr w:rsidR="00D94A41" w:rsidRPr="00EA4608"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lastRenderedPageBreak/>
              <w:t>25 février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5F5FEC">
            <w:pPr>
              <w:jc w:val="both"/>
              <w:rPr>
                <w:rFonts w:eastAsia="Calibri" w:cs="Times New Roman"/>
                <w:sz w:val="20"/>
                <w:szCs w:val="20"/>
                <w:lang w:val="fr-CA"/>
              </w:rPr>
            </w:pPr>
            <w:r w:rsidRPr="00732A82">
              <w:rPr>
                <w:rFonts w:eastAsia="Calibri" w:cs="Times New Roman"/>
                <w:sz w:val="20"/>
                <w:szCs w:val="20"/>
                <w:lang w:val="fr-CA"/>
              </w:rPr>
              <w:t>Requête en prorogation du délai de dépôt et de signification de la demande autorisation d’appel et demande d’autorisation d’appel, déposées.</w:t>
            </w:r>
          </w:p>
        </w:tc>
      </w:tr>
    </w:tbl>
    <w:p w:rsidR="005F5FEC" w:rsidRPr="00732A82" w:rsidRDefault="005F5FEC" w:rsidP="005F5FEC">
      <w:pPr>
        <w:rPr>
          <w:rFonts w:cs="Times New Roman"/>
          <w:sz w:val="20"/>
          <w:szCs w:val="20"/>
          <w:lang w:val="fr-CA"/>
        </w:rPr>
      </w:pPr>
    </w:p>
    <w:p w:rsidR="005F5FEC" w:rsidRPr="00732A82" w:rsidRDefault="000B3306" w:rsidP="005F5FEC">
      <w:pPr>
        <w:rPr>
          <w:rFonts w:cs="Times New Roman"/>
          <w:sz w:val="20"/>
          <w:szCs w:val="20"/>
        </w:rPr>
      </w:pPr>
      <w:r>
        <w:rPr>
          <w:rFonts w:cs="Times New Roman"/>
          <w:sz w:val="20"/>
          <w:szCs w:val="20"/>
          <w:lang w:val="fr-CA"/>
        </w:rPr>
        <w:pict>
          <v:rect id="_x0000_i1058" style="width:2in;height:1pt" o:hrpct="0" o:hralign="center" o:hrstd="t" o:hrnoshade="t" o:hr="t" fillcolor="black [3213]" stroked="f"/>
        </w:pict>
      </w:r>
    </w:p>
    <w:p w:rsidR="005F5FEC" w:rsidRPr="00732A82" w:rsidRDefault="005F5FEC" w:rsidP="005F5FEC">
      <w:pPr>
        <w:rPr>
          <w:rFonts w:cs="Times New Roman"/>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756B" w:rsidRPr="0014756B" w:rsidTr="00732A82">
        <w:trPr>
          <w:cantSplit/>
        </w:trPr>
        <w:tc>
          <w:tcPr>
            <w:tcW w:w="1458" w:type="dxa"/>
          </w:tcPr>
          <w:p w:rsidR="0014756B" w:rsidRPr="0014756B" w:rsidRDefault="0014756B" w:rsidP="0014756B">
            <w:pPr>
              <w:rPr>
                <w:rFonts w:cs="Times New Roman"/>
                <w:sz w:val="20"/>
                <w:szCs w:val="20"/>
              </w:rPr>
            </w:pPr>
            <w:r w:rsidRPr="00732A82">
              <w:rPr>
                <w:rFonts w:cs="Times New Roman"/>
                <w:b/>
                <w:sz w:val="20"/>
                <w:szCs w:val="20"/>
                <w:lang w:val="fr-CA"/>
              </w:rPr>
              <w:t>35754</w:t>
            </w:r>
          </w:p>
          <w:p w:rsidR="0014756B" w:rsidRPr="0014756B" w:rsidRDefault="0014756B" w:rsidP="0014756B">
            <w:pPr>
              <w:rPr>
                <w:rFonts w:cs="Times New Roman"/>
                <w:b/>
                <w:sz w:val="20"/>
                <w:szCs w:val="20"/>
                <w:lang w:val="fr-CA"/>
              </w:rPr>
            </w:pPr>
          </w:p>
        </w:tc>
        <w:tc>
          <w:tcPr>
            <w:tcW w:w="8118" w:type="dxa"/>
          </w:tcPr>
          <w:p w:rsidR="0014756B" w:rsidRPr="0014756B" w:rsidRDefault="0014756B" w:rsidP="00732B63">
            <w:pPr>
              <w:jc w:val="both"/>
              <w:rPr>
                <w:rFonts w:cs="Times New Roman"/>
                <w:sz w:val="20"/>
                <w:szCs w:val="20"/>
              </w:rPr>
            </w:pPr>
            <w:r w:rsidRPr="00732A82">
              <w:rPr>
                <w:rFonts w:cs="Times New Roman"/>
                <w:b/>
                <w:sz w:val="20"/>
                <w:szCs w:val="20"/>
                <w:u w:val="single"/>
                <w:lang w:val="en-US"/>
              </w:rPr>
              <w:t>Sayed Geissah</w:t>
            </w:r>
            <w:r w:rsidR="00732B63">
              <w:rPr>
                <w:rFonts w:cs="Times New Roman"/>
                <w:b/>
                <w:sz w:val="20"/>
                <w:szCs w:val="20"/>
                <w:u w:val="single"/>
                <w:lang w:val="en-US"/>
              </w:rPr>
              <w:t xml:space="preserve"> and</w:t>
            </w:r>
            <w:r w:rsidRPr="00732A82">
              <w:rPr>
                <w:rFonts w:cs="Times New Roman"/>
                <w:b/>
                <w:sz w:val="20"/>
                <w:szCs w:val="20"/>
                <w:u w:val="single"/>
                <w:lang w:val="en-US"/>
              </w:rPr>
              <w:t xml:space="preserve"> Souad Khalaf v. British Columbia Medical Services Commission</w:t>
            </w:r>
            <w:r w:rsidRPr="0014756B">
              <w:rPr>
                <w:rFonts w:cs="Times New Roman"/>
                <w:sz w:val="20"/>
                <w:szCs w:val="20"/>
              </w:rPr>
              <w:t xml:space="preserve"> (B.C.) (Civil) (By Leave)</w:t>
            </w:r>
          </w:p>
          <w:p w:rsidR="0014756B" w:rsidRPr="0014756B" w:rsidRDefault="0014756B" w:rsidP="00732B63">
            <w:pPr>
              <w:jc w:val="both"/>
              <w:rPr>
                <w:rFonts w:cs="Times New Roman"/>
                <w:sz w:val="20"/>
                <w:szCs w:val="20"/>
              </w:rPr>
            </w:pPr>
          </w:p>
        </w:tc>
      </w:tr>
      <w:tr w:rsidR="0014756B" w:rsidRPr="0014756B" w:rsidTr="00732A82">
        <w:trPr>
          <w:cantSplit/>
        </w:trPr>
        <w:tc>
          <w:tcPr>
            <w:tcW w:w="1458" w:type="dxa"/>
          </w:tcPr>
          <w:p w:rsidR="0014756B" w:rsidRPr="0014756B" w:rsidRDefault="0014756B" w:rsidP="0014756B">
            <w:pPr>
              <w:rPr>
                <w:rFonts w:cs="Times New Roman"/>
                <w:sz w:val="20"/>
                <w:szCs w:val="20"/>
              </w:rPr>
            </w:pPr>
            <w:r w:rsidRPr="0014756B">
              <w:rPr>
                <w:rFonts w:cs="Times New Roman"/>
                <w:sz w:val="20"/>
                <w:szCs w:val="20"/>
              </w:rPr>
              <w:t>Coram :</w:t>
            </w:r>
          </w:p>
        </w:tc>
        <w:tc>
          <w:tcPr>
            <w:tcW w:w="8118" w:type="dxa"/>
          </w:tcPr>
          <w:p w:rsidR="0014756B" w:rsidRPr="0014756B" w:rsidRDefault="0014756B" w:rsidP="0014756B">
            <w:pPr>
              <w:rPr>
                <w:rFonts w:cs="Times New Roman"/>
                <w:sz w:val="20"/>
                <w:szCs w:val="20"/>
              </w:rPr>
            </w:pPr>
            <w:r w:rsidRPr="00732A82">
              <w:rPr>
                <w:rFonts w:cs="Times New Roman"/>
                <w:sz w:val="20"/>
                <w:szCs w:val="20"/>
                <w:u w:val="single"/>
                <w:lang w:val="en-US"/>
              </w:rPr>
              <w:t>LeBel, Karakatsanis and Wagner JJ.</w:t>
            </w:r>
          </w:p>
          <w:p w:rsidR="0014756B" w:rsidRPr="0014756B" w:rsidRDefault="0014756B" w:rsidP="0014756B">
            <w:pPr>
              <w:rPr>
                <w:rFonts w:cs="Times New Roman"/>
                <w:sz w:val="20"/>
                <w:szCs w:val="20"/>
                <w:u w:val="single"/>
              </w:rPr>
            </w:pPr>
          </w:p>
        </w:tc>
      </w:tr>
      <w:tr w:rsidR="0014756B" w:rsidRPr="00EA4608" w:rsidTr="00732A82">
        <w:trPr>
          <w:cantSplit/>
        </w:trPr>
        <w:tc>
          <w:tcPr>
            <w:tcW w:w="9576" w:type="dxa"/>
            <w:gridSpan w:val="2"/>
          </w:tcPr>
          <w:p w:rsidR="0014756B" w:rsidRPr="0014756B" w:rsidRDefault="0014756B" w:rsidP="0014756B">
            <w:pPr>
              <w:ind w:firstLine="720"/>
              <w:jc w:val="both"/>
              <w:rPr>
                <w:rFonts w:cs="Times New Roman"/>
                <w:sz w:val="20"/>
                <w:szCs w:val="20"/>
              </w:rPr>
            </w:pPr>
            <w:r w:rsidRPr="0014756B">
              <w:rPr>
                <w:rFonts w:cs="Times New Roman"/>
                <w:sz w:val="20"/>
                <w:szCs w:val="20"/>
              </w:rPr>
              <w:t>The application for leave to appeal from the judgment of the Court of Appeal for British Columbia (Vancouver), Number CA040888, 2014 BCCA 4, dated January 8, 2014, is dismissed without costs.</w:t>
            </w:r>
          </w:p>
          <w:p w:rsidR="0014756B" w:rsidRPr="0014756B" w:rsidRDefault="0014756B" w:rsidP="0014756B">
            <w:pPr>
              <w:jc w:val="both"/>
              <w:rPr>
                <w:rFonts w:cs="Times New Roman"/>
                <w:sz w:val="20"/>
                <w:szCs w:val="20"/>
              </w:rPr>
            </w:pPr>
          </w:p>
          <w:p w:rsidR="0014756B" w:rsidRPr="0014756B" w:rsidRDefault="0014756B" w:rsidP="0014756B">
            <w:pPr>
              <w:ind w:firstLine="720"/>
              <w:jc w:val="both"/>
              <w:rPr>
                <w:rFonts w:cs="Times New Roman"/>
                <w:sz w:val="20"/>
                <w:szCs w:val="20"/>
                <w:lang w:val="fr-CA"/>
              </w:rPr>
            </w:pPr>
            <w:r w:rsidRPr="0014756B">
              <w:rPr>
                <w:rFonts w:cs="Times New Roman"/>
                <w:sz w:val="20"/>
                <w:szCs w:val="20"/>
                <w:lang w:val="fr-CA"/>
              </w:rPr>
              <w:t>La demande d’autorisation d’appel de l’arrêt de la Cour d’appel de la Colombie-Britannique (Vancouver), numéro CA040888, 2014 BCCA 4, daté du 8 janvier 2014, est rejetée sans dépens.</w:t>
            </w:r>
            <w:r w:rsidRPr="00732A82">
              <w:rPr>
                <w:rFonts w:cs="Times New Roman"/>
                <w:sz w:val="20"/>
                <w:szCs w:val="20"/>
                <w:lang w:val="fr-CA"/>
              </w:rPr>
              <w:t xml:space="preserve"> </w:t>
            </w:r>
          </w:p>
        </w:tc>
      </w:tr>
    </w:tbl>
    <w:p w:rsidR="005F5FEC" w:rsidRPr="00732A82" w:rsidRDefault="005F5FEC" w:rsidP="005F5FEC">
      <w:pPr>
        <w:rPr>
          <w:rFonts w:cs="Times New Roman"/>
          <w:sz w:val="20"/>
          <w:szCs w:val="20"/>
          <w:lang w:val="fr-CA"/>
        </w:rPr>
      </w:pPr>
    </w:p>
    <w:p w:rsidR="005F5FEC" w:rsidRPr="00732A82" w:rsidRDefault="005F5FEC" w:rsidP="005F5FEC">
      <w:pPr>
        <w:rPr>
          <w:rFonts w:cs="Times New Roman"/>
          <w:sz w:val="20"/>
          <w:szCs w:val="20"/>
          <w:u w:val="single"/>
        </w:rPr>
      </w:pPr>
      <w:r w:rsidRPr="00732A82">
        <w:rPr>
          <w:rFonts w:cs="Times New Roman"/>
          <w:sz w:val="20"/>
          <w:szCs w:val="20"/>
          <w:u w:val="single"/>
        </w:rPr>
        <w:t>CASE SUMMARY</w:t>
      </w:r>
    </w:p>
    <w:p w:rsidR="005F5FEC" w:rsidRPr="00732A82" w:rsidRDefault="005F5FEC">
      <w:pPr>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Social law – Health insurance – Provincial residency requirements – Whether the Medical Services Commission’s finding that the applicants were ineligible for provincial healthcare benefits for a period of approximately eight years was unreasonable – </w:t>
            </w:r>
            <w:r w:rsidRPr="00732A82">
              <w:rPr>
                <w:rFonts w:eastAsia="Calibri" w:cs="Times New Roman"/>
                <w:i/>
                <w:sz w:val="20"/>
                <w:szCs w:val="20"/>
              </w:rPr>
              <w:t>Medicare Protection Act</w:t>
            </w:r>
            <w:r w:rsidRPr="00732A82">
              <w:rPr>
                <w:rFonts w:eastAsia="Calibri" w:cs="Times New Roman"/>
                <w:sz w:val="20"/>
                <w:szCs w:val="20"/>
              </w:rPr>
              <w:t>, R.S.B.C. 1996, c. 286, ss. 1, 5(1)(f) and 7.4(1)(b).</w:t>
            </w: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In 2012, the Medical Services Commission of British Columbia determined that, because they did not meet the residency requirements of the </w:t>
            </w:r>
            <w:r w:rsidRPr="00732A82">
              <w:rPr>
                <w:rFonts w:eastAsia="Calibri" w:cs="Times New Roman"/>
                <w:i/>
                <w:sz w:val="20"/>
                <w:szCs w:val="20"/>
              </w:rPr>
              <w:t>Medicare Protection Act</w:t>
            </w:r>
            <w:r w:rsidRPr="00732A82">
              <w:rPr>
                <w:rFonts w:eastAsia="Calibri" w:cs="Times New Roman"/>
                <w:sz w:val="20"/>
                <w:szCs w:val="20"/>
              </w:rPr>
              <w:t>, R.S.B.C. 1996, c. 286, the applicants were retroactively ineligible for provincial healthcare benefits for approximately eight years.  The applicants’ application for judicial review of that decision was dismissed on the basis that the Commission’s decision that they were not entitled to benefits was one it could reasonably make on the record before it.  The Court of Appeal dismissed the appeal.</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April 18, 2013</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British Columbia</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(Willcock J.)</w:t>
            </w:r>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for judicial review of decision of Medical Services Commission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January 8,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 xml:space="preserve">Court of Appeal for British Columbia </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(Vancouver)</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(Newbury, Frankel and Garson JJ.A.)</w:t>
            </w:r>
          </w:p>
          <w:p w:rsidR="00D94A41" w:rsidRPr="00732A82" w:rsidRDefault="000B3306" w:rsidP="00D94A41">
            <w:pPr>
              <w:jc w:val="both"/>
              <w:rPr>
                <w:rFonts w:eastAsia="Calibri" w:cs="Times New Roman"/>
                <w:sz w:val="20"/>
                <w:szCs w:val="20"/>
              </w:rPr>
            </w:pPr>
            <w:hyperlink r:id="rId45" w:history="1">
              <w:r w:rsidR="00D94A41" w:rsidRPr="00732A82">
                <w:rPr>
                  <w:rFonts w:eastAsia="Calibri" w:cs="Times New Roman"/>
                  <w:color w:val="0000FF"/>
                  <w:sz w:val="20"/>
                  <w:szCs w:val="20"/>
                  <w:u w:val="single"/>
                </w:rPr>
                <w:t>2014 BCCA 4</w:t>
              </w:r>
            </w:hyperlink>
          </w:p>
          <w:p w:rsidR="00D94A41" w:rsidRPr="00732A82" w:rsidRDefault="00D94A41" w:rsidP="00D94A41">
            <w:pPr>
              <w:jc w:val="both"/>
              <w:rPr>
                <w:rFonts w:eastAsia="Calibri" w:cs="Times New Roman"/>
                <w:sz w:val="20"/>
                <w:szCs w:val="20"/>
              </w:rPr>
            </w:pP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Appeal dismissed</w:t>
            </w:r>
          </w:p>
          <w:p w:rsidR="00D94A41" w:rsidRPr="00732A82" w:rsidRDefault="00D94A41" w:rsidP="00D94A41">
            <w:pPr>
              <w:jc w:val="both"/>
              <w:rPr>
                <w:rFonts w:eastAsia="Calibri" w:cs="Times New Roman"/>
                <w:sz w:val="20"/>
                <w:szCs w:val="20"/>
              </w:rPr>
            </w:pPr>
          </w:p>
        </w:tc>
      </w:tr>
      <w:tr w:rsidR="00D94A41" w:rsidRPr="00732A82" w:rsidTr="00D94A41">
        <w:tc>
          <w:tcPr>
            <w:tcW w:w="2427"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March 4, 2014</w:t>
            </w:r>
          </w:p>
          <w:p w:rsidR="00D94A41" w:rsidRPr="00732A82" w:rsidRDefault="00D94A41" w:rsidP="00D94A41">
            <w:pPr>
              <w:jc w:val="both"/>
              <w:rPr>
                <w:rFonts w:eastAsia="Calibri" w:cs="Times New Roman"/>
                <w:sz w:val="20"/>
                <w:szCs w:val="20"/>
              </w:rPr>
            </w:pPr>
            <w:r w:rsidRPr="00732A82">
              <w:rPr>
                <w:rFonts w:eastAsia="Calibri" w:cs="Times New Roman"/>
                <w:sz w:val="20"/>
                <w:szCs w:val="20"/>
              </w:rPr>
              <w:t>Supreme Court of Canada</w:t>
            </w:r>
          </w:p>
        </w:tc>
        <w:tc>
          <w:tcPr>
            <w:tcW w:w="243" w:type="pct"/>
          </w:tcPr>
          <w:p w:rsidR="00D94A41" w:rsidRPr="00732A82" w:rsidRDefault="00D94A41" w:rsidP="00D94A41">
            <w:pPr>
              <w:jc w:val="both"/>
              <w:rPr>
                <w:rFonts w:eastAsia="Calibri" w:cs="Times New Roman"/>
                <w:sz w:val="20"/>
                <w:szCs w:val="20"/>
              </w:rPr>
            </w:pPr>
          </w:p>
        </w:tc>
        <w:tc>
          <w:tcPr>
            <w:tcW w:w="2330" w:type="pct"/>
          </w:tcPr>
          <w:p w:rsidR="00D94A41" w:rsidRPr="00732A82" w:rsidRDefault="00D94A41" w:rsidP="00D94A41">
            <w:pPr>
              <w:jc w:val="both"/>
              <w:rPr>
                <w:rFonts w:eastAsia="Calibri" w:cs="Times New Roman"/>
                <w:sz w:val="20"/>
                <w:szCs w:val="20"/>
              </w:rPr>
            </w:pPr>
            <w:r w:rsidRPr="00732A82">
              <w:rPr>
                <w:rFonts w:eastAsia="Calibri" w:cs="Times New Roman"/>
                <w:sz w:val="20"/>
                <w:szCs w:val="20"/>
              </w:rPr>
              <w:t>Application for leave to appeal filed</w:t>
            </w:r>
          </w:p>
          <w:p w:rsidR="00D94A41" w:rsidRPr="00732A82" w:rsidRDefault="00D94A41" w:rsidP="00D94A41">
            <w:pPr>
              <w:jc w:val="both"/>
              <w:rPr>
                <w:rFonts w:eastAsia="Calibri" w:cs="Times New Roman"/>
                <w:sz w:val="20"/>
                <w:szCs w:val="20"/>
              </w:rPr>
            </w:pPr>
          </w:p>
        </w:tc>
      </w:tr>
    </w:tbl>
    <w:p w:rsidR="005F5FEC" w:rsidRPr="00732A82" w:rsidRDefault="005F5FEC" w:rsidP="005F5FEC">
      <w:pPr>
        <w:rPr>
          <w:rFonts w:cs="Times New Roman"/>
          <w:sz w:val="20"/>
          <w:szCs w:val="20"/>
          <w:lang w:val="en-US"/>
        </w:rPr>
      </w:pPr>
    </w:p>
    <w:p w:rsidR="005F5FEC" w:rsidRPr="00732A82" w:rsidRDefault="000B3306" w:rsidP="005F5FEC">
      <w:pPr>
        <w:rPr>
          <w:rFonts w:cs="Times New Roman"/>
          <w:sz w:val="20"/>
          <w:szCs w:val="20"/>
        </w:rPr>
      </w:pPr>
      <w:r>
        <w:rPr>
          <w:rFonts w:cs="Times New Roman"/>
          <w:sz w:val="20"/>
          <w:szCs w:val="20"/>
          <w:lang w:val="fr-CA"/>
        </w:rPr>
        <w:pict>
          <v:rect id="_x0000_i1059" style="width:2in;height:1pt" o:hrpct="0" o:hralign="center" o:hrstd="t" o:hrnoshade="t" o:hr="t" fillcolor="black [3213]" stroked="f"/>
        </w:pict>
      </w:r>
    </w:p>
    <w:p w:rsidR="005F5FEC" w:rsidRPr="00732A82" w:rsidRDefault="005F5FEC" w:rsidP="005F5FEC">
      <w:pPr>
        <w:rPr>
          <w:rFonts w:cs="Times New Roman"/>
          <w:sz w:val="20"/>
          <w:szCs w:val="20"/>
        </w:rPr>
      </w:pPr>
    </w:p>
    <w:p w:rsidR="005F5FEC" w:rsidRPr="00732A82" w:rsidRDefault="005F5FEC" w:rsidP="005F5FEC">
      <w:pPr>
        <w:rPr>
          <w:rFonts w:cs="Times New Roman"/>
          <w:sz w:val="20"/>
          <w:szCs w:val="20"/>
          <w:u w:val="single"/>
          <w:lang w:val="fr-CA"/>
        </w:rPr>
      </w:pPr>
      <w:r w:rsidRPr="00732A82">
        <w:rPr>
          <w:rFonts w:cs="Times New Roman"/>
          <w:sz w:val="20"/>
          <w:szCs w:val="20"/>
          <w:u w:val="single"/>
          <w:lang w:val="fr-CA"/>
        </w:rPr>
        <w:t>RÉSUMÉ DE L’AFFAIRE</w:t>
      </w:r>
    </w:p>
    <w:p w:rsidR="00D94A41" w:rsidRPr="00732A82" w:rsidRDefault="00D94A41" w:rsidP="00D94A41">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Droit social – Assurance maladie – Conditions de résidence dans une province – La conclusion de la Medical Services Commission (la « Commission des services médicaux ») selon laquelle les demandeurs n’avaient pas droit à des prestations provinciales pour soins de santé pendant une période d’environ huit ans était</w:t>
            </w:r>
            <w:r w:rsidRPr="00732A82">
              <w:rPr>
                <w:rFonts w:eastAsia="Calibri" w:cs="Times New Roman"/>
                <w:sz w:val="20"/>
                <w:szCs w:val="20"/>
                <w:lang w:val="fr-CA"/>
              </w:rPr>
              <w:noBreakHyphen/>
              <w:t xml:space="preserve">elle déraisonnable? – </w:t>
            </w:r>
            <w:r w:rsidRPr="00732A82">
              <w:rPr>
                <w:rFonts w:eastAsia="Calibri" w:cs="Times New Roman"/>
                <w:i/>
                <w:sz w:val="20"/>
                <w:szCs w:val="20"/>
                <w:lang w:val="fr-CA"/>
              </w:rPr>
              <w:lastRenderedPageBreak/>
              <w:t>Medicare Protection Act</w:t>
            </w:r>
            <w:r w:rsidRPr="00732A82">
              <w:rPr>
                <w:rFonts w:eastAsia="Calibri" w:cs="Times New Roman"/>
                <w:sz w:val="20"/>
                <w:szCs w:val="20"/>
                <w:lang w:val="fr-CA"/>
              </w:rPr>
              <w:t>, R.S.B.C. 1996, ch. 286, art. 1, 5(1)(f) et 7.4(1)(b).</w:t>
            </w:r>
          </w:p>
        </w:tc>
      </w:tr>
      <w:tr w:rsidR="00D94A41" w:rsidRPr="00EA4608" w:rsidTr="00D94A41">
        <w:tc>
          <w:tcPr>
            <w:tcW w:w="5000" w:type="pct"/>
            <w:gridSpan w:val="3"/>
          </w:tcPr>
          <w:p w:rsidR="00D94A41" w:rsidRPr="00732A82" w:rsidRDefault="00D94A41" w:rsidP="00D94A41">
            <w:pPr>
              <w:jc w:val="both"/>
              <w:rPr>
                <w:rFonts w:eastAsia="Calibri" w:cs="Times New Roman"/>
                <w:sz w:val="20"/>
                <w:szCs w:val="20"/>
                <w:lang w:val="fr-CA"/>
              </w:rPr>
            </w:pPr>
          </w:p>
        </w:tc>
      </w:tr>
      <w:tr w:rsidR="00D94A41" w:rsidRPr="00732A82" w:rsidTr="00D94A41">
        <w:tc>
          <w:tcPr>
            <w:tcW w:w="5000" w:type="pct"/>
            <w:gridSpan w:val="3"/>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 xml:space="preserve">En 2012, la Commission des services médicaux a conclu que, comme ils ne satisfaisaient pas aux conditions de résidence prévues par la </w:t>
            </w:r>
            <w:r w:rsidRPr="00732A82">
              <w:rPr>
                <w:rFonts w:eastAsia="Calibri" w:cs="Times New Roman"/>
                <w:i/>
                <w:sz w:val="20"/>
                <w:szCs w:val="20"/>
                <w:lang w:val="fr-CA"/>
              </w:rPr>
              <w:t>Medicare Protection Act</w:t>
            </w:r>
            <w:r w:rsidRPr="00732A82">
              <w:rPr>
                <w:rFonts w:eastAsia="Calibri" w:cs="Times New Roman"/>
                <w:sz w:val="20"/>
                <w:szCs w:val="20"/>
                <w:lang w:val="fr-CA"/>
              </w:rPr>
              <w:t>, R.S.B.C. 1996, ch. 286, les demandeurs n’avaient pas droit de façon rétroactive aux prestations provinciales pour soins de santé pendant une période d’environ huit ans.  La demande de révision judiciaire présentée par les demandeurs à l’encontre de cette décision a été rejetée au motif que celle</w:t>
            </w:r>
            <w:r w:rsidRPr="00732A82">
              <w:rPr>
                <w:rFonts w:eastAsia="Calibri" w:cs="Times New Roman"/>
                <w:sz w:val="20"/>
                <w:szCs w:val="20"/>
                <w:lang w:val="fr-CA"/>
              </w:rPr>
              <w:noBreakHyphen/>
              <w:t>ci était raisonnable eu égard au dossier dont la Commission des services médicaux disposait.  La Cour d’appel a rejeté l’appel.</w:t>
            </w:r>
          </w:p>
          <w:p w:rsidR="00D94A41" w:rsidRPr="00732A82" w:rsidRDefault="00D94A41" w:rsidP="00D94A41">
            <w:pPr>
              <w:jc w:val="both"/>
              <w:rPr>
                <w:rFonts w:eastAsia="Calibri" w:cs="Times New Roman"/>
                <w:sz w:val="20"/>
                <w:szCs w:val="20"/>
                <w:lang w:val="fr-CA"/>
              </w:rPr>
            </w:pPr>
          </w:p>
        </w:tc>
      </w:tr>
      <w:tr w:rsidR="00D94A41" w:rsidRPr="00EA4608"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18 avril 2013</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de la Colombie</w:t>
            </w:r>
            <w:r w:rsidRPr="00732A82">
              <w:rPr>
                <w:rFonts w:eastAsia="Calibri" w:cs="Times New Roman"/>
                <w:sz w:val="20"/>
                <w:szCs w:val="20"/>
                <w:lang w:val="fr-CA"/>
              </w:rPr>
              <w:noBreakHyphen/>
              <w:t>Britannique</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 Willcock)</w:t>
            </w:r>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de révision judiciaire d’une décision de la Commission des services médicaux rejetée</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8 janvier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d’appel de la Colombie</w:t>
            </w:r>
            <w:r w:rsidRPr="00732A82">
              <w:rPr>
                <w:rFonts w:eastAsia="Calibri" w:cs="Times New Roman"/>
                <w:sz w:val="20"/>
                <w:szCs w:val="20"/>
                <w:lang w:val="fr-CA"/>
              </w:rPr>
              <w:noBreakHyphen/>
              <w:t xml:space="preserve">Britannique </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(Vancouver)</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(Juges Newbury, Frankel et Garson)</w:t>
            </w:r>
          </w:p>
          <w:p w:rsidR="00D94A41" w:rsidRPr="00732A82" w:rsidRDefault="000B3306" w:rsidP="00D94A41">
            <w:pPr>
              <w:jc w:val="both"/>
              <w:rPr>
                <w:rFonts w:eastAsia="Calibri" w:cs="Times New Roman"/>
                <w:sz w:val="20"/>
                <w:szCs w:val="20"/>
                <w:lang w:val="fr-CA"/>
              </w:rPr>
            </w:pPr>
            <w:hyperlink r:id="rId46" w:history="1">
              <w:r w:rsidR="00D94A41" w:rsidRPr="00732A82">
                <w:rPr>
                  <w:rFonts w:eastAsia="Calibri" w:cs="Times New Roman"/>
                  <w:color w:val="0000FF"/>
                  <w:sz w:val="20"/>
                  <w:szCs w:val="20"/>
                  <w:u w:val="single"/>
                  <w:lang w:val="fr-CA"/>
                </w:rPr>
                <w:t>2014 BCCA 4</w:t>
              </w:r>
            </w:hyperlink>
          </w:p>
          <w:p w:rsidR="00D94A41" w:rsidRPr="00732A82" w:rsidRDefault="00D94A41" w:rsidP="00D94A41">
            <w:pPr>
              <w:jc w:val="both"/>
              <w:rPr>
                <w:rFonts w:eastAsia="Calibri" w:cs="Times New Roman"/>
                <w:sz w:val="20"/>
                <w:szCs w:val="20"/>
                <w:lang w:val="fr-CA"/>
              </w:rPr>
            </w:pP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Appel rejeté</w:t>
            </w:r>
          </w:p>
          <w:p w:rsidR="00D94A41" w:rsidRPr="00732A82" w:rsidRDefault="00D94A41" w:rsidP="00D94A41">
            <w:pPr>
              <w:jc w:val="both"/>
              <w:rPr>
                <w:rFonts w:eastAsia="Calibri" w:cs="Times New Roman"/>
                <w:sz w:val="20"/>
                <w:szCs w:val="20"/>
                <w:lang w:val="fr-CA"/>
              </w:rPr>
            </w:pPr>
          </w:p>
        </w:tc>
      </w:tr>
      <w:tr w:rsidR="00D94A41" w:rsidRPr="00732A82" w:rsidTr="00D94A41">
        <w:tc>
          <w:tcPr>
            <w:tcW w:w="2427"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4 mars 2014</w:t>
            </w:r>
          </w:p>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Cour suprême du Canada</w:t>
            </w:r>
          </w:p>
        </w:tc>
        <w:tc>
          <w:tcPr>
            <w:tcW w:w="243" w:type="pct"/>
          </w:tcPr>
          <w:p w:rsidR="00D94A41" w:rsidRPr="00732A82" w:rsidRDefault="00D94A41" w:rsidP="00D94A41">
            <w:pPr>
              <w:jc w:val="both"/>
              <w:rPr>
                <w:rFonts w:eastAsia="Calibri" w:cs="Times New Roman"/>
                <w:sz w:val="20"/>
                <w:szCs w:val="20"/>
                <w:lang w:val="fr-CA"/>
              </w:rPr>
            </w:pPr>
          </w:p>
        </w:tc>
        <w:tc>
          <w:tcPr>
            <w:tcW w:w="2330" w:type="pct"/>
          </w:tcPr>
          <w:p w:rsidR="00D94A41" w:rsidRPr="00732A82" w:rsidRDefault="00D94A41" w:rsidP="00D94A41">
            <w:pPr>
              <w:jc w:val="both"/>
              <w:rPr>
                <w:rFonts w:eastAsia="Calibri" w:cs="Times New Roman"/>
                <w:sz w:val="20"/>
                <w:szCs w:val="20"/>
                <w:lang w:val="fr-CA"/>
              </w:rPr>
            </w:pPr>
            <w:r w:rsidRPr="00732A82">
              <w:rPr>
                <w:rFonts w:eastAsia="Calibri" w:cs="Times New Roman"/>
                <w:sz w:val="20"/>
                <w:szCs w:val="20"/>
                <w:lang w:val="fr-CA"/>
              </w:rPr>
              <w:t>Demande d’autorisation d’appel déposée</w:t>
            </w:r>
          </w:p>
          <w:p w:rsidR="00D94A41" w:rsidRPr="00732A82" w:rsidRDefault="00D94A41" w:rsidP="00D94A41">
            <w:pPr>
              <w:jc w:val="both"/>
              <w:rPr>
                <w:rFonts w:eastAsia="Calibri" w:cs="Times New Roman"/>
                <w:sz w:val="20"/>
                <w:szCs w:val="20"/>
                <w:lang w:val="fr-CA"/>
              </w:rPr>
            </w:pPr>
          </w:p>
        </w:tc>
      </w:tr>
    </w:tbl>
    <w:p w:rsidR="00D94A41" w:rsidRPr="00732A82" w:rsidRDefault="00D94A41" w:rsidP="00D94A41">
      <w:pPr>
        <w:jc w:val="both"/>
        <w:rPr>
          <w:rFonts w:eastAsia="Calibri" w:cs="Times New Roman"/>
          <w:sz w:val="20"/>
          <w:szCs w:val="20"/>
          <w:lang w:val="fr-CA"/>
        </w:rPr>
      </w:pPr>
    </w:p>
    <w:p w:rsidR="000E2959" w:rsidRPr="00732A82" w:rsidRDefault="000B3306" w:rsidP="000E2959">
      <w:pPr>
        <w:rPr>
          <w:rFonts w:cs="Times New Roman"/>
          <w:sz w:val="20"/>
          <w:szCs w:val="20"/>
        </w:rPr>
      </w:pPr>
      <w:r>
        <w:rPr>
          <w:rFonts w:cs="Times New Roman"/>
          <w:sz w:val="20"/>
          <w:szCs w:val="20"/>
          <w:lang w:val="fr-CA"/>
        </w:rPr>
        <w:pict>
          <v:rect id="_x0000_i1060" style="width:2in;height:1pt" o:hrpct="0" o:hralign="center" o:hrstd="t" o:hrnoshade="t" o:hr="t" fillcolor="black [3213]" stroked="f"/>
        </w:pict>
      </w:r>
    </w:p>
    <w:p w:rsidR="000E2959" w:rsidRPr="00732A82" w:rsidRDefault="000E2959" w:rsidP="000E2959">
      <w:pPr>
        <w:rPr>
          <w:rFonts w:cs="Times New Roman"/>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512F90" w:rsidRDefault="00890FEB" w:rsidP="00890FEB">
      <w:pPr>
        <w:rPr>
          <w:rFonts w:cs="Times New Roman"/>
          <w:sz w:val="20"/>
          <w:szCs w:val="20"/>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24.04.2014</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Before / Devant :   THE CHIEF JUSTICE / LA JUGE EN CHEF</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12F90" w:rsidRPr="00EA4608" w:rsidTr="00633E2E">
        <w:tc>
          <w:tcPr>
            <w:tcW w:w="4338" w:type="dxa"/>
          </w:tcPr>
          <w:p w:rsidR="00512F90" w:rsidRPr="00512F90" w:rsidRDefault="00512F90" w:rsidP="00512F90">
            <w:pPr>
              <w:rPr>
                <w:b/>
              </w:rPr>
            </w:pPr>
            <w:r w:rsidRPr="00512F90">
              <w:rPr>
                <w:b/>
                <w:bCs/>
                <w:lang w:val="en-GB"/>
              </w:rPr>
              <w:t>Motion to state a constitutional question</w:t>
            </w:r>
            <w:r w:rsidR="00EF5791" w:rsidRPr="00512F90">
              <w:rPr>
                <w:lang w:val="en-US"/>
              </w:rPr>
              <w:fldChar w:fldCharType="begin"/>
            </w:r>
            <w:r w:rsidRPr="00512F90">
              <w:instrText xml:space="preserve"> SEQ CHAPTER \h \r 1</w:instrText>
            </w:r>
            <w:r w:rsidR="00EF5791" w:rsidRPr="00512F90">
              <w:rPr>
                <w:lang w:val="en-US"/>
              </w:rPr>
              <w:fldChar w:fldCharType="end"/>
            </w:r>
          </w:p>
        </w:tc>
        <w:tc>
          <w:tcPr>
            <w:tcW w:w="1170" w:type="dxa"/>
          </w:tcPr>
          <w:p w:rsidR="00512F90" w:rsidRDefault="00512F90" w:rsidP="00512F90"/>
          <w:p w:rsidR="00732B63" w:rsidRPr="00512F90" w:rsidRDefault="00732B63" w:rsidP="00512F90"/>
          <w:p w:rsidR="00512F90" w:rsidRPr="00512F90" w:rsidRDefault="00512F90" w:rsidP="00512F90"/>
        </w:tc>
        <w:tc>
          <w:tcPr>
            <w:tcW w:w="4327" w:type="dxa"/>
          </w:tcPr>
          <w:p w:rsidR="00512F90" w:rsidRPr="00512F90" w:rsidRDefault="00512F90" w:rsidP="00732B63">
            <w:pPr>
              <w:jc w:val="both"/>
              <w:rPr>
                <w:b/>
                <w:lang w:val="fr-CA"/>
              </w:rPr>
            </w:pPr>
            <w:r w:rsidRPr="00512F90">
              <w:rPr>
                <w:b/>
                <w:bCs/>
                <w:lang w:val="fr-CA"/>
              </w:rPr>
              <w:t>Requête en formulation d’une question constitutionnelle</w:t>
            </w:r>
            <w:r w:rsidRPr="00512F90">
              <w:rPr>
                <w:lang w:val="fr-CA"/>
              </w:rPr>
              <w:t xml:space="preserve"> </w:t>
            </w:r>
            <w:r w:rsidR="00EF5791" w:rsidRPr="00512F90">
              <w:rPr>
                <w:lang w:val="en-US"/>
              </w:rPr>
              <w:fldChar w:fldCharType="begin"/>
            </w:r>
            <w:r w:rsidRPr="00512F90">
              <w:rPr>
                <w:lang w:val="fr-CA"/>
              </w:rPr>
              <w:instrText xml:space="preserve"> SEQ CHAPTER \h \r 1</w:instrText>
            </w:r>
            <w:r w:rsidR="00EF5791" w:rsidRPr="00512F90">
              <w:rPr>
                <w:lang w:val="en-US"/>
              </w:rPr>
              <w:fldChar w:fldCharType="end"/>
            </w:r>
          </w:p>
        </w:tc>
      </w:tr>
      <w:tr w:rsidR="00512F90" w:rsidRPr="00512F90" w:rsidTr="00633E2E">
        <w:tc>
          <w:tcPr>
            <w:tcW w:w="4338" w:type="dxa"/>
          </w:tcPr>
          <w:p w:rsidR="00512F90" w:rsidRPr="00512F90" w:rsidRDefault="00512F90" w:rsidP="00512F90">
            <w:pPr>
              <w:tabs>
                <w:tab w:val="left" w:pos="-1440"/>
                <w:tab w:val="left" w:pos="-720"/>
              </w:tabs>
              <w:jc w:val="both"/>
              <w:rPr>
                <w:lang w:val="en-US"/>
              </w:rPr>
            </w:pPr>
            <w:r w:rsidRPr="00512F90">
              <w:rPr>
                <w:lang w:val="en-US"/>
              </w:rPr>
              <w:t>Scott Meeking, as representative Plaintiff et al.</w:t>
            </w:r>
          </w:p>
          <w:p w:rsidR="00512F90" w:rsidRPr="00512F90" w:rsidRDefault="00512F90" w:rsidP="00512F90">
            <w:pPr>
              <w:tabs>
                <w:tab w:val="left" w:pos="-1440"/>
                <w:tab w:val="left" w:pos="-720"/>
              </w:tabs>
              <w:jc w:val="both"/>
              <w:rPr>
                <w:lang w:val="en-US"/>
              </w:rPr>
            </w:pPr>
          </w:p>
          <w:p w:rsidR="00512F90" w:rsidRPr="00512F90" w:rsidRDefault="00512F90" w:rsidP="00512F90">
            <w:pPr>
              <w:tabs>
                <w:tab w:val="left" w:pos="-1440"/>
                <w:tab w:val="left" w:pos="-720"/>
              </w:tabs>
              <w:jc w:val="both"/>
              <w:rPr>
                <w:lang w:val="en-US"/>
              </w:rPr>
            </w:pPr>
            <w:r w:rsidRPr="00512F90">
              <w:rPr>
                <w:lang w:val="en-US"/>
              </w:rPr>
              <w:tab/>
              <w:t>v. (35608)</w:t>
            </w:r>
          </w:p>
          <w:p w:rsidR="00512F90" w:rsidRPr="00512F90" w:rsidRDefault="00512F90" w:rsidP="00512F90">
            <w:pPr>
              <w:tabs>
                <w:tab w:val="left" w:pos="-1440"/>
                <w:tab w:val="left" w:pos="-720"/>
              </w:tabs>
              <w:jc w:val="both"/>
              <w:rPr>
                <w:lang w:val="en-US"/>
              </w:rPr>
            </w:pPr>
          </w:p>
          <w:p w:rsidR="00512F90" w:rsidRPr="00512F90" w:rsidRDefault="00512F90" w:rsidP="00512F90">
            <w:r w:rsidRPr="00512F90">
              <w:rPr>
                <w:lang w:val="en-US"/>
              </w:rPr>
              <w:t>The Cash Store Inc. et al. (Man.)</w:t>
            </w:r>
          </w:p>
        </w:tc>
        <w:tc>
          <w:tcPr>
            <w:tcW w:w="1170" w:type="dxa"/>
          </w:tcPr>
          <w:p w:rsidR="00512F90" w:rsidRPr="00512F90" w:rsidRDefault="00512F90" w:rsidP="00512F90"/>
        </w:tc>
        <w:tc>
          <w:tcPr>
            <w:tcW w:w="4327" w:type="dxa"/>
          </w:tcPr>
          <w:p w:rsidR="00512F90" w:rsidRPr="00512F90" w:rsidRDefault="00512F90" w:rsidP="00512F90"/>
        </w:tc>
      </w:tr>
    </w:tbl>
    <w:p w:rsidR="00512F90" w:rsidRPr="00512F90" w:rsidRDefault="00512F90" w:rsidP="00512F90">
      <w:pPr>
        <w:tabs>
          <w:tab w:val="left" w:pos="-1440"/>
          <w:tab w:val="left" w:pos="-720"/>
        </w:tabs>
        <w:jc w:val="both"/>
        <w:rPr>
          <w:rFonts w:eastAsia="Times New Roman" w:cs="Times New Roman"/>
          <w:sz w:val="20"/>
          <w:szCs w:val="20"/>
          <w:lang w:eastAsia="en-CA"/>
        </w:rPr>
      </w:pPr>
    </w:p>
    <w:p w:rsidR="00512F90" w:rsidRPr="00512F90" w:rsidRDefault="00512F90" w:rsidP="00512F90">
      <w:pPr>
        <w:tabs>
          <w:tab w:val="left" w:pos="-1440"/>
          <w:tab w:val="left" w:pos="-720"/>
        </w:tabs>
        <w:jc w:val="both"/>
        <w:rPr>
          <w:rFonts w:eastAsia="Times New Roman" w:cs="Times New Roman"/>
          <w:sz w:val="20"/>
          <w:szCs w:val="20"/>
          <w:lang w:val="en-US" w:eastAsia="en-CA"/>
        </w:rPr>
      </w:pPr>
      <w:r w:rsidRPr="00512F90">
        <w:rPr>
          <w:rFonts w:eastAsia="Times New Roman" w:cs="Times New Roman"/>
          <w:b/>
          <w:sz w:val="20"/>
          <w:szCs w:val="20"/>
          <w:lang w:val="en-US" w:eastAsia="en-CA"/>
        </w:rPr>
        <w:t>DISMISSED / REJETÉE</w:t>
      </w:r>
    </w:p>
    <w:p w:rsidR="00512F90" w:rsidRPr="00512F90" w:rsidRDefault="00512F90" w:rsidP="00512F90">
      <w:pPr>
        <w:tabs>
          <w:tab w:val="left" w:pos="-1440"/>
          <w:tab w:val="left" w:pos="-720"/>
        </w:tabs>
        <w:jc w:val="both"/>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val="en-US" w:eastAsia="en-CA"/>
        </w:rPr>
      </w:pPr>
      <w:r w:rsidRPr="00512F90">
        <w:rPr>
          <w:rFonts w:eastAsia="Times New Roman" w:cs="Times New Roman"/>
          <w:b/>
          <w:bCs/>
          <w:sz w:val="20"/>
          <w:szCs w:val="20"/>
          <w:lang w:val="en-US" w:eastAsia="en-CA"/>
        </w:rPr>
        <w:t>UPON APPLICATION</w:t>
      </w:r>
      <w:r w:rsidRPr="00512F90">
        <w:rPr>
          <w:rFonts w:eastAsia="Times New Roman" w:cs="Times New Roman"/>
          <w:sz w:val="20"/>
          <w:szCs w:val="20"/>
          <w:lang w:val="en-US" w:eastAsia="en-CA"/>
        </w:rPr>
        <w:t xml:space="preserve"> by the appellant/respondent Scott Meeking, as representative Plaintiff, </w:t>
      </w:r>
      <w:r w:rsidR="00EF5791" w:rsidRPr="00512F90">
        <w:rPr>
          <w:rFonts w:eastAsia="Times New Roman" w:cs="Times New Roman"/>
          <w:sz w:val="20"/>
          <w:szCs w:val="20"/>
          <w:lang w:eastAsia="en-CA"/>
        </w:rPr>
        <w:fldChar w:fldCharType="begin"/>
      </w:r>
      <w:r w:rsidRPr="00512F90">
        <w:rPr>
          <w:rFonts w:eastAsia="Times New Roman" w:cs="Times New Roman"/>
          <w:sz w:val="20"/>
          <w:szCs w:val="20"/>
          <w:lang w:eastAsia="en-CA"/>
        </w:rPr>
        <w:instrText xml:space="preserve"> SEQ CHAPTER \h \r 1</w:instrText>
      </w:r>
      <w:r w:rsidR="00EF5791" w:rsidRPr="00512F90">
        <w:rPr>
          <w:rFonts w:eastAsia="Times New Roman" w:cs="Times New Roman"/>
          <w:sz w:val="20"/>
          <w:szCs w:val="20"/>
          <w:lang w:eastAsia="en-CA"/>
        </w:rPr>
        <w:fldChar w:fldCharType="end"/>
      </w:r>
      <w:r w:rsidRPr="00512F90">
        <w:rPr>
          <w:rFonts w:eastAsia="Times New Roman" w:cs="Times New Roman"/>
          <w:sz w:val="20"/>
          <w:szCs w:val="20"/>
          <w:lang w:eastAsia="en-CA"/>
        </w:rPr>
        <w:t xml:space="preserve">for an order stating constitutional questions </w:t>
      </w:r>
      <w:r w:rsidRPr="00512F90">
        <w:rPr>
          <w:rFonts w:eastAsia="Times New Roman" w:cs="Times New Roman"/>
          <w:sz w:val="20"/>
          <w:szCs w:val="20"/>
          <w:lang w:val="en-US" w:eastAsia="en-CA"/>
        </w:rPr>
        <w:t>in the above appeal;</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rPr>
          <w:rFonts w:eastAsia="Times New Roman" w:cs="Times New Roman"/>
          <w:sz w:val="20"/>
          <w:szCs w:val="20"/>
          <w:lang w:val="en-US" w:eastAsia="en-CA"/>
        </w:rPr>
      </w:pPr>
      <w:r w:rsidRPr="00512F90">
        <w:rPr>
          <w:rFonts w:eastAsia="Times New Roman" w:cs="Times New Roman"/>
          <w:b/>
          <w:bCs/>
          <w:sz w:val="20"/>
          <w:szCs w:val="20"/>
          <w:lang w:val="en-US" w:eastAsia="en-CA"/>
        </w:rPr>
        <w:t>AND THE MATERIAL FILED</w:t>
      </w:r>
      <w:r w:rsidRPr="00512F90">
        <w:rPr>
          <w:rFonts w:eastAsia="Times New Roman" w:cs="Times New Roman"/>
          <w:sz w:val="20"/>
          <w:szCs w:val="20"/>
          <w:lang w:val="en-US" w:eastAsia="en-CA"/>
        </w:rPr>
        <w:t xml:space="preserve"> having been read;</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rPr>
          <w:rFonts w:eastAsia="Times New Roman" w:cs="Times New Roman"/>
          <w:bCs/>
          <w:sz w:val="20"/>
          <w:szCs w:val="20"/>
          <w:lang w:val="en-US" w:eastAsia="en-CA"/>
        </w:rPr>
      </w:pPr>
      <w:r w:rsidRPr="00512F90">
        <w:rPr>
          <w:rFonts w:eastAsia="Times New Roman" w:cs="Times New Roman"/>
          <w:b/>
          <w:bCs/>
          <w:sz w:val="20"/>
          <w:szCs w:val="20"/>
          <w:lang w:val="en-US" w:eastAsia="en-CA"/>
        </w:rPr>
        <w:t>IT IS HEREBY ORDERED THAT:</w:t>
      </w:r>
    </w:p>
    <w:p w:rsidR="00512F90" w:rsidRPr="00512F90" w:rsidRDefault="00512F90" w:rsidP="00512F90">
      <w:pPr>
        <w:rPr>
          <w:rFonts w:eastAsia="Times New Roman" w:cs="Times New Roman"/>
          <w:bCs/>
          <w:sz w:val="20"/>
          <w:szCs w:val="20"/>
          <w:lang w:val="en-US" w:eastAsia="en-CA"/>
        </w:rPr>
      </w:pPr>
    </w:p>
    <w:p w:rsidR="00512F90" w:rsidRPr="00512F90" w:rsidRDefault="00512F90" w:rsidP="00512F90">
      <w:pPr>
        <w:ind w:firstLine="720"/>
        <w:rPr>
          <w:rFonts w:eastAsia="Times New Roman" w:cs="Times New Roman"/>
          <w:sz w:val="20"/>
          <w:szCs w:val="20"/>
          <w:lang w:val="fr-CA" w:eastAsia="en-CA"/>
        </w:rPr>
      </w:pPr>
      <w:r w:rsidRPr="00512F90">
        <w:rPr>
          <w:rFonts w:eastAsia="Times New Roman" w:cs="Times New Roman"/>
          <w:sz w:val="20"/>
          <w:szCs w:val="20"/>
          <w:lang w:val="fr-CA" w:eastAsia="en-CA"/>
        </w:rPr>
        <w:t>The motion is dismissed.</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rPr>
          <w:rFonts w:eastAsia="Times New Roman" w:cs="Times New Roman"/>
          <w:bCs/>
          <w:sz w:val="20"/>
          <w:szCs w:val="20"/>
          <w:lang w:val="fr-CA" w:eastAsia="en-CA"/>
        </w:rPr>
      </w:pPr>
    </w:p>
    <w:p w:rsidR="00512F90" w:rsidRPr="00512F90" w:rsidRDefault="00512F90" w:rsidP="00512F90">
      <w:pPr>
        <w:rPr>
          <w:rFonts w:eastAsia="Times New Roman" w:cs="Times New Roman"/>
          <w:bCs/>
          <w:sz w:val="20"/>
          <w:szCs w:val="20"/>
          <w:lang w:val="fr-CA" w:eastAsia="en-CA"/>
        </w:rPr>
      </w:pPr>
    </w:p>
    <w:p w:rsidR="00512F90" w:rsidRPr="00512F90" w:rsidRDefault="00512F90" w:rsidP="00512F90">
      <w:pPr>
        <w:rPr>
          <w:rFonts w:eastAsia="Times New Roman" w:cs="Times New Roman"/>
          <w:sz w:val="20"/>
          <w:szCs w:val="20"/>
          <w:lang w:val="fr-CA" w:eastAsia="en-CA"/>
        </w:rPr>
      </w:pPr>
      <w:r w:rsidRPr="00512F90">
        <w:rPr>
          <w:rFonts w:eastAsia="Times New Roman" w:cs="Times New Roman"/>
          <w:b/>
          <w:bCs/>
          <w:sz w:val="20"/>
          <w:szCs w:val="20"/>
          <w:lang w:val="fr-CA" w:eastAsia="en-CA"/>
        </w:rPr>
        <w:t>À LA SUITE DE LA DEMANDE</w:t>
      </w:r>
      <w:r w:rsidRPr="00512F90">
        <w:rPr>
          <w:rFonts w:eastAsia="Times New Roman" w:cs="Times New Roman"/>
          <w:sz w:val="20"/>
          <w:szCs w:val="20"/>
          <w:lang w:val="fr-CA" w:eastAsia="en-CA"/>
        </w:rPr>
        <w:t xml:space="preserve"> de l’appelant/intimé Scott Meeking, en sa qualité de représentant des demandeurs, visant à obtenir la formulation de questions constitutionnelles dans l'appel susmentionné;</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rPr>
          <w:rFonts w:eastAsia="Times New Roman" w:cs="Times New Roman"/>
          <w:sz w:val="20"/>
          <w:szCs w:val="20"/>
          <w:lang w:val="fr-CA" w:eastAsia="en-CA"/>
        </w:rPr>
      </w:pPr>
      <w:r w:rsidRPr="00512F90">
        <w:rPr>
          <w:rFonts w:eastAsia="Times New Roman" w:cs="Times New Roman"/>
          <w:b/>
          <w:bCs/>
          <w:sz w:val="20"/>
          <w:szCs w:val="20"/>
          <w:lang w:val="fr-CA" w:eastAsia="en-CA"/>
        </w:rPr>
        <w:t>ET APRÈS AVOIR LU</w:t>
      </w:r>
      <w:r w:rsidRPr="00512F90">
        <w:rPr>
          <w:rFonts w:eastAsia="Times New Roman" w:cs="Times New Roman"/>
          <w:sz w:val="20"/>
          <w:szCs w:val="20"/>
          <w:lang w:val="fr-CA" w:eastAsia="en-CA"/>
        </w:rPr>
        <w:t xml:space="preserve"> la documentation déposée;</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rPr>
          <w:rFonts w:eastAsia="Times New Roman" w:cs="Times New Roman"/>
          <w:b/>
          <w:bCs/>
          <w:sz w:val="20"/>
          <w:szCs w:val="20"/>
          <w:lang w:val="fr-CA" w:eastAsia="en-CA"/>
        </w:rPr>
      </w:pPr>
      <w:r w:rsidRPr="00512F90">
        <w:rPr>
          <w:rFonts w:eastAsia="Times New Roman" w:cs="Times New Roman"/>
          <w:b/>
          <w:bCs/>
          <w:sz w:val="20"/>
          <w:szCs w:val="20"/>
          <w:lang w:val="fr-CA" w:eastAsia="en-CA"/>
        </w:rPr>
        <w:t>IL EST ORDONNÉ CE QUI SUIT :</w:t>
      </w:r>
    </w:p>
    <w:p w:rsidR="00512F90" w:rsidRPr="00512F90" w:rsidRDefault="00512F90" w:rsidP="00512F90">
      <w:pPr>
        <w:rPr>
          <w:rFonts w:eastAsia="Times New Roman" w:cs="Times New Roman"/>
          <w:b/>
          <w:bCs/>
          <w:sz w:val="20"/>
          <w:szCs w:val="20"/>
          <w:lang w:val="fr-CA" w:eastAsia="en-CA"/>
        </w:rPr>
      </w:pPr>
    </w:p>
    <w:p w:rsidR="00512F90" w:rsidRPr="00512F90" w:rsidRDefault="00512F90" w:rsidP="00512F90">
      <w:pPr>
        <w:rPr>
          <w:rFonts w:eastAsia="Times New Roman" w:cs="Times New Roman"/>
          <w:sz w:val="20"/>
          <w:szCs w:val="20"/>
          <w:lang w:val="fr-FR" w:eastAsia="en-CA"/>
        </w:rPr>
      </w:pPr>
      <w:r w:rsidRPr="00512F90">
        <w:rPr>
          <w:rFonts w:eastAsia="Times New Roman" w:cs="Times New Roman"/>
          <w:sz w:val="20"/>
          <w:szCs w:val="20"/>
          <w:lang w:val="fr-FR" w:eastAsia="en-CA"/>
        </w:rPr>
        <w:tab/>
        <w:t>La requête est rejetée.</w:t>
      </w:r>
    </w:p>
    <w:p w:rsidR="00512F90" w:rsidRPr="00512F90" w:rsidRDefault="00512F90" w:rsidP="00512F90">
      <w:pPr>
        <w:tabs>
          <w:tab w:val="left" w:pos="-1440"/>
          <w:tab w:val="left" w:pos="-720"/>
        </w:tabs>
        <w:jc w:val="both"/>
        <w:rPr>
          <w:rFonts w:eastAsia="Times New Roman" w:cs="Times New Roman"/>
          <w:sz w:val="20"/>
          <w:szCs w:val="20"/>
          <w:lang w:val="fr-FR" w:eastAsia="en-CA"/>
        </w:rPr>
      </w:pPr>
    </w:p>
    <w:p w:rsidR="00512F90" w:rsidRPr="00512F90" w:rsidRDefault="000B3306" w:rsidP="00512F9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25.04.2014</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Before / Devant:   LEBEL J. / LE JUGE LEBEL</w:t>
      </w:r>
    </w:p>
    <w:p w:rsidR="00512F90" w:rsidRPr="00512F90" w:rsidRDefault="00512F90" w:rsidP="00512F90">
      <w:pPr>
        <w:jc w:val="both"/>
        <w:rPr>
          <w:rFonts w:eastAsia="Times New Roman" w:cs="Times New Roman"/>
          <w:sz w:val="20"/>
          <w:szCs w:val="20"/>
          <w:lang w:val="fr-CA" w:eastAsia="en-CA"/>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12F90" w:rsidRPr="00512F90" w:rsidTr="00633E2E">
        <w:trPr>
          <w:trHeight w:val="151"/>
        </w:trPr>
        <w:tc>
          <w:tcPr>
            <w:tcW w:w="4338" w:type="dxa"/>
          </w:tcPr>
          <w:p w:rsidR="00512F90" w:rsidRPr="00512F90" w:rsidRDefault="00EF5791" w:rsidP="00512F90">
            <w:pPr>
              <w:tabs>
                <w:tab w:val="left" w:pos="-1440"/>
                <w:tab w:val="left" w:pos="-720"/>
              </w:tabs>
              <w:jc w:val="both"/>
              <w:rPr>
                <w:lang w:val="en-US"/>
              </w:rPr>
            </w:pPr>
            <w:r w:rsidRPr="00512F90">
              <w:rPr>
                <w:lang w:val="en-US"/>
              </w:rPr>
              <w:fldChar w:fldCharType="begin"/>
            </w:r>
            <w:r w:rsidR="00512F90" w:rsidRPr="00512F90">
              <w:rPr>
                <w:lang w:val="en-US"/>
              </w:rPr>
              <w:instrText xml:space="preserve"> SEQ CHAPTER \h \r 1</w:instrText>
            </w:r>
            <w:r w:rsidRPr="00512F90">
              <w:rPr>
                <w:lang w:val="en-US"/>
              </w:rPr>
              <w:fldChar w:fldCharType="end"/>
            </w:r>
            <w:r w:rsidR="00512F90" w:rsidRPr="00512F90">
              <w:rPr>
                <w:b/>
                <w:bCs/>
                <w:lang w:val="en-US"/>
              </w:rPr>
              <w:t>Miscellaneous motion</w:t>
            </w:r>
          </w:p>
          <w:p w:rsidR="00512F90" w:rsidRPr="00512F90" w:rsidRDefault="00EF5791" w:rsidP="00512F90">
            <w:pPr>
              <w:tabs>
                <w:tab w:val="left" w:pos="-1440"/>
                <w:tab w:val="left" w:pos="-720"/>
              </w:tabs>
              <w:jc w:val="both"/>
              <w:rPr>
                <w:lang w:val="en-US"/>
              </w:rPr>
            </w:pPr>
            <w:r w:rsidRPr="00512F90">
              <w:rPr>
                <w:lang w:val="en-US"/>
              </w:rPr>
              <w:fldChar w:fldCharType="begin"/>
            </w:r>
            <w:r w:rsidR="00512F90" w:rsidRPr="00512F90">
              <w:rPr>
                <w:lang w:val="en-US"/>
              </w:rPr>
              <w:instrText xml:space="preserve"> SEQ CHAPTER \h \r 1</w:instrText>
            </w:r>
            <w:r w:rsidRPr="00512F90">
              <w:rPr>
                <w:lang w:val="en-US"/>
              </w:rPr>
              <w:fldChar w:fldCharType="end"/>
            </w:r>
          </w:p>
        </w:tc>
        <w:tc>
          <w:tcPr>
            <w:tcW w:w="1170" w:type="dxa"/>
          </w:tcPr>
          <w:p w:rsidR="00512F90" w:rsidRPr="00512F90" w:rsidRDefault="00512F90" w:rsidP="00512F90">
            <w:pPr>
              <w:jc w:val="both"/>
              <w:rPr>
                <w:lang w:val="en-US"/>
              </w:rPr>
            </w:pPr>
          </w:p>
          <w:p w:rsidR="00512F90" w:rsidRPr="00512F90" w:rsidRDefault="00512F90" w:rsidP="00512F90">
            <w:pPr>
              <w:jc w:val="both"/>
              <w:rPr>
                <w:lang w:val="en-US"/>
              </w:rPr>
            </w:pPr>
          </w:p>
        </w:tc>
        <w:tc>
          <w:tcPr>
            <w:tcW w:w="4327" w:type="dxa"/>
          </w:tcPr>
          <w:p w:rsidR="00512F90" w:rsidRPr="00512F90" w:rsidRDefault="00EF5791" w:rsidP="00512F90">
            <w:pPr>
              <w:jc w:val="both"/>
              <w:rPr>
                <w:b/>
                <w:lang w:val="fr-CA"/>
              </w:rPr>
            </w:pPr>
            <w:r w:rsidRPr="00512F90">
              <w:rPr>
                <w:lang w:val="en-US"/>
              </w:rPr>
              <w:fldChar w:fldCharType="begin"/>
            </w:r>
            <w:r w:rsidR="00512F90" w:rsidRPr="00512F90">
              <w:rPr>
                <w:lang w:val="fr-CA"/>
              </w:rPr>
              <w:instrText xml:space="preserve"> SEQ CHAPTER \h \r 1</w:instrText>
            </w:r>
            <w:r w:rsidRPr="00512F90">
              <w:rPr>
                <w:lang w:val="en-US"/>
              </w:rPr>
              <w:fldChar w:fldCharType="end"/>
            </w:r>
            <w:r w:rsidR="00512F90" w:rsidRPr="00512F90">
              <w:rPr>
                <w:b/>
                <w:bCs/>
                <w:lang w:val="fr-CA"/>
              </w:rPr>
              <w:t>Requête diverse</w:t>
            </w:r>
          </w:p>
          <w:p w:rsidR="00512F90" w:rsidRPr="00512F90" w:rsidRDefault="00EF5791" w:rsidP="00512F90">
            <w:pPr>
              <w:jc w:val="both"/>
              <w:rPr>
                <w:b/>
                <w:lang w:val="fr-CA"/>
              </w:rPr>
            </w:pPr>
            <w:r w:rsidRPr="00512F90">
              <w:rPr>
                <w:b/>
                <w:lang w:val="en-US"/>
              </w:rPr>
              <w:fldChar w:fldCharType="begin"/>
            </w:r>
            <w:r w:rsidR="00512F90" w:rsidRPr="00512F90">
              <w:rPr>
                <w:b/>
                <w:lang w:val="fr-CA"/>
              </w:rPr>
              <w:instrText xml:space="preserve"> SEQ CHAPTER \h \r 1</w:instrText>
            </w:r>
            <w:r w:rsidRPr="00512F90">
              <w:rPr>
                <w:b/>
                <w:lang w:val="en-US"/>
              </w:rPr>
              <w:fldChar w:fldCharType="end"/>
            </w:r>
            <w:r w:rsidRPr="00512F90">
              <w:rPr>
                <w:b/>
                <w:lang w:val="en-US"/>
              </w:rPr>
              <w:fldChar w:fldCharType="begin"/>
            </w:r>
            <w:r w:rsidR="00512F90" w:rsidRPr="00512F90">
              <w:rPr>
                <w:b/>
                <w:lang w:val="fr-CA"/>
              </w:rPr>
              <w:instrText xml:space="preserve"> SEQ CHAPTER \h \r 1</w:instrText>
            </w:r>
            <w:r w:rsidRPr="00512F90">
              <w:rPr>
                <w:b/>
                <w:lang w:val="en-US"/>
              </w:rPr>
              <w:fldChar w:fldCharType="end"/>
            </w:r>
          </w:p>
        </w:tc>
      </w:tr>
      <w:tr w:rsidR="00512F90" w:rsidRPr="00512F90" w:rsidTr="00633E2E">
        <w:trPr>
          <w:trHeight w:val="150"/>
        </w:trPr>
        <w:tc>
          <w:tcPr>
            <w:tcW w:w="4338" w:type="dxa"/>
          </w:tcPr>
          <w:p w:rsidR="00512F90" w:rsidRPr="00512F90" w:rsidRDefault="00512F90" w:rsidP="00512F90">
            <w:pPr>
              <w:tabs>
                <w:tab w:val="left" w:pos="-1440"/>
                <w:tab w:val="left" w:pos="-720"/>
              </w:tabs>
              <w:jc w:val="both"/>
              <w:rPr>
                <w:lang w:val="en-US"/>
              </w:rPr>
            </w:pPr>
            <w:r w:rsidRPr="00512F90">
              <w:rPr>
                <w:lang w:val="en-US"/>
              </w:rPr>
              <w:t>Lee Carter</w:t>
            </w:r>
          </w:p>
          <w:p w:rsidR="00512F90" w:rsidRPr="00512F90" w:rsidRDefault="00512F90" w:rsidP="00512F90">
            <w:pPr>
              <w:tabs>
                <w:tab w:val="left" w:pos="-1440"/>
                <w:tab w:val="left" w:pos="-720"/>
              </w:tabs>
              <w:jc w:val="both"/>
              <w:rPr>
                <w:lang w:val="en-US"/>
              </w:rPr>
            </w:pPr>
          </w:p>
          <w:p w:rsidR="00512F90" w:rsidRPr="00512F90" w:rsidRDefault="00512F90" w:rsidP="00512F90">
            <w:pPr>
              <w:tabs>
                <w:tab w:val="left" w:pos="-1440"/>
                <w:tab w:val="left" w:pos="-720"/>
              </w:tabs>
              <w:jc w:val="both"/>
              <w:rPr>
                <w:lang w:val="en-US"/>
              </w:rPr>
            </w:pPr>
            <w:r w:rsidRPr="00512F90">
              <w:rPr>
                <w:lang w:val="en-US"/>
              </w:rPr>
              <w:tab/>
              <w:t>v. (35591)</w:t>
            </w:r>
          </w:p>
          <w:p w:rsidR="00512F90" w:rsidRPr="00512F90" w:rsidRDefault="00512F90" w:rsidP="00512F90">
            <w:pPr>
              <w:tabs>
                <w:tab w:val="left" w:pos="-1440"/>
                <w:tab w:val="left" w:pos="-720"/>
              </w:tabs>
              <w:jc w:val="both"/>
              <w:rPr>
                <w:lang w:val="en-US"/>
              </w:rPr>
            </w:pPr>
          </w:p>
          <w:p w:rsidR="00512F90" w:rsidRPr="00512F90" w:rsidRDefault="00512F90" w:rsidP="00512F90">
            <w:pPr>
              <w:tabs>
                <w:tab w:val="left" w:pos="-1440"/>
                <w:tab w:val="left" w:pos="-720"/>
              </w:tabs>
              <w:jc w:val="both"/>
              <w:rPr>
                <w:lang w:val="en-US"/>
              </w:rPr>
            </w:pPr>
            <w:r w:rsidRPr="00512F90">
              <w:rPr>
                <w:lang w:val="en-US"/>
              </w:rPr>
              <w:t>Attorney General of Canada et al. (B.C.)</w:t>
            </w:r>
          </w:p>
        </w:tc>
        <w:tc>
          <w:tcPr>
            <w:tcW w:w="1170" w:type="dxa"/>
          </w:tcPr>
          <w:p w:rsidR="00512F90" w:rsidRPr="00512F90" w:rsidRDefault="00512F90" w:rsidP="00512F90">
            <w:pPr>
              <w:jc w:val="both"/>
              <w:rPr>
                <w:lang w:val="en-US"/>
              </w:rPr>
            </w:pPr>
          </w:p>
        </w:tc>
        <w:tc>
          <w:tcPr>
            <w:tcW w:w="4327" w:type="dxa"/>
          </w:tcPr>
          <w:p w:rsidR="00512F90" w:rsidRPr="00512F90" w:rsidRDefault="00512F90" w:rsidP="00512F90">
            <w:pPr>
              <w:jc w:val="both"/>
              <w:rPr>
                <w:lang w:val="en-US"/>
              </w:rPr>
            </w:pPr>
          </w:p>
        </w:tc>
      </w:tr>
    </w:tbl>
    <w:p w:rsidR="00512F90" w:rsidRPr="00512F90" w:rsidRDefault="00512F90" w:rsidP="00512F90">
      <w:pPr>
        <w:tabs>
          <w:tab w:val="left" w:pos="-1440"/>
          <w:tab w:val="left" w:pos="-720"/>
        </w:tabs>
        <w:jc w:val="both"/>
        <w:rPr>
          <w:rFonts w:eastAsia="Times New Roman" w:cs="Times New Roman"/>
          <w:sz w:val="20"/>
          <w:szCs w:val="20"/>
          <w:lang w:val="en-US"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b/>
          <w:sz w:val="20"/>
          <w:szCs w:val="20"/>
          <w:lang w:val="fr-CA" w:eastAsia="en-CA"/>
        </w:rPr>
        <w:t>GRANTED / ACCORDÉE</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512F90" w:rsidRPr="00512F90" w:rsidRDefault="00512F90" w:rsidP="00512F90">
      <w:pPr>
        <w:rPr>
          <w:rFonts w:eastAsia="Times New Roman" w:cs="Times New Roman"/>
          <w:sz w:val="20"/>
          <w:szCs w:val="20"/>
          <w:lang w:val="en-US" w:eastAsia="en-CA"/>
        </w:rPr>
      </w:pPr>
      <w:r w:rsidRPr="00512F90">
        <w:rPr>
          <w:rFonts w:eastAsia="Times New Roman" w:cs="Times New Roman"/>
          <w:b/>
          <w:bCs/>
          <w:sz w:val="20"/>
          <w:szCs w:val="20"/>
          <w:lang w:val="en-US" w:eastAsia="en-CA"/>
        </w:rPr>
        <w:t>UPON APPLICATION</w:t>
      </w:r>
      <w:r w:rsidRPr="00512F90">
        <w:rPr>
          <w:rFonts w:eastAsia="Times New Roman" w:cs="Times New Roman"/>
          <w:sz w:val="20"/>
          <w:szCs w:val="20"/>
          <w:lang w:val="en-US" w:eastAsia="en-CA"/>
        </w:rPr>
        <w:t xml:space="preserve"> by the appellants </w:t>
      </w:r>
      <w:r w:rsidR="00EF5791" w:rsidRPr="00512F90">
        <w:rPr>
          <w:rFonts w:eastAsia="Times New Roman" w:cs="Times New Roman"/>
          <w:sz w:val="20"/>
          <w:szCs w:val="20"/>
          <w:lang w:eastAsia="en-CA"/>
        </w:rPr>
        <w:fldChar w:fldCharType="begin"/>
      </w:r>
      <w:r w:rsidRPr="00512F90">
        <w:rPr>
          <w:rFonts w:eastAsia="Times New Roman" w:cs="Times New Roman"/>
          <w:sz w:val="20"/>
          <w:szCs w:val="20"/>
          <w:lang w:eastAsia="en-CA"/>
        </w:rPr>
        <w:instrText xml:space="preserve"> SEQ CHAPTER \h \r 1</w:instrText>
      </w:r>
      <w:r w:rsidR="00EF5791" w:rsidRPr="00512F90">
        <w:rPr>
          <w:rFonts w:eastAsia="Times New Roman" w:cs="Times New Roman"/>
          <w:sz w:val="20"/>
          <w:szCs w:val="20"/>
          <w:lang w:eastAsia="en-CA"/>
        </w:rPr>
        <w:fldChar w:fldCharType="end"/>
      </w:r>
      <w:r w:rsidRPr="00512F90">
        <w:rPr>
          <w:rFonts w:eastAsia="Times New Roman" w:cs="Times New Roman"/>
          <w:sz w:val="20"/>
          <w:szCs w:val="20"/>
          <w:lang w:eastAsia="en-CA"/>
        </w:rPr>
        <w:t>for orders granting the parties permission to file lengthy factums and to dispense with the printing of documents forming part of the record;</w:t>
      </w:r>
    </w:p>
    <w:p w:rsidR="00512F90" w:rsidRPr="00512F90" w:rsidRDefault="00512F90" w:rsidP="00512F90">
      <w:pPr>
        <w:rPr>
          <w:rFonts w:eastAsia="Times New Roman" w:cs="Times New Roman"/>
          <w:sz w:val="20"/>
          <w:szCs w:val="20"/>
          <w:lang w:val="en-US" w:eastAsia="en-CA"/>
        </w:rPr>
      </w:pPr>
    </w:p>
    <w:p w:rsidR="00732B63" w:rsidRDefault="00732B63">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512F90" w:rsidRPr="00512F90" w:rsidRDefault="00512F90" w:rsidP="00512F90">
      <w:pPr>
        <w:rPr>
          <w:rFonts w:eastAsia="Times New Roman" w:cs="Times New Roman"/>
          <w:sz w:val="20"/>
          <w:szCs w:val="20"/>
          <w:lang w:val="en-US" w:eastAsia="en-CA"/>
        </w:rPr>
      </w:pPr>
      <w:r w:rsidRPr="00512F90">
        <w:rPr>
          <w:rFonts w:eastAsia="Times New Roman" w:cs="Times New Roman"/>
          <w:b/>
          <w:bCs/>
          <w:sz w:val="20"/>
          <w:szCs w:val="20"/>
          <w:lang w:val="en-US" w:eastAsia="en-CA"/>
        </w:rPr>
        <w:lastRenderedPageBreak/>
        <w:t>AND THE MATERIAL FILED</w:t>
      </w:r>
      <w:r w:rsidRPr="00512F90">
        <w:rPr>
          <w:rFonts w:eastAsia="Times New Roman" w:cs="Times New Roman"/>
          <w:sz w:val="20"/>
          <w:szCs w:val="20"/>
          <w:lang w:val="en-US" w:eastAsia="en-CA"/>
        </w:rPr>
        <w:t xml:space="preserve"> having been read;</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rPr>
          <w:rFonts w:eastAsia="Times New Roman" w:cs="Times New Roman"/>
          <w:bCs/>
          <w:sz w:val="20"/>
          <w:szCs w:val="20"/>
          <w:lang w:val="en-US" w:eastAsia="en-CA"/>
        </w:rPr>
      </w:pPr>
      <w:r w:rsidRPr="00512F90">
        <w:rPr>
          <w:rFonts w:eastAsia="Times New Roman" w:cs="Times New Roman"/>
          <w:b/>
          <w:bCs/>
          <w:sz w:val="20"/>
          <w:szCs w:val="20"/>
          <w:lang w:val="en-US" w:eastAsia="en-CA"/>
        </w:rPr>
        <w:t>IT IS HEREBY ORDERED THAT:</w:t>
      </w:r>
    </w:p>
    <w:p w:rsidR="00512F90" w:rsidRPr="00512F90" w:rsidRDefault="00512F90" w:rsidP="00512F90">
      <w:pPr>
        <w:rPr>
          <w:rFonts w:eastAsia="Times New Roman" w:cs="Times New Roman"/>
          <w:bCs/>
          <w:sz w:val="20"/>
          <w:szCs w:val="20"/>
          <w:lang w:val="en-US" w:eastAsia="en-CA"/>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 xml:space="preserve">The appellants and respondents are excused from serving a printed version of the record on all other parties and interveners. They shall serve one electronic version of the record on all other parties and interveners. </w:t>
      </w:r>
    </w:p>
    <w:p w:rsidR="00512F90" w:rsidRPr="00512F90" w:rsidRDefault="00512F90" w:rsidP="00512F90">
      <w:pPr>
        <w:ind w:left="720"/>
        <w:contextualSpacing/>
        <w:rPr>
          <w:rFonts w:cs="Times New Roman"/>
          <w:sz w:val="20"/>
          <w:szCs w:val="20"/>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The appellants shall file one copy of the electronic version and two copies of the printed version of the full record (Parts I to IV). The appellants are excused from filing the remaining copies of the printed version of the record. Parts III and IV of the record may contain all documents filed in the court below.</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The respondents shall file one copy of the electronic version and two copies of the printed version of the full record (Parts I to IV), if not joint with the appellants’ record. The respondents are excused from filing the remaining copies of the printed version of the record. Parts III and IV of the record may contain all documents filed in the court below.</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The page numbers in Parts I and II of either the appellants’ or respondents’ record may be preceded by the letters “A.R.” to distinguish them from the numbers in Parts III to IV, which may retain their numbering and format from the court below.</w:t>
      </w:r>
    </w:p>
    <w:p w:rsidR="00512F90" w:rsidRPr="00512F90" w:rsidRDefault="00512F90" w:rsidP="00512F90">
      <w:pPr>
        <w:ind w:left="720"/>
        <w:contextualSpacing/>
        <w:rPr>
          <w:rFonts w:cs="Times New Roman"/>
          <w:sz w:val="20"/>
          <w:szCs w:val="20"/>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 xml:space="preserve">Unless otherwise ordered herein, all other service and filing requirements set out in the </w:t>
      </w:r>
      <w:r w:rsidRPr="00512F90">
        <w:rPr>
          <w:rFonts w:cs="Times New Roman"/>
          <w:i/>
          <w:sz w:val="20"/>
          <w:szCs w:val="20"/>
        </w:rPr>
        <w:t>Rules of the Supreme Court of Canada</w:t>
      </w:r>
      <w:r w:rsidRPr="00512F90">
        <w:rPr>
          <w:rFonts w:cs="Times New Roman"/>
          <w:sz w:val="20"/>
          <w:szCs w:val="20"/>
        </w:rPr>
        <w:t xml:space="preserve"> continue to apply to these proceedings.</w:t>
      </w:r>
    </w:p>
    <w:p w:rsidR="00512F90" w:rsidRPr="00512F90" w:rsidRDefault="00512F90" w:rsidP="00512F90">
      <w:pPr>
        <w:ind w:left="720"/>
        <w:contextualSpacing/>
        <w:rPr>
          <w:rFonts w:cs="Times New Roman"/>
          <w:sz w:val="20"/>
          <w:szCs w:val="20"/>
        </w:rPr>
      </w:pPr>
    </w:p>
    <w:p w:rsidR="00512F90" w:rsidRPr="00512F90" w:rsidRDefault="00512F90" w:rsidP="00512F9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512F90">
        <w:rPr>
          <w:rFonts w:cs="Times New Roman"/>
          <w:sz w:val="20"/>
          <w:szCs w:val="20"/>
        </w:rPr>
        <w:t>The motion to file lengthy factums is granted. The appellants and respondents shall serve and file factums not exceeding 60 pages (Parts I to V).</w:t>
      </w:r>
    </w:p>
    <w:p w:rsidR="00512F90" w:rsidRPr="00512F90" w:rsidRDefault="00512F90" w:rsidP="00512F90">
      <w:pPr>
        <w:contextualSpacing/>
        <w:rPr>
          <w:rFonts w:cs="Times New Roman"/>
          <w:sz w:val="20"/>
          <w:szCs w:val="20"/>
        </w:rPr>
      </w:pPr>
    </w:p>
    <w:p w:rsidR="00512F90" w:rsidRPr="00512F90" w:rsidRDefault="00512F90" w:rsidP="00512F90">
      <w:pPr>
        <w:contextualSpacing/>
        <w:rPr>
          <w:rFonts w:cs="Times New Roman"/>
          <w:sz w:val="20"/>
          <w:szCs w:val="20"/>
        </w:rPr>
      </w:pP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eastAsia="en-CA"/>
        </w:rPr>
      </w:pPr>
    </w:p>
    <w:p w:rsidR="00512F90" w:rsidRPr="00512F90" w:rsidRDefault="00512F90" w:rsidP="00512F90">
      <w:pPr>
        <w:autoSpaceDE w:val="0"/>
        <w:autoSpaceDN w:val="0"/>
        <w:adjustRightInd w:val="0"/>
        <w:jc w:val="both"/>
        <w:rPr>
          <w:rFonts w:eastAsiaTheme="minorEastAsia" w:cs="Times New Roman"/>
          <w:sz w:val="20"/>
          <w:szCs w:val="20"/>
          <w:lang w:val="fr-CA"/>
        </w:rPr>
      </w:pPr>
      <w:r w:rsidRPr="00512F90">
        <w:rPr>
          <w:rFonts w:eastAsiaTheme="minorEastAsia" w:cs="Times New Roman"/>
          <w:b/>
          <w:bCs/>
          <w:sz w:val="20"/>
          <w:szCs w:val="20"/>
          <w:lang w:val="fr-CA"/>
        </w:rPr>
        <w:t>À LA SUITE DE LA DEMANDE</w:t>
      </w:r>
      <w:r w:rsidRPr="00512F90">
        <w:rPr>
          <w:rFonts w:eastAsiaTheme="minorEastAsia" w:cs="Times New Roman"/>
          <w:sz w:val="20"/>
          <w:szCs w:val="20"/>
          <w:lang w:val="fr-CA"/>
        </w:rPr>
        <w:t xml:space="preserve"> présentée par les appelants pour que les parties soient autorisées à déposer des mémoires volumineux et dispensées d’imprimer les documents qui constituent le dossier;</w:t>
      </w:r>
    </w:p>
    <w:p w:rsidR="00512F90" w:rsidRPr="00512F90" w:rsidRDefault="00512F90" w:rsidP="00512F90">
      <w:pPr>
        <w:autoSpaceDE w:val="0"/>
        <w:autoSpaceDN w:val="0"/>
        <w:adjustRightInd w:val="0"/>
        <w:jc w:val="both"/>
        <w:rPr>
          <w:rFonts w:eastAsiaTheme="minorEastAsia" w:cs="Times New Roman"/>
          <w:sz w:val="20"/>
          <w:szCs w:val="20"/>
          <w:lang w:val="fr-CA"/>
        </w:rPr>
      </w:pP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b/>
          <w:sz w:val="20"/>
          <w:szCs w:val="20"/>
          <w:lang w:val="fr-CA"/>
        </w:rPr>
        <w:t>ET APRÈS EXAMEN</w:t>
      </w:r>
      <w:r w:rsidRPr="00512F90">
        <w:rPr>
          <w:rFonts w:eastAsiaTheme="minorEastAsia" w:cs="Times New Roman"/>
          <w:sz w:val="20"/>
          <w:szCs w:val="20"/>
          <w:lang w:val="fr-CA"/>
        </w:rPr>
        <w:t xml:space="preserve"> des documents déposés </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512F90">
        <w:rPr>
          <w:rFonts w:eastAsiaTheme="minorEastAsia" w:cs="Times New Roman"/>
          <w:b/>
          <w:sz w:val="20"/>
          <w:szCs w:val="20"/>
          <w:lang w:val="fr-CA"/>
        </w:rPr>
        <w:t xml:space="preserve">IL EST ORDONNÉ CE QUI SUIT : </w:t>
      </w:r>
    </w:p>
    <w:p w:rsidR="00512F90" w:rsidRPr="00512F90" w:rsidRDefault="00512F90" w:rsidP="00512F90">
      <w:pPr>
        <w:autoSpaceDE w:val="0"/>
        <w:autoSpaceDN w:val="0"/>
        <w:adjustRightInd w:val="0"/>
        <w:jc w:val="both"/>
        <w:rPr>
          <w:rFonts w:eastAsiaTheme="minorEastAsia" w:cs="Times New Roman"/>
          <w:bCs/>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t xml:space="preserve">Les appelants et les intimés sont dispensés de signifier une version imprimée de leur dossier à toutes les autres parties et intervenants.  Ils leur en signifieront une version électronique. </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t>Les appelants déposeront une copie de la version électronique et deux copies de la version imprimée du dossier complet (Parties I à IV).  Les appelants sont dispensés du dépôt des autres copies de la version imprimée du dossier.  Les parties III et IV du dossier pourront contenir tous les documents déposés auprès des cours d’instances inférieures.</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t>Les intimés déposeront une copie de la version électronique et deux copies de la version imprimée du dossier complet (Parties I à IV), à moins qu’il ne soit conjoint avec ceux des appelants.  Les intimés sont dispensés du dépôt des autres copies de la version imprimée du dossier.  Les parties III et IV du dossier pourront contenir tous les documents déposés auprès des cours d’instances inférieures.</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t>Les numéros de page des Parties I et II des dossiers des appelants ou des intimés peuvent être précédés des lettres « D.A. » pour les différencier des numéros figurant dans les Parties III et IV qui peuvent garder la numérotation et le format qu’elles avaient devant les cours d’instances inférieures.</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t xml:space="preserve">Sauf ordonnance contraire dans les présentes, toutes les exigences prévues dans les </w:t>
      </w:r>
      <w:r w:rsidRPr="00512F90">
        <w:rPr>
          <w:rFonts w:eastAsiaTheme="minorEastAsia" w:cs="Times New Roman"/>
          <w:i/>
          <w:sz w:val="20"/>
          <w:szCs w:val="20"/>
          <w:lang w:val="fr-CA"/>
        </w:rPr>
        <w:t>Règles de la Cour suprême du Canada</w:t>
      </w:r>
      <w:r w:rsidRPr="00512F90">
        <w:rPr>
          <w:rFonts w:eastAsiaTheme="minorEastAsia" w:cs="Times New Roman"/>
          <w:sz w:val="20"/>
          <w:szCs w:val="20"/>
          <w:lang w:val="fr-CA"/>
        </w:rPr>
        <w:t xml:space="preserve"> quant à la signification et au dépôt continuent à s’appliquer aux présentes procédures.  </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12F90" w:rsidRPr="00512F90" w:rsidRDefault="00512F90" w:rsidP="00512F90">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12F90">
        <w:rPr>
          <w:rFonts w:eastAsiaTheme="minorEastAsia" w:cs="Times New Roman"/>
          <w:sz w:val="20"/>
          <w:szCs w:val="20"/>
          <w:lang w:val="fr-CA"/>
        </w:rPr>
        <w:lastRenderedPageBreak/>
        <w:t>La requête pour obtenir l’autorisation de déposer des mémoires volumineux est accueillie.  Les appelants et les intimés signifieront et déposeront des mémoires d’au plus 60 pages (Parties I à V).</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p>
    <w:p w:rsidR="00512F90" w:rsidRPr="00512F90" w:rsidRDefault="000B3306" w:rsidP="00512F9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512F90" w:rsidRPr="00512F90" w:rsidRDefault="00512F90" w:rsidP="00512F90">
      <w:pPr>
        <w:tabs>
          <w:tab w:val="left" w:pos="-1440"/>
          <w:tab w:val="left" w:pos="-720"/>
        </w:tabs>
        <w:jc w:val="both"/>
        <w:rPr>
          <w:rFonts w:eastAsia="Times New Roman" w:cs="Times New Roman"/>
          <w:sz w:val="20"/>
          <w:szCs w:val="20"/>
          <w:lang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23.04.2014</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512F90" w:rsidRPr="00512F90" w:rsidRDefault="00512F90" w:rsidP="00512F90">
      <w:pPr>
        <w:jc w:val="both"/>
        <w:rPr>
          <w:rFonts w:eastAsia="Times New Roman" w:cs="Times New Roman"/>
          <w:sz w:val="20"/>
          <w:szCs w:val="20"/>
          <w:lang w:val="fr-CA" w:eastAsia="en-CA"/>
        </w:rPr>
      </w:pPr>
      <w:r w:rsidRPr="00512F90">
        <w:rPr>
          <w:rFonts w:eastAsia="Times New Roman" w:cs="Times New Roman"/>
          <w:sz w:val="20"/>
          <w:szCs w:val="20"/>
          <w:lang w:val="fr-CA" w:eastAsia="en-CA"/>
        </w:rPr>
        <w:t>Before / Devant:   ABELLA J. / LA JUGE ABELLA</w:t>
      </w:r>
    </w:p>
    <w:p w:rsidR="00512F90" w:rsidRPr="00512F90" w:rsidRDefault="00512F90" w:rsidP="00512F90">
      <w:pPr>
        <w:jc w:val="both"/>
        <w:rPr>
          <w:rFonts w:eastAsia="Times New Roman" w:cs="Times New Roman"/>
          <w:sz w:val="20"/>
          <w:szCs w:val="20"/>
          <w:lang w:val="fr-CA" w:eastAsia="en-CA"/>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512F90" w:rsidRPr="00512F90" w:rsidTr="00633E2E">
        <w:tc>
          <w:tcPr>
            <w:tcW w:w="4338" w:type="dxa"/>
            <w:gridSpan w:val="2"/>
          </w:tcPr>
          <w:p w:rsidR="00512F90" w:rsidRPr="00512F90" w:rsidRDefault="00512F90" w:rsidP="00512F90">
            <w:pPr>
              <w:rPr>
                <w:b/>
              </w:rPr>
            </w:pPr>
            <w:r w:rsidRPr="00512F90">
              <w:rPr>
                <w:b/>
              </w:rPr>
              <w:t>Motions for leave to intervene</w:t>
            </w:r>
            <w:r w:rsidRPr="00512F90">
              <w:rPr>
                <w:lang w:val="en-US"/>
              </w:rPr>
              <w:t xml:space="preserve"> </w:t>
            </w:r>
            <w:r w:rsidR="00EF5791" w:rsidRPr="00512F90">
              <w:rPr>
                <w:lang w:val="en-US"/>
              </w:rPr>
              <w:fldChar w:fldCharType="begin"/>
            </w:r>
            <w:r w:rsidRPr="00512F90">
              <w:instrText xml:space="preserve"> SEQ CHAPTER \h \r 1</w:instrText>
            </w:r>
            <w:r w:rsidR="00EF5791" w:rsidRPr="00512F90">
              <w:rPr>
                <w:lang w:val="en-US"/>
              </w:rPr>
              <w:fldChar w:fldCharType="end"/>
            </w:r>
          </w:p>
        </w:tc>
        <w:tc>
          <w:tcPr>
            <w:tcW w:w="1170" w:type="dxa"/>
          </w:tcPr>
          <w:p w:rsidR="00512F90" w:rsidRPr="00512F90" w:rsidRDefault="00512F90" w:rsidP="00512F90"/>
          <w:p w:rsidR="00512F90" w:rsidRPr="00512F90" w:rsidRDefault="00512F90" w:rsidP="00512F90"/>
        </w:tc>
        <w:tc>
          <w:tcPr>
            <w:tcW w:w="4327" w:type="dxa"/>
          </w:tcPr>
          <w:p w:rsidR="00512F90" w:rsidRPr="00512F90" w:rsidRDefault="00512F90" w:rsidP="00512F90">
            <w:pPr>
              <w:rPr>
                <w:b/>
              </w:rPr>
            </w:pPr>
            <w:r w:rsidRPr="00512F90">
              <w:rPr>
                <w:b/>
                <w:bCs/>
                <w:lang w:val="fr-CA"/>
              </w:rPr>
              <w:t>Requêtes en autorisation d’intervenir</w:t>
            </w:r>
            <w:r w:rsidRPr="00512F90">
              <w:rPr>
                <w:lang w:val="en-US"/>
              </w:rPr>
              <w:t xml:space="preserve"> </w:t>
            </w:r>
            <w:r w:rsidR="00EF5791" w:rsidRPr="00512F90">
              <w:rPr>
                <w:lang w:val="en-US"/>
              </w:rPr>
              <w:fldChar w:fldCharType="begin"/>
            </w:r>
            <w:r w:rsidRPr="00512F90">
              <w:instrText xml:space="preserve"> SEQ CHAPTER \h \r 1</w:instrText>
            </w:r>
            <w:r w:rsidR="00EF5791" w:rsidRPr="00512F90">
              <w:rPr>
                <w:lang w:val="en-US"/>
              </w:rPr>
              <w:fldChar w:fldCharType="end"/>
            </w:r>
          </w:p>
        </w:tc>
      </w:tr>
      <w:tr w:rsidR="00512F90" w:rsidRPr="00512F90" w:rsidTr="00633E2E">
        <w:trPr>
          <w:trHeight w:hRule="exact" w:val="360"/>
        </w:trPr>
        <w:tc>
          <w:tcPr>
            <w:tcW w:w="1458" w:type="dxa"/>
          </w:tcPr>
          <w:p w:rsidR="00512F90" w:rsidRPr="00512F90" w:rsidRDefault="00512F90" w:rsidP="00512F90">
            <w:r w:rsidRPr="00512F90">
              <w:t>BY / PAR</w:t>
            </w:r>
          </w:p>
        </w:tc>
        <w:tc>
          <w:tcPr>
            <w:tcW w:w="2880" w:type="dxa"/>
          </w:tcPr>
          <w:p w:rsidR="00512F90" w:rsidRPr="00512F90" w:rsidRDefault="00512F90" w:rsidP="00512F90">
            <w:r w:rsidRPr="00512F90">
              <w:rPr>
                <w:lang w:val="en-US"/>
              </w:rPr>
              <w:t>Advocates' Society</w:t>
            </w:r>
            <w:r w:rsidRPr="00512F90">
              <w:t>;</w:t>
            </w:r>
          </w:p>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rPr>
          <w:trHeight w:hRule="exact" w:val="360"/>
        </w:trPr>
        <w:tc>
          <w:tcPr>
            <w:tcW w:w="1458" w:type="dxa"/>
          </w:tcPr>
          <w:p w:rsidR="00512F90" w:rsidRPr="00512F90" w:rsidRDefault="00512F90" w:rsidP="00512F90"/>
        </w:tc>
        <w:tc>
          <w:tcPr>
            <w:tcW w:w="2880" w:type="dxa"/>
          </w:tcPr>
          <w:p w:rsidR="00512F90" w:rsidRPr="00512F90" w:rsidRDefault="00512F90" w:rsidP="00512F90">
            <w:r w:rsidRPr="00512F90">
              <w:rPr>
                <w:lang w:val="en-US"/>
              </w:rPr>
              <w:t>Nishnawbe Aski Nation</w:t>
            </w:r>
            <w:r w:rsidRPr="00512F90">
              <w:t>;</w:t>
            </w:r>
          </w:p>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rPr>
          <w:trHeight w:hRule="exact" w:val="1080"/>
        </w:trPr>
        <w:tc>
          <w:tcPr>
            <w:tcW w:w="1458" w:type="dxa"/>
          </w:tcPr>
          <w:p w:rsidR="00512F90" w:rsidRPr="00512F90" w:rsidRDefault="00512F90" w:rsidP="00512F90"/>
        </w:tc>
        <w:tc>
          <w:tcPr>
            <w:tcW w:w="2880" w:type="dxa"/>
          </w:tcPr>
          <w:p w:rsidR="00512F90" w:rsidRPr="00512F90" w:rsidRDefault="00512F90" w:rsidP="00512F90">
            <w:r w:rsidRPr="00512F90">
              <w:rPr>
                <w:lang w:val="en-US"/>
              </w:rPr>
              <w:t>David Asper Centre for Constitutional Rights and Women's Legal Education and Action Fund, Inc (LEAF)</w:t>
            </w:r>
            <w:r w:rsidRPr="00512F90">
              <w:t>;</w:t>
            </w:r>
          </w:p>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rPr>
          <w:trHeight w:val="1080"/>
        </w:trPr>
        <w:tc>
          <w:tcPr>
            <w:tcW w:w="1458" w:type="dxa"/>
          </w:tcPr>
          <w:p w:rsidR="00512F90" w:rsidRPr="00512F90" w:rsidRDefault="00512F90" w:rsidP="00512F90"/>
        </w:tc>
        <w:tc>
          <w:tcPr>
            <w:tcW w:w="2880" w:type="dxa"/>
          </w:tcPr>
          <w:p w:rsidR="00512F90" w:rsidRPr="00512F90" w:rsidRDefault="00512F90" w:rsidP="00512F90">
            <w:r w:rsidRPr="00512F90">
              <w:rPr>
                <w:lang w:val="en-US"/>
              </w:rPr>
              <w:t>Native Women's Association of Canada and Canadian Association of Elizabeth Fry Societies;</w:t>
            </w:r>
          </w:p>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rPr>
          <w:trHeight w:val="20"/>
        </w:trPr>
        <w:tc>
          <w:tcPr>
            <w:tcW w:w="1458" w:type="dxa"/>
          </w:tcPr>
          <w:p w:rsidR="00512F90" w:rsidRPr="00512F90" w:rsidRDefault="00512F90" w:rsidP="00512F90"/>
        </w:tc>
        <w:tc>
          <w:tcPr>
            <w:tcW w:w="2880" w:type="dxa"/>
          </w:tcPr>
          <w:p w:rsidR="00512F90" w:rsidRPr="00512F90" w:rsidRDefault="00512F90" w:rsidP="00512F90">
            <w:pPr>
              <w:rPr>
                <w:lang w:val="en-US"/>
              </w:rPr>
            </w:pPr>
            <w:r w:rsidRPr="00512F90">
              <w:rPr>
                <w:lang w:val="en-US"/>
              </w:rPr>
              <w:t>Aboriginal Legal Services of Toronto Inc.</w:t>
            </w:r>
          </w:p>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c>
          <w:tcPr>
            <w:tcW w:w="1458" w:type="dxa"/>
          </w:tcPr>
          <w:p w:rsidR="00512F90" w:rsidRPr="00512F90" w:rsidRDefault="00512F90" w:rsidP="00512F90"/>
        </w:tc>
        <w:tc>
          <w:tcPr>
            <w:tcW w:w="2880" w:type="dxa"/>
          </w:tcPr>
          <w:p w:rsidR="00512F90" w:rsidRPr="00512F90" w:rsidRDefault="00512F90" w:rsidP="00512F90"/>
        </w:tc>
        <w:tc>
          <w:tcPr>
            <w:tcW w:w="1170" w:type="dxa"/>
          </w:tcPr>
          <w:p w:rsidR="00512F90" w:rsidRPr="00512F90" w:rsidRDefault="00512F90" w:rsidP="00512F90"/>
        </w:tc>
        <w:tc>
          <w:tcPr>
            <w:tcW w:w="4327" w:type="dxa"/>
          </w:tcPr>
          <w:p w:rsidR="00512F90" w:rsidRPr="00512F90" w:rsidRDefault="00512F90" w:rsidP="00512F90"/>
        </w:tc>
      </w:tr>
      <w:tr w:rsidR="00512F90" w:rsidRPr="00512F90" w:rsidTr="00633E2E">
        <w:tc>
          <w:tcPr>
            <w:tcW w:w="1458" w:type="dxa"/>
          </w:tcPr>
          <w:p w:rsidR="00512F90" w:rsidRPr="00512F90" w:rsidRDefault="00512F90" w:rsidP="00512F90">
            <w:r w:rsidRPr="00512F90">
              <w:t>IN / DANS :</w:t>
            </w:r>
          </w:p>
        </w:tc>
        <w:tc>
          <w:tcPr>
            <w:tcW w:w="2880" w:type="dxa"/>
          </w:tcPr>
          <w:p w:rsidR="00512F90" w:rsidRPr="00512F90" w:rsidRDefault="00512F90" w:rsidP="00512F90">
            <w:r w:rsidRPr="00512F90">
              <w:t xml:space="preserve">Her Majesty the Queen </w:t>
            </w:r>
          </w:p>
          <w:p w:rsidR="00512F90" w:rsidRPr="00512F90" w:rsidRDefault="00512F90" w:rsidP="00512F90"/>
          <w:p w:rsidR="00512F90" w:rsidRPr="00512F90" w:rsidRDefault="00512F90" w:rsidP="00512F90">
            <w:r w:rsidRPr="00512F90">
              <w:tab/>
              <w:t>v. (35475)</w:t>
            </w:r>
          </w:p>
          <w:p w:rsidR="00512F90" w:rsidRPr="00512F90" w:rsidRDefault="00512F90" w:rsidP="00512F90"/>
          <w:p w:rsidR="00512F90" w:rsidRPr="00512F90" w:rsidRDefault="00512F90" w:rsidP="00512F90">
            <w:r w:rsidRPr="00512F90">
              <w:t>Clifford Kokopenace (Crim.) (Ont.)</w:t>
            </w:r>
          </w:p>
          <w:p w:rsidR="00512F90" w:rsidRPr="00512F90" w:rsidRDefault="00512F90" w:rsidP="00512F90"/>
        </w:tc>
        <w:tc>
          <w:tcPr>
            <w:tcW w:w="1170" w:type="dxa"/>
          </w:tcPr>
          <w:p w:rsidR="00512F90" w:rsidRPr="00512F90" w:rsidRDefault="00512F90" w:rsidP="00512F90"/>
        </w:tc>
        <w:tc>
          <w:tcPr>
            <w:tcW w:w="4327" w:type="dxa"/>
          </w:tcPr>
          <w:p w:rsidR="00512F90" w:rsidRPr="00512F90" w:rsidRDefault="00512F90" w:rsidP="00512F90"/>
        </w:tc>
      </w:tr>
    </w:tbl>
    <w:p w:rsidR="00512F90" w:rsidRPr="00512F90" w:rsidRDefault="00512F90" w:rsidP="00512F90">
      <w:pPr>
        <w:jc w:val="both"/>
        <w:rPr>
          <w:rFonts w:eastAsia="Times New Roman" w:cs="Times New Roman"/>
          <w:sz w:val="20"/>
          <w:szCs w:val="20"/>
          <w:lang w:eastAsia="en-CA"/>
        </w:rPr>
      </w:pPr>
    </w:p>
    <w:p w:rsidR="00512F90" w:rsidRPr="00512F90" w:rsidRDefault="00512F90" w:rsidP="00512F90">
      <w:pPr>
        <w:tabs>
          <w:tab w:val="left" w:pos="-1440"/>
          <w:tab w:val="left" w:pos="-720"/>
        </w:tabs>
        <w:jc w:val="both"/>
        <w:rPr>
          <w:rFonts w:eastAsia="Times New Roman" w:cs="Times New Roman"/>
          <w:sz w:val="20"/>
          <w:szCs w:val="20"/>
          <w:lang w:eastAsia="en-CA"/>
        </w:rPr>
      </w:pPr>
      <w:r w:rsidRPr="00512F90">
        <w:rPr>
          <w:rFonts w:eastAsia="Times New Roman" w:cs="Times New Roman"/>
          <w:b/>
          <w:sz w:val="20"/>
          <w:szCs w:val="20"/>
          <w:lang w:eastAsia="en-CA"/>
        </w:rPr>
        <w:t>GRANTED / ACCORDÉES</w:t>
      </w:r>
    </w:p>
    <w:p w:rsidR="00512F90" w:rsidRPr="00512F90" w:rsidRDefault="00512F90" w:rsidP="00512F90">
      <w:pPr>
        <w:tabs>
          <w:tab w:val="left" w:pos="-1440"/>
          <w:tab w:val="left" w:pos="-720"/>
        </w:tabs>
        <w:jc w:val="both"/>
        <w:rPr>
          <w:rFonts w:eastAsia="Times New Roman" w:cs="Times New Roman"/>
          <w:sz w:val="20"/>
          <w:szCs w:val="20"/>
          <w:lang w:eastAsia="en-CA"/>
        </w:rPr>
      </w:pPr>
    </w:p>
    <w:p w:rsidR="00512F90" w:rsidRPr="00512F90" w:rsidRDefault="00512F90" w:rsidP="00512F90">
      <w:pPr>
        <w:jc w:val="both"/>
        <w:rPr>
          <w:rFonts w:eastAsia="Times New Roman" w:cs="Times New Roman"/>
          <w:sz w:val="20"/>
          <w:szCs w:val="20"/>
          <w:lang w:eastAsia="en-CA"/>
        </w:rPr>
      </w:pPr>
      <w:r w:rsidRPr="00512F90">
        <w:rPr>
          <w:rFonts w:eastAsia="Times New Roman" w:cs="Times New Roman"/>
          <w:b/>
          <w:bCs/>
          <w:sz w:val="20"/>
          <w:szCs w:val="20"/>
          <w:lang w:val="en-US" w:eastAsia="en-CA"/>
        </w:rPr>
        <w:t xml:space="preserve">UPON APPLICATIONS </w:t>
      </w:r>
      <w:r w:rsidRPr="00512F90">
        <w:rPr>
          <w:rFonts w:eastAsia="Times New Roman" w:cs="Times New Roman"/>
          <w:sz w:val="20"/>
          <w:szCs w:val="20"/>
          <w:lang w:val="en-US" w:eastAsia="en-CA"/>
        </w:rPr>
        <w:t xml:space="preserve">by </w:t>
      </w:r>
      <w:r w:rsidRPr="00512F90">
        <w:rPr>
          <w:rFonts w:eastAsia="Times New Roman" w:cs="Times New Roman"/>
          <w:sz w:val="20"/>
          <w:szCs w:val="20"/>
          <w:lang w:eastAsia="en-CA"/>
        </w:rPr>
        <w:t>the Advocates’ Society, the Nishnawbe Aski Nation, the David Asper Centre for Constitutional Rights and Women’s Legal Education and Action Fund, Inc. (LEAF), the Native Women’s Association of Canada and Canadian Association of Elizabeth Fry Societies, and the Aboriginal Legal Services of Toronto Inc. for leave to intervene in the above appeal;</w:t>
      </w:r>
    </w:p>
    <w:p w:rsidR="00512F90" w:rsidRPr="00512F90" w:rsidRDefault="00512F90" w:rsidP="00512F90">
      <w:pPr>
        <w:jc w:val="both"/>
        <w:rPr>
          <w:rFonts w:eastAsia="Times New Roman" w:cs="Times New Roman"/>
          <w:sz w:val="20"/>
          <w:szCs w:val="20"/>
          <w:lang w:eastAsia="en-CA"/>
        </w:rPr>
      </w:pPr>
    </w:p>
    <w:p w:rsidR="00512F90" w:rsidRPr="00512F90" w:rsidRDefault="00512F90" w:rsidP="00512F90">
      <w:pPr>
        <w:jc w:val="both"/>
        <w:rPr>
          <w:rFonts w:eastAsia="Times New Roman" w:cs="Times New Roman"/>
          <w:sz w:val="20"/>
          <w:szCs w:val="20"/>
          <w:lang w:val="en-US" w:eastAsia="en-CA"/>
        </w:rPr>
      </w:pPr>
      <w:r w:rsidRPr="00512F90">
        <w:rPr>
          <w:rFonts w:eastAsia="Times New Roman" w:cs="Times New Roman"/>
          <w:b/>
          <w:bCs/>
          <w:sz w:val="20"/>
          <w:szCs w:val="20"/>
          <w:lang w:val="en-US" w:eastAsia="en-CA"/>
        </w:rPr>
        <w:t>AND THE MATERIAL FILED</w:t>
      </w:r>
      <w:r w:rsidRPr="00512F90">
        <w:rPr>
          <w:rFonts w:eastAsia="Times New Roman" w:cs="Times New Roman"/>
          <w:sz w:val="20"/>
          <w:szCs w:val="20"/>
          <w:lang w:val="en-US" w:eastAsia="en-CA"/>
        </w:rPr>
        <w:t xml:space="preserve"> having been read;</w:t>
      </w:r>
    </w:p>
    <w:p w:rsidR="00512F90" w:rsidRPr="00512F90" w:rsidRDefault="00512F90" w:rsidP="00512F90">
      <w:pPr>
        <w:rPr>
          <w:rFonts w:eastAsia="Times New Roman" w:cs="Times New Roman"/>
          <w:sz w:val="20"/>
          <w:szCs w:val="20"/>
          <w:lang w:val="en-US" w:eastAsia="en-CA"/>
        </w:rPr>
      </w:pPr>
    </w:p>
    <w:p w:rsidR="00512F90" w:rsidRPr="00512F90" w:rsidRDefault="00512F90" w:rsidP="00512F90">
      <w:pPr>
        <w:jc w:val="both"/>
        <w:rPr>
          <w:rFonts w:eastAsia="Times New Roman" w:cs="Times New Roman"/>
          <w:sz w:val="20"/>
          <w:szCs w:val="20"/>
          <w:lang w:val="en-US" w:eastAsia="en-CA"/>
        </w:rPr>
      </w:pPr>
      <w:r w:rsidRPr="00512F90">
        <w:rPr>
          <w:rFonts w:eastAsia="Times New Roman" w:cs="Times New Roman"/>
          <w:b/>
          <w:bCs/>
          <w:sz w:val="20"/>
          <w:szCs w:val="20"/>
          <w:lang w:val="en-US" w:eastAsia="en-CA"/>
        </w:rPr>
        <w:t>IT IS HEREBY ORDERED THAT:</w:t>
      </w:r>
    </w:p>
    <w:p w:rsidR="00512F90" w:rsidRPr="00512F90" w:rsidRDefault="00512F90" w:rsidP="00512F90">
      <w:pPr>
        <w:jc w:val="both"/>
        <w:rPr>
          <w:rFonts w:eastAsia="Times New Roman" w:cs="Times New Roman"/>
          <w:sz w:val="20"/>
          <w:szCs w:val="20"/>
          <w:lang w:val="en-US" w:eastAsia="en-CA"/>
        </w:rPr>
      </w:pPr>
    </w:p>
    <w:p w:rsidR="00512F90" w:rsidRPr="00512F90" w:rsidRDefault="00512F90" w:rsidP="00512F90">
      <w:pPr>
        <w:jc w:val="both"/>
        <w:rPr>
          <w:rFonts w:eastAsia="Times New Roman" w:cs="Times New Roman"/>
          <w:sz w:val="20"/>
          <w:szCs w:val="20"/>
          <w:lang w:val="en-US" w:eastAsia="en-CA"/>
        </w:rPr>
      </w:pPr>
      <w:r w:rsidRPr="00512F90">
        <w:rPr>
          <w:rFonts w:eastAsia="Times New Roman" w:cs="Times New Roman"/>
          <w:sz w:val="20"/>
          <w:szCs w:val="20"/>
          <w:lang w:val="en-US" w:eastAsia="en-CA"/>
        </w:rPr>
        <w:t xml:space="preserve">The motions for leave to intervene of the </w:t>
      </w:r>
      <w:r w:rsidRPr="00512F90">
        <w:rPr>
          <w:rFonts w:eastAsia="Times New Roman" w:cs="Times New Roman"/>
          <w:sz w:val="20"/>
          <w:szCs w:val="20"/>
          <w:lang w:eastAsia="en-CA"/>
        </w:rPr>
        <w:t xml:space="preserve">Advocates’ Society, the Nishnawbe Aski Nation, the David Asper Centre for Constitutional Rights and Women’s Legal Education and Action Fund, Inc. (LEAF), the Native Women’s Association of Canada and Canadian Association of Elizabeth Fry Societies, and the Aboriginal Legal Services of Toronto Inc. </w:t>
      </w:r>
      <w:r w:rsidRPr="00512F90">
        <w:rPr>
          <w:rFonts w:eastAsia="Times New Roman" w:cs="Times New Roman"/>
          <w:sz w:val="20"/>
          <w:szCs w:val="20"/>
          <w:lang w:val="en-US" w:eastAsia="en-CA"/>
        </w:rPr>
        <w:t>are granted and the said five interveners or groups of interveners shall be entitled to each serve and file a factum not to exceed 10 pages in length on or before June 18, 2014.</w:t>
      </w:r>
    </w:p>
    <w:p w:rsidR="00512F90" w:rsidRPr="00512F90" w:rsidRDefault="00512F90" w:rsidP="00512F90">
      <w:pPr>
        <w:jc w:val="both"/>
        <w:rPr>
          <w:rFonts w:eastAsia="Times New Roman" w:cs="Times New Roman"/>
          <w:sz w:val="20"/>
          <w:szCs w:val="20"/>
          <w:lang w:val="en-US" w:eastAsia="en-CA"/>
        </w:rPr>
      </w:pPr>
    </w:p>
    <w:p w:rsidR="00512F90" w:rsidRPr="00512F90" w:rsidRDefault="00512F90" w:rsidP="00512F90">
      <w:pPr>
        <w:jc w:val="both"/>
        <w:rPr>
          <w:rFonts w:eastAsia="Times New Roman" w:cs="Times New Roman"/>
          <w:sz w:val="20"/>
          <w:szCs w:val="20"/>
          <w:lang w:val="en-US" w:eastAsia="en-CA"/>
        </w:rPr>
      </w:pPr>
      <w:r w:rsidRPr="00512F9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512F90" w:rsidRPr="00512F90" w:rsidRDefault="00512F90" w:rsidP="00512F90">
      <w:pPr>
        <w:jc w:val="both"/>
        <w:rPr>
          <w:rFonts w:eastAsia="Times New Roman" w:cs="Times New Roman"/>
          <w:sz w:val="20"/>
          <w:szCs w:val="20"/>
          <w:lang w:val="en-US" w:eastAsia="en-CA"/>
        </w:rPr>
      </w:pPr>
    </w:p>
    <w:p w:rsidR="00512F90" w:rsidRPr="00512F90" w:rsidRDefault="00EF5791" w:rsidP="00512F90">
      <w:pPr>
        <w:jc w:val="both"/>
        <w:rPr>
          <w:rFonts w:eastAsia="Times New Roman" w:cs="Times New Roman"/>
          <w:sz w:val="20"/>
          <w:szCs w:val="20"/>
          <w:lang w:val="en-US" w:eastAsia="en-CA"/>
        </w:rPr>
      </w:pPr>
      <w:r w:rsidRPr="00512F90">
        <w:rPr>
          <w:rFonts w:eastAsia="Times New Roman" w:cs="Times New Roman"/>
          <w:sz w:val="20"/>
          <w:szCs w:val="20"/>
          <w:lang w:eastAsia="en-CA"/>
        </w:rPr>
        <w:lastRenderedPageBreak/>
        <w:fldChar w:fldCharType="begin"/>
      </w:r>
      <w:r w:rsidR="00512F90" w:rsidRPr="00512F90">
        <w:rPr>
          <w:rFonts w:eastAsia="Times New Roman" w:cs="Times New Roman"/>
          <w:sz w:val="20"/>
          <w:szCs w:val="20"/>
          <w:lang w:eastAsia="en-CA"/>
        </w:rPr>
        <w:instrText xml:space="preserve"> SEQ CHAPTER \h \r 1</w:instrText>
      </w:r>
      <w:r w:rsidRPr="00512F90">
        <w:rPr>
          <w:rFonts w:eastAsia="Times New Roman" w:cs="Times New Roman"/>
          <w:sz w:val="20"/>
          <w:szCs w:val="20"/>
          <w:lang w:eastAsia="en-CA"/>
        </w:rPr>
        <w:fldChar w:fldCharType="end"/>
      </w:r>
      <w:r w:rsidR="00512F90" w:rsidRPr="00512F90">
        <w:rPr>
          <w:rFonts w:eastAsia="Times New Roman" w:cs="Times New Roman"/>
          <w:bCs/>
          <w:sz w:val="20"/>
          <w:szCs w:val="20"/>
          <w:lang w:val="en-US" w:eastAsia="en-CA"/>
        </w:rPr>
        <w:t>The interveners are not entitled to raise new issues or to adduce further evidence or otherwise to supplement the record of the parties.</w:t>
      </w:r>
    </w:p>
    <w:p w:rsidR="00512F90" w:rsidRPr="00512F90" w:rsidRDefault="00512F90" w:rsidP="00512F90">
      <w:pPr>
        <w:jc w:val="both"/>
        <w:rPr>
          <w:rFonts w:eastAsia="Times New Roman" w:cs="Times New Roman"/>
          <w:sz w:val="20"/>
          <w:szCs w:val="20"/>
          <w:lang w:val="en-US" w:eastAsia="en-CA"/>
        </w:rPr>
      </w:pPr>
    </w:p>
    <w:p w:rsidR="00512F90" w:rsidRPr="00512F90" w:rsidRDefault="00512F90" w:rsidP="00512F90">
      <w:pPr>
        <w:jc w:val="both"/>
        <w:rPr>
          <w:rFonts w:eastAsia="Times New Roman" w:cs="Times New Roman"/>
          <w:sz w:val="20"/>
          <w:szCs w:val="20"/>
          <w:lang w:val="en-US" w:eastAsia="en-CA"/>
        </w:rPr>
      </w:pPr>
      <w:r w:rsidRPr="00512F90">
        <w:rPr>
          <w:rFonts w:eastAsia="Times New Roman" w:cs="Times New Roman"/>
          <w:sz w:val="20"/>
          <w:szCs w:val="20"/>
          <w:lang w:val="en-US" w:eastAsia="en-CA"/>
        </w:rPr>
        <w:t>Pursuant to Rule 59(1)(</w:t>
      </w:r>
      <w:r w:rsidRPr="00512F90">
        <w:rPr>
          <w:rFonts w:eastAsia="Times New Roman" w:cs="Times New Roman"/>
          <w:i/>
          <w:iCs/>
          <w:sz w:val="20"/>
          <w:szCs w:val="20"/>
          <w:lang w:val="en-US" w:eastAsia="en-CA"/>
        </w:rPr>
        <w:t>a</w:t>
      </w:r>
      <w:r w:rsidRPr="00512F90">
        <w:rPr>
          <w:rFonts w:eastAsia="Times New Roman" w:cs="Times New Roman"/>
          <w:sz w:val="20"/>
          <w:szCs w:val="20"/>
          <w:lang w:val="en-US" w:eastAsia="en-CA"/>
        </w:rPr>
        <w:t xml:space="preserve">) of the </w:t>
      </w:r>
      <w:r w:rsidRPr="00512F90">
        <w:rPr>
          <w:rFonts w:eastAsia="Times New Roman" w:cs="Times New Roman"/>
          <w:i/>
          <w:iCs/>
          <w:sz w:val="20"/>
          <w:szCs w:val="20"/>
          <w:lang w:val="en-US" w:eastAsia="en-CA"/>
        </w:rPr>
        <w:t>Rules of the Supreme Court of Canada</w:t>
      </w:r>
      <w:r w:rsidRPr="00512F90">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512F90" w:rsidRPr="00512F90" w:rsidRDefault="00512F90" w:rsidP="00512F90">
      <w:pPr>
        <w:spacing w:line="233" w:lineRule="auto"/>
        <w:jc w:val="both"/>
        <w:rPr>
          <w:rFonts w:eastAsia="Times New Roman" w:cs="Times New Roman"/>
          <w:sz w:val="20"/>
          <w:szCs w:val="20"/>
          <w:lang w:val="en-US" w:eastAsia="en-CA"/>
        </w:rPr>
      </w:pPr>
    </w:p>
    <w:p w:rsidR="00512F90" w:rsidRPr="00512F90" w:rsidRDefault="00512F90" w:rsidP="00512F90">
      <w:pPr>
        <w:spacing w:line="233" w:lineRule="auto"/>
        <w:jc w:val="both"/>
        <w:rPr>
          <w:rFonts w:eastAsia="Times New Roman" w:cs="Times New Roman"/>
          <w:sz w:val="20"/>
          <w:szCs w:val="20"/>
          <w:lang w:val="en-US" w:eastAsia="en-CA"/>
        </w:rPr>
      </w:pPr>
    </w:p>
    <w:p w:rsidR="00512F90" w:rsidRPr="00512F90" w:rsidRDefault="00512F90" w:rsidP="00512F90">
      <w:pPr>
        <w:spacing w:line="233" w:lineRule="auto"/>
        <w:jc w:val="both"/>
        <w:rPr>
          <w:rFonts w:eastAsia="Times New Roman" w:cs="Times New Roman"/>
          <w:sz w:val="20"/>
          <w:szCs w:val="20"/>
          <w:lang w:val="en-US" w:eastAsia="en-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b/>
          <w:sz w:val="20"/>
          <w:szCs w:val="20"/>
          <w:lang w:val="fr-CA"/>
        </w:rPr>
        <w:t>À LA SUITE DES DEMANDES</w:t>
      </w:r>
      <w:r w:rsidRPr="00512F90">
        <w:rPr>
          <w:rFonts w:eastAsiaTheme="minorEastAsia" w:cs="Times New Roman"/>
          <w:sz w:val="20"/>
          <w:szCs w:val="20"/>
          <w:lang w:val="fr-CA"/>
        </w:rPr>
        <w:t xml:space="preserve"> présentées par l’Advocates’ Society, par la Nation Aski Nishnawbe, par le David Asper Centre for Constitutional Rights et le Fonds d’action et d’éducation juridiques pour les femmes, par l’Association des femmes autochtones du Canada et l’Association canadienne des Sociétés Elizabeth Fry, et par les Aboriginal Legal Services of Toronto Inc. en vue d’intervenir dans l’appel; </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b/>
          <w:sz w:val="20"/>
          <w:szCs w:val="20"/>
          <w:lang w:val="fr-CA"/>
        </w:rPr>
        <w:t>ET APRÈS EXAMEN</w:t>
      </w:r>
      <w:r w:rsidRPr="00512F90">
        <w:rPr>
          <w:rFonts w:eastAsiaTheme="minorEastAsia" w:cs="Times New Roman"/>
          <w:sz w:val="20"/>
          <w:szCs w:val="20"/>
          <w:lang w:val="fr-CA"/>
        </w:rPr>
        <w:t xml:space="preserve"> des documents déposés </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b/>
          <w:sz w:val="20"/>
          <w:szCs w:val="20"/>
          <w:lang w:val="fr-CA"/>
        </w:rPr>
      </w:pPr>
      <w:r w:rsidRPr="00512F90">
        <w:rPr>
          <w:rFonts w:eastAsiaTheme="minorEastAsia" w:cs="Times New Roman"/>
          <w:b/>
          <w:sz w:val="20"/>
          <w:szCs w:val="20"/>
          <w:lang w:val="fr-CA"/>
        </w:rPr>
        <w:t xml:space="preserve">IL EST ORDONNÉ CE QUI SUIT : </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sz w:val="20"/>
          <w:szCs w:val="20"/>
          <w:lang w:val="fr-CA"/>
        </w:rPr>
        <w:t xml:space="preserve">Les requêtes en autorisation d’intervenir présentées par l’Advocates’ Society, par la Nation Aski Nishnawbe, par le David Asper Centre for Constitutional Rights et le Fonds d’action et d’éducation juridiques pour les femmes, par l’Association des femmes autochtones du Canada et l’Association canadienne des Sociétés Elizabeth Fry, et par les Aboriginal Legal Services of Toronto Inc. sont accueillies et chacun de ces cinq intervenants ou groupes d’intervenants pourra déposer un mémoire d’au plus 10 pages au plus tard le 18 juin 2014. </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p>
    <w:p w:rsidR="00512F90" w:rsidRPr="00512F90" w:rsidRDefault="00512F90" w:rsidP="00732B63">
      <w:pPr>
        <w:widowControl w:val="0"/>
        <w:autoSpaceDE w:val="0"/>
        <w:autoSpaceDN w:val="0"/>
        <w:adjustRightInd w:val="0"/>
        <w:spacing w:line="233" w:lineRule="auto"/>
        <w:jc w:val="both"/>
        <w:rPr>
          <w:rFonts w:eastAsiaTheme="minorEastAsia" w:cs="Times New Roman"/>
          <w:sz w:val="20"/>
          <w:szCs w:val="20"/>
          <w:lang w:val="fr-CA"/>
        </w:rPr>
      </w:pPr>
      <w:r w:rsidRPr="00512F90">
        <w:rPr>
          <w:rFonts w:eastAsiaTheme="minorEastAsia" w:cs="Times New Roman"/>
          <w:sz w:val="20"/>
          <w:szCs w:val="20"/>
          <w:lang w:val="fr-CA"/>
        </w:rPr>
        <w:t>Conformément à l’alinéa 59(1)</w:t>
      </w:r>
      <w:r w:rsidRPr="00512F90">
        <w:rPr>
          <w:rFonts w:eastAsiaTheme="minorEastAsia" w:cs="Times New Roman"/>
          <w:i/>
          <w:sz w:val="20"/>
          <w:szCs w:val="20"/>
          <w:lang w:val="fr-CA"/>
        </w:rPr>
        <w:t>a</w:t>
      </w:r>
      <w:r w:rsidRPr="00512F90">
        <w:rPr>
          <w:rFonts w:eastAsiaTheme="minorEastAsia" w:cs="Times New Roman"/>
          <w:sz w:val="20"/>
          <w:szCs w:val="20"/>
          <w:lang w:val="fr-CA"/>
        </w:rPr>
        <w:t xml:space="preserve">) des </w:t>
      </w:r>
      <w:r w:rsidRPr="00512F90">
        <w:rPr>
          <w:rFonts w:eastAsiaTheme="minorEastAsia" w:cs="Times New Roman"/>
          <w:i/>
          <w:sz w:val="20"/>
          <w:szCs w:val="20"/>
          <w:lang w:val="fr-CA"/>
        </w:rPr>
        <w:t>Règles de la Cour suprême du Canada</w:t>
      </w:r>
      <w:r w:rsidRPr="00512F90">
        <w:rPr>
          <w:rFonts w:eastAsiaTheme="minorEastAsia" w:cs="Times New Roman"/>
          <w:sz w:val="20"/>
          <w:szCs w:val="20"/>
          <w:lang w:val="fr-CA"/>
        </w:rPr>
        <w:t>, les intervenants paieront à l’appelante et à l’intimé tous débours supplémentaires résultant de leur intervention.</w:t>
      </w:r>
    </w:p>
    <w:p w:rsidR="00512F90" w:rsidRPr="00512F90" w:rsidRDefault="00512F90" w:rsidP="00512F90">
      <w:pPr>
        <w:spacing w:line="233" w:lineRule="auto"/>
        <w:jc w:val="both"/>
        <w:rPr>
          <w:rFonts w:eastAsia="Times New Roman" w:cs="Times New Roman"/>
          <w:sz w:val="20"/>
          <w:szCs w:val="20"/>
          <w:lang w:val="fr-CA" w:eastAsia="en-CA"/>
        </w:rPr>
      </w:pPr>
    </w:p>
    <w:p w:rsidR="00512F90" w:rsidRPr="00512F90" w:rsidRDefault="000B3306" w:rsidP="00512F90">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512F90" w:rsidRPr="00512F90" w:rsidRDefault="00512F90" w:rsidP="00512F90">
      <w:pPr>
        <w:spacing w:line="233" w:lineRule="auto"/>
        <w:jc w:val="both"/>
        <w:rPr>
          <w:rFonts w:eastAsia="Times New Roman" w:cs="Times New Roman"/>
          <w:sz w:val="20"/>
          <w:szCs w:val="20"/>
          <w:lang w:val="en-US"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r w:rsidRPr="00512F90">
        <w:rPr>
          <w:rFonts w:eastAsia="Times New Roman" w:cs="Times New Roman"/>
          <w:sz w:val="20"/>
          <w:szCs w:val="20"/>
          <w:lang w:val="fr-CA" w:eastAsia="en-CA"/>
        </w:rPr>
        <w:t>23.04.2014</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512F90" w:rsidRPr="00512F90" w:rsidRDefault="00512F90" w:rsidP="00512F90">
      <w:pPr>
        <w:tabs>
          <w:tab w:val="left" w:pos="-1440"/>
          <w:tab w:val="left" w:pos="-720"/>
        </w:tabs>
        <w:jc w:val="both"/>
        <w:rPr>
          <w:rFonts w:eastAsia="Times New Roman" w:cs="Times New Roman"/>
          <w:sz w:val="20"/>
          <w:szCs w:val="20"/>
          <w:lang w:eastAsia="en-CA"/>
        </w:rPr>
      </w:pPr>
      <w:r w:rsidRPr="00512F90">
        <w:rPr>
          <w:rFonts w:eastAsia="Times New Roman" w:cs="Times New Roman"/>
          <w:sz w:val="20"/>
          <w:szCs w:val="20"/>
          <w:lang w:val="fr-CA" w:eastAsia="en-CA"/>
        </w:rPr>
        <w:t xml:space="preserve">Before / Devant:   </w:t>
      </w:r>
      <w:r w:rsidRPr="00512F90">
        <w:rPr>
          <w:rFonts w:eastAsia="Times New Roman" w:cs="Times New Roman"/>
          <w:sz w:val="20"/>
          <w:szCs w:val="20"/>
          <w:lang w:eastAsia="en-CA"/>
        </w:rPr>
        <w:t>THE REGISTRAR / LE REGISTRAIRE</w:t>
      </w:r>
    </w:p>
    <w:p w:rsidR="00512F90" w:rsidRPr="00512F90" w:rsidRDefault="00512F90" w:rsidP="00512F90">
      <w:pPr>
        <w:tabs>
          <w:tab w:val="left" w:pos="-1440"/>
          <w:tab w:val="left" w:pos="-720"/>
        </w:tabs>
        <w:jc w:val="both"/>
        <w:rPr>
          <w:rFonts w:eastAsia="Times New Roman" w:cs="Times New Roman"/>
          <w:sz w:val="20"/>
          <w:szCs w:val="20"/>
          <w:lang w:val="fr-CA" w:eastAsia="en-CA"/>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12F90" w:rsidRPr="00512F90" w:rsidTr="00633E2E">
        <w:trPr>
          <w:trHeight w:val="151"/>
        </w:trPr>
        <w:tc>
          <w:tcPr>
            <w:tcW w:w="4338" w:type="dxa"/>
          </w:tcPr>
          <w:p w:rsidR="00512F90" w:rsidRPr="00512F90" w:rsidRDefault="00EF5791" w:rsidP="00512F90">
            <w:pPr>
              <w:tabs>
                <w:tab w:val="left" w:pos="-1440"/>
                <w:tab w:val="left" w:pos="-720"/>
              </w:tabs>
              <w:jc w:val="both"/>
              <w:rPr>
                <w:lang w:val="en-US"/>
              </w:rPr>
            </w:pPr>
            <w:r w:rsidRPr="00512F90">
              <w:rPr>
                <w:lang w:val="en-US"/>
              </w:rPr>
              <w:fldChar w:fldCharType="begin"/>
            </w:r>
            <w:r w:rsidR="00512F90" w:rsidRPr="00512F90">
              <w:rPr>
                <w:lang w:val="en-US"/>
              </w:rPr>
              <w:instrText xml:space="preserve"> SEQ CHAPTER \h \r 1</w:instrText>
            </w:r>
            <w:r w:rsidRPr="00512F90">
              <w:rPr>
                <w:lang w:val="en-US"/>
              </w:rPr>
              <w:fldChar w:fldCharType="end"/>
            </w:r>
            <w:r w:rsidR="00512F90" w:rsidRPr="00512F90">
              <w:rPr>
                <w:b/>
                <w:bCs/>
                <w:lang w:val="en-US"/>
              </w:rPr>
              <w:t>Miscellaneous motion</w:t>
            </w:r>
          </w:p>
          <w:p w:rsidR="00512F90" w:rsidRPr="00512F90" w:rsidRDefault="00EF5791" w:rsidP="00512F90">
            <w:pPr>
              <w:tabs>
                <w:tab w:val="left" w:pos="-1440"/>
                <w:tab w:val="left" w:pos="-720"/>
              </w:tabs>
              <w:jc w:val="both"/>
              <w:rPr>
                <w:lang w:val="en-US"/>
              </w:rPr>
            </w:pPr>
            <w:r w:rsidRPr="00512F90">
              <w:rPr>
                <w:lang w:val="en-US"/>
              </w:rPr>
              <w:fldChar w:fldCharType="begin"/>
            </w:r>
            <w:r w:rsidR="00512F90" w:rsidRPr="00512F90">
              <w:rPr>
                <w:lang w:val="en-US"/>
              </w:rPr>
              <w:instrText xml:space="preserve"> SEQ CHAPTER \h \r 1</w:instrText>
            </w:r>
            <w:r w:rsidRPr="00512F90">
              <w:rPr>
                <w:lang w:val="en-US"/>
              </w:rPr>
              <w:fldChar w:fldCharType="end"/>
            </w:r>
          </w:p>
        </w:tc>
        <w:tc>
          <w:tcPr>
            <w:tcW w:w="1170" w:type="dxa"/>
          </w:tcPr>
          <w:p w:rsidR="00512F90" w:rsidRPr="00512F90" w:rsidRDefault="00512F90" w:rsidP="00512F90">
            <w:pPr>
              <w:jc w:val="both"/>
              <w:rPr>
                <w:lang w:val="en-US"/>
              </w:rPr>
            </w:pPr>
          </w:p>
          <w:p w:rsidR="00512F90" w:rsidRPr="00512F90" w:rsidRDefault="00512F90" w:rsidP="00512F90">
            <w:pPr>
              <w:jc w:val="both"/>
              <w:rPr>
                <w:lang w:val="en-US"/>
              </w:rPr>
            </w:pPr>
          </w:p>
        </w:tc>
        <w:tc>
          <w:tcPr>
            <w:tcW w:w="4327" w:type="dxa"/>
          </w:tcPr>
          <w:p w:rsidR="00512F90" w:rsidRPr="00512F90" w:rsidRDefault="00EF5791" w:rsidP="00512F90">
            <w:pPr>
              <w:jc w:val="both"/>
              <w:rPr>
                <w:b/>
                <w:lang w:val="fr-CA"/>
              </w:rPr>
            </w:pPr>
            <w:r w:rsidRPr="00512F90">
              <w:rPr>
                <w:lang w:val="en-US"/>
              </w:rPr>
              <w:fldChar w:fldCharType="begin"/>
            </w:r>
            <w:r w:rsidR="00512F90" w:rsidRPr="00512F90">
              <w:rPr>
                <w:lang w:val="fr-CA"/>
              </w:rPr>
              <w:instrText xml:space="preserve"> SEQ CHAPTER \h \r 1</w:instrText>
            </w:r>
            <w:r w:rsidRPr="00512F90">
              <w:rPr>
                <w:lang w:val="en-US"/>
              </w:rPr>
              <w:fldChar w:fldCharType="end"/>
            </w:r>
            <w:r w:rsidR="00512F90" w:rsidRPr="00512F90">
              <w:rPr>
                <w:b/>
                <w:bCs/>
                <w:lang w:val="fr-CA"/>
              </w:rPr>
              <w:t>Requête diverse</w:t>
            </w:r>
          </w:p>
          <w:p w:rsidR="00512F90" w:rsidRPr="00512F90" w:rsidRDefault="00EF5791" w:rsidP="00512F90">
            <w:pPr>
              <w:jc w:val="both"/>
              <w:rPr>
                <w:b/>
                <w:lang w:val="fr-CA"/>
              </w:rPr>
            </w:pPr>
            <w:r w:rsidRPr="00512F90">
              <w:rPr>
                <w:b/>
                <w:lang w:val="en-US"/>
              </w:rPr>
              <w:fldChar w:fldCharType="begin"/>
            </w:r>
            <w:r w:rsidR="00512F90" w:rsidRPr="00512F90">
              <w:rPr>
                <w:b/>
                <w:lang w:val="fr-CA"/>
              </w:rPr>
              <w:instrText xml:space="preserve"> SEQ CHAPTER \h \r 1</w:instrText>
            </w:r>
            <w:r w:rsidRPr="00512F90">
              <w:rPr>
                <w:b/>
                <w:lang w:val="en-US"/>
              </w:rPr>
              <w:fldChar w:fldCharType="end"/>
            </w:r>
            <w:r w:rsidRPr="00512F90">
              <w:rPr>
                <w:b/>
                <w:lang w:val="en-US"/>
              </w:rPr>
              <w:fldChar w:fldCharType="begin"/>
            </w:r>
            <w:r w:rsidR="00512F90" w:rsidRPr="00512F90">
              <w:rPr>
                <w:b/>
                <w:lang w:val="fr-CA"/>
              </w:rPr>
              <w:instrText xml:space="preserve"> SEQ CHAPTER \h \r 1</w:instrText>
            </w:r>
            <w:r w:rsidRPr="00512F90">
              <w:rPr>
                <w:b/>
                <w:lang w:val="en-US"/>
              </w:rPr>
              <w:fldChar w:fldCharType="end"/>
            </w:r>
          </w:p>
        </w:tc>
      </w:tr>
      <w:tr w:rsidR="00512F90" w:rsidRPr="00512F90" w:rsidTr="00633E2E">
        <w:trPr>
          <w:trHeight w:val="150"/>
        </w:trPr>
        <w:tc>
          <w:tcPr>
            <w:tcW w:w="4338" w:type="dxa"/>
          </w:tcPr>
          <w:p w:rsidR="00512F90" w:rsidRPr="00512F90" w:rsidRDefault="00512F90" w:rsidP="00512F90">
            <w:pPr>
              <w:tabs>
                <w:tab w:val="left" w:pos="-1440"/>
                <w:tab w:val="left" w:pos="-720"/>
              </w:tabs>
              <w:jc w:val="both"/>
              <w:rPr>
                <w:lang w:val="en-US"/>
              </w:rPr>
            </w:pPr>
            <w:r w:rsidRPr="00512F90">
              <w:rPr>
                <w:lang w:val="en-US"/>
              </w:rPr>
              <w:t>Attorney General of Canada</w:t>
            </w:r>
          </w:p>
          <w:p w:rsidR="00512F90" w:rsidRPr="00512F90" w:rsidRDefault="00512F90" w:rsidP="00512F90">
            <w:pPr>
              <w:tabs>
                <w:tab w:val="left" w:pos="-1440"/>
                <w:tab w:val="left" w:pos="-720"/>
              </w:tabs>
              <w:jc w:val="both"/>
              <w:rPr>
                <w:lang w:val="en-US"/>
              </w:rPr>
            </w:pPr>
          </w:p>
          <w:p w:rsidR="00512F90" w:rsidRPr="00512F90" w:rsidRDefault="00512F90" w:rsidP="00512F90">
            <w:pPr>
              <w:tabs>
                <w:tab w:val="left" w:pos="-1440"/>
                <w:tab w:val="left" w:pos="-720"/>
              </w:tabs>
              <w:jc w:val="both"/>
              <w:rPr>
                <w:lang w:val="en-US"/>
              </w:rPr>
            </w:pPr>
            <w:r w:rsidRPr="00512F90">
              <w:rPr>
                <w:lang w:val="en-US"/>
              </w:rPr>
              <w:tab/>
              <w:t>v. (35548)</w:t>
            </w:r>
          </w:p>
          <w:p w:rsidR="00512F90" w:rsidRPr="00512F90" w:rsidRDefault="00512F90" w:rsidP="00512F90">
            <w:pPr>
              <w:tabs>
                <w:tab w:val="left" w:pos="-1440"/>
                <w:tab w:val="left" w:pos="-720"/>
              </w:tabs>
              <w:jc w:val="both"/>
              <w:rPr>
                <w:lang w:val="en-US"/>
              </w:rPr>
            </w:pPr>
          </w:p>
          <w:p w:rsidR="00512F90" w:rsidRPr="00512F90" w:rsidRDefault="00512F90" w:rsidP="00512F90">
            <w:pPr>
              <w:tabs>
                <w:tab w:val="left" w:pos="-1440"/>
                <w:tab w:val="left" w:pos="-720"/>
              </w:tabs>
              <w:jc w:val="both"/>
              <w:rPr>
                <w:lang w:val="en-US"/>
              </w:rPr>
            </w:pPr>
            <w:r w:rsidRPr="00512F90">
              <w:rPr>
                <w:lang w:val="en-US"/>
              </w:rPr>
              <w:t>Anthony Barnaby (Crim.) (Que.)</w:t>
            </w:r>
          </w:p>
        </w:tc>
        <w:tc>
          <w:tcPr>
            <w:tcW w:w="1170" w:type="dxa"/>
          </w:tcPr>
          <w:p w:rsidR="00512F90" w:rsidRPr="00512F90" w:rsidRDefault="00512F90" w:rsidP="00512F90">
            <w:pPr>
              <w:jc w:val="both"/>
              <w:rPr>
                <w:lang w:val="en-US"/>
              </w:rPr>
            </w:pPr>
          </w:p>
        </w:tc>
        <w:tc>
          <w:tcPr>
            <w:tcW w:w="4327" w:type="dxa"/>
          </w:tcPr>
          <w:p w:rsidR="00512F90" w:rsidRPr="00512F90" w:rsidRDefault="00512F90" w:rsidP="00512F90">
            <w:pPr>
              <w:jc w:val="both"/>
              <w:rPr>
                <w:lang w:val="en-US"/>
              </w:rPr>
            </w:pPr>
          </w:p>
        </w:tc>
      </w:tr>
    </w:tbl>
    <w:p w:rsidR="00512F90" w:rsidRPr="00512F90" w:rsidRDefault="00512F90" w:rsidP="00512F90">
      <w:pPr>
        <w:tabs>
          <w:tab w:val="left" w:pos="-1440"/>
          <w:tab w:val="left" w:pos="-720"/>
        </w:tabs>
        <w:jc w:val="both"/>
        <w:rPr>
          <w:rFonts w:eastAsia="Times New Roman" w:cs="Times New Roman"/>
          <w:sz w:val="20"/>
          <w:szCs w:val="20"/>
          <w:lang w:val="en-US" w:eastAsia="en-CA"/>
        </w:rPr>
      </w:pPr>
    </w:p>
    <w:p w:rsidR="00512F90" w:rsidRPr="00512F90" w:rsidRDefault="00512F90" w:rsidP="00512F90">
      <w:pPr>
        <w:tabs>
          <w:tab w:val="left" w:pos="-1440"/>
          <w:tab w:val="left" w:pos="-720"/>
        </w:tabs>
        <w:jc w:val="both"/>
        <w:rPr>
          <w:rFonts w:eastAsia="Times New Roman" w:cs="Times New Roman"/>
          <w:sz w:val="20"/>
          <w:szCs w:val="20"/>
          <w:lang w:val="en-US" w:eastAsia="en-CA"/>
        </w:rPr>
      </w:pPr>
      <w:r w:rsidRPr="00512F90">
        <w:rPr>
          <w:rFonts w:eastAsia="Times New Roman" w:cs="Times New Roman"/>
          <w:b/>
          <w:sz w:val="20"/>
          <w:szCs w:val="20"/>
          <w:lang w:val="en-US" w:eastAsia="en-CA"/>
        </w:rPr>
        <w:t>GRANTED / ACCORDÉE</w:t>
      </w:r>
    </w:p>
    <w:p w:rsidR="00512F90" w:rsidRPr="00512F90" w:rsidRDefault="00512F90" w:rsidP="00512F90">
      <w:pPr>
        <w:tabs>
          <w:tab w:val="left" w:pos="-1440"/>
          <w:tab w:val="left" w:pos="-720"/>
        </w:tabs>
        <w:jc w:val="both"/>
        <w:rPr>
          <w:rFonts w:eastAsia="Times New Roman" w:cs="Times New Roman"/>
          <w:sz w:val="20"/>
          <w:szCs w:val="20"/>
          <w:lang w:val="en-US" w:eastAsia="en-CA"/>
        </w:rPr>
      </w:pPr>
    </w:p>
    <w:p w:rsidR="00512F90" w:rsidRPr="00512F90" w:rsidRDefault="00512F90" w:rsidP="00512F90">
      <w:pPr>
        <w:rPr>
          <w:rFonts w:eastAsia="Times New Roman" w:cs="Times New Roman"/>
          <w:sz w:val="20"/>
          <w:szCs w:val="20"/>
          <w:lang w:eastAsia="en-CA"/>
        </w:rPr>
      </w:pPr>
      <w:r w:rsidRPr="00512F90">
        <w:rPr>
          <w:rFonts w:eastAsia="Times New Roman" w:cs="Times New Roman"/>
          <w:b/>
          <w:sz w:val="20"/>
          <w:szCs w:val="20"/>
          <w:lang w:eastAsia="en-CA"/>
        </w:rPr>
        <w:t>UPON APPLICATION</w:t>
      </w:r>
      <w:r w:rsidRPr="00512F90">
        <w:rPr>
          <w:rFonts w:eastAsia="Times New Roman" w:cs="Times New Roman"/>
          <w:sz w:val="20"/>
          <w:szCs w:val="20"/>
          <w:lang w:eastAsia="en-CA"/>
        </w:rPr>
        <w:t xml:space="preserve"> by the respondent pursuant to the provisions of Rule 32(2) of the </w:t>
      </w:r>
      <w:r w:rsidRPr="00512F90">
        <w:rPr>
          <w:rFonts w:eastAsia="Times New Roman" w:cs="Times New Roman"/>
          <w:i/>
          <w:sz w:val="20"/>
          <w:szCs w:val="20"/>
          <w:lang w:eastAsia="en-CA"/>
        </w:rPr>
        <w:t>Rules of the Supreme Court of Canada</w:t>
      </w:r>
      <w:r w:rsidRPr="00512F90">
        <w:rPr>
          <w:rFonts w:eastAsia="Times New Roman" w:cs="Times New Roman"/>
          <w:sz w:val="20"/>
          <w:szCs w:val="20"/>
          <w:lang w:eastAsia="en-CA"/>
        </w:rPr>
        <w:t xml:space="preserve"> for an order permitting the respondent to file materials</w:t>
      </w:r>
      <w:r w:rsidRPr="00512F90">
        <w:rPr>
          <w:rFonts w:eastAsia="Times New Roman" w:cs="Times New Roman"/>
          <w:color w:val="FF0000"/>
          <w:sz w:val="20"/>
          <w:szCs w:val="20"/>
          <w:lang w:val="en-US" w:eastAsia="en-CA"/>
        </w:rPr>
        <w:t xml:space="preserve"> </w:t>
      </w:r>
      <w:r w:rsidRPr="00512F90">
        <w:rPr>
          <w:rFonts w:eastAsia="Times New Roman" w:cs="Times New Roman"/>
          <w:sz w:val="20"/>
          <w:szCs w:val="20"/>
          <w:lang w:val="en-US" w:eastAsia="en-CA"/>
        </w:rPr>
        <w:t>after the application for leave to appeal has been submitted to the Court</w:t>
      </w:r>
      <w:r w:rsidRPr="00512F90">
        <w:rPr>
          <w:rFonts w:eastAsia="Times New Roman" w:cs="Times New Roman"/>
          <w:sz w:val="20"/>
          <w:szCs w:val="20"/>
          <w:lang w:eastAsia="en-CA"/>
        </w:rPr>
        <w:t>, namely:</w:t>
      </w:r>
    </w:p>
    <w:p w:rsidR="00512F90" w:rsidRPr="00512F90" w:rsidRDefault="00512F90" w:rsidP="00512F90">
      <w:pPr>
        <w:rPr>
          <w:rFonts w:eastAsia="Times New Roman" w:cs="Times New Roman"/>
          <w:sz w:val="20"/>
          <w:szCs w:val="20"/>
          <w:lang w:eastAsia="en-CA"/>
        </w:rPr>
      </w:pPr>
    </w:p>
    <w:p w:rsidR="00512F90" w:rsidRPr="00512F90" w:rsidRDefault="00512F90" w:rsidP="00512F90">
      <w:pPr>
        <w:numPr>
          <w:ilvl w:val="0"/>
          <w:numId w:val="8"/>
        </w:numPr>
        <w:spacing w:after="200" w:line="276" w:lineRule="auto"/>
        <w:contextualSpacing/>
        <w:rPr>
          <w:rFonts w:cs="Times New Roman"/>
          <w:sz w:val="20"/>
          <w:szCs w:val="20"/>
        </w:rPr>
      </w:pPr>
      <w:r w:rsidRPr="00512F90">
        <w:rPr>
          <w:rFonts w:cs="Times New Roman"/>
          <w:sz w:val="20"/>
          <w:szCs w:val="20"/>
        </w:rPr>
        <w:t>A motion for an extension of time to serve and file the response to the application for leave to appeal; and</w:t>
      </w:r>
    </w:p>
    <w:p w:rsidR="00512F90" w:rsidRPr="00512F90" w:rsidRDefault="00512F90" w:rsidP="00512F90">
      <w:pPr>
        <w:spacing w:after="200" w:line="276" w:lineRule="auto"/>
        <w:ind w:left="720"/>
        <w:contextualSpacing/>
        <w:rPr>
          <w:rFonts w:cs="Times New Roman"/>
          <w:sz w:val="20"/>
          <w:szCs w:val="20"/>
        </w:rPr>
      </w:pPr>
    </w:p>
    <w:p w:rsidR="00512F90" w:rsidRPr="00512F90" w:rsidRDefault="00512F90" w:rsidP="00512F90">
      <w:pPr>
        <w:numPr>
          <w:ilvl w:val="0"/>
          <w:numId w:val="8"/>
        </w:numPr>
        <w:spacing w:after="200" w:line="276" w:lineRule="auto"/>
        <w:contextualSpacing/>
        <w:rPr>
          <w:rFonts w:cs="Times New Roman"/>
          <w:sz w:val="20"/>
          <w:szCs w:val="20"/>
        </w:rPr>
      </w:pPr>
      <w:r w:rsidRPr="00512F90">
        <w:rPr>
          <w:rFonts w:cs="Times New Roman"/>
          <w:sz w:val="20"/>
          <w:szCs w:val="20"/>
        </w:rPr>
        <w:t>A response to the application for leave to appeal.</w:t>
      </w:r>
    </w:p>
    <w:p w:rsidR="00732B63" w:rsidRDefault="00732B63" w:rsidP="00512F90">
      <w:pPr>
        <w:rPr>
          <w:rFonts w:eastAsia="Times New Roman" w:cs="Times New Roman"/>
          <w:b/>
          <w:sz w:val="20"/>
          <w:szCs w:val="20"/>
          <w:lang w:eastAsia="en-CA"/>
        </w:rPr>
      </w:pPr>
    </w:p>
    <w:p w:rsidR="00512F90" w:rsidRPr="00512F90" w:rsidRDefault="00512F90" w:rsidP="00512F90">
      <w:pPr>
        <w:rPr>
          <w:rFonts w:eastAsia="Times New Roman" w:cs="Times New Roman"/>
          <w:sz w:val="20"/>
          <w:szCs w:val="20"/>
          <w:lang w:eastAsia="en-CA"/>
        </w:rPr>
      </w:pPr>
      <w:r w:rsidRPr="00512F90">
        <w:rPr>
          <w:rFonts w:eastAsia="Times New Roman" w:cs="Times New Roman"/>
          <w:b/>
          <w:sz w:val="20"/>
          <w:szCs w:val="20"/>
          <w:lang w:eastAsia="en-CA"/>
        </w:rPr>
        <w:lastRenderedPageBreak/>
        <w:t>AND THE MATERIAL FILED</w:t>
      </w:r>
      <w:r w:rsidRPr="00512F90">
        <w:rPr>
          <w:rFonts w:eastAsia="Times New Roman" w:cs="Times New Roman"/>
          <w:sz w:val="20"/>
          <w:szCs w:val="20"/>
          <w:lang w:eastAsia="en-CA"/>
        </w:rPr>
        <w:t xml:space="preserve"> having been read </w:t>
      </w:r>
    </w:p>
    <w:p w:rsidR="00512F90" w:rsidRPr="00512F90" w:rsidRDefault="00512F90" w:rsidP="00512F90">
      <w:pPr>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eastAsia="en-CA"/>
        </w:rPr>
      </w:pPr>
      <w:r w:rsidRPr="00512F90">
        <w:rPr>
          <w:rFonts w:eastAsia="Times New Roman" w:cs="Times New Roman"/>
          <w:b/>
          <w:sz w:val="20"/>
          <w:szCs w:val="20"/>
          <w:lang w:eastAsia="en-CA"/>
        </w:rPr>
        <w:t>AND NOTING</w:t>
      </w:r>
      <w:r w:rsidRPr="00512F90">
        <w:rPr>
          <w:rFonts w:eastAsia="Times New Roman" w:cs="Times New Roman"/>
          <w:sz w:val="20"/>
          <w:szCs w:val="20"/>
          <w:lang w:eastAsia="en-CA"/>
        </w:rPr>
        <w:t xml:space="preserve"> that the applicant does not oppose the motion;</w:t>
      </w:r>
    </w:p>
    <w:p w:rsidR="00512F90" w:rsidRPr="00512F90" w:rsidRDefault="00512F90" w:rsidP="00512F90">
      <w:pPr>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eastAsia="en-CA"/>
        </w:rPr>
      </w:pPr>
      <w:r w:rsidRPr="00512F90">
        <w:rPr>
          <w:rFonts w:eastAsia="Times New Roman" w:cs="Times New Roman"/>
          <w:b/>
          <w:sz w:val="20"/>
          <w:szCs w:val="20"/>
          <w:lang w:eastAsia="en-CA"/>
        </w:rPr>
        <w:t>IT IS HEREBY ORDERED THAT</w:t>
      </w:r>
      <w:r w:rsidRPr="00512F90">
        <w:rPr>
          <w:rFonts w:eastAsia="Times New Roman" w:cs="Times New Roman"/>
          <w:sz w:val="20"/>
          <w:szCs w:val="20"/>
          <w:lang w:eastAsia="en-CA"/>
        </w:rPr>
        <w:t xml:space="preserve">: </w:t>
      </w:r>
    </w:p>
    <w:p w:rsidR="00512F90" w:rsidRPr="00512F90" w:rsidRDefault="00512F90" w:rsidP="00512F90">
      <w:pPr>
        <w:ind w:firstLine="720"/>
        <w:rPr>
          <w:rFonts w:eastAsia="Times New Roman" w:cs="Times New Roman"/>
          <w:sz w:val="20"/>
          <w:szCs w:val="20"/>
          <w:lang w:eastAsia="en-CA"/>
        </w:rPr>
      </w:pPr>
    </w:p>
    <w:p w:rsidR="00512F90" w:rsidRPr="00512F90" w:rsidRDefault="00512F90" w:rsidP="00512F90">
      <w:pPr>
        <w:ind w:firstLine="720"/>
        <w:rPr>
          <w:rFonts w:eastAsia="Times New Roman" w:cs="Times New Roman"/>
          <w:sz w:val="20"/>
          <w:szCs w:val="20"/>
          <w:lang w:eastAsia="en-CA"/>
        </w:rPr>
      </w:pPr>
      <w:r w:rsidRPr="00512F90">
        <w:rPr>
          <w:rFonts w:eastAsia="Times New Roman" w:cs="Times New Roman"/>
          <w:sz w:val="20"/>
          <w:szCs w:val="20"/>
          <w:lang w:eastAsia="en-CA"/>
        </w:rPr>
        <w:t xml:space="preserve">The motion pursuant to the provisions of Rule 32(2) of the </w:t>
      </w:r>
      <w:r w:rsidRPr="00512F90">
        <w:rPr>
          <w:rFonts w:eastAsia="Times New Roman" w:cs="Times New Roman"/>
          <w:i/>
          <w:sz w:val="20"/>
          <w:szCs w:val="20"/>
          <w:lang w:eastAsia="en-CA"/>
        </w:rPr>
        <w:t>Rules of the Supreme Court of Canada</w:t>
      </w:r>
      <w:r w:rsidRPr="00512F90">
        <w:rPr>
          <w:rFonts w:eastAsia="Times New Roman" w:cs="Times New Roman"/>
          <w:sz w:val="20"/>
          <w:szCs w:val="20"/>
          <w:lang w:eastAsia="en-CA"/>
        </w:rPr>
        <w:t xml:space="preserve"> is granted. The motion for an extension of time and the response to the application for leave to appeal shall be submitted to the panel considering the application for leave to appeal.</w:t>
      </w:r>
    </w:p>
    <w:p w:rsidR="00512F90" w:rsidRPr="00512F90" w:rsidRDefault="00512F90" w:rsidP="00512F90">
      <w:pPr>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eastAsia="en-CA"/>
        </w:rPr>
      </w:pPr>
    </w:p>
    <w:p w:rsidR="00512F90" w:rsidRPr="00512F90" w:rsidRDefault="00512F90" w:rsidP="00512F90">
      <w:pPr>
        <w:rPr>
          <w:rFonts w:eastAsia="Times New Roman" w:cs="Times New Roman"/>
          <w:sz w:val="20"/>
          <w:szCs w:val="20"/>
          <w:lang w:val="fr-CA" w:eastAsia="en-CA"/>
        </w:rPr>
      </w:pPr>
      <w:r w:rsidRPr="00512F90">
        <w:rPr>
          <w:rFonts w:eastAsia="Times New Roman" w:cs="Times New Roman"/>
          <w:b/>
          <w:sz w:val="20"/>
          <w:szCs w:val="20"/>
          <w:lang w:val="fr-CA" w:eastAsia="en-CA"/>
        </w:rPr>
        <w:t>À LA SUITE DE LA DEMANDE</w:t>
      </w:r>
      <w:r w:rsidRPr="00512F90">
        <w:rPr>
          <w:rFonts w:eastAsia="Times New Roman" w:cs="Times New Roman"/>
          <w:sz w:val="20"/>
          <w:szCs w:val="20"/>
          <w:lang w:val="fr-CA" w:eastAsia="en-CA"/>
        </w:rPr>
        <w:t xml:space="preserve"> présentée par l’intimé en vertu du paragraphe 32(2) des </w:t>
      </w:r>
      <w:r w:rsidRPr="00512F90">
        <w:rPr>
          <w:rFonts w:eastAsia="Times New Roman" w:cs="Times New Roman"/>
          <w:i/>
          <w:sz w:val="20"/>
          <w:szCs w:val="20"/>
          <w:lang w:val="fr-CA" w:eastAsia="en-CA"/>
        </w:rPr>
        <w:t>Règles de la Cour suprême du Canada</w:t>
      </w:r>
      <w:r w:rsidRPr="00512F90">
        <w:rPr>
          <w:rFonts w:eastAsia="Times New Roman" w:cs="Times New Roman"/>
          <w:sz w:val="20"/>
          <w:szCs w:val="20"/>
          <w:lang w:val="fr-CA" w:eastAsia="en-CA"/>
        </w:rPr>
        <w:t xml:space="preserve"> pour obtenir l’autorisation de déposer des documents après que la demande d’autorisation d’appel a été soumise à la Cour, à savoir :</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numPr>
          <w:ilvl w:val="0"/>
          <w:numId w:val="9"/>
        </w:numPr>
        <w:spacing w:after="200" w:line="276" w:lineRule="auto"/>
        <w:contextualSpacing/>
        <w:rPr>
          <w:rFonts w:cs="Times New Roman"/>
          <w:sz w:val="20"/>
          <w:szCs w:val="20"/>
          <w:lang w:val="fr-CA"/>
        </w:rPr>
      </w:pPr>
      <w:r w:rsidRPr="00512F90">
        <w:rPr>
          <w:rFonts w:cs="Times New Roman"/>
          <w:sz w:val="20"/>
          <w:szCs w:val="20"/>
          <w:lang w:val="fr-CA"/>
        </w:rPr>
        <w:t xml:space="preserve">une requête en prorogation du délai pour signifier et déposer la réponse à la demande d’autorisation d’appel; </w:t>
      </w:r>
    </w:p>
    <w:p w:rsidR="00512F90" w:rsidRPr="00512F90" w:rsidRDefault="00512F90" w:rsidP="00512F90">
      <w:pPr>
        <w:spacing w:after="200" w:line="276" w:lineRule="auto"/>
        <w:ind w:left="720"/>
        <w:contextualSpacing/>
        <w:rPr>
          <w:rFonts w:cs="Times New Roman"/>
          <w:sz w:val="20"/>
          <w:szCs w:val="20"/>
          <w:lang w:val="fr-CA"/>
        </w:rPr>
      </w:pPr>
    </w:p>
    <w:p w:rsidR="00512F90" w:rsidRPr="00512F90" w:rsidRDefault="00512F90" w:rsidP="00512F90">
      <w:pPr>
        <w:numPr>
          <w:ilvl w:val="0"/>
          <w:numId w:val="9"/>
        </w:numPr>
        <w:spacing w:after="200" w:line="276" w:lineRule="auto"/>
        <w:contextualSpacing/>
        <w:rPr>
          <w:rFonts w:cs="Times New Roman"/>
          <w:sz w:val="20"/>
          <w:szCs w:val="20"/>
          <w:lang w:val="fr-CA"/>
        </w:rPr>
      </w:pPr>
      <w:r w:rsidRPr="00512F90">
        <w:rPr>
          <w:rFonts w:cs="Times New Roman"/>
          <w:sz w:val="20"/>
          <w:szCs w:val="20"/>
          <w:lang w:val="fr-CA"/>
        </w:rPr>
        <w:t>une réponse à la demande d’autorisation d’appel.</w:t>
      </w:r>
    </w:p>
    <w:p w:rsidR="00732B63" w:rsidRDefault="00732B63" w:rsidP="00512F90">
      <w:pPr>
        <w:rPr>
          <w:rFonts w:eastAsia="Times New Roman" w:cs="Times New Roman"/>
          <w:b/>
          <w:sz w:val="20"/>
          <w:szCs w:val="20"/>
          <w:lang w:val="fr-CA" w:eastAsia="en-CA"/>
        </w:rPr>
      </w:pPr>
    </w:p>
    <w:p w:rsidR="00512F90" w:rsidRPr="00512F90" w:rsidRDefault="00512F90" w:rsidP="00512F90">
      <w:pPr>
        <w:rPr>
          <w:rFonts w:eastAsia="Times New Roman" w:cs="Times New Roman"/>
          <w:sz w:val="20"/>
          <w:szCs w:val="20"/>
          <w:lang w:val="fr-CA" w:eastAsia="en-CA"/>
        </w:rPr>
      </w:pPr>
      <w:r w:rsidRPr="00512F90">
        <w:rPr>
          <w:rFonts w:eastAsia="Times New Roman" w:cs="Times New Roman"/>
          <w:b/>
          <w:sz w:val="20"/>
          <w:szCs w:val="20"/>
          <w:lang w:val="fr-CA" w:eastAsia="en-CA"/>
        </w:rPr>
        <w:t>ET APRÈS EXAMEN</w:t>
      </w:r>
      <w:r w:rsidRPr="00512F90">
        <w:rPr>
          <w:rFonts w:eastAsia="Times New Roman" w:cs="Times New Roman"/>
          <w:sz w:val="20"/>
          <w:szCs w:val="20"/>
          <w:lang w:val="fr-CA" w:eastAsia="en-CA"/>
        </w:rPr>
        <w:t xml:space="preserve"> des documents déposés;</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rPr>
          <w:rFonts w:eastAsia="Times New Roman" w:cs="Times New Roman"/>
          <w:sz w:val="20"/>
          <w:szCs w:val="20"/>
          <w:lang w:val="fr-CA" w:eastAsia="en-CA"/>
        </w:rPr>
      </w:pPr>
      <w:r w:rsidRPr="00512F90">
        <w:rPr>
          <w:rFonts w:eastAsia="Times New Roman" w:cs="Times New Roman"/>
          <w:b/>
          <w:sz w:val="20"/>
          <w:szCs w:val="20"/>
          <w:lang w:val="fr-CA" w:eastAsia="en-CA"/>
        </w:rPr>
        <w:t>ET VU QUE</w:t>
      </w:r>
      <w:r w:rsidRPr="00512F90">
        <w:rPr>
          <w:rFonts w:eastAsia="Times New Roman" w:cs="Times New Roman"/>
          <w:sz w:val="20"/>
          <w:szCs w:val="20"/>
          <w:lang w:val="fr-CA" w:eastAsia="en-CA"/>
        </w:rPr>
        <w:t xml:space="preserve"> le demandeur ne s’oppose pas à la requête; </w:t>
      </w:r>
    </w:p>
    <w:p w:rsidR="00512F90" w:rsidRPr="00512F90" w:rsidRDefault="00512F90" w:rsidP="00512F90">
      <w:pPr>
        <w:rPr>
          <w:rFonts w:eastAsia="Times New Roman" w:cs="Times New Roman"/>
          <w:sz w:val="20"/>
          <w:szCs w:val="20"/>
          <w:lang w:val="fr-CA" w:eastAsia="en-CA"/>
        </w:rPr>
      </w:pPr>
    </w:p>
    <w:p w:rsidR="00512F90" w:rsidRPr="00512F90" w:rsidRDefault="00512F90" w:rsidP="00512F90">
      <w:pPr>
        <w:rPr>
          <w:rFonts w:eastAsia="Times New Roman" w:cs="Times New Roman"/>
          <w:b/>
          <w:sz w:val="20"/>
          <w:szCs w:val="20"/>
          <w:lang w:val="fr-CA" w:eastAsia="en-CA"/>
        </w:rPr>
      </w:pPr>
      <w:r w:rsidRPr="00512F90">
        <w:rPr>
          <w:rFonts w:eastAsia="Times New Roman" w:cs="Times New Roman"/>
          <w:b/>
          <w:sz w:val="20"/>
          <w:szCs w:val="20"/>
          <w:lang w:val="fr-CA" w:eastAsia="en-CA"/>
        </w:rPr>
        <w:t xml:space="preserve">IL EST ORDONNÉ CE QUI SUIT : </w:t>
      </w:r>
    </w:p>
    <w:p w:rsidR="00512F90" w:rsidRPr="00512F90" w:rsidRDefault="00512F90" w:rsidP="00512F90">
      <w:pPr>
        <w:rPr>
          <w:rFonts w:eastAsia="Times New Roman" w:cs="Times New Roman"/>
          <w:b/>
          <w:sz w:val="20"/>
          <w:szCs w:val="20"/>
          <w:lang w:val="fr-CA" w:eastAsia="en-CA"/>
        </w:rPr>
      </w:pPr>
    </w:p>
    <w:p w:rsidR="00512F90" w:rsidRPr="00512F90" w:rsidRDefault="00512F90" w:rsidP="00512F90">
      <w:pPr>
        <w:ind w:firstLine="720"/>
        <w:rPr>
          <w:rFonts w:eastAsia="Times New Roman" w:cs="Times New Roman"/>
          <w:sz w:val="20"/>
          <w:szCs w:val="20"/>
          <w:lang w:val="fr-CA" w:eastAsia="en-CA"/>
        </w:rPr>
      </w:pPr>
      <w:r w:rsidRPr="00512F90">
        <w:rPr>
          <w:rFonts w:eastAsia="Times New Roman" w:cs="Times New Roman"/>
          <w:sz w:val="20"/>
          <w:szCs w:val="20"/>
          <w:lang w:val="fr-CA" w:eastAsia="en-CA"/>
        </w:rPr>
        <w:t xml:space="preserve">La requête fondée sur le paragraphe 32(2) des </w:t>
      </w:r>
      <w:r w:rsidRPr="00512F90">
        <w:rPr>
          <w:rFonts w:eastAsia="Times New Roman" w:cs="Times New Roman"/>
          <w:i/>
          <w:sz w:val="20"/>
          <w:szCs w:val="20"/>
          <w:lang w:val="fr-CA" w:eastAsia="en-CA"/>
        </w:rPr>
        <w:t>Règles de la Cour suprême du Canada</w:t>
      </w:r>
      <w:r w:rsidRPr="00512F90">
        <w:rPr>
          <w:rFonts w:eastAsia="Times New Roman" w:cs="Times New Roman"/>
          <w:sz w:val="20"/>
          <w:szCs w:val="20"/>
          <w:lang w:val="fr-CA" w:eastAsia="en-CA"/>
        </w:rPr>
        <w:t xml:space="preserve"> est accueillie. La requête en prorogation de délai et la réponse à la demande d’autorisation d’appel seront soumises à la formation saisie de la demande d’autorisation d’appel.  </w:t>
      </w:r>
    </w:p>
    <w:p w:rsidR="00512F90" w:rsidRPr="00512F90" w:rsidRDefault="00512F90" w:rsidP="00512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p>
    <w:p w:rsidR="00512F90" w:rsidRPr="00512F90" w:rsidRDefault="000B3306" w:rsidP="00512F9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512F90" w:rsidRPr="00512F90" w:rsidRDefault="00512F90" w:rsidP="00512F90">
      <w:pPr>
        <w:tabs>
          <w:tab w:val="left" w:pos="-1440"/>
          <w:tab w:val="left" w:pos="-720"/>
        </w:tabs>
        <w:jc w:val="both"/>
        <w:rPr>
          <w:rFonts w:eastAsia="Times New Roman" w:cs="Times New Roman"/>
          <w:sz w:val="20"/>
          <w:szCs w:val="20"/>
          <w:lang w:eastAsia="en-CA"/>
        </w:rPr>
      </w:pPr>
    </w:p>
    <w:p w:rsidR="00512F90" w:rsidRPr="00512F90" w:rsidRDefault="00512F90" w:rsidP="00512F90">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A460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17</w:t>
            </w:r>
            <w:r w:rsidRPr="003B3977">
              <w:rPr>
                <w:sz w:val="20"/>
                <w:szCs w:val="20"/>
              </w:rPr>
              <w:t>.</w:t>
            </w:r>
            <w:r w:rsidR="009969A1">
              <w:rPr>
                <w:sz w:val="20"/>
                <w:szCs w:val="20"/>
              </w:rPr>
              <w:t>04</w:t>
            </w:r>
            <w:r w:rsidRPr="003B3977">
              <w:rPr>
                <w:sz w:val="20"/>
                <w:szCs w:val="20"/>
              </w:rPr>
              <w:t>.201</w:t>
            </w:r>
            <w:r w:rsidR="009969A1">
              <w:rPr>
                <w:sz w:val="20"/>
                <w:szCs w:val="20"/>
              </w:rPr>
              <w:t>4</w:t>
            </w:r>
          </w:p>
          <w:p w:rsidR="0086340B" w:rsidRPr="003B3977" w:rsidRDefault="0086340B" w:rsidP="005F1ED8">
            <w:pPr>
              <w:rPr>
                <w:sz w:val="20"/>
                <w:szCs w:val="20"/>
              </w:rPr>
            </w:pPr>
          </w:p>
          <w:p w:rsidR="0086340B" w:rsidRPr="003B3977" w:rsidRDefault="003B4800" w:rsidP="005F1ED8">
            <w:pPr>
              <w:rPr>
                <w:b/>
                <w:sz w:val="20"/>
                <w:szCs w:val="20"/>
              </w:rPr>
            </w:pPr>
            <w:r w:rsidRPr="003B4800">
              <w:rPr>
                <w:b/>
                <w:sz w:val="20"/>
                <w:szCs w:val="20"/>
              </w:rPr>
              <w:t>J</w:t>
            </w:r>
            <w:r w:rsidR="00EA4608">
              <w:rPr>
                <w:b/>
                <w:sz w:val="20"/>
                <w:szCs w:val="20"/>
              </w:rPr>
              <w:t xml:space="preserve">ames </w:t>
            </w:r>
            <w:r w:rsidRPr="003B4800">
              <w:rPr>
                <w:b/>
                <w:sz w:val="20"/>
                <w:szCs w:val="20"/>
              </w:rPr>
              <w:t>S</w:t>
            </w:r>
            <w:r w:rsidR="00EA4608">
              <w:rPr>
                <w:b/>
                <w:sz w:val="20"/>
                <w:szCs w:val="20"/>
              </w:rPr>
              <w:t xml:space="preserve">teven </w:t>
            </w:r>
            <w:r>
              <w:rPr>
                <w:b/>
                <w:sz w:val="20"/>
                <w:szCs w:val="20"/>
              </w:rPr>
              <w:t>W</w:t>
            </w:r>
            <w:r w:rsidR="00EA4608">
              <w:rPr>
                <w:b/>
                <w:sz w:val="20"/>
                <w:szCs w:val="20"/>
              </w:rPr>
              <w:t>ilcox</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3B4800">
              <w:rPr>
                <w:b/>
                <w:sz w:val="20"/>
                <w:szCs w:val="20"/>
              </w:rPr>
              <w:t>758</w:t>
            </w:r>
            <w:r w:rsidRPr="003B3977">
              <w:rPr>
                <w:b/>
                <w:sz w:val="20"/>
                <w:szCs w:val="20"/>
              </w:rPr>
              <w:t>)</w:t>
            </w:r>
          </w:p>
          <w:p w:rsidR="0086340B" w:rsidRPr="003B3977" w:rsidRDefault="0086340B" w:rsidP="005F1ED8">
            <w:pPr>
              <w:rPr>
                <w:b/>
                <w:sz w:val="20"/>
                <w:szCs w:val="20"/>
              </w:rPr>
            </w:pPr>
          </w:p>
          <w:p w:rsidR="0086340B" w:rsidRPr="003B3977" w:rsidRDefault="003B4800" w:rsidP="005F1ED8">
            <w:pPr>
              <w:rPr>
                <w:b/>
                <w:sz w:val="20"/>
                <w:szCs w:val="20"/>
              </w:rPr>
            </w:pPr>
            <w:r w:rsidRPr="003B4800">
              <w:rPr>
                <w:b/>
                <w:sz w:val="20"/>
                <w:szCs w:val="20"/>
              </w:rPr>
              <w:t>Her Majesty the Queen</w:t>
            </w:r>
            <w:r w:rsidR="0086340B" w:rsidRPr="003B3977">
              <w:rPr>
                <w:b/>
                <w:sz w:val="20"/>
                <w:szCs w:val="20"/>
              </w:rPr>
              <w:t xml:space="preserve"> (</w:t>
            </w:r>
            <w:r>
              <w:rPr>
                <w:b/>
                <w:sz w:val="20"/>
                <w:szCs w:val="20"/>
              </w:rPr>
              <w:t>Que.</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3B4800">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0B3306" w:rsidP="005F1ED8">
            <w:pPr>
              <w:rPr>
                <w:sz w:val="20"/>
                <w:szCs w:val="20"/>
                <w:lang w:val="fr-CA"/>
              </w:rPr>
            </w:pPr>
            <w:r>
              <w:rPr>
                <w:sz w:val="20"/>
                <w:szCs w:val="20"/>
                <w:lang w:val="fr-CA"/>
              </w:rPr>
              <w:pict>
                <v:rect id="_x0000_i106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C67823" w:rsidRDefault="003B4800" w:rsidP="005F1ED8">
            <w:pPr>
              <w:rPr>
                <w:sz w:val="20"/>
                <w:szCs w:val="20"/>
                <w:lang w:val="en-US"/>
              </w:rPr>
            </w:pPr>
            <w:r w:rsidRPr="00C67823">
              <w:rPr>
                <w:sz w:val="20"/>
                <w:szCs w:val="20"/>
                <w:lang w:val="en-US"/>
              </w:rPr>
              <w:t>11</w:t>
            </w:r>
            <w:r w:rsidR="0086340B" w:rsidRPr="00C67823">
              <w:rPr>
                <w:sz w:val="20"/>
                <w:szCs w:val="20"/>
                <w:lang w:val="en-US"/>
              </w:rPr>
              <w:t>.</w:t>
            </w:r>
            <w:r w:rsidRPr="00C67823">
              <w:rPr>
                <w:sz w:val="20"/>
                <w:szCs w:val="20"/>
                <w:lang w:val="en-US"/>
              </w:rPr>
              <w:t>04.2014</w:t>
            </w:r>
          </w:p>
          <w:p w:rsidR="0086340B" w:rsidRPr="00C67823" w:rsidRDefault="0086340B" w:rsidP="005F1ED8">
            <w:pPr>
              <w:rPr>
                <w:sz w:val="20"/>
                <w:szCs w:val="20"/>
                <w:lang w:val="en-US"/>
              </w:rPr>
            </w:pPr>
          </w:p>
          <w:p w:rsidR="0086340B" w:rsidRPr="00C67823" w:rsidRDefault="003B4800" w:rsidP="005F1ED8">
            <w:pPr>
              <w:rPr>
                <w:b/>
                <w:sz w:val="20"/>
                <w:szCs w:val="20"/>
                <w:lang w:val="en-US"/>
              </w:rPr>
            </w:pPr>
            <w:r w:rsidRPr="00C67823">
              <w:rPr>
                <w:b/>
                <w:sz w:val="20"/>
                <w:szCs w:val="20"/>
                <w:lang w:val="en-US"/>
              </w:rPr>
              <w:t>Minister of National Revenue</w:t>
            </w:r>
          </w:p>
          <w:p w:rsidR="0086340B" w:rsidRPr="00C67823" w:rsidRDefault="0086340B" w:rsidP="005F1ED8">
            <w:pPr>
              <w:rPr>
                <w:b/>
                <w:sz w:val="20"/>
                <w:szCs w:val="20"/>
                <w:lang w:val="en-US"/>
              </w:rPr>
            </w:pPr>
          </w:p>
          <w:p w:rsidR="0086340B" w:rsidRPr="003B4800" w:rsidRDefault="003B4800" w:rsidP="005F1ED8">
            <w:pPr>
              <w:rPr>
                <w:b/>
                <w:sz w:val="20"/>
                <w:szCs w:val="20"/>
                <w:lang w:val="en-US"/>
              </w:rPr>
            </w:pPr>
            <w:r w:rsidRPr="00C67823">
              <w:rPr>
                <w:b/>
                <w:sz w:val="20"/>
                <w:szCs w:val="20"/>
                <w:lang w:val="en-US"/>
              </w:rPr>
              <w:tab/>
            </w:r>
            <w:r w:rsidRPr="003B4800">
              <w:rPr>
                <w:b/>
                <w:sz w:val="20"/>
                <w:szCs w:val="20"/>
                <w:lang w:val="en-US"/>
              </w:rPr>
              <w:t>v</w:t>
            </w:r>
            <w:r w:rsidR="0086340B" w:rsidRPr="003B4800">
              <w:rPr>
                <w:b/>
                <w:sz w:val="20"/>
                <w:szCs w:val="20"/>
                <w:lang w:val="en-US"/>
              </w:rPr>
              <w:t>. (35</w:t>
            </w:r>
            <w:r w:rsidRPr="003B4800">
              <w:rPr>
                <w:b/>
                <w:sz w:val="20"/>
                <w:szCs w:val="20"/>
                <w:lang w:val="en-US"/>
              </w:rPr>
              <w:t>590</w:t>
            </w:r>
            <w:r w:rsidR="0086340B" w:rsidRPr="003B4800">
              <w:rPr>
                <w:b/>
                <w:sz w:val="20"/>
                <w:szCs w:val="20"/>
                <w:lang w:val="en-US"/>
              </w:rPr>
              <w:t>)</w:t>
            </w:r>
          </w:p>
          <w:p w:rsidR="0086340B" w:rsidRPr="003B4800" w:rsidRDefault="0086340B" w:rsidP="005F1ED8">
            <w:pPr>
              <w:rPr>
                <w:b/>
                <w:sz w:val="20"/>
                <w:szCs w:val="20"/>
                <w:lang w:val="en-US"/>
              </w:rPr>
            </w:pPr>
          </w:p>
          <w:p w:rsidR="0086340B" w:rsidRPr="003B4800" w:rsidRDefault="003B4800" w:rsidP="005F1ED8">
            <w:pPr>
              <w:rPr>
                <w:b/>
                <w:sz w:val="20"/>
                <w:szCs w:val="20"/>
                <w:lang w:val="en-US"/>
              </w:rPr>
            </w:pPr>
            <w:r w:rsidRPr="003B4800">
              <w:rPr>
                <w:b/>
                <w:sz w:val="20"/>
                <w:szCs w:val="20"/>
                <w:lang w:val="en-US"/>
              </w:rPr>
              <w:t xml:space="preserve">Duncan Thompson </w:t>
            </w:r>
            <w:r w:rsidR="0086340B" w:rsidRPr="003B4800">
              <w:rPr>
                <w:b/>
                <w:sz w:val="20"/>
                <w:szCs w:val="20"/>
                <w:lang w:val="en-US"/>
              </w:rPr>
              <w:t>(</w:t>
            </w:r>
            <w:r w:rsidRPr="003B4800">
              <w:rPr>
                <w:b/>
                <w:sz w:val="20"/>
                <w:szCs w:val="20"/>
                <w:lang w:val="en-US"/>
              </w:rPr>
              <w:t>F.C.</w:t>
            </w:r>
            <w:r w:rsidR="0086340B" w:rsidRPr="003B4800">
              <w:rPr>
                <w:b/>
                <w:sz w:val="20"/>
                <w:szCs w:val="20"/>
                <w:lang w:val="en-US"/>
              </w:rPr>
              <w:t>)</w:t>
            </w:r>
          </w:p>
          <w:p w:rsidR="0086340B" w:rsidRPr="003B4800" w:rsidRDefault="0086340B" w:rsidP="005F1ED8">
            <w:pPr>
              <w:rPr>
                <w:sz w:val="20"/>
                <w:szCs w:val="20"/>
                <w:lang w:val="en-US"/>
              </w:rPr>
            </w:pPr>
          </w:p>
          <w:p w:rsidR="0086340B" w:rsidRPr="003B3977" w:rsidRDefault="0086340B" w:rsidP="005F1ED8">
            <w:pPr>
              <w:rPr>
                <w:sz w:val="20"/>
                <w:szCs w:val="20"/>
              </w:rPr>
            </w:pPr>
            <w:r w:rsidRPr="003B3977">
              <w:rPr>
                <w:sz w:val="20"/>
                <w:szCs w:val="20"/>
              </w:rPr>
              <w:t>(</w:t>
            </w:r>
            <w:r w:rsidR="003B4800">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0B3306" w:rsidP="005F1ED8">
            <w:pPr>
              <w:rPr>
                <w:sz w:val="20"/>
                <w:szCs w:val="20"/>
              </w:rPr>
            </w:pPr>
            <w:r>
              <w:rPr>
                <w:sz w:val="20"/>
                <w:szCs w:val="20"/>
                <w:lang w:val="fr-CA"/>
              </w:rPr>
              <w:pict>
                <v:rect id="_x0000_i1070"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3B4800" w:rsidP="005F1ED8">
            <w:pPr>
              <w:rPr>
                <w:sz w:val="20"/>
                <w:szCs w:val="20"/>
              </w:rPr>
            </w:pPr>
            <w:r>
              <w:rPr>
                <w:sz w:val="20"/>
                <w:szCs w:val="20"/>
              </w:rPr>
              <w:t>17</w:t>
            </w:r>
            <w:r w:rsidR="0086340B" w:rsidRPr="003B3977">
              <w:rPr>
                <w:sz w:val="20"/>
                <w:szCs w:val="20"/>
              </w:rPr>
              <w:t>.</w:t>
            </w:r>
            <w:r>
              <w:rPr>
                <w:sz w:val="20"/>
                <w:szCs w:val="20"/>
              </w:rPr>
              <w:t>04</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3B4800" w:rsidP="005F1ED8">
            <w:pPr>
              <w:rPr>
                <w:b/>
                <w:sz w:val="20"/>
                <w:szCs w:val="20"/>
              </w:rPr>
            </w:pPr>
            <w:r w:rsidRPr="003B4800">
              <w:rPr>
                <w:b/>
                <w:sz w:val="20"/>
                <w:szCs w:val="20"/>
              </w:rPr>
              <w:t xml:space="preserve">Peter W. G. </w:t>
            </w:r>
            <w:r>
              <w:rPr>
                <w:b/>
                <w:sz w:val="20"/>
                <w:szCs w:val="20"/>
              </w:rPr>
              <w:t>Carey</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3B4800">
              <w:rPr>
                <w:b/>
                <w:sz w:val="20"/>
                <w:szCs w:val="20"/>
              </w:rPr>
              <w:t>597</w:t>
            </w:r>
            <w:r w:rsidRPr="003B3977">
              <w:rPr>
                <w:b/>
                <w:sz w:val="20"/>
                <w:szCs w:val="20"/>
              </w:rPr>
              <w:t>)</w:t>
            </w:r>
          </w:p>
          <w:p w:rsidR="0086340B" w:rsidRPr="003B3977" w:rsidRDefault="0086340B" w:rsidP="005F1ED8">
            <w:pPr>
              <w:rPr>
                <w:b/>
                <w:sz w:val="20"/>
                <w:szCs w:val="20"/>
              </w:rPr>
            </w:pPr>
          </w:p>
          <w:p w:rsidR="0086340B" w:rsidRPr="003B3977" w:rsidRDefault="003B4800" w:rsidP="005F1ED8">
            <w:pPr>
              <w:rPr>
                <w:b/>
                <w:sz w:val="20"/>
                <w:szCs w:val="20"/>
              </w:rPr>
            </w:pPr>
            <w:r>
              <w:rPr>
                <w:b/>
                <w:sz w:val="20"/>
                <w:szCs w:val="20"/>
              </w:rPr>
              <w:t xml:space="preserve">Judith </w:t>
            </w:r>
            <w:r w:rsidRPr="003B4800">
              <w:rPr>
                <w:b/>
                <w:sz w:val="20"/>
                <w:szCs w:val="20"/>
              </w:rPr>
              <w:t>Laiken</w:t>
            </w:r>
            <w:r w:rsidR="0086340B" w:rsidRPr="003B3977">
              <w:rPr>
                <w:b/>
                <w:sz w:val="20"/>
                <w:szCs w:val="20"/>
              </w:rPr>
              <w:t xml:space="preserve"> (</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3B4800">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0B3306" w:rsidP="005F1ED8">
            <w:pPr>
              <w:rPr>
                <w:sz w:val="20"/>
                <w:szCs w:val="20"/>
              </w:rPr>
            </w:pPr>
            <w:r>
              <w:rPr>
                <w:sz w:val="20"/>
                <w:szCs w:val="20"/>
                <w:lang w:val="fr-CA"/>
              </w:rPr>
              <w:pict>
                <v:rect id="_x0000_i107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3B4800" w:rsidRPr="003B3977" w:rsidRDefault="003B4800" w:rsidP="003B4800">
            <w:pPr>
              <w:rPr>
                <w:sz w:val="20"/>
                <w:szCs w:val="20"/>
              </w:rPr>
            </w:pPr>
            <w:r>
              <w:rPr>
                <w:sz w:val="20"/>
                <w:szCs w:val="20"/>
              </w:rPr>
              <w:t>22</w:t>
            </w:r>
            <w:r w:rsidRPr="003B3977">
              <w:rPr>
                <w:sz w:val="20"/>
                <w:szCs w:val="20"/>
              </w:rPr>
              <w:t>.</w:t>
            </w:r>
            <w:r>
              <w:rPr>
                <w:sz w:val="20"/>
                <w:szCs w:val="20"/>
              </w:rPr>
              <w:t>04</w:t>
            </w:r>
            <w:r w:rsidRPr="003B3977">
              <w:rPr>
                <w:sz w:val="20"/>
                <w:szCs w:val="20"/>
              </w:rPr>
              <w:t>.201</w:t>
            </w:r>
            <w:r>
              <w:rPr>
                <w:sz w:val="20"/>
                <w:szCs w:val="20"/>
              </w:rPr>
              <w:t>4</w:t>
            </w:r>
          </w:p>
          <w:p w:rsidR="0086340B" w:rsidRPr="00130B0E" w:rsidRDefault="0086340B" w:rsidP="005F1ED8">
            <w:pPr>
              <w:rPr>
                <w:sz w:val="20"/>
                <w:szCs w:val="20"/>
              </w:rPr>
            </w:pPr>
          </w:p>
          <w:p w:rsidR="0086340B" w:rsidRPr="00130B0E" w:rsidRDefault="003B4800" w:rsidP="005F1ED8">
            <w:pPr>
              <w:rPr>
                <w:b/>
                <w:sz w:val="20"/>
                <w:szCs w:val="20"/>
              </w:rPr>
            </w:pPr>
            <w:r w:rsidRPr="003B4800">
              <w:rPr>
                <w:b/>
                <w:sz w:val="20"/>
                <w:szCs w:val="20"/>
              </w:rPr>
              <w:t>Ontario Energy Board</w:t>
            </w:r>
          </w:p>
          <w:p w:rsidR="0086340B" w:rsidRPr="00130B0E" w:rsidRDefault="0086340B" w:rsidP="005F1ED8">
            <w:pPr>
              <w:rPr>
                <w:b/>
                <w:sz w:val="20"/>
                <w:szCs w:val="20"/>
              </w:rPr>
            </w:pPr>
          </w:p>
          <w:p w:rsidR="0086340B" w:rsidRPr="00130B0E" w:rsidRDefault="0086340B" w:rsidP="005F1ED8">
            <w:pPr>
              <w:rPr>
                <w:b/>
                <w:sz w:val="20"/>
                <w:szCs w:val="20"/>
              </w:rPr>
            </w:pPr>
            <w:r w:rsidRPr="00130B0E">
              <w:rPr>
                <w:b/>
                <w:sz w:val="20"/>
                <w:szCs w:val="20"/>
              </w:rPr>
              <w:tab/>
              <w:t>v. (35</w:t>
            </w:r>
            <w:r w:rsidR="00A048CB">
              <w:rPr>
                <w:b/>
                <w:sz w:val="20"/>
                <w:szCs w:val="20"/>
              </w:rPr>
              <w:t>506</w:t>
            </w:r>
            <w:r w:rsidRPr="00130B0E">
              <w:rPr>
                <w:b/>
                <w:sz w:val="20"/>
                <w:szCs w:val="20"/>
              </w:rPr>
              <w:t>)</w:t>
            </w:r>
          </w:p>
          <w:p w:rsidR="0086340B" w:rsidRPr="00130B0E" w:rsidRDefault="0086340B" w:rsidP="005F1ED8">
            <w:pPr>
              <w:rPr>
                <w:b/>
                <w:sz w:val="20"/>
                <w:szCs w:val="20"/>
              </w:rPr>
            </w:pPr>
          </w:p>
          <w:p w:rsidR="0086340B" w:rsidRPr="00130B0E" w:rsidRDefault="00A048CB" w:rsidP="005F1ED8">
            <w:pPr>
              <w:rPr>
                <w:b/>
                <w:sz w:val="20"/>
                <w:szCs w:val="20"/>
              </w:rPr>
            </w:pPr>
            <w:r w:rsidRPr="00A048CB">
              <w:rPr>
                <w:b/>
                <w:sz w:val="20"/>
                <w:szCs w:val="20"/>
              </w:rPr>
              <w:t xml:space="preserve">Ontario Power Generation Inc. </w:t>
            </w:r>
            <w:r>
              <w:rPr>
                <w:b/>
                <w:sz w:val="20"/>
                <w:szCs w:val="20"/>
              </w:rPr>
              <w:t>et al.</w:t>
            </w:r>
            <w:r w:rsidR="00231993">
              <w:rPr>
                <w:b/>
                <w:sz w:val="20"/>
                <w:szCs w:val="20"/>
              </w:rPr>
              <w:t xml:space="preserve"> </w:t>
            </w:r>
            <w:r w:rsidR="0086340B" w:rsidRPr="00130B0E">
              <w:rPr>
                <w:b/>
                <w:sz w:val="20"/>
                <w:szCs w:val="20"/>
              </w:rPr>
              <w:t>(</w:t>
            </w:r>
            <w:r>
              <w:rPr>
                <w:b/>
                <w:sz w:val="20"/>
                <w:szCs w:val="20"/>
              </w:rPr>
              <w:t>Ont.</w:t>
            </w:r>
            <w:r w:rsidR="0086340B" w:rsidRPr="00130B0E">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w:t>
            </w:r>
            <w:r w:rsidR="00A048CB">
              <w:rPr>
                <w:sz w:val="20"/>
                <w:szCs w:val="20"/>
              </w:rPr>
              <w:t>By Leave</w:t>
            </w:r>
            <w:r w:rsidRPr="0085756D">
              <w:rPr>
                <w:sz w:val="20"/>
                <w:szCs w:val="20"/>
              </w:rPr>
              <w:t>)</w:t>
            </w:r>
          </w:p>
          <w:p w:rsidR="0086340B" w:rsidRPr="0085756D" w:rsidRDefault="0086340B" w:rsidP="005F1ED8">
            <w:pPr>
              <w:rPr>
                <w:sz w:val="20"/>
                <w:szCs w:val="20"/>
              </w:rPr>
            </w:pPr>
          </w:p>
          <w:p w:rsidR="0086340B" w:rsidRPr="00A048CB" w:rsidRDefault="000B3306" w:rsidP="005F1ED8">
            <w:pPr>
              <w:rPr>
                <w:sz w:val="20"/>
                <w:szCs w:val="20"/>
                <w:lang w:val="en-US"/>
              </w:rPr>
            </w:pPr>
            <w:r>
              <w:rPr>
                <w:sz w:val="20"/>
                <w:szCs w:val="20"/>
                <w:lang w:val="fr-CA"/>
              </w:rPr>
              <w:pict>
                <v:rect id="_x0000_i1072" style="width:106.1pt;height:1pt" o:hrpct="500" o:hralign="center" o:hrstd="t" o:hrnoshade="t" o:hr="t" fillcolor="black [3213]" stroked="f"/>
              </w:pict>
            </w:r>
          </w:p>
        </w:tc>
      </w:tr>
      <w:tr w:rsidR="003B4800" w:rsidRPr="00130B0E" w:rsidTr="005F1ED8">
        <w:trPr>
          <w:cantSplit/>
        </w:trPr>
        <w:tc>
          <w:tcPr>
            <w:tcW w:w="2206" w:type="pct"/>
            <w:tcMar>
              <w:left w:w="0" w:type="dxa"/>
              <w:right w:w="0" w:type="dxa"/>
            </w:tcMar>
          </w:tcPr>
          <w:p w:rsidR="003B4800" w:rsidRPr="00C67823" w:rsidRDefault="00A048CB" w:rsidP="003B4800">
            <w:pPr>
              <w:rPr>
                <w:sz w:val="20"/>
                <w:szCs w:val="20"/>
                <w:lang w:val="fr-CA"/>
              </w:rPr>
            </w:pPr>
            <w:r w:rsidRPr="00C67823">
              <w:rPr>
                <w:sz w:val="20"/>
                <w:szCs w:val="20"/>
                <w:lang w:val="fr-CA"/>
              </w:rPr>
              <w:t>22</w:t>
            </w:r>
            <w:r w:rsidR="003B4800" w:rsidRPr="00C67823">
              <w:rPr>
                <w:sz w:val="20"/>
                <w:szCs w:val="20"/>
                <w:lang w:val="fr-CA"/>
              </w:rPr>
              <w:t>.04.2014</w:t>
            </w:r>
          </w:p>
          <w:p w:rsidR="003B4800" w:rsidRPr="00C67823" w:rsidRDefault="003B4800" w:rsidP="003B4800">
            <w:pPr>
              <w:rPr>
                <w:sz w:val="20"/>
                <w:szCs w:val="20"/>
                <w:lang w:val="fr-CA"/>
              </w:rPr>
            </w:pPr>
          </w:p>
          <w:p w:rsidR="003B4800" w:rsidRPr="00A048CB" w:rsidRDefault="00A048CB" w:rsidP="003B4800">
            <w:pPr>
              <w:rPr>
                <w:b/>
                <w:sz w:val="20"/>
                <w:szCs w:val="20"/>
                <w:lang w:val="fr-CA"/>
              </w:rPr>
            </w:pPr>
            <w:r w:rsidRPr="00A048CB">
              <w:rPr>
                <w:b/>
                <w:sz w:val="20"/>
                <w:szCs w:val="20"/>
                <w:lang w:val="fr-CA"/>
              </w:rPr>
              <w:t>Réjean Hinse</w:t>
            </w:r>
          </w:p>
          <w:p w:rsidR="003B4800" w:rsidRPr="00A048CB" w:rsidRDefault="003B4800" w:rsidP="003B4800">
            <w:pPr>
              <w:rPr>
                <w:b/>
                <w:sz w:val="20"/>
                <w:szCs w:val="20"/>
                <w:lang w:val="fr-CA"/>
              </w:rPr>
            </w:pPr>
          </w:p>
          <w:p w:rsidR="003B4800" w:rsidRPr="00A048CB" w:rsidRDefault="00A048CB" w:rsidP="003B4800">
            <w:pPr>
              <w:rPr>
                <w:b/>
                <w:sz w:val="20"/>
                <w:szCs w:val="20"/>
                <w:lang w:val="fr-CA"/>
              </w:rPr>
            </w:pPr>
            <w:r w:rsidRPr="00A048CB">
              <w:rPr>
                <w:b/>
                <w:sz w:val="20"/>
                <w:szCs w:val="20"/>
                <w:lang w:val="fr-CA"/>
              </w:rPr>
              <w:tab/>
              <w:t>c</w:t>
            </w:r>
            <w:r w:rsidR="003B4800" w:rsidRPr="00A048CB">
              <w:rPr>
                <w:b/>
                <w:sz w:val="20"/>
                <w:szCs w:val="20"/>
                <w:lang w:val="fr-CA"/>
              </w:rPr>
              <w:t>. (35</w:t>
            </w:r>
            <w:r w:rsidRPr="00A048CB">
              <w:rPr>
                <w:b/>
                <w:sz w:val="20"/>
                <w:szCs w:val="20"/>
                <w:lang w:val="fr-CA"/>
              </w:rPr>
              <w:t>613</w:t>
            </w:r>
            <w:r w:rsidR="003B4800" w:rsidRPr="00A048CB">
              <w:rPr>
                <w:b/>
                <w:sz w:val="20"/>
                <w:szCs w:val="20"/>
                <w:lang w:val="fr-CA"/>
              </w:rPr>
              <w:t>)</w:t>
            </w:r>
          </w:p>
          <w:p w:rsidR="003B4800" w:rsidRPr="00A048CB" w:rsidRDefault="003B4800" w:rsidP="003B4800">
            <w:pPr>
              <w:rPr>
                <w:b/>
                <w:sz w:val="20"/>
                <w:szCs w:val="20"/>
                <w:lang w:val="fr-CA"/>
              </w:rPr>
            </w:pPr>
          </w:p>
          <w:p w:rsidR="003B4800" w:rsidRPr="00A048CB" w:rsidRDefault="00A048CB" w:rsidP="003B4800">
            <w:pPr>
              <w:rPr>
                <w:b/>
                <w:sz w:val="20"/>
                <w:szCs w:val="20"/>
                <w:lang w:val="fr-CA"/>
              </w:rPr>
            </w:pPr>
            <w:r w:rsidRPr="00A048CB">
              <w:rPr>
                <w:b/>
                <w:sz w:val="20"/>
                <w:szCs w:val="20"/>
                <w:lang w:val="fr-CA"/>
              </w:rPr>
              <w:t>Procureur général du Canada</w:t>
            </w:r>
            <w:r w:rsidR="003B4800" w:rsidRPr="00A048CB">
              <w:rPr>
                <w:b/>
                <w:sz w:val="20"/>
                <w:szCs w:val="20"/>
                <w:lang w:val="fr-CA"/>
              </w:rPr>
              <w:t xml:space="preserve"> (Q</w:t>
            </w:r>
            <w:r w:rsidRPr="00A048CB">
              <w:rPr>
                <w:b/>
                <w:sz w:val="20"/>
                <w:szCs w:val="20"/>
                <w:lang w:val="fr-CA"/>
              </w:rPr>
              <w:t>c</w:t>
            </w:r>
            <w:r w:rsidR="003B4800" w:rsidRPr="00A048CB">
              <w:rPr>
                <w:b/>
                <w:sz w:val="20"/>
                <w:szCs w:val="20"/>
                <w:lang w:val="fr-CA"/>
              </w:rPr>
              <w:t>)</w:t>
            </w:r>
          </w:p>
          <w:p w:rsidR="003B4800" w:rsidRPr="00A048CB" w:rsidRDefault="003B4800" w:rsidP="003B4800">
            <w:pPr>
              <w:rPr>
                <w:sz w:val="20"/>
                <w:szCs w:val="20"/>
                <w:lang w:val="fr-CA"/>
              </w:rPr>
            </w:pPr>
          </w:p>
          <w:p w:rsidR="003B4800" w:rsidRPr="00A048CB" w:rsidRDefault="003B4800" w:rsidP="003B4800">
            <w:pPr>
              <w:rPr>
                <w:sz w:val="20"/>
                <w:szCs w:val="20"/>
              </w:rPr>
            </w:pPr>
            <w:r w:rsidRPr="00A048CB">
              <w:rPr>
                <w:sz w:val="20"/>
                <w:szCs w:val="20"/>
              </w:rPr>
              <w:t>(</w:t>
            </w:r>
            <w:r w:rsidR="00A048CB">
              <w:rPr>
                <w:sz w:val="20"/>
                <w:szCs w:val="20"/>
              </w:rPr>
              <w:t>Autorisation</w:t>
            </w:r>
            <w:r w:rsidRPr="00A048CB">
              <w:rPr>
                <w:sz w:val="20"/>
                <w:szCs w:val="20"/>
              </w:rPr>
              <w:t>)</w:t>
            </w:r>
          </w:p>
          <w:p w:rsidR="003B4800" w:rsidRPr="00A048CB" w:rsidRDefault="003B4800" w:rsidP="003B4800">
            <w:pPr>
              <w:rPr>
                <w:sz w:val="20"/>
                <w:szCs w:val="20"/>
              </w:rPr>
            </w:pPr>
          </w:p>
          <w:p w:rsidR="003B4800" w:rsidRPr="00A048CB" w:rsidRDefault="000B3306" w:rsidP="003B4800">
            <w:pPr>
              <w:rPr>
                <w:color w:val="FF0000"/>
                <w:sz w:val="20"/>
                <w:szCs w:val="20"/>
                <w:lang w:val="en-US"/>
              </w:rPr>
            </w:pPr>
            <w:r>
              <w:rPr>
                <w:sz w:val="20"/>
                <w:szCs w:val="20"/>
                <w:lang w:val="fr-CA"/>
              </w:rPr>
              <w:pict>
                <v:rect id="_x0000_i1073" style="width:106.1pt;height:1pt" o:hrpct="500" o:hralign="center" o:hrstd="t" o:hrnoshade="t" o:hr="t" fillcolor="black [3213]" stroked="f"/>
              </w:pict>
            </w:r>
          </w:p>
        </w:tc>
        <w:tc>
          <w:tcPr>
            <w:tcW w:w="588" w:type="pct"/>
          </w:tcPr>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Default="003B4800" w:rsidP="003B4800">
            <w:pPr>
              <w:jc w:val="center"/>
              <w:rPr>
                <w:sz w:val="20"/>
                <w:szCs w:val="20"/>
              </w:rPr>
            </w:pPr>
          </w:p>
          <w:p w:rsidR="00FF68F8" w:rsidRPr="00A048CB" w:rsidRDefault="00FF68F8" w:rsidP="003B4800">
            <w:pPr>
              <w:jc w:val="center"/>
              <w:rPr>
                <w:sz w:val="20"/>
                <w:szCs w:val="20"/>
              </w:rPr>
            </w:pPr>
          </w:p>
          <w:p w:rsidR="003B4800" w:rsidRPr="00A048CB" w:rsidRDefault="003B4800" w:rsidP="003B4800">
            <w:pPr>
              <w:jc w:val="center"/>
              <w:rPr>
                <w:sz w:val="20"/>
                <w:szCs w:val="20"/>
              </w:rPr>
            </w:pPr>
          </w:p>
        </w:tc>
        <w:tc>
          <w:tcPr>
            <w:tcW w:w="2206" w:type="pct"/>
          </w:tcPr>
          <w:p w:rsidR="00FF68F8" w:rsidRPr="00A048CB" w:rsidRDefault="00FF68F8" w:rsidP="00FF68F8">
            <w:pPr>
              <w:rPr>
                <w:sz w:val="20"/>
                <w:szCs w:val="20"/>
                <w:lang w:val="en-US"/>
              </w:rPr>
            </w:pPr>
            <w:r w:rsidRPr="00A048CB">
              <w:rPr>
                <w:sz w:val="20"/>
                <w:szCs w:val="20"/>
                <w:lang w:val="en-US"/>
              </w:rPr>
              <w:t>22.04.2014</w:t>
            </w:r>
          </w:p>
          <w:p w:rsidR="00FF68F8" w:rsidRPr="00A048CB" w:rsidRDefault="00FF68F8" w:rsidP="00FF68F8">
            <w:pPr>
              <w:rPr>
                <w:sz w:val="20"/>
                <w:szCs w:val="20"/>
                <w:lang w:val="en-US"/>
              </w:rPr>
            </w:pPr>
          </w:p>
          <w:p w:rsidR="00FF68F8" w:rsidRPr="00A048CB" w:rsidRDefault="00FF68F8" w:rsidP="00FF68F8">
            <w:pPr>
              <w:rPr>
                <w:b/>
                <w:sz w:val="20"/>
                <w:szCs w:val="20"/>
                <w:lang w:val="en-US"/>
              </w:rPr>
            </w:pPr>
            <w:r w:rsidRPr="00A048CB">
              <w:rPr>
                <w:b/>
                <w:sz w:val="20"/>
                <w:szCs w:val="20"/>
                <w:lang w:val="en-US"/>
              </w:rPr>
              <w:t>Julie Guindon</w:t>
            </w:r>
          </w:p>
          <w:p w:rsidR="00FF68F8" w:rsidRPr="00A048CB" w:rsidRDefault="00FF68F8" w:rsidP="00FF68F8">
            <w:pPr>
              <w:rPr>
                <w:b/>
                <w:sz w:val="20"/>
                <w:szCs w:val="20"/>
                <w:lang w:val="en-US"/>
              </w:rPr>
            </w:pPr>
          </w:p>
          <w:p w:rsidR="00FF68F8" w:rsidRPr="00A048CB" w:rsidRDefault="00FF68F8" w:rsidP="00FF68F8">
            <w:pPr>
              <w:rPr>
                <w:b/>
                <w:sz w:val="20"/>
                <w:szCs w:val="20"/>
                <w:lang w:val="en-US"/>
              </w:rPr>
            </w:pPr>
            <w:r w:rsidRPr="00A048CB">
              <w:rPr>
                <w:b/>
                <w:sz w:val="20"/>
                <w:szCs w:val="20"/>
                <w:lang w:val="en-US"/>
              </w:rPr>
              <w:tab/>
              <w:t>v. (35519)</w:t>
            </w:r>
          </w:p>
          <w:p w:rsidR="00FF68F8" w:rsidRPr="00A048CB" w:rsidRDefault="00FF68F8" w:rsidP="00FF68F8">
            <w:pPr>
              <w:rPr>
                <w:b/>
                <w:sz w:val="20"/>
                <w:szCs w:val="20"/>
                <w:lang w:val="en-US"/>
              </w:rPr>
            </w:pPr>
          </w:p>
          <w:p w:rsidR="00FF68F8" w:rsidRPr="00A048CB" w:rsidRDefault="00FF68F8" w:rsidP="00FF68F8">
            <w:pPr>
              <w:rPr>
                <w:b/>
                <w:sz w:val="20"/>
                <w:szCs w:val="20"/>
              </w:rPr>
            </w:pPr>
            <w:r w:rsidRPr="00A048CB">
              <w:rPr>
                <w:b/>
                <w:sz w:val="20"/>
                <w:szCs w:val="20"/>
              </w:rPr>
              <w:t xml:space="preserve">Her Majesty the Queen </w:t>
            </w:r>
            <w:r w:rsidRPr="00A048CB">
              <w:rPr>
                <w:b/>
                <w:sz w:val="20"/>
                <w:szCs w:val="20"/>
                <w:lang w:val="en-US"/>
              </w:rPr>
              <w:t>(F.C.)</w:t>
            </w:r>
          </w:p>
          <w:p w:rsidR="00FF68F8" w:rsidRPr="00A048CB" w:rsidRDefault="00FF68F8" w:rsidP="00FF68F8">
            <w:pPr>
              <w:rPr>
                <w:sz w:val="20"/>
                <w:szCs w:val="20"/>
                <w:lang w:val="en-US"/>
              </w:rPr>
            </w:pPr>
          </w:p>
          <w:p w:rsidR="00FF68F8" w:rsidRDefault="00FF68F8" w:rsidP="00FF68F8">
            <w:pPr>
              <w:rPr>
                <w:sz w:val="20"/>
                <w:szCs w:val="20"/>
              </w:rPr>
            </w:pPr>
            <w:r w:rsidRPr="00A048CB">
              <w:rPr>
                <w:sz w:val="20"/>
                <w:szCs w:val="20"/>
              </w:rPr>
              <w:t>(By Leave)</w:t>
            </w:r>
          </w:p>
          <w:p w:rsidR="003B4800" w:rsidRPr="00A048CB" w:rsidRDefault="003B4800" w:rsidP="003B4800">
            <w:pPr>
              <w:rPr>
                <w:sz w:val="20"/>
                <w:szCs w:val="20"/>
              </w:rPr>
            </w:pPr>
          </w:p>
          <w:p w:rsidR="003B4800" w:rsidRPr="00A048CB" w:rsidRDefault="000B3306" w:rsidP="003B4800">
            <w:pPr>
              <w:rPr>
                <w:sz w:val="20"/>
                <w:szCs w:val="20"/>
              </w:rPr>
            </w:pPr>
            <w:r>
              <w:rPr>
                <w:sz w:val="20"/>
                <w:szCs w:val="20"/>
                <w:lang w:val="fr-CA"/>
              </w:rPr>
              <w:pict>
                <v:rect id="_x0000_i1074" style="width:106.1pt;height:1pt" o:hrpct="500" o:hralign="center" o:hrstd="t" o:hrnoshade="t" o:hr="t" fillcolor="black [3213]" stroked="f"/>
              </w:pict>
            </w:r>
          </w:p>
        </w:tc>
      </w:tr>
      <w:tr w:rsidR="003B4800" w:rsidRPr="00130B0E" w:rsidTr="005F1ED8">
        <w:trPr>
          <w:cantSplit/>
        </w:trPr>
        <w:tc>
          <w:tcPr>
            <w:tcW w:w="2206" w:type="pct"/>
            <w:tcMar>
              <w:left w:w="0" w:type="dxa"/>
              <w:right w:w="0" w:type="dxa"/>
            </w:tcMar>
          </w:tcPr>
          <w:p w:rsidR="003B4800" w:rsidRPr="00A048CB" w:rsidRDefault="00A048CB" w:rsidP="003B4800">
            <w:pPr>
              <w:rPr>
                <w:sz w:val="20"/>
                <w:szCs w:val="20"/>
              </w:rPr>
            </w:pPr>
            <w:r w:rsidRPr="00A048CB">
              <w:rPr>
                <w:sz w:val="20"/>
                <w:szCs w:val="20"/>
              </w:rPr>
              <w:t>22</w:t>
            </w:r>
            <w:r w:rsidR="003B4800" w:rsidRPr="00A048CB">
              <w:rPr>
                <w:sz w:val="20"/>
                <w:szCs w:val="20"/>
              </w:rPr>
              <w:t>.04.2014</w:t>
            </w:r>
          </w:p>
          <w:p w:rsidR="003B4800" w:rsidRPr="00A048CB" w:rsidRDefault="003B4800" w:rsidP="003B4800">
            <w:pPr>
              <w:rPr>
                <w:sz w:val="20"/>
                <w:szCs w:val="20"/>
              </w:rPr>
            </w:pPr>
          </w:p>
          <w:p w:rsidR="003B4800" w:rsidRPr="00A048CB" w:rsidRDefault="00A048CB" w:rsidP="003B4800">
            <w:pPr>
              <w:rPr>
                <w:b/>
                <w:sz w:val="20"/>
                <w:szCs w:val="20"/>
              </w:rPr>
            </w:pPr>
            <w:r w:rsidRPr="00A048CB">
              <w:rPr>
                <w:b/>
                <w:sz w:val="20"/>
                <w:szCs w:val="20"/>
              </w:rPr>
              <w:t xml:space="preserve">Her Majesty the Queen </w:t>
            </w:r>
          </w:p>
          <w:p w:rsidR="00A048CB" w:rsidRPr="00A048CB" w:rsidRDefault="00A048CB" w:rsidP="003B4800">
            <w:pPr>
              <w:rPr>
                <w:b/>
                <w:sz w:val="20"/>
                <w:szCs w:val="20"/>
              </w:rPr>
            </w:pPr>
          </w:p>
          <w:p w:rsidR="003B4800" w:rsidRPr="00A048CB" w:rsidRDefault="003B4800" w:rsidP="003B4800">
            <w:pPr>
              <w:rPr>
                <w:b/>
                <w:sz w:val="20"/>
                <w:szCs w:val="20"/>
              </w:rPr>
            </w:pPr>
            <w:r w:rsidRPr="00A048CB">
              <w:rPr>
                <w:b/>
                <w:sz w:val="20"/>
                <w:szCs w:val="20"/>
              </w:rPr>
              <w:tab/>
              <w:t>v. (35</w:t>
            </w:r>
            <w:r w:rsidR="00A048CB" w:rsidRPr="00A048CB">
              <w:rPr>
                <w:b/>
                <w:sz w:val="20"/>
                <w:szCs w:val="20"/>
              </w:rPr>
              <w:t>664</w:t>
            </w:r>
            <w:r w:rsidRPr="00A048CB">
              <w:rPr>
                <w:b/>
                <w:sz w:val="20"/>
                <w:szCs w:val="20"/>
              </w:rPr>
              <w:t>)</w:t>
            </w:r>
          </w:p>
          <w:p w:rsidR="003B4800" w:rsidRPr="00A048CB" w:rsidRDefault="003B4800" w:rsidP="003B4800">
            <w:pPr>
              <w:rPr>
                <w:b/>
                <w:sz w:val="20"/>
                <w:szCs w:val="20"/>
              </w:rPr>
            </w:pPr>
          </w:p>
          <w:p w:rsidR="003B4800" w:rsidRPr="00A048CB" w:rsidRDefault="00A048CB" w:rsidP="003B4800">
            <w:pPr>
              <w:rPr>
                <w:b/>
                <w:sz w:val="20"/>
                <w:szCs w:val="20"/>
              </w:rPr>
            </w:pPr>
            <w:r w:rsidRPr="00A048CB">
              <w:rPr>
                <w:b/>
                <w:sz w:val="20"/>
                <w:szCs w:val="20"/>
              </w:rPr>
              <w:t xml:space="preserve">Mark Edward Grant </w:t>
            </w:r>
            <w:r w:rsidR="003B4800" w:rsidRPr="00A048CB">
              <w:rPr>
                <w:b/>
                <w:sz w:val="20"/>
                <w:szCs w:val="20"/>
              </w:rPr>
              <w:t>(</w:t>
            </w:r>
            <w:r w:rsidRPr="00A048CB">
              <w:rPr>
                <w:b/>
                <w:sz w:val="20"/>
                <w:szCs w:val="20"/>
              </w:rPr>
              <w:t>Man</w:t>
            </w:r>
            <w:r w:rsidR="003B4800" w:rsidRPr="00A048CB">
              <w:rPr>
                <w:b/>
                <w:sz w:val="20"/>
                <w:szCs w:val="20"/>
              </w:rPr>
              <w:t>.)</w:t>
            </w:r>
          </w:p>
          <w:p w:rsidR="003B4800" w:rsidRPr="00A048CB" w:rsidRDefault="003B4800" w:rsidP="003B4800">
            <w:pPr>
              <w:rPr>
                <w:sz w:val="20"/>
                <w:szCs w:val="20"/>
              </w:rPr>
            </w:pPr>
          </w:p>
          <w:p w:rsidR="003B4800" w:rsidRPr="00A048CB" w:rsidRDefault="003B4800" w:rsidP="003B4800">
            <w:pPr>
              <w:rPr>
                <w:sz w:val="20"/>
                <w:szCs w:val="20"/>
              </w:rPr>
            </w:pPr>
            <w:r w:rsidRPr="00A048CB">
              <w:rPr>
                <w:sz w:val="20"/>
                <w:szCs w:val="20"/>
              </w:rPr>
              <w:t>(</w:t>
            </w:r>
            <w:r w:rsidR="00A048CB" w:rsidRPr="00A048CB">
              <w:rPr>
                <w:sz w:val="20"/>
                <w:szCs w:val="20"/>
              </w:rPr>
              <w:t>By Leave</w:t>
            </w:r>
            <w:r w:rsidRPr="00A048CB">
              <w:rPr>
                <w:sz w:val="20"/>
                <w:szCs w:val="20"/>
              </w:rPr>
              <w:t>)</w:t>
            </w:r>
          </w:p>
          <w:p w:rsidR="003B4800" w:rsidRPr="00A048CB" w:rsidRDefault="003B4800" w:rsidP="003B4800">
            <w:pPr>
              <w:rPr>
                <w:sz w:val="20"/>
                <w:szCs w:val="20"/>
              </w:rPr>
            </w:pPr>
          </w:p>
          <w:p w:rsidR="003B4800" w:rsidRPr="00A048CB" w:rsidRDefault="000B3306" w:rsidP="003B4800">
            <w:pPr>
              <w:rPr>
                <w:sz w:val="20"/>
                <w:szCs w:val="20"/>
                <w:lang w:val="en-US"/>
              </w:rPr>
            </w:pPr>
            <w:r>
              <w:rPr>
                <w:sz w:val="20"/>
                <w:szCs w:val="20"/>
                <w:lang w:val="fr-CA"/>
              </w:rPr>
              <w:pict>
                <v:rect id="_x0000_i1075" style="width:106.1pt;height:1pt" o:hrpct="500" o:hralign="center" o:hrstd="t" o:hrnoshade="t" o:hr="t" fillcolor="black [3213]" stroked="f"/>
              </w:pict>
            </w:r>
          </w:p>
        </w:tc>
        <w:tc>
          <w:tcPr>
            <w:tcW w:w="588" w:type="pct"/>
          </w:tcPr>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p w:rsidR="003B4800" w:rsidRPr="00A048CB" w:rsidRDefault="003B4800" w:rsidP="003B4800">
            <w:pPr>
              <w:jc w:val="center"/>
              <w:rPr>
                <w:sz w:val="20"/>
                <w:szCs w:val="20"/>
              </w:rPr>
            </w:pPr>
          </w:p>
        </w:tc>
        <w:tc>
          <w:tcPr>
            <w:tcW w:w="2206" w:type="pct"/>
          </w:tcPr>
          <w:p w:rsidR="00FF68F8" w:rsidRPr="00A048CB" w:rsidRDefault="00FF68F8" w:rsidP="00FF68F8">
            <w:pPr>
              <w:rPr>
                <w:sz w:val="20"/>
                <w:szCs w:val="20"/>
                <w:lang w:val="en-US"/>
              </w:rPr>
            </w:pPr>
            <w:r w:rsidRPr="00A048CB">
              <w:rPr>
                <w:sz w:val="20"/>
                <w:szCs w:val="20"/>
                <w:lang w:val="en-US"/>
              </w:rPr>
              <w:t>22.04.2014</w:t>
            </w:r>
          </w:p>
          <w:p w:rsidR="00FF68F8" w:rsidRPr="00A048CB" w:rsidRDefault="00FF68F8" w:rsidP="00FF68F8">
            <w:pPr>
              <w:rPr>
                <w:sz w:val="20"/>
                <w:szCs w:val="20"/>
                <w:lang w:val="en-US"/>
              </w:rPr>
            </w:pPr>
          </w:p>
          <w:p w:rsidR="00FF68F8" w:rsidRPr="00A048CB" w:rsidRDefault="00FF68F8" w:rsidP="00FF68F8">
            <w:pPr>
              <w:rPr>
                <w:b/>
                <w:sz w:val="20"/>
                <w:szCs w:val="20"/>
                <w:lang w:val="en-US"/>
              </w:rPr>
            </w:pPr>
            <w:r w:rsidRPr="00A048CB">
              <w:rPr>
                <w:b/>
                <w:sz w:val="20"/>
                <w:szCs w:val="20"/>
                <w:lang w:val="en-US"/>
              </w:rPr>
              <w:t>British Columbia Teachers' Federation et al.</w:t>
            </w:r>
          </w:p>
          <w:p w:rsidR="00FF68F8" w:rsidRPr="00A048CB" w:rsidRDefault="00FF68F8" w:rsidP="00FF68F8">
            <w:pPr>
              <w:rPr>
                <w:b/>
                <w:sz w:val="20"/>
                <w:szCs w:val="20"/>
                <w:lang w:val="en-US"/>
              </w:rPr>
            </w:pPr>
          </w:p>
          <w:p w:rsidR="00FF68F8" w:rsidRPr="00A048CB" w:rsidRDefault="00FF68F8" w:rsidP="00FF68F8">
            <w:pPr>
              <w:rPr>
                <w:b/>
                <w:sz w:val="20"/>
                <w:szCs w:val="20"/>
                <w:lang w:val="en-US"/>
              </w:rPr>
            </w:pPr>
            <w:r w:rsidRPr="00A048CB">
              <w:rPr>
                <w:b/>
                <w:sz w:val="20"/>
                <w:szCs w:val="20"/>
                <w:lang w:val="en-US"/>
              </w:rPr>
              <w:tab/>
              <w:t>v. (35623)</w:t>
            </w:r>
          </w:p>
          <w:p w:rsidR="00FF68F8" w:rsidRPr="00A048CB" w:rsidRDefault="00FF68F8" w:rsidP="00FF68F8">
            <w:pPr>
              <w:rPr>
                <w:b/>
                <w:sz w:val="20"/>
                <w:szCs w:val="20"/>
                <w:lang w:val="en-US"/>
              </w:rPr>
            </w:pPr>
          </w:p>
          <w:p w:rsidR="00FF68F8" w:rsidRPr="00A048CB" w:rsidRDefault="00FF68F8" w:rsidP="00FF68F8">
            <w:pPr>
              <w:rPr>
                <w:b/>
                <w:sz w:val="20"/>
                <w:szCs w:val="20"/>
                <w:lang w:val="en-US"/>
              </w:rPr>
            </w:pPr>
            <w:r w:rsidRPr="00A048CB">
              <w:rPr>
                <w:b/>
                <w:sz w:val="20"/>
                <w:szCs w:val="20"/>
                <w:lang w:val="en-US"/>
              </w:rPr>
              <w:t>British Columbia Public School Employers' Association et al. (B.C.)</w:t>
            </w:r>
          </w:p>
          <w:p w:rsidR="00FF68F8" w:rsidRPr="00A048CB" w:rsidRDefault="00FF68F8" w:rsidP="00FF68F8">
            <w:pPr>
              <w:rPr>
                <w:sz w:val="20"/>
                <w:szCs w:val="20"/>
                <w:lang w:val="en-US"/>
              </w:rPr>
            </w:pPr>
          </w:p>
          <w:p w:rsidR="00FF68F8" w:rsidRPr="00A048CB" w:rsidRDefault="00FF68F8" w:rsidP="00FF68F8">
            <w:pPr>
              <w:rPr>
                <w:sz w:val="20"/>
                <w:szCs w:val="20"/>
              </w:rPr>
            </w:pPr>
            <w:r w:rsidRPr="00A048CB">
              <w:rPr>
                <w:sz w:val="20"/>
                <w:szCs w:val="20"/>
              </w:rPr>
              <w:t>(By Leave)</w:t>
            </w:r>
          </w:p>
          <w:p w:rsidR="00FF68F8" w:rsidRPr="00A048CB" w:rsidRDefault="00FF68F8" w:rsidP="003B4800">
            <w:pPr>
              <w:rPr>
                <w:sz w:val="20"/>
                <w:szCs w:val="20"/>
              </w:rPr>
            </w:pPr>
          </w:p>
          <w:p w:rsidR="003B4800" w:rsidRPr="00A048CB" w:rsidRDefault="000B3306" w:rsidP="003B4800">
            <w:pPr>
              <w:rPr>
                <w:sz w:val="20"/>
                <w:szCs w:val="20"/>
              </w:rPr>
            </w:pPr>
            <w:r>
              <w:rPr>
                <w:sz w:val="20"/>
                <w:szCs w:val="20"/>
                <w:lang w:val="fr-CA"/>
              </w:rPr>
              <w:pict>
                <v:rect id="_x0000_i1076"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A460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C67823" w:rsidP="0052229C">
      <w:pPr>
        <w:rPr>
          <w:b/>
          <w:sz w:val="20"/>
          <w:szCs w:val="20"/>
          <w:lang w:val="fr-CA"/>
        </w:rPr>
      </w:pPr>
      <w:r>
        <w:rPr>
          <w:b/>
          <w:sz w:val="20"/>
          <w:szCs w:val="20"/>
          <w:lang w:val="fr-CA"/>
        </w:rPr>
        <w:t>MAY 1, 2014 / LE 1</w:t>
      </w:r>
      <w:r w:rsidRPr="00C67823">
        <w:rPr>
          <w:b/>
          <w:sz w:val="20"/>
          <w:szCs w:val="20"/>
          <w:vertAlign w:val="superscript"/>
          <w:lang w:val="fr-CA"/>
        </w:rPr>
        <w:t>ER</w:t>
      </w:r>
      <w:r>
        <w:rPr>
          <w:b/>
          <w:sz w:val="20"/>
          <w:szCs w:val="20"/>
          <w:lang w:val="fr-CA"/>
        </w:rPr>
        <w:t xml:space="preserve"> MAI </w:t>
      </w:r>
      <w:r w:rsidR="0052229C" w:rsidRPr="00C42C54">
        <w:rPr>
          <w:b/>
          <w:sz w:val="20"/>
          <w:szCs w:val="20"/>
          <w:lang w:val="fr-CA"/>
        </w:rPr>
        <w:t>2014</w:t>
      </w:r>
    </w:p>
    <w:p w:rsidR="0052229C" w:rsidRPr="00C42C54" w:rsidRDefault="0052229C" w:rsidP="0052229C">
      <w:pPr>
        <w:rPr>
          <w:sz w:val="20"/>
          <w:szCs w:val="20"/>
          <w:lang w:val="fr-CA"/>
        </w:rPr>
      </w:pPr>
    </w:p>
    <w:p w:rsidR="00D13004" w:rsidRPr="00D81C9B" w:rsidRDefault="00EF5791" w:rsidP="00D13004">
      <w:pPr>
        <w:ind w:left="1440" w:hanging="1440"/>
        <w:jc w:val="both"/>
        <w:rPr>
          <w:sz w:val="20"/>
          <w:lang w:val="fr-CA"/>
        </w:rPr>
      </w:pPr>
      <w:r w:rsidRPr="0022525B">
        <w:rPr>
          <w:b/>
          <w:sz w:val="20"/>
        </w:rPr>
        <w:fldChar w:fldCharType="begin"/>
      </w:r>
      <w:r w:rsidR="00D13004" w:rsidRPr="00D81C9B">
        <w:rPr>
          <w:b/>
          <w:sz w:val="20"/>
          <w:lang w:val="fr-CA"/>
        </w:rPr>
        <w:instrText xml:space="preserve"> SEQ CHAPTER \h \r 1</w:instrText>
      </w:r>
      <w:r w:rsidRPr="0022525B">
        <w:rPr>
          <w:b/>
          <w:sz w:val="20"/>
        </w:rPr>
        <w:fldChar w:fldCharType="end"/>
      </w:r>
      <w:r w:rsidR="00D13004" w:rsidRPr="00D81C9B">
        <w:rPr>
          <w:b/>
          <w:sz w:val="20"/>
          <w:lang w:val="fr-CA"/>
        </w:rPr>
        <w:t>34854</w:t>
      </w:r>
      <w:r w:rsidR="00D13004" w:rsidRPr="00D81C9B">
        <w:rPr>
          <w:sz w:val="20"/>
          <w:lang w:val="fr-CA"/>
        </w:rPr>
        <w:tab/>
      </w:r>
      <w:r w:rsidR="00D13004" w:rsidRPr="00D81C9B">
        <w:rPr>
          <w:b/>
          <w:sz w:val="20"/>
          <w:u w:val="single"/>
          <w:lang w:val="fr-CA"/>
        </w:rPr>
        <w:t>Marilyne Dionne c. Commission scolaire des Patriotes et Commission des lésions professionnelles – et – Commission de la santé et de la sécurité du travail et Fédération des syndicats de l'enseignement</w:t>
      </w:r>
      <w:r w:rsidR="00D13004" w:rsidRPr="00D81C9B">
        <w:rPr>
          <w:b/>
          <w:sz w:val="20"/>
          <w:lang w:val="fr-CA"/>
        </w:rPr>
        <w:t xml:space="preserve"> </w:t>
      </w:r>
      <w:r w:rsidR="00D13004" w:rsidRPr="00D81C9B">
        <w:rPr>
          <w:sz w:val="20"/>
          <w:lang w:val="fr-CA"/>
        </w:rPr>
        <w:t>(</w:t>
      </w:r>
      <w:r w:rsidR="00D13004">
        <w:rPr>
          <w:sz w:val="20"/>
          <w:lang w:val="fr-CA"/>
        </w:rPr>
        <w:t>Qc</w:t>
      </w:r>
      <w:r w:rsidR="00D13004" w:rsidRPr="00D81C9B">
        <w:rPr>
          <w:sz w:val="20"/>
          <w:lang w:val="fr-CA"/>
        </w:rPr>
        <w:t>)</w:t>
      </w:r>
    </w:p>
    <w:p w:rsidR="00D13004" w:rsidRPr="00D81C9B" w:rsidRDefault="00D13004" w:rsidP="00D13004">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D81C9B">
        <w:rPr>
          <w:b/>
          <w:sz w:val="20"/>
          <w:lang w:val="fr-CA"/>
        </w:rPr>
        <w:t>2014 SCC 33 / 2014 CSC 33</w:t>
      </w:r>
    </w:p>
    <w:p w:rsidR="00D13004" w:rsidRPr="00D81C9B" w:rsidRDefault="00D13004" w:rsidP="00D1300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13004" w:rsidRPr="00D81C9B" w:rsidRDefault="00D13004" w:rsidP="00D13004">
      <w:pPr>
        <w:ind w:left="1440" w:hanging="1440"/>
        <w:rPr>
          <w:sz w:val="20"/>
          <w:u w:val="single"/>
          <w:lang w:val="fr-CA"/>
        </w:rPr>
      </w:pPr>
      <w:r w:rsidRPr="00D81C9B">
        <w:rPr>
          <w:sz w:val="20"/>
          <w:lang w:val="fr-CA"/>
        </w:rPr>
        <w:t>Coram:</w:t>
      </w:r>
      <w:r w:rsidRPr="00D81C9B">
        <w:rPr>
          <w:sz w:val="20"/>
          <w:lang w:val="fr-CA"/>
        </w:rPr>
        <w:tab/>
      </w:r>
      <w:r w:rsidRPr="00D81C9B">
        <w:rPr>
          <w:sz w:val="20"/>
          <w:u w:val="single"/>
          <w:lang w:val="fr-CA"/>
        </w:rPr>
        <w:t xml:space="preserve">La juge en chef McLachlin et les juges Abella, Cromwell, Moldaver et Karakatsanis </w:t>
      </w:r>
    </w:p>
    <w:p w:rsidR="00D13004" w:rsidRPr="00D81C9B" w:rsidRDefault="00D13004" w:rsidP="00D13004">
      <w:pPr>
        <w:ind w:left="1440" w:hanging="1440"/>
        <w:jc w:val="both"/>
        <w:rPr>
          <w:sz w:val="16"/>
          <w:u w:val="single"/>
          <w:lang w:val="fr-CA"/>
        </w:rPr>
      </w:pPr>
    </w:p>
    <w:p w:rsidR="00D13004" w:rsidRPr="00D81C9B" w:rsidRDefault="00D13004" w:rsidP="00D13004">
      <w:pPr>
        <w:jc w:val="both"/>
        <w:rPr>
          <w:sz w:val="20"/>
          <w:lang w:val="fr-CA"/>
        </w:rPr>
      </w:pPr>
      <w:r w:rsidRPr="00D81C9B">
        <w:rPr>
          <w:sz w:val="20"/>
          <w:lang w:val="fr-CA"/>
        </w:rPr>
        <w:t>L’appel interjeté contre l’arrêt de la Cour d’appel du Québec (Montréal), numéro 500-09-020678-108,  2012 QCCA 609, en date du 2 avril 2012, entendu le 13 janvier 2014, est accueilli avec dépens devant toutes les cours.</w:t>
      </w:r>
    </w:p>
    <w:p w:rsidR="00D13004" w:rsidRPr="00D81C9B" w:rsidRDefault="00D13004" w:rsidP="00D13004">
      <w:pPr>
        <w:jc w:val="both"/>
        <w:rPr>
          <w:sz w:val="20"/>
          <w:lang w:val="fr-CA"/>
        </w:rPr>
      </w:pPr>
    </w:p>
    <w:p w:rsidR="00D13004" w:rsidRPr="00D81C9B" w:rsidRDefault="00D13004" w:rsidP="00D13004">
      <w:pPr>
        <w:jc w:val="both"/>
        <w:rPr>
          <w:sz w:val="20"/>
        </w:rPr>
      </w:pPr>
      <w:r w:rsidRPr="00D81C9B">
        <w:rPr>
          <w:sz w:val="20"/>
        </w:rPr>
        <w:t xml:space="preserve">The appeal from the judgment of the </w:t>
      </w:r>
      <w:r w:rsidRPr="00D81C9B">
        <w:rPr>
          <w:sz w:val="20"/>
          <w:lang w:val="en-US"/>
        </w:rPr>
        <w:t>Court of Appeal of Quebec (Montréal)</w:t>
      </w:r>
      <w:r w:rsidRPr="00D81C9B">
        <w:rPr>
          <w:sz w:val="20"/>
        </w:rPr>
        <w:t xml:space="preserve">, Number </w:t>
      </w:r>
      <w:r w:rsidRPr="00D81C9B">
        <w:rPr>
          <w:sz w:val="20"/>
          <w:lang w:val="en-US"/>
        </w:rPr>
        <w:t>500-09-020678-108</w:t>
      </w:r>
      <w:r w:rsidRPr="00D81C9B">
        <w:rPr>
          <w:sz w:val="20"/>
        </w:rPr>
        <w:t xml:space="preserve">, </w:t>
      </w:r>
      <w:r w:rsidRPr="00D81C9B">
        <w:rPr>
          <w:sz w:val="20"/>
          <w:lang w:val="en-US"/>
        </w:rPr>
        <w:t xml:space="preserve">2012 QCCA 609, </w:t>
      </w:r>
      <w:r w:rsidRPr="00D81C9B">
        <w:rPr>
          <w:sz w:val="20"/>
        </w:rPr>
        <w:t xml:space="preserve">dated </w:t>
      </w:r>
      <w:r w:rsidRPr="00D81C9B">
        <w:rPr>
          <w:sz w:val="20"/>
          <w:lang w:val="en-US"/>
        </w:rPr>
        <w:t>April 2, 2012</w:t>
      </w:r>
      <w:r w:rsidRPr="00D81C9B">
        <w:rPr>
          <w:sz w:val="20"/>
        </w:rPr>
        <w:t xml:space="preserve">, heard on </w:t>
      </w:r>
      <w:r w:rsidRPr="00D81C9B">
        <w:rPr>
          <w:sz w:val="20"/>
          <w:lang w:val="en-US"/>
        </w:rPr>
        <w:t>January 13, 2014,</w:t>
      </w:r>
      <w:r w:rsidRPr="00D81C9B">
        <w:rPr>
          <w:sz w:val="20"/>
        </w:rPr>
        <w:t xml:space="preserve"> is allowed with costs throughout.</w:t>
      </w:r>
    </w:p>
    <w:p w:rsidR="0052229C" w:rsidRDefault="0052229C" w:rsidP="0052229C">
      <w:pPr>
        <w:rPr>
          <w:sz w:val="20"/>
          <w:szCs w:val="20"/>
        </w:rPr>
      </w:pPr>
    </w:p>
    <w:p w:rsidR="0052229C" w:rsidRPr="003B3977" w:rsidRDefault="000B3306" w:rsidP="0052229C">
      <w:pPr>
        <w:spacing w:line="0" w:lineRule="atLeast"/>
        <w:rPr>
          <w:sz w:val="20"/>
          <w:szCs w:val="20"/>
        </w:rPr>
      </w:pPr>
      <w:r>
        <w:rPr>
          <w:b/>
          <w:sz w:val="20"/>
          <w:szCs w:val="20"/>
        </w:rPr>
        <w:pict>
          <v:rect id="_x0000_i107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C67823" w:rsidRPr="001575C0" w:rsidRDefault="00C67823" w:rsidP="00C67823">
      <w:pPr>
        <w:rPr>
          <w:b/>
          <w:sz w:val="20"/>
          <w:szCs w:val="20"/>
          <w:lang w:val="fr-CA"/>
        </w:rPr>
      </w:pPr>
      <w:r w:rsidRPr="001575C0">
        <w:rPr>
          <w:b/>
          <w:sz w:val="20"/>
          <w:szCs w:val="20"/>
          <w:lang w:val="fr-CA"/>
        </w:rPr>
        <w:t>MAY 2, 2014 / LE 2 MAI 2014</w:t>
      </w:r>
    </w:p>
    <w:p w:rsidR="0052229C" w:rsidRPr="001575C0" w:rsidRDefault="0052229C" w:rsidP="0052229C">
      <w:pPr>
        <w:spacing w:line="0" w:lineRule="atLeast"/>
        <w:rPr>
          <w:rFonts w:cs="Times New Roman"/>
          <w:sz w:val="20"/>
          <w:szCs w:val="20"/>
          <w:lang w:val="fr-CA"/>
        </w:rPr>
      </w:pPr>
    </w:p>
    <w:p w:rsidR="0052229C" w:rsidRPr="00C67823" w:rsidRDefault="00EF5791" w:rsidP="0052229C">
      <w:pPr>
        <w:ind w:left="1440" w:hanging="1440"/>
        <w:jc w:val="both"/>
        <w:rPr>
          <w:sz w:val="20"/>
          <w:szCs w:val="20"/>
          <w:lang w:val="fr-CA"/>
        </w:rPr>
      </w:pPr>
      <w:r w:rsidRPr="005C722A">
        <w:rPr>
          <w:b/>
          <w:sz w:val="20"/>
          <w:szCs w:val="20"/>
        </w:rPr>
        <w:fldChar w:fldCharType="begin"/>
      </w:r>
      <w:r w:rsidR="0052229C" w:rsidRPr="00C67823">
        <w:rPr>
          <w:b/>
          <w:sz w:val="20"/>
          <w:szCs w:val="20"/>
          <w:lang w:val="fr-CA"/>
        </w:rPr>
        <w:instrText xml:space="preserve"> SEQ CHAPTER \h \r 1</w:instrText>
      </w:r>
      <w:r w:rsidRPr="005C722A">
        <w:rPr>
          <w:b/>
          <w:sz w:val="20"/>
          <w:szCs w:val="20"/>
        </w:rPr>
        <w:fldChar w:fldCharType="end"/>
      </w:r>
      <w:r w:rsidR="0052229C" w:rsidRPr="00C67823">
        <w:rPr>
          <w:b/>
          <w:sz w:val="20"/>
          <w:szCs w:val="20"/>
          <w:lang w:val="fr-CA"/>
        </w:rPr>
        <w:t>3</w:t>
      </w:r>
      <w:r w:rsidR="00C67823">
        <w:rPr>
          <w:b/>
          <w:sz w:val="20"/>
          <w:szCs w:val="20"/>
          <w:lang w:val="fr-CA"/>
        </w:rPr>
        <w:t>5295</w:t>
      </w:r>
      <w:r w:rsidR="0052229C" w:rsidRPr="00C67823">
        <w:rPr>
          <w:sz w:val="20"/>
          <w:szCs w:val="20"/>
          <w:lang w:val="fr-CA"/>
        </w:rPr>
        <w:tab/>
      </w:r>
      <w:r w:rsidR="00A2115D">
        <w:rPr>
          <w:b/>
          <w:sz w:val="20"/>
          <w:szCs w:val="20"/>
          <w:u w:val="single"/>
          <w:lang w:val="fr-CA"/>
        </w:rPr>
        <w:t>Immeubles Jacques Robitaille i</w:t>
      </w:r>
      <w:r w:rsidR="00C67823" w:rsidRPr="00C67823">
        <w:rPr>
          <w:b/>
          <w:sz w:val="20"/>
          <w:szCs w:val="20"/>
          <w:u w:val="single"/>
          <w:lang w:val="fr-CA"/>
        </w:rPr>
        <w:t>nc. c. Ville de Québec</w:t>
      </w:r>
      <w:r w:rsidR="00C67823" w:rsidRPr="00C67823">
        <w:rPr>
          <w:b/>
          <w:sz w:val="20"/>
          <w:szCs w:val="20"/>
          <w:lang w:val="fr-CA"/>
        </w:rPr>
        <w:t xml:space="preserve"> </w:t>
      </w:r>
      <w:r w:rsidR="0052229C" w:rsidRPr="00C67823">
        <w:rPr>
          <w:iCs/>
          <w:sz w:val="20"/>
          <w:szCs w:val="20"/>
          <w:lang w:val="fr-CA"/>
        </w:rPr>
        <w:t>(</w:t>
      </w:r>
      <w:r w:rsidR="00C67823">
        <w:rPr>
          <w:iCs/>
          <w:sz w:val="20"/>
          <w:szCs w:val="20"/>
          <w:lang w:val="fr-CA"/>
        </w:rPr>
        <w:t>Qc</w:t>
      </w:r>
      <w:r w:rsidR="0052229C" w:rsidRPr="00C67823">
        <w:rPr>
          <w:iCs/>
          <w:sz w:val="20"/>
          <w:szCs w:val="20"/>
          <w:lang w:val="fr-CA"/>
        </w:rPr>
        <w:t>)</w:t>
      </w:r>
    </w:p>
    <w:p w:rsidR="0052229C" w:rsidRPr="002024BD"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2024BD">
        <w:rPr>
          <w:b/>
          <w:sz w:val="20"/>
          <w:szCs w:val="20"/>
          <w:lang w:val="fr-CA"/>
        </w:rPr>
        <w:t>2014 SCC 3</w:t>
      </w:r>
      <w:r w:rsidR="00C67823" w:rsidRPr="002024BD">
        <w:rPr>
          <w:b/>
          <w:sz w:val="20"/>
          <w:szCs w:val="20"/>
          <w:lang w:val="fr-CA"/>
        </w:rPr>
        <w:t>4</w:t>
      </w:r>
      <w:r w:rsidRPr="002024BD">
        <w:rPr>
          <w:b/>
          <w:sz w:val="20"/>
          <w:szCs w:val="20"/>
          <w:lang w:val="fr-CA"/>
        </w:rPr>
        <w:t>/ 2014 CSC 3</w:t>
      </w:r>
      <w:r w:rsidR="00C67823" w:rsidRPr="002024BD">
        <w:rPr>
          <w:b/>
          <w:sz w:val="20"/>
          <w:szCs w:val="20"/>
          <w:lang w:val="fr-CA"/>
        </w:rPr>
        <w:t>4</w:t>
      </w:r>
    </w:p>
    <w:p w:rsidR="0052229C" w:rsidRPr="002024BD"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2229C" w:rsidRPr="005E611C" w:rsidRDefault="0052229C" w:rsidP="0052229C">
      <w:pPr>
        <w:ind w:left="1440" w:hanging="1440"/>
        <w:rPr>
          <w:sz w:val="20"/>
          <w:szCs w:val="20"/>
          <w:u w:val="single"/>
          <w:lang w:val="fr-CA"/>
        </w:rPr>
      </w:pPr>
      <w:r w:rsidRPr="005E611C">
        <w:rPr>
          <w:sz w:val="20"/>
          <w:szCs w:val="20"/>
          <w:lang w:val="fr-CA"/>
        </w:rPr>
        <w:t>Coram:</w:t>
      </w:r>
      <w:r w:rsidRPr="005E611C">
        <w:rPr>
          <w:sz w:val="20"/>
          <w:szCs w:val="20"/>
          <w:lang w:val="fr-CA"/>
        </w:rPr>
        <w:tab/>
      </w:r>
      <w:r w:rsidR="005E611C" w:rsidRPr="005E611C">
        <w:rPr>
          <w:sz w:val="20"/>
          <w:szCs w:val="20"/>
          <w:u w:val="single"/>
          <w:lang w:val="fr-CA"/>
        </w:rPr>
        <w:t xml:space="preserve">La juge en chef McLachlin et les juges LeBel, Abella, Rothstein, Moldaver, Karakatsanis et Wagner </w:t>
      </w:r>
    </w:p>
    <w:p w:rsidR="0052229C" w:rsidRPr="005E611C" w:rsidRDefault="0052229C" w:rsidP="0052229C">
      <w:pPr>
        <w:ind w:left="1440" w:hanging="1440"/>
        <w:jc w:val="both"/>
        <w:rPr>
          <w:sz w:val="20"/>
          <w:szCs w:val="20"/>
          <w:u w:val="single"/>
          <w:lang w:val="fr-CA"/>
        </w:rPr>
      </w:pPr>
    </w:p>
    <w:p w:rsidR="005E611C" w:rsidRPr="005E611C" w:rsidRDefault="005E611C" w:rsidP="005E611C">
      <w:pPr>
        <w:jc w:val="both"/>
        <w:rPr>
          <w:sz w:val="20"/>
          <w:szCs w:val="20"/>
          <w:lang w:val="fr-CA"/>
        </w:rPr>
      </w:pPr>
      <w:r w:rsidRPr="005E611C">
        <w:rPr>
          <w:sz w:val="20"/>
          <w:szCs w:val="20"/>
          <w:lang w:val="fr-CA"/>
        </w:rPr>
        <w:t>L’appel interjeté contre l’arrêt de la Cour d’appel du Québec (Québec), numéro 200-10-002795-123, 2013 QCCA 219, en date du 7 février 2013, entendu le 20 février 2014, est rejeté avec dépens.</w:t>
      </w:r>
    </w:p>
    <w:p w:rsidR="005E611C" w:rsidRPr="002024BD" w:rsidRDefault="005E611C" w:rsidP="005E611C">
      <w:pPr>
        <w:jc w:val="both"/>
        <w:rPr>
          <w:sz w:val="20"/>
          <w:szCs w:val="20"/>
          <w:lang w:val="fr-CA"/>
        </w:rPr>
      </w:pPr>
    </w:p>
    <w:p w:rsidR="005E611C" w:rsidRPr="005E611C" w:rsidRDefault="005E611C" w:rsidP="005E611C">
      <w:pPr>
        <w:jc w:val="both"/>
        <w:rPr>
          <w:sz w:val="20"/>
          <w:szCs w:val="20"/>
        </w:rPr>
      </w:pPr>
      <w:r w:rsidRPr="005E611C">
        <w:rPr>
          <w:sz w:val="20"/>
          <w:szCs w:val="20"/>
        </w:rPr>
        <w:t xml:space="preserve">The appeal from the judgment </w:t>
      </w:r>
      <w:bookmarkStart w:id="2" w:name="BM_1_"/>
      <w:bookmarkEnd w:id="2"/>
      <w:r w:rsidRPr="005E611C">
        <w:rPr>
          <w:sz w:val="20"/>
          <w:szCs w:val="20"/>
        </w:rPr>
        <w:t xml:space="preserve">of the </w:t>
      </w:r>
      <w:r w:rsidRPr="005E611C">
        <w:rPr>
          <w:sz w:val="20"/>
          <w:szCs w:val="20"/>
          <w:lang w:val="en-US"/>
        </w:rPr>
        <w:t>Court of Appeal of Quebec (Québec)</w:t>
      </w:r>
      <w:r w:rsidRPr="005E611C">
        <w:rPr>
          <w:sz w:val="20"/>
          <w:szCs w:val="20"/>
        </w:rPr>
        <w:t xml:space="preserve">, Number </w:t>
      </w:r>
      <w:r w:rsidRPr="005E611C">
        <w:rPr>
          <w:sz w:val="20"/>
          <w:szCs w:val="20"/>
          <w:lang w:val="en-US"/>
        </w:rPr>
        <w:t>200-10-002795-123, 2013 QCCA 219</w:t>
      </w:r>
      <w:r w:rsidRPr="005E611C">
        <w:rPr>
          <w:sz w:val="20"/>
          <w:szCs w:val="20"/>
        </w:rPr>
        <w:t xml:space="preserve">, dated </w:t>
      </w:r>
      <w:r w:rsidRPr="005E611C">
        <w:rPr>
          <w:sz w:val="20"/>
          <w:szCs w:val="20"/>
          <w:lang w:val="en-US"/>
        </w:rPr>
        <w:t>February 7, 2013</w:t>
      </w:r>
      <w:r w:rsidRPr="005E611C">
        <w:rPr>
          <w:sz w:val="20"/>
          <w:szCs w:val="20"/>
        </w:rPr>
        <w:t xml:space="preserve">, heard on </w:t>
      </w:r>
      <w:r w:rsidRPr="005E611C">
        <w:rPr>
          <w:sz w:val="20"/>
          <w:szCs w:val="20"/>
          <w:lang w:val="en-US"/>
        </w:rPr>
        <w:t>February 20, 2014,</w:t>
      </w:r>
      <w:r w:rsidRPr="005E611C">
        <w:rPr>
          <w:sz w:val="20"/>
          <w:szCs w:val="20"/>
        </w:rPr>
        <w:t xml:space="preserve"> is dismissed with costs.</w:t>
      </w:r>
    </w:p>
    <w:p w:rsidR="005E611C" w:rsidRDefault="005E611C" w:rsidP="0052229C">
      <w:pPr>
        <w:jc w:val="both"/>
        <w:rPr>
          <w:rFonts w:eastAsia="Calibri"/>
          <w:sz w:val="20"/>
          <w:szCs w:val="20"/>
        </w:rPr>
      </w:pPr>
    </w:p>
    <w:p w:rsidR="00D004FC" w:rsidRDefault="000B3306" w:rsidP="00D004FC">
      <w:pPr>
        <w:jc w:val="both"/>
        <w:rPr>
          <w:rFonts w:cs="Times New Roman"/>
          <w:b/>
          <w:sz w:val="20"/>
          <w:szCs w:val="20"/>
        </w:rPr>
      </w:pPr>
      <w:r>
        <w:rPr>
          <w:rFonts w:cs="Times New Roman"/>
          <w:b/>
          <w:sz w:val="20"/>
          <w:szCs w:val="20"/>
        </w:rPr>
        <w:pict>
          <v:rect id="_x0000_i108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3C39D1" w:rsidRDefault="00C67823" w:rsidP="0052229C">
      <w:pPr>
        <w:ind w:left="1440" w:hanging="1440"/>
        <w:jc w:val="both"/>
        <w:rPr>
          <w:sz w:val="20"/>
          <w:szCs w:val="20"/>
          <w:lang w:val="fr-CA"/>
        </w:rPr>
      </w:pPr>
      <w:r w:rsidRPr="00C67823">
        <w:rPr>
          <w:rFonts w:eastAsia="Calibri"/>
          <w:i/>
          <w:sz w:val="20"/>
          <w:szCs w:val="20"/>
          <w:lang w:val="fr-CA"/>
        </w:rPr>
        <w:t>Marilyne Dionne c. Commission s</w:t>
      </w:r>
      <w:r w:rsidRPr="003C39D1">
        <w:rPr>
          <w:rFonts w:eastAsia="Calibri"/>
          <w:i/>
          <w:sz w:val="20"/>
          <w:szCs w:val="20"/>
          <w:lang w:val="fr-CA"/>
        </w:rPr>
        <w:t xml:space="preserve">colaire des Patriotes et autre </w:t>
      </w:r>
      <w:r w:rsidR="0052229C" w:rsidRPr="003C39D1">
        <w:rPr>
          <w:sz w:val="20"/>
          <w:szCs w:val="20"/>
          <w:lang w:val="fr-CA"/>
        </w:rPr>
        <w:t>(Qc) (</w:t>
      </w:r>
      <w:hyperlink r:id="rId71" w:history="1">
        <w:r w:rsidR="0052229C" w:rsidRPr="003C39D1">
          <w:rPr>
            <w:rStyle w:val="Hyperlink"/>
            <w:sz w:val="20"/>
            <w:szCs w:val="20"/>
            <w:lang w:val="fr-CA"/>
          </w:rPr>
          <w:t>348</w:t>
        </w:r>
        <w:r w:rsidRPr="003C39D1">
          <w:rPr>
            <w:rStyle w:val="Hyperlink"/>
            <w:sz w:val="20"/>
            <w:szCs w:val="20"/>
            <w:lang w:val="fr-CA"/>
          </w:rPr>
          <w:t>54</w:t>
        </w:r>
      </w:hyperlink>
      <w:r w:rsidR="0052229C" w:rsidRPr="003C39D1">
        <w:rPr>
          <w:sz w:val="20"/>
          <w:szCs w:val="20"/>
          <w:lang w:val="fr-CA"/>
        </w:rPr>
        <w:t>)</w:t>
      </w:r>
    </w:p>
    <w:p w:rsidR="000A781C" w:rsidRDefault="0052229C" w:rsidP="0052229C">
      <w:pPr>
        <w:jc w:val="both"/>
        <w:rPr>
          <w:rStyle w:val="SCCRespondentForIndexChar"/>
          <w:rFonts w:eastAsiaTheme="minorHAnsi"/>
          <w:sz w:val="20"/>
          <w:lang w:val="fr-CA"/>
        </w:rPr>
      </w:pPr>
      <w:r w:rsidRPr="003C39D1">
        <w:rPr>
          <w:b/>
          <w:sz w:val="20"/>
          <w:szCs w:val="20"/>
          <w:lang w:val="fr-CA"/>
        </w:rPr>
        <w:t xml:space="preserve">Indexed as:  </w:t>
      </w:r>
      <w:r w:rsidR="003C39D1" w:rsidRPr="003C39D1">
        <w:rPr>
          <w:rStyle w:val="SCCAppellantForIndexChar"/>
          <w:rFonts w:eastAsiaTheme="minorHAnsi"/>
          <w:sz w:val="20"/>
        </w:rPr>
        <w:t>Dionne</w:t>
      </w:r>
      <w:r w:rsidR="003C39D1" w:rsidRPr="003C39D1">
        <w:rPr>
          <w:b/>
          <w:sz w:val="20"/>
          <w:szCs w:val="20"/>
          <w:lang w:val="fr-CA"/>
        </w:rPr>
        <w:t xml:space="preserve"> </w:t>
      </w:r>
      <w:r w:rsidR="003C39D1" w:rsidRPr="003C39D1">
        <w:rPr>
          <w:b/>
          <w:i/>
          <w:sz w:val="20"/>
          <w:szCs w:val="20"/>
          <w:lang w:val="fr-CA"/>
        </w:rPr>
        <w:t>c.</w:t>
      </w:r>
      <w:r w:rsidR="003C39D1" w:rsidRPr="003C39D1">
        <w:rPr>
          <w:b/>
          <w:sz w:val="20"/>
          <w:szCs w:val="20"/>
          <w:lang w:val="fr-CA"/>
        </w:rPr>
        <w:t xml:space="preserve"> </w:t>
      </w:r>
      <w:r w:rsidR="003C39D1" w:rsidRPr="003C39D1">
        <w:rPr>
          <w:rStyle w:val="SCCRespondentForIndexChar"/>
          <w:rFonts w:eastAsiaTheme="minorHAnsi"/>
          <w:sz w:val="20"/>
          <w:lang w:val="fr-CA"/>
        </w:rPr>
        <w:t>Commission scolaire des Patriotes</w:t>
      </w:r>
      <w:r w:rsidRPr="003C39D1">
        <w:rPr>
          <w:rStyle w:val="SCCRespondentForIndexChar"/>
          <w:rFonts w:eastAsiaTheme="minorHAnsi"/>
          <w:sz w:val="20"/>
          <w:lang w:val="fr-CA"/>
        </w:rPr>
        <w:t xml:space="preserve"> / </w:t>
      </w:r>
    </w:p>
    <w:p w:rsidR="0052229C" w:rsidRPr="003C39D1" w:rsidRDefault="0052229C" w:rsidP="0052229C">
      <w:pPr>
        <w:jc w:val="both"/>
        <w:rPr>
          <w:b/>
          <w:sz w:val="20"/>
          <w:szCs w:val="20"/>
          <w:lang w:val="fr-CA"/>
        </w:rPr>
      </w:pPr>
      <w:r w:rsidRPr="003C39D1">
        <w:rPr>
          <w:b/>
          <w:sz w:val="20"/>
          <w:szCs w:val="20"/>
          <w:lang w:val="fr-CA"/>
        </w:rPr>
        <w:t>Répertorié : </w:t>
      </w:r>
      <w:r w:rsidR="003C39D1" w:rsidRPr="003C39D1">
        <w:rPr>
          <w:rStyle w:val="SCCAppellantForIndexChar"/>
          <w:rFonts w:eastAsiaTheme="minorHAnsi"/>
          <w:sz w:val="20"/>
        </w:rPr>
        <w:t>Dionne</w:t>
      </w:r>
      <w:r w:rsidR="003C39D1" w:rsidRPr="003C39D1">
        <w:rPr>
          <w:b/>
          <w:sz w:val="20"/>
          <w:szCs w:val="20"/>
          <w:lang w:val="fr-CA"/>
        </w:rPr>
        <w:t xml:space="preserve"> </w:t>
      </w:r>
      <w:r w:rsidR="003C39D1" w:rsidRPr="003C39D1">
        <w:rPr>
          <w:b/>
          <w:i/>
          <w:sz w:val="20"/>
          <w:szCs w:val="20"/>
          <w:lang w:val="fr-CA"/>
        </w:rPr>
        <w:t>v.</w:t>
      </w:r>
      <w:r w:rsidR="003C39D1" w:rsidRPr="003C39D1">
        <w:rPr>
          <w:b/>
          <w:sz w:val="20"/>
          <w:szCs w:val="20"/>
          <w:lang w:val="fr-CA"/>
        </w:rPr>
        <w:t xml:space="preserve"> </w:t>
      </w:r>
      <w:r w:rsidR="003C39D1" w:rsidRPr="003C39D1">
        <w:rPr>
          <w:rStyle w:val="SCCRespondentForIndexChar"/>
          <w:rFonts w:eastAsiaTheme="minorHAnsi"/>
          <w:sz w:val="20"/>
          <w:lang w:val="fr-CA"/>
        </w:rPr>
        <w:t>Commission scolaire des Patriotes</w:t>
      </w:r>
    </w:p>
    <w:p w:rsidR="0052229C" w:rsidRPr="003C39D1" w:rsidRDefault="00C67823" w:rsidP="0052229C">
      <w:pPr>
        <w:pStyle w:val="SCCSystemYear"/>
        <w:jc w:val="both"/>
        <w:rPr>
          <w:sz w:val="20"/>
        </w:rPr>
      </w:pPr>
      <w:r w:rsidRPr="003C39D1">
        <w:rPr>
          <w:sz w:val="20"/>
        </w:rPr>
        <w:t>Neutral citation:  2014 SCC 32</w:t>
      </w:r>
      <w:r w:rsidR="0052229C" w:rsidRPr="003C39D1">
        <w:rPr>
          <w:sz w:val="20"/>
        </w:rPr>
        <w:t xml:space="preserve"> / Référence neutre : 2014 CSC </w:t>
      </w:r>
      <w:r w:rsidR="003C39D1" w:rsidRPr="003C39D1">
        <w:rPr>
          <w:sz w:val="20"/>
        </w:rPr>
        <w:t>33</w:t>
      </w:r>
    </w:p>
    <w:p w:rsidR="0052229C" w:rsidRPr="003C39D1" w:rsidRDefault="0052229C" w:rsidP="0052229C">
      <w:pPr>
        <w:rPr>
          <w:rFonts w:cs="Times New Roman"/>
          <w:sz w:val="20"/>
          <w:szCs w:val="20"/>
          <w:lang w:val="en-US"/>
        </w:rPr>
      </w:pPr>
      <w:r w:rsidRPr="003C39D1">
        <w:rPr>
          <w:rFonts w:cs="Times New Roman"/>
          <w:sz w:val="20"/>
          <w:szCs w:val="20"/>
          <w:lang w:val="en-US"/>
        </w:rPr>
        <w:t xml:space="preserve">Hearing:  </w:t>
      </w:r>
      <w:r w:rsidR="0090344D" w:rsidRPr="003C39D1">
        <w:rPr>
          <w:rFonts w:cs="Times New Roman"/>
          <w:sz w:val="20"/>
          <w:szCs w:val="20"/>
          <w:lang w:val="en-US"/>
        </w:rPr>
        <w:t>January 13, 2014</w:t>
      </w:r>
      <w:r w:rsidRPr="003C39D1">
        <w:rPr>
          <w:rFonts w:cs="Times New Roman"/>
          <w:sz w:val="20"/>
          <w:szCs w:val="20"/>
          <w:lang w:val="en-US"/>
        </w:rPr>
        <w:t xml:space="preserve"> / Judgment:  </w:t>
      </w:r>
      <w:r w:rsidR="00C67823" w:rsidRPr="003C39D1">
        <w:rPr>
          <w:rFonts w:cs="Times New Roman"/>
          <w:sz w:val="20"/>
          <w:szCs w:val="20"/>
          <w:lang w:val="en-US"/>
        </w:rPr>
        <w:t>May 1</w:t>
      </w:r>
      <w:r w:rsidRPr="003C39D1">
        <w:rPr>
          <w:rFonts w:cs="Times New Roman"/>
          <w:sz w:val="20"/>
          <w:szCs w:val="20"/>
          <w:lang w:val="en-US"/>
        </w:rPr>
        <w:t>, 2014</w:t>
      </w:r>
    </w:p>
    <w:p w:rsidR="0052229C" w:rsidRPr="003C39D1" w:rsidRDefault="0052229C" w:rsidP="0052229C">
      <w:pPr>
        <w:rPr>
          <w:rFonts w:cs="Times New Roman"/>
          <w:sz w:val="20"/>
          <w:szCs w:val="20"/>
          <w:lang w:val="fr-CA"/>
        </w:rPr>
      </w:pPr>
      <w:r w:rsidRPr="003C39D1">
        <w:rPr>
          <w:rFonts w:cs="Times New Roman"/>
          <w:sz w:val="20"/>
          <w:szCs w:val="20"/>
          <w:lang w:val="fr-CA"/>
        </w:rPr>
        <w:t xml:space="preserve">Audition : Le </w:t>
      </w:r>
      <w:r w:rsidR="0090344D" w:rsidRPr="003C39D1">
        <w:rPr>
          <w:rFonts w:cs="Times New Roman"/>
          <w:sz w:val="20"/>
          <w:szCs w:val="20"/>
          <w:lang w:val="fr-CA"/>
        </w:rPr>
        <w:t>13</w:t>
      </w:r>
      <w:r w:rsidRPr="003C39D1">
        <w:rPr>
          <w:rFonts w:cs="Times New Roman"/>
          <w:sz w:val="20"/>
          <w:szCs w:val="20"/>
          <w:lang w:val="fr-CA"/>
        </w:rPr>
        <w:t xml:space="preserve"> </w:t>
      </w:r>
      <w:r w:rsidR="0090344D" w:rsidRPr="003C39D1">
        <w:rPr>
          <w:rFonts w:cs="Times New Roman"/>
          <w:sz w:val="20"/>
          <w:szCs w:val="20"/>
          <w:lang w:val="fr-CA"/>
        </w:rPr>
        <w:t xml:space="preserve">janvier </w:t>
      </w:r>
      <w:r w:rsidRPr="003C39D1">
        <w:rPr>
          <w:rFonts w:cs="Times New Roman"/>
          <w:sz w:val="20"/>
          <w:szCs w:val="20"/>
          <w:lang w:val="fr-CA"/>
        </w:rPr>
        <w:t>201</w:t>
      </w:r>
      <w:r w:rsidR="0090344D" w:rsidRPr="003C39D1">
        <w:rPr>
          <w:rFonts w:cs="Times New Roman"/>
          <w:sz w:val="20"/>
          <w:szCs w:val="20"/>
          <w:lang w:val="fr-CA"/>
        </w:rPr>
        <w:t>4</w:t>
      </w:r>
      <w:r w:rsidRPr="003C39D1">
        <w:rPr>
          <w:rFonts w:cs="Times New Roman"/>
          <w:sz w:val="20"/>
          <w:szCs w:val="20"/>
          <w:lang w:val="fr-CA"/>
        </w:rPr>
        <w:t xml:space="preserve"> / Jugement : Le 1</w:t>
      </w:r>
      <w:r w:rsidR="00C67823" w:rsidRPr="003C39D1">
        <w:rPr>
          <w:rFonts w:cs="Times New Roman"/>
          <w:sz w:val="20"/>
          <w:szCs w:val="20"/>
          <w:vertAlign w:val="superscript"/>
          <w:lang w:val="fr-CA"/>
        </w:rPr>
        <w:t>er</w:t>
      </w:r>
      <w:r w:rsidR="00C67823" w:rsidRPr="003C39D1">
        <w:rPr>
          <w:rFonts w:cs="Times New Roman"/>
          <w:sz w:val="20"/>
          <w:szCs w:val="20"/>
          <w:lang w:val="fr-CA"/>
        </w:rPr>
        <w:t xml:space="preserve"> mai</w:t>
      </w:r>
      <w:r w:rsidRPr="003C39D1">
        <w:rPr>
          <w:rFonts w:cs="Times New Roman"/>
          <w:sz w:val="20"/>
          <w:szCs w:val="20"/>
          <w:lang w:val="fr-CA"/>
        </w:rPr>
        <w:t xml:space="preserve"> 2014</w:t>
      </w:r>
    </w:p>
    <w:p w:rsidR="005C6840" w:rsidRPr="003B3977" w:rsidRDefault="000B3306" w:rsidP="005C6840">
      <w:pPr>
        <w:rPr>
          <w:rFonts w:cs="Times New Roman"/>
          <w:sz w:val="20"/>
          <w:szCs w:val="20"/>
          <w:lang w:val="fr-CA"/>
        </w:rPr>
      </w:pPr>
      <w:r>
        <w:rPr>
          <w:rFonts w:cs="Times New Roman"/>
          <w:i/>
          <w:sz w:val="20"/>
          <w:szCs w:val="20"/>
        </w:rPr>
        <w:pict>
          <v:rect id="_x0000_i108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Présents : L</w:t>
      </w:r>
      <w:r w:rsidR="003C39D1" w:rsidRPr="003C39D1">
        <w:rPr>
          <w:sz w:val="20"/>
          <w:szCs w:val="20"/>
          <w:lang w:val="fr-CA"/>
        </w:rPr>
        <w:t>a juge en chef McLachlin et les juges Abella, Cromwell, Moldaver et Karakatsanis</w:t>
      </w:r>
      <w:r w:rsidRPr="006919A1">
        <w:rPr>
          <w:sz w:val="20"/>
          <w:szCs w:val="20"/>
          <w:lang w:val="fr-CA"/>
        </w:rPr>
        <w:t>.</w:t>
      </w:r>
    </w:p>
    <w:p w:rsidR="0052229C" w:rsidRPr="003C39D1" w:rsidRDefault="0052229C" w:rsidP="003C39D1">
      <w:pPr>
        <w:jc w:val="both"/>
        <w:rPr>
          <w:smallCaps/>
          <w:sz w:val="20"/>
          <w:szCs w:val="20"/>
          <w:lang w:val="fr-CA"/>
        </w:rPr>
      </w:pPr>
    </w:p>
    <w:p w:rsidR="003C39D1" w:rsidRDefault="003C39D1" w:rsidP="000A781C">
      <w:pPr>
        <w:jc w:val="both"/>
        <w:rPr>
          <w:rFonts w:eastAsia="Times New Roman" w:cs="Times New Roman"/>
          <w:i/>
          <w:sz w:val="20"/>
          <w:szCs w:val="20"/>
          <w:lang w:val="fr-CA" w:eastAsia="en-CA"/>
        </w:rPr>
      </w:pPr>
      <w:r w:rsidRPr="003C39D1">
        <w:rPr>
          <w:rFonts w:eastAsia="Times New Roman" w:cs="Times New Roman"/>
          <w:sz w:val="20"/>
          <w:szCs w:val="20"/>
          <w:lang w:val="fr-CA" w:eastAsia="en-CA"/>
        </w:rPr>
        <w:tab/>
      </w:r>
      <w:r w:rsidRPr="003C39D1">
        <w:rPr>
          <w:rFonts w:eastAsia="Times New Roman" w:cs="Times New Roman"/>
          <w:i/>
          <w:sz w:val="20"/>
          <w:szCs w:val="20"/>
          <w:lang w:val="fr-CA" w:eastAsia="en-CA"/>
        </w:rPr>
        <w:t>Droit de l’emploi — Santé et sécurité au travail — Lieu de travail dangereux — Contrat de travail — Une enseignante suppléante enceinte est</w:t>
      </w:r>
      <w:r w:rsidRPr="003C39D1">
        <w:rPr>
          <w:rFonts w:eastAsia="Times New Roman" w:cs="Times New Roman"/>
          <w:i/>
          <w:sz w:val="20"/>
          <w:szCs w:val="20"/>
          <w:lang w:val="fr-CA" w:eastAsia="en-CA"/>
        </w:rPr>
        <w:noBreakHyphen/>
        <w:t>elle un « travailleur » admissible au programme de retrait préventif et à l’indemnité de remplacement du revenu en vertu de la législation provinciale applicable? — Le refus d’effectuer des tâches dans un lieu de travail dangereux empêche</w:t>
      </w:r>
      <w:r w:rsidRPr="003C39D1">
        <w:rPr>
          <w:rFonts w:eastAsia="Times New Roman" w:cs="Times New Roman"/>
          <w:i/>
          <w:sz w:val="20"/>
          <w:szCs w:val="20"/>
          <w:lang w:val="fr-CA" w:eastAsia="en-CA"/>
        </w:rPr>
        <w:noBreakHyphen/>
        <w:t>t</w:t>
      </w:r>
      <w:r w:rsidRPr="003C39D1">
        <w:rPr>
          <w:rFonts w:eastAsia="Times New Roman" w:cs="Times New Roman"/>
          <w:i/>
          <w:sz w:val="20"/>
          <w:szCs w:val="20"/>
          <w:lang w:val="fr-CA" w:eastAsia="en-CA"/>
        </w:rPr>
        <w:noBreakHyphen/>
        <w:t>il la formation d’un contrat de travail? — Loi sur la santé et la sécurité du travail, RLRQ, ch. S</w:t>
      </w:r>
      <w:r w:rsidRPr="003C39D1">
        <w:rPr>
          <w:rFonts w:eastAsia="Times New Roman" w:cs="Times New Roman"/>
          <w:i/>
          <w:sz w:val="20"/>
          <w:szCs w:val="20"/>
          <w:lang w:val="fr-CA" w:eastAsia="en-CA"/>
        </w:rPr>
        <w:noBreakHyphen/>
        <w:t>2.1, art. 1 « travailleur », 2, 4, 11, 12, 14, 30, 40, 41 — Code civil du Québec, art. 2085.</w:t>
      </w:r>
    </w:p>
    <w:p w:rsidR="003C39D1" w:rsidRPr="003C39D1" w:rsidRDefault="003C39D1" w:rsidP="000A781C">
      <w:pPr>
        <w:jc w:val="both"/>
        <w:rPr>
          <w:rFonts w:eastAsia="Times New Roman" w:cs="Times New Roman"/>
          <w:i/>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t xml:space="preserve">La </w:t>
      </w:r>
      <w:r w:rsidRPr="003C39D1">
        <w:rPr>
          <w:rFonts w:eastAsia="Times New Roman" w:cs="Times New Roman"/>
          <w:i/>
          <w:sz w:val="20"/>
          <w:szCs w:val="20"/>
          <w:lang w:val="fr-CA" w:eastAsia="en-CA"/>
        </w:rPr>
        <w:t>Loi sur la santé et la sécurité du travail</w:t>
      </w:r>
      <w:r w:rsidRPr="003C39D1">
        <w:rPr>
          <w:rFonts w:eastAsia="Times New Roman" w:cs="Times New Roman"/>
          <w:sz w:val="20"/>
          <w:szCs w:val="20"/>
          <w:lang w:val="fr-CA" w:eastAsia="en-CA"/>
        </w:rPr>
        <w:t xml:space="preserve"> du Québec crée un régime conçu pour assurer la sécurité financière des travailleurs qui doivent se retirer temporairement de l’effectif pour éviter un travail dangereux.  Elle énonce des mesures de protection particulières en matière de santé et de sécurité qui permettent aux femmes enceintes de refuser d’effectuer des tâches dans des conditions qui mettraient en danger leur santé ou leur sécurité ou celles de leur enfant à naître, et d’être affectées à d’autres tâches pour éviter ces risques.  Si cette réaffectation est impossible, elles ont droit à un retrait préventif au cours duquel elles cessent de travailler et reçoivent des indemnités de remplacement du revenu pendant leur grossesse.  </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t>D, une enseignante suppléante enceinte, a appris de son médecin qu’elle était vulnérable à des virus contagieux qui peuvent causer du tort au fœtus.  Parce que ces virus peuvent se propager par des groupes d’enfants, la salle de classe posait un risque.  La commission scolaire lui a présenté une offre de suppléance pour la journée, ce qu’elle a accepté.  En raison du risque pour la santé que posait le lieu de travail, la Commission de la santé et de la sécurité du travail a informé D qu’elle avait droit à une réaffectation ou à un retrait préventif.  La commission scolaire a interjeté appel à la Commission des lésions professionnelles</w:t>
      </w:r>
      <w:r w:rsidRPr="003C39D1">
        <w:rPr>
          <w:rFonts w:eastAsia="Times New Roman" w:cs="Times New Roman"/>
          <w:i/>
          <w:sz w:val="20"/>
          <w:szCs w:val="20"/>
          <w:lang w:val="fr-CA" w:eastAsia="en-CA"/>
        </w:rPr>
        <w:t xml:space="preserve"> </w:t>
      </w:r>
      <w:r w:rsidRPr="003C39D1">
        <w:rPr>
          <w:rFonts w:eastAsia="Times New Roman" w:cs="Times New Roman"/>
          <w:sz w:val="20"/>
          <w:szCs w:val="20"/>
          <w:lang w:val="fr-CA" w:eastAsia="en-CA"/>
        </w:rPr>
        <w:t xml:space="preserve">(« CLP ») qui a conclu que D n’était pas admissible au retrait préventif parce qu’elle ne pouvait entrer dans la salle de classe.  D échappait en conséquence à l’application de la protection de la </w:t>
      </w:r>
      <w:r w:rsidRPr="003C39D1">
        <w:rPr>
          <w:rFonts w:eastAsia="Times New Roman" w:cs="Times New Roman"/>
          <w:i/>
          <w:sz w:val="20"/>
          <w:szCs w:val="20"/>
          <w:lang w:val="fr-CA" w:eastAsia="en-CA"/>
        </w:rPr>
        <w:t>Loi</w:t>
      </w:r>
      <w:r w:rsidRPr="003C39D1">
        <w:rPr>
          <w:rFonts w:eastAsia="Times New Roman" w:cs="Times New Roman"/>
          <w:sz w:val="20"/>
          <w:szCs w:val="20"/>
          <w:lang w:val="fr-CA" w:eastAsia="en-CA"/>
        </w:rPr>
        <w:t>.  À l’issue d’une révision judiciaire, la Cour supérieure a conclu que la décision de la CLP était raisonnable.  Les juges majoritaires de la Cour d’appel du Québec ont confirmé la décision de la Cour supérieure.</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r>
      <w:r w:rsidRPr="003C39D1">
        <w:rPr>
          <w:rFonts w:eastAsia="Times New Roman" w:cs="Times New Roman"/>
          <w:i/>
          <w:sz w:val="20"/>
          <w:szCs w:val="20"/>
          <w:lang w:val="fr-CA" w:eastAsia="en-CA"/>
        </w:rPr>
        <w:t>Arrêt</w:t>
      </w:r>
      <w:r w:rsidRPr="003C39D1">
        <w:rPr>
          <w:rFonts w:eastAsia="Times New Roman" w:cs="Times New Roman"/>
          <w:sz w:val="20"/>
          <w:szCs w:val="20"/>
          <w:lang w:val="fr-CA" w:eastAsia="en-CA"/>
        </w:rPr>
        <w:t> : Le pourvoi est accueilli.</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t xml:space="preserve">La </w:t>
      </w:r>
      <w:r w:rsidRPr="003C39D1">
        <w:rPr>
          <w:rFonts w:eastAsia="Times New Roman" w:cs="Times New Roman"/>
          <w:i/>
          <w:sz w:val="20"/>
          <w:szCs w:val="20"/>
          <w:lang w:val="fr-CA" w:eastAsia="en-CA"/>
        </w:rPr>
        <w:t xml:space="preserve">Loi sur la santé et la sécurité du travail </w:t>
      </w:r>
      <w:r w:rsidRPr="003C39D1">
        <w:rPr>
          <w:rFonts w:eastAsia="Times New Roman" w:cs="Times New Roman"/>
          <w:sz w:val="20"/>
          <w:szCs w:val="20"/>
          <w:lang w:val="fr-CA" w:eastAsia="en-CA"/>
        </w:rPr>
        <w:t>a pour objet d’assurer la santé et la sécurité des travailleurs en les protégeant contre les dangers sur le lieu de travail.  En vertu du régime législatif, lorsqu’un travailleur invoque le droit de refuser d’exécuter un travail dangereux, une nouvelle affectation ou un retrait temporaire du lieu de travail ne sont pas considérés comme une absence du travail mais sont réputés remplacer le travail normalement attendu de l’employé n’eût été le danger.  Un refus d’exécuter un travail dangereux n’est pas un refus d’exécuter le contrat de travail; c’est plutôt l’exercice d’un droit prévu par la loi.  Les travailleurs sont ainsi assurés de ne pas avoir à choisir entre la sécurité d’emploi et leur santé ou sécurité.</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t xml:space="preserve">À l’instar de tout autre travailleur qui a le droit de refuser d’exécuter un travail dangereux, une travailleuse enceinte est réputée, suivant la </w:t>
      </w:r>
      <w:r w:rsidRPr="003C39D1">
        <w:rPr>
          <w:rFonts w:eastAsia="Times New Roman" w:cs="Times New Roman"/>
          <w:i/>
          <w:sz w:val="20"/>
          <w:szCs w:val="20"/>
          <w:lang w:val="fr-CA" w:eastAsia="en-CA"/>
        </w:rPr>
        <w:t>Loi</w:t>
      </w:r>
      <w:r w:rsidRPr="003C39D1">
        <w:rPr>
          <w:rFonts w:eastAsia="Times New Roman" w:cs="Times New Roman"/>
          <w:sz w:val="20"/>
          <w:szCs w:val="20"/>
          <w:lang w:val="fr-CA" w:eastAsia="en-CA"/>
        </w:rPr>
        <w:t xml:space="preserve">, être encore « au travail » pendant sa réaffectation ou son retrait préventif.  La </w:t>
      </w:r>
      <w:r w:rsidRPr="003C39D1">
        <w:rPr>
          <w:rFonts w:eastAsia="Times New Roman" w:cs="Times New Roman"/>
          <w:i/>
          <w:sz w:val="20"/>
          <w:szCs w:val="20"/>
          <w:lang w:val="fr-CA" w:eastAsia="en-CA"/>
        </w:rPr>
        <w:t>Loi</w:t>
      </w:r>
      <w:r w:rsidRPr="003C39D1">
        <w:rPr>
          <w:rFonts w:eastAsia="Times New Roman" w:cs="Times New Roman"/>
          <w:sz w:val="20"/>
          <w:szCs w:val="20"/>
          <w:lang w:val="fr-CA" w:eastAsia="en-CA"/>
        </w:rPr>
        <w:t xml:space="preserve"> protège donc les femmes enceintes de deux façons importantes : elle protège leur santé en remplaçant des tâches dangereuses par des tâches sécuritaires, et elle protège leur emploi en leur assurant la sécurité financière et la sécurité d’emploi.  Pour contrer les hypothèses discriminatoires qui avaient attribué aux femmes enceintes une incapacité de travailler, le régime protège non seulement leur droit de travailler, mais aussi leur droit de travailler dans un milieu sécuritaire, en présumant qu’elles sont disponibles pour travailler tout autant que le sont les travailleuses non enceintes.</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lastRenderedPageBreak/>
        <w:tab/>
        <w:t xml:space="preserve">Un contrat a été formé lorsque D a accepté l’offre de suppléance de la commission scolaire et elle est donc devenue un « travailleur » conformément à la définition prévue à la </w:t>
      </w:r>
      <w:r w:rsidRPr="003C39D1">
        <w:rPr>
          <w:rFonts w:eastAsia="Times New Roman" w:cs="Times New Roman"/>
          <w:i/>
          <w:sz w:val="20"/>
          <w:szCs w:val="20"/>
          <w:lang w:val="fr-CA" w:eastAsia="en-CA"/>
        </w:rPr>
        <w:t>Loi</w:t>
      </w:r>
      <w:r w:rsidRPr="003C39D1">
        <w:rPr>
          <w:rFonts w:eastAsia="Times New Roman" w:cs="Times New Roman"/>
          <w:sz w:val="20"/>
          <w:szCs w:val="20"/>
          <w:lang w:val="fr-CA" w:eastAsia="en-CA"/>
        </w:rPr>
        <w:t xml:space="preserve">.  Le droit que la loi confère à une travailleuse enceinte de se retirer d’un lieu de travail dangereux ne permet pas de conclure que son retrait préventif fait obstacle à la formation du contrat de travail.  La grossesse de D n’était pas une incapacité qui l’empêchait d’exécuter son travail; c’était plutôt le lieu de travail dangereux qui l’en empêchait.  C’est ce qui a rendu applicable son droit légal à la réaffectation ou au retrait préventif.  Ce n’est pas la grossesse qui empêche la prestation de travail mais l’incapacité de l’employeur de fournir un travail de substitution sans danger.  Toute autre conclusion fait échec aux objectifs de la </w:t>
      </w:r>
      <w:r w:rsidRPr="003C39D1">
        <w:rPr>
          <w:rFonts w:eastAsia="Times New Roman" w:cs="Times New Roman"/>
          <w:i/>
          <w:sz w:val="20"/>
          <w:szCs w:val="20"/>
          <w:lang w:val="fr-CA" w:eastAsia="en-CA"/>
        </w:rPr>
        <w:t>Loi</w:t>
      </w:r>
      <w:r w:rsidRPr="003C39D1">
        <w:rPr>
          <w:rFonts w:eastAsia="Times New Roman" w:cs="Times New Roman"/>
          <w:sz w:val="20"/>
          <w:szCs w:val="20"/>
          <w:lang w:val="fr-CA" w:eastAsia="en-CA"/>
        </w:rPr>
        <w:t xml:space="preserve"> et pénalise les femmes enceintes qui font précisément ce que prescrit le régime législatif, c’est</w:t>
      </w:r>
      <w:r w:rsidRPr="003C39D1">
        <w:rPr>
          <w:rFonts w:eastAsia="Times New Roman" w:cs="Times New Roman"/>
          <w:sz w:val="20"/>
          <w:szCs w:val="20"/>
          <w:lang w:val="fr-CA" w:eastAsia="en-CA"/>
        </w:rPr>
        <w:noBreakHyphen/>
        <w:t>à</w:t>
      </w:r>
      <w:r w:rsidRPr="003C39D1">
        <w:rPr>
          <w:rFonts w:eastAsia="Times New Roman" w:cs="Times New Roman"/>
          <w:sz w:val="20"/>
          <w:szCs w:val="20"/>
          <w:lang w:val="fr-CA" w:eastAsia="en-CA"/>
        </w:rPr>
        <w:noBreakHyphen/>
        <w:t>dire éviter les risques pour la santé au lieu de travail pendant la grossesse.</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sz w:val="20"/>
          <w:szCs w:val="20"/>
          <w:lang w:val="fr-CA" w:eastAsia="en-CA"/>
        </w:rPr>
        <w:tab/>
        <w:t>POURVOI contre un arrêt de la Cour d’appel du Québec (les juges Dalphond, Giroux et Wagner), 2012 QCCA 609, SOQUIJ AZ</w:t>
      </w:r>
      <w:r w:rsidRPr="003C39D1">
        <w:rPr>
          <w:rFonts w:eastAsia="Times New Roman" w:cs="Times New Roman"/>
          <w:sz w:val="20"/>
          <w:szCs w:val="20"/>
          <w:lang w:val="fr-CA" w:eastAsia="en-CA"/>
        </w:rPr>
        <w:noBreakHyphen/>
        <w:t>50844625, [2012] J.Q. n</w:t>
      </w:r>
      <w:r w:rsidRPr="003C39D1">
        <w:rPr>
          <w:rFonts w:eastAsia="Times New Roman" w:cs="Times New Roman"/>
          <w:sz w:val="20"/>
          <w:szCs w:val="20"/>
          <w:vertAlign w:val="superscript"/>
          <w:lang w:val="fr-CA" w:eastAsia="en-CA"/>
        </w:rPr>
        <w:t>o</w:t>
      </w:r>
      <w:r w:rsidRPr="003C39D1">
        <w:rPr>
          <w:rFonts w:eastAsia="Times New Roman" w:cs="Times New Roman"/>
          <w:sz w:val="20"/>
          <w:szCs w:val="20"/>
          <w:lang w:val="fr-CA" w:eastAsia="en-CA"/>
        </w:rPr>
        <w:t xml:space="preserve"> 2984 (QL), 2012 CarswellQue 3214, qui a confirmé une décision du juge Crête, 2010 QCCS 1550, [2010] C.L.P. 251, SOQUIJ AZ</w:t>
      </w:r>
      <w:r w:rsidRPr="003C39D1">
        <w:rPr>
          <w:rFonts w:eastAsia="Times New Roman" w:cs="Times New Roman"/>
          <w:sz w:val="20"/>
          <w:szCs w:val="20"/>
          <w:lang w:val="fr-CA" w:eastAsia="en-CA"/>
        </w:rPr>
        <w:noBreakHyphen/>
        <w:t>50628222, [2010] J.Q. n</w:t>
      </w:r>
      <w:r w:rsidRPr="003C39D1">
        <w:rPr>
          <w:rFonts w:eastAsia="Times New Roman" w:cs="Times New Roman"/>
          <w:sz w:val="20"/>
          <w:szCs w:val="20"/>
          <w:vertAlign w:val="superscript"/>
          <w:lang w:val="fr-CA" w:eastAsia="en-CA"/>
        </w:rPr>
        <w:t>o</w:t>
      </w:r>
      <w:r w:rsidRPr="003C39D1">
        <w:rPr>
          <w:rFonts w:eastAsia="Times New Roman" w:cs="Times New Roman"/>
          <w:sz w:val="20"/>
          <w:szCs w:val="20"/>
          <w:lang w:val="fr-CA" w:eastAsia="en-CA"/>
        </w:rPr>
        <w:t xml:space="preserve"> 3332 (QL), 2010 CarswellQue 3470, qui avait rejeté une requête en révision judiciaire d’une décision de la Commission des lésions professionnelles, 2008 QCCLP 3215, SOQUIJ AZ</w:t>
      </w:r>
      <w:r w:rsidRPr="003C39D1">
        <w:rPr>
          <w:rFonts w:eastAsia="Times New Roman" w:cs="Times New Roman"/>
          <w:sz w:val="20"/>
          <w:szCs w:val="20"/>
          <w:lang w:val="fr-CA" w:eastAsia="en-CA"/>
        </w:rPr>
        <w:noBreakHyphen/>
        <w:t>50496029, 2008 LNQCCLP 141 (QL).  Pourvoi accueilli.</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i/>
          <w:sz w:val="20"/>
          <w:szCs w:val="20"/>
          <w:lang w:val="fr-CA" w:eastAsia="en-CA"/>
        </w:rPr>
        <w:tab/>
        <w:t>Denis Lavoie</w:t>
      </w:r>
      <w:r w:rsidRPr="003C39D1">
        <w:rPr>
          <w:rFonts w:eastAsia="Times New Roman" w:cs="Times New Roman"/>
          <w:sz w:val="20"/>
          <w:szCs w:val="20"/>
          <w:lang w:val="fr-CA" w:eastAsia="en-CA"/>
        </w:rPr>
        <w:t xml:space="preserve">, </w:t>
      </w:r>
      <w:r w:rsidRPr="003C39D1">
        <w:rPr>
          <w:rFonts w:eastAsia="Times New Roman" w:cs="Times New Roman"/>
          <w:i/>
          <w:sz w:val="20"/>
          <w:szCs w:val="20"/>
          <w:lang w:val="fr-CA" w:eastAsia="en-CA"/>
        </w:rPr>
        <w:t>Graciela Barrère</w:t>
      </w:r>
      <w:r w:rsidRPr="003C39D1">
        <w:rPr>
          <w:rFonts w:eastAsia="Times New Roman" w:cs="Times New Roman"/>
          <w:sz w:val="20"/>
          <w:szCs w:val="20"/>
          <w:lang w:val="fr-CA" w:eastAsia="en-CA"/>
        </w:rPr>
        <w:t xml:space="preserve">, </w:t>
      </w:r>
      <w:r w:rsidRPr="003C39D1">
        <w:rPr>
          <w:rFonts w:eastAsia="Times New Roman" w:cs="Times New Roman"/>
          <w:i/>
          <w:sz w:val="20"/>
          <w:szCs w:val="20"/>
          <w:lang w:val="fr-CA" w:eastAsia="en-CA"/>
        </w:rPr>
        <w:t>Pierre Brun</w:t>
      </w:r>
      <w:r w:rsidRPr="003C39D1">
        <w:rPr>
          <w:rFonts w:eastAsia="Times New Roman" w:cs="Times New Roman"/>
          <w:sz w:val="20"/>
          <w:szCs w:val="20"/>
          <w:lang w:val="fr-CA" w:eastAsia="en-CA"/>
        </w:rPr>
        <w:t xml:space="preserve"> et </w:t>
      </w:r>
      <w:r w:rsidRPr="003C39D1">
        <w:rPr>
          <w:rFonts w:eastAsia="Times New Roman" w:cs="Times New Roman"/>
          <w:i/>
          <w:sz w:val="20"/>
          <w:szCs w:val="20"/>
          <w:lang w:val="fr-CA" w:eastAsia="en-CA"/>
        </w:rPr>
        <w:t>Isabelle Bolla</w:t>
      </w:r>
      <w:r w:rsidRPr="003C39D1">
        <w:rPr>
          <w:rFonts w:eastAsia="Times New Roman" w:cs="Times New Roman"/>
          <w:sz w:val="20"/>
          <w:szCs w:val="20"/>
          <w:lang w:val="fr-CA" w:eastAsia="en-CA"/>
        </w:rPr>
        <w:t>, pour l’appelante.</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i/>
          <w:sz w:val="20"/>
          <w:szCs w:val="20"/>
          <w:lang w:val="fr-CA" w:eastAsia="en-CA"/>
        </w:rPr>
        <w:tab/>
        <w:t>Yann Bernard</w:t>
      </w:r>
      <w:r w:rsidRPr="003C39D1">
        <w:rPr>
          <w:rFonts w:eastAsia="Times New Roman" w:cs="Times New Roman"/>
          <w:sz w:val="20"/>
          <w:szCs w:val="20"/>
          <w:lang w:val="fr-CA" w:eastAsia="en-CA"/>
        </w:rPr>
        <w:t xml:space="preserve">, </w:t>
      </w:r>
      <w:r w:rsidRPr="003C39D1">
        <w:rPr>
          <w:rFonts w:eastAsia="Times New Roman" w:cs="Times New Roman"/>
          <w:i/>
          <w:sz w:val="20"/>
          <w:szCs w:val="20"/>
          <w:lang w:val="fr-CA" w:eastAsia="en-CA"/>
        </w:rPr>
        <w:t xml:space="preserve">Paule Veilleux </w:t>
      </w:r>
      <w:r w:rsidRPr="003C39D1">
        <w:rPr>
          <w:rFonts w:eastAsia="Times New Roman" w:cs="Times New Roman"/>
          <w:sz w:val="20"/>
          <w:szCs w:val="20"/>
          <w:lang w:val="fr-CA" w:eastAsia="en-CA"/>
        </w:rPr>
        <w:t>et</w:t>
      </w:r>
      <w:r w:rsidRPr="003C39D1">
        <w:rPr>
          <w:rFonts w:eastAsia="Times New Roman" w:cs="Times New Roman"/>
          <w:i/>
          <w:sz w:val="20"/>
          <w:szCs w:val="20"/>
          <w:lang w:val="fr-CA" w:eastAsia="en-CA"/>
        </w:rPr>
        <w:t xml:space="preserve"> René Paquette</w:t>
      </w:r>
      <w:r w:rsidRPr="003C39D1">
        <w:rPr>
          <w:rFonts w:eastAsia="Times New Roman" w:cs="Times New Roman"/>
          <w:sz w:val="20"/>
          <w:szCs w:val="20"/>
          <w:lang w:val="fr-CA" w:eastAsia="en-CA"/>
        </w:rPr>
        <w:t xml:space="preserve">, pour l’intimée la Commission scolaire des Patriotes. </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i/>
          <w:sz w:val="20"/>
          <w:szCs w:val="20"/>
          <w:lang w:val="fr-CA" w:eastAsia="en-CA"/>
        </w:rPr>
        <w:tab/>
        <w:t>Marie</w:t>
      </w:r>
      <w:r w:rsidRPr="003C39D1">
        <w:rPr>
          <w:rFonts w:eastAsia="Times New Roman" w:cs="Times New Roman"/>
          <w:i/>
          <w:sz w:val="20"/>
          <w:szCs w:val="20"/>
          <w:lang w:val="fr-CA" w:eastAsia="en-CA"/>
        </w:rPr>
        <w:noBreakHyphen/>
        <w:t>France Bernier</w:t>
      </w:r>
      <w:r w:rsidRPr="003C39D1">
        <w:rPr>
          <w:rFonts w:eastAsia="Times New Roman" w:cs="Times New Roman"/>
          <w:sz w:val="20"/>
          <w:szCs w:val="20"/>
          <w:lang w:val="fr-CA" w:eastAsia="en-CA"/>
        </w:rPr>
        <w:t>, pour l’intimée la Commission des lésions professionnelles.</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i/>
          <w:sz w:val="20"/>
          <w:szCs w:val="20"/>
          <w:lang w:val="fr-CA" w:eastAsia="en-CA"/>
        </w:rPr>
        <w:tab/>
        <w:t>Pierre</w:t>
      </w:r>
      <w:r w:rsidRPr="003C39D1">
        <w:rPr>
          <w:rFonts w:eastAsia="Times New Roman" w:cs="Times New Roman"/>
          <w:i/>
          <w:sz w:val="20"/>
          <w:szCs w:val="20"/>
          <w:lang w:val="fr-CA" w:eastAsia="en-CA"/>
        </w:rPr>
        <w:noBreakHyphen/>
        <w:t>Michel Lajeunesse</w:t>
      </w:r>
      <w:r w:rsidRPr="003C39D1">
        <w:rPr>
          <w:rFonts w:eastAsia="Times New Roman" w:cs="Times New Roman"/>
          <w:sz w:val="20"/>
          <w:szCs w:val="20"/>
          <w:lang w:val="fr-CA" w:eastAsia="en-CA"/>
        </w:rPr>
        <w:t xml:space="preserve"> et </w:t>
      </w:r>
      <w:r w:rsidRPr="003C39D1">
        <w:rPr>
          <w:rFonts w:eastAsia="Times New Roman" w:cs="Times New Roman"/>
          <w:i/>
          <w:sz w:val="20"/>
          <w:szCs w:val="20"/>
          <w:lang w:val="fr-CA" w:eastAsia="en-CA"/>
        </w:rPr>
        <w:t>Marie</w:t>
      </w:r>
      <w:r w:rsidRPr="003C39D1">
        <w:rPr>
          <w:rFonts w:eastAsia="Times New Roman" w:cs="Times New Roman"/>
          <w:i/>
          <w:sz w:val="20"/>
          <w:szCs w:val="20"/>
          <w:lang w:val="fr-CA" w:eastAsia="en-CA"/>
        </w:rPr>
        <w:noBreakHyphen/>
        <w:t>Anne Lecavalier</w:t>
      </w:r>
      <w:r w:rsidRPr="003C39D1">
        <w:rPr>
          <w:rFonts w:eastAsia="Times New Roman" w:cs="Times New Roman"/>
          <w:sz w:val="20"/>
          <w:szCs w:val="20"/>
          <w:lang w:val="fr-CA" w:eastAsia="en-CA"/>
        </w:rPr>
        <w:t>, pour l’intervenante la Commission de la santé et de la sécurité du travail.</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sz w:val="20"/>
          <w:szCs w:val="20"/>
          <w:lang w:val="fr-CA" w:eastAsia="en-CA"/>
        </w:rPr>
      </w:pPr>
      <w:r w:rsidRPr="003C39D1">
        <w:rPr>
          <w:rFonts w:eastAsia="Times New Roman" w:cs="Times New Roman"/>
          <w:i/>
          <w:sz w:val="20"/>
          <w:szCs w:val="20"/>
          <w:lang w:val="fr-CA" w:eastAsia="en-CA"/>
        </w:rPr>
        <w:tab/>
        <w:t>Claudine Morin</w:t>
      </w:r>
      <w:r w:rsidRPr="003C39D1">
        <w:rPr>
          <w:rFonts w:eastAsia="Times New Roman" w:cs="Times New Roman"/>
          <w:sz w:val="20"/>
          <w:szCs w:val="20"/>
          <w:lang w:val="fr-CA" w:eastAsia="en-CA"/>
        </w:rPr>
        <w:t xml:space="preserve"> et </w:t>
      </w:r>
      <w:r w:rsidRPr="003C39D1">
        <w:rPr>
          <w:rFonts w:eastAsia="Times New Roman" w:cs="Times New Roman"/>
          <w:i/>
          <w:sz w:val="20"/>
          <w:szCs w:val="20"/>
          <w:lang w:val="fr-CA" w:eastAsia="en-CA"/>
        </w:rPr>
        <w:t>Nathalie Léger</w:t>
      </w:r>
      <w:r w:rsidRPr="003C39D1">
        <w:rPr>
          <w:rFonts w:eastAsia="Times New Roman" w:cs="Times New Roman"/>
          <w:sz w:val="20"/>
          <w:szCs w:val="20"/>
          <w:lang w:val="fr-CA" w:eastAsia="en-CA"/>
        </w:rPr>
        <w:t>, pour l’intervenante la Fédération des syndicats de l’enseignement.</w:t>
      </w:r>
    </w:p>
    <w:p w:rsidR="003C39D1" w:rsidRPr="003C39D1" w:rsidRDefault="003C39D1" w:rsidP="000A781C">
      <w:pPr>
        <w:jc w:val="both"/>
        <w:rPr>
          <w:rFonts w:eastAsia="Times New Roman" w:cs="Times New Roman"/>
          <w:sz w:val="20"/>
          <w:szCs w:val="20"/>
          <w:lang w:val="fr-CA" w:eastAsia="en-CA"/>
        </w:rPr>
      </w:pPr>
    </w:p>
    <w:p w:rsidR="003C39D1" w:rsidRDefault="003C39D1" w:rsidP="000A781C">
      <w:pPr>
        <w:jc w:val="both"/>
        <w:rPr>
          <w:rFonts w:eastAsia="Times New Roman" w:cs="Times New Roman"/>
          <w:i/>
          <w:sz w:val="20"/>
          <w:szCs w:val="20"/>
          <w:lang w:val="fr-CA" w:eastAsia="en-CA"/>
        </w:rPr>
      </w:pPr>
      <w:r w:rsidRPr="003C39D1">
        <w:rPr>
          <w:rFonts w:eastAsia="Times New Roman" w:cs="Times New Roman"/>
          <w:i/>
          <w:sz w:val="20"/>
          <w:szCs w:val="20"/>
          <w:lang w:val="fr-CA" w:eastAsia="en-CA"/>
        </w:rPr>
        <w:tab/>
        <w:t>Procureurs de l’appelante : Melançon Marceau Grenier et Sciortino, Montréal.</w:t>
      </w:r>
    </w:p>
    <w:p w:rsidR="003C39D1" w:rsidRPr="003C39D1" w:rsidRDefault="003C39D1" w:rsidP="000A781C">
      <w:pPr>
        <w:jc w:val="both"/>
        <w:rPr>
          <w:rFonts w:eastAsia="Times New Roman" w:cs="Times New Roman"/>
          <w:i/>
          <w:sz w:val="20"/>
          <w:szCs w:val="20"/>
          <w:lang w:val="fr-CA" w:eastAsia="en-CA"/>
        </w:rPr>
      </w:pPr>
    </w:p>
    <w:p w:rsidR="003C39D1" w:rsidRDefault="003C39D1" w:rsidP="000A781C">
      <w:pPr>
        <w:jc w:val="both"/>
        <w:rPr>
          <w:rFonts w:eastAsia="Times New Roman" w:cs="Times New Roman"/>
          <w:i/>
          <w:sz w:val="20"/>
          <w:szCs w:val="20"/>
          <w:lang w:val="fr-CA" w:eastAsia="en-CA"/>
        </w:rPr>
      </w:pPr>
      <w:r w:rsidRPr="003C39D1">
        <w:rPr>
          <w:rFonts w:eastAsia="Times New Roman" w:cs="Times New Roman"/>
          <w:i/>
          <w:sz w:val="20"/>
          <w:szCs w:val="20"/>
          <w:lang w:val="fr-CA" w:eastAsia="en-CA"/>
        </w:rPr>
        <w:tab/>
        <w:t>Procureurs de l’intimée la Commission scolaire des Patriotes : Langlois Kronström Desjardins, Montréal.</w:t>
      </w:r>
    </w:p>
    <w:p w:rsidR="003C39D1" w:rsidRPr="003C39D1" w:rsidRDefault="003C39D1" w:rsidP="000A781C">
      <w:pPr>
        <w:jc w:val="both"/>
        <w:rPr>
          <w:rFonts w:eastAsia="Times New Roman" w:cs="Times New Roman"/>
          <w:i/>
          <w:sz w:val="20"/>
          <w:szCs w:val="20"/>
          <w:lang w:val="fr-CA" w:eastAsia="en-CA"/>
        </w:rPr>
      </w:pPr>
    </w:p>
    <w:p w:rsidR="003C39D1" w:rsidRDefault="003C39D1" w:rsidP="000A781C">
      <w:pPr>
        <w:jc w:val="both"/>
        <w:rPr>
          <w:rFonts w:eastAsia="Times New Roman" w:cs="Times New Roman"/>
          <w:i/>
          <w:sz w:val="20"/>
          <w:szCs w:val="20"/>
          <w:lang w:val="fr-CA" w:eastAsia="en-CA"/>
        </w:rPr>
      </w:pPr>
      <w:r w:rsidRPr="003C39D1">
        <w:rPr>
          <w:rFonts w:eastAsia="Times New Roman" w:cs="Times New Roman"/>
          <w:i/>
          <w:sz w:val="20"/>
          <w:szCs w:val="20"/>
          <w:lang w:val="fr-CA" w:eastAsia="en-CA"/>
        </w:rPr>
        <w:tab/>
        <w:t>Procureurs de l’intimée la Commission des lésions professionnelles : Verge Bernier, Québec.</w:t>
      </w:r>
    </w:p>
    <w:p w:rsidR="003C39D1" w:rsidRPr="003C39D1" w:rsidRDefault="003C39D1" w:rsidP="000A781C">
      <w:pPr>
        <w:jc w:val="both"/>
        <w:rPr>
          <w:rFonts w:eastAsia="Times New Roman" w:cs="Times New Roman"/>
          <w:i/>
          <w:sz w:val="20"/>
          <w:szCs w:val="20"/>
          <w:lang w:val="fr-CA" w:eastAsia="en-CA"/>
        </w:rPr>
      </w:pPr>
    </w:p>
    <w:p w:rsidR="003C39D1" w:rsidRDefault="003C39D1" w:rsidP="000A781C">
      <w:pPr>
        <w:jc w:val="both"/>
        <w:rPr>
          <w:rFonts w:eastAsia="Times New Roman" w:cs="Times New Roman"/>
          <w:i/>
          <w:sz w:val="20"/>
          <w:szCs w:val="20"/>
          <w:lang w:val="fr-CA" w:eastAsia="en-CA"/>
        </w:rPr>
      </w:pPr>
      <w:r w:rsidRPr="003C39D1">
        <w:rPr>
          <w:rFonts w:eastAsia="Times New Roman" w:cs="Times New Roman"/>
          <w:i/>
          <w:sz w:val="20"/>
          <w:szCs w:val="20"/>
          <w:lang w:val="fr-CA" w:eastAsia="en-CA"/>
        </w:rPr>
        <w:tab/>
        <w:t>Procureurs de l’intervenante la Commission de la santé et de la sécurité du travail : Vigneault Thibodeau Bergeron, Québec et Montréal.</w:t>
      </w:r>
    </w:p>
    <w:p w:rsidR="003C39D1" w:rsidRPr="003C39D1" w:rsidRDefault="003C39D1" w:rsidP="000A781C">
      <w:pPr>
        <w:jc w:val="both"/>
        <w:rPr>
          <w:rFonts w:eastAsia="Times New Roman" w:cs="Times New Roman"/>
          <w:i/>
          <w:sz w:val="20"/>
          <w:szCs w:val="20"/>
          <w:lang w:val="fr-CA" w:eastAsia="en-CA"/>
        </w:rPr>
      </w:pPr>
    </w:p>
    <w:p w:rsidR="003C39D1" w:rsidRPr="003C39D1" w:rsidRDefault="003C39D1" w:rsidP="000A781C">
      <w:pPr>
        <w:jc w:val="both"/>
        <w:rPr>
          <w:i/>
          <w:smallCaps/>
          <w:sz w:val="20"/>
          <w:szCs w:val="20"/>
          <w:lang w:val="fr-CA"/>
        </w:rPr>
      </w:pPr>
      <w:r w:rsidRPr="003C39D1">
        <w:rPr>
          <w:rFonts w:eastAsia="Times New Roman" w:cs="Times New Roman"/>
          <w:sz w:val="20"/>
          <w:szCs w:val="20"/>
          <w:lang w:val="fr-CA" w:eastAsia="en-CA"/>
        </w:rPr>
        <w:tab/>
      </w:r>
      <w:r w:rsidRPr="003C39D1">
        <w:rPr>
          <w:rFonts w:eastAsia="Times New Roman" w:cs="Times New Roman"/>
          <w:i/>
          <w:sz w:val="20"/>
          <w:szCs w:val="20"/>
          <w:lang w:val="fr-CA" w:eastAsia="en-CA"/>
        </w:rPr>
        <w:t>Procureurs de l’intervenante la Fédération des syndicats de l’enseignement : Barabé Casavant, Montréal.</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52229C" w:rsidRPr="005A1E5C" w:rsidRDefault="0052229C" w:rsidP="0052229C">
      <w:pPr>
        <w:jc w:val="both"/>
        <w:rPr>
          <w:sz w:val="20"/>
          <w:szCs w:val="20"/>
        </w:rPr>
      </w:pPr>
      <w:r w:rsidRPr="005A1E5C">
        <w:rPr>
          <w:sz w:val="20"/>
          <w:szCs w:val="20"/>
        </w:rPr>
        <w:t xml:space="preserve">Present:  </w:t>
      </w:r>
      <w:r w:rsidR="003C39D1" w:rsidRPr="003C39D1">
        <w:rPr>
          <w:sz w:val="20"/>
          <w:szCs w:val="20"/>
        </w:rPr>
        <w:t>McLachlin C.J. and Abella, Cromwell, Moldaver and Karakatsanis JJ.</w:t>
      </w:r>
    </w:p>
    <w:p w:rsidR="0052229C" w:rsidRPr="00303378" w:rsidRDefault="0052229C" w:rsidP="00303378">
      <w:pPr>
        <w:pStyle w:val="SCCLowerCourtNameLowercase"/>
        <w:spacing w:line="240" w:lineRule="auto"/>
        <w:rPr>
          <w:sz w:val="20"/>
        </w:rPr>
      </w:pPr>
    </w:p>
    <w:p w:rsidR="003C39D1" w:rsidRDefault="003C39D1" w:rsidP="000A781C">
      <w:pPr>
        <w:jc w:val="both"/>
        <w:rPr>
          <w:rFonts w:eastAsia="Times New Roman" w:cs="Times New Roman"/>
          <w:i/>
          <w:sz w:val="20"/>
          <w:szCs w:val="20"/>
          <w:lang w:val="en-US" w:eastAsia="en-CA"/>
        </w:rPr>
      </w:pPr>
      <w:r w:rsidRPr="00303378">
        <w:rPr>
          <w:rFonts w:eastAsia="Times New Roman" w:cs="Times New Roman"/>
          <w:sz w:val="20"/>
          <w:szCs w:val="20"/>
          <w:lang w:eastAsia="en-CA"/>
        </w:rPr>
        <w:tab/>
      </w:r>
      <w:r w:rsidRPr="00303378">
        <w:rPr>
          <w:rFonts w:eastAsia="Times New Roman" w:cs="Times New Roman"/>
          <w:i/>
          <w:sz w:val="20"/>
          <w:szCs w:val="20"/>
          <w:lang w:val="en-US" w:eastAsia="en-CA"/>
        </w:rPr>
        <w:t>Employment law — Occupational health and safety — Unsafe workplace — Contract of employment — Whether pregnant supply teacher qualifies as eligible “worker” for Preventive Withdrawal and earnings</w:t>
      </w:r>
      <w:r w:rsidRPr="00303378">
        <w:rPr>
          <w:rFonts w:eastAsia="Times New Roman" w:cs="Times New Roman"/>
          <w:i/>
          <w:sz w:val="20"/>
          <w:szCs w:val="20"/>
          <w:lang w:val="en-US" w:eastAsia="en-CA"/>
        </w:rPr>
        <w:noBreakHyphen/>
        <w:t xml:space="preserve">replacement indemnity under applicable provincial legislation — Whether refusal to perform work in unsafe workplace precludes formation of contract of employment — </w:t>
      </w:r>
      <w:r w:rsidRPr="00303378">
        <w:rPr>
          <w:rFonts w:eastAsia="Times New Roman" w:cs="Times New Roman"/>
          <w:i/>
          <w:sz w:val="20"/>
          <w:szCs w:val="20"/>
          <w:lang w:eastAsia="en-CA"/>
        </w:rPr>
        <w:t>Act respecting occupational health and safety, CQLR, c. S</w:t>
      </w:r>
      <w:r w:rsidRPr="00303378">
        <w:rPr>
          <w:rFonts w:eastAsia="Times New Roman" w:cs="Times New Roman"/>
          <w:i/>
          <w:sz w:val="20"/>
          <w:szCs w:val="20"/>
          <w:lang w:eastAsia="en-CA"/>
        </w:rPr>
        <w:noBreakHyphen/>
        <w:t xml:space="preserve">2.1, ss. 1 “worker”, 2, 4, 11, 12, 14, 30, 40, 41 </w:t>
      </w:r>
      <w:r w:rsidRPr="00303378">
        <w:rPr>
          <w:rFonts w:eastAsia="Times New Roman" w:cs="Times New Roman"/>
          <w:i/>
          <w:sz w:val="20"/>
          <w:szCs w:val="20"/>
          <w:lang w:val="en-US" w:eastAsia="en-CA"/>
        </w:rPr>
        <w:t>— Civil Code of Québec, art. 2085.</w:t>
      </w:r>
    </w:p>
    <w:p w:rsidR="00303378" w:rsidRPr="00303378" w:rsidRDefault="00303378" w:rsidP="000A781C">
      <w:pPr>
        <w:jc w:val="both"/>
        <w:rPr>
          <w:rFonts w:eastAsia="Times New Roman" w:cs="Times New Roman"/>
          <w:sz w:val="20"/>
          <w:szCs w:val="20"/>
          <w:lang w:eastAsia="en-CA"/>
        </w:rPr>
      </w:pPr>
    </w:p>
    <w:p w:rsidR="003C39D1" w:rsidRDefault="003C39D1" w:rsidP="000A781C">
      <w:pPr>
        <w:jc w:val="both"/>
        <w:rPr>
          <w:rFonts w:eastAsia="Times New Roman" w:cs="Times New Roman"/>
          <w:sz w:val="20"/>
          <w:szCs w:val="20"/>
          <w:lang w:eastAsia="en-CA"/>
        </w:rPr>
      </w:pPr>
      <w:r w:rsidRPr="00303378">
        <w:rPr>
          <w:rFonts w:eastAsia="Times New Roman" w:cs="Times New Roman"/>
          <w:sz w:val="20"/>
          <w:szCs w:val="20"/>
          <w:lang w:val="en-US" w:eastAsia="en-CA"/>
        </w:rPr>
        <w:tab/>
        <w:t xml:space="preserve">Quebec’s </w:t>
      </w:r>
      <w:r w:rsidRPr="00303378">
        <w:rPr>
          <w:rFonts w:eastAsia="Times New Roman" w:cs="Times New Roman"/>
          <w:i/>
          <w:sz w:val="20"/>
          <w:szCs w:val="20"/>
          <w:lang w:val="en-US" w:eastAsia="en-CA"/>
        </w:rPr>
        <w:t>Act respecting occupational health and safety</w:t>
      </w:r>
      <w:r w:rsidRPr="00303378">
        <w:rPr>
          <w:rFonts w:eastAsia="Times New Roman" w:cs="Times New Roman"/>
          <w:sz w:val="20"/>
          <w:szCs w:val="20"/>
          <w:lang w:val="en-US" w:eastAsia="en-CA"/>
        </w:rPr>
        <w:t xml:space="preserve"> is</w:t>
      </w:r>
      <w:r w:rsidRPr="00303378">
        <w:rPr>
          <w:rFonts w:eastAsia="Times New Roman" w:cs="Times New Roman"/>
          <w:sz w:val="20"/>
          <w:szCs w:val="20"/>
          <w:lang w:eastAsia="en-CA"/>
        </w:rPr>
        <w:t xml:space="preserve"> </w:t>
      </w:r>
      <w:r w:rsidRPr="00303378">
        <w:rPr>
          <w:rFonts w:eastAsia="Times New Roman" w:cs="Times New Roman"/>
          <w:sz w:val="20"/>
          <w:szCs w:val="20"/>
          <w:lang w:val="en-US" w:eastAsia="en-CA"/>
        </w:rPr>
        <w:t xml:space="preserve">designed to provide </w:t>
      </w:r>
      <w:r w:rsidRPr="00303378">
        <w:rPr>
          <w:rFonts w:eastAsia="Times New Roman" w:cs="Times New Roman"/>
          <w:sz w:val="20"/>
          <w:szCs w:val="20"/>
          <w:lang w:eastAsia="en-CA"/>
        </w:rPr>
        <w:t>financial</w:t>
      </w:r>
      <w:r w:rsidRPr="00303378">
        <w:rPr>
          <w:rFonts w:eastAsia="Times New Roman" w:cs="Times New Roman"/>
          <w:sz w:val="20"/>
          <w:szCs w:val="20"/>
          <w:lang w:val="en-US" w:eastAsia="en-CA"/>
        </w:rPr>
        <w:t xml:space="preserve"> security when workers are required to withdraw temporarily from the workforce to avoid unsafe work.  It </w:t>
      </w:r>
      <w:r w:rsidRPr="00303378">
        <w:rPr>
          <w:rFonts w:eastAsia="Times New Roman" w:cs="Times New Roman"/>
          <w:sz w:val="20"/>
          <w:szCs w:val="20"/>
          <w:lang w:eastAsia="en-CA"/>
        </w:rPr>
        <w:t xml:space="preserve">sets out specific health and safety protections for pregnant women whereby they can refuse to perform work under conditions that present a health or safety danger to themselves or their fetus, and to have a reassignment of work to avoid those risks.  If that reassignment is not possible, they have the right to take Preventive Withdrawal during which they stop working and receive income replacement benefits during their pregnancy. </w:t>
      </w:r>
    </w:p>
    <w:p w:rsidR="00303378" w:rsidRPr="00303378" w:rsidRDefault="00303378" w:rsidP="000A781C">
      <w:pPr>
        <w:jc w:val="both"/>
        <w:rPr>
          <w:rFonts w:eastAsia="Times New Roman" w:cs="Times New Roman"/>
          <w:sz w:val="20"/>
          <w:szCs w:val="20"/>
          <w:lang w:eastAsia="en-CA"/>
        </w:rPr>
      </w:pPr>
    </w:p>
    <w:p w:rsidR="003C39D1" w:rsidRDefault="003C39D1" w:rsidP="000A781C">
      <w:pPr>
        <w:jc w:val="both"/>
        <w:rPr>
          <w:rFonts w:eastAsia="Times New Roman" w:cs="Times New Roman"/>
          <w:sz w:val="20"/>
          <w:szCs w:val="20"/>
          <w:lang w:eastAsia="en-CA"/>
        </w:rPr>
      </w:pPr>
      <w:r w:rsidRPr="00303378">
        <w:rPr>
          <w:rFonts w:eastAsia="Times New Roman" w:cs="Times New Roman"/>
          <w:sz w:val="20"/>
          <w:szCs w:val="20"/>
          <w:lang w:eastAsia="en-CA"/>
        </w:rPr>
        <w:lastRenderedPageBreak/>
        <w:tab/>
        <w:t>D, a pregnant supply teacher, learned from her doctor that she was vulnerable to contagious viruses which can harm the fetus.  Because these viruses can be spread by groups of children, a classroom posed a risk.  The School Board offered her a one</w:t>
      </w:r>
      <w:r w:rsidRPr="00303378">
        <w:rPr>
          <w:rFonts w:eastAsia="Times New Roman" w:cs="Times New Roman"/>
          <w:sz w:val="20"/>
          <w:szCs w:val="20"/>
          <w:lang w:eastAsia="en-CA"/>
        </w:rPr>
        <w:noBreakHyphen/>
        <w:t xml:space="preserve">day teaching position, which she accepted.  Due to the health risk in the workplace, the Commission </w:t>
      </w:r>
      <w:r w:rsidRPr="00303378">
        <w:rPr>
          <w:rFonts w:eastAsia="Times New Roman" w:cs="Times New Roman"/>
          <w:sz w:val="20"/>
          <w:szCs w:val="20"/>
          <w:lang w:val="en-US" w:eastAsia="en-CA"/>
        </w:rPr>
        <w:t>de la santé et de la sécurité du travail</w:t>
      </w:r>
      <w:r w:rsidRPr="00303378">
        <w:rPr>
          <w:rFonts w:eastAsia="Times New Roman" w:cs="Times New Roman"/>
          <w:sz w:val="20"/>
          <w:szCs w:val="20"/>
          <w:lang w:eastAsia="en-CA"/>
        </w:rPr>
        <w:t xml:space="preserve"> told D that she was entitled to reassignment or Preventive Withdrawal.  The School Board appealed to the </w:t>
      </w:r>
      <w:r w:rsidRPr="00303378">
        <w:rPr>
          <w:rFonts w:eastAsia="Times New Roman" w:cs="Times New Roman"/>
          <w:sz w:val="20"/>
          <w:szCs w:val="20"/>
          <w:lang w:val="en-US" w:eastAsia="en-CA"/>
        </w:rPr>
        <w:t xml:space="preserve">Commission des lésions professionnelles (“CLP”), which concluded that D was ineligible for Preventive Withdrawal because of her </w:t>
      </w:r>
      <w:r w:rsidRPr="00303378">
        <w:rPr>
          <w:rFonts w:eastAsia="Times New Roman" w:cs="Times New Roman"/>
          <w:sz w:val="20"/>
          <w:szCs w:val="20"/>
          <w:lang w:eastAsia="en-CA"/>
        </w:rPr>
        <w:t xml:space="preserve">inability to go into the classroom.  D was therefore outside the scope of the protection provided by </w:t>
      </w:r>
      <w:r w:rsidRPr="00303378">
        <w:rPr>
          <w:rFonts w:eastAsia="Times New Roman" w:cs="Times New Roman"/>
          <w:sz w:val="20"/>
          <w:szCs w:val="20"/>
          <w:lang w:val="en-US" w:eastAsia="en-CA"/>
        </w:rPr>
        <w:t>the</w:t>
      </w:r>
      <w:r w:rsidRPr="00303378">
        <w:rPr>
          <w:rFonts w:eastAsia="Times New Roman" w:cs="Times New Roman"/>
          <w:i/>
          <w:sz w:val="20"/>
          <w:szCs w:val="20"/>
          <w:lang w:val="en-US" w:eastAsia="en-CA"/>
        </w:rPr>
        <w:t xml:space="preserve"> Act</w:t>
      </w:r>
      <w:r w:rsidRPr="00303378">
        <w:rPr>
          <w:rFonts w:eastAsia="Times New Roman" w:cs="Times New Roman"/>
          <w:sz w:val="20"/>
          <w:szCs w:val="20"/>
          <w:lang w:eastAsia="en-CA"/>
        </w:rPr>
        <w:t>.  On judicial review, the Superior Court found the CLP decision to be reasonable.  A majority in the Quebec Court of Appeal agreed with the Superior Court.</w:t>
      </w:r>
    </w:p>
    <w:p w:rsidR="00303378" w:rsidRPr="00303378" w:rsidRDefault="00303378" w:rsidP="000A781C">
      <w:pPr>
        <w:jc w:val="both"/>
        <w:rPr>
          <w:rFonts w:eastAsia="Times New Roman" w:cs="Times New Roman"/>
          <w:sz w:val="20"/>
          <w:szCs w:val="20"/>
          <w:lang w:eastAsia="en-CA"/>
        </w:rPr>
      </w:pPr>
    </w:p>
    <w:p w:rsidR="00303378" w:rsidRDefault="003C39D1" w:rsidP="000A781C">
      <w:pPr>
        <w:jc w:val="both"/>
        <w:rPr>
          <w:rFonts w:eastAsia="Times New Roman" w:cs="Times New Roman"/>
          <w:sz w:val="20"/>
          <w:szCs w:val="20"/>
          <w:lang w:eastAsia="en-CA"/>
        </w:rPr>
      </w:pPr>
      <w:r w:rsidRPr="00303378">
        <w:rPr>
          <w:rFonts w:eastAsia="Times New Roman" w:cs="Times New Roman"/>
          <w:sz w:val="20"/>
          <w:szCs w:val="20"/>
          <w:lang w:eastAsia="en-CA"/>
        </w:rPr>
        <w:tab/>
      </w:r>
      <w:r w:rsidRPr="00303378">
        <w:rPr>
          <w:rFonts w:eastAsia="Times New Roman" w:cs="Times New Roman"/>
          <w:i/>
          <w:iCs/>
          <w:sz w:val="20"/>
          <w:szCs w:val="20"/>
          <w:lang w:eastAsia="en-CA"/>
        </w:rPr>
        <w:t>Held</w:t>
      </w:r>
      <w:r w:rsidRPr="00303378">
        <w:rPr>
          <w:rFonts w:eastAsia="Times New Roman" w:cs="Times New Roman"/>
          <w:iCs/>
          <w:sz w:val="20"/>
          <w:szCs w:val="20"/>
          <w:lang w:eastAsia="en-CA"/>
        </w:rPr>
        <w:t>:</w:t>
      </w:r>
      <w:r w:rsidRPr="00303378">
        <w:rPr>
          <w:rFonts w:eastAsia="Times New Roman" w:cs="Times New Roman"/>
          <w:sz w:val="20"/>
          <w:szCs w:val="20"/>
          <w:lang w:eastAsia="en-CA"/>
        </w:rPr>
        <w:t xml:space="preserve">  The appeal should be allowed.</w:t>
      </w:r>
    </w:p>
    <w:p w:rsidR="00303378" w:rsidRDefault="00303378" w:rsidP="000A781C">
      <w:pPr>
        <w:jc w:val="both"/>
        <w:rPr>
          <w:rFonts w:eastAsia="Times New Roman" w:cs="Times New Roman"/>
          <w:sz w:val="20"/>
          <w:szCs w:val="20"/>
          <w:lang w:eastAsia="en-CA"/>
        </w:rPr>
      </w:pPr>
    </w:p>
    <w:p w:rsidR="003C39D1" w:rsidRDefault="003C39D1" w:rsidP="000A781C">
      <w:pPr>
        <w:jc w:val="both"/>
        <w:rPr>
          <w:rFonts w:eastAsia="Times New Roman" w:cs="Times New Roman"/>
          <w:sz w:val="20"/>
          <w:szCs w:val="20"/>
          <w:lang w:eastAsia="en-CA"/>
        </w:rPr>
      </w:pPr>
      <w:r w:rsidRPr="00303378">
        <w:rPr>
          <w:rFonts w:eastAsia="Times New Roman" w:cs="Times New Roman"/>
          <w:sz w:val="20"/>
          <w:szCs w:val="20"/>
          <w:lang w:eastAsia="en-CA"/>
        </w:rPr>
        <w:tab/>
        <w:t xml:space="preserve">The purpose of the </w:t>
      </w:r>
      <w:r w:rsidRPr="00303378">
        <w:rPr>
          <w:rFonts w:eastAsia="Times New Roman" w:cs="Times New Roman"/>
          <w:i/>
          <w:sz w:val="20"/>
          <w:szCs w:val="20"/>
          <w:lang w:val="en-US" w:eastAsia="en-CA"/>
        </w:rPr>
        <w:t>Act respecting occupational health and safety</w:t>
      </w:r>
      <w:r w:rsidRPr="00303378">
        <w:rPr>
          <w:rFonts w:eastAsia="Times New Roman" w:cs="Times New Roman"/>
          <w:sz w:val="20"/>
          <w:szCs w:val="20"/>
          <w:lang w:eastAsia="en-CA"/>
        </w:rPr>
        <w:t xml:space="preserve"> is to ensure the health and safety of workers by protecting them from workplace dangers.  Under the statutory scheme,</w:t>
      </w:r>
      <w:r w:rsidRPr="00303378">
        <w:rPr>
          <w:rFonts w:eastAsia="Times New Roman" w:cs="Times New Roman"/>
          <w:sz w:val="20"/>
          <w:szCs w:val="20"/>
          <w:lang w:val="en-US" w:eastAsia="en-CA"/>
        </w:rPr>
        <w:t xml:space="preserve"> </w:t>
      </w:r>
      <w:r w:rsidRPr="00303378">
        <w:rPr>
          <w:rFonts w:eastAsia="Times New Roman" w:cs="Times New Roman"/>
          <w:sz w:val="20"/>
          <w:szCs w:val="20"/>
          <w:lang w:eastAsia="en-CA"/>
        </w:rPr>
        <w:t xml:space="preserve">when a worker relies on the right to refuse unsafe work, </w:t>
      </w:r>
      <w:r w:rsidRPr="00303378">
        <w:rPr>
          <w:rFonts w:eastAsia="Times New Roman" w:cs="Times New Roman"/>
          <w:sz w:val="20"/>
          <w:szCs w:val="20"/>
          <w:lang w:val="en-US" w:eastAsia="en-CA"/>
        </w:rPr>
        <w:t>a</w:t>
      </w:r>
      <w:r w:rsidRPr="00303378">
        <w:rPr>
          <w:rFonts w:eastAsia="Times New Roman" w:cs="Times New Roman"/>
          <w:sz w:val="20"/>
          <w:szCs w:val="20"/>
          <w:lang w:eastAsia="en-CA"/>
        </w:rPr>
        <w:t xml:space="preserve">ny new assignments or temporary withdrawal from the workplace are not seen as an absence from work, they are deemed to be a substitute for the work that the employee would ordinarily be expected to perform but for the danger.  A refusal to perform unsafe work is not a refusal to fulfill the employment contract, it is the exercise of a legislated right.  Workers are thereby protected from having to choose between job security and their health or safety.  </w:t>
      </w:r>
    </w:p>
    <w:p w:rsidR="00303378" w:rsidRPr="00303378" w:rsidRDefault="00303378" w:rsidP="000A781C">
      <w:pPr>
        <w:jc w:val="both"/>
        <w:rPr>
          <w:rFonts w:eastAsia="Times New Roman" w:cs="Times New Roman"/>
          <w:sz w:val="20"/>
          <w:szCs w:val="20"/>
          <w:lang w:eastAsia="en-CA"/>
        </w:rPr>
      </w:pPr>
    </w:p>
    <w:p w:rsidR="003C39D1" w:rsidRDefault="003C39D1" w:rsidP="000A781C">
      <w:pPr>
        <w:jc w:val="both"/>
        <w:rPr>
          <w:rFonts w:eastAsia="Times New Roman" w:cs="Times New Roman"/>
          <w:sz w:val="20"/>
          <w:szCs w:val="20"/>
          <w:lang w:val="en-US" w:eastAsia="en-CA"/>
        </w:rPr>
      </w:pPr>
      <w:r w:rsidRPr="00303378">
        <w:rPr>
          <w:rFonts w:eastAsia="Times New Roman" w:cs="Times New Roman"/>
          <w:sz w:val="20"/>
          <w:szCs w:val="20"/>
          <w:lang w:eastAsia="en-CA"/>
        </w:rPr>
        <w:tab/>
      </w:r>
      <w:r w:rsidRPr="00303378">
        <w:rPr>
          <w:rFonts w:eastAsia="Times New Roman" w:cs="Times New Roman"/>
          <w:sz w:val="20"/>
          <w:szCs w:val="20"/>
          <w:lang w:val="en-US" w:eastAsia="en-CA"/>
        </w:rPr>
        <w:t>L</w:t>
      </w:r>
      <w:r w:rsidRPr="00303378">
        <w:rPr>
          <w:rFonts w:eastAsia="Times New Roman" w:cs="Times New Roman"/>
          <w:sz w:val="20"/>
          <w:szCs w:val="20"/>
          <w:lang w:eastAsia="en-CA"/>
        </w:rPr>
        <w:t xml:space="preserve">ike any other worker entitled to refuse to do unsafe work, a pregnant worker is deemed by the </w:t>
      </w:r>
      <w:r w:rsidRPr="00303378">
        <w:rPr>
          <w:rFonts w:eastAsia="Times New Roman" w:cs="Times New Roman"/>
          <w:i/>
          <w:sz w:val="20"/>
          <w:szCs w:val="20"/>
          <w:lang w:eastAsia="en-CA"/>
        </w:rPr>
        <w:t>Act</w:t>
      </w:r>
      <w:r w:rsidRPr="00303378">
        <w:rPr>
          <w:rFonts w:eastAsia="Times New Roman" w:cs="Times New Roman"/>
          <w:sz w:val="20"/>
          <w:szCs w:val="20"/>
          <w:lang w:eastAsia="en-CA"/>
        </w:rPr>
        <w:t xml:space="preserve"> to still be “at work” while on reassignment or Preventive Withdrawal.  The </w:t>
      </w:r>
      <w:r w:rsidRPr="00303378">
        <w:rPr>
          <w:rFonts w:eastAsia="Times New Roman" w:cs="Times New Roman"/>
          <w:i/>
          <w:sz w:val="20"/>
          <w:szCs w:val="20"/>
          <w:lang w:eastAsia="en-CA"/>
        </w:rPr>
        <w:t>Act</w:t>
      </w:r>
      <w:r w:rsidRPr="00303378">
        <w:rPr>
          <w:rFonts w:eastAsia="Times New Roman" w:cs="Times New Roman"/>
          <w:sz w:val="20"/>
          <w:szCs w:val="20"/>
          <w:lang w:eastAsia="en-CA"/>
        </w:rPr>
        <w:t xml:space="preserve"> therefore protects pregnant women in two significant ways:  it protects their health by substituting safe tasks for dangerous ones, and it protects their employment</w:t>
      </w:r>
      <w:r w:rsidRPr="00303378">
        <w:rPr>
          <w:rFonts w:eastAsia="Times New Roman" w:cs="Times New Roman"/>
          <w:b/>
          <w:sz w:val="20"/>
          <w:szCs w:val="20"/>
          <w:lang w:eastAsia="en-CA"/>
        </w:rPr>
        <w:t xml:space="preserve"> </w:t>
      </w:r>
      <w:r w:rsidRPr="00303378">
        <w:rPr>
          <w:rFonts w:eastAsia="Times New Roman" w:cs="Times New Roman"/>
          <w:sz w:val="20"/>
          <w:szCs w:val="20"/>
          <w:lang w:eastAsia="en-CA"/>
        </w:rPr>
        <w:t xml:space="preserve">by providing financial and job security.  </w:t>
      </w:r>
      <w:r w:rsidRPr="00303378">
        <w:rPr>
          <w:rFonts w:eastAsia="Times New Roman" w:cs="Times New Roman"/>
          <w:sz w:val="20"/>
          <w:szCs w:val="20"/>
          <w:lang w:val="en-US" w:eastAsia="en-CA"/>
        </w:rPr>
        <w:t>To confront the discriminatory assumptions which had historically attributed incapacity to work to women who were pregnant, the scheme protects not only their right to work, but to work in a safe environment by deeming them to be as available to work as a non</w:t>
      </w:r>
      <w:r w:rsidRPr="00303378">
        <w:rPr>
          <w:rFonts w:eastAsia="Times New Roman" w:cs="Times New Roman"/>
          <w:sz w:val="20"/>
          <w:szCs w:val="20"/>
          <w:lang w:val="en-US" w:eastAsia="en-CA"/>
        </w:rPr>
        <w:noBreakHyphen/>
        <w:t>pregnant worker.</w:t>
      </w:r>
    </w:p>
    <w:p w:rsidR="00303378" w:rsidRPr="00303378" w:rsidRDefault="00303378" w:rsidP="000A781C">
      <w:pPr>
        <w:jc w:val="both"/>
        <w:rPr>
          <w:rFonts w:eastAsia="Times New Roman" w:cs="Times New Roman"/>
          <w:sz w:val="20"/>
          <w:szCs w:val="20"/>
          <w:lang w:eastAsia="en-CA"/>
        </w:rPr>
      </w:pPr>
    </w:p>
    <w:p w:rsidR="003C39D1" w:rsidRDefault="003C39D1" w:rsidP="000A781C">
      <w:pPr>
        <w:jc w:val="both"/>
        <w:rPr>
          <w:rFonts w:eastAsia="Times New Roman" w:cs="Times New Roman"/>
          <w:sz w:val="20"/>
          <w:szCs w:val="20"/>
          <w:lang w:val="en-US" w:eastAsia="en-CA"/>
        </w:rPr>
      </w:pPr>
      <w:r w:rsidRPr="00303378">
        <w:rPr>
          <w:rFonts w:eastAsia="Times New Roman" w:cs="Times New Roman"/>
          <w:sz w:val="20"/>
          <w:szCs w:val="20"/>
          <w:lang w:eastAsia="en-CA"/>
        </w:rPr>
        <w:tab/>
        <w:t xml:space="preserve">A contract was formed when D accepted the School Board’s offer to supply teach and therefore became a “worker” in accordance with the definition in the </w:t>
      </w:r>
      <w:r w:rsidRPr="00303378">
        <w:rPr>
          <w:rFonts w:eastAsia="Times New Roman" w:cs="Times New Roman"/>
          <w:i/>
          <w:sz w:val="20"/>
          <w:szCs w:val="20"/>
          <w:lang w:eastAsia="en-CA"/>
        </w:rPr>
        <w:t>Act</w:t>
      </w:r>
      <w:r w:rsidRPr="00303378">
        <w:rPr>
          <w:rFonts w:eastAsia="Times New Roman" w:cs="Times New Roman"/>
          <w:sz w:val="20"/>
          <w:szCs w:val="20"/>
          <w:lang w:eastAsia="en-CA"/>
        </w:rPr>
        <w:t xml:space="preserve">. </w:t>
      </w:r>
      <w:r w:rsidRPr="00303378">
        <w:rPr>
          <w:rFonts w:eastAsia="Times New Roman" w:cs="Times New Roman"/>
          <w:sz w:val="20"/>
          <w:szCs w:val="20"/>
          <w:lang w:val="en-US" w:eastAsia="en-CA"/>
        </w:rPr>
        <w:t xml:space="preserve"> </w:t>
      </w:r>
      <w:r w:rsidRPr="00303378">
        <w:rPr>
          <w:rFonts w:eastAsia="Times New Roman" w:cs="Times New Roman"/>
          <w:sz w:val="20"/>
          <w:szCs w:val="20"/>
          <w:lang w:eastAsia="en-CA"/>
        </w:rPr>
        <w:t xml:space="preserve">The legislated right of a pregnant worker to withdraw from an unsafe workplace cannot be used to conclude that her Preventive Withdrawal negates the formation of the contract of employment. </w:t>
      </w:r>
      <w:r w:rsidRPr="00303378">
        <w:rPr>
          <w:rFonts w:eastAsia="Times New Roman" w:cs="Times New Roman"/>
          <w:sz w:val="20"/>
          <w:szCs w:val="20"/>
          <w:lang w:val="en-US" w:eastAsia="en-CA"/>
        </w:rPr>
        <w:t xml:space="preserve"> </w:t>
      </w:r>
      <w:r w:rsidRPr="00303378">
        <w:rPr>
          <w:rFonts w:eastAsia="Times New Roman" w:cs="Times New Roman"/>
          <w:sz w:val="20"/>
          <w:szCs w:val="20"/>
          <w:lang w:eastAsia="en-CA"/>
        </w:rPr>
        <w:t xml:space="preserve">D’s pregnancy was not an incapacity that prevented her from performing the work, it was the dangerous workplace that prevented it.  That triggered her statutory right to reassignment or Preventive Withdrawal.  What prevents the performance of work is the employer’s inability to provide a safe working alternative, not the pregnancy.  </w:t>
      </w:r>
      <w:r w:rsidRPr="00303378">
        <w:rPr>
          <w:rFonts w:eastAsia="Times New Roman" w:cs="Times New Roman"/>
          <w:sz w:val="20"/>
          <w:szCs w:val="20"/>
          <w:lang w:val="en-US" w:eastAsia="en-CA"/>
        </w:rPr>
        <w:t xml:space="preserve">To conclude otherwise negates the objectives of the </w:t>
      </w:r>
      <w:r w:rsidRPr="00303378">
        <w:rPr>
          <w:rFonts w:eastAsia="Times New Roman" w:cs="Times New Roman"/>
          <w:i/>
          <w:sz w:val="20"/>
          <w:szCs w:val="20"/>
          <w:lang w:val="en-US" w:eastAsia="en-CA"/>
        </w:rPr>
        <w:t>Act</w:t>
      </w:r>
      <w:r w:rsidRPr="00303378">
        <w:rPr>
          <w:rFonts w:eastAsia="Times New Roman" w:cs="Times New Roman"/>
          <w:sz w:val="20"/>
          <w:szCs w:val="20"/>
          <w:lang w:val="en-US" w:eastAsia="en-CA"/>
        </w:rPr>
        <w:t xml:space="preserve"> and penalizes pregnant women for doing precisely what the legislative scheme mandates: avoiding workplace health risks during pregnancy.</w:t>
      </w:r>
    </w:p>
    <w:p w:rsidR="00303378" w:rsidRPr="00303378" w:rsidRDefault="00303378" w:rsidP="000A781C">
      <w:pPr>
        <w:jc w:val="both"/>
        <w:rPr>
          <w:rFonts w:eastAsia="Times New Roman" w:cs="Times New Roman"/>
          <w:sz w:val="20"/>
          <w:szCs w:val="20"/>
          <w:lang w:val="en-US" w:eastAsia="en-CA"/>
        </w:rPr>
      </w:pPr>
    </w:p>
    <w:p w:rsidR="00303378" w:rsidRDefault="00303378" w:rsidP="000A781C">
      <w:pPr>
        <w:jc w:val="both"/>
        <w:rPr>
          <w:rFonts w:eastAsia="Times New Roman" w:cs="Times New Roman"/>
          <w:sz w:val="20"/>
          <w:szCs w:val="20"/>
          <w:lang w:eastAsia="en-CA"/>
        </w:rPr>
      </w:pPr>
      <w:r w:rsidRPr="002102EE">
        <w:rPr>
          <w:rFonts w:eastAsia="Times New Roman" w:cs="Times New Roman"/>
          <w:sz w:val="20"/>
          <w:szCs w:val="20"/>
          <w:lang w:val="en-US" w:eastAsia="en-CA"/>
        </w:rPr>
        <w:tab/>
      </w:r>
      <w:r w:rsidRPr="00303378">
        <w:rPr>
          <w:rFonts w:eastAsia="Times New Roman" w:cs="Times New Roman"/>
          <w:sz w:val="20"/>
          <w:szCs w:val="20"/>
          <w:lang w:eastAsia="en-CA"/>
        </w:rPr>
        <w:t>APPEAL from a judgment of the Quebec Court of Appeal (Dalphond, Giroux and Wagner JJ.A.), 2012 QCCA 609, SOQUIJ AZ</w:t>
      </w:r>
      <w:r w:rsidRPr="00303378">
        <w:rPr>
          <w:rFonts w:eastAsia="Times New Roman" w:cs="Times New Roman"/>
          <w:sz w:val="20"/>
          <w:szCs w:val="20"/>
          <w:lang w:eastAsia="en-CA"/>
        </w:rPr>
        <w:noBreakHyphen/>
        <w:t>50844625, [2012] J.Q. n</w:t>
      </w:r>
      <w:r w:rsidRPr="00303378">
        <w:rPr>
          <w:rFonts w:eastAsia="Times New Roman" w:cs="Times New Roman"/>
          <w:sz w:val="20"/>
          <w:szCs w:val="20"/>
          <w:vertAlign w:val="superscript"/>
          <w:lang w:eastAsia="en-CA"/>
        </w:rPr>
        <w:t>o</w:t>
      </w:r>
      <w:r w:rsidRPr="00303378">
        <w:rPr>
          <w:rFonts w:eastAsia="Times New Roman" w:cs="Times New Roman"/>
          <w:sz w:val="20"/>
          <w:szCs w:val="20"/>
          <w:lang w:eastAsia="en-CA"/>
        </w:rPr>
        <w:t xml:space="preserve"> 2984 (QL), 2012 CarswellQue 3214, affirming a decision of Crête J., 2010 QCCS 1550, [2010] C.L.P. 251, SOQUIJ AZ</w:t>
      </w:r>
      <w:r w:rsidRPr="00303378">
        <w:rPr>
          <w:rFonts w:eastAsia="Times New Roman" w:cs="Times New Roman"/>
          <w:sz w:val="20"/>
          <w:szCs w:val="20"/>
          <w:lang w:eastAsia="en-CA"/>
        </w:rPr>
        <w:noBreakHyphen/>
        <w:t>50628222, [2010] J.Q. n</w:t>
      </w:r>
      <w:r w:rsidRPr="00303378">
        <w:rPr>
          <w:rFonts w:eastAsia="Times New Roman" w:cs="Times New Roman"/>
          <w:sz w:val="20"/>
          <w:szCs w:val="20"/>
          <w:vertAlign w:val="superscript"/>
          <w:lang w:eastAsia="en-CA"/>
        </w:rPr>
        <w:t>o</w:t>
      </w:r>
      <w:r w:rsidRPr="00303378">
        <w:rPr>
          <w:rFonts w:eastAsia="Times New Roman" w:cs="Times New Roman"/>
          <w:sz w:val="20"/>
          <w:szCs w:val="20"/>
          <w:lang w:eastAsia="en-CA"/>
        </w:rPr>
        <w:t xml:space="preserve"> 3332 (QL), 2010 CarswellQue 3470, dismissing an application for judicial review of a decision of the Commission des lésions professionnelles, 2008 QCCLP 3215, SOQUIJ AZ</w:t>
      </w:r>
      <w:r w:rsidRPr="00303378">
        <w:rPr>
          <w:rFonts w:eastAsia="Times New Roman" w:cs="Times New Roman"/>
          <w:sz w:val="20"/>
          <w:szCs w:val="20"/>
          <w:lang w:eastAsia="en-CA"/>
        </w:rPr>
        <w:noBreakHyphen/>
        <w:t>50496029, 2008 LNQCCLP 141 (QL).  Appeal allowed.</w:t>
      </w:r>
    </w:p>
    <w:p w:rsidR="00303378" w:rsidRPr="00303378" w:rsidRDefault="00303378" w:rsidP="000A781C">
      <w:pPr>
        <w:jc w:val="both"/>
        <w:rPr>
          <w:rFonts w:eastAsia="Times New Roman" w:cs="Times New Roman"/>
          <w:sz w:val="20"/>
          <w:szCs w:val="20"/>
          <w:lang w:eastAsia="en-CA"/>
        </w:rPr>
      </w:pPr>
    </w:p>
    <w:p w:rsidR="00303378" w:rsidRPr="005E79B1" w:rsidRDefault="00303378" w:rsidP="000A781C">
      <w:pPr>
        <w:jc w:val="both"/>
        <w:rPr>
          <w:rFonts w:eastAsia="Times New Roman" w:cs="Times New Roman"/>
          <w:sz w:val="20"/>
          <w:szCs w:val="20"/>
          <w:lang w:eastAsia="en-CA"/>
        </w:rPr>
      </w:pPr>
      <w:r w:rsidRPr="00303378">
        <w:rPr>
          <w:rFonts w:eastAsia="Times New Roman" w:cs="Times New Roman"/>
          <w:i/>
          <w:sz w:val="20"/>
          <w:szCs w:val="20"/>
          <w:lang w:eastAsia="en-CA"/>
        </w:rPr>
        <w:tab/>
      </w:r>
      <w:r w:rsidRPr="005E79B1">
        <w:rPr>
          <w:rFonts w:eastAsia="Times New Roman" w:cs="Times New Roman"/>
          <w:i/>
          <w:sz w:val="20"/>
          <w:szCs w:val="20"/>
          <w:lang w:eastAsia="en-CA"/>
        </w:rPr>
        <w:t>Denis Lavoie</w:t>
      </w:r>
      <w:r w:rsidRPr="005E79B1">
        <w:rPr>
          <w:rFonts w:eastAsia="Times New Roman" w:cs="Times New Roman"/>
          <w:sz w:val="20"/>
          <w:szCs w:val="20"/>
          <w:lang w:eastAsia="en-CA"/>
        </w:rPr>
        <w:t xml:space="preserve">, </w:t>
      </w:r>
      <w:r w:rsidRPr="005E79B1">
        <w:rPr>
          <w:rFonts w:eastAsia="Times New Roman" w:cs="Times New Roman"/>
          <w:i/>
          <w:sz w:val="20"/>
          <w:szCs w:val="20"/>
          <w:lang w:eastAsia="en-CA"/>
        </w:rPr>
        <w:t>Graciela Barrère</w:t>
      </w:r>
      <w:r w:rsidRPr="005E79B1">
        <w:rPr>
          <w:rFonts w:eastAsia="Times New Roman" w:cs="Times New Roman"/>
          <w:sz w:val="20"/>
          <w:szCs w:val="20"/>
          <w:lang w:eastAsia="en-CA"/>
        </w:rPr>
        <w:t>,</w:t>
      </w:r>
      <w:r w:rsidRPr="005E79B1">
        <w:rPr>
          <w:rFonts w:eastAsia="Times New Roman" w:cs="Times New Roman"/>
          <w:i/>
          <w:sz w:val="20"/>
          <w:szCs w:val="20"/>
          <w:lang w:eastAsia="en-CA"/>
        </w:rPr>
        <w:t xml:space="preserve"> Pierre Brun</w:t>
      </w:r>
      <w:r w:rsidRPr="005E79B1">
        <w:rPr>
          <w:rFonts w:eastAsia="Times New Roman" w:cs="Times New Roman"/>
          <w:sz w:val="20"/>
          <w:szCs w:val="20"/>
          <w:lang w:eastAsia="en-CA"/>
        </w:rPr>
        <w:t xml:space="preserve"> and </w:t>
      </w:r>
      <w:r w:rsidRPr="005E79B1">
        <w:rPr>
          <w:rFonts w:eastAsia="Times New Roman" w:cs="Times New Roman"/>
          <w:i/>
          <w:sz w:val="20"/>
          <w:szCs w:val="20"/>
          <w:lang w:eastAsia="en-CA"/>
        </w:rPr>
        <w:t>Isabelle Bolla</w:t>
      </w:r>
      <w:r w:rsidRPr="005E79B1">
        <w:rPr>
          <w:rFonts w:eastAsia="Times New Roman" w:cs="Times New Roman"/>
          <w:sz w:val="20"/>
          <w:szCs w:val="20"/>
          <w:lang w:eastAsia="en-CA"/>
        </w:rPr>
        <w:t>, for the appellant.</w:t>
      </w:r>
    </w:p>
    <w:p w:rsidR="00303378" w:rsidRPr="005E79B1" w:rsidRDefault="00303378" w:rsidP="000A781C">
      <w:pPr>
        <w:jc w:val="both"/>
        <w:rPr>
          <w:rFonts w:eastAsia="Times New Roman" w:cs="Times New Roman"/>
          <w:sz w:val="20"/>
          <w:szCs w:val="20"/>
          <w:lang w:eastAsia="en-CA"/>
        </w:rPr>
      </w:pPr>
    </w:p>
    <w:p w:rsidR="00303378" w:rsidRPr="005E79B1" w:rsidRDefault="00303378" w:rsidP="000A781C">
      <w:pPr>
        <w:jc w:val="both"/>
        <w:rPr>
          <w:rFonts w:eastAsia="Times New Roman" w:cs="Times New Roman"/>
          <w:sz w:val="20"/>
          <w:szCs w:val="20"/>
          <w:lang w:eastAsia="en-CA"/>
        </w:rPr>
      </w:pPr>
      <w:r w:rsidRPr="005E79B1">
        <w:rPr>
          <w:rFonts w:eastAsia="Times New Roman" w:cs="Times New Roman"/>
          <w:i/>
          <w:sz w:val="20"/>
          <w:szCs w:val="20"/>
          <w:lang w:eastAsia="en-CA"/>
        </w:rPr>
        <w:tab/>
        <w:t>Yann Bernard</w:t>
      </w:r>
      <w:r w:rsidRPr="005E79B1">
        <w:rPr>
          <w:rFonts w:eastAsia="Times New Roman" w:cs="Times New Roman"/>
          <w:sz w:val="20"/>
          <w:szCs w:val="20"/>
          <w:lang w:eastAsia="en-CA"/>
        </w:rPr>
        <w:t xml:space="preserve">, </w:t>
      </w:r>
      <w:r w:rsidRPr="005E79B1">
        <w:rPr>
          <w:rFonts w:eastAsia="Times New Roman" w:cs="Times New Roman"/>
          <w:i/>
          <w:sz w:val="20"/>
          <w:szCs w:val="20"/>
          <w:lang w:eastAsia="en-CA"/>
        </w:rPr>
        <w:t>Paule Veilleux</w:t>
      </w:r>
      <w:r w:rsidRPr="005E79B1">
        <w:rPr>
          <w:rFonts w:eastAsia="Times New Roman" w:cs="Times New Roman"/>
          <w:sz w:val="20"/>
          <w:szCs w:val="20"/>
          <w:lang w:eastAsia="en-CA"/>
        </w:rPr>
        <w:t xml:space="preserve"> and </w:t>
      </w:r>
      <w:r w:rsidRPr="005E79B1">
        <w:rPr>
          <w:rFonts w:eastAsia="Times New Roman" w:cs="Times New Roman"/>
          <w:i/>
          <w:sz w:val="20"/>
          <w:szCs w:val="20"/>
          <w:lang w:eastAsia="en-CA"/>
        </w:rPr>
        <w:t>René Paquette</w:t>
      </w:r>
      <w:r w:rsidRPr="005E79B1">
        <w:rPr>
          <w:rFonts w:eastAsia="Times New Roman" w:cs="Times New Roman"/>
          <w:sz w:val="20"/>
          <w:szCs w:val="20"/>
          <w:lang w:eastAsia="en-CA"/>
        </w:rPr>
        <w:t>, for the respondent Commission scolaire des Patriotes.</w:t>
      </w:r>
    </w:p>
    <w:p w:rsidR="00303378" w:rsidRPr="005E79B1" w:rsidRDefault="00303378" w:rsidP="000A781C">
      <w:pPr>
        <w:jc w:val="both"/>
        <w:rPr>
          <w:rFonts w:eastAsia="Times New Roman" w:cs="Times New Roman"/>
          <w:sz w:val="20"/>
          <w:szCs w:val="20"/>
          <w:lang w:eastAsia="en-CA"/>
        </w:rPr>
      </w:pPr>
    </w:p>
    <w:p w:rsidR="00303378" w:rsidRDefault="00303378" w:rsidP="000A781C">
      <w:pPr>
        <w:jc w:val="both"/>
        <w:rPr>
          <w:rFonts w:eastAsia="Times New Roman" w:cs="Times New Roman"/>
          <w:sz w:val="20"/>
          <w:szCs w:val="20"/>
          <w:lang w:val="fr-CA" w:eastAsia="en-CA"/>
        </w:rPr>
      </w:pPr>
      <w:r w:rsidRPr="005E79B1">
        <w:rPr>
          <w:rFonts w:eastAsia="Times New Roman" w:cs="Times New Roman"/>
          <w:i/>
          <w:sz w:val="20"/>
          <w:szCs w:val="20"/>
          <w:lang w:eastAsia="en-CA"/>
        </w:rPr>
        <w:tab/>
      </w:r>
      <w:r w:rsidRPr="00303378">
        <w:rPr>
          <w:rFonts w:eastAsia="Times New Roman" w:cs="Times New Roman"/>
          <w:i/>
          <w:sz w:val="20"/>
          <w:szCs w:val="20"/>
          <w:lang w:val="fr-CA" w:eastAsia="en-CA"/>
        </w:rPr>
        <w:t>Marie</w:t>
      </w:r>
      <w:r w:rsidRPr="00303378">
        <w:rPr>
          <w:rFonts w:eastAsia="Times New Roman" w:cs="Times New Roman"/>
          <w:i/>
          <w:sz w:val="20"/>
          <w:szCs w:val="20"/>
          <w:lang w:val="fr-CA" w:eastAsia="en-CA"/>
        </w:rPr>
        <w:noBreakHyphen/>
        <w:t>France Bernier</w:t>
      </w:r>
      <w:r w:rsidRPr="00303378">
        <w:rPr>
          <w:rFonts w:eastAsia="Times New Roman" w:cs="Times New Roman"/>
          <w:sz w:val="20"/>
          <w:szCs w:val="20"/>
          <w:lang w:val="fr-CA" w:eastAsia="en-CA"/>
        </w:rPr>
        <w:t>, for the respondent Commission des lésions professionnelles.</w:t>
      </w:r>
    </w:p>
    <w:p w:rsidR="00303378" w:rsidRPr="00303378" w:rsidRDefault="00303378" w:rsidP="000A781C">
      <w:pPr>
        <w:jc w:val="both"/>
        <w:rPr>
          <w:rFonts w:eastAsia="Times New Roman" w:cs="Times New Roman"/>
          <w:sz w:val="20"/>
          <w:szCs w:val="20"/>
          <w:lang w:val="fr-CA" w:eastAsia="en-CA"/>
        </w:rPr>
      </w:pPr>
    </w:p>
    <w:p w:rsidR="00303378" w:rsidRDefault="00303378" w:rsidP="000A781C">
      <w:pPr>
        <w:jc w:val="both"/>
        <w:rPr>
          <w:rFonts w:eastAsia="Times New Roman" w:cs="Times New Roman"/>
          <w:sz w:val="20"/>
          <w:szCs w:val="20"/>
          <w:lang w:val="fr-CA" w:eastAsia="en-CA"/>
        </w:rPr>
      </w:pPr>
      <w:r w:rsidRPr="00303378">
        <w:rPr>
          <w:rFonts w:eastAsia="Times New Roman" w:cs="Times New Roman"/>
          <w:i/>
          <w:sz w:val="20"/>
          <w:szCs w:val="20"/>
          <w:lang w:val="fr-CA" w:eastAsia="en-CA"/>
        </w:rPr>
        <w:tab/>
        <w:t>Pierre</w:t>
      </w:r>
      <w:r w:rsidRPr="00303378">
        <w:rPr>
          <w:rFonts w:eastAsia="Times New Roman" w:cs="Times New Roman"/>
          <w:i/>
          <w:sz w:val="20"/>
          <w:szCs w:val="20"/>
          <w:lang w:val="fr-CA" w:eastAsia="en-CA"/>
        </w:rPr>
        <w:noBreakHyphen/>
        <w:t>Michel Lajeunesse</w:t>
      </w:r>
      <w:r w:rsidRPr="00303378">
        <w:rPr>
          <w:rFonts w:eastAsia="Times New Roman" w:cs="Times New Roman"/>
          <w:sz w:val="20"/>
          <w:szCs w:val="20"/>
          <w:lang w:val="fr-CA" w:eastAsia="en-CA"/>
        </w:rPr>
        <w:t xml:space="preserve"> and </w:t>
      </w:r>
      <w:r w:rsidRPr="00303378">
        <w:rPr>
          <w:rFonts w:eastAsia="Times New Roman" w:cs="Times New Roman"/>
          <w:i/>
          <w:sz w:val="20"/>
          <w:szCs w:val="20"/>
          <w:lang w:val="fr-CA" w:eastAsia="en-CA"/>
        </w:rPr>
        <w:t>Marie</w:t>
      </w:r>
      <w:r w:rsidRPr="00303378">
        <w:rPr>
          <w:rFonts w:eastAsia="Times New Roman" w:cs="Times New Roman"/>
          <w:i/>
          <w:sz w:val="20"/>
          <w:szCs w:val="20"/>
          <w:lang w:val="fr-CA" w:eastAsia="en-CA"/>
        </w:rPr>
        <w:noBreakHyphen/>
        <w:t>Anne Lecavalier</w:t>
      </w:r>
      <w:r w:rsidRPr="00303378">
        <w:rPr>
          <w:rFonts w:eastAsia="Times New Roman" w:cs="Times New Roman"/>
          <w:sz w:val="20"/>
          <w:szCs w:val="20"/>
          <w:lang w:val="fr-CA" w:eastAsia="en-CA"/>
        </w:rPr>
        <w:t>, for the intervener Commission de la santé et de la sécurité du travail.</w:t>
      </w:r>
    </w:p>
    <w:p w:rsidR="00303378" w:rsidRPr="00303378" w:rsidRDefault="00303378" w:rsidP="000A781C">
      <w:pPr>
        <w:jc w:val="both"/>
        <w:rPr>
          <w:rFonts w:eastAsia="Times New Roman" w:cs="Times New Roman"/>
          <w:sz w:val="20"/>
          <w:szCs w:val="20"/>
          <w:lang w:val="fr-CA" w:eastAsia="en-CA"/>
        </w:rPr>
      </w:pPr>
    </w:p>
    <w:p w:rsidR="00303378" w:rsidRDefault="00303378" w:rsidP="000A781C">
      <w:pPr>
        <w:jc w:val="both"/>
        <w:rPr>
          <w:rFonts w:eastAsia="Times New Roman" w:cs="Times New Roman"/>
          <w:sz w:val="20"/>
          <w:szCs w:val="20"/>
          <w:lang w:val="fr-CA" w:eastAsia="en-CA"/>
        </w:rPr>
      </w:pPr>
      <w:r w:rsidRPr="00303378">
        <w:rPr>
          <w:rFonts w:eastAsia="Times New Roman" w:cs="Times New Roman"/>
          <w:i/>
          <w:sz w:val="20"/>
          <w:szCs w:val="20"/>
          <w:lang w:val="fr-CA" w:eastAsia="en-CA"/>
        </w:rPr>
        <w:tab/>
        <w:t>Claudine Morin</w:t>
      </w:r>
      <w:r w:rsidRPr="00303378">
        <w:rPr>
          <w:rFonts w:eastAsia="Times New Roman" w:cs="Times New Roman"/>
          <w:sz w:val="20"/>
          <w:szCs w:val="20"/>
          <w:lang w:val="fr-CA" w:eastAsia="en-CA"/>
        </w:rPr>
        <w:t xml:space="preserve"> and </w:t>
      </w:r>
      <w:r w:rsidRPr="00303378">
        <w:rPr>
          <w:rFonts w:eastAsia="Times New Roman" w:cs="Times New Roman"/>
          <w:i/>
          <w:sz w:val="20"/>
          <w:szCs w:val="20"/>
          <w:lang w:val="fr-CA" w:eastAsia="en-CA"/>
        </w:rPr>
        <w:t>Nathalie Léger</w:t>
      </w:r>
      <w:r w:rsidRPr="00303378">
        <w:rPr>
          <w:rFonts w:eastAsia="Times New Roman" w:cs="Times New Roman"/>
          <w:sz w:val="20"/>
          <w:szCs w:val="20"/>
          <w:lang w:val="fr-CA" w:eastAsia="en-CA"/>
        </w:rPr>
        <w:t>, for the intervener Fédération des syndicats de l’enseignement.</w:t>
      </w:r>
    </w:p>
    <w:p w:rsidR="00303378" w:rsidRPr="00303378" w:rsidRDefault="00303378" w:rsidP="000A781C">
      <w:pPr>
        <w:jc w:val="both"/>
        <w:rPr>
          <w:rFonts w:eastAsia="Times New Roman" w:cs="Times New Roman"/>
          <w:sz w:val="20"/>
          <w:szCs w:val="20"/>
          <w:lang w:val="fr-CA" w:eastAsia="en-CA"/>
        </w:rPr>
      </w:pPr>
    </w:p>
    <w:p w:rsidR="00303378" w:rsidRDefault="00303378" w:rsidP="000A781C">
      <w:pPr>
        <w:jc w:val="both"/>
        <w:rPr>
          <w:rFonts w:eastAsia="Times New Roman" w:cs="Times New Roman"/>
          <w:i/>
          <w:sz w:val="20"/>
          <w:szCs w:val="20"/>
          <w:lang w:val="fr-CA" w:eastAsia="en-CA"/>
        </w:rPr>
      </w:pPr>
      <w:r w:rsidRPr="00303378">
        <w:rPr>
          <w:rFonts w:eastAsia="Times New Roman" w:cs="Times New Roman"/>
          <w:i/>
          <w:sz w:val="20"/>
          <w:szCs w:val="20"/>
          <w:lang w:val="fr-CA" w:eastAsia="en-CA"/>
        </w:rPr>
        <w:tab/>
        <w:t>Solicitors for the appellant:  Melançon Marceau Grenier et Sciortino, Montréal.</w:t>
      </w:r>
    </w:p>
    <w:p w:rsidR="00303378" w:rsidRPr="00303378" w:rsidRDefault="00303378" w:rsidP="000A781C">
      <w:pPr>
        <w:jc w:val="both"/>
        <w:rPr>
          <w:rFonts w:eastAsia="Times New Roman" w:cs="Times New Roman"/>
          <w:i/>
          <w:sz w:val="20"/>
          <w:szCs w:val="20"/>
          <w:lang w:val="fr-CA" w:eastAsia="en-CA"/>
        </w:rPr>
      </w:pPr>
    </w:p>
    <w:p w:rsidR="00303378" w:rsidRDefault="00303378" w:rsidP="000A781C">
      <w:pPr>
        <w:jc w:val="both"/>
        <w:rPr>
          <w:rFonts w:eastAsia="Times New Roman" w:cs="Times New Roman"/>
          <w:i/>
          <w:sz w:val="20"/>
          <w:szCs w:val="20"/>
          <w:lang w:val="fr-CA" w:eastAsia="en-CA"/>
        </w:rPr>
      </w:pPr>
      <w:r w:rsidRPr="00303378">
        <w:rPr>
          <w:rFonts w:eastAsia="Times New Roman" w:cs="Times New Roman"/>
          <w:i/>
          <w:sz w:val="20"/>
          <w:szCs w:val="20"/>
          <w:lang w:val="fr-CA" w:eastAsia="en-CA"/>
        </w:rPr>
        <w:tab/>
        <w:t>Solicitors for the respondent Commission scolaire des Patriotes:  Langlois Kronström Desjardins, Montréal.</w:t>
      </w:r>
    </w:p>
    <w:p w:rsidR="00303378" w:rsidRPr="00303378" w:rsidRDefault="00303378" w:rsidP="000A781C">
      <w:pPr>
        <w:jc w:val="both"/>
        <w:rPr>
          <w:rFonts w:eastAsia="Times New Roman" w:cs="Times New Roman"/>
          <w:i/>
          <w:sz w:val="20"/>
          <w:szCs w:val="20"/>
          <w:lang w:val="fr-CA" w:eastAsia="en-CA"/>
        </w:rPr>
      </w:pPr>
    </w:p>
    <w:p w:rsidR="00303378" w:rsidRDefault="00303378" w:rsidP="000A781C">
      <w:pPr>
        <w:jc w:val="both"/>
        <w:rPr>
          <w:rFonts w:eastAsia="Times New Roman" w:cs="Times New Roman"/>
          <w:i/>
          <w:sz w:val="20"/>
          <w:szCs w:val="20"/>
          <w:lang w:val="fr-CA" w:eastAsia="en-CA"/>
        </w:rPr>
      </w:pPr>
      <w:r w:rsidRPr="00303378">
        <w:rPr>
          <w:rFonts w:eastAsia="Times New Roman" w:cs="Times New Roman"/>
          <w:i/>
          <w:sz w:val="20"/>
          <w:szCs w:val="20"/>
          <w:lang w:val="fr-CA" w:eastAsia="en-CA"/>
        </w:rPr>
        <w:lastRenderedPageBreak/>
        <w:tab/>
        <w:t>Solicitors for the respondent Commission des lésions professionnelles:  Verge Bernier, Québec.</w:t>
      </w:r>
    </w:p>
    <w:p w:rsidR="00303378" w:rsidRPr="00303378" w:rsidRDefault="00303378" w:rsidP="000A781C">
      <w:pPr>
        <w:jc w:val="both"/>
        <w:rPr>
          <w:rFonts w:eastAsia="Times New Roman" w:cs="Times New Roman"/>
          <w:i/>
          <w:sz w:val="20"/>
          <w:szCs w:val="20"/>
          <w:lang w:val="fr-CA" w:eastAsia="en-CA"/>
        </w:rPr>
      </w:pPr>
    </w:p>
    <w:p w:rsidR="00303378" w:rsidRDefault="00303378" w:rsidP="000A781C">
      <w:pPr>
        <w:jc w:val="both"/>
        <w:rPr>
          <w:rFonts w:eastAsia="Times New Roman" w:cs="Times New Roman"/>
          <w:i/>
          <w:sz w:val="20"/>
          <w:szCs w:val="20"/>
          <w:lang w:val="fr-CA" w:eastAsia="en-CA"/>
        </w:rPr>
      </w:pPr>
      <w:r w:rsidRPr="00303378">
        <w:rPr>
          <w:rFonts w:eastAsia="Times New Roman" w:cs="Times New Roman"/>
          <w:i/>
          <w:sz w:val="20"/>
          <w:szCs w:val="20"/>
          <w:lang w:val="fr-CA" w:eastAsia="en-CA"/>
        </w:rPr>
        <w:tab/>
        <w:t>Solicitors for the intervener Commission de la santé et de la sécurité du travail:  Vigneault Thibodeau Bergeron, Québec and Montréal.</w:t>
      </w:r>
    </w:p>
    <w:p w:rsidR="00303378" w:rsidRPr="00303378" w:rsidRDefault="00303378" w:rsidP="000A781C">
      <w:pPr>
        <w:jc w:val="both"/>
        <w:rPr>
          <w:rFonts w:eastAsia="Times New Roman" w:cs="Times New Roman"/>
          <w:i/>
          <w:sz w:val="20"/>
          <w:szCs w:val="20"/>
          <w:lang w:val="fr-CA" w:eastAsia="en-CA"/>
        </w:rPr>
      </w:pPr>
    </w:p>
    <w:p w:rsidR="003C39D1" w:rsidRPr="00303378" w:rsidRDefault="00303378" w:rsidP="000A781C">
      <w:pPr>
        <w:jc w:val="both"/>
        <w:rPr>
          <w:i/>
          <w:sz w:val="20"/>
          <w:lang w:val="fr-CA"/>
        </w:rPr>
      </w:pPr>
      <w:r w:rsidRPr="00303378">
        <w:rPr>
          <w:i/>
          <w:sz w:val="20"/>
          <w:lang w:val="fr-CA"/>
        </w:rPr>
        <w:tab/>
        <w:t>Solicitors for the intervener Fédération des syndicats de l’enseignement:  Barabé Casavant, Montréal.</w:t>
      </w:r>
    </w:p>
    <w:p w:rsidR="003C39D1" w:rsidRPr="00303378" w:rsidRDefault="003C39D1" w:rsidP="000A781C">
      <w:pPr>
        <w:pStyle w:val="SCCNormalDoubleSpacing"/>
        <w:spacing w:line="240" w:lineRule="auto"/>
        <w:rPr>
          <w:sz w:val="20"/>
          <w:lang w:val="fr-CA"/>
        </w:rPr>
      </w:pPr>
    </w:p>
    <w:p w:rsidR="005C6840" w:rsidRDefault="000B3306" w:rsidP="005C6840">
      <w:pPr>
        <w:rPr>
          <w:lang w:val="fr-CA"/>
        </w:rPr>
      </w:pPr>
      <w:r>
        <w:rPr>
          <w:rFonts w:cs="Times New Roman"/>
          <w:sz w:val="20"/>
          <w:szCs w:val="20"/>
          <w:lang w:val="fr-CA"/>
        </w:rPr>
        <w:pict>
          <v:rect id="_x0000_i1084" style="width:144.3pt;height:1pt" o:hrpct="300" o:hralign="center" o:hrstd="t" o:hrnoshade="t" o:hr="t" fillcolor="black [3213]" stroked="f"/>
        </w:pict>
      </w:r>
      <w:r w:rsidR="005C6840">
        <w:rPr>
          <w:lang w:val="fr-CA"/>
        </w:rPr>
        <w:br w:type="page"/>
      </w:r>
    </w:p>
    <w:p w:rsidR="0052229C" w:rsidRPr="0090344D" w:rsidRDefault="00A2115D" w:rsidP="0052229C">
      <w:pPr>
        <w:ind w:left="720" w:hanging="720"/>
        <w:rPr>
          <w:rFonts w:eastAsia="Calibri"/>
          <w:b/>
          <w:sz w:val="20"/>
          <w:szCs w:val="20"/>
          <w:lang w:val="fr-CA"/>
        </w:rPr>
      </w:pPr>
      <w:r>
        <w:rPr>
          <w:i/>
          <w:sz w:val="20"/>
          <w:szCs w:val="20"/>
          <w:lang w:val="fr-CA"/>
        </w:rPr>
        <w:lastRenderedPageBreak/>
        <w:t>Immeubles Jacques Robitaille i</w:t>
      </w:r>
      <w:r w:rsidR="0090344D" w:rsidRPr="0090344D">
        <w:rPr>
          <w:i/>
          <w:sz w:val="20"/>
          <w:szCs w:val="20"/>
          <w:lang w:val="fr-CA"/>
        </w:rPr>
        <w:t xml:space="preserve">nc. c. Ville de Québec </w:t>
      </w:r>
      <w:r w:rsidR="0052229C" w:rsidRPr="0090344D">
        <w:rPr>
          <w:sz w:val="20"/>
          <w:szCs w:val="20"/>
          <w:lang w:val="fr-CA"/>
        </w:rPr>
        <w:t>(</w:t>
      </w:r>
      <w:r w:rsidR="0090344D">
        <w:rPr>
          <w:sz w:val="20"/>
          <w:szCs w:val="20"/>
          <w:lang w:val="fr-CA"/>
        </w:rPr>
        <w:t>Qc</w:t>
      </w:r>
      <w:r w:rsidR="0052229C" w:rsidRPr="0090344D">
        <w:rPr>
          <w:sz w:val="20"/>
          <w:szCs w:val="20"/>
          <w:lang w:val="fr-CA"/>
        </w:rPr>
        <w:t>) (</w:t>
      </w:r>
      <w:hyperlink r:id="rId72" w:history="1">
        <w:r w:rsidR="0052229C" w:rsidRPr="0090344D">
          <w:rPr>
            <w:rStyle w:val="Hyperlink"/>
            <w:sz w:val="20"/>
            <w:szCs w:val="20"/>
            <w:lang w:val="fr-CA"/>
          </w:rPr>
          <w:t>3</w:t>
        </w:r>
        <w:r w:rsidR="0090344D">
          <w:rPr>
            <w:rStyle w:val="Hyperlink"/>
            <w:sz w:val="20"/>
            <w:szCs w:val="20"/>
            <w:lang w:val="fr-CA"/>
          </w:rPr>
          <w:t>5295</w:t>
        </w:r>
      </w:hyperlink>
      <w:r w:rsidR="0052229C" w:rsidRPr="0090344D">
        <w:rPr>
          <w:sz w:val="20"/>
          <w:szCs w:val="20"/>
          <w:lang w:val="fr-CA"/>
        </w:rPr>
        <w:t>)</w:t>
      </w:r>
    </w:p>
    <w:p w:rsidR="000A781C" w:rsidRDefault="0052229C" w:rsidP="0052229C">
      <w:pPr>
        <w:jc w:val="both"/>
        <w:rPr>
          <w:rStyle w:val="SCCAppellantForIndexChar"/>
          <w:rFonts w:eastAsiaTheme="minorHAnsi"/>
          <w:sz w:val="20"/>
        </w:rPr>
      </w:pPr>
      <w:r w:rsidRPr="00510FEE">
        <w:rPr>
          <w:b/>
          <w:sz w:val="20"/>
          <w:szCs w:val="20"/>
          <w:lang w:val="fr-CA"/>
        </w:rPr>
        <w:t xml:space="preserve">Indexed as:  </w:t>
      </w:r>
      <w:r w:rsidR="00510FEE" w:rsidRPr="00510FEE">
        <w:rPr>
          <w:rStyle w:val="SCCAppellantForIndexChar"/>
          <w:rFonts w:eastAsiaTheme="minorHAnsi"/>
          <w:sz w:val="20"/>
        </w:rPr>
        <w:t>Immeubles Jacques Robitaille inc.</w:t>
      </w:r>
      <w:r w:rsidR="00510FEE" w:rsidRPr="00510FEE">
        <w:rPr>
          <w:b/>
          <w:sz w:val="20"/>
          <w:szCs w:val="20"/>
          <w:lang w:val="fr-CA"/>
        </w:rPr>
        <w:t xml:space="preserve"> </w:t>
      </w:r>
      <w:r w:rsidR="00510FEE" w:rsidRPr="00510FEE">
        <w:rPr>
          <w:b/>
          <w:i/>
          <w:sz w:val="20"/>
          <w:szCs w:val="20"/>
          <w:lang w:val="fr-CA"/>
        </w:rPr>
        <w:t>v.</w:t>
      </w:r>
      <w:r w:rsidR="00510FEE" w:rsidRPr="00510FEE">
        <w:rPr>
          <w:b/>
          <w:sz w:val="20"/>
          <w:szCs w:val="20"/>
          <w:lang w:val="fr-CA"/>
        </w:rPr>
        <w:t xml:space="preserve"> </w:t>
      </w:r>
      <w:r w:rsidR="00510FEE" w:rsidRPr="00510FEE">
        <w:rPr>
          <w:rStyle w:val="SCCRespondentForIndexChar"/>
          <w:rFonts w:eastAsiaTheme="minorHAnsi"/>
          <w:sz w:val="20"/>
          <w:lang w:val="fr-CA"/>
        </w:rPr>
        <w:t>Québec (City)</w:t>
      </w:r>
      <w:r w:rsidRPr="00510FEE">
        <w:rPr>
          <w:rStyle w:val="SCCAppellantForIndexChar"/>
          <w:rFonts w:eastAsiaTheme="minorHAnsi"/>
          <w:sz w:val="20"/>
        </w:rPr>
        <w:t xml:space="preserve"> / </w:t>
      </w:r>
    </w:p>
    <w:p w:rsidR="0052229C" w:rsidRPr="00510FEE" w:rsidRDefault="0052229C" w:rsidP="0052229C">
      <w:pPr>
        <w:jc w:val="both"/>
        <w:rPr>
          <w:b/>
          <w:sz w:val="20"/>
          <w:szCs w:val="20"/>
          <w:lang w:val="fr-CA"/>
        </w:rPr>
      </w:pPr>
      <w:r w:rsidRPr="00510FEE">
        <w:rPr>
          <w:b/>
          <w:sz w:val="20"/>
          <w:szCs w:val="20"/>
          <w:lang w:val="fr-CA"/>
        </w:rPr>
        <w:t>Répertorié : </w:t>
      </w:r>
      <w:r w:rsidR="00510FEE" w:rsidRPr="00510FEE">
        <w:rPr>
          <w:rFonts w:eastAsia="Times New Roman" w:cs="Times New Roman"/>
          <w:b/>
          <w:sz w:val="20"/>
          <w:szCs w:val="20"/>
          <w:lang w:val="fr-CA" w:eastAsia="en-CA"/>
        </w:rPr>
        <w:t xml:space="preserve">Immeubles Jacques Robitaille inc. </w:t>
      </w:r>
      <w:r w:rsidR="00510FEE" w:rsidRPr="00510FEE">
        <w:rPr>
          <w:rFonts w:eastAsia="Times New Roman" w:cs="Times New Roman"/>
          <w:b/>
          <w:i/>
          <w:sz w:val="20"/>
          <w:szCs w:val="20"/>
          <w:lang w:val="fr-CA" w:eastAsia="en-CA"/>
        </w:rPr>
        <w:t>c.</w:t>
      </w:r>
      <w:r w:rsidR="00510FEE" w:rsidRPr="00510FEE">
        <w:rPr>
          <w:rFonts w:eastAsia="Times New Roman" w:cs="Times New Roman"/>
          <w:b/>
          <w:sz w:val="20"/>
          <w:szCs w:val="20"/>
          <w:lang w:val="fr-CA" w:eastAsia="en-CA"/>
        </w:rPr>
        <w:t xml:space="preserve"> Québec (Ville)</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Pr>
          <w:sz w:val="20"/>
        </w:rPr>
        <w:t>3</w:t>
      </w:r>
      <w:r w:rsidR="00510FEE">
        <w:rPr>
          <w:sz w:val="20"/>
        </w:rPr>
        <w:t>4</w:t>
      </w:r>
      <w:r w:rsidRPr="00352A49">
        <w:rPr>
          <w:sz w:val="20"/>
        </w:rPr>
        <w:t xml:space="preserve"> / Référence neutre : 201</w:t>
      </w:r>
      <w:r>
        <w:rPr>
          <w:sz w:val="20"/>
        </w:rPr>
        <w:t>4</w:t>
      </w:r>
      <w:r w:rsidRPr="00352A49">
        <w:rPr>
          <w:sz w:val="20"/>
        </w:rPr>
        <w:t xml:space="preserve"> CSC </w:t>
      </w:r>
      <w:r>
        <w:rPr>
          <w:sz w:val="20"/>
        </w:rPr>
        <w:t>3</w:t>
      </w:r>
      <w:r w:rsidR="00510FEE">
        <w:rPr>
          <w:sz w:val="20"/>
        </w:rPr>
        <w:t>4</w:t>
      </w:r>
    </w:p>
    <w:p w:rsidR="0052229C" w:rsidRPr="00352A49" w:rsidRDefault="0052229C" w:rsidP="0052229C">
      <w:pPr>
        <w:rPr>
          <w:sz w:val="20"/>
          <w:szCs w:val="20"/>
          <w:lang w:val="fr-CA"/>
        </w:rPr>
      </w:pPr>
      <w:r w:rsidRPr="00352A49">
        <w:rPr>
          <w:sz w:val="20"/>
          <w:szCs w:val="20"/>
          <w:lang w:val="fr-CA"/>
        </w:rPr>
        <w:t xml:space="preserve">Hearing:  </w:t>
      </w:r>
      <w:r w:rsidR="0090344D">
        <w:rPr>
          <w:sz w:val="20"/>
          <w:szCs w:val="20"/>
          <w:lang w:val="fr-CA"/>
        </w:rPr>
        <w:t>February</w:t>
      </w:r>
      <w:r w:rsidRPr="00352A49">
        <w:rPr>
          <w:sz w:val="20"/>
          <w:szCs w:val="20"/>
          <w:lang w:val="fr-CA"/>
        </w:rPr>
        <w:t xml:space="preserve"> 2</w:t>
      </w:r>
      <w:r w:rsidR="0090344D">
        <w:rPr>
          <w:sz w:val="20"/>
          <w:szCs w:val="20"/>
          <w:lang w:val="fr-CA"/>
        </w:rPr>
        <w:t>0</w:t>
      </w:r>
      <w:r w:rsidRPr="00352A49">
        <w:rPr>
          <w:sz w:val="20"/>
          <w:szCs w:val="20"/>
          <w:lang w:val="fr-CA"/>
        </w:rPr>
        <w:t>, 201</w:t>
      </w:r>
      <w:r w:rsidR="0090344D">
        <w:rPr>
          <w:sz w:val="20"/>
          <w:szCs w:val="20"/>
          <w:lang w:val="fr-CA"/>
        </w:rPr>
        <w:t>4</w:t>
      </w:r>
      <w:r w:rsidRPr="00352A49">
        <w:rPr>
          <w:sz w:val="20"/>
          <w:szCs w:val="20"/>
          <w:lang w:val="fr-CA"/>
        </w:rPr>
        <w:t xml:space="preserve"> / Judgment:  </w:t>
      </w:r>
      <w:r w:rsidR="0090344D">
        <w:rPr>
          <w:sz w:val="20"/>
          <w:szCs w:val="20"/>
          <w:lang w:val="fr-CA"/>
        </w:rPr>
        <w:t>May 2</w:t>
      </w:r>
      <w:r w:rsidRPr="00352A49">
        <w:rPr>
          <w:sz w:val="20"/>
          <w:szCs w:val="20"/>
          <w:lang w:val="fr-CA"/>
        </w:rPr>
        <w:t>, 201</w:t>
      </w:r>
      <w:r>
        <w:rPr>
          <w:sz w:val="20"/>
          <w:szCs w:val="20"/>
          <w:lang w:val="fr-CA"/>
        </w:rPr>
        <w:t>4</w:t>
      </w:r>
    </w:p>
    <w:p w:rsidR="0052229C" w:rsidRPr="003B3977" w:rsidRDefault="0052229C" w:rsidP="0052229C">
      <w:pPr>
        <w:rPr>
          <w:sz w:val="20"/>
          <w:szCs w:val="20"/>
          <w:lang w:val="fr-CA"/>
        </w:rPr>
      </w:pPr>
      <w:r w:rsidRPr="003B3977">
        <w:rPr>
          <w:sz w:val="20"/>
          <w:szCs w:val="20"/>
          <w:lang w:val="fr-CA"/>
        </w:rPr>
        <w:t>Audition : Le 2</w:t>
      </w:r>
      <w:r w:rsidR="0090344D">
        <w:rPr>
          <w:sz w:val="20"/>
          <w:szCs w:val="20"/>
          <w:lang w:val="fr-CA"/>
        </w:rPr>
        <w:t xml:space="preserve">0 février </w:t>
      </w:r>
      <w:r w:rsidRPr="003B3977">
        <w:rPr>
          <w:sz w:val="20"/>
          <w:szCs w:val="20"/>
          <w:lang w:val="fr-CA"/>
        </w:rPr>
        <w:t>201</w:t>
      </w:r>
      <w:r w:rsidR="0090344D">
        <w:rPr>
          <w:sz w:val="20"/>
          <w:szCs w:val="20"/>
          <w:lang w:val="fr-CA"/>
        </w:rPr>
        <w:t>4</w:t>
      </w:r>
      <w:r w:rsidRPr="003B3977">
        <w:rPr>
          <w:sz w:val="20"/>
          <w:szCs w:val="20"/>
          <w:lang w:val="fr-CA"/>
        </w:rPr>
        <w:t xml:space="preserve"> / Jugement : Le </w:t>
      </w:r>
      <w:r w:rsidR="0090344D">
        <w:rPr>
          <w:sz w:val="20"/>
          <w:szCs w:val="20"/>
          <w:lang w:val="fr-CA"/>
        </w:rPr>
        <w:t>2</w:t>
      </w:r>
      <w:r>
        <w:rPr>
          <w:sz w:val="20"/>
          <w:szCs w:val="20"/>
          <w:lang w:val="fr-CA"/>
        </w:rPr>
        <w:t xml:space="preserve"> </w:t>
      </w:r>
      <w:r w:rsidR="0090344D">
        <w:rPr>
          <w:sz w:val="20"/>
          <w:szCs w:val="20"/>
          <w:lang w:val="fr-CA"/>
        </w:rPr>
        <w:t xml:space="preserve">mai </w:t>
      </w:r>
      <w:r w:rsidRPr="003B3977">
        <w:rPr>
          <w:sz w:val="20"/>
          <w:szCs w:val="20"/>
          <w:lang w:val="fr-CA"/>
        </w:rPr>
        <w:t>201</w:t>
      </w:r>
      <w:r>
        <w:rPr>
          <w:sz w:val="20"/>
          <w:szCs w:val="20"/>
          <w:lang w:val="fr-CA"/>
        </w:rPr>
        <w:t>4</w:t>
      </w:r>
    </w:p>
    <w:p w:rsidR="005C6840" w:rsidRPr="003B3977" w:rsidRDefault="000B3306" w:rsidP="005C6840">
      <w:pPr>
        <w:rPr>
          <w:sz w:val="20"/>
          <w:szCs w:val="20"/>
          <w:lang w:val="fr-CA"/>
        </w:rPr>
      </w:pPr>
      <w:r>
        <w:rPr>
          <w:i/>
          <w:sz w:val="20"/>
          <w:szCs w:val="20"/>
        </w:rPr>
        <w:pict>
          <v:rect id="_x0000_i108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10FEE" w:rsidRPr="00510FEE" w:rsidRDefault="00510FEE" w:rsidP="00510FEE">
      <w:pPr>
        <w:jc w:val="both"/>
        <w:rPr>
          <w:sz w:val="20"/>
          <w:szCs w:val="20"/>
          <w:lang w:val="fr-CA"/>
        </w:rPr>
      </w:pPr>
      <w:r w:rsidRPr="00510FEE">
        <w:rPr>
          <w:sz w:val="20"/>
          <w:szCs w:val="20"/>
          <w:lang w:val="fr-CA"/>
        </w:rPr>
        <w:t>Présents : La juge en chef McLachlin et les juges LeBel, Abella, Rothstein, Moldaver, Karakatsanis et Wagner.</w:t>
      </w:r>
    </w:p>
    <w:p w:rsidR="0052229C" w:rsidRPr="00512F90" w:rsidRDefault="0052229C" w:rsidP="00510FEE">
      <w:pPr>
        <w:pStyle w:val="SCCNormalDoubleSpacing"/>
        <w:spacing w:line="240" w:lineRule="auto"/>
        <w:rPr>
          <w:sz w:val="20"/>
          <w:lang w:val="fr-CA"/>
        </w:rPr>
      </w:pPr>
    </w:p>
    <w:p w:rsidR="00510FEE" w:rsidRDefault="00510FEE" w:rsidP="000A781C">
      <w:pPr>
        <w:jc w:val="both"/>
        <w:rPr>
          <w:rFonts w:eastAsia="Times New Roman" w:cs="Times New Roman"/>
          <w:i/>
          <w:sz w:val="20"/>
          <w:szCs w:val="20"/>
          <w:lang w:val="fr-CA" w:eastAsia="en-CA"/>
        </w:rPr>
      </w:pPr>
      <w:r w:rsidRPr="00510FEE">
        <w:rPr>
          <w:rFonts w:eastAsia="Times New Roman" w:cs="Times New Roman"/>
          <w:sz w:val="20"/>
          <w:szCs w:val="20"/>
          <w:lang w:val="fr-CA" w:eastAsia="en-CA"/>
        </w:rPr>
        <w:tab/>
      </w:r>
      <w:r w:rsidRPr="00510FEE">
        <w:rPr>
          <w:rFonts w:eastAsia="Times New Roman" w:cs="Times New Roman"/>
          <w:i/>
          <w:sz w:val="20"/>
          <w:szCs w:val="20"/>
          <w:lang w:val="fr-CA" w:eastAsia="en-CA"/>
        </w:rPr>
        <w:t>Droit municipal — Règlements — Infractions — Préclusion — Exploitation par une entreprise d’un stationnement commercial dans une zone où un tel usage est interdit — Constat d’infraction délivré contre l’entreprise pour usage dérogatoire au règlement de zonage — Entreprise reconnaissant l’usage dérogatoire mais invoquant la doctrine de la préclusion — Dans quelles circonstances la doctrine de la préclusion peut</w:t>
      </w:r>
      <w:r w:rsidRPr="00510FEE">
        <w:rPr>
          <w:rFonts w:eastAsia="Times New Roman" w:cs="Times New Roman"/>
          <w:i/>
          <w:sz w:val="20"/>
          <w:szCs w:val="20"/>
          <w:lang w:val="fr-CA" w:eastAsia="en-CA"/>
        </w:rPr>
        <w:noBreakHyphen/>
        <w:t>elle être invoquée par un plaideur pour échapper à sa responsabilité pénale? — Loi sur les cités et villes, RLRQ, ch. C</w:t>
      </w:r>
      <w:r w:rsidRPr="00510FEE">
        <w:rPr>
          <w:rFonts w:eastAsia="Times New Roman" w:cs="Times New Roman"/>
          <w:i/>
          <w:sz w:val="20"/>
          <w:szCs w:val="20"/>
          <w:lang w:val="fr-CA" w:eastAsia="en-CA"/>
        </w:rPr>
        <w:noBreakHyphen/>
        <w:t>19, art. 576 — Loi sur l’aménagement et l’urbanisme, RLRQ, c. A</w:t>
      </w:r>
      <w:r w:rsidRPr="00510FEE">
        <w:rPr>
          <w:rFonts w:eastAsia="Times New Roman" w:cs="Times New Roman"/>
          <w:i/>
          <w:sz w:val="20"/>
          <w:szCs w:val="20"/>
          <w:lang w:val="fr-CA" w:eastAsia="en-CA"/>
        </w:rPr>
        <w:noBreakHyphen/>
        <w:t>19.1, art. 227.</w:t>
      </w:r>
    </w:p>
    <w:p w:rsidR="00510FEE" w:rsidRPr="00510FEE" w:rsidRDefault="00510FEE" w:rsidP="000A781C">
      <w:pPr>
        <w:jc w:val="both"/>
        <w:rPr>
          <w:rFonts w:eastAsia="Times New Roman" w:cs="Times New Roman"/>
          <w:i/>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sz w:val="20"/>
          <w:szCs w:val="20"/>
          <w:lang w:val="fr-CA" w:eastAsia="en-CA"/>
        </w:rPr>
        <w:tab/>
        <w:t>La Ville a délivré contre l’entreprise IJR un constat d’infraction lui reprochant d’avoir exploité sur son terrain un stationnement à vocation commerciale, alors que cet usage contrevenait au règlement de zonage applicable dans le secteur.  L’entreprise a reconnu l’usage dérogatoire, mais a plaidé la doctrine de la préclusion promissoire.  Au soutien de sa prétention, l’entreprise a invoqué plusieurs faits et gestes posés par la Ville, dont le libellé d’une clause de contrat de vente conclu avec la Ville prévoyant le maintien des droits actuels de l’entreprise, la nature de certains travaux effectués par la Ville, une indemnité versée par la Ville à l’entreprise pour la perte de revenus de stationnement en raison de travaux de réaménagement de l’autoroute à proximité du bien</w:t>
      </w:r>
      <w:r w:rsidRPr="00510FEE">
        <w:rPr>
          <w:rFonts w:eastAsia="Times New Roman" w:cs="Times New Roman"/>
          <w:sz w:val="20"/>
          <w:szCs w:val="20"/>
          <w:lang w:val="fr-CA" w:eastAsia="en-CA"/>
        </w:rPr>
        <w:noBreakHyphen/>
        <w:t>fonds, la perception par la Ville de taxes municipales, suivant un taux non résidentiel, à l’égard du bien</w:t>
      </w:r>
      <w:r w:rsidRPr="00510FEE">
        <w:rPr>
          <w:rFonts w:eastAsia="Times New Roman" w:cs="Times New Roman"/>
          <w:sz w:val="20"/>
          <w:szCs w:val="20"/>
          <w:lang w:val="fr-CA" w:eastAsia="en-CA"/>
        </w:rPr>
        <w:noBreakHyphen/>
        <w:t>fonds, ainsi que l’installation d’un panneau sur la voie publique signalant l’existence du stationnement public.  En première instance, l’entreprise a été déclarée coupable d’avoir enfreint le règlement de zonage.  En appel devant la Cour supérieure, l’entreprise a été acquittée, mais la Cour d’appel a par la suite rétabli la déclaration de culpabilité.</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sz w:val="20"/>
          <w:szCs w:val="20"/>
          <w:lang w:val="fr-CA" w:eastAsia="en-CA"/>
        </w:rPr>
        <w:tab/>
      </w:r>
      <w:r w:rsidRPr="00510FEE">
        <w:rPr>
          <w:rFonts w:eastAsia="Times New Roman" w:cs="Times New Roman"/>
          <w:i/>
          <w:sz w:val="20"/>
          <w:szCs w:val="20"/>
          <w:lang w:val="fr-CA" w:eastAsia="en-CA"/>
        </w:rPr>
        <w:t>Arrêt</w:t>
      </w:r>
      <w:r w:rsidRPr="00510FEE">
        <w:rPr>
          <w:rFonts w:eastAsia="Times New Roman" w:cs="Times New Roman"/>
          <w:sz w:val="20"/>
          <w:szCs w:val="20"/>
          <w:lang w:val="fr-CA" w:eastAsia="en-CA"/>
        </w:rPr>
        <w:t> : Le pourvoi est rejeté.</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sz w:val="20"/>
          <w:szCs w:val="20"/>
          <w:lang w:val="fr-CA" w:eastAsia="en-CA"/>
        </w:rPr>
        <w:tab/>
        <w:t>En droit public, la préclusion promissoire exige la preuve d’une promesse claire et non équivoque faite par l’autorité publique à un justiciable afin de l’inciter à accomplir certains actes.  De plus, il est nécessaire que ce dernier se fie à cette promesse et agisse sur la foi de celle</w:t>
      </w:r>
      <w:r w:rsidRPr="00510FEE">
        <w:rPr>
          <w:rFonts w:eastAsia="Times New Roman" w:cs="Times New Roman"/>
          <w:sz w:val="20"/>
          <w:szCs w:val="20"/>
          <w:lang w:val="fr-CA" w:eastAsia="en-CA"/>
        </w:rPr>
        <w:noBreakHyphen/>
        <w:t xml:space="preserve">ci pour modifier son comportement.  Cependant, la doctrine de la préclusion doit céder devant un intérêt public prépondérant, et elle ne peut être invoquée pour contester l’application d’une disposition explicite de la loi.  L’adoption de la réglementation en matière de zonage tient compte de l’intérêt public et les dispositions pénales réglementaires en assurent le respect.  En effet, le recours pénal existe pour permettre aux municipalités de faire respecter les règlements de zonage, qui sont adoptés pour encadrer le développement harmonieux du territoire urbain.  En l’espèce, le règlement est explicite, il établit une infraction de responsabilité stricte pour des motifs d’intérêt public et il ne permet pas à la municipalité de consentir à un usage dérogatoire.  En conséquence, la doctrine de la préclusion n’est d’aucun secours à l’entreprise. </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sz w:val="20"/>
          <w:szCs w:val="20"/>
          <w:lang w:val="fr-CA" w:eastAsia="en-CA"/>
        </w:rPr>
        <w:tab/>
        <w:t xml:space="preserve">Par ailleurs, la dualité de recours dont disposent les municipalités pour assurer l’application des règlements de zonage — le recours de nature pénale, et le recours de nature civile, dont celui prévu à l’art. 227 de la </w:t>
      </w:r>
      <w:r w:rsidRPr="00510FEE">
        <w:rPr>
          <w:rFonts w:eastAsia="Times New Roman" w:cs="Times New Roman"/>
          <w:i/>
          <w:sz w:val="20"/>
          <w:szCs w:val="20"/>
          <w:lang w:val="fr-CA" w:eastAsia="en-CA"/>
        </w:rPr>
        <w:t>Loi sur l’aménagement et l’urbanisme</w:t>
      </w:r>
      <w:r w:rsidRPr="00510FEE">
        <w:rPr>
          <w:rFonts w:eastAsia="Times New Roman" w:cs="Times New Roman"/>
          <w:sz w:val="20"/>
          <w:szCs w:val="20"/>
          <w:lang w:val="fr-CA" w:eastAsia="en-CA"/>
        </w:rPr>
        <w:t xml:space="preserve"> — n’est pas source d’injustice.  Chaque recours est clairement balisé et a des objets différents.  De plus, il n’y a pas autorité de la chose jugée entre les deux recours, et la simple possibilité qu’un recours civil fondé sur l’art. 227 puisse échouer ne fait pas naître de doute raisonnable sur la culpabilité du justiciable dans le cadre d’un recours pénal. </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sz w:val="20"/>
          <w:szCs w:val="20"/>
          <w:lang w:val="fr-CA" w:eastAsia="en-CA"/>
        </w:rPr>
        <w:tab/>
        <w:t>POURVOI contre un arrêt de la Cour d’appel du Québec (les juges Rochette et Doyon et le juge Viens (</w:t>
      </w:r>
      <w:r w:rsidRPr="00510FEE">
        <w:rPr>
          <w:rFonts w:eastAsia="Times New Roman" w:cs="Times New Roman"/>
          <w:i/>
          <w:sz w:val="20"/>
          <w:szCs w:val="20"/>
          <w:lang w:val="fr-CA" w:eastAsia="en-CA"/>
        </w:rPr>
        <w:t>ad hoc</w:t>
      </w:r>
      <w:r w:rsidRPr="00510FEE">
        <w:rPr>
          <w:rFonts w:eastAsia="Times New Roman" w:cs="Times New Roman"/>
          <w:sz w:val="20"/>
          <w:szCs w:val="20"/>
          <w:lang w:val="fr-CA" w:eastAsia="en-CA"/>
        </w:rPr>
        <w:t>)), 2013 QCCA 219, 6 M.P.L.R. (5th) 36, [2013] J.Q. n</w:t>
      </w:r>
      <w:r w:rsidRPr="00510FEE">
        <w:rPr>
          <w:rFonts w:eastAsia="Times New Roman" w:cs="Times New Roman"/>
          <w:sz w:val="20"/>
          <w:szCs w:val="20"/>
          <w:vertAlign w:val="superscript"/>
          <w:lang w:val="fr-CA" w:eastAsia="en-CA"/>
        </w:rPr>
        <w:t>o</w:t>
      </w:r>
      <w:r w:rsidRPr="00510FEE">
        <w:rPr>
          <w:rFonts w:eastAsia="Times New Roman" w:cs="Times New Roman"/>
          <w:sz w:val="20"/>
          <w:szCs w:val="20"/>
          <w:lang w:val="fr-CA" w:eastAsia="en-CA"/>
        </w:rPr>
        <w:t xml:space="preserve"> 840 (QL), 2013 CarswellQue 835, SOQUIJ AZ</w:t>
      </w:r>
      <w:r w:rsidRPr="00510FEE">
        <w:rPr>
          <w:rFonts w:eastAsia="Times New Roman" w:cs="Times New Roman"/>
          <w:sz w:val="20"/>
          <w:szCs w:val="20"/>
          <w:lang w:val="fr-CA" w:eastAsia="en-CA"/>
        </w:rPr>
        <w:noBreakHyphen/>
        <w:t>50934762, qui a infirmé une décision du juge Pronovost, 2012 QCCS 806, [2012] J.Q. n</w:t>
      </w:r>
      <w:r w:rsidRPr="00510FEE">
        <w:rPr>
          <w:rFonts w:eastAsia="Times New Roman" w:cs="Times New Roman"/>
          <w:sz w:val="20"/>
          <w:szCs w:val="20"/>
          <w:vertAlign w:val="superscript"/>
          <w:lang w:val="fr-CA" w:eastAsia="en-CA"/>
        </w:rPr>
        <w:t>o</w:t>
      </w:r>
      <w:r w:rsidRPr="00510FEE">
        <w:rPr>
          <w:rFonts w:eastAsia="Times New Roman" w:cs="Times New Roman"/>
          <w:sz w:val="20"/>
          <w:szCs w:val="20"/>
          <w:lang w:val="fr-CA" w:eastAsia="en-CA"/>
        </w:rPr>
        <w:t xml:space="preserve"> 1839 (QL), 2012 CarswellQue 1924, SOQUIJ AZ</w:t>
      </w:r>
      <w:r w:rsidRPr="00510FEE">
        <w:rPr>
          <w:rFonts w:eastAsia="Times New Roman" w:cs="Times New Roman"/>
          <w:sz w:val="20"/>
          <w:szCs w:val="20"/>
          <w:lang w:val="fr-CA" w:eastAsia="en-CA"/>
        </w:rPr>
        <w:noBreakHyphen/>
        <w:t>50836989, qui avait infirmé une décision du juge municipal Gaumond, 2011 QCCM 167, [2011] J.Q. n</w:t>
      </w:r>
      <w:r w:rsidRPr="00510FEE">
        <w:rPr>
          <w:rFonts w:eastAsia="Times New Roman" w:cs="Times New Roman"/>
          <w:sz w:val="20"/>
          <w:szCs w:val="20"/>
          <w:vertAlign w:val="superscript"/>
          <w:lang w:val="fr-CA" w:eastAsia="en-CA"/>
        </w:rPr>
        <w:t>o</w:t>
      </w:r>
      <w:r w:rsidRPr="00510FEE">
        <w:rPr>
          <w:rFonts w:eastAsia="Times New Roman" w:cs="Times New Roman"/>
          <w:sz w:val="20"/>
          <w:szCs w:val="20"/>
          <w:lang w:val="fr-CA" w:eastAsia="en-CA"/>
        </w:rPr>
        <w:t xml:space="preserve"> 6633 (QL), 2011 CarswellQue 6499, SOQUIJ AZ</w:t>
      </w:r>
      <w:r w:rsidRPr="00510FEE">
        <w:rPr>
          <w:rFonts w:eastAsia="Times New Roman" w:cs="Times New Roman"/>
          <w:sz w:val="20"/>
          <w:szCs w:val="20"/>
          <w:lang w:val="fr-CA" w:eastAsia="en-CA"/>
        </w:rPr>
        <w:noBreakHyphen/>
        <w:t>50759379.  Pourvoi rejeté.</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i/>
          <w:sz w:val="20"/>
          <w:szCs w:val="20"/>
          <w:lang w:val="fr-CA" w:eastAsia="en-CA"/>
        </w:rPr>
        <w:lastRenderedPageBreak/>
        <w:tab/>
        <w:t>David Bernier</w:t>
      </w:r>
      <w:r w:rsidRPr="00510FEE">
        <w:rPr>
          <w:rFonts w:eastAsia="Times New Roman" w:cs="Times New Roman"/>
          <w:sz w:val="20"/>
          <w:szCs w:val="20"/>
          <w:lang w:val="fr-CA" w:eastAsia="en-CA"/>
        </w:rPr>
        <w:t xml:space="preserve"> et </w:t>
      </w:r>
      <w:r w:rsidRPr="00510FEE">
        <w:rPr>
          <w:rFonts w:eastAsia="Times New Roman" w:cs="Times New Roman"/>
          <w:i/>
          <w:sz w:val="20"/>
          <w:szCs w:val="20"/>
          <w:lang w:val="fr-CA" w:eastAsia="en-CA"/>
        </w:rPr>
        <w:t>William Noonan</w:t>
      </w:r>
      <w:r w:rsidRPr="00510FEE">
        <w:rPr>
          <w:rFonts w:eastAsia="Times New Roman" w:cs="Times New Roman"/>
          <w:sz w:val="20"/>
          <w:szCs w:val="20"/>
          <w:lang w:val="fr-CA" w:eastAsia="en-CA"/>
        </w:rPr>
        <w:t>, pour l’appelante.</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sz w:val="20"/>
          <w:szCs w:val="20"/>
          <w:lang w:val="fr-CA" w:eastAsia="en-CA"/>
        </w:rPr>
      </w:pPr>
      <w:r w:rsidRPr="00510FEE">
        <w:rPr>
          <w:rFonts w:eastAsia="Times New Roman" w:cs="Times New Roman"/>
          <w:i/>
          <w:sz w:val="20"/>
          <w:szCs w:val="20"/>
          <w:lang w:val="fr-CA" w:eastAsia="en-CA"/>
        </w:rPr>
        <w:tab/>
        <w:t>Isabelle Chouinard</w:t>
      </w:r>
      <w:r w:rsidRPr="00510FEE">
        <w:rPr>
          <w:rFonts w:eastAsia="Times New Roman" w:cs="Times New Roman"/>
          <w:sz w:val="20"/>
          <w:szCs w:val="20"/>
          <w:lang w:val="fr-CA" w:eastAsia="en-CA"/>
        </w:rPr>
        <w:t xml:space="preserve">, </w:t>
      </w:r>
      <w:r w:rsidRPr="00510FEE">
        <w:rPr>
          <w:rFonts w:eastAsia="Times New Roman" w:cs="Times New Roman"/>
          <w:i/>
          <w:sz w:val="20"/>
          <w:szCs w:val="20"/>
          <w:lang w:val="fr-CA" w:eastAsia="en-CA"/>
        </w:rPr>
        <w:t>Marc Desrosiers</w:t>
      </w:r>
      <w:r w:rsidRPr="00510FEE">
        <w:rPr>
          <w:rFonts w:eastAsia="Times New Roman" w:cs="Times New Roman"/>
          <w:sz w:val="20"/>
          <w:szCs w:val="20"/>
          <w:lang w:val="fr-CA" w:eastAsia="en-CA"/>
        </w:rPr>
        <w:t xml:space="preserve"> et </w:t>
      </w:r>
      <w:r w:rsidRPr="00510FEE">
        <w:rPr>
          <w:rFonts w:eastAsia="Times New Roman" w:cs="Times New Roman"/>
          <w:i/>
          <w:sz w:val="20"/>
          <w:szCs w:val="20"/>
          <w:lang w:val="fr-CA" w:eastAsia="en-CA"/>
        </w:rPr>
        <w:t>Kathy Lévesque</w:t>
      </w:r>
      <w:r w:rsidRPr="00510FEE">
        <w:rPr>
          <w:rFonts w:eastAsia="Times New Roman" w:cs="Times New Roman"/>
          <w:sz w:val="20"/>
          <w:szCs w:val="20"/>
          <w:lang w:val="fr-CA" w:eastAsia="en-CA"/>
        </w:rPr>
        <w:t>, pour l’intimée.</w:t>
      </w:r>
    </w:p>
    <w:p w:rsidR="00510FEE" w:rsidRPr="00510FEE" w:rsidRDefault="00510FEE" w:rsidP="000A781C">
      <w:pPr>
        <w:jc w:val="both"/>
        <w:rPr>
          <w:rFonts w:eastAsia="Times New Roman" w:cs="Times New Roman"/>
          <w:sz w:val="20"/>
          <w:szCs w:val="20"/>
          <w:lang w:val="fr-CA" w:eastAsia="en-CA"/>
        </w:rPr>
      </w:pPr>
    </w:p>
    <w:p w:rsidR="00510FEE" w:rsidRDefault="00510FEE" w:rsidP="000A781C">
      <w:pPr>
        <w:jc w:val="both"/>
        <w:rPr>
          <w:rFonts w:eastAsia="Times New Roman" w:cs="Times New Roman"/>
          <w:i/>
          <w:sz w:val="20"/>
          <w:szCs w:val="20"/>
          <w:lang w:val="fr-CA" w:eastAsia="en-CA"/>
        </w:rPr>
      </w:pPr>
      <w:r w:rsidRPr="00510FEE">
        <w:rPr>
          <w:rFonts w:eastAsia="Times New Roman" w:cs="Times New Roman"/>
          <w:i/>
          <w:sz w:val="20"/>
          <w:szCs w:val="20"/>
          <w:lang w:val="fr-CA" w:eastAsia="en-CA"/>
        </w:rPr>
        <w:tab/>
        <w:t>Procureurs de l’appelante : Hickson Noonan, Québec.</w:t>
      </w:r>
    </w:p>
    <w:p w:rsidR="00510FEE" w:rsidRPr="00510FEE" w:rsidRDefault="00510FEE" w:rsidP="000A781C">
      <w:pPr>
        <w:jc w:val="both"/>
        <w:rPr>
          <w:rFonts w:eastAsia="Times New Roman" w:cs="Times New Roman"/>
          <w:i/>
          <w:sz w:val="20"/>
          <w:szCs w:val="20"/>
          <w:lang w:val="fr-CA" w:eastAsia="en-CA"/>
        </w:rPr>
      </w:pPr>
    </w:p>
    <w:p w:rsidR="00510FEE" w:rsidRPr="00510FEE" w:rsidRDefault="00510FEE" w:rsidP="000A781C">
      <w:pPr>
        <w:jc w:val="both"/>
        <w:rPr>
          <w:i/>
          <w:sz w:val="20"/>
          <w:szCs w:val="20"/>
          <w:lang w:val="fr-CA"/>
        </w:rPr>
      </w:pPr>
      <w:r w:rsidRPr="00510FEE">
        <w:rPr>
          <w:sz w:val="20"/>
          <w:szCs w:val="20"/>
          <w:lang w:val="fr-CA"/>
        </w:rPr>
        <w:tab/>
      </w:r>
      <w:r w:rsidRPr="00510FEE">
        <w:rPr>
          <w:i/>
          <w:sz w:val="20"/>
          <w:szCs w:val="20"/>
          <w:lang w:val="fr-CA"/>
        </w:rPr>
        <w:t>Procureurs de l’intimée : Giasson et associés, Québec.</w:t>
      </w:r>
    </w:p>
    <w:p w:rsidR="0052229C" w:rsidRPr="00512F90" w:rsidRDefault="0052229C" w:rsidP="0052229C">
      <w:pPr>
        <w:rPr>
          <w:sz w:val="20"/>
          <w:szCs w:val="20"/>
          <w:lang w:val="en-US"/>
        </w:rPr>
      </w:pPr>
      <w:r w:rsidRPr="00512F90">
        <w:rPr>
          <w:sz w:val="20"/>
          <w:szCs w:val="20"/>
          <w:lang w:val="en-US"/>
        </w:rPr>
        <w:t>________________________</w:t>
      </w:r>
    </w:p>
    <w:p w:rsidR="0052229C" w:rsidRPr="00512F90" w:rsidRDefault="0052229C" w:rsidP="0052229C">
      <w:pPr>
        <w:rPr>
          <w:sz w:val="20"/>
          <w:szCs w:val="20"/>
          <w:lang w:val="en-US"/>
        </w:rPr>
      </w:pPr>
    </w:p>
    <w:p w:rsidR="0052229C" w:rsidRPr="00510FEE" w:rsidRDefault="00510FEE" w:rsidP="00510FEE">
      <w:pPr>
        <w:jc w:val="both"/>
        <w:rPr>
          <w:sz w:val="20"/>
          <w:szCs w:val="20"/>
        </w:rPr>
      </w:pPr>
      <w:r w:rsidRPr="00510FEE">
        <w:rPr>
          <w:sz w:val="20"/>
          <w:szCs w:val="20"/>
          <w:lang w:val="en-US"/>
        </w:rPr>
        <w:t>Present:  McLachlin C.J. and LeBel, Abella, Rothstein, Moldaver, Karakatsanis and Wagner JJ.</w:t>
      </w:r>
    </w:p>
    <w:p w:rsidR="0052229C" w:rsidRPr="00510FEE" w:rsidRDefault="0052229C" w:rsidP="00510FEE">
      <w:pPr>
        <w:jc w:val="both"/>
        <w:rPr>
          <w:smallCaps/>
          <w:sz w:val="20"/>
          <w:szCs w:val="20"/>
          <w:lang w:val="en-US"/>
        </w:rPr>
      </w:pPr>
    </w:p>
    <w:p w:rsidR="00510FEE" w:rsidRDefault="00510FEE" w:rsidP="000A781C">
      <w:pPr>
        <w:jc w:val="both"/>
        <w:rPr>
          <w:rFonts w:eastAsia="Times New Roman" w:cs="Times New Roman"/>
          <w:i/>
          <w:sz w:val="20"/>
          <w:szCs w:val="20"/>
          <w:lang w:eastAsia="en-CA"/>
        </w:rPr>
      </w:pPr>
      <w:r w:rsidRPr="00510FEE">
        <w:rPr>
          <w:rFonts w:eastAsia="Times New Roman" w:cs="Times New Roman"/>
          <w:sz w:val="20"/>
          <w:szCs w:val="20"/>
          <w:lang w:eastAsia="en-CA"/>
        </w:rPr>
        <w:tab/>
      </w:r>
      <w:r w:rsidRPr="00510FEE">
        <w:rPr>
          <w:rFonts w:eastAsia="Times New Roman" w:cs="Times New Roman"/>
          <w:i/>
          <w:sz w:val="20"/>
          <w:szCs w:val="20"/>
          <w:lang w:eastAsia="en-CA"/>
        </w:rPr>
        <w:t>Municipal law — By</w:t>
      </w:r>
      <w:r w:rsidRPr="00510FEE">
        <w:rPr>
          <w:rFonts w:eastAsia="Times New Roman" w:cs="Times New Roman"/>
          <w:i/>
          <w:sz w:val="20"/>
          <w:szCs w:val="20"/>
          <w:lang w:eastAsia="en-CA"/>
        </w:rPr>
        <w:noBreakHyphen/>
        <w:t>laws — Offences — Estoppel — Operation of commercial parking lot by company in zone where such use prohibited — Statement of offence issued against company for non</w:t>
      </w:r>
      <w:r w:rsidRPr="00510FEE">
        <w:rPr>
          <w:rFonts w:eastAsia="Times New Roman" w:cs="Times New Roman"/>
          <w:i/>
          <w:sz w:val="20"/>
          <w:szCs w:val="20"/>
          <w:lang w:eastAsia="en-CA"/>
        </w:rPr>
        <w:noBreakHyphen/>
        <w:t>conforming use under zoning by</w:t>
      </w:r>
      <w:r w:rsidRPr="00510FEE">
        <w:rPr>
          <w:rFonts w:eastAsia="Times New Roman" w:cs="Times New Roman"/>
          <w:i/>
          <w:sz w:val="20"/>
          <w:szCs w:val="20"/>
          <w:lang w:eastAsia="en-CA"/>
        </w:rPr>
        <w:noBreakHyphen/>
        <w:t>law — Company admitting to non</w:t>
      </w:r>
      <w:r w:rsidRPr="00510FEE">
        <w:rPr>
          <w:rFonts w:eastAsia="Times New Roman" w:cs="Times New Roman"/>
          <w:i/>
          <w:sz w:val="20"/>
          <w:szCs w:val="20"/>
          <w:lang w:eastAsia="en-CA"/>
        </w:rPr>
        <w:noBreakHyphen/>
        <w:t>conforming use but raising doctrine of estoppel — Circumstances in which defendant can rely on doctrine of estoppel to avoid penal liability — Cities and Towns Act, CQLR, c. C</w:t>
      </w:r>
      <w:r w:rsidRPr="00510FEE">
        <w:rPr>
          <w:rFonts w:eastAsia="Times New Roman" w:cs="Times New Roman"/>
          <w:i/>
          <w:sz w:val="20"/>
          <w:szCs w:val="20"/>
          <w:lang w:eastAsia="en-CA"/>
        </w:rPr>
        <w:noBreakHyphen/>
        <w:t>19, s. 576 — Act respecting land use planning and development, CQLR, c. A</w:t>
      </w:r>
      <w:r w:rsidRPr="00510FEE">
        <w:rPr>
          <w:rFonts w:eastAsia="Times New Roman" w:cs="Times New Roman"/>
          <w:i/>
          <w:sz w:val="20"/>
          <w:szCs w:val="20"/>
          <w:lang w:eastAsia="en-CA"/>
        </w:rPr>
        <w:noBreakHyphen/>
        <w:t>19.1, s. 227.</w:t>
      </w:r>
    </w:p>
    <w:p w:rsidR="00510FEE" w:rsidRPr="00510FEE" w:rsidRDefault="00510FEE" w:rsidP="000A781C">
      <w:pPr>
        <w:jc w:val="both"/>
        <w:rPr>
          <w:rFonts w:eastAsia="Times New Roman" w:cs="Times New Roman"/>
          <w:i/>
          <w:sz w:val="20"/>
          <w:szCs w:val="20"/>
          <w:lang w:eastAsia="en-CA"/>
        </w:rPr>
      </w:pPr>
    </w:p>
    <w:p w:rsidR="00510FEE" w:rsidRDefault="00510FEE" w:rsidP="000A781C">
      <w:pPr>
        <w:jc w:val="both"/>
        <w:rPr>
          <w:rFonts w:eastAsia="Times New Roman" w:cs="Times New Roman"/>
          <w:sz w:val="20"/>
          <w:szCs w:val="20"/>
          <w:lang w:eastAsia="en-CA"/>
        </w:rPr>
      </w:pPr>
      <w:r w:rsidRPr="00510FEE">
        <w:rPr>
          <w:rFonts w:eastAsia="Times New Roman" w:cs="Times New Roman"/>
          <w:sz w:val="20"/>
          <w:szCs w:val="20"/>
          <w:lang w:eastAsia="en-CA"/>
        </w:rPr>
        <w:tab/>
        <w:t>The City issued a statement of offence against the company IJR for operating a commercial parking lot on its property, a use that violated the applicable zoning by</w:t>
      </w:r>
      <w:r w:rsidRPr="00510FEE">
        <w:rPr>
          <w:rFonts w:eastAsia="Times New Roman" w:cs="Times New Roman"/>
          <w:sz w:val="20"/>
          <w:szCs w:val="20"/>
          <w:lang w:eastAsia="en-CA"/>
        </w:rPr>
        <w:noBreakHyphen/>
        <w:t>law in the sector in question.  The company admitted to the non</w:t>
      </w:r>
      <w:r w:rsidRPr="00510FEE">
        <w:rPr>
          <w:rFonts w:eastAsia="Times New Roman" w:cs="Times New Roman"/>
          <w:sz w:val="20"/>
          <w:szCs w:val="20"/>
          <w:lang w:eastAsia="en-CA"/>
        </w:rPr>
        <w:noBreakHyphen/>
        <w:t>conforming use but raised the doctrine of promissory estoppel.  In support of its argument, the company relied on a number of actions of the City, including:  the wording of a clause in a contract of sale entered into with the City, which provided for the preservation of the company’s existing rights; the nature of certain work done by the City; compensation paid to the company by the City for loss of parking income due to freeway construction work next to the property; the collection by the City of municipal taxes, at a non</w:t>
      </w:r>
      <w:r w:rsidRPr="00510FEE">
        <w:rPr>
          <w:rFonts w:eastAsia="Times New Roman" w:cs="Times New Roman"/>
          <w:sz w:val="20"/>
          <w:szCs w:val="20"/>
          <w:lang w:eastAsia="en-CA"/>
        </w:rPr>
        <w:noBreakHyphen/>
        <w:t>residential rate, on the property in question; and the installation of a sign on the public road to indicate the existence of the public parking lot.  At trial, the company was convicted of violating the zoning by</w:t>
      </w:r>
      <w:r w:rsidRPr="00510FEE">
        <w:rPr>
          <w:rFonts w:eastAsia="Times New Roman" w:cs="Times New Roman"/>
          <w:sz w:val="20"/>
          <w:szCs w:val="20"/>
          <w:lang w:eastAsia="en-CA"/>
        </w:rPr>
        <w:noBreakHyphen/>
        <w:t>law.  The company appealed to the Superior Court, which acquitted it, but the Court of Appeal subsequently restored the conviction.</w:t>
      </w:r>
    </w:p>
    <w:p w:rsidR="00510FEE" w:rsidRPr="00510FEE" w:rsidRDefault="00510FEE" w:rsidP="000A781C">
      <w:pPr>
        <w:jc w:val="both"/>
        <w:rPr>
          <w:rFonts w:eastAsia="Times New Roman" w:cs="Times New Roman"/>
          <w:sz w:val="20"/>
          <w:szCs w:val="20"/>
          <w:lang w:eastAsia="en-CA"/>
        </w:rPr>
      </w:pPr>
    </w:p>
    <w:p w:rsidR="00510FEE" w:rsidRDefault="00510FEE" w:rsidP="000A781C">
      <w:pPr>
        <w:jc w:val="both"/>
        <w:rPr>
          <w:rFonts w:eastAsia="Times New Roman" w:cs="Times New Roman"/>
          <w:sz w:val="20"/>
          <w:szCs w:val="20"/>
          <w:lang w:eastAsia="en-CA"/>
        </w:rPr>
      </w:pPr>
      <w:r w:rsidRPr="00510FEE">
        <w:rPr>
          <w:rFonts w:eastAsia="Times New Roman" w:cs="Times New Roman"/>
          <w:sz w:val="20"/>
          <w:szCs w:val="20"/>
          <w:lang w:eastAsia="en-CA"/>
        </w:rPr>
        <w:tab/>
      </w:r>
      <w:r w:rsidRPr="00510FEE">
        <w:rPr>
          <w:rFonts w:eastAsia="Times New Roman" w:cs="Times New Roman"/>
          <w:i/>
          <w:sz w:val="20"/>
          <w:szCs w:val="20"/>
          <w:lang w:eastAsia="en-CA"/>
        </w:rPr>
        <w:t>Held</w:t>
      </w:r>
      <w:r w:rsidRPr="00510FEE">
        <w:rPr>
          <w:rFonts w:eastAsia="Times New Roman" w:cs="Times New Roman"/>
          <w:sz w:val="20"/>
          <w:szCs w:val="20"/>
          <w:lang w:eastAsia="en-CA"/>
        </w:rPr>
        <w:t>:  The appeal should be dismissed.</w:t>
      </w:r>
    </w:p>
    <w:p w:rsidR="00510FEE" w:rsidRPr="00510FEE" w:rsidRDefault="00510FEE" w:rsidP="000A781C">
      <w:pPr>
        <w:jc w:val="both"/>
        <w:rPr>
          <w:rFonts w:eastAsia="Times New Roman" w:cs="Times New Roman"/>
          <w:sz w:val="20"/>
          <w:szCs w:val="20"/>
          <w:lang w:eastAsia="en-CA"/>
        </w:rPr>
      </w:pPr>
    </w:p>
    <w:p w:rsidR="00510FEE" w:rsidRDefault="00510FEE" w:rsidP="000A781C">
      <w:pPr>
        <w:jc w:val="both"/>
        <w:rPr>
          <w:rFonts w:eastAsia="Times New Roman" w:cs="Times New Roman"/>
          <w:sz w:val="20"/>
          <w:szCs w:val="20"/>
          <w:lang w:eastAsia="en-CA"/>
        </w:rPr>
      </w:pPr>
      <w:r w:rsidRPr="00510FEE">
        <w:rPr>
          <w:rFonts w:eastAsia="Times New Roman" w:cs="Times New Roman"/>
          <w:sz w:val="20"/>
          <w:szCs w:val="20"/>
          <w:lang w:eastAsia="en-CA"/>
        </w:rPr>
        <w:tab/>
        <w:t>In the public law context, promissory estoppel requires proof of a clear and unambiguous promise made to a citizen by a public authority in order to induce the citizen to perform certain acts.  In addition, the citizen must have relied on the promise and acted on it by changing his or her conduct.  However, the doctrine of estoppel must yield to an overriding public interest and may not be invoked to prevent the application of an express legislative provision.  The public interest is taken into account in adopting a zoning by</w:t>
      </w:r>
      <w:r w:rsidRPr="00510FEE">
        <w:rPr>
          <w:rFonts w:eastAsia="Times New Roman" w:cs="Times New Roman"/>
          <w:sz w:val="20"/>
          <w:szCs w:val="20"/>
          <w:lang w:eastAsia="en-CA"/>
        </w:rPr>
        <w:noBreakHyphen/>
        <w:t>law, and the by</w:t>
      </w:r>
      <w:r w:rsidRPr="00510FEE">
        <w:rPr>
          <w:rFonts w:eastAsia="Times New Roman" w:cs="Times New Roman"/>
          <w:sz w:val="20"/>
          <w:szCs w:val="20"/>
          <w:lang w:eastAsia="en-CA"/>
        </w:rPr>
        <w:noBreakHyphen/>
        <w:t>law’s penal provisions ensure that it is complied with.  The penal recourse exists to enable a municipality to enforce zoning by</w:t>
      </w:r>
      <w:r w:rsidRPr="00510FEE">
        <w:rPr>
          <w:rFonts w:eastAsia="Times New Roman" w:cs="Times New Roman"/>
          <w:sz w:val="20"/>
          <w:szCs w:val="20"/>
          <w:lang w:eastAsia="en-CA"/>
        </w:rPr>
        <w:noBreakHyphen/>
        <w:t>laws, which are adopted to ensure harmonious development of the urban area.  In this case, the by</w:t>
      </w:r>
      <w:r w:rsidRPr="00510FEE">
        <w:rPr>
          <w:rFonts w:eastAsia="Times New Roman" w:cs="Times New Roman"/>
          <w:sz w:val="20"/>
          <w:szCs w:val="20"/>
          <w:lang w:eastAsia="en-CA"/>
        </w:rPr>
        <w:noBreakHyphen/>
        <w:t>law is clear, and it creates a strict liability offence on grounds related to the public interest and does not authorize the municipality to consent to a non</w:t>
      </w:r>
      <w:r w:rsidRPr="00510FEE">
        <w:rPr>
          <w:rFonts w:eastAsia="Times New Roman" w:cs="Times New Roman"/>
          <w:sz w:val="20"/>
          <w:szCs w:val="20"/>
          <w:lang w:eastAsia="en-CA"/>
        </w:rPr>
        <w:noBreakHyphen/>
        <w:t xml:space="preserve">conforming use.  As a result, the doctrine of estoppel is of no assistance to the company. </w:t>
      </w:r>
    </w:p>
    <w:p w:rsidR="00510FEE" w:rsidRPr="00510FEE" w:rsidRDefault="00510FEE" w:rsidP="000A781C">
      <w:pPr>
        <w:jc w:val="both"/>
        <w:rPr>
          <w:rFonts w:eastAsia="Times New Roman" w:cs="Times New Roman"/>
          <w:sz w:val="20"/>
          <w:szCs w:val="20"/>
          <w:lang w:eastAsia="en-CA"/>
        </w:rPr>
      </w:pPr>
    </w:p>
    <w:p w:rsidR="00510FEE" w:rsidRPr="00510FEE" w:rsidRDefault="00510FEE" w:rsidP="000A781C">
      <w:pPr>
        <w:jc w:val="both"/>
        <w:rPr>
          <w:rFonts w:eastAsia="Times New Roman" w:cs="Times New Roman"/>
          <w:sz w:val="20"/>
          <w:szCs w:val="20"/>
          <w:lang w:eastAsia="en-CA"/>
        </w:rPr>
      </w:pPr>
      <w:r w:rsidRPr="00510FEE">
        <w:rPr>
          <w:rFonts w:eastAsia="Times New Roman" w:cs="Times New Roman"/>
          <w:sz w:val="20"/>
          <w:szCs w:val="20"/>
          <w:lang w:eastAsia="en-CA"/>
        </w:rPr>
        <w:tab/>
        <w:t>Furthermore, the duality of recourses available to municipalities for the enforcement of zoning by</w:t>
      </w:r>
      <w:r w:rsidRPr="00510FEE">
        <w:rPr>
          <w:rFonts w:eastAsia="Times New Roman" w:cs="Times New Roman"/>
          <w:sz w:val="20"/>
          <w:szCs w:val="20"/>
          <w:lang w:eastAsia="en-CA"/>
        </w:rPr>
        <w:noBreakHyphen/>
        <w:t xml:space="preserve">laws — the penal recourse and the civil recourse, including the one provided for in s. 227 of the </w:t>
      </w:r>
      <w:r w:rsidRPr="00510FEE">
        <w:rPr>
          <w:rFonts w:eastAsia="Times New Roman" w:cs="Times New Roman"/>
          <w:i/>
          <w:sz w:val="20"/>
          <w:szCs w:val="20"/>
          <w:lang w:eastAsia="en-CA"/>
        </w:rPr>
        <w:t xml:space="preserve">Act respecting land use planning and development </w:t>
      </w:r>
      <w:r w:rsidRPr="00510FEE">
        <w:rPr>
          <w:rFonts w:eastAsia="Times New Roman" w:cs="Times New Roman"/>
          <w:sz w:val="20"/>
          <w:szCs w:val="20"/>
          <w:lang w:eastAsia="en-CA"/>
        </w:rPr>
        <w:t xml:space="preserve">— is not a source of injustice.  Each of the recourses is clearly defined, and they have different purposes.  Moreover, neither of them results in </w:t>
      </w:r>
      <w:r w:rsidRPr="00510FEE">
        <w:rPr>
          <w:rFonts w:eastAsia="Times New Roman" w:cs="Times New Roman"/>
          <w:i/>
          <w:sz w:val="20"/>
          <w:szCs w:val="20"/>
          <w:lang w:eastAsia="en-CA"/>
        </w:rPr>
        <w:t>res judicata</w:t>
      </w:r>
      <w:r w:rsidRPr="00510FEE">
        <w:rPr>
          <w:rFonts w:eastAsia="Times New Roman" w:cs="Times New Roman"/>
          <w:sz w:val="20"/>
          <w:szCs w:val="20"/>
          <w:lang w:eastAsia="en-CA"/>
        </w:rPr>
        <w:t xml:space="preserve"> as regards the other, and the mere possibility of a civil proceeding under s. 227 being unsuccessful does not raise a reasonable doubt as to the defendant’s guilt in a penal proceeding. </w:t>
      </w:r>
    </w:p>
    <w:p w:rsidR="00510FEE" w:rsidRDefault="00510FEE" w:rsidP="000A781C">
      <w:pPr>
        <w:jc w:val="both"/>
        <w:rPr>
          <w:rFonts w:eastAsia="Times New Roman" w:cs="Times New Roman"/>
          <w:sz w:val="20"/>
          <w:szCs w:val="20"/>
          <w:lang w:eastAsia="en-CA"/>
        </w:rPr>
      </w:pPr>
      <w:r w:rsidRPr="00510FEE">
        <w:rPr>
          <w:rFonts w:eastAsia="Times New Roman" w:cs="Times New Roman"/>
          <w:sz w:val="20"/>
          <w:szCs w:val="20"/>
          <w:lang w:val="en-US" w:eastAsia="en-CA"/>
        </w:rPr>
        <w:tab/>
      </w:r>
      <w:r w:rsidRPr="00510FEE">
        <w:rPr>
          <w:rFonts w:eastAsia="Times New Roman" w:cs="Times New Roman"/>
          <w:sz w:val="20"/>
          <w:szCs w:val="20"/>
          <w:lang w:eastAsia="en-CA"/>
        </w:rPr>
        <w:t>APPEAL from a judgment of the Quebec Court of Appeal (Rochette and Doyon JJ.A. and Viens J. (</w:t>
      </w:r>
      <w:r w:rsidRPr="00510FEE">
        <w:rPr>
          <w:rFonts w:eastAsia="Times New Roman" w:cs="Times New Roman"/>
          <w:i/>
          <w:sz w:val="20"/>
          <w:szCs w:val="20"/>
          <w:lang w:eastAsia="en-CA"/>
        </w:rPr>
        <w:t>ad hoc</w:t>
      </w:r>
      <w:r w:rsidRPr="00510FEE">
        <w:rPr>
          <w:rFonts w:eastAsia="Times New Roman" w:cs="Times New Roman"/>
          <w:sz w:val="20"/>
          <w:szCs w:val="20"/>
          <w:lang w:eastAsia="en-CA"/>
        </w:rPr>
        <w:t>)), 2013 QCCA 219, 6 M.P.L.R. (5th) 36, [2013] J.Q. n</w:t>
      </w:r>
      <w:r w:rsidRPr="00510FEE">
        <w:rPr>
          <w:rFonts w:eastAsia="Times New Roman" w:cs="Times New Roman"/>
          <w:sz w:val="20"/>
          <w:szCs w:val="20"/>
          <w:vertAlign w:val="superscript"/>
          <w:lang w:eastAsia="en-CA"/>
        </w:rPr>
        <w:t>o</w:t>
      </w:r>
      <w:r w:rsidRPr="00510FEE">
        <w:rPr>
          <w:rFonts w:eastAsia="Times New Roman" w:cs="Times New Roman"/>
          <w:sz w:val="20"/>
          <w:szCs w:val="20"/>
          <w:lang w:eastAsia="en-CA"/>
        </w:rPr>
        <w:t> 840 (QL), 2013 CarswellQue 835, SOQUIJ AZ</w:t>
      </w:r>
      <w:r w:rsidRPr="00510FEE">
        <w:rPr>
          <w:rFonts w:eastAsia="Times New Roman" w:cs="Times New Roman"/>
          <w:sz w:val="20"/>
          <w:szCs w:val="20"/>
          <w:lang w:eastAsia="en-CA"/>
        </w:rPr>
        <w:noBreakHyphen/>
        <w:t>50934762, setting aside a decision of Pronovost J., 2012 QCCS 806, [2012] J.Q. n</w:t>
      </w:r>
      <w:r w:rsidRPr="00510FEE">
        <w:rPr>
          <w:rFonts w:eastAsia="Times New Roman" w:cs="Times New Roman"/>
          <w:sz w:val="20"/>
          <w:szCs w:val="20"/>
          <w:vertAlign w:val="superscript"/>
          <w:lang w:eastAsia="en-CA"/>
        </w:rPr>
        <w:t>o</w:t>
      </w:r>
      <w:r w:rsidRPr="00510FEE">
        <w:rPr>
          <w:rFonts w:eastAsia="Times New Roman" w:cs="Times New Roman"/>
          <w:sz w:val="20"/>
          <w:szCs w:val="20"/>
          <w:lang w:eastAsia="en-CA"/>
        </w:rPr>
        <w:t xml:space="preserve"> 1839 (QL), 2012 CarswellQue 1924, SOQUIJ AZ</w:t>
      </w:r>
      <w:r w:rsidRPr="00510FEE">
        <w:rPr>
          <w:rFonts w:eastAsia="Times New Roman" w:cs="Times New Roman"/>
          <w:sz w:val="20"/>
          <w:szCs w:val="20"/>
          <w:lang w:eastAsia="en-CA"/>
        </w:rPr>
        <w:noBreakHyphen/>
        <w:t>50836989, which set aside a decision of Judge Gaumond, 2011 QCCM 167, [2011] J.Q. n</w:t>
      </w:r>
      <w:r w:rsidRPr="00510FEE">
        <w:rPr>
          <w:rFonts w:eastAsia="Times New Roman" w:cs="Times New Roman"/>
          <w:sz w:val="20"/>
          <w:szCs w:val="20"/>
          <w:vertAlign w:val="superscript"/>
          <w:lang w:eastAsia="en-CA"/>
        </w:rPr>
        <w:t>o</w:t>
      </w:r>
      <w:r w:rsidRPr="00510FEE">
        <w:rPr>
          <w:rFonts w:eastAsia="Times New Roman" w:cs="Times New Roman"/>
          <w:sz w:val="20"/>
          <w:szCs w:val="20"/>
          <w:lang w:eastAsia="en-CA"/>
        </w:rPr>
        <w:t> 6633 (QL), 2011 CarswellQue 6499, SOQUIJ AZ</w:t>
      </w:r>
      <w:r w:rsidRPr="00510FEE">
        <w:rPr>
          <w:rFonts w:eastAsia="Times New Roman" w:cs="Times New Roman"/>
          <w:sz w:val="20"/>
          <w:szCs w:val="20"/>
          <w:lang w:eastAsia="en-CA"/>
        </w:rPr>
        <w:noBreakHyphen/>
        <w:t>50759379.  Appeal dismissed.</w:t>
      </w:r>
    </w:p>
    <w:p w:rsidR="00510FEE" w:rsidRPr="00510FEE" w:rsidRDefault="00510FEE" w:rsidP="000A781C">
      <w:pPr>
        <w:jc w:val="both"/>
        <w:rPr>
          <w:rFonts w:eastAsia="Times New Roman" w:cs="Times New Roman"/>
          <w:sz w:val="20"/>
          <w:szCs w:val="20"/>
          <w:lang w:eastAsia="en-CA"/>
        </w:rPr>
      </w:pPr>
    </w:p>
    <w:p w:rsidR="00510FEE" w:rsidRDefault="00510FEE" w:rsidP="000A781C">
      <w:pPr>
        <w:jc w:val="both"/>
        <w:rPr>
          <w:rFonts w:eastAsia="Times New Roman" w:cs="Times New Roman"/>
          <w:sz w:val="20"/>
          <w:szCs w:val="20"/>
          <w:lang w:eastAsia="en-CA"/>
        </w:rPr>
      </w:pPr>
      <w:r w:rsidRPr="00510FEE">
        <w:rPr>
          <w:rFonts w:eastAsia="Times New Roman" w:cs="Times New Roman"/>
          <w:i/>
          <w:sz w:val="20"/>
          <w:szCs w:val="20"/>
          <w:lang w:eastAsia="en-CA"/>
        </w:rPr>
        <w:tab/>
        <w:t>David Bernier</w:t>
      </w:r>
      <w:r w:rsidRPr="00510FEE">
        <w:rPr>
          <w:rFonts w:eastAsia="Times New Roman" w:cs="Times New Roman"/>
          <w:sz w:val="20"/>
          <w:szCs w:val="20"/>
          <w:lang w:eastAsia="en-CA"/>
        </w:rPr>
        <w:t xml:space="preserve"> and </w:t>
      </w:r>
      <w:r w:rsidRPr="00510FEE">
        <w:rPr>
          <w:rFonts w:eastAsia="Times New Roman" w:cs="Times New Roman"/>
          <w:i/>
          <w:sz w:val="20"/>
          <w:szCs w:val="20"/>
          <w:lang w:eastAsia="en-CA"/>
        </w:rPr>
        <w:t>William Noonan</w:t>
      </w:r>
      <w:r w:rsidRPr="00510FEE">
        <w:rPr>
          <w:rFonts w:eastAsia="Times New Roman" w:cs="Times New Roman"/>
          <w:sz w:val="20"/>
          <w:szCs w:val="20"/>
          <w:lang w:eastAsia="en-CA"/>
        </w:rPr>
        <w:t>, for the appellant.</w:t>
      </w:r>
    </w:p>
    <w:p w:rsidR="00510FEE" w:rsidRPr="00510FEE" w:rsidRDefault="00510FEE" w:rsidP="000A781C">
      <w:pPr>
        <w:jc w:val="both"/>
        <w:rPr>
          <w:rFonts w:eastAsia="Times New Roman" w:cs="Times New Roman"/>
          <w:sz w:val="20"/>
          <w:szCs w:val="20"/>
          <w:lang w:eastAsia="en-CA"/>
        </w:rPr>
      </w:pPr>
    </w:p>
    <w:p w:rsidR="00510FEE" w:rsidRDefault="00510FEE" w:rsidP="000A781C">
      <w:pPr>
        <w:jc w:val="both"/>
        <w:rPr>
          <w:rFonts w:eastAsia="Times New Roman" w:cs="Times New Roman"/>
          <w:sz w:val="20"/>
          <w:szCs w:val="20"/>
          <w:lang w:eastAsia="en-CA"/>
        </w:rPr>
      </w:pPr>
      <w:r w:rsidRPr="00510FEE">
        <w:rPr>
          <w:rFonts w:eastAsia="Times New Roman" w:cs="Times New Roman"/>
          <w:i/>
          <w:sz w:val="20"/>
          <w:szCs w:val="20"/>
          <w:lang w:eastAsia="en-CA"/>
        </w:rPr>
        <w:tab/>
        <w:t>Isabelle Chouinard</w:t>
      </w:r>
      <w:r w:rsidRPr="00510FEE">
        <w:rPr>
          <w:rFonts w:eastAsia="Times New Roman" w:cs="Times New Roman"/>
          <w:sz w:val="20"/>
          <w:szCs w:val="20"/>
          <w:lang w:eastAsia="en-CA"/>
        </w:rPr>
        <w:t xml:space="preserve">, </w:t>
      </w:r>
      <w:r w:rsidRPr="00510FEE">
        <w:rPr>
          <w:rFonts w:eastAsia="Times New Roman" w:cs="Times New Roman"/>
          <w:i/>
          <w:sz w:val="20"/>
          <w:szCs w:val="20"/>
          <w:lang w:eastAsia="en-CA"/>
        </w:rPr>
        <w:t>Marc Desrosiers</w:t>
      </w:r>
      <w:r w:rsidRPr="00510FEE">
        <w:rPr>
          <w:rFonts w:eastAsia="Times New Roman" w:cs="Times New Roman"/>
          <w:sz w:val="20"/>
          <w:szCs w:val="20"/>
          <w:lang w:eastAsia="en-CA"/>
        </w:rPr>
        <w:t xml:space="preserve"> and </w:t>
      </w:r>
      <w:r w:rsidRPr="00510FEE">
        <w:rPr>
          <w:rFonts w:eastAsia="Times New Roman" w:cs="Times New Roman"/>
          <w:i/>
          <w:sz w:val="20"/>
          <w:szCs w:val="20"/>
          <w:lang w:eastAsia="en-CA"/>
        </w:rPr>
        <w:t>Kathy Lévesque</w:t>
      </w:r>
      <w:r w:rsidRPr="00510FEE">
        <w:rPr>
          <w:rFonts w:eastAsia="Times New Roman" w:cs="Times New Roman"/>
          <w:sz w:val="20"/>
          <w:szCs w:val="20"/>
          <w:lang w:eastAsia="en-CA"/>
        </w:rPr>
        <w:t>, for the respondent.</w:t>
      </w:r>
    </w:p>
    <w:p w:rsidR="00510FEE" w:rsidRPr="00510FEE" w:rsidRDefault="00510FEE" w:rsidP="000A781C">
      <w:pPr>
        <w:jc w:val="both"/>
        <w:rPr>
          <w:rFonts w:eastAsia="Times New Roman" w:cs="Times New Roman"/>
          <w:sz w:val="20"/>
          <w:szCs w:val="20"/>
          <w:lang w:eastAsia="en-CA"/>
        </w:rPr>
      </w:pPr>
    </w:p>
    <w:p w:rsidR="00510FEE" w:rsidRDefault="00510FEE" w:rsidP="000A781C">
      <w:pPr>
        <w:jc w:val="both"/>
        <w:rPr>
          <w:rFonts w:eastAsia="Times New Roman" w:cs="Times New Roman"/>
          <w:i/>
          <w:sz w:val="20"/>
          <w:szCs w:val="20"/>
          <w:lang w:eastAsia="en-CA"/>
        </w:rPr>
      </w:pPr>
      <w:r w:rsidRPr="00510FEE">
        <w:rPr>
          <w:rFonts w:eastAsia="Times New Roman" w:cs="Times New Roman"/>
          <w:i/>
          <w:sz w:val="20"/>
          <w:szCs w:val="20"/>
          <w:lang w:eastAsia="en-CA"/>
        </w:rPr>
        <w:tab/>
        <w:t>Solicitors for the appellant:  Hickson Noonan, Québec.</w:t>
      </w:r>
    </w:p>
    <w:p w:rsidR="00510FEE" w:rsidRPr="00510FEE" w:rsidRDefault="00510FEE" w:rsidP="000A781C">
      <w:pPr>
        <w:jc w:val="both"/>
        <w:rPr>
          <w:rFonts w:eastAsia="Times New Roman" w:cs="Times New Roman"/>
          <w:i/>
          <w:sz w:val="20"/>
          <w:szCs w:val="20"/>
          <w:lang w:eastAsia="en-CA"/>
        </w:rPr>
      </w:pPr>
    </w:p>
    <w:p w:rsidR="00510FEE" w:rsidRPr="00510FEE" w:rsidRDefault="00510FEE" w:rsidP="000A781C">
      <w:pPr>
        <w:jc w:val="both"/>
        <w:rPr>
          <w:rFonts w:eastAsia="Times New Roman" w:cs="Times New Roman"/>
          <w:i/>
          <w:sz w:val="20"/>
          <w:szCs w:val="20"/>
          <w:lang w:eastAsia="en-CA"/>
        </w:rPr>
      </w:pPr>
      <w:r w:rsidRPr="00510FEE">
        <w:rPr>
          <w:rFonts w:eastAsia="Times New Roman" w:cs="Times New Roman"/>
          <w:i/>
          <w:sz w:val="20"/>
          <w:szCs w:val="20"/>
          <w:lang w:eastAsia="en-CA"/>
        </w:rPr>
        <w:tab/>
        <w:t>Solicitors for the respondent:  Giasson et associés, Québec.</w:t>
      </w:r>
    </w:p>
    <w:p w:rsidR="00902E51" w:rsidRPr="00352A49" w:rsidRDefault="00902E51" w:rsidP="00902E51">
      <w:pPr>
        <w:rPr>
          <w:sz w:val="20"/>
          <w:szCs w:val="20"/>
          <w:lang w:val="fr-CA"/>
        </w:rPr>
      </w:pPr>
    </w:p>
    <w:p w:rsidR="00902E51" w:rsidRDefault="000B3306" w:rsidP="00902E51">
      <w:pPr>
        <w:rPr>
          <w:rFonts w:cs="Times New Roman"/>
          <w:sz w:val="20"/>
          <w:szCs w:val="20"/>
          <w:lang w:val="fr-CA"/>
        </w:rPr>
      </w:pPr>
      <w:r>
        <w:rPr>
          <w:rFonts w:cs="Times New Roman"/>
          <w:sz w:val="20"/>
          <w:szCs w:val="20"/>
          <w:lang w:val="fr-CA"/>
        </w:rPr>
        <w:pict>
          <v:rect id="_x0000_i108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2926" w:rsidRPr="00C1697B" w:rsidTr="0085476B">
        <w:tc>
          <w:tcPr>
            <w:tcW w:w="4200" w:type="dxa"/>
            <w:shd w:val="clear" w:color="auto" w:fill="auto"/>
            <w:tcMar>
              <w:left w:w="0" w:type="dxa"/>
              <w:right w:w="0" w:type="dxa"/>
            </w:tcMar>
          </w:tcPr>
          <w:p w:rsidR="00102926" w:rsidRPr="00C1697B" w:rsidRDefault="00102926" w:rsidP="007A3EAE">
            <w:pPr>
              <w:keepNext/>
              <w:keepLines/>
              <w:jc w:val="both"/>
              <w:rPr>
                <w:b/>
                <w:szCs w:val="24"/>
              </w:rPr>
            </w:pPr>
            <w:r w:rsidRPr="00C1697B">
              <w:rPr>
                <w:b/>
                <w:szCs w:val="24"/>
              </w:rPr>
              <w:lastRenderedPageBreak/>
              <w:t>REHEARING</w:t>
            </w:r>
          </w:p>
        </w:tc>
        <w:tc>
          <w:tcPr>
            <w:tcW w:w="1200" w:type="dxa"/>
            <w:shd w:val="clear" w:color="auto" w:fill="auto"/>
            <w:tcMar>
              <w:left w:w="0" w:type="dxa"/>
              <w:right w:w="0" w:type="dxa"/>
            </w:tcMar>
          </w:tcPr>
          <w:p w:rsidR="00102926" w:rsidRDefault="00102926" w:rsidP="00C1697B">
            <w:pPr>
              <w:keepNext/>
              <w:keepLines/>
              <w:jc w:val="center"/>
              <w:rPr>
                <w:b/>
                <w:szCs w:val="24"/>
              </w:rPr>
            </w:pPr>
          </w:p>
          <w:p w:rsidR="00C1697B" w:rsidRPr="00C1697B" w:rsidRDefault="00C1697B" w:rsidP="00C1697B">
            <w:pPr>
              <w:keepNext/>
              <w:keepLines/>
              <w:jc w:val="center"/>
              <w:rPr>
                <w:b/>
                <w:szCs w:val="24"/>
              </w:rPr>
            </w:pPr>
          </w:p>
        </w:tc>
        <w:tc>
          <w:tcPr>
            <w:tcW w:w="4080" w:type="dxa"/>
            <w:shd w:val="clear" w:color="auto" w:fill="auto"/>
            <w:tcMar>
              <w:left w:w="0" w:type="dxa"/>
              <w:right w:w="0" w:type="dxa"/>
            </w:tcMar>
          </w:tcPr>
          <w:p w:rsidR="00102926" w:rsidRPr="00C1697B" w:rsidRDefault="00102926" w:rsidP="007A3EAE">
            <w:pPr>
              <w:keepLines/>
              <w:rPr>
                <w:b/>
                <w:szCs w:val="24"/>
              </w:rPr>
            </w:pPr>
            <w:r w:rsidRPr="00C1697B">
              <w:rPr>
                <w:b/>
                <w:szCs w:val="24"/>
              </w:rPr>
              <w:t>NOUVELLE AUDITION</w:t>
            </w:r>
          </w:p>
        </w:tc>
      </w:tr>
    </w:tbl>
    <w:p w:rsidR="00102926" w:rsidRPr="00C50A5C" w:rsidRDefault="00102926" w:rsidP="00102926">
      <w:pPr>
        <w:rPr>
          <w:sz w:val="20"/>
          <w:szCs w:val="20"/>
        </w:rPr>
      </w:pPr>
    </w:p>
    <w:p w:rsidR="00102926" w:rsidRPr="00C50A5C" w:rsidRDefault="001575C0" w:rsidP="00102926">
      <w:pPr>
        <w:rPr>
          <w:b/>
          <w:sz w:val="20"/>
          <w:szCs w:val="20"/>
        </w:rPr>
      </w:pPr>
      <w:r>
        <w:rPr>
          <w:b/>
          <w:sz w:val="20"/>
          <w:szCs w:val="20"/>
        </w:rPr>
        <w:t>APRIL 17</w:t>
      </w:r>
      <w:r w:rsidR="00102926" w:rsidRPr="00C50A5C">
        <w:rPr>
          <w:b/>
          <w:sz w:val="20"/>
          <w:szCs w:val="20"/>
        </w:rPr>
        <w:t>, 20</w:t>
      </w:r>
      <w:r>
        <w:rPr>
          <w:b/>
          <w:sz w:val="20"/>
          <w:szCs w:val="20"/>
        </w:rPr>
        <w:t>14</w:t>
      </w:r>
      <w:r w:rsidR="00102926" w:rsidRPr="00C50A5C">
        <w:rPr>
          <w:b/>
          <w:sz w:val="20"/>
          <w:szCs w:val="20"/>
        </w:rPr>
        <w:t xml:space="preserve"> / LE </w:t>
      </w:r>
      <w:r>
        <w:rPr>
          <w:b/>
          <w:sz w:val="20"/>
          <w:szCs w:val="20"/>
        </w:rPr>
        <w:t>17</w:t>
      </w:r>
      <w:r w:rsidR="00102926" w:rsidRPr="00C50A5C">
        <w:rPr>
          <w:b/>
          <w:sz w:val="20"/>
          <w:szCs w:val="20"/>
        </w:rPr>
        <w:t xml:space="preserve"> </w:t>
      </w:r>
      <w:r>
        <w:rPr>
          <w:b/>
          <w:sz w:val="20"/>
          <w:szCs w:val="20"/>
        </w:rPr>
        <w:t>AVRIL 2014</w:t>
      </w:r>
    </w:p>
    <w:p w:rsidR="00102926" w:rsidRPr="00C50A5C" w:rsidRDefault="00102926" w:rsidP="00102926">
      <w:pPr>
        <w:rPr>
          <w:sz w:val="20"/>
          <w:szCs w:val="20"/>
        </w:rPr>
      </w:pPr>
    </w:p>
    <w:p w:rsidR="00102926" w:rsidRPr="00C50A5C" w:rsidRDefault="00102926" w:rsidP="0085476B">
      <w:pPr>
        <w:ind w:left="1440" w:hanging="1440"/>
        <w:rPr>
          <w:sz w:val="20"/>
          <w:szCs w:val="20"/>
        </w:rPr>
      </w:pPr>
      <w:r w:rsidRPr="001575C0">
        <w:rPr>
          <w:rFonts w:ascii="CG Times" w:hAnsi="CG Times"/>
          <w:b/>
          <w:sz w:val="20"/>
          <w:szCs w:val="20"/>
          <w:lang w:val="fr-CA"/>
        </w:rPr>
        <w:t>3</w:t>
      </w:r>
      <w:r w:rsidR="001575C0" w:rsidRPr="001575C0">
        <w:rPr>
          <w:rFonts w:ascii="CG Times" w:hAnsi="CG Times"/>
          <w:b/>
          <w:sz w:val="20"/>
          <w:szCs w:val="20"/>
          <w:lang w:val="fr-CA"/>
        </w:rPr>
        <w:t>4863</w:t>
      </w:r>
      <w:r w:rsidRPr="001575C0">
        <w:rPr>
          <w:rFonts w:ascii="CG Times" w:hAnsi="CG Times"/>
          <w:b/>
          <w:sz w:val="20"/>
          <w:szCs w:val="20"/>
          <w:lang w:val="fr-CA"/>
        </w:rPr>
        <w:tab/>
      </w:r>
      <w:r w:rsidR="001575C0" w:rsidRPr="001575C0">
        <w:rPr>
          <w:b/>
          <w:sz w:val="20"/>
          <w:szCs w:val="20"/>
          <w:u w:val="single"/>
          <w:lang w:val="fr-CA"/>
        </w:rPr>
        <w:t>A.I. Enterprises Ltd. et al.</w:t>
      </w:r>
      <w:r w:rsidRPr="001575C0">
        <w:rPr>
          <w:b/>
          <w:sz w:val="20"/>
          <w:szCs w:val="20"/>
          <w:u w:val="single"/>
          <w:lang w:val="fr-CA"/>
        </w:rPr>
        <w:t xml:space="preserve"> v. </w:t>
      </w:r>
      <w:r w:rsidR="001575C0" w:rsidRPr="001575C0">
        <w:rPr>
          <w:b/>
          <w:sz w:val="20"/>
          <w:szCs w:val="20"/>
          <w:u w:val="single"/>
          <w:lang w:val="fr-CA"/>
        </w:rPr>
        <w:t>Bram Enterprises Ltd. et al.</w:t>
      </w:r>
      <w:r w:rsidRPr="001575C0">
        <w:rPr>
          <w:sz w:val="20"/>
          <w:szCs w:val="20"/>
          <w:lang w:val="fr-CA"/>
        </w:rPr>
        <w:t xml:space="preserve"> </w:t>
      </w:r>
      <w:r w:rsidRPr="00C50A5C">
        <w:rPr>
          <w:sz w:val="20"/>
          <w:szCs w:val="20"/>
        </w:rPr>
        <w:t>(</w:t>
      </w:r>
      <w:r w:rsidR="001575C0">
        <w:rPr>
          <w:sz w:val="20"/>
          <w:szCs w:val="20"/>
        </w:rPr>
        <w:t>N.</w:t>
      </w:r>
      <w:r w:rsidRPr="00C50A5C">
        <w:rPr>
          <w:sz w:val="20"/>
          <w:szCs w:val="20"/>
        </w:rPr>
        <w:t>B.)</w:t>
      </w:r>
    </w:p>
    <w:p w:rsidR="00102926" w:rsidRPr="00C50A5C" w:rsidRDefault="00102926" w:rsidP="0085476B">
      <w:pPr>
        <w:ind w:left="1440" w:hanging="1440"/>
        <w:rPr>
          <w:sz w:val="20"/>
          <w:szCs w:val="20"/>
        </w:rPr>
      </w:pPr>
    </w:p>
    <w:p w:rsidR="00102926" w:rsidRPr="00C50A5C" w:rsidRDefault="00102926" w:rsidP="0085476B">
      <w:pPr>
        <w:ind w:left="1440" w:hanging="1440"/>
        <w:rPr>
          <w:sz w:val="20"/>
          <w:szCs w:val="20"/>
        </w:rPr>
      </w:pPr>
      <w:r w:rsidRPr="00C50A5C">
        <w:rPr>
          <w:sz w:val="20"/>
          <w:szCs w:val="20"/>
        </w:rPr>
        <w:t>Coram:</w:t>
      </w:r>
      <w:r w:rsidRPr="00C50A5C">
        <w:rPr>
          <w:sz w:val="20"/>
          <w:szCs w:val="20"/>
        </w:rPr>
        <w:tab/>
      </w:r>
      <w:r w:rsidR="001575C0" w:rsidRPr="001575C0">
        <w:rPr>
          <w:sz w:val="20"/>
          <w:szCs w:val="20"/>
          <w:u w:val="single"/>
        </w:rPr>
        <w:t>McLachlin C.J. and LeBel, Rothstein Cromwell, Karakatsanis and Wagner JJ.</w:t>
      </w:r>
    </w:p>
    <w:p w:rsidR="00102926" w:rsidRPr="00C50A5C" w:rsidRDefault="00102926" w:rsidP="00102926">
      <w:pPr>
        <w:rPr>
          <w:sz w:val="20"/>
          <w:szCs w:val="20"/>
        </w:rPr>
      </w:pPr>
    </w:p>
    <w:p w:rsidR="00102926" w:rsidRPr="00C50A5C" w:rsidRDefault="00102926" w:rsidP="00102926">
      <w:pPr>
        <w:rPr>
          <w:sz w:val="20"/>
          <w:szCs w:val="20"/>
        </w:rPr>
      </w:pPr>
    </w:p>
    <w:p w:rsidR="001575C0" w:rsidRPr="001575C0" w:rsidRDefault="001575C0" w:rsidP="001575C0">
      <w:pPr>
        <w:spacing w:line="208" w:lineRule="auto"/>
        <w:jc w:val="both"/>
        <w:rPr>
          <w:sz w:val="20"/>
          <w:szCs w:val="20"/>
        </w:rPr>
      </w:pPr>
      <w:r w:rsidRPr="001575C0">
        <w:rPr>
          <w:b/>
          <w:bCs/>
          <w:sz w:val="20"/>
          <w:szCs w:val="20"/>
        </w:rPr>
        <w:t>UPON APPLICATION</w:t>
      </w:r>
      <w:r w:rsidRPr="001575C0">
        <w:rPr>
          <w:sz w:val="20"/>
          <w:szCs w:val="20"/>
        </w:rPr>
        <w:t xml:space="preserve"> by the appellants for a re-hearing of the appeal;</w:t>
      </w:r>
    </w:p>
    <w:p w:rsidR="001575C0" w:rsidRPr="001575C0" w:rsidRDefault="001575C0" w:rsidP="001575C0">
      <w:pPr>
        <w:spacing w:line="208" w:lineRule="auto"/>
        <w:jc w:val="both"/>
        <w:rPr>
          <w:sz w:val="20"/>
          <w:szCs w:val="20"/>
        </w:rPr>
      </w:pPr>
    </w:p>
    <w:p w:rsidR="001575C0" w:rsidRPr="001575C0" w:rsidRDefault="001575C0" w:rsidP="001575C0">
      <w:pPr>
        <w:spacing w:line="230" w:lineRule="auto"/>
        <w:jc w:val="both"/>
        <w:rPr>
          <w:sz w:val="20"/>
          <w:szCs w:val="20"/>
        </w:rPr>
      </w:pPr>
      <w:r w:rsidRPr="001575C0">
        <w:rPr>
          <w:b/>
          <w:bCs/>
          <w:sz w:val="20"/>
          <w:szCs w:val="20"/>
        </w:rPr>
        <w:t xml:space="preserve">AND THE MATERIALS FILED </w:t>
      </w:r>
      <w:r w:rsidRPr="001575C0">
        <w:rPr>
          <w:bCs/>
          <w:sz w:val="20"/>
          <w:szCs w:val="20"/>
        </w:rPr>
        <w:t>having been read</w:t>
      </w:r>
      <w:r w:rsidRPr="001575C0">
        <w:rPr>
          <w:sz w:val="20"/>
          <w:szCs w:val="20"/>
        </w:rPr>
        <w:t>;</w:t>
      </w:r>
    </w:p>
    <w:p w:rsidR="001575C0" w:rsidRPr="001575C0" w:rsidRDefault="001575C0" w:rsidP="001575C0">
      <w:pPr>
        <w:spacing w:line="230" w:lineRule="auto"/>
        <w:jc w:val="both"/>
        <w:rPr>
          <w:sz w:val="20"/>
          <w:szCs w:val="20"/>
        </w:rPr>
      </w:pPr>
    </w:p>
    <w:p w:rsidR="001575C0" w:rsidRPr="001575C0" w:rsidRDefault="001575C0" w:rsidP="001575C0">
      <w:pPr>
        <w:spacing w:line="230" w:lineRule="auto"/>
        <w:jc w:val="both"/>
        <w:rPr>
          <w:sz w:val="20"/>
          <w:szCs w:val="20"/>
        </w:rPr>
      </w:pPr>
      <w:r w:rsidRPr="001575C0">
        <w:rPr>
          <w:b/>
          <w:bCs/>
          <w:sz w:val="20"/>
          <w:szCs w:val="20"/>
        </w:rPr>
        <w:t>IT IS HEREBY ORDERED THAT:</w:t>
      </w:r>
    </w:p>
    <w:p w:rsidR="001575C0" w:rsidRPr="001575C0" w:rsidRDefault="001575C0" w:rsidP="001575C0">
      <w:pPr>
        <w:spacing w:line="230" w:lineRule="auto"/>
        <w:jc w:val="both"/>
        <w:rPr>
          <w:sz w:val="20"/>
          <w:szCs w:val="20"/>
        </w:rPr>
      </w:pPr>
    </w:p>
    <w:p w:rsidR="001575C0" w:rsidRPr="001575C0" w:rsidRDefault="001575C0" w:rsidP="001575C0">
      <w:pPr>
        <w:spacing w:line="230" w:lineRule="auto"/>
        <w:jc w:val="both"/>
        <w:rPr>
          <w:sz w:val="20"/>
          <w:szCs w:val="20"/>
        </w:rPr>
      </w:pPr>
      <w:r w:rsidRPr="001575C0">
        <w:rPr>
          <w:sz w:val="20"/>
          <w:szCs w:val="20"/>
        </w:rPr>
        <w:t xml:space="preserve">The motion is dismissed with costs to the respondents. </w:t>
      </w:r>
    </w:p>
    <w:p w:rsidR="00102926" w:rsidRPr="002024BD" w:rsidRDefault="00102926" w:rsidP="00102926">
      <w:pPr>
        <w:rPr>
          <w:sz w:val="20"/>
          <w:szCs w:val="20"/>
        </w:rPr>
      </w:pPr>
    </w:p>
    <w:p w:rsidR="001575C0" w:rsidRPr="002024BD" w:rsidRDefault="001575C0" w:rsidP="00102926">
      <w:pPr>
        <w:rPr>
          <w:sz w:val="20"/>
          <w:szCs w:val="20"/>
        </w:rPr>
      </w:pPr>
    </w:p>
    <w:p w:rsidR="002024BD" w:rsidRPr="002024BD" w:rsidRDefault="002024BD" w:rsidP="00102926">
      <w:pPr>
        <w:rPr>
          <w:sz w:val="20"/>
          <w:szCs w:val="20"/>
        </w:rPr>
      </w:pPr>
    </w:p>
    <w:p w:rsidR="002024BD" w:rsidRPr="002024BD" w:rsidRDefault="002024BD" w:rsidP="002024BD">
      <w:pPr>
        <w:spacing w:line="233" w:lineRule="auto"/>
        <w:jc w:val="both"/>
        <w:rPr>
          <w:bCs/>
          <w:sz w:val="20"/>
          <w:szCs w:val="20"/>
          <w:lang w:val="fr-CA"/>
        </w:rPr>
      </w:pPr>
      <w:r w:rsidRPr="002024BD">
        <w:rPr>
          <w:b/>
          <w:bCs/>
          <w:sz w:val="20"/>
          <w:szCs w:val="20"/>
          <w:lang w:val="fr-CA"/>
        </w:rPr>
        <w:t>À LA SUITE DE LA DEMANDE</w:t>
      </w:r>
      <w:r w:rsidRPr="002024BD">
        <w:rPr>
          <w:bCs/>
          <w:sz w:val="20"/>
          <w:szCs w:val="20"/>
          <w:lang w:val="fr-CA"/>
        </w:rPr>
        <w:t xml:space="preserve"> présentée par les appelants en vue d’une nouvelle audition de l’appel;</w:t>
      </w:r>
    </w:p>
    <w:p w:rsidR="002024BD" w:rsidRPr="002024BD" w:rsidRDefault="002024BD" w:rsidP="002024BD">
      <w:pPr>
        <w:spacing w:line="233" w:lineRule="auto"/>
        <w:jc w:val="both"/>
        <w:rPr>
          <w:bCs/>
          <w:sz w:val="20"/>
          <w:szCs w:val="20"/>
          <w:lang w:val="fr-CA"/>
        </w:rPr>
      </w:pPr>
    </w:p>
    <w:p w:rsidR="002024BD" w:rsidRPr="002024BD" w:rsidRDefault="002024BD" w:rsidP="002024BD">
      <w:pPr>
        <w:spacing w:line="233" w:lineRule="auto"/>
        <w:jc w:val="both"/>
        <w:rPr>
          <w:bCs/>
          <w:sz w:val="20"/>
          <w:szCs w:val="20"/>
          <w:lang w:val="fr-CA"/>
        </w:rPr>
      </w:pPr>
      <w:r w:rsidRPr="002024BD">
        <w:rPr>
          <w:b/>
          <w:bCs/>
          <w:sz w:val="20"/>
          <w:szCs w:val="20"/>
          <w:lang w:val="fr-CA"/>
        </w:rPr>
        <w:t>ET APRÈS EXAMEN</w:t>
      </w:r>
      <w:r w:rsidRPr="002024BD">
        <w:rPr>
          <w:bCs/>
          <w:sz w:val="20"/>
          <w:szCs w:val="20"/>
          <w:lang w:val="fr-CA"/>
        </w:rPr>
        <w:t xml:space="preserve"> des documents déposés; </w:t>
      </w:r>
    </w:p>
    <w:p w:rsidR="002024BD" w:rsidRPr="002024BD" w:rsidRDefault="002024BD" w:rsidP="002024BD">
      <w:pPr>
        <w:spacing w:line="233" w:lineRule="auto"/>
        <w:jc w:val="both"/>
        <w:rPr>
          <w:bCs/>
          <w:sz w:val="20"/>
          <w:szCs w:val="20"/>
          <w:lang w:val="fr-CA"/>
        </w:rPr>
      </w:pPr>
    </w:p>
    <w:p w:rsidR="002024BD" w:rsidRPr="002024BD" w:rsidRDefault="002024BD" w:rsidP="002024BD">
      <w:pPr>
        <w:spacing w:line="233" w:lineRule="auto"/>
        <w:jc w:val="both"/>
        <w:rPr>
          <w:b/>
          <w:bCs/>
          <w:sz w:val="20"/>
          <w:szCs w:val="20"/>
          <w:lang w:val="fr-CA"/>
        </w:rPr>
      </w:pPr>
      <w:r w:rsidRPr="002024BD">
        <w:rPr>
          <w:b/>
          <w:bCs/>
          <w:sz w:val="20"/>
          <w:szCs w:val="20"/>
          <w:lang w:val="fr-CA"/>
        </w:rPr>
        <w:t xml:space="preserve">IL EST ORDONNÉ CE QUI SUIT : </w:t>
      </w:r>
    </w:p>
    <w:p w:rsidR="002024BD" w:rsidRPr="002024BD" w:rsidRDefault="002024BD" w:rsidP="002024BD">
      <w:pPr>
        <w:spacing w:line="230" w:lineRule="auto"/>
        <w:jc w:val="both"/>
        <w:rPr>
          <w:sz w:val="20"/>
          <w:szCs w:val="20"/>
          <w:lang w:val="fr-CA"/>
        </w:rPr>
      </w:pPr>
    </w:p>
    <w:p w:rsidR="002024BD" w:rsidRPr="002024BD" w:rsidRDefault="002024BD" w:rsidP="002024BD">
      <w:pPr>
        <w:spacing w:line="230" w:lineRule="auto"/>
        <w:jc w:val="both"/>
        <w:rPr>
          <w:sz w:val="20"/>
          <w:szCs w:val="20"/>
          <w:lang w:val="fr-CA"/>
        </w:rPr>
      </w:pPr>
      <w:r w:rsidRPr="002024BD">
        <w:rPr>
          <w:sz w:val="20"/>
          <w:szCs w:val="20"/>
          <w:lang w:val="fr-CA"/>
        </w:rPr>
        <w:t xml:space="preserve">La requête est rejetée avec dépens en faveur des intimées. </w:t>
      </w:r>
    </w:p>
    <w:p w:rsidR="00102926" w:rsidRPr="002024BD" w:rsidRDefault="00102926" w:rsidP="00102926">
      <w:pPr>
        <w:rPr>
          <w:sz w:val="20"/>
          <w:szCs w:val="20"/>
          <w:lang w:val="fr-CA"/>
        </w:rPr>
      </w:pPr>
    </w:p>
    <w:p w:rsidR="00102926" w:rsidRPr="00C50A5C" w:rsidRDefault="000B3306" w:rsidP="00102926">
      <w:pPr>
        <w:rPr>
          <w:sz w:val="20"/>
          <w:szCs w:val="20"/>
        </w:rPr>
      </w:pPr>
      <w:r>
        <w:rPr>
          <w:sz w:val="20"/>
          <w:szCs w:val="20"/>
        </w:rPr>
        <w:pict>
          <v:rect id="_x0000_i1089" style="width:2in;height:1pt" o:hrpct="0" o:hralign="center" o:hrstd="t" o:hrnoshade="t" o:hr="t" fillcolor="black [3213]" stroked="f"/>
        </w:pict>
      </w: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C1697B" w:rsidRDefault="00C1697B" w:rsidP="00782AE4">
      <w:pPr>
        <w:jc w:val="both"/>
        <w:rPr>
          <w:sz w:val="20"/>
          <w:szCs w:val="20"/>
        </w:rPr>
      </w:pPr>
    </w:p>
    <w:p w:rsidR="00C1697B" w:rsidRPr="00C50A5C" w:rsidRDefault="00C1697B" w:rsidP="00782AE4">
      <w:pPr>
        <w:jc w:val="both"/>
        <w:rPr>
          <w:sz w:val="20"/>
          <w:szCs w:val="20"/>
        </w:rPr>
        <w:sectPr w:rsidR="00C1697B" w:rsidRPr="00C50A5C" w:rsidSect="00102926">
          <w:headerReference w:type="even" r:id="rId79"/>
          <w:headerReference w:type="default" r:id="rId80"/>
          <w:footerReference w:type="even" r:id="rId81"/>
          <w:footerReference w:type="default" r:id="rId82"/>
          <w:headerReference w:type="first" r:id="rId83"/>
          <w:footerReference w:type="first" r:id="rId84"/>
          <w:pgSz w:w="12240" w:h="15840"/>
          <w:pgMar w:top="720" w:right="965" w:bottom="965"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016F97">
            <w:pPr>
              <w:keepNext/>
              <w:keepLines/>
              <w:rPr>
                <w:b/>
                <w:szCs w:val="24"/>
              </w:rPr>
            </w:pPr>
            <w:r w:rsidRPr="00C50A5C">
              <w:rPr>
                <w:b/>
                <w:szCs w:val="24"/>
              </w:rPr>
              <w:lastRenderedPageBreak/>
              <w:t xml:space="preserve">AGENDA FOR </w:t>
            </w:r>
            <w:r w:rsidR="00016F97">
              <w:rPr>
                <w:b/>
                <w:szCs w:val="24"/>
              </w:rPr>
              <w:t>M</w:t>
            </w:r>
            <w:r w:rsidR="005F1ED8">
              <w:rPr>
                <w:b/>
                <w:szCs w:val="24"/>
              </w:rPr>
              <w:t>A</w:t>
            </w:r>
            <w:r w:rsidR="00016F97">
              <w:rPr>
                <w:b/>
                <w:szCs w:val="24"/>
              </w:rPr>
              <w:t>Y</w:t>
            </w:r>
            <w:r w:rsidR="005F1ED8">
              <w:rPr>
                <w:b/>
                <w:szCs w:val="24"/>
              </w:rPr>
              <w:t xml:space="preserve">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016F97">
            <w:pPr>
              <w:keepNext/>
              <w:keepLines/>
              <w:rPr>
                <w:b/>
                <w:szCs w:val="24"/>
                <w:lang w:val="fr-CA"/>
              </w:rPr>
            </w:pPr>
            <w:r w:rsidRPr="00C50A5C">
              <w:rPr>
                <w:b/>
                <w:szCs w:val="24"/>
                <w:lang w:val="fr-CA"/>
              </w:rPr>
              <w:t>CALENDRIER D</w:t>
            </w:r>
            <w:r w:rsidR="00016F97">
              <w:rPr>
                <w:b/>
                <w:szCs w:val="24"/>
                <w:lang w:val="fr-CA"/>
              </w:rPr>
              <w:t>E M</w:t>
            </w:r>
            <w:r w:rsidR="005F1ED8">
              <w:rPr>
                <w:b/>
                <w:szCs w:val="24"/>
                <w:lang w:val="fr-CA"/>
              </w:rPr>
              <w:t>AI</w:t>
            </w:r>
            <w:r w:rsidRPr="00C50A5C">
              <w:rPr>
                <w:b/>
                <w:szCs w:val="24"/>
                <w:lang w:val="fr-CA"/>
              </w:rPr>
              <w:t xml:space="preserve"> </w:t>
            </w:r>
            <w:r w:rsidR="005F1ED8">
              <w:rPr>
                <w:b/>
                <w:szCs w:val="24"/>
                <w:lang w:val="fr-CA"/>
              </w:rPr>
              <w:t>2014</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016F97">
        <w:rPr>
          <w:b/>
          <w:sz w:val="20"/>
          <w:szCs w:val="20"/>
        </w:rPr>
        <w:t xml:space="preserve">May </w:t>
      </w:r>
      <w:r w:rsidRPr="00DD0B49">
        <w:rPr>
          <w:b/>
          <w:sz w:val="20"/>
          <w:szCs w:val="20"/>
        </w:rPr>
        <w:t>1</w:t>
      </w:r>
      <w:r w:rsidR="00016F97">
        <w:rPr>
          <w:b/>
          <w:sz w:val="20"/>
          <w:szCs w:val="20"/>
        </w:rPr>
        <w:t>2</w:t>
      </w:r>
      <w:r w:rsidRPr="00DD0B49">
        <w:rPr>
          <w:b/>
          <w:sz w:val="20"/>
          <w:szCs w:val="20"/>
        </w:rPr>
        <w:t xml:space="preserve"> and </w:t>
      </w:r>
      <w:r>
        <w:rPr>
          <w:b/>
          <w:sz w:val="20"/>
          <w:szCs w:val="20"/>
        </w:rPr>
        <w:t>1</w:t>
      </w:r>
      <w:r w:rsidR="00016F97">
        <w:rPr>
          <w:b/>
          <w:sz w:val="20"/>
          <w:szCs w:val="20"/>
        </w:rPr>
        <w:t>9</w:t>
      </w:r>
      <w:r w:rsidRPr="00DD0B49">
        <w:rPr>
          <w:b/>
          <w:sz w:val="20"/>
          <w:szCs w:val="20"/>
        </w:rPr>
        <w:t>, 201</w:t>
      </w:r>
      <w:r>
        <w:rPr>
          <w:b/>
          <w:sz w:val="20"/>
          <w:szCs w:val="20"/>
        </w:rPr>
        <w:t>4</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016F97">
        <w:rPr>
          <w:b/>
          <w:sz w:val="20"/>
          <w:szCs w:val="20"/>
          <w:lang w:val="fr-CA"/>
        </w:rPr>
        <w:t>2</w:t>
      </w:r>
      <w:r>
        <w:rPr>
          <w:b/>
          <w:sz w:val="20"/>
          <w:szCs w:val="20"/>
          <w:lang w:val="fr-CA"/>
        </w:rPr>
        <w:t xml:space="preserve"> </w:t>
      </w:r>
      <w:r w:rsidR="00016F97">
        <w:rPr>
          <w:b/>
          <w:sz w:val="20"/>
          <w:szCs w:val="20"/>
          <w:lang w:val="fr-CA"/>
        </w:rPr>
        <w:t>m</w:t>
      </w:r>
      <w:r>
        <w:rPr>
          <w:b/>
          <w:sz w:val="20"/>
          <w:szCs w:val="20"/>
          <w:lang w:val="fr-CA"/>
        </w:rPr>
        <w:t xml:space="preserve">ai </w:t>
      </w:r>
      <w:r w:rsidRPr="00DD0B49">
        <w:rPr>
          <w:b/>
          <w:sz w:val="20"/>
          <w:szCs w:val="20"/>
          <w:lang w:val="fr-CA"/>
        </w:rPr>
        <w:t xml:space="preserve">et celle du </w:t>
      </w:r>
      <w:r>
        <w:rPr>
          <w:b/>
          <w:sz w:val="20"/>
          <w:szCs w:val="20"/>
          <w:lang w:val="fr-CA"/>
        </w:rPr>
        <w:t>1</w:t>
      </w:r>
      <w:r w:rsidR="00016F97">
        <w:rPr>
          <w:b/>
          <w:sz w:val="20"/>
          <w:szCs w:val="20"/>
          <w:lang w:val="fr-CA"/>
        </w:rPr>
        <w:t>9</w:t>
      </w:r>
      <w:r w:rsidRPr="00DD0B49">
        <w:rPr>
          <w:b/>
          <w:sz w:val="20"/>
          <w:szCs w:val="20"/>
          <w:lang w:val="fr-CA"/>
        </w:rPr>
        <w:t xml:space="preserve"> </w:t>
      </w:r>
      <w:r w:rsidR="00016F97">
        <w:rPr>
          <w:b/>
          <w:sz w:val="20"/>
          <w:szCs w:val="20"/>
          <w:lang w:val="fr-CA"/>
        </w:rPr>
        <w:t>m</w:t>
      </w:r>
      <w:r>
        <w:rPr>
          <w:b/>
          <w:sz w:val="20"/>
          <w:szCs w:val="20"/>
          <w:lang w:val="fr-CA"/>
        </w:rPr>
        <w:t>ai</w:t>
      </w:r>
      <w:r w:rsidRPr="00DD0B49">
        <w:rPr>
          <w:b/>
          <w:sz w:val="20"/>
          <w:szCs w:val="20"/>
          <w:lang w:val="fr-CA"/>
        </w:rPr>
        <w:t xml:space="preserve"> 201</w:t>
      </w:r>
      <w:r>
        <w:rPr>
          <w:b/>
          <w:sz w:val="20"/>
          <w:szCs w:val="20"/>
          <w:lang w:val="fr-CA"/>
        </w:rPr>
        <w:t>4</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016F97">
        <w:rPr>
          <w:sz w:val="20"/>
          <w:szCs w:val="20"/>
        </w:rPr>
        <w:t>May 5</w:t>
      </w:r>
      <w:r w:rsidRPr="00DD0B49">
        <w:rPr>
          <w:sz w:val="20"/>
          <w:szCs w:val="20"/>
        </w:rPr>
        <w:t xml:space="preserve"> and 2</w:t>
      </w:r>
      <w:r w:rsidR="00016F97">
        <w:rPr>
          <w:sz w:val="20"/>
          <w:szCs w:val="20"/>
        </w:rPr>
        <w:t>6</w:t>
      </w:r>
      <w:r w:rsidRPr="00DD0B49">
        <w:rPr>
          <w:sz w:val="20"/>
          <w:szCs w:val="20"/>
        </w:rPr>
        <w:t>, 201</w:t>
      </w:r>
      <w:r>
        <w:rPr>
          <w:sz w:val="20"/>
          <w:szCs w:val="20"/>
        </w:rPr>
        <w:t>4</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016F97">
        <w:rPr>
          <w:sz w:val="20"/>
          <w:szCs w:val="20"/>
          <w:lang w:val="fr-CA"/>
        </w:rPr>
        <w:t>5</w:t>
      </w:r>
      <w:r w:rsidRPr="00DD0B49">
        <w:rPr>
          <w:sz w:val="20"/>
          <w:szCs w:val="20"/>
          <w:lang w:val="fr-CA"/>
        </w:rPr>
        <w:t xml:space="preserve"> et du 2</w:t>
      </w:r>
      <w:r w:rsidR="00016F97">
        <w:rPr>
          <w:sz w:val="20"/>
          <w:szCs w:val="20"/>
          <w:lang w:val="fr-CA"/>
        </w:rPr>
        <w:t>6</w:t>
      </w:r>
      <w:r w:rsidRPr="00DD0B49">
        <w:rPr>
          <w:sz w:val="20"/>
          <w:szCs w:val="20"/>
          <w:lang w:val="fr-CA"/>
        </w:rPr>
        <w:t xml:space="preserve"> </w:t>
      </w:r>
      <w:r w:rsidR="00016F97">
        <w:rPr>
          <w:sz w:val="20"/>
          <w:szCs w:val="20"/>
          <w:lang w:val="fr-CA"/>
        </w:rPr>
        <w:t>m</w:t>
      </w:r>
      <w:r>
        <w:rPr>
          <w:sz w:val="20"/>
          <w:szCs w:val="20"/>
          <w:lang w:val="fr-CA"/>
        </w:rPr>
        <w:t>ai</w:t>
      </w:r>
      <w:r w:rsidRPr="00DD0B49">
        <w:rPr>
          <w:sz w:val="20"/>
          <w:szCs w:val="20"/>
          <w:lang w:val="fr-CA"/>
        </w:rPr>
        <w:t xml:space="preserve"> 201</w:t>
      </w:r>
      <w:r>
        <w:rPr>
          <w:sz w:val="20"/>
          <w:szCs w:val="20"/>
          <w:lang w:val="fr-CA"/>
        </w:rPr>
        <w:t>4</w:t>
      </w:r>
      <w:r w:rsidRPr="00DD0B49">
        <w:rPr>
          <w:sz w:val="20"/>
          <w:szCs w:val="20"/>
          <w:lang w:val="fr-CA"/>
        </w:rPr>
        <w:t>.</w:t>
      </w:r>
    </w:p>
    <w:p w:rsidR="004B66B4" w:rsidRPr="00DD0B49" w:rsidRDefault="000B3306" w:rsidP="004B66B4">
      <w:pPr>
        <w:rPr>
          <w:sz w:val="20"/>
          <w:szCs w:val="20"/>
        </w:rPr>
      </w:pPr>
      <w:r>
        <w:rPr>
          <w:sz w:val="20"/>
          <w:szCs w:val="20"/>
        </w:rPr>
        <w:pict>
          <v:rect id="_x0000_i1092"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EA4608"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24CF0">
        <w:trPr>
          <w:cantSplit/>
        </w:trPr>
        <w:tc>
          <w:tcPr>
            <w:tcW w:w="2398" w:type="dxa"/>
          </w:tcPr>
          <w:p w:rsidR="005F1ED8" w:rsidRPr="003A74F5" w:rsidRDefault="005F1ED8" w:rsidP="00016F97">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w:t>
            </w:r>
            <w:r w:rsidR="00016F97">
              <w:rPr>
                <w:rFonts w:eastAsia="Calibri" w:cs="Times New Roman"/>
                <w:sz w:val="20"/>
                <w:szCs w:val="20"/>
              </w:rPr>
              <w:t>5</w:t>
            </w:r>
            <w:r w:rsidRPr="003A74F5">
              <w:rPr>
                <w:rFonts w:eastAsia="Calibri" w:cs="Times New Roman"/>
                <w:sz w:val="20"/>
                <w:szCs w:val="20"/>
              </w:rPr>
              <w:t>-</w:t>
            </w:r>
            <w:r>
              <w:rPr>
                <w:rFonts w:eastAsia="Calibri" w:cs="Times New Roman"/>
                <w:sz w:val="20"/>
                <w:szCs w:val="20"/>
              </w:rPr>
              <w:t>1</w:t>
            </w:r>
            <w:r w:rsidR="00016F97">
              <w:rPr>
                <w:rFonts w:eastAsia="Calibri" w:cs="Times New Roman"/>
                <w:sz w:val="20"/>
                <w:szCs w:val="20"/>
              </w:rPr>
              <w:t>2</w:t>
            </w:r>
          </w:p>
        </w:tc>
        <w:tc>
          <w:tcPr>
            <w:tcW w:w="7178" w:type="dxa"/>
          </w:tcPr>
          <w:p w:rsidR="005F1ED8" w:rsidRDefault="00016F97" w:rsidP="00FF6976">
            <w:pPr>
              <w:jc w:val="both"/>
              <w:rPr>
                <w:rFonts w:eastAsia="Calibri" w:cs="Times New Roman"/>
                <w:sz w:val="20"/>
                <w:szCs w:val="20"/>
              </w:rPr>
            </w:pPr>
            <w:r>
              <w:rPr>
                <w:rFonts w:eastAsia="Calibri" w:cs="Times New Roman"/>
                <w:i/>
                <w:sz w:val="20"/>
                <w:szCs w:val="20"/>
              </w:rPr>
              <w:t>D</w:t>
            </w:r>
            <w:r w:rsidR="005F1ED8">
              <w:rPr>
                <w:rFonts w:eastAsia="Calibri" w:cs="Times New Roman"/>
                <w:i/>
                <w:sz w:val="20"/>
                <w:szCs w:val="20"/>
              </w:rPr>
              <w:t>a</w:t>
            </w:r>
            <w:r>
              <w:rPr>
                <w:rFonts w:eastAsia="Calibri" w:cs="Times New Roman"/>
                <w:i/>
                <w:sz w:val="20"/>
                <w:szCs w:val="20"/>
              </w:rPr>
              <w:t>vid M. Pott</w:t>
            </w:r>
            <w:r w:rsidR="005F1ED8">
              <w:rPr>
                <w:rFonts w:eastAsia="Calibri" w:cs="Times New Roman"/>
                <w:i/>
                <w:sz w:val="20"/>
                <w:szCs w:val="20"/>
              </w:rPr>
              <w:t xml:space="preserve">er </w:t>
            </w:r>
            <w:r w:rsidR="005F1ED8" w:rsidRPr="003A74F5">
              <w:rPr>
                <w:rFonts w:eastAsia="Calibri" w:cs="Times New Roman"/>
                <w:i/>
                <w:sz w:val="20"/>
                <w:szCs w:val="20"/>
              </w:rPr>
              <w:t xml:space="preserve">v. </w:t>
            </w:r>
            <w:r>
              <w:rPr>
                <w:rFonts w:eastAsia="Calibri" w:cs="Times New Roman"/>
                <w:i/>
                <w:sz w:val="20"/>
                <w:szCs w:val="20"/>
              </w:rPr>
              <w:t>New Brunswick Legal Aid Services Commission, a statutory body corporate pursuant to a special act of the Province of New Brunswick</w:t>
            </w:r>
            <w:r w:rsidR="005F1ED8">
              <w:rPr>
                <w:rFonts w:eastAsia="Calibri" w:cs="Times New Roman"/>
                <w:i/>
                <w:sz w:val="20"/>
                <w:szCs w:val="20"/>
              </w:rPr>
              <w:t xml:space="preserve"> </w:t>
            </w:r>
            <w:r w:rsidR="005F1ED8" w:rsidRPr="003A74F5">
              <w:rPr>
                <w:rFonts w:eastAsia="Calibri" w:cs="Times New Roman"/>
                <w:sz w:val="20"/>
                <w:szCs w:val="20"/>
              </w:rPr>
              <w:t>(</w:t>
            </w:r>
            <w:r>
              <w:rPr>
                <w:rFonts w:eastAsia="Calibri" w:cs="Times New Roman"/>
                <w:sz w:val="20"/>
                <w:szCs w:val="20"/>
              </w:rPr>
              <w:t>N.</w:t>
            </w:r>
            <w:r w:rsidR="005F1ED8">
              <w:rPr>
                <w:rFonts w:eastAsia="Calibri" w:cs="Times New Roman"/>
                <w:sz w:val="20"/>
                <w:szCs w:val="20"/>
              </w:rPr>
              <w:t>B.</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 Leave) (3</w:t>
            </w:r>
            <w:r w:rsidR="005F1ED8">
              <w:rPr>
                <w:rFonts w:eastAsia="Calibri" w:cs="Times New Roman"/>
                <w:sz w:val="20"/>
                <w:szCs w:val="20"/>
              </w:rPr>
              <w:t>5</w:t>
            </w:r>
            <w:r w:rsidR="00FF6976">
              <w:rPr>
                <w:rFonts w:eastAsia="Calibri" w:cs="Times New Roman"/>
                <w:sz w:val="20"/>
                <w:szCs w:val="20"/>
              </w:rPr>
              <w:t>422</w:t>
            </w:r>
            <w:r w:rsidR="005F1ED8" w:rsidRPr="003A74F5">
              <w:rPr>
                <w:rFonts w:eastAsia="Calibri" w:cs="Times New Roman"/>
                <w:sz w:val="20"/>
                <w:szCs w:val="20"/>
              </w:rPr>
              <w:t>)</w:t>
            </w:r>
          </w:p>
          <w:p w:rsidR="00524CF0" w:rsidRPr="003A74F5" w:rsidRDefault="00524CF0" w:rsidP="00FF6976">
            <w:pPr>
              <w:jc w:val="both"/>
              <w:rPr>
                <w:rFonts w:eastAsia="Calibri" w:cs="Times New Roman"/>
                <w:sz w:val="20"/>
                <w:szCs w:val="20"/>
              </w:rPr>
            </w:pPr>
          </w:p>
        </w:tc>
      </w:tr>
      <w:tr w:rsidR="005F1ED8" w:rsidRPr="003A74F5" w:rsidTr="00524CF0">
        <w:trPr>
          <w:cantSplit/>
        </w:trPr>
        <w:tc>
          <w:tcPr>
            <w:tcW w:w="2398" w:type="dxa"/>
          </w:tcPr>
          <w:p w:rsidR="005F1ED8" w:rsidRPr="003A74F5" w:rsidRDefault="005F1ED8" w:rsidP="00016F97">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w:t>
            </w:r>
            <w:r w:rsidR="00016F97">
              <w:rPr>
                <w:rFonts w:eastAsia="Calibri" w:cs="Times New Roman"/>
                <w:sz w:val="20"/>
                <w:szCs w:val="20"/>
              </w:rPr>
              <w:t>5</w:t>
            </w:r>
            <w:r w:rsidRPr="003A74F5">
              <w:rPr>
                <w:rFonts w:eastAsia="Calibri" w:cs="Times New Roman"/>
                <w:sz w:val="20"/>
                <w:szCs w:val="20"/>
              </w:rPr>
              <w:t>-</w:t>
            </w:r>
            <w:r>
              <w:rPr>
                <w:rFonts w:eastAsia="Calibri" w:cs="Times New Roman"/>
                <w:sz w:val="20"/>
                <w:szCs w:val="20"/>
              </w:rPr>
              <w:t>1</w:t>
            </w:r>
            <w:r w:rsidR="00016F97">
              <w:rPr>
                <w:rFonts w:eastAsia="Calibri" w:cs="Times New Roman"/>
                <w:sz w:val="20"/>
                <w:szCs w:val="20"/>
              </w:rPr>
              <w:t>3</w:t>
            </w:r>
          </w:p>
        </w:tc>
        <w:tc>
          <w:tcPr>
            <w:tcW w:w="7178" w:type="dxa"/>
          </w:tcPr>
          <w:p w:rsidR="005F1ED8" w:rsidRDefault="00FF6976" w:rsidP="00FF6976">
            <w:pPr>
              <w:jc w:val="both"/>
              <w:rPr>
                <w:rFonts w:eastAsia="Calibri" w:cs="Times New Roman"/>
                <w:sz w:val="20"/>
                <w:szCs w:val="20"/>
              </w:rPr>
            </w:pPr>
            <w:r>
              <w:rPr>
                <w:rFonts w:eastAsia="Calibri" w:cs="Times New Roman"/>
                <w:i/>
                <w:sz w:val="20"/>
                <w:szCs w:val="20"/>
              </w:rPr>
              <w:t>Attorney General of Canada v</w:t>
            </w:r>
            <w:r w:rsidR="005F1ED8" w:rsidRPr="003A74F5">
              <w:rPr>
                <w:rFonts w:eastAsia="Calibri" w:cs="Times New Roman"/>
                <w:i/>
                <w:sz w:val="20"/>
                <w:szCs w:val="20"/>
              </w:rPr>
              <w:t xml:space="preserve">. </w:t>
            </w:r>
            <w:r>
              <w:rPr>
                <w:rFonts w:eastAsia="Calibri" w:cs="Times New Roman"/>
                <w:i/>
                <w:sz w:val="20"/>
                <w:szCs w:val="20"/>
              </w:rPr>
              <w:t>Federation of Law Societies of C</w:t>
            </w:r>
            <w:r w:rsidR="005F1ED8" w:rsidRPr="003A74F5">
              <w:rPr>
                <w:rFonts w:eastAsia="Calibri" w:cs="Times New Roman"/>
                <w:i/>
                <w:sz w:val="20"/>
                <w:szCs w:val="20"/>
              </w:rPr>
              <w:t>an</w:t>
            </w:r>
            <w:r>
              <w:rPr>
                <w:rFonts w:eastAsia="Calibri" w:cs="Times New Roman"/>
                <w:i/>
                <w:sz w:val="20"/>
                <w:szCs w:val="20"/>
              </w:rPr>
              <w:t>ada</w:t>
            </w:r>
            <w:r w:rsidR="005F1ED8" w:rsidRPr="003A74F5">
              <w:rPr>
                <w:rFonts w:eastAsia="Calibri" w:cs="Times New Roman"/>
                <w:sz w:val="20"/>
                <w:szCs w:val="20"/>
              </w:rPr>
              <w:t xml:space="preserve"> (</w:t>
            </w:r>
            <w:r>
              <w:rPr>
                <w:rFonts w:eastAsia="Calibri" w:cs="Times New Roman"/>
                <w:sz w:val="20"/>
                <w:szCs w:val="20"/>
              </w:rPr>
              <w:t>B.C</w:t>
            </w:r>
            <w:r w:rsidR="005F1ED8" w:rsidRPr="003A74F5">
              <w:rPr>
                <w:rFonts w:eastAsia="Calibri" w:cs="Times New Roman"/>
                <w:sz w:val="20"/>
                <w:szCs w:val="20"/>
              </w:rPr>
              <w:t>.) (Ci</w:t>
            </w:r>
            <w:r>
              <w:rPr>
                <w:rFonts w:eastAsia="Calibri" w:cs="Times New Roman"/>
                <w:sz w:val="20"/>
                <w:szCs w:val="20"/>
              </w:rPr>
              <w:t>v</w:t>
            </w:r>
            <w:r w:rsidR="005F1ED8" w:rsidRPr="003A74F5">
              <w:rPr>
                <w:rFonts w:eastAsia="Calibri" w:cs="Times New Roman"/>
                <w:sz w:val="20"/>
                <w:szCs w:val="20"/>
              </w:rPr>
              <w:t>il) (</w:t>
            </w:r>
            <w:r w:rsidR="005F1ED8">
              <w:rPr>
                <w:rFonts w:eastAsia="Calibri" w:cs="Times New Roman"/>
                <w:sz w:val="20"/>
                <w:szCs w:val="20"/>
              </w:rPr>
              <w:t>By Leave</w:t>
            </w:r>
            <w:r w:rsidR="005F1ED8" w:rsidRPr="003A74F5">
              <w:rPr>
                <w:rFonts w:eastAsia="Calibri" w:cs="Times New Roman"/>
                <w:sz w:val="20"/>
                <w:szCs w:val="20"/>
              </w:rPr>
              <w:t>) (3</w:t>
            </w:r>
            <w:r w:rsidR="005F1ED8">
              <w:rPr>
                <w:rFonts w:eastAsia="Calibri" w:cs="Times New Roman"/>
                <w:sz w:val="20"/>
                <w:szCs w:val="20"/>
              </w:rPr>
              <w:t>53</w:t>
            </w:r>
            <w:r>
              <w:rPr>
                <w:rFonts w:eastAsia="Calibri" w:cs="Times New Roman"/>
                <w:sz w:val="20"/>
                <w:szCs w:val="20"/>
              </w:rPr>
              <w:t>99</w:t>
            </w:r>
            <w:r w:rsidR="005F1ED8" w:rsidRPr="003A74F5">
              <w:rPr>
                <w:rFonts w:eastAsia="Calibri" w:cs="Times New Roman"/>
                <w:sz w:val="20"/>
                <w:szCs w:val="20"/>
              </w:rPr>
              <w:t>)</w:t>
            </w:r>
          </w:p>
          <w:p w:rsidR="00524CF0" w:rsidRPr="003A74F5" w:rsidRDefault="00524CF0" w:rsidP="00FF6976">
            <w:pPr>
              <w:jc w:val="both"/>
              <w:rPr>
                <w:rFonts w:eastAsia="Calibri" w:cs="Times New Roman"/>
                <w:sz w:val="20"/>
                <w:szCs w:val="20"/>
              </w:rPr>
            </w:pPr>
          </w:p>
        </w:tc>
      </w:tr>
      <w:tr w:rsidR="005F1ED8" w:rsidRPr="00C5600D" w:rsidTr="00524CF0">
        <w:trPr>
          <w:cantSplit/>
        </w:trPr>
        <w:tc>
          <w:tcPr>
            <w:tcW w:w="2398" w:type="dxa"/>
          </w:tcPr>
          <w:p w:rsidR="005F1ED8" w:rsidRPr="003A74F5" w:rsidRDefault="005F1ED8" w:rsidP="00016F97">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w:t>
            </w:r>
            <w:r w:rsidR="00016F97">
              <w:rPr>
                <w:rFonts w:eastAsia="Calibri" w:cs="Times New Roman"/>
                <w:sz w:val="20"/>
                <w:szCs w:val="20"/>
              </w:rPr>
              <w:t>5</w:t>
            </w:r>
            <w:r w:rsidRPr="003A74F5">
              <w:rPr>
                <w:rFonts w:eastAsia="Calibri" w:cs="Times New Roman"/>
                <w:sz w:val="20"/>
                <w:szCs w:val="20"/>
              </w:rPr>
              <w:t>-</w:t>
            </w:r>
            <w:r>
              <w:rPr>
                <w:rFonts w:eastAsia="Calibri" w:cs="Times New Roman"/>
                <w:sz w:val="20"/>
                <w:szCs w:val="20"/>
              </w:rPr>
              <w:t>1</w:t>
            </w:r>
            <w:r w:rsidR="00016F97">
              <w:rPr>
                <w:rFonts w:eastAsia="Calibri" w:cs="Times New Roman"/>
                <w:sz w:val="20"/>
                <w:szCs w:val="20"/>
              </w:rPr>
              <w:t>4</w:t>
            </w:r>
          </w:p>
        </w:tc>
        <w:tc>
          <w:tcPr>
            <w:tcW w:w="7178" w:type="dxa"/>
          </w:tcPr>
          <w:p w:rsidR="005F1ED8" w:rsidRDefault="00FF6976" w:rsidP="00524CF0">
            <w:pPr>
              <w:jc w:val="both"/>
              <w:rPr>
                <w:rFonts w:eastAsia="Calibri" w:cs="Times New Roman"/>
                <w:sz w:val="20"/>
                <w:szCs w:val="20"/>
              </w:rPr>
            </w:pPr>
            <w:r>
              <w:rPr>
                <w:rFonts w:eastAsia="Calibri" w:cs="Times New Roman"/>
                <w:i/>
                <w:sz w:val="20"/>
                <w:szCs w:val="20"/>
              </w:rPr>
              <w:t>C</w:t>
            </w:r>
            <w:r w:rsidR="005F1ED8" w:rsidRPr="003B7455">
              <w:rPr>
                <w:rFonts w:eastAsia="Calibri" w:cs="Times New Roman"/>
                <w:i/>
                <w:sz w:val="20"/>
                <w:szCs w:val="20"/>
              </w:rPr>
              <w:t>a</w:t>
            </w:r>
            <w:r>
              <w:rPr>
                <w:rFonts w:eastAsia="Calibri" w:cs="Times New Roman"/>
                <w:i/>
                <w:sz w:val="20"/>
                <w:szCs w:val="20"/>
              </w:rPr>
              <w:t>nadian Artists’ Repr</w:t>
            </w:r>
            <w:r w:rsidR="005F1ED8" w:rsidRPr="003B7455">
              <w:rPr>
                <w:rFonts w:eastAsia="Calibri" w:cs="Times New Roman"/>
                <w:i/>
                <w:sz w:val="20"/>
                <w:szCs w:val="20"/>
              </w:rPr>
              <w:t>es</w:t>
            </w:r>
            <w:r w:rsidR="00524CF0">
              <w:rPr>
                <w:rFonts w:eastAsia="Calibri" w:cs="Times New Roman"/>
                <w:i/>
                <w:sz w:val="20"/>
                <w:szCs w:val="20"/>
              </w:rPr>
              <w:t>en</w:t>
            </w:r>
            <w:r w:rsidR="005F1ED8" w:rsidRPr="003B7455">
              <w:rPr>
                <w:rFonts w:eastAsia="Calibri" w:cs="Times New Roman"/>
                <w:i/>
                <w:sz w:val="20"/>
                <w:szCs w:val="20"/>
              </w:rPr>
              <w:t>t</w:t>
            </w:r>
            <w:r>
              <w:rPr>
                <w:rFonts w:eastAsia="Calibri" w:cs="Times New Roman"/>
                <w:i/>
                <w:sz w:val="20"/>
                <w:szCs w:val="20"/>
              </w:rPr>
              <w:t>ation/Front des artist</w:t>
            </w:r>
            <w:r w:rsidR="005F1ED8" w:rsidRPr="003B7455">
              <w:rPr>
                <w:rFonts w:eastAsia="Calibri" w:cs="Times New Roman"/>
                <w:i/>
                <w:sz w:val="20"/>
                <w:szCs w:val="20"/>
              </w:rPr>
              <w:t>es</w:t>
            </w:r>
            <w:r w:rsidR="0017795C">
              <w:rPr>
                <w:rFonts w:eastAsia="Calibri" w:cs="Times New Roman"/>
                <w:i/>
                <w:sz w:val="20"/>
                <w:szCs w:val="20"/>
              </w:rPr>
              <w:t xml:space="preserve"> canadiens et al.</w:t>
            </w:r>
            <w:r w:rsidR="005F1ED8" w:rsidRPr="003B7455">
              <w:rPr>
                <w:rFonts w:eastAsia="Calibri" w:cs="Times New Roman"/>
                <w:i/>
                <w:sz w:val="20"/>
                <w:szCs w:val="20"/>
              </w:rPr>
              <w:t xml:space="preserve"> v. </w:t>
            </w:r>
            <w:r w:rsidR="0017795C">
              <w:rPr>
                <w:rFonts w:eastAsia="Calibri" w:cs="Times New Roman"/>
                <w:i/>
                <w:sz w:val="20"/>
                <w:szCs w:val="20"/>
              </w:rPr>
              <w:t>National Gall</w:t>
            </w:r>
            <w:r w:rsidR="005F1ED8" w:rsidRPr="003B7455">
              <w:rPr>
                <w:rFonts w:eastAsia="Calibri" w:cs="Times New Roman"/>
                <w:i/>
                <w:sz w:val="20"/>
                <w:szCs w:val="20"/>
              </w:rPr>
              <w:t>er</w:t>
            </w:r>
            <w:r w:rsidR="0017795C">
              <w:rPr>
                <w:rFonts w:eastAsia="Calibri" w:cs="Times New Roman"/>
                <w:i/>
                <w:sz w:val="20"/>
                <w:szCs w:val="20"/>
              </w:rPr>
              <w:t>y</w:t>
            </w:r>
            <w:r w:rsidR="005F1ED8" w:rsidRPr="003B7455">
              <w:rPr>
                <w:rFonts w:eastAsia="Calibri" w:cs="Times New Roman"/>
                <w:i/>
                <w:sz w:val="20"/>
                <w:szCs w:val="20"/>
              </w:rPr>
              <w:t xml:space="preserve"> </w:t>
            </w:r>
            <w:r w:rsidR="0017795C">
              <w:rPr>
                <w:rFonts w:eastAsia="Calibri" w:cs="Times New Roman"/>
                <w:i/>
                <w:sz w:val="20"/>
                <w:szCs w:val="20"/>
              </w:rPr>
              <w:t>of C</w:t>
            </w:r>
            <w:r w:rsidR="005F1ED8" w:rsidRPr="003B7455">
              <w:rPr>
                <w:rFonts w:eastAsia="Calibri" w:cs="Times New Roman"/>
                <w:i/>
                <w:sz w:val="20"/>
                <w:szCs w:val="20"/>
              </w:rPr>
              <w:t>an</w:t>
            </w:r>
            <w:r w:rsidR="0017795C">
              <w:rPr>
                <w:rFonts w:eastAsia="Calibri" w:cs="Times New Roman"/>
                <w:i/>
                <w:sz w:val="20"/>
                <w:szCs w:val="20"/>
              </w:rPr>
              <w:t>ada</w:t>
            </w:r>
            <w:r w:rsidR="005F1ED8" w:rsidRPr="003B7455">
              <w:rPr>
                <w:rFonts w:eastAsia="Calibri" w:cs="Times New Roman"/>
                <w:i/>
                <w:sz w:val="20"/>
                <w:szCs w:val="20"/>
              </w:rPr>
              <w:t xml:space="preserve"> </w:t>
            </w:r>
            <w:r w:rsidR="005F1ED8" w:rsidRPr="003B7455">
              <w:rPr>
                <w:rFonts w:eastAsia="Calibri" w:cs="Times New Roman"/>
                <w:sz w:val="20"/>
                <w:szCs w:val="20"/>
              </w:rPr>
              <w:t>(</w:t>
            </w:r>
            <w:r w:rsidR="0017795C">
              <w:rPr>
                <w:rFonts w:eastAsia="Calibri" w:cs="Times New Roman"/>
                <w:sz w:val="20"/>
                <w:szCs w:val="20"/>
              </w:rPr>
              <w:t>F.C</w:t>
            </w:r>
            <w:r w:rsidR="005F1ED8" w:rsidRPr="003B7455">
              <w:rPr>
                <w:rFonts w:eastAsia="Calibri" w:cs="Times New Roman"/>
                <w:sz w:val="20"/>
                <w:szCs w:val="20"/>
              </w:rPr>
              <w:t xml:space="preserve">.) </w:t>
            </w:r>
            <w:r w:rsidR="005F1ED8" w:rsidRPr="00016F97">
              <w:rPr>
                <w:rFonts w:eastAsia="Calibri" w:cs="Times New Roman"/>
                <w:sz w:val="20"/>
                <w:szCs w:val="20"/>
              </w:rPr>
              <w:t>(Ci</w:t>
            </w:r>
            <w:r w:rsidR="0017795C">
              <w:rPr>
                <w:rFonts w:eastAsia="Calibri" w:cs="Times New Roman"/>
                <w:sz w:val="20"/>
                <w:szCs w:val="20"/>
              </w:rPr>
              <w:t>v</w:t>
            </w:r>
            <w:r w:rsidR="005F1ED8" w:rsidRPr="00016F97">
              <w:rPr>
                <w:rFonts w:eastAsia="Calibri" w:cs="Times New Roman"/>
                <w:sz w:val="20"/>
                <w:szCs w:val="20"/>
              </w:rPr>
              <w:t>il) (By Leave) (353</w:t>
            </w:r>
            <w:r>
              <w:rPr>
                <w:rFonts w:eastAsia="Calibri" w:cs="Times New Roman"/>
                <w:sz w:val="20"/>
                <w:szCs w:val="20"/>
              </w:rPr>
              <w:t>53</w:t>
            </w:r>
            <w:r w:rsidR="005F1ED8" w:rsidRPr="00016F97">
              <w:rPr>
                <w:rFonts w:eastAsia="Calibri" w:cs="Times New Roman"/>
                <w:sz w:val="20"/>
                <w:szCs w:val="20"/>
              </w:rPr>
              <w:t>)</w:t>
            </w:r>
          </w:p>
          <w:p w:rsidR="00524CF0" w:rsidRPr="00016F97" w:rsidRDefault="00524CF0" w:rsidP="00524CF0">
            <w:pPr>
              <w:jc w:val="both"/>
              <w:rPr>
                <w:rFonts w:eastAsia="Calibri" w:cs="Times New Roman"/>
                <w:sz w:val="20"/>
                <w:szCs w:val="20"/>
              </w:rPr>
            </w:pPr>
          </w:p>
        </w:tc>
      </w:tr>
      <w:tr w:rsidR="005F1ED8" w:rsidRPr="00C5600D" w:rsidTr="00524CF0">
        <w:trPr>
          <w:cantSplit/>
        </w:trPr>
        <w:tc>
          <w:tcPr>
            <w:tcW w:w="2398" w:type="dxa"/>
          </w:tcPr>
          <w:p w:rsidR="005F1ED8" w:rsidRPr="00216AEB" w:rsidRDefault="005F1ED8" w:rsidP="00016F97">
            <w:pPr>
              <w:rPr>
                <w:rFonts w:eastAsia="Calibri" w:cs="Times New Roman"/>
                <w:sz w:val="20"/>
                <w:szCs w:val="20"/>
                <w:lang w:val="fr-CA"/>
              </w:rPr>
            </w:pPr>
            <w:r>
              <w:rPr>
                <w:rFonts w:eastAsia="Calibri" w:cs="Times New Roman"/>
                <w:sz w:val="20"/>
                <w:szCs w:val="20"/>
                <w:lang w:val="fr-CA"/>
              </w:rPr>
              <w:t>2014</w:t>
            </w:r>
            <w:r w:rsidRPr="00216AEB">
              <w:rPr>
                <w:rFonts w:eastAsia="Calibri" w:cs="Times New Roman"/>
                <w:sz w:val="20"/>
                <w:szCs w:val="20"/>
                <w:lang w:val="fr-CA"/>
              </w:rPr>
              <w:t>-</w:t>
            </w:r>
            <w:r w:rsidR="00016F97">
              <w:rPr>
                <w:rFonts w:eastAsia="Calibri" w:cs="Times New Roman"/>
                <w:sz w:val="20"/>
                <w:szCs w:val="20"/>
                <w:lang w:val="fr-CA"/>
              </w:rPr>
              <w:t>05</w:t>
            </w:r>
            <w:r w:rsidRPr="00216AEB">
              <w:rPr>
                <w:rFonts w:eastAsia="Calibri" w:cs="Times New Roman"/>
                <w:sz w:val="20"/>
                <w:szCs w:val="20"/>
                <w:lang w:val="fr-CA"/>
              </w:rPr>
              <w:t>-</w:t>
            </w:r>
            <w:r>
              <w:rPr>
                <w:rFonts w:eastAsia="Calibri" w:cs="Times New Roman"/>
                <w:sz w:val="20"/>
                <w:szCs w:val="20"/>
                <w:lang w:val="fr-CA"/>
              </w:rPr>
              <w:t>1</w:t>
            </w:r>
            <w:r w:rsidR="00016F97">
              <w:rPr>
                <w:rFonts w:eastAsia="Calibri" w:cs="Times New Roman"/>
                <w:sz w:val="20"/>
                <w:szCs w:val="20"/>
                <w:lang w:val="fr-CA"/>
              </w:rPr>
              <w:t>5</w:t>
            </w:r>
          </w:p>
        </w:tc>
        <w:tc>
          <w:tcPr>
            <w:tcW w:w="7178" w:type="dxa"/>
          </w:tcPr>
          <w:p w:rsidR="005F1ED8" w:rsidRDefault="0017795C" w:rsidP="0017795C">
            <w:pPr>
              <w:jc w:val="both"/>
              <w:rPr>
                <w:rFonts w:eastAsia="Calibri" w:cs="Times New Roman"/>
                <w:sz w:val="20"/>
                <w:szCs w:val="20"/>
              </w:rPr>
            </w:pPr>
            <w:r>
              <w:rPr>
                <w:rFonts w:eastAsia="Calibri" w:cs="Times New Roman"/>
                <w:i/>
                <w:sz w:val="20"/>
                <w:szCs w:val="20"/>
              </w:rPr>
              <w:t>Andr</w:t>
            </w:r>
            <w:r w:rsidR="005F1ED8" w:rsidRPr="003B7455">
              <w:rPr>
                <w:rFonts w:eastAsia="Calibri" w:cs="Times New Roman"/>
                <w:i/>
                <w:sz w:val="20"/>
                <w:szCs w:val="20"/>
              </w:rPr>
              <w:t>e</w:t>
            </w:r>
            <w:r>
              <w:rPr>
                <w:rFonts w:eastAsia="Calibri" w:cs="Times New Roman"/>
                <w:i/>
                <w:sz w:val="20"/>
                <w:szCs w:val="20"/>
              </w:rPr>
              <w:t>w K</w:t>
            </w:r>
            <w:r w:rsidR="005F1ED8" w:rsidRPr="003B7455">
              <w:rPr>
                <w:rFonts w:eastAsia="Calibri" w:cs="Times New Roman"/>
                <w:i/>
                <w:sz w:val="20"/>
                <w:szCs w:val="20"/>
              </w:rPr>
              <w:t>e</w:t>
            </w:r>
            <w:r>
              <w:rPr>
                <w:rFonts w:eastAsia="Calibri" w:cs="Times New Roman"/>
                <w:i/>
                <w:sz w:val="20"/>
                <w:szCs w:val="20"/>
              </w:rPr>
              <w:t>ewati</w:t>
            </w:r>
            <w:r w:rsidR="005F1ED8" w:rsidRPr="003B7455">
              <w:rPr>
                <w:rFonts w:eastAsia="Calibri" w:cs="Times New Roman"/>
                <w:i/>
                <w:sz w:val="20"/>
                <w:szCs w:val="20"/>
              </w:rPr>
              <w:t>n</w:t>
            </w:r>
            <w:r>
              <w:rPr>
                <w:rFonts w:eastAsia="Calibri" w:cs="Times New Roman"/>
                <w:i/>
                <w:sz w:val="20"/>
                <w:szCs w:val="20"/>
              </w:rPr>
              <w:t xml:space="preserve"> Jr. et al.</w:t>
            </w:r>
            <w:r w:rsidR="005F1ED8" w:rsidRPr="003B7455">
              <w:rPr>
                <w:rFonts w:eastAsia="Calibri" w:cs="Times New Roman"/>
                <w:i/>
                <w:sz w:val="20"/>
                <w:szCs w:val="20"/>
              </w:rPr>
              <w:t xml:space="preserve"> v. </w:t>
            </w:r>
            <w:r>
              <w:rPr>
                <w:rFonts w:eastAsia="Calibri" w:cs="Times New Roman"/>
                <w:i/>
                <w:sz w:val="20"/>
                <w:szCs w:val="20"/>
              </w:rPr>
              <w:t>Minist</w:t>
            </w:r>
            <w:r w:rsidR="005F1ED8" w:rsidRPr="003A74F5">
              <w:rPr>
                <w:rFonts w:eastAsia="Calibri" w:cs="Times New Roman"/>
                <w:i/>
                <w:sz w:val="20"/>
                <w:szCs w:val="20"/>
              </w:rPr>
              <w:t xml:space="preserve">er </w:t>
            </w:r>
            <w:r>
              <w:rPr>
                <w:rFonts w:eastAsia="Calibri" w:cs="Times New Roman"/>
                <w:i/>
                <w:sz w:val="20"/>
                <w:szCs w:val="20"/>
              </w:rPr>
              <w:t>of N</w:t>
            </w:r>
            <w:r w:rsidR="005F1ED8" w:rsidRPr="003A74F5">
              <w:rPr>
                <w:rFonts w:eastAsia="Calibri" w:cs="Times New Roman"/>
                <w:i/>
                <w:sz w:val="20"/>
                <w:szCs w:val="20"/>
              </w:rPr>
              <w:t>at</w:t>
            </w:r>
            <w:r>
              <w:rPr>
                <w:rFonts w:eastAsia="Calibri" w:cs="Times New Roman"/>
                <w:i/>
                <w:sz w:val="20"/>
                <w:szCs w:val="20"/>
              </w:rPr>
              <w:t>ural Resources e</w:t>
            </w:r>
            <w:r w:rsidR="005F1ED8" w:rsidRPr="003A74F5">
              <w:rPr>
                <w:rFonts w:eastAsia="Calibri" w:cs="Times New Roman"/>
                <w:i/>
                <w:sz w:val="20"/>
                <w:szCs w:val="20"/>
              </w:rPr>
              <w:t>t</w:t>
            </w:r>
            <w:r>
              <w:rPr>
                <w:rFonts w:eastAsia="Calibri" w:cs="Times New Roman"/>
                <w:i/>
                <w:sz w:val="20"/>
                <w:szCs w:val="20"/>
              </w:rPr>
              <w:t xml:space="preserve"> al.</w:t>
            </w:r>
            <w:r w:rsidR="005F1ED8" w:rsidRPr="003A74F5">
              <w:rPr>
                <w:rFonts w:eastAsia="Calibri" w:cs="Times New Roman"/>
                <w:i/>
                <w:sz w:val="20"/>
                <w:szCs w:val="20"/>
              </w:rPr>
              <w:t xml:space="preserve"> </w:t>
            </w:r>
            <w:r w:rsidR="005F1ED8" w:rsidRPr="003B7455">
              <w:rPr>
                <w:rFonts w:eastAsia="Calibri" w:cs="Times New Roman"/>
                <w:sz w:val="20"/>
                <w:szCs w:val="20"/>
              </w:rPr>
              <w:t xml:space="preserve">(Ont.) </w:t>
            </w:r>
            <w:r w:rsidR="005F1ED8" w:rsidRPr="00016F97">
              <w:rPr>
                <w:rFonts w:eastAsia="Calibri" w:cs="Times New Roman"/>
                <w:sz w:val="20"/>
                <w:szCs w:val="20"/>
              </w:rPr>
              <w:t>(Ci</w:t>
            </w:r>
            <w:r>
              <w:rPr>
                <w:rFonts w:eastAsia="Calibri" w:cs="Times New Roman"/>
                <w:sz w:val="20"/>
                <w:szCs w:val="20"/>
              </w:rPr>
              <w:t>v</w:t>
            </w:r>
            <w:r w:rsidR="005F1ED8" w:rsidRPr="00016F97">
              <w:rPr>
                <w:rFonts w:eastAsia="Calibri" w:cs="Times New Roman"/>
                <w:sz w:val="20"/>
                <w:szCs w:val="20"/>
              </w:rPr>
              <w:t>il) (By</w:t>
            </w:r>
            <w:r>
              <w:rPr>
                <w:rFonts w:eastAsia="Calibri" w:cs="Times New Roman"/>
                <w:sz w:val="20"/>
                <w:szCs w:val="20"/>
              </w:rPr>
              <w:t> </w:t>
            </w:r>
            <w:r w:rsidR="005F1ED8" w:rsidRPr="00016F97">
              <w:rPr>
                <w:rFonts w:eastAsia="Calibri" w:cs="Times New Roman"/>
                <w:sz w:val="20"/>
                <w:szCs w:val="20"/>
              </w:rPr>
              <w:t>Leave) (35</w:t>
            </w:r>
            <w:r>
              <w:rPr>
                <w:rFonts w:eastAsia="Calibri" w:cs="Times New Roman"/>
                <w:sz w:val="20"/>
                <w:szCs w:val="20"/>
              </w:rPr>
              <w:t>379</w:t>
            </w:r>
            <w:r w:rsidR="005F1ED8" w:rsidRPr="00016F97">
              <w:rPr>
                <w:rFonts w:eastAsia="Calibri" w:cs="Times New Roman"/>
                <w:sz w:val="20"/>
                <w:szCs w:val="20"/>
              </w:rPr>
              <w:t>)</w:t>
            </w:r>
          </w:p>
          <w:p w:rsidR="00524CF0" w:rsidRPr="00016F97" w:rsidRDefault="00524CF0" w:rsidP="0017795C">
            <w:pPr>
              <w:jc w:val="both"/>
              <w:rPr>
                <w:rFonts w:eastAsia="Calibri" w:cs="Times New Roman"/>
                <w:sz w:val="20"/>
                <w:szCs w:val="20"/>
              </w:rPr>
            </w:pPr>
          </w:p>
        </w:tc>
      </w:tr>
      <w:tr w:rsidR="005F1ED8" w:rsidRPr="00216AEB" w:rsidTr="00524CF0">
        <w:trPr>
          <w:cantSplit/>
        </w:trPr>
        <w:tc>
          <w:tcPr>
            <w:tcW w:w="2398" w:type="dxa"/>
          </w:tcPr>
          <w:p w:rsidR="005F1ED8" w:rsidRPr="0017795C" w:rsidRDefault="005F1ED8" w:rsidP="00016F97">
            <w:pPr>
              <w:rPr>
                <w:rFonts w:eastAsia="Calibri" w:cs="Times New Roman"/>
                <w:sz w:val="20"/>
                <w:szCs w:val="20"/>
              </w:rPr>
            </w:pPr>
            <w:r w:rsidRPr="0017795C">
              <w:rPr>
                <w:rFonts w:eastAsia="Calibri" w:cs="Times New Roman"/>
                <w:sz w:val="20"/>
                <w:szCs w:val="20"/>
              </w:rPr>
              <w:t>2014-</w:t>
            </w:r>
            <w:r w:rsidR="00016F97" w:rsidRPr="0017795C">
              <w:rPr>
                <w:rFonts w:eastAsia="Calibri" w:cs="Times New Roman"/>
                <w:sz w:val="20"/>
                <w:szCs w:val="20"/>
              </w:rPr>
              <w:t>05</w:t>
            </w:r>
            <w:r w:rsidRPr="0017795C">
              <w:rPr>
                <w:rFonts w:eastAsia="Calibri" w:cs="Times New Roman"/>
                <w:sz w:val="20"/>
                <w:szCs w:val="20"/>
              </w:rPr>
              <w:t>-1</w:t>
            </w:r>
            <w:r w:rsidR="00016F97" w:rsidRPr="0017795C">
              <w:rPr>
                <w:rFonts w:eastAsia="Calibri" w:cs="Times New Roman"/>
                <w:sz w:val="20"/>
                <w:szCs w:val="20"/>
              </w:rPr>
              <w:t>6</w:t>
            </w:r>
          </w:p>
        </w:tc>
        <w:tc>
          <w:tcPr>
            <w:tcW w:w="7178" w:type="dxa"/>
          </w:tcPr>
          <w:p w:rsidR="005F1ED8" w:rsidRDefault="0017795C" w:rsidP="0017795C">
            <w:pPr>
              <w:jc w:val="both"/>
              <w:rPr>
                <w:rFonts w:eastAsia="Calibri" w:cs="Times New Roman"/>
                <w:sz w:val="20"/>
                <w:szCs w:val="20"/>
              </w:rPr>
            </w:pPr>
            <w:r>
              <w:rPr>
                <w:rFonts w:eastAsia="Calibri" w:cs="Times New Roman"/>
                <w:i/>
                <w:sz w:val="20"/>
                <w:szCs w:val="20"/>
              </w:rPr>
              <w:t>Saskatch</w:t>
            </w:r>
            <w:r w:rsidR="005F1ED8" w:rsidRPr="003B7455">
              <w:rPr>
                <w:rFonts w:eastAsia="Calibri" w:cs="Times New Roman"/>
                <w:i/>
                <w:sz w:val="20"/>
                <w:szCs w:val="20"/>
              </w:rPr>
              <w:t>e</w:t>
            </w:r>
            <w:r>
              <w:rPr>
                <w:rFonts w:eastAsia="Calibri" w:cs="Times New Roman"/>
                <w:i/>
                <w:sz w:val="20"/>
                <w:szCs w:val="20"/>
              </w:rPr>
              <w:t>w</w:t>
            </w:r>
            <w:r w:rsidR="005F1ED8" w:rsidRPr="0085047E">
              <w:rPr>
                <w:rFonts w:eastAsia="Calibri" w:cs="Times New Roman"/>
                <w:i/>
                <w:sz w:val="20"/>
                <w:szCs w:val="20"/>
              </w:rPr>
              <w:t>a</w:t>
            </w:r>
            <w:r>
              <w:rPr>
                <w:rFonts w:eastAsia="Calibri" w:cs="Times New Roman"/>
                <w:i/>
                <w:sz w:val="20"/>
                <w:szCs w:val="20"/>
              </w:rPr>
              <w:t xml:space="preserve">n Federation of Labour (in its own right and on behalf of the unions and workers in the Province of Saskatchewan) </w:t>
            </w:r>
            <w:r w:rsidR="005F1ED8" w:rsidRPr="0085047E">
              <w:rPr>
                <w:rFonts w:eastAsia="Calibri" w:cs="Times New Roman"/>
                <w:i/>
                <w:sz w:val="20"/>
                <w:szCs w:val="20"/>
              </w:rPr>
              <w:t>et</w:t>
            </w:r>
            <w:r>
              <w:rPr>
                <w:rFonts w:eastAsia="Calibri" w:cs="Times New Roman"/>
                <w:i/>
                <w:sz w:val="20"/>
                <w:szCs w:val="20"/>
              </w:rPr>
              <w:t xml:space="preserve"> al.</w:t>
            </w:r>
            <w:r w:rsidR="005F1ED8" w:rsidRPr="0085047E">
              <w:rPr>
                <w:rFonts w:eastAsia="Calibri" w:cs="Times New Roman"/>
                <w:sz w:val="20"/>
                <w:szCs w:val="20"/>
              </w:rPr>
              <w:t xml:space="preserve"> </w:t>
            </w:r>
            <w:r w:rsidR="005F1ED8" w:rsidRPr="003B7455">
              <w:rPr>
                <w:rFonts w:eastAsia="Calibri" w:cs="Times New Roman"/>
                <w:i/>
                <w:sz w:val="20"/>
                <w:szCs w:val="20"/>
              </w:rPr>
              <w:t>v.</w:t>
            </w:r>
            <w:r w:rsidR="005F1ED8">
              <w:rPr>
                <w:rFonts w:eastAsia="Calibri" w:cs="Times New Roman"/>
                <w:i/>
                <w:sz w:val="20"/>
                <w:szCs w:val="20"/>
              </w:rPr>
              <w:t xml:space="preserve">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in Right of the Province of Saskatchewan </w:t>
            </w:r>
            <w:r w:rsidR="005F1ED8" w:rsidRPr="0085047E">
              <w:rPr>
                <w:rFonts w:eastAsia="Calibri" w:cs="Times New Roman"/>
                <w:sz w:val="20"/>
                <w:szCs w:val="20"/>
              </w:rPr>
              <w:t>(</w:t>
            </w:r>
            <w:r>
              <w:rPr>
                <w:rFonts w:eastAsia="Calibri" w:cs="Times New Roman"/>
                <w:sz w:val="20"/>
                <w:szCs w:val="20"/>
              </w:rPr>
              <w:t>S</w:t>
            </w:r>
            <w:r w:rsidR="005F1ED8" w:rsidRPr="0085047E">
              <w:rPr>
                <w:rFonts w:eastAsia="Calibri" w:cs="Times New Roman"/>
                <w:sz w:val="20"/>
                <w:szCs w:val="20"/>
              </w:rPr>
              <w:t>a</w:t>
            </w:r>
            <w:r>
              <w:rPr>
                <w:rFonts w:eastAsia="Calibri" w:cs="Times New Roman"/>
                <w:sz w:val="20"/>
                <w:szCs w:val="20"/>
              </w:rPr>
              <w:t>sk</w:t>
            </w:r>
            <w:r w:rsidR="005F1ED8" w:rsidRPr="0085047E">
              <w:rPr>
                <w:rFonts w:eastAsia="Calibri" w:cs="Times New Roman"/>
                <w:sz w:val="20"/>
                <w:szCs w:val="20"/>
              </w:rPr>
              <w:t xml:space="preserve">.) </w:t>
            </w:r>
            <w:r w:rsidR="005F1ED8" w:rsidRPr="003B7455">
              <w:rPr>
                <w:rFonts w:eastAsia="Calibri" w:cs="Times New Roman"/>
                <w:sz w:val="20"/>
                <w:szCs w:val="20"/>
              </w:rPr>
              <w:t>(Ci</w:t>
            </w:r>
            <w:r>
              <w:rPr>
                <w:rFonts w:eastAsia="Calibri" w:cs="Times New Roman"/>
                <w:sz w:val="20"/>
                <w:szCs w:val="20"/>
              </w:rPr>
              <w:t>v</w:t>
            </w:r>
            <w:r w:rsidR="005F1ED8" w:rsidRPr="003B7455">
              <w:rPr>
                <w:rFonts w:eastAsia="Calibri" w:cs="Times New Roman"/>
                <w:sz w:val="20"/>
                <w:szCs w:val="20"/>
              </w:rPr>
              <w:t>il) (</w:t>
            </w:r>
            <w:r w:rsidR="005F1ED8">
              <w:rPr>
                <w:rFonts w:eastAsia="Calibri" w:cs="Times New Roman"/>
                <w:sz w:val="20"/>
                <w:szCs w:val="20"/>
              </w:rPr>
              <w:t>By Leave)</w:t>
            </w:r>
            <w:r w:rsidR="005F1ED8" w:rsidRPr="003B7455">
              <w:rPr>
                <w:rFonts w:eastAsia="Calibri" w:cs="Times New Roman"/>
                <w:sz w:val="20"/>
                <w:szCs w:val="20"/>
              </w:rPr>
              <w:t xml:space="preserve"> (3</w:t>
            </w:r>
            <w:r w:rsidR="005F1ED8">
              <w:rPr>
                <w:rFonts w:eastAsia="Calibri" w:cs="Times New Roman"/>
                <w:sz w:val="20"/>
                <w:szCs w:val="20"/>
              </w:rPr>
              <w:t>5</w:t>
            </w:r>
            <w:r w:rsidR="005F1ED8" w:rsidRPr="003B7455">
              <w:rPr>
                <w:rFonts w:eastAsia="Calibri" w:cs="Times New Roman"/>
                <w:sz w:val="20"/>
                <w:szCs w:val="20"/>
              </w:rPr>
              <w:t>4</w:t>
            </w:r>
            <w:r>
              <w:rPr>
                <w:rFonts w:eastAsia="Calibri" w:cs="Times New Roman"/>
                <w:sz w:val="20"/>
                <w:szCs w:val="20"/>
              </w:rPr>
              <w:t>23</w:t>
            </w:r>
            <w:r w:rsidR="005F1ED8" w:rsidRPr="003B7455">
              <w:rPr>
                <w:rFonts w:eastAsia="Calibri" w:cs="Times New Roman"/>
                <w:sz w:val="20"/>
                <w:szCs w:val="20"/>
              </w:rPr>
              <w:t>)</w:t>
            </w:r>
          </w:p>
          <w:p w:rsidR="00524CF0" w:rsidRPr="003B7455" w:rsidRDefault="00524CF0" w:rsidP="0017795C">
            <w:pPr>
              <w:jc w:val="both"/>
              <w:rPr>
                <w:rFonts w:eastAsia="Calibri" w:cs="Times New Roman"/>
                <w:sz w:val="20"/>
                <w:szCs w:val="20"/>
              </w:rPr>
            </w:pPr>
          </w:p>
        </w:tc>
      </w:tr>
      <w:tr w:rsidR="005F1ED8" w:rsidRPr="003A74F5" w:rsidTr="00E304BC">
        <w:trPr>
          <w:cantSplit/>
          <w:trHeight w:hRule="exact" w:val="576"/>
        </w:trPr>
        <w:tc>
          <w:tcPr>
            <w:tcW w:w="2398" w:type="dxa"/>
          </w:tcPr>
          <w:p w:rsidR="005F1ED8" w:rsidRPr="003A74F5" w:rsidRDefault="005F1ED8" w:rsidP="0017795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w:t>
            </w:r>
            <w:r w:rsidR="0017795C">
              <w:rPr>
                <w:rFonts w:eastAsia="Calibri" w:cs="Times New Roman"/>
                <w:sz w:val="20"/>
                <w:szCs w:val="20"/>
              </w:rPr>
              <w:t>5</w:t>
            </w:r>
            <w:r>
              <w:rPr>
                <w:rFonts w:eastAsia="Calibri" w:cs="Times New Roman"/>
                <w:sz w:val="20"/>
                <w:szCs w:val="20"/>
              </w:rPr>
              <w:t>-23</w:t>
            </w:r>
          </w:p>
        </w:tc>
        <w:tc>
          <w:tcPr>
            <w:tcW w:w="7178" w:type="dxa"/>
          </w:tcPr>
          <w:p w:rsidR="005F1ED8" w:rsidRPr="00762C77" w:rsidRDefault="00155CD6" w:rsidP="005F1ED8">
            <w:pPr>
              <w:jc w:val="both"/>
              <w:rPr>
                <w:rFonts w:eastAsia="Calibri" w:cs="Times New Roman"/>
                <w:sz w:val="20"/>
                <w:szCs w:val="20"/>
              </w:rPr>
            </w:pPr>
            <w:r w:rsidRPr="003B7455">
              <w:rPr>
                <w:rFonts w:eastAsia="Calibri" w:cs="Times New Roman"/>
                <w:i/>
                <w:sz w:val="20"/>
                <w:szCs w:val="20"/>
              </w:rPr>
              <w:t xml:space="preserve">Kevin Fearon v. </w:t>
            </w:r>
            <w:r w:rsidRPr="003A74F5">
              <w:rPr>
                <w:rFonts w:eastAsia="Calibri" w:cs="Times New Roman"/>
                <w:i/>
                <w:sz w:val="20"/>
                <w:szCs w:val="20"/>
              </w:rPr>
              <w:t xml:space="preserve">Her Majesty the Queen </w:t>
            </w:r>
            <w:r w:rsidRPr="003B7455">
              <w:rPr>
                <w:rFonts w:eastAsia="Calibri" w:cs="Times New Roman"/>
                <w:sz w:val="20"/>
                <w:szCs w:val="20"/>
              </w:rPr>
              <w:t xml:space="preserve">(Ont.) </w:t>
            </w:r>
            <w:r w:rsidRPr="00762C77">
              <w:rPr>
                <w:rFonts w:eastAsia="Calibri" w:cs="Times New Roman"/>
                <w:sz w:val="20"/>
                <w:szCs w:val="20"/>
              </w:rPr>
              <w:t>(Criminal) (By Leave) (35298)</w:t>
            </w:r>
          </w:p>
          <w:p w:rsidR="00E304BC" w:rsidRPr="003A74F5" w:rsidRDefault="00E304BC" w:rsidP="00E304BC">
            <w:pPr>
              <w:jc w:val="both"/>
              <w:rPr>
                <w:rFonts w:eastAsia="Calibri" w:cs="Times New Roman"/>
                <w:sz w:val="20"/>
                <w:szCs w:val="20"/>
              </w:rPr>
            </w:pPr>
            <w:r>
              <w:rPr>
                <w:sz w:val="20"/>
                <w:szCs w:val="20"/>
              </w:rPr>
              <w:t>(Early start time: 9:00 a.m. / Horaire modifié : audience débutant à 9 h)</w:t>
            </w:r>
          </w:p>
        </w:tc>
      </w:tr>
    </w:tbl>
    <w:p w:rsidR="005F1ED8" w:rsidRPr="00762C77" w:rsidRDefault="005F1ED8" w:rsidP="004B66B4">
      <w:pPr>
        <w:rPr>
          <w:sz w:val="20"/>
          <w:szCs w:val="20"/>
        </w:rPr>
      </w:pPr>
    </w:p>
    <w:p w:rsidR="004B66B4" w:rsidRPr="00DD0B49" w:rsidRDefault="000B3306" w:rsidP="002868D0">
      <w:pPr>
        <w:jc w:val="both"/>
        <w:rPr>
          <w:sz w:val="20"/>
          <w:szCs w:val="20"/>
        </w:rPr>
      </w:pPr>
      <w:r>
        <w:rPr>
          <w:sz w:val="20"/>
          <w:szCs w:val="20"/>
          <w:lang w:val="fr-CA"/>
        </w:rPr>
        <w:pict>
          <v:rect id="_x0000_i1093"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6F54B9" w:rsidRDefault="005F263E" w:rsidP="005F263E">
      <w:pPr>
        <w:tabs>
          <w:tab w:val="left" w:pos="-1440"/>
          <w:tab w:val="left" w:pos="-720"/>
        </w:tabs>
        <w:ind w:left="720" w:hanging="720"/>
        <w:jc w:val="both"/>
        <w:rPr>
          <w:b/>
          <w:sz w:val="20"/>
          <w:szCs w:val="20"/>
        </w:rPr>
      </w:pPr>
    </w:p>
    <w:p w:rsidR="006F54B9" w:rsidRPr="006F54B9" w:rsidRDefault="006F54B9" w:rsidP="006F54B9">
      <w:pPr>
        <w:widowControl w:val="0"/>
        <w:ind w:left="709" w:hanging="709"/>
        <w:jc w:val="both"/>
        <w:rPr>
          <w:rFonts w:eastAsia="Times New Roman" w:cs="Times New Roman"/>
          <w:sz w:val="20"/>
          <w:szCs w:val="20"/>
          <w:lang w:eastAsia="en-CA"/>
        </w:rPr>
      </w:pPr>
      <w:r w:rsidRPr="006F54B9">
        <w:rPr>
          <w:rFonts w:eastAsia="Times New Roman" w:cs="Times New Roman"/>
          <w:b/>
          <w:sz w:val="20"/>
          <w:szCs w:val="20"/>
          <w:lang w:eastAsia="en-CA"/>
        </w:rPr>
        <w:t>35422</w:t>
      </w:r>
      <w:r w:rsidR="00EF5791" w:rsidRPr="006F54B9">
        <w:rPr>
          <w:rFonts w:eastAsia="Times New Roman" w:cs="Times New Roman"/>
          <w:sz w:val="20"/>
          <w:szCs w:val="20"/>
          <w:lang w:eastAsia="en-CA"/>
        </w:rPr>
        <w:fldChar w:fldCharType="begin"/>
      </w:r>
      <w:r w:rsidRPr="006F54B9">
        <w:rPr>
          <w:rFonts w:eastAsia="Times New Roman" w:cs="Times New Roman"/>
          <w:sz w:val="20"/>
          <w:szCs w:val="20"/>
          <w:lang w:val="en-US" w:eastAsia="en-CA"/>
        </w:rPr>
        <w:instrText xml:space="preserve"> SEQ CHAPTER \h \r 1</w:instrText>
      </w:r>
      <w:r w:rsidR="00EF5791" w:rsidRPr="006F54B9">
        <w:rPr>
          <w:rFonts w:eastAsia="Times New Roman" w:cs="Times New Roman"/>
          <w:sz w:val="20"/>
          <w:szCs w:val="20"/>
          <w:lang w:val="en-US" w:eastAsia="en-CA"/>
        </w:rPr>
        <w:fldChar w:fldCharType="end"/>
      </w:r>
      <w:r w:rsidRPr="006F54B9">
        <w:rPr>
          <w:rFonts w:eastAsia="Times New Roman" w:cs="Times New Roman"/>
          <w:sz w:val="20"/>
          <w:szCs w:val="20"/>
          <w:lang w:eastAsia="en-CA"/>
        </w:rPr>
        <w:tab/>
      </w:r>
      <w:r w:rsidRPr="006F54B9">
        <w:rPr>
          <w:rFonts w:eastAsia="Times New Roman" w:cs="Times New Roman"/>
          <w:b/>
          <w:i/>
          <w:sz w:val="20"/>
          <w:szCs w:val="20"/>
          <w:lang w:eastAsia="en-CA"/>
        </w:rPr>
        <w:t xml:space="preserve">David M. </w:t>
      </w:r>
      <w:r w:rsidRPr="006F54B9">
        <w:rPr>
          <w:rFonts w:eastAsia="Times New Roman" w:cs="Times New Roman"/>
          <w:b/>
          <w:i/>
          <w:sz w:val="20"/>
          <w:szCs w:val="20"/>
          <w:lang w:val="en-US" w:eastAsia="en-CA"/>
        </w:rPr>
        <w:t>Potter</w:t>
      </w:r>
      <w:r w:rsidRPr="006F54B9">
        <w:rPr>
          <w:rFonts w:eastAsia="Times New Roman" w:cs="Times New Roman"/>
          <w:b/>
          <w:i/>
          <w:sz w:val="20"/>
          <w:szCs w:val="20"/>
          <w:lang w:eastAsia="en-CA"/>
        </w:rPr>
        <w:t xml:space="preserve"> v. New Brunswick Legal Aid Services Commission, a statutory body corporate pursuant to a special act of the Province of New Brunswick</w:t>
      </w:r>
      <w:r w:rsidRPr="006F54B9">
        <w:rPr>
          <w:rFonts w:eastAsia="Times New Roman" w:cs="Times New Roman"/>
          <w:sz w:val="20"/>
          <w:szCs w:val="20"/>
          <w:lang w:eastAsia="en-CA"/>
        </w:rPr>
        <w:t xml:space="preserve">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Employment law - Constructive dismissal - Repudiation of employment contract - Appellant holding public office pursuant to appointment by Lieutenant-Governor in Council - Parties in discussions seeking to bring employment contract to end when appellant suspended with pay for indefinite period - Appellant initiating action for constructive dismissal - Commission stopping his pay and benefits, arguing that appellant effectively resigned when he initiated action - Whether administrative suspension which the employer intends will end with termination of employment contract constitutes constructive dismissal - Whether employee necessarily resigns by bringing action for constructive dismissal - Whether amounts received under a pension should be deducted from damages for constructive dismissal</w:t>
      </w: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In 2006, the appellant was appointed as the Executive Director of the New Brunswick Legal Aid Services Commission by the Lieutenant-Governor in Council of New Brunswick.  His appointment was for a seven-year term.</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A few years into the appellant’s term, relations with the Commission’s Board of Directors deteriorated and discussions about finding a mutually acceptable method of bringing his contract to an end began.  In January 2010 and while he was on sick leave, the appellant was advised that he was not to return to work until further direction from the Commission and that his salary would continue to be paid in the meantime.  Unbeknownst to the appellant, that same day, the Commission had sent a letter to the Minister of Justice recommending that the Lieutenant-Governor in Council revoke the appellant’s appointment.</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In March 2010, the appellant filed an action against the Commission, claiming that he had been constructively dismissed.  The Commission took the position that, by claiming constructive dismissal, the appellant had effectively resigned his position.  The Commission immediately stopped his salary and benefits.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Origin of the case:</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t>New Brunswick</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File No.:</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35422</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Judgment of the Court of Appeal:</w:t>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April 25, 2013</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Counsel:</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Eugene J. Mockler and Perri Ravon for the Appellant</w:t>
      </w: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bookmarkStart w:id="3" w:name="7"/>
      <w:bookmarkEnd w:id="3"/>
      <w:r w:rsidRPr="006F54B9">
        <w:rPr>
          <w:rFonts w:eastAsia="Times New Roman" w:cs="Times New Roman"/>
          <w:sz w:val="20"/>
          <w:szCs w:val="20"/>
          <w:lang w:eastAsia="en-CA"/>
        </w:rPr>
        <w:t>Clarence L. Bennett for the Respondent</w:t>
      </w:r>
    </w:p>
    <w:p w:rsidR="006F54B9" w:rsidRPr="006F54B9" w:rsidRDefault="006F54B9" w:rsidP="005F1ED8">
      <w:pPr>
        <w:widowControl w:val="0"/>
        <w:ind w:left="720" w:hanging="720"/>
        <w:jc w:val="both"/>
        <w:rPr>
          <w:rFonts w:cs="Times New Roman"/>
          <w:b/>
          <w:sz w:val="20"/>
          <w:szCs w:val="20"/>
        </w:rPr>
      </w:pPr>
    </w:p>
    <w:p w:rsidR="000B3C9A" w:rsidRPr="006F54B9" w:rsidRDefault="000B3306" w:rsidP="000B3C9A">
      <w:pPr>
        <w:tabs>
          <w:tab w:val="left" w:pos="-1440"/>
          <w:tab w:val="left" w:pos="-720"/>
        </w:tabs>
        <w:ind w:left="720" w:hanging="720"/>
        <w:jc w:val="both"/>
        <w:rPr>
          <w:rFonts w:cs="Times New Roman"/>
          <w:sz w:val="20"/>
          <w:szCs w:val="20"/>
          <w:lang w:val="en-US"/>
        </w:rPr>
      </w:pPr>
      <w:r>
        <w:rPr>
          <w:rFonts w:cs="Times New Roman"/>
          <w:sz w:val="20"/>
          <w:szCs w:val="20"/>
          <w:lang w:val="fr-CA"/>
        </w:rPr>
        <w:pict>
          <v:rect id="_x0000_i1096" style="width:2in;height:1pt" o:hrpct="0" o:hralign="center" o:hrstd="t" o:hrnoshade="t" o:hr="t" fillcolor="black [3213]" stroked="f"/>
        </w:pict>
      </w:r>
    </w:p>
    <w:p w:rsidR="000B3C9A" w:rsidRPr="006F54B9" w:rsidRDefault="000B3C9A" w:rsidP="000B3C9A">
      <w:pPr>
        <w:tabs>
          <w:tab w:val="left" w:pos="-1440"/>
          <w:tab w:val="left" w:pos="-720"/>
        </w:tabs>
        <w:ind w:left="720" w:hanging="720"/>
        <w:jc w:val="both"/>
        <w:rPr>
          <w:rFonts w:cs="Times New Roman"/>
          <w:lang w:val="en-US"/>
        </w:rPr>
      </w:pPr>
      <w:r w:rsidRPr="006F54B9">
        <w:rPr>
          <w:rFonts w:cs="Times New Roman"/>
          <w:lang w:val="en-US"/>
        </w:rPr>
        <w:br w:type="page"/>
      </w:r>
    </w:p>
    <w:p w:rsidR="006F54B9" w:rsidRPr="006F54B9" w:rsidRDefault="006F54B9" w:rsidP="006F54B9">
      <w:pPr>
        <w:widowControl w:val="0"/>
        <w:ind w:left="709" w:hanging="709"/>
        <w:jc w:val="both"/>
        <w:rPr>
          <w:rFonts w:eastAsia="Times New Roman" w:cs="Times New Roman"/>
          <w:sz w:val="20"/>
          <w:szCs w:val="20"/>
          <w:lang w:eastAsia="en-CA"/>
        </w:rPr>
      </w:pPr>
      <w:r w:rsidRPr="006F54B9">
        <w:rPr>
          <w:rFonts w:eastAsia="Times New Roman" w:cs="Times New Roman"/>
          <w:b/>
          <w:sz w:val="20"/>
          <w:szCs w:val="20"/>
          <w:lang w:eastAsia="en-CA"/>
        </w:rPr>
        <w:lastRenderedPageBreak/>
        <w:t>35422</w:t>
      </w:r>
      <w:r w:rsidR="00EF5791" w:rsidRPr="006F54B9">
        <w:rPr>
          <w:rFonts w:eastAsia="Times New Roman" w:cs="Times New Roman"/>
          <w:sz w:val="20"/>
          <w:szCs w:val="20"/>
          <w:lang w:val="fr-CA" w:eastAsia="en-CA"/>
        </w:rPr>
        <w:fldChar w:fldCharType="begin"/>
      </w:r>
      <w:r w:rsidRPr="006F54B9">
        <w:rPr>
          <w:rFonts w:eastAsia="Times New Roman" w:cs="Times New Roman"/>
          <w:sz w:val="20"/>
          <w:szCs w:val="20"/>
          <w:lang w:eastAsia="en-CA"/>
        </w:rPr>
        <w:instrText xml:space="preserve"> SEQ CHAPTER \h \r 1</w:instrText>
      </w:r>
      <w:r w:rsidR="00EF5791" w:rsidRPr="006F54B9">
        <w:rPr>
          <w:rFonts w:eastAsia="Times New Roman" w:cs="Times New Roman"/>
          <w:sz w:val="20"/>
          <w:szCs w:val="20"/>
          <w:lang w:val="fr-CA" w:eastAsia="en-CA"/>
        </w:rPr>
        <w:fldChar w:fldCharType="end"/>
      </w:r>
      <w:r w:rsidRPr="006F54B9">
        <w:rPr>
          <w:rFonts w:eastAsia="Times New Roman" w:cs="Times New Roman"/>
          <w:sz w:val="20"/>
          <w:szCs w:val="20"/>
          <w:lang w:eastAsia="en-CA"/>
        </w:rPr>
        <w:tab/>
      </w:r>
      <w:r w:rsidRPr="006F54B9">
        <w:rPr>
          <w:rFonts w:eastAsia="Times New Roman" w:cs="Times New Roman"/>
          <w:b/>
          <w:i/>
          <w:sz w:val="20"/>
          <w:szCs w:val="20"/>
          <w:lang w:eastAsia="en-CA"/>
        </w:rPr>
        <w:t>David M. Potter v. New Brunswick Legal Aid Services Commission, a statutory body corporate pursuant to a special act of the Province of New Brunswick</w:t>
      </w:r>
      <w:r w:rsidRPr="006F54B9">
        <w:rPr>
          <w:rFonts w:eastAsia="Times New Roman" w:cs="Times New Roman"/>
          <w:sz w:val="20"/>
          <w:szCs w:val="20"/>
          <w:lang w:eastAsia="en-CA"/>
        </w:rPr>
        <w:t xml:space="preserve">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Droit de l’emploi - Congédiement déguisé - Répudiation du contrat d’emploi - Appelant nommé par le lieutenant-gouverneur en conseil à une charge publique - Suspension de l’appelant avec salaire pour une durée indéterminée intervenue après le début de discussions entre les parties en vue de mettre fin au contrat d’emploi - Action intentée par l’appelant pour congédiement déguisé - Suspension par la Commission du salaire et des avantages sociaux de l’appelant au motif que l’appelant avait en fait démissionné de son poste - La suspension administrative qui se soldera, de l’avis de l’employeur, par la fin du contrat d’emploi équivaut-elle à un congédiement déguisé? - L’employé démissionne-t-il nécessairement en introduisant une action pour congédiement déguisé? - Les sommes d’argent versées dans le régime de pension doivent-elles être défalquées du montant des dommages-intérêts obtenus pour congédiement déguisé?</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 xml:space="preserve">En 2006, le lieutenant-gouverneur en conseil du Nouveau-Brunswick a nommé l’appelant au poste de directeur général de la Commission des services d’aide juridique du Nouveau-Brunswick pour un mandat de sept ans. </w:t>
      </w:r>
    </w:p>
    <w:p w:rsidR="006F54B9" w:rsidRPr="006F54B9" w:rsidRDefault="006F54B9" w:rsidP="006F54B9">
      <w:pPr>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Quelques années après le début du mandat de l’appelant, les relations avec le conseil d’administration de la Commission se sont détériorées et des discussions pour trouver une méthode mutuellement acceptable de mettre fin à son contrat ont été entreprises.  En janvier 2010, alors qu’il se trouvait en congé de maladie, l’appelant a été informé qu’il ne devait pas revenir au travail avant que la Commission ait donné de nouvelles directives et qu’il allait continuer à toucher son salaire entre-temps.  À son insu, le même jour, la Commission avait écrit au ministre de la Justice pour recommander au lieutenant-gouverneur en conseil de révoquer la nomination de l’appelant.</w:t>
      </w:r>
    </w:p>
    <w:p w:rsidR="006F54B9" w:rsidRPr="006F54B9" w:rsidRDefault="006F54B9" w:rsidP="006F54B9">
      <w:pPr>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 xml:space="preserve">En mars 2010, l’appelant a intenté une action contre la Commission, prétendant avoir été l’objet d’un congédiement déguisé.  La Commission a fait valoir que l’appelant, en invoquant le congédiement déguisé, avait en fait démissionné de son poste.  La Commission a par la suite cessé de verser son salaire et ses avantages sociaux.  </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Origine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Pr>
          <w:rFonts w:eastAsia="Times New Roman" w:cs="Times New Roman"/>
          <w:sz w:val="20"/>
          <w:szCs w:val="20"/>
          <w:lang w:val="fr-CA" w:eastAsia="en-CA"/>
        </w:rPr>
        <w:tab/>
      </w:r>
      <w:r w:rsidRPr="006F54B9">
        <w:rPr>
          <w:rFonts w:eastAsia="Times New Roman" w:cs="Times New Roman"/>
          <w:sz w:val="20"/>
          <w:szCs w:val="20"/>
          <w:lang w:val="fr-CA" w:eastAsia="en-CA"/>
        </w:rPr>
        <w:t>Nouveau-Brunswick</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N</w:t>
      </w:r>
      <w:r w:rsidRPr="006F54B9">
        <w:rPr>
          <w:rFonts w:eastAsia="Times New Roman" w:cs="Times New Roman"/>
          <w:sz w:val="20"/>
          <w:szCs w:val="20"/>
          <w:vertAlign w:val="superscript"/>
          <w:lang w:val="fr-CA" w:eastAsia="en-CA"/>
        </w:rPr>
        <w:t>o</w:t>
      </w:r>
      <w:r w:rsidRPr="006F54B9">
        <w:rPr>
          <w:rFonts w:eastAsia="Times New Roman" w:cs="Times New Roman"/>
          <w:sz w:val="20"/>
          <w:szCs w:val="20"/>
          <w:lang w:val="fr-CA" w:eastAsia="en-CA"/>
        </w:rPr>
        <w:t xml:space="preserve"> du greffe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35422</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Arrêt de la Cour d’appel :</w:t>
      </w:r>
      <w:r w:rsidRPr="006F54B9">
        <w:rPr>
          <w:rFonts w:eastAsia="Times New Roman" w:cs="Times New Roman"/>
          <w:sz w:val="20"/>
          <w:szCs w:val="20"/>
          <w:lang w:val="fr-CA" w:eastAsia="en-CA"/>
        </w:rPr>
        <w:tab/>
      </w:r>
      <w:r>
        <w:rPr>
          <w:rFonts w:eastAsia="Times New Roman" w:cs="Times New Roman"/>
          <w:sz w:val="20"/>
          <w:szCs w:val="20"/>
          <w:lang w:val="fr-CA" w:eastAsia="en-CA"/>
        </w:rPr>
        <w:tab/>
      </w:r>
      <w:r w:rsidR="002B7DB8">
        <w:rPr>
          <w:rFonts w:eastAsia="Times New Roman" w:cs="Times New Roman"/>
          <w:sz w:val="20"/>
          <w:szCs w:val="20"/>
          <w:lang w:val="fr-CA" w:eastAsia="en-CA"/>
        </w:rPr>
        <w:t xml:space="preserve">le </w:t>
      </w:r>
      <w:r w:rsidRPr="006F54B9">
        <w:rPr>
          <w:rFonts w:eastAsia="Times New Roman" w:cs="Times New Roman"/>
          <w:sz w:val="20"/>
          <w:szCs w:val="20"/>
          <w:lang w:val="fr-CA" w:eastAsia="en-CA"/>
        </w:rPr>
        <w:t>25 avril 2013</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Avocats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Eugene J. Mockler et Perri Ravon, pour l’appelant</w:t>
      </w: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Clarence L. Bennett pour l’intimée</w:t>
      </w:r>
    </w:p>
    <w:p w:rsidR="000B3C9A" w:rsidRPr="006F54B9" w:rsidRDefault="000B3C9A" w:rsidP="000B3C9A">
      <w:pPr>
        <w:tabs>
          <w:tab w:val="left" w:pos="-1440"/>
          <w:tab w:val="left" w:pos="-720"/>
        </w:tabs>
        <w:jc w:val="both"/>
        <w:rPr>
          <w:rFonts w:cs="Times New Roman"/>
          <w:sz w:val="20"/>
          <w:szCs w:val="20"/>
          <w:lang w:val="fr-CA"/>
        </w:rPr>
      </w:pPr>
    </w:p>
    <w:p w:rsidR="000B3C9A" w:rsidRPr="006F54B9" w:rsidRDefault="000B3306" w:rsidP="000B3C9A">
      <w:pPr>
        <w:tabs>
          <w:tab w:val="left" w:pos="-1440"/>
          <w:tab w:val="left" w:pos="-720"/>
        </w:tabs>
        <w:jc w:val="both"/>
        <w:rPr>
          <w:rFonts w:cs="Times New Roman"/>
          <w:sz w:val="20"/>
          <w:szCs w:val="20"/>
          <w:lang w:val="fr-CA"/>
        </w:rPr>
      </w:pPr>
      <w:r>
        <w:rPr>
          <w:rFonts w:cs="Times New Roman"/>
          <w:sz w:val="20"/>
          <w:szCs w:val="20"/>
          <w:lang w:val="fr-CA"/>
        </w:rPr>
        <w:pict>
          <v:rect id="_x0000_i1097" style="width:2in;height:1pt" o:hrpct="0" o:hralign="center" o:hrstd="t" o:hrnoshade="t" o:hr="t" fillcolor="black [3213]" stroked="f"/>
        </w:pict>
      </w:r>
    </w:p>
    <w:p w:rsidR="006168D3" w:rsidRPr="006F54B9" w:rsidRDefault="006168D3" w:rsidP="000B3C9A">
      <w:pPr>
        <w:tabs>
          <w:tab w:val="left" w:pos="-1440"/>
          <w:tab w:val="left" w:pos="-720"/>
        </w:tabs>
        <w:jc w:val="both"/>
        <w:rPr>
          <w:rFonts w:cs="Times New Roman"/>
          <w:sz w:val="20"/>
          <w:szCs w:val="20"/>
          <w:lang w:val="fr-CA"/>
        </w:rPr>
      </w:pPr>
    </w:p>
    <w:p w:rsidR="006168D3" w:rsidRPr="006F54B9" w:rsidRDefault="006168D3" w:rsidP="000B3C9A">
      <w:pPr>
        <w:tabs>
          <w:tab w:val="left" w:pos="-1440"/>
          <w:tab w:val="left" w:pos="-720"/>
        </w:tabs>
        <w:jc w:val="both"/>
        <w:rPr>
          <w:rFonts w:cs="Times New Roman"/>
          <w:sz w:val="20"/>
          <w:szCs w:val="20"/>
          <w:lang w:val="fr-CA"/>
        </w:rPr>
      </w:pPr>
    </w:p>
    <w:p w:rsidR="006168D3" w:rsidRPr="006F54B9" w:rsidRDefault="006168D3">
      <w:pPr>
        <w:rPr>
          <w:rFonts w:cs="Times New Roman"/>
          <w:sz w:val="20"/>
          <w:szCs w:val="20"/>
          <w:lang w:val="fr-CA"/>
        </w:rPr>
      </w:pPr>
      <w:r w:rsidRPr="006F54B9">
        <w:rPr>
          <w:rFonts w:cs="Times New Roman"/>
          <w:sz w:val="20"/>
          <w:szCs w:val="20"/>
          <w:lang w:val="fr-CA"/>
        </w:rPr>
        <w:br w:type="page"/>
      </w:r>
    </w:p>
    <w:p w:rsidR="006F54B9" w:rsidRPr="006F54B9" w:rsidRDefault="00EF5791" w:rsidP="006F54B9">
      <w:pPr>
        <w:widowControl w:val="0"/>
        <w:ind w:left="709" w:hanging="709"/>
        <w:jc w:val="both"/>
        <w:rPr>
          <w:rFonts w:eastAsia="Times New Roman" w:cs="Times New Roman"/>
          <w:b/>
          <w:i/>
          <w:sz w:val="20"/>
          <w:szCs w:val="20"/>
          <w:lang w:val="en-US" w:eastAsia="en-CA"/>
        </w:rPr>
      </w:pPr>
      <w:r w:rsidRPr="006F54B9">
        <w:rPr>
          <w:rFonts w:eastAsia="Times New Roman" w:cs="Times New Roman"/>
          <w:b/>
          <w:sz w:val="20"/>
          <w:szCs w:val="20"/>
          <w:lang w:eastAsia="en-CA"/>
        </w:rPr>
        <w:lastRenderedPageBreak/>
        <w:fldChar w:fldCharType="begin"/>
      </w:r>
      <w:r w:rsidR="006F54B9" w:rsidRPr="006F54B9">
        <w:rPr>
          <w:rFonts w:eastAsia="Times New Roman" w:cs="Times New Roman"/>
          <w:b/>
          <w:sz w:val="20"/>
          <w:szCs w:val="20"/>
          <w:lang w:val="en-US" w:eastAsia="en-CA"/>
        </w:rPr>
        <w:instrText xml:space="preserve"> SEQ CHAPTER \h \r 1</w:instrText>
      </w:r>
      <w:r w:rsidRPr="006F54B9">
        <w:rPr>
          <w:rFonts w:eastAsia="Times New Roman" w:cs="Times New Roman"/>
          <w:b/>
          <w:sz w:val="20"/>
          <w:szCs w:val="20"/>
          <w:lang w:val="en-US" w:eastAsia="en-CA"/>
        </w:rPr>
        <w:fldChar w:fldCharType="end"/>
      </w:r>
      <w:r w:rsidR="006F54B9" w:rsidRPr="006F54B9">
        <w:rPr>
          <w:rFonts w:eastAsia="Times New Roman" w:cs="Times New Roman"/>
          <w:b/>
          <w:sz w:val="20"/>
          <w:szCs w:val="20"/>
          <w:lang w:val="en-US" w:eastAsia="en-CA"/>
        </w:rPr>
        <w:t>35399</w:t>
      </w:r>
      <w:r w:rsidR="006F54B9" w:rsidRPr="006F54B9">
        <w:rPr>
          <w:rFonts w:eastAsia="Times New Roman" w:cs="Times New Roman"/>
          <w:sz w:val="20"/>
          <w:szCs w:val="20"/>
          <w:lang w:val="en-US" w:eastAsia="en-CA"/>
        </w:rPr>
        <w:tab/>
      </w:r>
      <w:r w:rsidR="006F54B9" w:rsidRPr="006F54B9">
        <w:rPr>
          <w:rFonts w:eastAsia="Times New Roman" w:cs="Times New Roman"/>
          <w:b/>
          <w:i/>
          <w:sz w:val="20"/>
          <w:szCs w:val="20"/>
          <w:lang w:val="en-US" w:eastAsia="en-CA"/>
        </w:rPr>
        <w:t>Attorney General of Canada v. Federation of Law Societies of Canada</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i/>
          <w:sz w:val="20"/>
          <w:szCs w:val="20"/>
          <w:lang w:val="en-US" w:eastAsia="en-CA"/>
        </w:rPr>
        <w:t>Charter of Rights and Freedoms</w:t>
      </w:r>
      <w:r w:rsidRPr="006F54B9">
        <w:rPr>
          <w:rFonts w:eastAsia="Times New Roman" w:cs="Times New Roman"/>
          <w:sz w:val="20"/>
          <w:szCs w:val="20"/>
          <w:lang w:val="en-US" w:eastAsia="en-CA"/>
        </w:rPr>
        <w:t xml:space="preserve"> - Constitutional Law - Fundamental justice - Right to life, liberty and security of the person - Search and seizure - Whether it is constitutionally permissible to impose obligations under the </w:t>
      </w:r>
      <w:r w:rsidRPr="006F54B9">
        <w:rPr>
          <w:rFonts w:eastAsia="Times New Roman" w:cs="Times New Roman"/>
          <w:i/>
          <w:iCs/>
          <w:sz w:val="20"/>
          <w:szCs w:val="20"/>
          <w:lang w:val="en-US" w:eastAsia="en-CA"/>
        </w:rPr>
        <w:t>Proceeds of Crime (Money Laundering) and Terrorist Financing Act</w:t>
      </w:r>
      <w:r w:rsidRPr="006F54B9">
        <w:rPr>
          <w:rFonts w:eastAsia="Times New Roman" w:cs="Times New Roman"/>
          <w:iCs/>
          <w:sz w:val="20"/>
          <w:szCs w:val="20"/>
          <w:lang w:val="en-US" w:eastAsia="en-CA"/>
        </w:rPr>
        <w:t>,</w:t>
      </w:r>
      <w:r w:rsidRPr="006F54B9">
        <w:rPr>
          <w:rFonts w:eastAsia="Times New Roman" w:cs="Times New Roman"/>
          <w:sz w:val="20"/>
          <w:szCs w:val="20"/>
          <w:lang w:val="en-US" w:eastAsia="en-CA"/>
        </w:rPr>
        <w:t xml:space="preserve"> S.C. 2000, c. 17, and its related Regulations on lawyers, notaries and law firms - Whether the </w:t>
      </w:r>
      <w:r w:rsidRPr="006F54B9">
        <w:rPr>
          <w:rFonts w:eastAsia="Times New Roman" w:cs="Times New Roman"/>
          <w:i/>
          <w:sz w:val="20"/>
          <w:szCs w:val="20"/>
          <w:lang w:val="en-US" w:eastAsia="en-CA"/>
        </w:rPr>
        <w:t xml:space="preserve">Act </w:t>
      </w:r>
      <w:r w:rsidRPr="006F54B9">
        <w:rPr>
          <w:rFonts w:eastAsia="Times New Roman" w:cs="Times New Roman"/>
          <w:sz w:val="20"/>
          <w:szCs w:val="20"/>
          <w:lang w:val="en-US" w:eastAsia="en-CA"/>
        </w:rPr>
        <w:t>and</w:t>
      </w:r>
      <w:r w:rsidRPr="006F54B9">
        <w:rPr>
          <w:rFonts w:eastAsia="Times New Roman" w:cs="Times New Roman"/>
          <w:i/>
          <w:sz w:val="20"/>
          <w:szCs w:val="20"/>
          <w:lang w:val="en-US" w:eastAsia="en-CA"/>
        </w:rPr>
        <w:t xml:space="preserve"> Regulations</w:t>
      </w:r>
      <w:r w:rsidRPr="006F54B9">
        <w:rPr>
          <w:rFonts w:eastAsia="Times New Roman" w:cs="Times New Roman"/>
          <w:sz w:val="20"/>
          <w:szCs w:val="20"/>
          <w:lang w:val="en-US" w:eastAsia="en-CA"/>
        </w:rPr>
        <w:t xml:space="preserve"> breach ss. 7 or 8 of the </w:t>
      </w:r>
      <w:r w:rsidRPr="006F54B9">
        <w:rPr>
          <w:rFonts w:eastAsia="Times New Roman" w:cs="Times New Roman"/>
          <w:i/>
          <w:sz w:val="20"/>
          <w:szCs w:val="20"/>
          <w:lang w:val="en-US" w:eastAsia="en-CA"/>
        </w:rPr>
        <w:t>Charter</w:t>
      </w:r>
      <w:r w:rsidRPr="006F54B9">
        <w:rPr>
          <w:rFonts w:eastAsia="Times New Roman" w:cs="Times New Roman"/>
          <w:sz w:val="20"/>
          <w:szCs w:val="20"/>
          <w:lang w:val="en-US" w:eastAsia="en-CA"/>
        </w:rPr>
        <w:t xml:space="preserve"> in a manner that fails to conform to principles of fundamental justice - </w:t>
      </w:r>
      <w:r w:rsidRPr="006F54B9">
        <w:rPr>
          <w:rFonts w:eastAsia="Times New Roman" w:cs="Times New Roman"/>
          <w:i/>
          <w:iCs/>
          <w:sz w:val="20"/>
          <w:szCs w:val="20"/>
          <w:lang w:val="en-US" w:eastAsia="en-CA"/>
        </w:rPr>
        <w:t>Proceeds of Crime (Money Laundering) and Terrorist Financing Act</w:t>
      </w:r>
      <w:r w:rsidRPr="006F54B9">
        <w:rPr>
          <w:rFonts w:eastAsia="Times New Roman" w:cs="Times New Roman"/>
          <w:iCs/>
          <w:sz w:val="20"/>
          <w:szCs w:val="20"/>
          <w:lang w:val="en-US" w:eastAsia="en-CA"/>
        </w:rPr>
        <w:t xml:space="preserve">, </w:t>
      </w:r>
      <w:r w:rsidRPr="006F54B9">
        <w:rPr>
          <w:rFonts w:eastAsia="Times New Roman" w:cs="Times New Roman"/>
          <w:sz w:val="20"/>
          <w:szCs w:val="20"/>
          <w:lang w:val="en-US" w:eastAsia="en-CA"/>
        </w:rPr>
        <w:t xml:space="preserve">ss. 5(i), 5(j), 62, 63, 63.1 or 64 - </w:t>
      </w:r>
      <w:r w:rsidRPr="006F54B9">
        <w:rPr>
          <w:rFonts w:eastAsia="Times New Roman" w:cs="Times New Roman"/>
          <w:i/>
          <w:sz w:val="20"/>
          <w:szCs w:val="20"/>
          <w:lang w:val="en-US" w:eastAsia="en-CA"/>
        </w:rPr>
        <w:t>Proceeds of Crime (Money Laundering) and Terrorist Financing Regulations</w:t>
      </w:r>
      <w:r w:rsidRPr="006F54B9">
        <w:rPr>
          <w:rFonts w:eastAsia="Times New Roman" w:cs="Times New Roman"/>
          <w:sz w:val="20"/>
          <w:szCs w:val="20"/>
          <w:lang w:val="en-US" w:eastAsia="en-CA"/>
        </w:rPr>
        <w:t xml:space="preserve">, SOR/2002-184, ss. 11.1, 33.3, 33.4 or 59.4 </w:t>
      </w: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rPr>
      </w:pPr>
      <w:r w:rsidRPr="006F54B9">
        <w:rPr>
          <w:rFonts w:eastAsia="Times New Roman" w:cs="Times New Roman"/>
          <w:sz w:val="20"/>
          <w:szCs w:val="20"/>
          <w:lang w:val="en-US"/>
        </w:rPr>
        <w:t xml:space="preserve">Pursuant to the </w:t>
      </w:r>
      <w:r w:rsidRPr="006F54B9">
        <w:rPr>
          <w:rFonts w:eastAsia="Times New Roman" w:cs="Times New Roman"/>
          <w:i/>
          <w:sz w:val="20"/>
          <w:szCs w:val="20"/>
          <w:lang w:val="en-US"/>
        </w:rPr>
        <w:t xml:space="preserve">Proceeds of Crime (Money Laundering) and Terrorist Financing Act </w:t>
      </w:r>
      <w:r w:rsidRPr="006F54B9">
        <w:rPr>
          <w:rFonts w:eastAsia="Times New Roman" w:cs="Times New Roman"/>
          <w:sz w:val="20"/>
          <w:szCs w:val="20"/>
          <w:lang w:val="en-US"/>
        </w:rPr>
        <w:t>and its</w:t>
      </w:r>
      <w:r w:rsidRPr="006F54B9">
        <w:rPr>
          <w:rFonts w:eastAsia="Times New Roman" w:cs="Times New Roman"/>
          <w:i/>
          <w:sz w:val="20"/>
          <w:szCs w:val="20"/>
          <w:lang w:val="en-US"/>
        </w:rPr>
        <w:t xml:space="preserve"> Regulations</w:t>
      </w:r>
      <w:r w:rsidRPr="006F54B9">
        <w:rPr>
          <w:rFonts w:eastAsia="Times New Roman" w:cs="Times New Roman"/>
          <w:sz w:val="20"/>
          <w:szCs w:val="20"/>
          <w:lang w:val="en-US"/>
        </w:rPr>
        <w:t xml:space="preserve">, specified business and persons including lawyers and law firms must identify, record and monitor financial transactions.  The Financial Transactions and Reports Analysis Centre of Canada uses this information to detect and prevent money laundering and financing of terrorism.  The Act authorizes FINTRAC to search lawyers’ offices and computers and to reproduce records, without warrants.  In specific circumstances, it may disclose information obtained in a compliance audit to law enforcement agencies and supervisory bodies.  Lawyers and law firms are exempt from reporting requirements that apply to other professionals and financial businesses.  The </w:t>
      </w:r>
      <w:r w:rsidRPr="006F54B9">
        <w:rPr>
          <w:rFonts w:eastAsia="Times New Roman" w:cs="Times New Roman"/>
          <w:i/>
          <w:sz w:val="20"/>
          <w:szCs w:val="20"/>
          <w:lang w:val="en-US"/>
        </w:rPr>
        <w:t xml:space="preserve">Act </w:t>
      </w:r>
      <w:r w:rsidRPr="006F54B9">
        <w:rPr>
          <w:rFonts w:eastAsia="Times New Roman" w:cs="Times New Roman"/>
          <w:sz w:val="20"/>
          <w:szCs w:val="20"/>
          <w:lang w:val="en-US"/>
        </w:rPr>
        <w:t xml:space="preserve">also prevents disclosure of solicitor-client privileged information and it provides a process to deal with claims of solicitor-client privilege.  The Federation of Law Societies of Canada commenced a constitutional challenge to the </w:t>
      </w:r>
      <w:r w:rsidRPr="006F54B9">
        <w:rPr>
          <w:rFonts w:eastAsia="Times New Roman" w:cs="Times New Roman"/>
          <w:i/>
          <w:sz w:val="20"/>
          <w:szCs w:val="20"/>
          <w:lang w:val="en-US"/>
        </w:rPr>
        <w:t>Act</w:t>
      </w:r>
      <w:r w:rsidRPr="006F54B9">
        <w:rPr>
          <w:rFonts w:eastAsia="Times New Roman" w:cs="Times New Roman"/>
          <w:sz w:val="20"/>
          <w:szCs w:val="20"/>
          <w:lang w:val="en-US"/>
        </w:rPr>
        <w:t xml:space="preserve"> and its </w:t>
      </w:r>
      <w:r w:rsidRPr="006F54B9">
        <w:rPr>
          <w:rFonts w:eastAsia="Times New Roman" w:cs="Times New Roman"/>
          <w:i/>
          <w:sz w:val="20"/>
          <w:szCs w:val="20"/>
          <w:lang w:val="en-US"/>
        </w:rPr>
        <w:t>Regulations</w:t>
      </w:r>
      <w:r w:rsidRPr="006F54B9">
        <w:rPr>
          <w:rFonts w:eastAsia="Times New Roman" w:cs="Times New Roman"/>
          <w:sz w:val="20"/>
          <w:szCs w:val="20"/>
          <w:lang w:val="en-US"/>
        </w:rPr>
        <w:t xml:space="preserve">.  </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Origin of the case:</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t>British Columbia</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File No.:</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35399</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Judgment of the Court of Appeal:</w:t>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April 4, 2013</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Counsel:</w:t>
      </w:r>
      <w:r w:rsidRPr="006F54B9">
        <w:rPr>
          <w:rFonts w:eastAsia="Times New Roman" w:cs="Times New Roman"/>
          <w:sz w:val="20"/>
          <w:szCs w:val="20"/>
          <w:lang w:eastAsia="en-CA"/>
        </w:rPr>
        <w:tab/>
        <w:t>Christopher Rupar for the appellant</w:t>
      </w:r>
    </w:p>
    <w:p w:rsidR="006F54B9" w:rsidRPr="006F54B9" w:rsidRDefault="006F54B9" w:rsidP="006F54B9">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ab/>
        <w:t>John Hunter and Roy Millen for the respondent</w:t>
      </w:r>
    </w:p>
    <w:p w:rsidR="006168D3" w:rsidRPr="006F54B9" w:rsidRDefault="006168D3" w:rsidP="006168D3">
      <w:pPr>
        <w:tabs>
          <w:tab w:val="left" w:pos="-1440"/>
          <w:tab w:val="left" w:pos="-720"/>
        </w:tabs>
        <w:jc w:val="both"/>
        <w:rPr>
          <w:rFonts w:cs="Times New Roman"/>
          <w:sz w:val="20"/>
          <w:szCs w:val="20"/>
        </w:rPr>
      </w:pPr>
    </w:p>
    <w:p w:rsidR="006168D3" w:rsidRPr="006F54B9" w:rsidRDefault="000B3306" w:rsidP="006168D3">
      <w:pPr>
        <w:tabs>
          <w:tab w:val="left" w:pos="-1440"/>
          <w:tab w:val="left" w:pos="-720"/>
        </w:tabs>
        <w:jc w:val="both"/>
        <w:rPr>
          <w:rFonts w:cs="Times New Roman"/>
          <w:sz w:val="20"/>
          <w:szCs w:val="20"/>
          <w:lang w:val="en-US"/>
        </w:rPr>
      </w:pPr>
      <w:r>
        <w:rPr>
          <w:rFonts w:cs="Times New Roman"/>
          <w:sz w:val="20"/>
          <w:szCs w:val="20"/>
          <w:lang w:val="fr-CA"/>
        </w:rPr>
        <w:pict>
          <v:rect id="_x0000_i1098" style="width:2in;height:1pt" o:hrpct="0" o:hralign="center" o:hrstd="t" o:hrnoshade="t" o:hr="t" fillcolor="black [3213]" stroked="f"/>
        </w:pict>
      </w:r>
    </w:p>
    <w:p w:rsidR="006168D3" w:rsidRPr="006F54B9" w:rsidRDefault="006168D3" w:rsidP="006168D3">
      <w:pPr>
        <w:tabs>
          <w:tab w:val="left" w:pos="-1440"/>
          <w:tab w:val="left" w:pos="-720"/>
        </w:tabs>
        <w:jc w:val="both"/>
        <w:rPr>
          <w:rFonts w:cs="Times New Roman"/>
          <w:sz w:val="20"/>
          <w:szCs w:val="20"/>
          <w:lang w:val="en-US"/>
        </w:rPr>
      </w:pPr>
    </w:p>
    <w:p w:rsidR="006168D3" w:rsidRPr="006F54B9" w:rsidRDefault="006168D3">
      <w:pPr>
        <w:rPr>
          <w:rFonts w:cs="Times New Roman"/>
          <w:sz w:val="20"/>
          <w:szCs w:val="20"/>
          <w:lang w:val="en-US"/>
        </w:rPr>
      </w:pPr>
      <w:r w:rsidRPr="006F54B9">
        <w:rPr>
          <w:rFonts w:cs="Times New Roman"/>
          <w:sz w:val="20"/>
          <w:szCs w:val="20"/>
          <w:lang w:val="en-US"/>
        </w:rPr>
        <w:br w:type="page"/>
      </w:r>
    </w:p>
    <w:p w:rsidR="006F54B9" w:rsidRPr="006F54B9" w:rsidRDefault="00EF5791" w:rsidP="006F54B9">
      <w:pPr>
        <w:widowControl w:val="0"/>
        <w:ind w:left="709" w:hanging="709"/>
        <w:jc w:val="both"/>
        <w:rPr>
          <w:rFonts w:cs="Times New Roman"/>
          <w:b/>
          <w:i/>
          <w:sz w:val="20"/>
          <w:szCs w:val="20"/>
          <w:lang w:val="fr-CA"/>
        </w:rPr>
      </w:pPr>
      <w:r w:rsidRPr="006F54B9">
        <w:rPr>
          <w:rFonts w:cs="Times New Roman"/>
          <w:b/>
          <w:sz w:val="20"/>
          <w:szCs w:val="20"/>
          <w:lang w:val="fr-CA"/>
        </w:rPr>
        <w:lastRenderedPageBreak/>
        <w:fldChar w:fldCharType="begin"/>
      </w:r>
      <w:r w:rsidR="006F54B9" w:rsidRPr="003C39D1">
        <w:rPr>
          <w:rFonts w:cs="Times New Roman"/>
          <w:b/>
          <w:sz w:val="20"/>
          <w:szCs w:val="20"/>
          <w:lang w:val="fr-CA"/>
        </w:rPr>
        <w:instrText xml:space="preserve"> SEQ CHAPTER \h \r 1</w:instrText>
      </w:r>
      <w:r w:rsidRPr="006F54B9">
        <w:rPr>
          <w:rFonts w:cs="Times New Roman"/>
          <w:b/>
          <w:sz w:val="20"/>
          <w:szCs w:val="20"/>
          <w:lang w:val="fr-CA"/>
        </w:rPr>
        <w:fldChar w:fldCharType="end"/>
      </w:r>
      <w:r w:rsidR="006F54B9" w:rsidRPr="003C39D1">
        <w:rPr>
          <w:rFonts w:cs="Times New Roman"/>
          <w:b/>
          <w:sz w:val="20"/>
          <w:szCs w:val="20"/>
          <w:lang w:val="fr-CA"/>
        </w:rPr>
        <w:t>35399</w:t>
      </w:r>
      <w:r w:rsidR="006F54B9" w:rsidRPr="003C39D1">
        <w:rPr>
          <w:rFonts w:cs="Times New Roman"/>
          <w:sz w:val="20"/>
          <w:szCs w:val="20"/>
          <w:lang w:val="fr-CA"/>
        </w:rPr>
        <w:tab/>
      </w:r>
      <w:r w:rsidR="006F54B9" w:rsidRPr="006F54B9">
        <w:rPr>
          <w:rFonts w:cs="Times New Roman"/>
          <w:b/>
          <w:i/>
          <w:sz w:val="20"/>
          <w:szCs w:val="20"/>
          <w:lang w:val="fr-CA"/>
        </w:rPr>
        <w:t>Procureur général du Canada c. Fédération des ordres professionnels de juristes du Canada</w:t>
      </w:r>
    </w:p>
    <w:p w:rsidR="006F54B9" w:rsidRPr="006F54B9" w:rsidRDefault="006F54B9" w:rsidP="006F54B9">
      <w:pPr>
        <w:jc w:val="both"/>
        <w:rPr>
          <w:rFonts w:cs="Times New Roman"/>
          <w:sz w:val="20"/>
          <w:szCs w:val="20"/>
          <w:lang w:val="fr-CA"/>
        </w:rPr>
      </w:pPr>
    </w:p>
    <w:p w:rsidR="006F54B9" w:rsidRPr="006F54B9" w:rsidRDefault="006F54B9" w:rsidP="006F54B9">
      <w:pPr>
        <w:jc w:val="both"/>
        <w:rPr>
          <w:rFonts w:cs="Times New Roman"/>
          <w:sz w:val="20"/>
          <w:szCs w:val="20"/>
          <w:lang w:val="fr-CA"/>
        </w:rPr>
      </w:pPr>
      <w:r w:rsidRPr="006F54B9">
        <w:rPr>
          <w:rFonts w:cs="Times New Roman"/>
          <w:i/>
          <w:sz w:val="20"/>
          <w:szCs w:val="20"/>
          <w:lang w:val="fr-CA"/>
        </w:rPr>
        <w:t>Charte des droits et libertés</w:t>
      </w:r>
      <w:r w:rsidRPr="006F54B9">
        <w:rPr>
          <w:rFonts w:cs="Times New Roman"/>
          <w:sz w:val="20"/>
          <w:szCs w:val="20"/>
          <w:lang w:val="fr-CA"/>
        </w:rPr>
        <w:t xml:space="preserve"> - Droit constitutionnel - Justice fondamentale - Droit à la vie, à la liberté et à la sécurité de la personne - Fouilles, perquisitions et saisies - La Constitution permet-elle d’imposer les obligations de la </w:t>
      </w:r>
      <w:r w:rsidRPr="006F54B9">
        <w:rPr>
          <w:rFonts w:cs="Times New Roman"/>
          <w:i/>
          <w:sz w:val="20"/>
          <w:szCs w:val="20"/>
          <w:lang w:val="fr-CA"/>
        </w:rPr>
        <w:t>Loi sur le recyclage des produits de la criminalité et le financement des activités terroristes</w:t>
      </w:r>
      <w:r w:rsidRPr="006F54B9">
        <w:rPr>
          <w:rFonts w:cs="Times New Roman"/>
          <w:sz w:val="20"/>
          <w:szCs w:val="20"/>
          <w:lang w:val="fr-CA"/>
        </w:rPr>
        <w:t xml:space="preserve">, L.C. 2000, ch. 17, et de son règlement d’application aux avocats, aux notaires et aux cabinets juridiques? - La </w:t>
      </w:r>
      <w:r w:rsidRPr="006F54B9">
        <w:rPr>
          <w:rFonts w:cs="Times New Roman"/>
          <w:i/>
          <w:sz w:val="20"/>
          <w:szCs w:val="20"/>
          <w:lang w:val="fr-CA"/>
        </w:rPr>
        <w:t xml:space="preserve">Loi </w:t>
      </w:r>
      <w:r w:rsidRPr="006F54B9">
        <w:rPr>
          <w:rFonts w:cs="Times New Roman"/>
          <w:sz w:val="20"/>
          <w:szCs w:val="20"/>
          <w:lang w:val="fr-CA"/>
        </w:rPr>
        <w:t xml:space="preserve">et son règlement d’application portent-ils atteinte à l’art. 7 ou à l’art. 8 de la </w:t>
      </w:r>
      <w:r w:rsidRPr="006F54B9">
        <w:rPr>
          <w:rFonts w:cs="Times New Roman"/>
          <w:i/>
          <w:sz w:val="20"/>
          <w:szCs w:val="20"/>
          <w:lang w:val="fr-CA"/>
        </w:rPr>
        <w:t>Charte</w:t>
      </w:r>
      <w:r w:rsidRPr="006F54B9">
        <w:rPr>
          <w:rFonts w:cs="Times New Roman"/>
          <w:sz w:val="20"/>
          <w:szCs w:val="20"/>
          <w:lang w:val="fr-CA"/>
        </w:rPr>
        <w:t xml:space="preserve"> d’une manière non conforme aux principes de justice fondamentale? - </w:t>
      </w:r>
      <w:r w:rsidRPr="006F54B9">
        <w:rPr>
          <w:rFonts w:cs="Times New Roman"/>
          <w:i/>
          <w:iCs/>
          <w:sz w:val="20"/>
          <w:szCs w:val="20"/>
          <w:lang w:val="fr-CA"/>
        </w:rPr>
        <w:t>Loi sur le recyclage des produits de la criminalité et le financement des activités terroristes</w:t>
      </w:r>
      <w:r w:rsidRPr="006F54B9">
        <w:rPr>
          <w:rFonts w:cs="Times New Roman"/>
          <w:iCs/>
          <w:sz w:val="20"/>
          <w:szCs w:val="20"/>
          <w:lang w:val="fr-CA"/>
        </w:rPr>
        <w:t>, art.</w:t>
      </w:r>
      <w:r w:rsidRPr="006F54B9">
        <w:rPr>
          <w:rFonts w:cs="Times New Roman"/>
          <w:sz w:val="20"/>
          <w:szCs w:val="20"/>
          <w:lang w:val="fr-CA"/>
        </w:rPr>
        <w:t> 5</w:t>
      </w:r>
      <w:r w:rsidRPr="006F54B9">
        <w:rPr>
          <w:rFonts w:cs="Times New Roman"/>
          <w:i/>
          <w:sz w:val="20"/>
          <w:szCs w:val="20"/>
          <w:lang w:val="fr-CA"/>
        </w:rPr>
        <w:t>i</w:t>
      </w:r>
      <w:r w:rsidRPr="006F54B9">
        <w:rPr>
          <w:rFonts w:cs="Times New Roman"/>
          <w:sz w:val="20"/>
          <w:szCs w:val="20"/>
          <w:lang w:val="fr-CA"/>
        </w:rPr>
        <w:t>), 5</w:t>
      </w:r>
      <w:r w:rsidRPr="006F54B9">
        <w:rPr>
          <w:rFonts w:cs="Times New Roman"/>
          <w:i/>
          <w:sz w:val="20"/>
          <w:szCs w:val="20"/>
          <w:lang w:val="fr-CA"/>
        </w:rPr>
        <w:t>j</w:t>
      </w:r>
      <w:r w:rsidRPr="006F54B9">
        <w:rPr>
          <w:rFonts w:cs="Times New Roman"/>
          <w:sz w:val="20"/>
          <w:szCs w:val="20"/>
          <w:lang w:val="fr-CA"/>
        </w:rPr>
        <w:t xml:space="preserve">), 62, 63, 63.1 ou 64 - </w:t>
      </w:r>
      <w:r w:rsidRPr="006F54B9">
        <w:rPr>
          <w:rFonts w:cs="Times New Roman"/>
          <w:i/>
          <w:sz w:val="20"/>
          <w:szCs w:val="20"/>
          <w:lang w:val="fr-CA"/>
        </w:rPr>
        <w:t>Règlement sur le recyclage des produits de la criminalité et le financement des activités terroristes</w:t>
      </w:r>
      <w:r w:rsidRPr="006F54B9">
        <w:rPr>
          <w:rFonts w:cs="Times New Roman"/>
          <w:sz w:val="20"/>
          <w:szCs w:val="20"/>
          <w:lang w:val="fr-CA"/>
        </w:rPr>
        <w:t xml:space="preserve">, DORS/2002-184, art. 11.1, 33.3, 33.4 ou 59.4 </w:t>
      </w:r>
    </w:p>
    <w:p w:rsidR="006F54B9" w:rsidRPr="006F54B9" w:rsidRDefault="006F54B9" w:rsidP="006F54B9">
      <w:pPr>
        <w:widowControl w:val="0"/>
        <w:jc w:val="both"/>
        <w:rPr>
          <w:rFonts w:cs="Times New Roman"/>
          <w:sz w:val="20"/>
          <w:szCs w:val="20"/>
          <w:lang w:val="fr-CA"/>
        </w:rPr>
      </w:pPr>
    </w:p>
    <w:p w:rsidR="006F54B9" w:rsidRPr="006F54B9" w:rsidRDefault="006F54B9" w:rsidP="006F54B9">
      <w:pPr>
        <w:pStyle w:val="scjnumber"/>
        <w:spacing w:before="0" w:beforeAutospacing="0" w:after="0" w:afterAutospacing="0"/>
        <w:jc w:val="both"/>
        <w:rPr>
          <w:sz w:val="20"/>
          <w:szCs w:val="20"/>
          <w:lang w:val="fr-CA"/>
        </w:rPr>
      </w:pPr>
      <w:r w:rsidRPr="006F54B9">
        <w:rPr>
          <w:sz w:val="20"/>
          <w:szCs w:val="20"/>
          <w:lang w:val="fr-CA"/>
        </w:rPr>
        <w:t xml:space="preserve">En vertu de la </w:t>
      </w:r>
      <w:r w:rsidRPr="006F54B9">
        <w:rPr>
          <w:i/>
          <w:sz w:val="20"/>
          <w:szCs w:val="20"/>
          <w:lang w:val="fr-CA"/>
        </w:rPr>
        <w:t>Loi sur le recyclage des produits de la criminalité et le financement des activités terroristes</w:t>
      </w:r>
      <w:r w:rsidRPr="006F54B9">
        <w:rPr>
          <w:sz w:val="20"/>
          <w:szCs w:val="20"/>
          <w:lang w:val="fr-CA"/>
        </w:rPr>
        <w:t xml:space="preserve"> et de son règlement d’application, certaines entreprises et personnes, dont les conseillers juridiques et les cabinets juridiques, doivent repérer, consigner et contrôler des opérations financières.  Le Centre d’analyse des opérations et déclarations financières du Canada utilise ces renseignements pour détecter et prévenir le blanchiment d’argent et le financement des activités terroristes.  La Loi autorise CANAFE à fouiller les cabinets et ordinateurs de conseillers juridiques et à reproduire des documents, sans mandats.  Dans certaines circonstances, celui-ci peut communiquer à des organismes chargés de l’application de la loi et à des organismes de contrôle les renseignements obtenus à l’occasion d’une vérification de conformité.  Les conseillers juridiques et les cabinets juridiques ne sont pas assujettis aux exigences en matière de déclaration s’appliquant aux autres professionnels et entreprises financières.  La </w:t>
      </w:r>
      <w:r w:rsidRPr="006F54B9">
        <w:rPr>
          <w:i/>
          <w:sz w:val="20"/>
          <w:szCs w:val="20"/>
          <w:lang w:val="fr-CA"/>
        </w:rPr>
        <w:t xml:space="preserve">Loi </w:t>
      </w:r>
      <w:r w:rsidRPr="006F54B9">
        <w:rPr>
          <w:sz w:val="20"/>
          <w:szCs w:val="20"/>
          <w:lang w:val="fr-CA"/>
        </w:rPr>
        <w:t xml:space="preserve">empêche aussi la communication de renseignements protégés par le secret professionnel du conseiller juridique et prévoit la façon de traiter des revendications fondées sur ce privilège.  La Fédération des ordres professionnels de juristes du Canada a contesté la constitutionnalité de la </w:t>
      </w:r>
      <w:r w:rsidRPr="006F54B9">
        <w:rPr>
          <w:i/>
          <w:sz w:val="20"/>
          <w:szCs w:val="20"/>
          <w:lang w:val="fr-CA"/>
        </w:rPr>
        <w:t xml:space="preserve">Loi </w:t>
      </w:r>
      <w:r w:rsidRPr="006F54B9">
        <w:rPr>
          <w:sz w:val="20"/>
          <w:szCs w:val="20"/>
          <w:lang w:val="fr-CA"/>
        </w:rPr>
        <w:t>et de son règlement d’application.</w:t>
      </w:r>
    </w:p>
    <w:p w:rsidR="006F54B9" w:rsidRPr="006F54B9" w:rsidRDefault="006F54B9" w:rsidP="006F54B9">
      <w:pPr>
        <w:widowControl w:val="0"/>
        <w:jc w:val="both"/>
        <w:rPr>
          <w:rFonts w:cs="Times New Roman"/>
          <w:sz w:val="20"/>
          <w:szCs w:val="20"/>
          <w:lang w:val="fr-CA"/>
        </w:rPr>
      </w:pPr>
    </w:p>
    <w:p w:rsidR="006F54B9" w:rsidRPr="006F54B9" w:rsidRDefault="006F54B9" w:rsidP="006F54B9">
      <w:pPr>
        <w:widowControl w:val="0"/>
        <w:jc w:val="both"/>
        <w:rPr>
          <w:rFonts w:cs="Times New Roman"/>
          <w:sz w:val="20"/>
          <w:szCs w:val="20"/>
          <w:lang w:val="fr-CA"/>
        </w:rPr>
      </w:pPr>
    </w:p>
    <w:p w:rsidR="006F54B9" w:rsidRPr="006F54B9" w:rsidRDefault="006F54B9" w:rsidP="006F54B9">
      <w:pPr>
        <w:widowControl w:val="0"/>
        <w:jc w:val="both"/>
        <w:rPr>
          <w:rFonts w:cs="Times New Roman"/>
          <w:sz w:val="20"/>
          <w:szCs w:val="20"/>
          <w:lang w:val="fr-CA"/>
        </w:rPr>
      </w:pPr>
      <w:r w:rsidRPr="006F54B9">
        <w:rPr>
          <w:rFonts w:cs="Times New Roman"/>
          <w:sz w:val="20"/>
          <w:szCs w:val="20"/>
          <w:lang w:val="fr-CA"/>
        </w:rPr>
        <w:t>Origine :</w:t>
      </w:r>
      <w:r w:rsidRPr="006F54B9">
        <w:rPr>
          <w:rFonts w:cs="Times New Roman"/>
          <w:sz w:val="20"/>
          <w:szCs w:val="20"/>
          <w:lang w:val="fr-CA"/>
        </w:rPr>
        <w:tab/>
      </w:r>
      <w:r w:rsidRPr="006F54B9">
        <w:rPr>
          <w:rFonts w:cs="Times New Roman"/>
          <w:sz w:val="20"/>
          <w:szCs w:val="20"/>
          <w:lang w:val="fr-CA"/>
        </w:rPr>
        <w:tab/>
      </w:r>
      <w:r w:rsidRPr="006F54B9">
        <w:rPr>
          <w:rFonts w:cs="Times New Roman"/>
          <w:sz w:val="20"/>
          <w:szCs w:val="20"/>
          <w:lang w:val="fr-CA"/>
        </w:rPr>
        <w:tab/>
      </w:r>
      <w:r w:rsidRPr="006F54B9">
        <w:rPr>
          <w:rFonts w:cs="Times New Roman"/>
          <w:sz w:val="20"/>
          <w:szCs w:val="20"/>
          <w:lang w:val="fr-CA"/>
        </w:rPr>
        <w:tab/>
        <w:t>Colombie-Britannique</w:t>
      </w:r>
    </w:p>
    <w:p w:rsidR="006F54B9" w:rsidRPr="006F54B9" w:rsidRDefault="006F54B9" w:rsidP="006F54B9">
      <w:pPr>
        <w:widowControl w:val="0"/>
        <w:jc w:val="both"/>
        <w:rPr>
          <w:rFonts w:cs="Times New Roman"/>
          <w:sz w:val="20"/>
          <w:szCs w:val="20"/>
          <w:lang w:val="fr-CA"/>
        </w:rPr>
      </w:pPr>
    </w:p>
    <w:p w:rsidR="006F54B9" w:rsidRPr="006F54B9" w:rsidRDefault="006F54B9" w:rsidP="006F54B9">
      <w:pPr>
        <w:widowControl w:val="0"/>
        <w:jc w:val="both"/>
        <w:rPr>
          <w:rFonts w:cs="Times New Roman"/>
          <w:sz w:val="20"/>
          <w:szCs w:val="20"/>
          <w:lang w:val="fr-CA"/>
        </w:rPr>
      </w:pPr>
      <w:r w:rsidRPr="006F54B9">
        <w:rPr>
          <w:rFonts w:cs="Times New Roman"/>
          <w:sz w:val="20"/>
          <w:szCs w:val="20"/>
          <w:lang w:val="fr-CA"/>
        </w:rPr>
        <w:t>N</w:t>
      </w:r>
      <w:r w:rsidRPr="006F54B9">
        <w:rPr>
          <w:rFonts w:cs="Times New Roman"/>
          <w:sz w:val="20"/>
          <w:szCs w:val="20"/>
          <w:vertAlign w:val="superscript"/>
          <w:lang w:val="fr-CA"/>
        </w:rPr>
        <w:t>o</w:t>
      </w:r>
      <w:r w:rsidRPr="006F54B9">
        <w:rPr>
          <w:rFonts w:cs="Times New Roman"/>
          <w:sz w:val="20"/>
          <w:szCs w:val="20"/>
          <w:lang w:val="fr-CA"/>
        </w:rPr>
        <w:t xml:space="preserve"> du greffe :</w:t>
      </w:r>
      <w:r w:rsidRPr="006F54B9">
        <w:rPr>
          <w:rFonts w:cs="Times New Roman"/>
          <w:sz w:val="20"/>
          <w:szCs w:val="20"/>
          <w:lang w:val="fr-CA"/>
        </w:rPr>
        <w:tab/>
      </w:r>
      <w:r w:rsidRPr="006F54B9">
        <w:rPr>
          <w:rFonts w:cs="Times New Roman"/>
          <w:sz w:val="20"/>
          <w:szCs w:val="20"/>
          <w:lang w:val="fr-CA"/>
        </w:rPr>
        <w:tab/>
      </w:r>
      <w:r w:rsidRPr="006F54B9">
        <w:rPr>
          <w:rFonts w:cs="Times New Roman"/>
          <w:sz w:val="20"/>
          <w:szCs w:val="20"/>
          <w:lang w:val="fr-CA"/>
        </w:rPr>
        <w:tab/>
        <w:t>35399</w:t>
      </w:r>
    </w:p>
    <w:p w:rsidR="006F54B9" w:rsidRPr="006F54B9" w:rsidRDefault="006F54B9" w:rsidP="006F54B9">
      <w:pPr>
        <w:widowControl w:val="0"/>
        <w:jc w:val="both"/>
        <w:rPr>
          <w:rFonts w:cs="Times New Roman"/>
          <w:sz w:val="20"/>
          <w:szCs w:val="20"/>
          <w:lang w:val="fr-CA"/>
        </w:rPr>
      </w:pPr>
    </w:p>
    <w:p w:rsidR="006F54B9" w:rsidRPr="006F54B9" w:rsidRDefault="006F54B9" w:rsidP="006F54B9">
      <w:pPr>
        <w:widowControl w:val="0"/>
        <w:jc w:val="both"/>
        <w:rPr>
          <w:rFonts w:cs="Times New Roman"/>
          <w:sz w:val="20"/>
          <w:szCs w:val="20"/>
          <w:lang w:val="fr-CA"/>
        </w:rPr>
      </w:pPr>
      <w:r w:rsidRPr="006F54B9">
        <w:rPr>
          <w:rFonts w:cs="Times New Roman"/>
          <w:sz w:val="20"/>
          <w:szCs w:val="20"/>
          <w:lang w:val="fr-CA"/>
        </w:rPr>
        <w:t>Arrêt de la Cour d’appel :</w:t>
      </w:r>
      <w:r w:rsidRPr="006F54B9">
        <w:rPr>
          <w:rFonts w:cs="Times New Roman"/>
          <w:sz w:val="20"/>
          <w:szCs w:val="20"/>
          <w:lang w:val="fr-CA"/>
        </w:rPr>
        <w:tab/>
      </w:r>
      <w:r w:rsidRPr="006F54B9">
        <w:rPr>
          <w:rFonts w:cs="Times New Roman"/>
          <w:sz w:val="20"/>
          <w:szCs w:val="20"/>
          <w:lang w:val="fr-CA"/>
        </w:rPr>
        <w:tab/>
        <w:t>le 4 avril 2013</w:t>
      </w:r>
    </w:p>
    <w:p w:rsidR="006F54B9" w:rsidRPr="006F54B9" w:rsidRDefault="006F54B9" w:rsidP="006F54B9">
      <w:pPr>
        <w:widowControl w:val="0"/>
        <w:jc w:val="both"/>
        <w:rPr>
          <w:rFonts w:cs="Times New Roman"/>
          <w:sz w:val="20"/>
          <w:szCs w:val="20"/>
          <w:lang w:val="fr-CA"/>
        </w:rPr>
      </w:pPr>
    </w:p>
    <w:p w:rsidR="006F54B9" w:rsidRPr="006F54B9" w:rsidRDefault="006F54B9" w:rsidP="006F54B9">
      <w:pPr>
        <w:widowControl w:val="0"/>
        <w:jc w:val="both"/>
        <w:rPr>
          <w:rFonts w:cs="Times New Roman"/>
          <w:sz w:val="20"/>
          <w:szCs w:val="20"/>
          <w:lang w:val="fr-CA"/>
        </w:rPr>
      </w:pPr>
      <w:r w:rsidRPr="006F54B9">
        <w:rPr>
          <w:rFonts w:cs="Times New Roman"/>
          <w:sz w:val="20"/>
          <w:szCs w:val="20"/>
          <w:lang w:val="fr-CA"/>
        </w:rPr>
        <w:t>Avocats :</w:t>
      </w:r>
      <w:r w:rsidRPr="006F54B9">
        <w:rPr>
          <w:rFonts w:cs="Times New Roman"/>
          <w:sz w:val="20"/>
          <w:szCs w:val="20"/>
          <w:lang w:val="fr-CA"/>
        </w:rPr>
        <w:tab/>
      </w:r>
      <w:r>
        <w:rPr>
          <w:rFonts w:cs="Times New Roman"/>
          <w:sz w:val="20"/>
          <w:szCs w:val="20"/>
          <w:lang w:val="fr-CA"/>
        </w:rPr>
        <w:tab/>
      </w:r>
      <w:r>
        <w:rPr>
          <w:rFonts w:cs="Times New Roman"/>
          <w:sz w:val="20"/>
          <w:szCs w:val="20"/>
          <w:lang w:val="fr-CA"/>
        </w:rPr>
        <w:tab/>
      </w:r>
      <w:r w:rsidRPr="006F54B9">
        <w:rPr>
          <w:rFonts w:cs="Times New Roman"/>
          <w:sz w:val="20"/>
          <w:szCs w:val="20"/>
          <w:lang w:val="fr-CA"/>
        </w:rPr>
        <w:t>Christopher Rupar pour l’appelant</w:t>
      </w:r>
    </w:p>
    <w:p w:rsidR="006F54B9" w:rsidRPr="006F54B9" w:rsidRDefault="006F54B9" w:rsidP="006F54B9">
      <w:pPr>
        <w:widowControl w:val="0"/>
        <w:jc w:val="both"/>
        <w:rPr>
          <w:rFonts w:cs="Times New Roman"/>
          <w:sz w:val="20"/>
          <w:szCs w:val="20"/>
          <w:lang w:val="fr-CA"/>
        </w:rPr>
      </w:pPr>
      <w:r>
        <w:rPr>
          <w:rFonts w:cs="Times New Roman"/>
          <w:sz w:val="20"/>
          <w:szCs w:val="20"/>
          <w:lang w:val="fr-CA"/>
        </w:rPr>
        <w:tab/>
      </w:r>
      <w:r>
        <w:rPr>
          <w:rFonts w:cs="Times New Roman"/>
          <w:sz w:val="20"/>
          <w:szCs w:val="20"/>
          <w:lang w:val="fr-CA"/>
        </w:rPr>
        <w:tab/>
      </w:r>
      <w:r>
        <w:rPr>
          <w:rFonts w:cs="Times New Roman"/>
          <w:sz w:val="20"/>
          <w:szCs w:val="20"/>
          <w:lang w:val="fr-CA"/>
        </w:rPr>
        <w:tab/>
      </w:r>
      <w:r w:rsidRPr="006F54B9">
        <w:rPr>
          <w:rFonts w:cs="Times New Roman"/>
          <w:sz w:val="20"/>
          <w:szCs w:val="20"/>
          <w:lang w:val="fr-CA"/>
        </w:rPr>
        <w:tab/>
        <w:t>John Hunter et Roy Millen pour l’intimée</w:t>
      </w:r>
    </w:p>
    <w:p w:rsidR="006F54B9" w:rsidRPr="006F54B9" w:rsidRDefault="006F54B9" w:rsidP="006F54B9">
      <w:pPr>
        <w:widowControl w:val="0"/>
        <w:jc w:val="both"/>
        <w:rPr>
          <w:rFonts w:cs="Times New Roman"/>
          <w:sz w:val="20"/>
          <w:szCs w:val="20"/>
          <w:lang w:val="fr-CA"/>
        </w:rPr>
      </w:pPr>
    </w:p>
    <w:p w:rsidR="006168D3" w:rsidRPr="006F54B9"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099" style="width:2in;height:1pt" o:hrpct="0" o:hralign="center" o:hrstd="t" o:hrnoshade="t" o:hr="t" fillcolor="black [3213]" stroked="f"/>
        </w:pict>
      </w:r>
    </w:p>
    <w:p w:rsidR="006168D3" w:rsidRPr="006F54B9" w:rsidRDefault="006168D3" w:rsidP="006168D3">
      <w:pPr>
        <w:tabs>
          <w:tab w:val="left" w:pos="-1440"/>
          <w:tab w:val="left" w:pos="-720"/>
        </w:tabs>
        <w:jc w:val="both"/>
        <w:rPr>
          <w:rFonts w:cs="Times New Roman"/>
          <w:sz w:val="20"/>
          <w:szCs w:val="20"/>
          <w:lang w:val="fr-CA"/>
        </w:rPr>
      </w:pPr>
    </w:p>
    <w:p w:rsidR="006168D3" w:rsidRPr="006F54B9" w:rsidRDefault="006168D3">
      <w:pPr>
        <w:rPr>
          <w:rFonts w:cs="Times New Roman"/>
          <w:sz w:val="20"/>
          <w:szCs w:val="20"/>
          <w:lang w:val="fr-CA"/>
        </w:rPr>
      </w:pPr>
      <w:r w:rsidRPr="006F54B9">
        <w:rPr>
          <w:rFonts w:cs="Times New Roman"/>
          <w:sz w:val="20"/>
          <w:szCs w:val="20"/>
          <w:lang w:val="fr-CA"/>
        </w:rPr>
        <w:br w:type="page"/>
      </w:r>
    </w:p>
    <w:p w:rsidR="006F54B9" w:rsidRPr="006F54B9" w:rsidRDefault="00EF5791" w:rsidP="006F54B9">
      <w:pPr>
        <w:widowControl w:val="0"/>
        <w:ind w:left="709" w:hanging="709"/>
        <w:jc w:val="both"/>
        <w:rPr>
          <w:rFonts w:eastAsia="Times New Roman" w:cs="Times New Roman"/>
          <w:sz w:val="20"/>
          <w:szCs w:val="20"/>
          <w:lang w:val="fr-CA" w:eastAsia="en-CA"/>
        </w:rPr>
      </w:pPr>
      <w:r w:rsidRPr="006F54B9">
        <w:rPr>
          <w:rFonts w:eastAsia="Times New Roman" w:cs="Times New Roman"/>
          <w:b/>
          <w:sz w:val="20"/>
          <w:szCs w:val="20"/>
          <w:lang w:eastAsia="en-CA"/>
        </w:rPr>
        <w:lastRenderedPageBreak/>
        <w:fldChar w:fldCharType="begin"/>
      </w:r>
      <w:r w:rsidR="006F54B9" w:rsidRPr="006F54B9">
        <w:rPr>
          <w:rFonts w:eastAsia="Times New Roman" w:cs="Times New Roman"/>
          <w:b/>
          <w:sz w:val="20"/>
          <w:szCs w:val="20"/>
          <w:lang w:val="fr-CA" w:eastAsia="en-CA"/>
        </w:rPr>
        <w:instrText xml:space="preserve"> SEQ CHAPTER \h \r 1</w:instrText>
      </w:r>
      <w:r w:rsidRPr="006F54B9">
        <w:rPr>
          <w:rFonts w:eastAsia="Times New Roman" w:cs="Times New Roman"/>
          <w:b/>
          <w:sz w:val="20"/>
          <w:szCs w:val="20"/>
          <w:lang w:val="en-US" w:eastAsia="en-CA"/>
        </w:rPr>
        <w:fldChar w:fldCharType="end"/>
      </w:r>
      <w:r w:rsidR="006F54B9" w:rsidRPr="006F54B9">
        <w:rPr>
          <w:rFonts w:eastAsia="Times New Roman" w:cs="Times New Roman"/>
          <w:b/>
          <w:sz w:val="20"/>
          <w:szCs w:val="20"/>
          <w:lang w:val="fr-CA" w:eastAsia="en-CA"/>
        </w:rPr>
        <w:t>35353</w:t>
      </w:r>
      <w:r w:rsidR="006F54B9" w:rsidRPr="006F54B9">
        <w:rPr>
          <w:rFonts w:eastAsia="Times New Roman" w:cs="Times New Roman"/>
          <w:sz w:val="20"/>
          <w:szCs w:val="20"/>
          <w:lang w:val="fr-CA" w:eastAsia="en-CA"/>
        </w:rPr>
        <w:tab/>
      </w:r>
      <w:r w:rsidR="006F54B9" w:rsidRPr="006F54B9">
        <w:rPr>
          <w:rFonts w:eastAsia="Times New Roman" w:cs="Times New Roman"/>
          <w:b/>
          <w:i/>
          <w:sz w:val="20"/>
          <w:szCs w:val="20"/>
          <w:lang w:val="fr-CA" w:eastAsia="en-CA"/>
        </w:rPr>
        <w:t>Canadian Artists’ Representation/Front des artistes canadiens and Regroupement des artistes en arts visuels du Québec v. National Gallery of Canada</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eastAsia="en-CA"/>
        </w:rPr>
        <w:t>Labour</w:t>
      </w:r>
      <w:r w:rsidRPr="006F54B9">
        <w:rPr>
          <w:rFonts w:eastAsia="Times New Roman" w:cs="Times New Roman"/>
          <w:sz w:val="20"/>
          <w:szCs w:val="20"/>
          <w:lang w:val="en-US" w:eastAsia="en-CA"/>
        </w:rPr>
        <w:t xml:space="preserve"> relations - Collective bargaining - Duty to bargain in good faith - Administrative law - Judicial review - Copyright - Canadian Artists and Producers Professional Relations Tribunal finding that National Gallery failed to bargain in good faith when it reversed its bargaining position and refused to negotiate minimum fees for right to use existing works - Whether Court of Appeal erred in reviewing Tribunal’s decision on a correctness standard - Whether Court of Appeal erred in finding that certified artists’ associations are precluded from bargaining minimum fees for use of existing works in scale agreements under </w:t>
      </w:r>
      <w:r w:rsidRPr="006F54B9">
        <w:rPr>
          <w:rFonts w:eastAsia="Times New Roman" w:cs="Times New Roman"/>
          <w:i/>
          <w:sz w:val="20"/>
          <w:szCs w:val="20"/>
          <w:lang w:val="en-US" w:eastAsia="en-CA"/>
        </w:rPr>
        <w:t>Status of the Artist Act</w:t>
      </w:r>
      <w:r w:rsidRPr="006F54B9">
        <w:rPr>
          <w:rFonts w:eastAsia="Times New Roman" w:cs="Times New Roman"/>
          <w:sz w:val="20"/>
          <w:szCs w:val="20"/>
          <w:lang w:val="en-US" w:eastAsia="en-CA"/>
        </w:rPr>
        <w:t xml:space="preserve"> - Whether Court of Appeal erred in finding that Tribunal was unable to conclude that National Gallery bargained in bad faith, after it misinterpreted legislative scope of collective bargaining in Tribunal’s enabling legislation - </w:t>
      </w:r>
      <w:r w:rsidRPr="006F54B9">
        <w:rPr>
          <w:rFonts w:eastAsia="Times New Roman" w:cs="Times New Roman"/>
          <w:i/>
          <w:sz w:val="20"/>
          <w:szCs w:val="20"/>
          <w:lang w:val="en-US" w:eastAsia="en-CA"/>
        </w:rPr>
        <w:t>Status of the Artist Act</w:t>
      </w:r>
      <w:r w:rsidRPr="006F54B9">
        <w:rPr>
          <w:rFonts w:eastAsia="Times New Roman" w:cs="Times New Roman"/>
          <w:sz w:val="20"/>
          <w:szCs w:val="20"/>
          <w:lang w:val="en-US" w:eastAsia="en-CA"/>
        </w:rPr>
        <w:t xml:space="preserve">, S.C. 1992, c. 33 - </w:t>
      </w:r>
      <w:r w:rsidRPr="006F54B9">
        <w:rPr>
          <w:rFonts w:eastAsia="Times New Roman" w:cs="Times New Roman"/>
          <w:i/>
          <w:sz w:val="20"/>
          <w:szCs w:val="20"/>
          <w:lang w:val="en-US" w:eastAsia="en-CA"/>
        </w:rPr>
        <w:t>Copyright Act</w:t>
      </w:r>
      <w:r w:rsidRPr="006F54B9">
        <w:rPr>
          <w:rFonts w:eastAsia="Times New Roman" w:cs="Times New Roman"/>
          <w:sz w:val="20"/>
          <w:szCs w:val="20"/>
          <w:lang w:val="en-US" w:eastAsia="en-CA"/>
        </w:rPr>
        <w:t>, R.S.C. 1985, c. C-42.</w:t>
      </w: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The Canadian Artists and Producers Professional Relations Tribunal certified the appellants as the representative organizations for visual artists in Canada.  In 2003, the appellants began negotiating with the National Gallery, and those negotiations covered the issue of minimum fees for the use of existing works.  In 2007 the National Gallery was provided with a legal opinion whose ultimate conclusion was that it could legitimately refuse to discuss copyright issues with the appellants.  It later presented a revised draft scale agreement to the appellants in which all references to the minimum fees for the use of existing works had been removed.  </w:t>
      </w:r>
    </w:p>
    <w:p w:rsidR="006F54B9" w:rsidRPr="006F54B9" w:rsidRDefault="006F54B9" w:rsidP="006F54B9">
      <w:pPr>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The appellants filed a complaint with the Tribunal, which found that the National Gallery failed to bargain in good faith when it reversed its bargaining position and refused to bargain minimum fees for the right to use existing works with the appellants after having done so for many months.  The Federal Court of Appeal, in a majority judgment, allowed the National Gallery’s application for judicial review and set aside the Tribunal’s decision.</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Origin of the case:</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t>Federal Court of Appeal</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File No.:</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35353</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Judgment of the Court of Appeal:</w:t>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March 1, 2013</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Counsel:</w:t>
      </w:r>
      <w:r w:rsidRPr="006F54B9">
        <w:rPr>
          <w:rFonts w:eastAsia="Times New Roman" w:cs="Times New Roman"/>
          <w:sz w:val="20"/>
          <w:szCs w:val="20"/>
          <w:lang w:eastAsia="en-CA"/>
        </w:rPr>
        <w:tab/>
        <w:t>David Yazbeck, Michael Fisher and Wassim Garzonzi for the appellant</w:t>
      </w:r>
    </w:p>
    <w:p w:rsidR="006F54B9" w:rsidRPr="006F54B9" w:rsidRDefault="006F54B9" w:rsidP="006F54B9">
      <w:pPr>
        <w:widowControl w:val="0"/>
        <w:ind w:left="3600"/>
        <w:jc w:val="both"/>
        <w:rPr>
          <w:rFonts w:eastAsia="Times New Roman" w:cs="Times New Roman"/>
          <w:sz w:val="20"/>
          <w:szCs w:val="20"/>
          <w:lang w:eastAsia="en-CA"/>
        </w:rPr>
      </w:pPr>
      <w:r w:rsidRPr="006F54B9">
        <w:rPr>
          <w:rFonts w:eastAsia="Times New Roman" w:cs="Times New Roman"/>
          <w:sz w:val="20"/>
          <w:szCs w:val="20"/>
          <w:lang w:eastAsia="en-CA"/>
        </w:rPr>
        <w:t>Guy P. Dancosse, Q.C. and Sophie Roy-Lafleur for the respondent</w:t>
      </w:r>
    </w:p>
    <w:p w:rsidR="006168D3" w:rsidRPr="006F54B9" w:rsidRDefault="006168D3" w:rsidP="006168D3">
      <w:pPr>
        <w:tabs>
          <w:tab w:val="left" w:pos="-1440"/>
          <w:tab w:val="left" w:pos="-720"/>
        </w:tabs>
        <w:jc w:val="both"/>
        <w:rPr>
          <w:rFonts w:cs="Times New Roman"/>
          <w:sz w:val="20"/>
          <w:szCs w:val="20"/>
        </w:rPr>
      </w:pPr>
    </w:p>
    <w:p w:rsidR="006168D3" w:rsidRPr="006F54B9"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100" style="width:2in;height:1pt" o:hrpct="0" o:hralign="center" o:hrstd="t" o:hrnoshade="t" o:hr="t" fillcolor="black [3213]" stroked="f"/>
        </w:pict>
      </w:r>
    </w:p>
    <w:p w:rsidR="006168D3" w:rsidRPr="006F54B9" w:rsidRDefault="006168D3" w:rsidP="006168D3">
      <w:pPr>
        <w:tabs>
          <w:tab w:val="left" w:pos="-1440"/>
          <w:tab w:val="left" w:pos="-720"/>
        </w:tabs>
        <w:jc w:val="both"/>
        <w:rPr>
          <w:rFonts w:cs="Times New Roman"/>
          <w:sz w:val="20"/>
          <w:szCs w:val="20"/>
          <w:lang w:val="fr-CA"/>
        </w:rPr>
      </w:pPr>
    </w:p>
    <w:p w:rsidR="006168D3" w:rsidRPr="006F54B9" w:rsidRDefault="006168D3">
      <w:pPr>
        <w:rPr>
          <w:rFonts w:cs="Times New Roman"/>
          <w:sz w:val="20"/>
          <w:szCs w:val="20"/>
          <w:lang w:val="fr-CA"/>
        </w:rPr>
      </w:pPr>
      <w:r w:rsidRPr="006F54B9">
        <w:rPr>
          <w:rFonts w:cs="Times New Roman"/>
          <w:sz w:val="20"/>
          <w:szCs w:val="20"/>
          <w:lang w:val="fr-CA"/>
        </w:rPr>
        <w:br w:type="page"/>
      </w:r>
    </w:p>
    <w:p w:rsidR="006F54B9" w:rsidRPr="006F54B9" w:rsidRDefault="00EF5791" w:rsidP="006F54B9">
      <w:pPr>
        <w:widowControl w:val="0"/>
        <w:ind w:left="709" w:hanging="709"/>
        <w:jc w:val="both"/>
        <w:rPr>
          <w:rFonts w:eastAsia="Times New Roman" w:cs="Times New Roman"/>
          <w:sz w:val="20"/>
          <w:szCs w:val="20"/>
          <w:lang w:val="fr-CA" w:eastAsia="en-CA"/>
        </w:rPr>
      </w:pPr>
      <w:r w:rsidRPr="006F54B9">
        <w:rPr>
          <w:rFonts w:eastAsia="Times New Roman" w:cs="Times New Roman"/>
          <w:b/>
          <w:sz w:val="20"/>
          <w:szCs w:val="20"/>
          <w:lang w:val="fr-CA" w:eastAsia="en-CA"/>
        </w:rPr>
        <w:lastRenderedPageBreak/>
        <w:fldChar w:fldCharType="begin"/>
      </w:r>
      <w:r w:rsidR="006F54B9" w:rsidRPr="006F54B9">
        <w:rPr>
          <w:rFonts w:eastAsia="Times New Roman" w:cs="Times New Roman"/>
          <w:b/>
          <w:sz w:val="20"/>
          <w:szCs w:val="20"/>
          <w:lang w:val="fr-CA" w:eastAsia="en-CA"/>
        </w:rPr>
        <w:instrText xml:space="preserve"> SEQ CHAPTER \h \r 1</w:instrText>
      </w:r>
      <w:r w:rsidRPr="006F54B9">
        <w:rPr>
          <w:rFonts w:eastAsia="Times New Roman" w:cs="Times New Roman"/>
          <w:b/>
          <w:sz w:val="20"/>
          <w:szCs w:val="20"/>
          <w:lang w:val="fr-CA" w:eastAsia="en-CA"/>
        </w:rPr>
        <w:fldChar w:fldCharType="end"/>
      </w:r>
      <w:r w:rsidR="006F54B9" w:rsidRPr="006F54B9">
        <w:rPr>
          <w:rFonts w:eastAsia="Times New Roman" w:cs="Times New Roman"/>
          <w:b/>
          <w:sz w:val="20"/>
          <w:szCs w:val="20"/>
          <w:lang w:val="fr-CA" w:eastAsia="en-CA"/>
        </w:rPr>
        <w:t>35353</w:t>
      </w:r>
      <w:r w:rsidR="006F54B9" w:rsidRPr="006F54B9">
        <w:rPr>
          <w:rFonts w:eastAsia="Times New Roman" w:cs="Times New Roman"/>
          <w:sz w:val="20"/>
          <w:szCs w:val="20"/>
          <w:lang w:val="fr-CA" w:eastAsia="en-CA"/>
        </w:rPr>
        <w:tab/>
      </w:r>
      <w:r w:rsidR="006F54B9" w:rsidRPr="006F54B9">
        <w:rPr>
          <w:rFonts w:eastAsia="Times New Roman" w:cs="Times New Roman"/>
          <w:b/>
          <w:i/>
          <w:sz w:val="20"/>
          <w:szCs w:val="20"/>
          <w:lang w:val="fr-CA" w:eastAsia="en-CA"/>
        </w:rPr>
        <w:t>Canadian Artists’ Representation/Front des artistes canadiens et Regroupement des artistes en arts visuels du Québec c. Musée des Beaux-Arts du Canada</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 xml:space="preserve">Relations du travail - Négociations collectives - Obligation de négocier de bonne foi - Droit administratif - Contrôle judiciaire - Droit d’auteur - Conclusion du </w:t>
      </w:r>
      <w:r w:rsidRPr="006F54B9">
        <w:rPr>
          <w:rFonts w:eastAsia="Times New Roman" w:cs="Times New Roman"/>
          <w:color w:val="000000"/>
          <w:sz w:val="20"/>
          <w:szCs w:val="20"/>
          <w:lang w:val="fr-CA" w:eastAsia="en-CA"/>
        </w:rPr>
        <w:t xml:space="preserve">Tribunal canadien des relations professionnelles artistes-producteurs que le Musée des Beaux-Arts n’a pas négocié de bonne foi lorsqu’il est revenu sur sa </w:t>
      </w:r>
      <w:r w:rsidRPr="006F54B9">
        <w:rPr>
          <w:rFonts w:eastAsia="Times New Roman" w:cs="Times New Roman"/>
          <w:sz w:val="20"/>
          <w:szCs w:val="20"/>
          <w:lang w:val="fr-CA" w:eastAsia="en-CA"/>
        </w:rPr>
        <w:t>position de négociation et a refusé de négocier les tarifs minimums pour l’utilisation d’œuvres existantes - La Cour d’appel a</w:t>
      </w:r>
      <w:r w:rsidRPr="006F54B9">
        <w:rPr>
          <w:rFonts w:eastAsia="Times New Roman" w:cs="Times New Roman"/>
          <w:sz w:val="20"/>
          <w:szCs w:val="20"/>
          <w:lang w:val="fr-CA" w:eastAsia="en-CA"/>
        </w:rPr>
        <w:noBreakHyphen/>
        <w:t>t</w:t>
      </w:r>
      <w:r w:rsidRPr="006F54B9">
        <w:rPr>
          <w:rFonts w:eastAsia="Times New Roman" w:cs="Times New Roman"/>
          <w:sz w:val="20"/>
          <w:szCs w:val="20"/>
          <w:lang w:val="fr-CA" w:eastAsia="en-CA"/>
        </w:rPr>
        <w:noBreakHyphen/>
        <w:t>elle commis une erreur en contrôlant la décision du Tribunal selon la norme de la décision correcte? - La Cour d’appel a</w:t>
      </w:r>
      <w:r w:rsidRPr="006F54B9">
        <w:rPr>
          <w:rFonts w:eastAsia="Times New Roman" w:cs="Times New Roman"/>
          <w:sz w:val="20"/>
          <w:szCs w:val="20"/>
          <w:lang w:val="fr-CA" w:eastAsia="en-CA"/>
        </w:rPr>
        <w:noBreakHyphen/>
        <w:t>t</w:t>
      </w:r>
      <w:r w:rsidRPr="006F54B9">
        <w:rPr>
          <w:rFonts w:eastAsia="Times New Roman" w:cs="Times New Roman"/>
          <w:sz w:val="20"/>
          <w:szCs w:val="20"/>
          <w:lang w:val="fr-CA" w:eastAsia="en-CA"/>
        </w:rPr>
        <w:noBreakHyphen/>
        <w:t xml:space="preserve">elle commis une erreur en concluant que des associations d’artistes accréditées ne peuvent négocier les tarifs minimums fixés dans les accords-cadres en application de la </w:t>
      </w:r>
      <w:r w:rsidRPr="006F54B9">
        <w:rPr>
          <w:rFonts w:eastAsia="Times New Roman" w:cs="Times New Roman"/>
          <w:i/>
          <w:sz w:val="20"/>
          <w:szCs w:val="20"/>
          <w:lang w:val="fr-CA" w:eastAsia="en-CA"/>
        </w:rPr>
        <w:t>Loi sur le statut de l’artiste</w:t>
      </w:r>
      <w:r w:rsidRPr="006F54B9">
        <w:rPr>
          <w:rFonts w:eastAsia="Times New Roman" w:cs="Times New Roman"/>
          <w:sz w:val="20"/>
          <w:szCs w:val="20"/>
          <w:lang w:val="fr-CA" w:eastAsia="en-CA"/>
        </w:rPr>
        <w:t xml:space="preserve"> pour l’utilisation d’œuvres existantes? - La Cour d’appel a</w:t>
      </w:r>
      <w:r w:rsidRPr="006F54B9">
        <w:rPr>
          <w:rFonts w:eastAsia="Times New Roman" w:cs="Times New Roman"/>
          <w:sz w:val="20"/>
          <w:szCs w:val="20"/>
          <w:lang w:val="fr-CA" w:eastAsia="en-CA"/>
        </w:rPr>
        <w:noBreakHyphen/>
        <w:t>t</w:t>
      </w:r>
      <w:r w:rsidRPr="006F54B9">
        <w:rPr>
          <w:rFonts w:eastAsia="Times New Roman" w:cs="Times New Roman"/>
          <w:sz w:val="20"/>
          <w:szCs w:val="20"/>
          <w:lang w:val="fr-CA" w:eastAsia="en-CA"/>
        </w:rPr>
        <w:noBreakHyphen/>
        <w:t>elle commis une erreur en décidant que le Tribunal ne pouvait conclure que le Musée des Beaux</w:t>
      </w:r>
      <w:r w:rsidRPr="006F54B9">
        <w:rPr>
          <w:rFonts w:eastAsia="Times New Roman" w:cs="Times New Roman"/>
          <w:sz w:val="20"/>
          <w:szCs w:val="20"/>
          <w:lang w:val="fr-CA" w:eastAsia="en-CA"/>
        </w:rPr>
        <w:noBreakHyphen/>
        <w:t xml:space="preserve">Arts avait négocié de mauvaise foi, après avoir mal interprété la portée légale de la négociation collective donnée par sa loi constitutive? - </w:t>
      </w:r>
      <w:r w:rsidRPr="006F54B9">
        <w:rPr>
          <w:rFonts w:eastAsia="Times New Roman" w:cs="Times New Roman"/>
          <w:i/>
          <w:sz w:val="20"/>
          <w:szCs w:val="20"/>
          <w:lang w:val="fr-CA" w:eastAsia="en-CA"/>
        </w:rPr>
        <w:t>Loi sur le statut de l’artiste</w:t>
      </w:r>
      <w:r w:rsidRPr="006F54B9">
        <w:rPr>
          <w:rFonts w:eastAsia="Times New Roman" w:cs="Times New Roman"/>
          <w:sz w:val="20"/>
          <w:szCs w:val="20"/>
          <w:lang w:val="fr-CA" w:eastAsia="en-CA"/>
        </w:rPr>
        <w:t xml:space="preserve">, L.C. 1992, ch. 33 - </w:t>
      </w:r>
      <w:r w:rsidRPr="006F54B9">
        <w:rPr>
          <w:rFonts w:eastAsia="Times New Roman" w:cs="Times New Roman"/>
          <w:i/>
          <w:sz w:val="20"/>
          <w:szCs w:val="20"/>
          <w:lang w:val="fr-CA" w:eastAsia="en-CA"/>
        </w:rPr>
        <w:t>Loi sur le droit d’auteur</w:t>
      </w:r>
      <w:r w:rsidRPr="006F54B9">
        <w:rPr>
          <w:rFonts w:eastAsia="Times New Roman" w:cs="Times New Roman"/>
          <w:sz w:val="20"/>
          <w:szCs w:val="20"/>
          <w:lang w:val="fr-CA" w:eastAsia="en-CA"/>
        </w:rPr>
        <w:t>, L.R.C. 1985, ch. C-42.</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 xml:space="preserve">Le </w:t>
      </w:r>
      <w:r w:rsidRPr="006F54B9">
        <w:rPr>
          <w:rFonts w:eastAsia="Times New Roman" w:cs="Times New Roman"/>
          <w:color w:val="000000"/>
          <w:sz w:val="20"/>
          <w:szCs w:val="20"/>
          <w:lang w:val="fr-CA" w:eastAsia="en-CA"/>
        </w:rPr>
        <w:t>Tribunal canadien des relations professionnelles artistes-producteurs</w:t>
      </w:r>
      <w:r w:rsidRPr="006F54B9">
        <w:rPr>
          <w:rFonts w:eastAsia="Times New Roman" w:cs="Times New Roman"/>
          <w:sz w:val="20"/>
          <w:szCs w:val="20"/>
          <w:lang w:val="fr-CA" w:eastAsia="en-CA"/>
        </w:rPr>
        <w:t xml:space="preserve"> a accrédité les appelants en tant qu’organisations représentatives des artistes canadiens en arts visuels.  En 2003, les appelants ont commencé à négocier avec le Musée des Beaux-Arts, notamment à propos des tarifs minimums pour l’utilisation d’œuvres existantes.  En 2007, le Musée des Beaux-Arts a reçu un avis juridique dont l’ultime conclusion était qu’il pouvait légitimement refuser de discuter avec les appelants des questions de droit d’auteur.  Il a par la suite présenté aux appelants une version révisée de l’accord-cadre, dans laquelle toutes les mentions des tarifs minimums pour l’utilisation des œuvres existantes avaient été supprimées.  </w:t>
      </w:r>
    </w:p>
    <w:p w:rsidR="006F54B9" w:rsidRPr="006F54B9" w:rsidRDefault="006F54B9" w:rsidP="006F54B9">
      <w:pPr>
        <w:jc w:val="both"/>
        <w:rPr>
          <w:rFonts w:eastAsia="Times New Roman" w:cs="Times New Roman"/>
          <w:sz w:val="20"/>
          <w:szCs w:val="20"/>
          <w:lang w:val="fr-CA" w:eastAsia="en-CA"/>
        </w:rPr>
      </w:pPr>
    </w:p>
    <w:p w:rsidR="006F54B9" w:rsidRPr="006F54B9" w:rsidRDefault="006F54B9" w:rsidP="006F54B9">
      <w:pPr>
        <w:jc w:val="both"/>
        <w:rPr>
          <w:rFonts w:eastAsia="Times New Roman" w:cs="Times New Roman"/>
          <w:sz w:val="20"/>
          <w:szCs w:val="20"/>
          <w:lang w:val="fr-CA" w:eastAsia="en-CA"/>
        </w:rPr>
      </w:pPr>
      <w:r w:rsidRPr="006F54B9">
        <w:rPr>
          <w:rFonts w:eastAsia="Times New Roman" w:cs="Times New Roman"/>
          <w:sz w:val="20"/>
          <w:szCs w:val="20"/>
          <w:lang w:val="fr-CA" w:eastAsia="en-CA"/>
        </w:rPr>
        <w:t xml:space="preserve">Les demandeurs ont déposé une plainte au Tribunal, qui a conclu que le Musée des Beaux-Arts n’avait pas négocié de bonne foi lorsqu’il était revenu sur sa position de négociation et avait refusé de négocier les tarifs minimums pour l’utilisation d’œuvres existantes avec les appelants après l’avoir fait pendant plusieurs mois.  Les juges majoritaires de la Cour d’appel fédérale ont accueilli la demande de contrôle judiciaire présentée par le Musée des Beaux-Arts et annulé la décision du Tribunal. </w:t>
      </w:r>
    </w:p>
    <w:p w:rsidR="006F54B9" w:rsidRPr="006F54B9" w:rsidRDefault="006F54B9" w:rsidP="006F54B9">
      <w:pPr>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Origine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Cour d’appel fédérale</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N</w:t>
      </w:r>
      <w:r w:rsidRPr="006F54B9">
        <w:rPr>
          <w:rFonts w:eastAsia="Times New Roman" w:cs="Times New Roman"/>
          <w:sz w:val="20"/>
          <w:szCs w:val="20"/>
          <w:vertAlign w:val="superscript"/>
          <w:lang w:val="fr-CA" w:eastAsia="en-CA"/>
        </w:rPr>
        <w:t>o</w:t>
      </w:r>
      <w:r w:rsidRPr="006F54B9">
        <w:rPr>
          <w:rFonts w:eastAsia="Times New Roman" w:cs="Times New Roman"/>
          <w:sz w:val="20"/>
          <w:szCs w:val="20"/>
          <w:lang w:val="fr-CA" w:eastAsia="en-CA"/>
        </w:rPr>
        <w:t xml:space="preserve"> du greffe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35353</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Arrêt de la Cour d’appel :</w:t>
      </w:r>
      <w:r w:rsidRPr="006F54B9">
        <w:rPr>
          <w:rFonts w:eastAsia="Times New Roman" w:cs="Times New Roman"/>
          <w:sz w:val="20"/>
          <w:szCs w:val="20"/>
          <w:lang w:val="fr-CA" w:eastAsia="en-CA"/>
        </w:rPr>
        <w:tab/>
      </w:r>
      <w:r w:rsidRPr="006F54B9">
        <w:rPr>
          <w:rFonts w:eastAsia="Times New Roman" w:cs="Times New Roman"/>
          <w:sz w:val="20"/>
          <w:szCs w:val="20"/>
          <w:lang w:val="fr-CA" w:eastAsia="en-CA"/>
        </w:rPr>
        <w:tab/>
        <w:t>le 4 mars 2013</w:t>
      </w:r>
    </w:p>
    <w:p w:rsidR="006F54B9" w:rsidRPr="006F54B9" w:rsidRDefault="006F54B9" w:rsidP="006F54B9">
      <w:pPr>
        <w:widowControl w:val="0"/>
        <w:jc w:val="both"/>
        <w:rPr>
          <w:rFonts w:eastAsia="Times New Roman" w:cs="Times New Roman"/>
          <w:sz w:val="20"/>
          <w:szCs w:val="20"/>
          <w:lang w:val="fr-CA" w:eastAsia="en-CA"/>
        </w:rPr>
      </w:pPr>
    </w:p>
    <w:p w:rsidR="006F54B9" w:rsidRPr="006F54B9" w:rsidRDefault="006F54B9" w:rsidP="006F54B9">
      <w:pPr>
        <w:widowControl w:val="0"/>
        <w:jc w:val="both"/>
        <w:rPr>
          <w:rFonts w:eastAsia="Times New Roman" w:cs="Times New Roman"/>
          <w:sz w:val="20"/>
          <w:szCs w:val="20"/>
          <w:lang w:val="fr-CA" w:eastAsia="en-CA"/>
        </w:rPr>
      </w:pPr>
      <w:r w:rsidRPr="006F54B9">
        <w:rPr>
          <w:rFonts w:eastAsia="Times New Roman" w:cs="Times New Roman"/>
          <w:sz w:val="20"/>
          <w:szCs w:val="20"/>
          <w:lang w:val="fr-CA" w:eastAsia="en-CA"/>
        </w:rPr>
        <w:t>Avocats :</w:t>
      </w:r>
      <w:r w:rsidRPr="006F54B9">
        <w:rPr>
          <w:rFonts w:eastAsia="Times New Roman" w:cs="Times New Roman"/>
          <w:sz w:val="20"/>
          <w:szCs w:val="20"/>
          <w:lang w:val="fr-CA" w:eastAsia="en-CA"/>
        </w:rPr>
        <w:tab/>
      </w:r>
      <w:r>
        <w:rPr>
          <w:rFonts w:eastAsia="Times New Roman" w:cs="Times New Roman"/>
          <w:sz w:val="20"/>
          <w:szCs w:val="20"/>
          <w:lang w:val="fr-CA" w:eastAsia="en-CA"/>
        </w:rPr>
        <w:tab/>
      </w:r>
      <w:r>
        <w:rPr>
          <w:rFonts w:eastAsia="Times New Roman" w:cs="Times New Roman"/>
          <w:sz w:val="20"/>
          <w:szCs w:val="20"/>
          <w:lang w:val="fr-CA" w:eastAsia="en-CA"/>
        </w:rPr>
        <w:tab/>
      </w:r>
      <w:r w:rsidRPr="006F54B9">
        <w:rPr>
          <w:rFonts w:eastAsia="Times New Roman" w:cs="Times New Roman"/>
          <w:sz w:val="20"/>
          <w:szCs w:val="20"/>
          <w:lang w:val="fr-CA" w:eastAsia="en-CA"/>
        </w:rPr>
        <w:t>David Yazbeck, Michael Fisher et Wassim Garzonzi pour les appelants</w:t>
      </w:r>
    </w:p>
    <w:p w:rsidR="006F54B9" w:rsidRPr="006F54B9" w:rsidRDefault="006F54B9" w:rsidP="006F54B9">
      <w:pPr>
        <w:widowControl w:val="0"/>
        <w:jc w:val="both"/>
        <w:rPr>
          <w:rFonts w:eastAsia="Times New Roman" w:cs="Times New Roman"/>
          <w:sz w:val="20"/>
          <w:szCs w:val="20"/>
          <w:lang w:val="fr-CA" w:eastAsia="en-CA"/>
        </w:rPr>
      </w:pPr>
      <w:r>
        <w:rPr>
          <w:rFonts w:eastAsia="Times New Roman" w:cs="Times New Roman"/>
          <w:sz w:val="20"/>
          <w:szCs w:val="20"/>
          <w:lang w:val="fr-CA" w:eastAsia="en-CA"/>
        </w:rPr>
        <w:tab/>
      </w:r>
      <w:r>
        <w:rPr>
          <w:rFonts w:eastAsia="Times New Roman" w:cs="Times New Roman"/>
          <w:sz w:val="20"/>
          <w:szCs w:val="20"/>
          <w:lang w:val="fr-CA" w:eastAsia="en-CA"/>
        </w:rPr>
        <w:tab/>
      </w:r>
      <w:r>
        <w:rPr>
          <w:rFonts w:eastAsia="Times New Roman" w:cs="Times New Roman"/>
          <w:sz w:val="20"/>
          <w:szCs w:val="20"/>
          <w:lang w:val="fr-CA" w:eastAsia="en-CA"/>
        </w:rPr>
        <w:tab/>
      </w:r>
      <w:r>
        <w:rPr>
          <w:rFonts w:eastAsia="Times New Roman" w:cs="Times New Roman"/>
          <w:sz w:val="20"/>
          <w:szCs w:val="20"/>
          <w:lang w:val="fr-CA" w:eastAsia="en-CA"/>
        </w:rPr>
        <w:tab/>
      </w:r>
      <w:r w:rsidRPr="006F54B9">
        <w:rPr>
          <w:rFonts w:eastAsia="Times New Roman" w:cs="Times New Roman"/>
          <w:sz w:val="20"/>
          <w:szCs w:val="20"/>
          <w:lang w:val="fr-CA" w:eastAsia="en-CA"/>
        </w:rPr>
        <w:t>Guy P. Dancosse c.r. et Sophie Roy-Lafleur pour l’intimé</w:t>
      </w:r>
    </w:p>
    <w:p w:rsidR="006168D3" w:rsidRPr="006F54B9" w:rsidRDefault="006168D3" w:rsidP="006168D3">
      <w:pPr>
        <w:tabs>
          <w:tab w:val="left" w:pos="-1440"/>
          <w:tab w:val="left" w:pos="-720"/>
        </w:tabs>
        <w:jc w:val="both"/>
        <w:rPr>
          <w:rFonts w:cs="Times New Roman"/>
          <w:sz w:val="20"/>
          <w:szCs w:val="20"/>
          <w:lang w:val="fr-CA"/>
        </w:rPr>
      </w:pPr>
    </w:p>
    <w:p w:rsidR="006168D3" w:rsidRPr="006F54B9"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101" style="width:2in;height:1pt" o:hrpct="0" o:hralign="center" o:hrstd="t" o:hrnoshade="t" o:hr="t" fillcolor="black [3213]" stroked="f"/>
        </w:pict>
      </w:r>
    </w:p>
    <w:p w:rsidR="006168D3" w:rsidRPr="006F54B9" w:rsidRDefault="006168D3" w:rsidP="006168D3">
      <w:pPr>
        <w:tabs>
          <w:tab w:val="left" w:pos="-1440"/>
          <w:tab w:val="left" w:pos="-720"/>
        </w:tabs>
        <w:jc w:val="both"/>
        <w:rPr>
          <w:rFonts w:cs="Times New Roman"/>
          <w:sz w:val="20"/>
          <w:szCs w:val="20"/>
          <w:lang w:val="fr-CA"/>
        </w:rPr>
      </w:pPr>
    </w:p>
    <w:p w:rsidR="006168D3" w:rsidRPr="006F54B9" w:rsidRDefault="006168D3">
      <w:pPr>
        <w:rPr>
          <w:rFonts w:cs="Times New Roman"/>
          <w:sz w:val="20"/>
          <w:szCs w:val="20"/>
          <w:lang w:val="fr-CA"/>
        </w:rPr>
      </w:pPr>
      <w:r w:rsidRPr="006F54B9">
        <w:rPr>
          <w:rFonts w:cs="Times New Roman"/>
          <w:sz w:val="20"/>
          <w:szCs w:val="20"/>
          <w:lang w:val="fr-CA"/>
        </w:rPr>
        <w:br w:type="page"/>
      </w:r>
    </w:p>
    <w:p w:rsidR="006F54B9" w:rsidRPr="006F54B9" w:rsidRDefault="006F54B9" w:rsidP="006F54B9">
      <w:pPr>
        <w:widowControl w:val="0"/>
        <w:ind w:left="709" w:hanging="709"/>
        <w:jc w:val="both"/>
        <w:rPr>
          <w:rFonts w:eastAsia="Times New Roman" w:cs="Times New Roman"/>
          <w:sz w:val="20"/>
          <w:szCs w:val="20"/>
          <w:lang w:eastAsia="en-CA"/>
        </w:rPr>
      </w:pPr>
      <w:r w:rsidRPr="006F54B9">
        <w:rPr>
          <w:rFonts w:eastAsia="Times New Roman" w:cs="Times New Roman"/>
          <w:b/>
          <w:sz w:val="20"/>
          <w:szCs w:val="20"/>
          <w:lang w:eastAsia="en-CA"/>
        </w:rPr>
        <w:lastRenderedPageBreak/>
        <w:t>35379</w:t>
      </w:r>
      <w:r w:rsidR="00EF5791" w:rsidRPr="006F54B9">
        <w:rPr>
          <w:rFonts w:eastAsia="Times New Roman" w:cs="Times New Roman"/>
          <w:sz w:val="20"/>
          <w:szCs w:val="20"/>
          <w:lang w:eastAsia="en-CA"/>
        </w:rPr>
        <w:fldChar w:fldCharType="begin"/>
      </w:r>
      <w:r w:rsidRPr="006F54B9">
        <w:rPr>
          <w:rFonts w:eastAsia="Times New Roman" w:cs="Times New Roman"/>
          <w:sz w:val="20"/>
          <w:szCs w:val="20"/>
          <w:lang w:val="en-US" w:eastAsia="en-CA"/>
        </w:rPr>
        <w:instrText xml:space="preserve"> SEQ CHAPTER \h \r 1</w:instrText>
      </w:r>
      <w:r w:rsidR="00EF5791" w:rsidRPr="006F54B9">
        <w:rPr>
          <w:rFonts w:eastAsia="Times New Roman" w:cs="Times New Roman"/>
          <w:sz w:val="20"/>
          <w:szCs w:val="20"/>
          <w:lang w:val="en-US" w:eastAsia="en-CA"/>
        </w:rPr>
        <w:fldChar w:fldCharType="end"/>
      </w:r>
      <w:r w:rsidRPr="006F54B9">
        <w:rPr>
          <w:rFonts w:eastAsia="Times New Roman" w:cs="Times New Roman"/>
          <w:sz w:val="20"/>
          <w:szCs w:val="20"/>
          <w:lang w:eastAsia="en-CA"/>
        </w:rPr>
        <w:tab/>
      </w:r>
      <w:r w:rsidRPr="006F54B9">
        <w:rPr>
          <w:rFonts w:eastAsia="Times New Roman" w:cs="Times New Roman"/>
          <w:b/>
          <w:i/>
          <w:sz w:val="20"/>
          <w:szCs w:val="20"/>
          <w:lang w:eastAsia="en-CA"/>
        </w:rPr>
        <w:t xml:space="preserve">Andrew Keewatin Jr. and Joseph William Fobister, on their own behalf and on behalf of all other members of Grassy Narrows First Nation v. Minister of Natural Resources et al. - </w:t>
      </w:r>
      <w:r w:rsidRPr="006F54B9">
        <w:rPr>
          <w:rFonts w:eastAsia="Times New Roman" w:cs="Times New Roman"/>
          <w:sz w:val="20"/>
          <w:szCs w:val="20"/>
          <w:lang w:eastAsia="en-CA"/>
        </w:rPr>
        <w:t xml:space="preserve">and between </w:t>
      </w:r>
      <w:r w:rsidRPr="006F54B9">
        <w:rPr>
          <w:rFonts w:eastAsia="Times New Roman" w:cs="Times New Roman"/>
          <w:b/>
          <w:i/>
          <w:sz w:val="20"/>
          <w:szCs w:val="20"/>
          <w:lang w:eastAsia="en-CA"/>
        </w:rPr>
        <w:t>-</w:t>
      </w:r>
      <w:r w:rsidRPr="006F54B9">
        <w:rPr>
          <w:rFonts w:eastAsia="Times New Roman" w:cs="Times New Roman"/>
          <w:sz w:val="20"/>
          <w:szCs w:val="20"/>
          <w:lang w:eastAsia="en-CA"/>
        </w:rPr>
        <w:t xml:space="preserve"> </w:t>
      </w:r>
      <w:r w:rsidRPr="006F54B9">
        <w:rPr>
          <w:rFonts w:eastAsia="Times New Roman" w:cs="Times New Roman"/>
          <w:b/>
          <w:i/>
          <w:sz w:val="20"/>
          <w:szCs w:val="20"/>
          <w:lang w:eastAsia="en-CA"/>
        </w:rPr>
        <w:t xml:space="preserve">Leslie Cameron, on his own behalf and on behalf of all other members of Wabauskang First Nation v. Andrew Keewatin Jr. and Joseph William Fobister, on their own behalf and on behalf of all other members of Grassy Narrows First Nation, et al.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Aboriginal law - Treaty rights - Division of powers - Inter-jurisdictional immunity - Interpretation of treaty - Power to “take up” lands - Treaty including clause providing entitlement to “Government of the Dominion of Canada” to take up lands, subject to Ojibway’s right to hunt and fish on lands - Appellants’ initiating action after Ontario issued licences for forestry operations on portion of lands subject to treaty and added to Ontario in 1912 - Whether Court of Appeal erred in holding that Ontario has exclusive jurisdiction to take up lands within treaty territory so as to limit harvesting rights? - Whether Court of Appeal erred in setting aside trial judge’s interpretation of treaty and findings concerning intention of parties at time treaty negotiation? - Whether Court of Appeal erred in applying doctrines of evolution of treaty rights and devolution so as to modify the appellants’ harvesting rights? - Whether Court of Appeal erred in failing to consider whether Ontario’s provincial forestry legislation is constitutionally applicable insofar as it impairs Canada’s exclusive jurisdiction pursuant to s. 91(24) of the </w:t>
      </w:r>
      <w:r w:rsidRPr="006F54B9">
        <w:rPr>
          <w:rFonts w:eastAsia="Times New Roman" w:cs="Times New Roman"/>
          <w:i/>
          <w:sz w:val="20"/>
          <w:szCs w:val="20"/>
          <w:lang w:val="en-US" w:eastAsia="en-CA"/>
        </w:rPr>
        <w:t>Constitution Act, 1867</w:t>
      </w:r>
      <w:r w:rsidRPr="006F54B9">
        <w:rPr>
          <w:rFonts w:eastAsia="Times New Roman" w:cs="Times New Roman"/>
          <w:sz w:val="20"/>
          <w:szCs w:val="20"/>
          <w:lang w:val="en-US" w:eastAsia="en-CA"/>
        </w:rPr>
        <w:t>? - Treaty 3.</w:t>
      </w: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In 1873, Canada and the Ojibway entered into Treaty 3 in respect of a large tract of land situated in what is now northwestern Ontario and eastern Manitoba. That treaty contained a “harvesting clause” by virtue of which the Ojibway retained the right to hunt and fish throughout the tract of land surrendered except on tracts “required or taken up for . . . lumbering or other purposes by [the Queen’s] said Government of the Dominion of Canada or by any of the subjects thereof duly authorized therefor by the said Government”.  Both before and after this Treaty was concluded, there was a longstanding dispute between Canada and Ontario as to whether large portions of Treaty 3 lands fell within the boundaries of Ontario.  However, since 1912, all of the Treaty 3 lands at issue are within the borders of Ontario. </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In 2005, the Grassy Narrows First Nation launched an action after Ontario’s Minister of Natural Resources issued a sustainable forest licence enabling Abitibi-Consolidated Inc. (now known as Resolute FP) to carry out clear-cut forestry operations on Keewatin Lands which fall within a portion of Treaty 3 territory added to Ontario in 1912.  Grassy Narrows sought a finding that Ontario had violated the Treaty 3 harvesting clause by significantly interfering with the appellants’ harvesting rights under the Treaty.  That action was divided into two phases, the first phase involving the trial of two questions of law:  (1) Whether Ontario has the authority to “take up” tracts of land for forestry so as to limit the rights of members of the Grassy Narrows First Nation to hunt or fish as provided for in Treaty 3, and (2) If the answer to the first question is no, does Ontario have the authority, under the </w:t>
      </w:r>
      <w:r w:rsidRPr="006F54B9">
        <w:rPr>
          <w:rFonts w:eastAsia="Times New Roman" w:cs="Times New Roman"/>
          <w:i/>
          <w:sz w:val="20"/>
          <w:szCs w:val="20"/>
          <w:lang w:val="en-US" w:eastAsia="en-CA"/>
        </w:rPr>
        <w:t>Constitution Act, 1867</w:t>
      </w:r>
      <w:r w:rsidRPr="006F54B9">
        <w:rPr>
          <w:rFonts w:eastAsia="Times New Roman" w:cs="Times New Roman"/>
          <w:sz w:val="20"/>
          <w:szCs w:val="20"/>
          <w:lang w:val="en-US" w:eastAsia="en-CA"/>
        </w:rPr>
        <w:t>, to justifiably infringe the rights of the appellants to hunt and fish as provided for in the Treaty?  The second phase of litigation has not yet commenced.</w:t>
      </w:r>
    </w:p>
    <w:p w:rsidR="006F54B9" w:rsidRPr="006F54B9" w:rsidRDefault="006F54B9" w:rsidP="006F54B9">
      <w:pPr>
        <w:jc w:val="both"/>
        <w:rPr>
          <w:rFonts w:eastAsia="Times New Roman" w:cs="Times New Roman"/>
          <w:sz w:val="20"/>
          <w:szCs w:val="20"/>
          <w:lang w:val="en-US" w:eastAsia="en-CA"/>
        </w:rPr>
      </w:pPr>
    </w:p>
    <w:p w:rsidR="006F54B9" w:rsidRPr="006F54B9" w:rsidRDefault="006F54B9" w:rsidP="006F54B9">
      <w:pPr>
        <w:jc w:val="both"/>
        <w:rPr>
          <w:rFonts w:eastAsia="Times New Roman" w:cs="Times New Roman"/>
          <w:sz w:val="20"/>
          <w:szCs w:val="20"/>
          <w:lang w:val="en-US" w:eastAsia="en-CA"/>
        </w:rPr>
      </w:pPr>
      <w:r w:rsidRPr="006F54B9">
        <w:rPr>
          <w:rFonts w:eastAsia="Times New Roman" w:cs="Times New Roman"/>
          <w:sz w:val="20"/>
          <w:szCs w:val="20"/>
          <w:lang w:val="en-US" w:eastAsia="en-CA"/>
        </w:rPr>
        <w:t xml:space="preserve">The Wabauskang First Nation, whose traditional territory includes Treaty 3 lands and whose members’ Treaty harvesting rights are affected by the same licenses and logging activities as Grassy Narrows, was added as party intervener in the Ontario Court of Appeal. </w:t>
      </w:r>
    </w:p>
    <w:p w:rsidR="006F54B9" w:rsidRPr="006F54B9" w:rsidRDefault="006F54B9" w:rsidP="006F54B9">
      <w:pPr>
        <w:widowControl w:val="0"/>
        <w:jc w:val="both"/>
        <w:rPr>
          <w:rFonts w:eastAsia="Times New Roman" w:cs="Times New Roman"/>
          <w:sz w:val="20"/>
          <w:szCs w:val="20"/>
          <w:lang w:val="en-US" w:eastAsia="en-CA"/>
        </w:rPr>
      </w:pP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Origin of the case:</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t xml:space="preserve">Ontario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File No.:</w:t>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eastAsia="en-CA"/>
        </w:rPr>
        <w:tab/>
      </w:r>
      <w:r>
        <w:rPr>
          <w:rFonts w:eastAsia="Times New Roman" w:cs="Times New Roman"/>
          <w:sz w:val="20"/>
          <w:szCs w:val="20"/>
          <w:lang w:eastAsia="en-CA"/>
        </w:rPr>
        <w:tab/>
      </w:r>
      <w:r w:rsidRPr="006F54B9">
        <w:rPr>
          <w:rFonts w:eastAsia="Times New Roman" w:cs="Times New Roman"/>
          <w:sz w:val="20"/>
          <w:szCs w:val="20"/>
          <w:lang w:eastAsia="en-CA"/>
        </w:rPr>
        <w:t>35379</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6F54B9">
      <w:pPr>
        <w:widowControl w:val="0"/>
        <w:jc w:val="both"/>
        <w:rPr>
          <w:rFonts w:eastAsia="Times New Roman" w:cs="Times New Roman"/>
          <w:sz w:val="20"/>
          <w:szCs w:val="20"/>
          <w:lang w:eastAsia="en-CA"/>
        </w:rPr>
      </w:pPr>
      <w:r w:rsidRPr="006F54B9">
        <w:rPr>
          <w:rFonts w:eastAsia="Times New Roman" w:cs="Times New Roman"/>
          <w:sz w:val="20"/>
          <w:szCs w:val="20"/>
          <w:lang w:eastAsia="en-CA"/>
        </w:rPr>
        <w:t>Judgment of the Court of Appeal:</w:t>
      </w:r>
      <w:r>
        <w:rPr>
          <w:rFonts w:eastAsia="Times New Roman" w:cs="Times New Roman"/>
          <w:sz w:val="20"/>
          <w:szCs w:val="20"/>
          <w:lang w:eastAsia="en-CA"/>
        </w:rPr>
        <w:tab/>
      </w:r>
      <w:r w:rsidRPr="006F54B9">
        <w:rPr>
          <w:rFonts w:eastAsia="Times New Roman" w:cs="Times New Roman"/>
          <w:sz w:val="20"/>
          <w:szCs w:val="20"/>
          <w:lang w:eastAsia="en-CA"/>
        </w:rPr>
        <w:tab/>
      </w:r>
      <w:r w:rsidRPr="006F54B9">
        <w:rPr>
          <w:rFonts w:eastAsia="Times New Roman" w:cs="Times New Roman"/>
          <w:sz w:val="20"/>
          <w:szCs w:val="20"/>
          <w:lang w:val="en-US" w:eastAsia="en-CA"/>
        </w:rPr>
        <w:t>March 18, 2013</w:t>
      </w:r>
      <w:r w:rsidRPr="006F54B9">
        <w:rPr>
          <w:rFonts w:eastAsia="Times New Roman" w:cs="Times New Roman"/>
          <w:sz w:val="20"/>
          <w:szCs w:val="20"/>
          <w:lang w:eastAsia="en-CA"/>
        </w:rPr>
        <w:t xml:space="preserve"> </w:t>
      </w:r>
    </w:p>
    <w:p w:rsidR="006F54B9" w:rsidRPr="006F54B9" w:rsidRDefault="006F54B9" w:rsidP="006F54B9">
      <w:pPr>
        <w:widowControl w:val="0"/>
        <w:jc w:val="both"/>
        <w:rPr>
          <w:rFonts w:eastAsia="Times New Roman" w:cs="Times New Roman"/>
          <w:sz w:val="20"/>
          <w:szCs w:val="20"/>
          <w:lang w:eastAsia="en-CA"/>
        </w:rPr>
      </w:pPr>
    </w:p>
    <w:p w:rsidR="006F54B9" w:rsidRPr="006F54B9" w:rsidRDefault="006F54B9" w:rsidP="00B22DD8">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Counsel:</w:t>
      </w:r>
      <w:r w:rsidRPr="006F54B9">
        <w:rPr>
          <w:rFonts w:eastAsia="Times New Roman" w:cs="Times New Roman"/>
          <w:sz w:val="20"/>
          <w:szCs w:val="20"/>
          <w:lang w:eastAsia="en-CA"/>
        </w:rPr>
        <w:tab/>
        <w:t>Robert J.M. Janes for the appellants Andrew Keewatin Jr. and Joseph William Fobister, on their own behalf and on behalf of all other members of the Grassy Narrows First Nation</w:t>
      </w:r>
    </w:p>
    <w:p w:rsidR="006F54B9" w:rsidRPr="006F54B9" w:rsidRDefault="006F54B9" w:rsidP="00B22DD8">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ab/>
        <w:t>Bruce S. McIvor and Kathryn Buttery for the appellant Leslie Cameron, on his own behalf and on behalf of all other members of the Wabauskang First Nation</w:t>
      </w:r>
    </w:p>
    <w:p w:rsidR="006F54B9" w:rsidRPr="006F54B9" w:rsidRDefault="006F54B9" w:rsidP="00B22DD8">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ab/>
        <w:t>Michael R. Stephenson, Peter Lemmond, Mark Crow, Christine Perruzza and Candice Telfer for the respondent Minister of Natural Resources</w:t>
      </w:r>
    </w:p>
    <w:p w:rsidR="006F54B9" w:rsidRPr="006F54B9" w:rsidRDefault="006F54B9" w:rsidP="00B22DD8">
      <w:pPr>
        <w:widowControl w:val="0"/>
        <w:jc w:val="both"/>
        <w:rPr>
          <w:rFonts w:eastAsia="Times New Roman" w:cs="Times New Roman"/>
          <w:sz w:val="20"/>
          <w:szCs w:val="20"/>
          <w:lang w:eastAsia="en-CA"/>
        </w:rPr>
      </w:pPr>
      <w:r w:rsidRPr="006F54B9">
        <w:rPr>
          <w:rFonts w:eastAsia="Times New Roman" w:cs="Times New Roman"/>
          <w:sz w:val="20"/>
          <w:szCs w:val="20"/>
          <w:lang w:eastAsia="en-CA"/>
        </w:rPr>
        <w:lastRenderedPageBreak/>
        <w:tab/>
      </w:r>
      <w:r w:rsidR="00B22DD8">
        <w:rPr>
          <w:rFonts w:eastAsia="Times New Roman" w:cs="Times New Roman"/>
          <w:sz w:val="20"/>
          <w:szCs w:val="20"/>
          <w:lang w:eastAsia="en-CA"/>
        </w:rPr>
        <w:tab/>
      </w:r>
      <w:r w:rsidR="00B22DD8">
        <w:rPr>
          <w:rFonts w:eastAsia="Times New Roman" w:cs="Times New Roman"/>
          <w:sz w:val="20"/>
          <w:szCs w:val="20"/>
          <w:lang w:eastAsia="en-CA"/>
        </w:rPr>
        <w:tab/>
      </w:r>
      <w:r w:rsidR="00B22DD8">
        <w:rPr>
          <w:rFonts w:eastAsia="Times New Roman" w:cs="Times New Roman"/>
          <w:sz w:val="20"/>
          <w:szCs w:val="20"/>
          <w:lang w:eastAsia="en-CA"/>
        </w:rPr>
        <w:tab/>
      </w:r>
      <w:r w:rsidR="00B22DD8">
        <w:rPr>
          <w:rFonts w:eastAsia="Times New Roman" w:cs="Times New Roman"/>
          <w:sz w:val="20"/>
          <w:szCs w:val="20"/>
          <w:lang w:eastAsia="en-CA"/>
        </w:rPr>
        <w:tab/>
      </w:r>
      <w:r w:rsidRPr="006F54B9">
        <w:rPr>
          <w:rFonts w:eastAsia="Times New Roman" w:cs="Times New Roman"/>
          <w:sz w:val="20"/>
          <w:szCs w:val="20"/>
          <w:lang w:eastAsia="en-CA"/>
        </w:rPr>
        <w:t>Christopher J. Matthews for the respondent Resolute FP Canada Inc.</w:t>
      </w:r>
    </w:p>
    <w:p w:rsidR="006F54B9" w:rsidRPr="006F54B9" w:rsidRDefault="006F54B9" w:rsidP="00B22DD8">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ab/>
        <w:t>Mark R. Kindrachuck Q.C. and Mitchell R. Taylor Q.C. for the respondent Attorney General of Canada</w:t>
      </w:r>
    </w:p>
    <w:p w:rsidR="006F54B9" w:rsidRPr="006F54B9" w:rsidRDefault="006F54B9" w:rsidP="00B22DD8">
      <w:pPr>
        <w:widowControl w:val="0"/>
        <w:ind w:left="3600" w:hanging="3600"/>
        <w:jc w:val="both"/>
        <w:rPr>
          <w:rFonts w:eastAsia="Times New Roman" w:cs="Times New Roman"/>
          <w:sz w:val="20"/>
          <w:szCs w:val="20"/>
          <w:lang w:eastAsia="en-CA"/>
        </w:rPr>
      </w:pPr>
      <w:r w:rsidRPr="006F54B9">
        <w:rPr>
          <w:rFonts w:eastAsia="Times New Roman" w:cs="Times New Roman"/>
          <w:sz w:val="20"/>
          <w:szCs w:val="20"/>
          <w:lang w:eastAsia="en-CA"/>
        </w:rPr>
        <w:tab/>
        <w:t xml:space="preserve">William J. Burden, Linda I. Knol and Erin Craddock for the respondent Goldcorp Inc. </w:t>
      </w:r>
    </w:p>
    <w:p w:rsidR="006168D3" w:rsidRPr="006F54B9" w:rsidRDefault="006168D3" w:rsidP="00B22DD8">
      <w:pPr>
        <w:tabs>
          <w:tab w:val="left" w:pos="-1440"/>
          <w:tab w:val="left" w:pos="-720"/>
        </w:tabs>
        <w:jc w:val="both"/>
        <w:rPr>
          <w:rFonts w:cs="Times New Roman"/>
          <w:sz w:val="20"/>
          <w:szCs w:val="20"/>
        </w:rPr>
      </w:pPr>
    </w:p>
    <w:p w:rsidR="006168D3" w:rsidRPr="006F54B9"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102" style="width:2in;height:1pt" o:hrpct="0" o:hralign="center" o:hrstd="t" o:hrnoshade="t" o:hr="t" fillcolor="black [3213]" stroked="f"/>
        </w:pict>
      </w:r>
    </w:p>
    <w:p w:rsidR="006168D3" w:rsidRPr="006F54B9" w:rsidRDefault="006168D3" w:rsidP="006168D3">
      <w:pPr>
        <w:tabs>
          <w:tab w:val="left" w:pos="-1440"/>
          <w:tab w:val="left" w:pos="-720"/>
        </w:tabs>
        <w:jc w:val="both"/>
        <w:rPr>
          <w:rFonts w:cs="Times New Roman"/>
          <w:sz w:val="20"/>
          <w:szCs w:val="20"/>
          <w:lang w:val="fr-CA"/>
        </w:rPr>
      </w:pPr>
    </w:p>
    <w:p w:rsidR="006168D3" w:rsidRPr="006F54B9" w:rsidRDefault="006168D3">
      <w:pPr>
        <w:rPr>
          <w:rFonts w:cs="Times New Roman"/>
          <w:sz w:val="20"/>
          <w:szCs w:val="20"/>
          <w:lang w:val="fr-CA"/>
        </w:rPr>
      </w:pPr>
      <w:r w:rsidRPr="006F54B9">
        <w:rPr>
          <w:rFonts w:cs="Times New Roman"/>
          <w:sz w:val="20"/>
          <w:szCs w:val="20"/>
          <w:lang w:val="fr-CA"/>
        </w:rPr>
        <w:br w:type="page"/>
      </w:r>
    </w:p>
    <w:p w:rsidR="006F54B9" w:rsidRPr="00B22DD8" w:rsidRDefault="006F54B9" w:rsidP="006F54B9">
      <w:pPr>
        <w:widowControl w:val="0"/>
        <w:ind w:left="709" w:hanging="709"/>
        <w:jc w:val="both"/>
        <w:rPr>
          <w:rFonts w:eastAsia="Times New Roman" w:cs="Times New Roman"/>
          <w:sz w:val="20"/>
          <w:szCs w:val="20"/>
          <w:lang w:val="fr-CA" w:eastAsia="en-CA"/>
        </w:rPr>
      </w:pPr>
      <w:r w:rsidRPr="00B22DD8">
        <w:rPr>
          <w:rFonts w:eastAsia="Times New Roman" w:cs="Times New Roman"/>
          <w:b/>
          <w:sz w:val="20"/>
          <w:szCs w:val="20"/>
          <w:lang w:val="fr-CA" w:eastAsia="en-CA"/>
        </w:rPr>
        <w:lastRenderedPageBreak/>
        <w:t>35379</w:t>
      </w:r>
      <w:r w:rsidR="00EF5791" w:rsidRPr="00B22DD8">
        <w:rPr>
          <w:rFonts w:eastAsia="Times New Roman" w:cs="Times New Roman"/>
          <w:sz w:val="20"/>
          <w:szCs w:val="20"/>
          <w:lang w:val="fr-CA" w:eastAsia="en-CA"/>
        </w:rPr>
        <w:fldChar w:fldCharType="begin"/>
      </w:r>
      <w:r w:rsidRPr="00B22DD8">
        <w:rPr>
          <w:rFonts w:eastAsia="Times New Roman" w:cs="Times New Roman"/>
          <w:sz w:val="20"/>
          <w:szCs w:val="20"/>
          <w:lang w:val="fr-CA" w:eastAsia="en-CA"/>
        </w:rPr>
        <w:instrText xml:space="preserve"> SEQ CHAPTER \h \r 1</w:instrText>
      </w:r>
      <w:r w:rsidR="00EF5791" w:rsidRPr="00B22DD8">
        <w:rPr>
          <w:rFonts w:eastAsia="Times New Roman" w:cs="Times New Roman"/>
          <w:sz w:val="20"/>
          <w:szCs w:val="20"/>
          <w:lang w:val="fr-CA" w:eastAsia="en-CA"/>
        </w:rPr>
        <w:fldChar w:fldCharType="end"/>
      </w:r>
      <w:r w:rsidRPr="00B22DD8">
        <w:rPr>
          <w:rFonts w:eastAsia="Times New Roman" w:cs="Times New Roman"/>
          <w:sz w:val="20"/>
          <w:szCs w:val="20"/>
          <w:lang w:val="fr-CA" w:eastAsia="en-CA"/>
        </w:rPr>
        <w:tab/>
      </w:r>
      <w:r w:rsidRPr="00B22DD8">
        <w:rPr>
          <w:rFonts w:eastAsia="Times New Roman" w:cs="Times New Roman"/>
          <w:b/>
          <w:i/>
          <w:sz w:val="20"/>
          <w:szCs w:val="20"/>
          <w:lang w:val="fr-CA" w:eastAsia="en-CA"/>
        </w:rPr>
        <w:t>Andrew Keewatin fils et Joseph William Fobister, en leur propre nom et au nom de tous les autres membres de la Première Nation de Grassy Narrows c. Ministre des Ressources naturelles et autres</w:t>
      </w:r>
      <w:r w:rsidRPr="00B22DD8">
        <w:rPr>
          <w:rFonts w:eastAsia="Times New Roman" w:cs="Times New Roman"/>
          <w:sz w:val="20"/>
          <w:szCs w:val="20"/>
          <w:lang w:val="fr-CA" w:eastAsia="en-CA"/>
        </w:rPr>
        <w:t xml:space="preserve"> </w:t>
      </w:r>
      <w:r w:rsidRPr="00B22DD8">
        <w:rPr>
          <w:rFonts w:eastAsia="Times New Roman" w:cs="Times New Roman"/>
          <w:b/>
          <w:i/>
          <w:sz w:val="20"/>
          <w:szCs w:val="20"/>
          <w:lang w:val="fr-CA" w:eastAsia="en-CA"/>
        </w:rPr>
        <w:t>-</w:t>
      </w:r>
      <w:r w:rsidRPr="00B22DD8">
        <w:rPr>
          <w:rFonts w:eastAsia="Times New Roman" w:cs="Times New Roman"/>
          <w:sz w:val="20"/>
          <w:szCs w:val="20"/>
          <w:lang w:val="fr-CA" w:eastAsia="en-CA"/>
        </w:rPr>
        <w:t xml:space="preserve"> et entre </w:t>
      </w:r>
      <w:r w:rsidRPr="00B22DD8">
        <w:rPr>
          <w:rFonts w:eastAsia="Times New Roman" w:cs="Times New Roman"/>
          <w:b/>
          <w:i/>
          <w:sz w:val="20"/>
          <w:szCs w:val="20"/>
          <w:lang w:val="fr-CA" w:eastAsia="en-CA"/>
        </w:rPr>
        <w:t>-</w:t>
      </w:r>
      <w:r w:rsidRPr="00B22DD8">
        <w:rPr>
          <w:rFonts w:eastAsia="Times New Roman" w:cs="Times New Roman"/>
          <w:sz w:val="20"/>
          <w:szCs w:val="20"/>
          <w:lang w:val="fr-CA" w:eastAsia="en-CA"/>
        </w:rPr>
        <w:t xml:space="preserve"> </w:t>
      </w:r>
      <w:r w:rsidRPr="00B22DD8">
        <w:rPr>
          <w:rFonts w:eastAsia="Times New Roman" w:cs="Times New Roman"/>
          <w:b/>
          <w:i/>
          <w:sz w:val="20"/>
          <w:szCs w:val="20"/>
          <w:lang w:val="fr-CA" w:eastAsia="en-CA"/>
        </w:rPr>
        <w:t xml:space="preserve">Leslie Cameron, en son propre nom et au nom de tous les autres membres de la Première Nation de Wabauskang c. Andrew Keewatin fils et Joseph William Fobister, en leur propre nom et au nom de tous les autres membres de la Première Nation de Grassy Narrows, et autres </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 xml:space="preserve">Droit des Autochtones - Droits issus de traités - Partage des compétences - </w:t>
      </w:r>
      <w:r w:rsidRPr="00B22DD8">
        <w:rPr>
          <w:rFonts w:eastAsia="Times New Roman" w:cs="Times New Roman"/>
          <w:sz w:val="20"/>
          <w:szCs w:val="20"/>
          <w:lang w:val="fr-FR" w:eastAsia="en-CA"/>
        </w:rPr>
        <w:t>Doctrine de l’exclusivité des compétences</w:t>
      </w:r>
      <w:r w:rsidRPr="00B22DD8">
        <w:rPr>
          <w:rFonts w:eastAsia="Times New Roman" w:cs="Times New Roman"/>
          <w:sz w:val="20"/>
          <w:szCs w:val="20"/>
          <w:lang w:val="fr-CA" w:eastAsia="en-CA"/>
        </w:rPr>
        <w:t xml:space="preserve"> - Interprétation d’un traité - Pouvoir de prendre des terres - Traité qui contient une clause conférant le droit du « gouvernement du Canada » de prendre des terres, sous réserve du droit des Ojibways de chasser et de pêcher sur ces terres - Action intentée par les appelants après que l’Ontario eut décerné des permis d’exploitation forestière sur une partie des terres visées par un traité et annexées à l’Ontario en 1912 - La Cour d’appel a-t-elle commis une erreur en concluant que l’Ontario a le pouvoir exclusif de prendre des terres se trouvant sur un territoire visé par un traité de manière à limiter l’exercice des droits de récolte? - La Cour d’appel a-t-elle commis une erreur en rejetant l’interprétation retenue par la juge de première instance et en écartant les conclusions tirées par celle-ci relativement à l’intention des parties au moment de la négociation du traité? - La Cour d’appel a-t-elle commis une erreur en appliquant les principes de l’évolution des droits issus de traités et de la dévolution, de manière à modifier les droits de récolte des appelants? - La Cour d’appel a-t-elle commis une erreur en ne se demandant pas si la législation provinciale ontarienne sur les forêts est constitutionnellement applicable dans la mesure où elle porte atteinte à la compétence exclusive du Canada en vertu du par. 91(24) de la </w:t>
      </w:r>
      <w:r w:rsidRPr="00B22DD8">
        <w:rPr>
          <w:rFonts w:eastAsia="Times New Roman" w:cs="Times New Roman"/>
          <w:i/>
          <w:sz w:val="20"/>
          <w:szCs w:val="20"/>
          <w:lang w:val="fr-CA" w:eastAsia="en-CA"/>
        </w:rPr>
        <w:t>Loi constitutionnelle de 1867</w:t>
      </w:r>
      <w:r w:rsidRPr="00B22DD8">
        <w:rPr>
          <w:rFonts w:eastAsia="Times New Roman" w:cs="Times New Roman"/>
          <w:sz w:val="20"/>
          <w:szCs w:val="20"/>
          <w:lang w:val="fr-CA" w:eastAsia="en-CA"/>
        </w:rPr>
        <w:t>? -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3.</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En 1873, le Canada et les Ojibways ont conclu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xml:space="preserve"> 3 relativement à une vaste étendue de terre située dans ce qui constitue désormais le nord-ouest de l’Ontario et l’est du Manitoba.  Ce traité contient une « clause de récolte » voulant que les Ojibways conservent le droit de chasser et de pêcher sur toute l’étendue de terre cédée, sauf les terres « nécessaires ou requises pour </w:t>
      </w:r>
      <w:r w:rsidRPr="00B22DD8">
        <w:rPr>
          <w:rFonts w:eastAsia="Times New Roman" w:cs="Times New Roman"/>
          <w:color w:val="000000"/>
          <w:sz w:val="20"/>
          <w:szCs w:val="20"/>
          <w:lang w:val="fr-CA" w:eastAsia="en-CA"/>
        </w:rPr>
        <w:t>[. . .] la coupe du bois ou autres fins par [le]dit gouvernement du Canada [</w:t>
      </w:r>
      <w:r w:rsidRPr="00B22DD8">
        <w:rPr>
          <w:rFonts w:eastAsia="Times New Roman" w:cs="Times New Roman"/>
          <w:color w:val="000000"/>
          <w:sz w:val="20"/>
          <w:szCs w:val="20"/>
          <w:lang w:val="fr-FR" w:eastAsia="en-CA"/>
        </w:rPr>
        <w:t>de Sa Majest</w:t>
      </w:r>
      <w:r w:rsidRPr="00B22DD8">
        <w:rPr>
          <w:rFonts w:eastAsia="Times New Roman" w:cs="Times New Roman"/>
          <w:color w:val="000000"/>
          <w:sz w:val="20"/>
          <w:szCs w:val="20"/>
          <w:lang w:val="fr-CA" w:eastAsia="en-CA"/>
        </w:rPr>
        <w:t>é la Reine] ou par aucun de ses sujets dûment autorisés à cet effet par ledit gouvernement </w:t>
      </w:r>
      <w:r w:rsidRPr="00B22DD8">
        <w:rPr>
          <w:rFonts w:eastAsia="Times New Roman" w:cs="Times New Roman"/>
          <w:sz w:val="20"/>
          <w:szCs w:val="20"/>
          <w:lang w:val="fr-CA" w:eastAsia="en-CA"/>
        </w:rPr>
        <w:t>».  Un conflit a opposé pendant longtemps le Canada et l’Ontario avant et après la conclusion de ce traité sur la question de savoir si de vastes étendues de terres visées par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3 se trouvaient à l’intérieur des limites de l’Ontario.  Cependant, depuis 1912, toutes les terres en cause visées par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3 sont situées en Ontario.</w:t>
      </w:r>
    </w:p>
    <w:p w:rsidR="006F54B9" w:rsidRPr="00B22DD8" w:rsidRDefault="006F54B9" w:rsidP="006F54B9">
      <w:pPr>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La Première Nation de Grassy Narrows a intenté une action en 2005 après que le ministre des Ressources naturelles de l’Ontario eut décerné un permis d’aménagement forestier durable autorisant Abitibi-Consolidated Inc. (maintenant connue sous le nom de Resolute FP) à effectuer des opérations de coupe à blanc sur les terres de Keewatin qui font partie du territoire visé par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3 qui a été annexé à l’Ontario en 1912.  Grassy Narrows a demandé au tribunal de conclure que l’Ontario avait violé la clause du Traité n</w:t>
      </w:r>
      <w:r w:rsidRPr="00B22DD8">
        <w:rPr>
          <w:rFonts w:eastAsia="Times New Roman" w:cs="Times New Roman"/>
          <w:sz w:val="20"/>
          <w:szCs w:val="20"/>
          <w:vertAlign w:val="superscript"/>
          <w:lang w:val="fr-CA" w:eastAsia="en-CA"/>
        </w:rPr>
        <w:t>o </w:t>
      </w:r>
      <w:r w:rsidRPr="00B22DD8">
        <w:rPr>
          <w:rFonts w:eastAsia="Times New Roman" w:cs="Times New Roman"/>
          <w:sz w:val="20"/>
          <w:szCs w:val="20"/>
          <w:lang w:val="fr-CA" w:eastAsia="en-CA"/>
        </w:rPr>
        <w:t>3 relative à la récolte en portant atteinte de manière importante aux droits de récolte conférés aux appelants par le Traité.  Cette action se divise en deux phases, dont la première consiste en l’instruction de deux questions de droit : (1) L’Ontario a-t-elle le pouvoir de prendre des étendues de terres à des fins d’exploitation forestière de manière à limiter l’exercice des droits de chasse et de pêche conférés aux membres de la Première Nation de Grassy Narrows par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xml:space="preserve"> 3 et (2) Dans la négative, la </w:t>
      </w:r>
      <w:r w:rsidRPr="00B22DD8">
        <w:rPr>
          <w:rFonts w:eastAsia="Times New Roman" w:cs="Times New Roman"/>
          <w:i/>
          <w:sz w:val="20"/>
          <w:szCs w:val="20"/>
          <w:lang w:val="fr-CA" w:eastAsia="en-CA"/>
        </w:rPr>
        <w:t xml:space="preserve">Loi constitutionnelle de 1867 </w:t>
      </w:r>
      <w:r w:rsidRPr="00B22DD8">
        <w:rPr>
          <w:rFonts w:eastAsia="Times New Roman" w:cs="Times New Roman"/>
          <w:sz w:val="20"/>
          <w:szCs w:val="20"/>
          <w:lang w:val="fr-CA" w:eastAsia="en-CA"/>
        </w:rPr>
        <w:t>accorde-t-elle à l’Ontario le pouvoir de porter atteinte de façon justifiée aux droits de chasse et de pêche que confère le Traité aux appelants?  La deuxième phase de l’instruction du litige n’a pas encore commencé.</w:t>
      </w:r>
    </w:p>
    <w:p w:rsidR="006F54B9" w:rsidRPr="00B22DD8" w:rsidRDefault="006F54B9" w:rsidP="006F54B9">
      <w:pPr>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La Première Nation de Wabauskang, dont le territoire traditionnel englobe les terres visées par le Traité 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xml:space="preserve"> 3 et dont les droits de récolte de ses membres sont touchés par les mêmes permis et les mêmes activités d’exploitation forestière que ceux touchant la Première Nation de Grassy Narrows, a été ajoutée comme partie intervenante par la Cour d’appel de l’Ontario. </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val="fr-CA" w:eastAsia="en-CA"/>
        </w:rPr>
      </w:pPr>
      <w:r w:rsidRPr="00B22DD8">
        <w:rPr>
          <w:rFonts w:eastAsia="Times New Roman" w:cs="Times New Roman"/>
          <w:sz w:val="20"/>
          <w:szCs w:val="20"/>
          <w:lang w:val="fr-CA" w:eastAsia="en-CA"/>
        </w:rPr>
        <w:t>Origine :</w:t>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t xml:space="preserve">Ontario </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val="fr-CA" w:eastAsia="en-CA"/>
        </w:rPr>
      </w:pPr>
      <w:r w:rsidRPr="00B22DD8">
        <w:rPr>
          <w:rFonts w:eastAsia="Times New Roman" w:cs="Times New Roman"/>
          <w:sz w:val="20"/>
          <w:szCs w:val="20"/>
          <w:lang w:val="fr-CA" w:eastAsia="en-CA"/>
        </w:rPr>
        <w:t>N</w:t>
      </w:r>
      <w:r w:rsidRPr="00B22DD8">
        <w:rPr>
          <w:rFonts w:eastAsia="Times New Roman" w:cs="Times New Roman"/>
          <w:sz w:val="20"/>
          <w:szCs w:val="20"/>
          <w:vertAlign w:val="superscript"/>
          <w:lang w:val="fr-CA" w:eastAsia="en-CA"/>
        </w:rPr>
        <w:t>o</w:t>
      </w:r>
      <w:r w:rsidRPr="00B22DD8">
        <w:rPr>
          <w:rFonts w:eastAsia="Times New Roman" w:cs="Times New Roman"/>
          <w:sz w:val="20"/>
          <w:szCs w:val="20"/>
          <w:lang w:val="fr-CA" w:eastAsia="en-CA"/>
        </w:rPr>
        <w:t xml:space="preserve"> du greffe :</w:t>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t>35379</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val="fr-CA" w:eastAsia="en-CA"/>
        </w:rPr>
      </w:pPr>
      <w:r w:rsidRPr="00B22DD8">
        <w:rPr>
          <w:rFonts w:eastAsia="Times New Roman" w:cs="Times New Roman"/>
          <w:sz w:val="20"/>
          <w:szCs w:val="20"/>
          <w:lang w:val="fr-CA" w:eastAsia="en-CA"/>
        </w:rPr>
        <w:t>Arrêt de la Cour d’appel :</w:t>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t xml:space="preserve">le 18 mars 2013 </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B22DD8">
      <w:pPr>
        <w:widowControl w:val="0"/>
        <w:ind w:left="2880" w:hanging="2880"/>
        <w:jc w:val="both"/>
        <w:rPr>
          <w:rFonts w:eastAsia="Times New Roman" w:cs="Times New Roman"/>
          <w:sz w:val="20"/>
          <w:szCs w:val="20"/>
          <w:lang w:val="fr-CA" w:eastAsia="en-CA"/>
        </w:rPr>
      </w:pPr>
      <w:r w:rsidRPr="00B22DD8">
        <w:rPr>
          <w:rFonts w:eastAsia="Times New Roman" w:cs="Times New Roman"/>
          <w:sz w:val="20"/>
          <w:szCs w:val="20"/>
          <w:lang w:val="fr-CA" w:eastAsia="en-CA"/>
        </w:rPr>
        <w:t>Avocats :</w:t>
      </w:r>
      <w:r w:rsidRPr="00B22DD8">
        <w:rPr>
          <w:rFonts w:eastAsia="Times New Roman" w:cs="Times New Roman"/>
          <w:sz w:val="20"/>
          <w:szCs w:val="20"/>
          <w:lang w:val="fr-CA" w:eastAsia="en-CA"/>
        </w:rPr>
        <w:tab/>
        <w:t xml:space="preserve">Robert J.M. Janes pour les appelants Andrew Keewatin fils  et Joseph William Fobister, en leur propre nom et au nom de tous les autres membres de la Première </w:t>
      </w:r>
      <w:r w:rsidRPr="00B22DD8">
        <w:rPr>
          <w:rFonts w:eastAsia="Times New Roman" w:cs="Times New Roman"/>
          <w:sz w:val="20"/>
          <w:szCs w:val="20"/>
          <w:lang w:val="fr-CA" w:eastAsia="en-CA"/>
        </w:rPr>
        <w:lastRenderedPageBreak/>
        <w:t xml:space="preserve">Nation de Grassy Narrows </w:t>
      </w:r>
    </w:p>
    <w:p w:rsidR="006F54B9" w:rsidRPr="00B22DD8" w:rsidRDefault="00B22DD8" w:rsidP="00B22DD8">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6F54B9" w:rsidRPr="00B22DD8">
        <w:rPr>
          <w:rFonts w:eastAsia="Times New Roman" w:cs="Times New Roman"/>
          <w:sz w:val="20"/>
          <w:szCs w:val="20"/>
          <w:lang w:val="fr-CA" w:eastAsia="en-CA"/>
        </w:rPr>
        <w:t xml:space="preserve">Bruce S. McIvor et Kathryn Buttery pour l’appelant Leslie Cameron, en son propre nom et au nom de tous les autres membres de la Première Nation de Wabauskang </w:t>
      </w:r>
    </w:p>
    <w:p w:rsidR="006F54B9" w:rsidRPr="00B22DD8" w:rsidRDefault="00B22DD8" w:rsidP="00B22DD8">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6F54B9" w:rsidRPr="00B22DD8">
        <w:rPr>
          <w:rFonts w:eastAsia="Times New Roman" w:cs="Times New Roman"/>
          <w:sz w:val="20"/>
          <w:szCs w:val="20"/>
          <w:lang w:val="fr-CA" w:eastAsia="en-CA"/>
        </w:rPr>
        <w:t>Michael R. Stephenson, Peter Lemmond, Mark Crow, Christine Perruzza et Candice Telfer pour l’intimé le ministre des Ressources naturelles</w:t>
      </w:r>
    </w:p>
    <w:p w:rsidR="006F54B9" w:rsidRPr="00B22DD8" w:rsidRDefault="00B22DD8" w:rsidP="00B22DD8">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6F54B9" w:rsidRPr="00B22DD8">
        <w:rPr>
          <w:rFonts w:eastAsia="Times New Roman" w:cs="Times New Roman"/>
          <w:sz w:val="20"/>
          <w:szCs w:val="20"/>
          <w:lang w:val="fr-CA" w:eastAsia="en-CA"/>
        </w:rPr>
        <w:t>Christopher J. Matthews pour l’intimée Resolute FP Canada Inc.</w:t>
      </w:r>
    </w:p>
    <w:p w:rsidR="006F54B9" w:rsidRPr="00B22DD8" w:rsidRDefault="00B22DD8" w:rsidP="00B22DD8">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6F54B9" w:rsidRPr="00B22DD8">
        <w:rPr>
          <w:rFonts w:eastAsia="Times New Roman" w:cs="Times New Roman"/>
          <w:sz w:val="20"/>
          <w:szCs w:val="20"/>
          <w:lang w:val="fr-CA" w:eastAsia="en-CA"/>
        </w:rPr>
        <w:t>Mark R. Kindrachuck c.r. et Mitchell R. Taylor c.r. pour l’intimé le procureur général du Canada</w:t>
      </w:r>
    </w:p>
    <w:p w:rsidR="006F54B9" w:rsidRPr="00B22DD8" w:rsidRDefault="00B22DD8" w:rsidP="00B22DD8">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6F54B9" w:rsidRPr="00B22DD8">
        <w:rPr>
          <w:rFonts w:eastAsia="Times New Roman" w:cs="Times New Roman"/>
          <w:sz w:val="20"/>
          <w:szCs w:val="20"/>
          <w:lang w:val="fr-CA" w:eastAsia="en-CA"/>
        </w:rPr>
        <w:t xml:space="preserve">William J. Burden, Linda I. Knol et Erin Craddock pour l’intimée Goldcorp Inc. </w:t>
      </w:r>
    </w:p>
    <w:p w:rsidR="006168D3" w:rsidRPr="00B22DD8" w:rsidRDefault="006168D3" w:rsidP="00B22DD8">
      <w:pPr>
        <w:tabs>
          <w:tab w:val="left" w:pos="-1440"/>
          <w:tab w:val="left" w:pos="-720"/>
        </w:tabs>
        <w:ind w:left="2880" w:hanging="2880"/>
        <w:jc w:val="both"/>
        <w:rPr>
          <w:rFonts w:cs="Times New Roman"/>
          <w:sz w:val="20"/>
          <w:szCs w:val="20"/>
          <w:lang w:val="fr-CA"/>
        </w:rPr>
      </w:pPr>
    </w:p>
    <w:p w:rsidR="006168D3" w:rsidRPr="00B22DD8"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103" style="width:2in;height:1pt" o:hrpct="0" o:hralign="center" o:hrstd="t" o:hrnoshade="t" o:hr="t" fillcolor="black [3213]" stroked="f"/>
        </w:pict>
      </w:r>
    </w:p>
    <w:p w:rsidR="006168D3" w:rsidRPr="00B22DD8" w:rsidRDefault="006168D3" w:rsidP="006168D3">
      <w:pPr>
        <w:tabs>
          <w:tab w:val="left" w:pos="-1440"/>
          <w:tab w:val="left" w:pos="-720"/>
        </w:tabs>
        <w:jc w:val="both"/>
        <w:rPr>
          <w:rFonts w:cs="Times New Roman"/>
          <w:sz w:val="20"/>
          <w:szCs w:val="20"/>
          <w:lang w:val="fr-CA"/>
        </w:rPr>
      </w:pPr>
    </w:p>
    <w:p w:rsidR="006168D3" w:rsidRPr="00B22DD8" w:rsidRDefault="006168D3">
      <w:pPr>
        <w:rPr>
          <w:rFonts w:cs="Times New Roman"/>
          <w:sz w:val="20"/>
          <w:szCs w:val="20"/>
          <w:lang w:val="fr-CA"/>
        </w:rPr>
      </w:pPr>
      <w:r w:rsidRPr="00B22DD8">
        <w:rPr>
          <w:rFonts w:cs="Times New Roman"/>
          <w:sz w:val="20"/>
          <w:szCs w:val="20"/>
          <w:lang w:val="fr-CA"/>
        </w:rPr>
        <w:br w:type="page"/>
      </w:r>
    </w:p>
    <w:p w:rsidR="006F54B9" w:rsidRPr="00B22DD8" w:rsidRDefault="006F54B9" w:rsidP="006F54B9">
      <w:pPr>
        <w:widowControl w:val="0"/>
        <w:ind w:left="720" w:hanging="720"/>
        <w:jc w:val="both"/>
        <w:rPr>
          <w:rFonts w:eastAsia="Times New Roman" w:cs="Times New Roman"/>
          <w:b/>
          <w:sz w:val="20"/>
          <w:szCs w:val="20"/>
          <w:lang w:eastAsia="en-CA"/>
        </w:rPr>
      </w:pPr>
      <w:r w:rsidRPr="00B22DD8">
        <w:rPr>
          <w:rFonts w:eastAsia="Times New Roman" w:cs="Times New Roman"/>
          <w:b/>
          <w:sz w:val="20"/>
          <w:szCs w:val="20"/>
          <w:lang w:eastAsia="en-CA"/>
        </w:rPr>
        <w:lastRenderedPageBreak/>
        <w:t>35423</w:t>
      </w:r>
      <w:r w:rsidR="00EF5791" w:rsidRPr="00B22DD8">
        <w:rPr>
          <w:rFonts w:eastAsia="Times New Roman" w:cs="Times New Roman"/>
          <w:b/>
          <w:sz w:val="20"/>
          <w:szCs w:val="20"/>
          <w:lang w:eastAsia="en-CA"/>
        </w:rPr>
        <w:fldChar w:fldCharType="begin"/>
      </w:r>
      <w:r w:rsidRPr="00B22DD8">
        <w:rPr>
          <w:rFonts w:eastAsia="Times New Roman" w:cs="Times New Roman"/>
          <w:b/>
          <w:sz w:val="20"/>
          <w:szCs w:val="20"/>
          <w:lang w:val="en-US" w:eastAsia="en-CA"/>
        </w:rPr>
        <w:instrText xml:space="preserve"> SEQ CHAPTER \h \r 1</w:instrText>
      </w:r>
      <w:r w:rsidR="00EF5791" w:rsidRPr="00B22DD8">
        <w:rPr>
          <w:rFonts w:eastAsia="Times New Roman" w:cs="Times New Roman"/>
          <w:b/>
          <w:sz w:val="20"/>
          <w:szCs w:val="20"/>
          <w:lang w:val="en-US" w:eastAsia="en-CA"/>
        </w:rPr>
        <w:fldChar w:fldCharType="end"/>
      </w:r>
      <w:r w:rsidRPr="00B22DD8">
        <w:rPr>
          <w:rFonts w:eastAsia="Times New Roman" w:cs="Times New Roman"/>
          <w:b/>
          <w:sz w:val="20"/>
          <w:szCs w:val="20"/>
          <w:lang w:eastAsia="en-CA"/>
        </w:rPr>
        <w:tab/>
      </w:r>
      <w:r w:rsidRPr="00B22DD8">
        <w:rPr>
          <w:rFonts w:eastAsia="Times New Roman" w:cs="Times New Roman"/>
          <w:b/>
          <w:i/>
          <w:sz w:val="20"/>
          <w:szCs w:val="20"/>
          <w:lang w:val="en-US" w:eastAsia="en-CA"/>
        </w:rPr>
        <w:t>Saskatchewan Federation of Labour (in its own right and on behalf of the unions and workers in the Province of Saskatchewan) et al.</w:t>
      </w:r>
      <w:r w:rsidRPr="00B22DD8">
        <w:rPr>
          <w:rFonts w:eastAsia="Times New Roman" w:cs="Times New Roman"/>
          <w:b/>
          <w:sz w:val="20"/>
          <w:szCs w:val="20"/>
          <w:lang w:val="en-US" w:eastAsia="en-CA"/>
        </w:rPr>
        <w:t xml:space="preserve"> </w:t>
      </w:r>
      <w:r w:rsidRPr="00B22DD8">
        <w:rPr>
          <w:rFonts w:eastAsia="Times New Roman" w:cs="Times New Roman"/>
          <w:b/>
          <w:i/>
          <w:sz w:val="20"/>
          <w:szCs w:val="20"/>
          <w:lang w:val="en-US" w:eastAsia="en-CA"/>
        </w:rPr>
        <w:t>v. Her Majesty the Queen, in Right of the Province of Saskatchewan</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i/>
          <w:sz w:val="20"/>
          <w:szCs w:val="20"/>
          <w:lang w:val="en-US" w:eastAsia="en-CA"/>
        </w:rPr>
        <w:t xml:space="preserve">Canadian Charter of Rights and Freedoms </w:t>
      </w:r>
      <w:r w:rsidRPr="00B22DD8">
        <w:rPr>
          <w:rFonts w:eastAsia="Times New Roman" w:cs="Times New Roman"/>
          <w:sz w:val="20"/>
          <w:szCs w:val="20"/>
          <w:lang w:val="en-US" w:eastAsia="en-CA"/>
        </w:rPr>
        <w:t xml:space="preserve">- Freedom of association - Labour Law - Right to strike - Freedom of expression - Province enacting laws that introduced restrictions on ability of public sector workers to strike and made it somewhat more difficult for unions to obtain certification - Trial judge holding that </w:t>
      </w:r>
      <w:r w:rsidRPr="00B22DD8">
        <w:rPr>
          <w:rFonts w:eastAsia="Times New Roman" w:cs="Times New Roman"/>
          <w:i/>
          <w:sz w:val="20"/>
          <w:szCs w:val="20"/>
          <w:lang w:val="en-US" w:eastAsia="en-CA"/>
        </w:rPr>
        <w:t>Public Service Essential Services Act</w:t>
      </w:r>
      <w:r w:rsidRPr="00B22DD8">
        <w:rPr>
          <w:rFonts w:eastAsia="Times New Roman" w:cs="Times New Roman"/>
          <w:sz w:val="20"/>
          <w:szCs w:val="20"/>
          <w:lang w:val="en-US" w:eastAsia="en-CA"/>
        </w:rPr>
        <w:t xml:space="preserve"> is contrary to s. 2(d) of </w:t>
      </w:r>
      <w:r w:rsidRPr="00B22DD8">
        <w:rPr>
          <w:rFonts w:eastAsia="Times New Roman" w:cs="Times New Roman"/>
          <w:i/>
          <w:sz w:val="20"/>
          <w:szCs w:val="20"/>
          <w:lang w:val="en-US" w:eastAsia="en-CA"/>
        </w:rPr>
        <w:t>Charter</w:t>
      </w:r>
      <w:r w:rsidRPr="00B22DD8">
        <w:rPr>
          <w:rFonts w:eastAsia="Times New Roman" w:cs="Times New Roman"/>
          <w:sz w:val="20"/>
          <w:szCs w:val="20"/>
          <w:lang w:val="en-US" w:eastAsia="en-CA"/>
        </w:rPr>
        <w:t xml:space="preserve"> and is not saved by s. 1 - Court of Appeal allowing appeal, feeling bound by prior case law holding that freedom of association did not include right to strike - Whether freedom of association guaranteed by s. 2(d) of </w:t>
      </w:r>
      <w:r w:rsidRPr="00B22DD8">
        <w:rPr>
          <w:rFonts w:eastAsia="Times New Roman" w:cs="Times New Roman"/>
          <w:i/>
          <w:sz w:val="20"/>
          <w:szCs w:val="20"/>
          <w:lang w:val="en-US" w:eastAsia="en-CA"/>
        </w:rPr>
        <w:t>Charter</w:t>
      </w:r>
      <w:r w:rsidRPr="00B22DD8">
        <w:rPr>
          <w:rFonts w:eastAsia="Times New Roman" w:cs="Times New Roman"/>
          <w:sz w:val="20"/>
          <w:szCs w:val="20"/>
          <w:lang w:val="en-US" w:eastAsia="en-CA"/>
        </w:rPr>
        <w:t xml:space="preserve"> protects right to strike - Whether freedom of expression guaranteed by s. 2(b) of </w:t>
      </w:r>
      <w:r w:rsidRPr="00B22DD8">
        <w:rPr>
          <w:rFonts w:eastAsia="Times New Roman" w:cs="Times New Roman"/>
          <w:i/>
          <w:sz w:val="20"/>
          <w:szCs w:val="20"/>
          <w:lang w:val="en-US" w:eastAsia="en-CA"/>
        </w:rPr>
        <w:t>Charter</w:t>
      </w:r>
      <w:r w:rsidRPr="00B22DD8">
        <w:rPr>
          <w:rFonts w:eastAsia="Times New Roman" w:cs="Times New Roman"/>
          <w:sz w:val="20"/>
          <w:szCs w:val="20"/>
          <w:lang w:val="en-US" w:eastAsia="en-CA"/>
        </w:rPr>
        <w:t xml:space="preserve"> protects right to strike - Whether </w:t>
      </w:r>
      <w:r w:rsidRPr="00B22DD8">
        <w:rPr>
          <w:rFonts w:eastAsia="Times New Roman" w:cs="Times New Roman"/>
          <w:i/>
          <w:sz w:val="20"/>
          <w:szCs w:val="20"/>
          <w:lang w:val="en-US" w:eastAsia="en-CA"/>
        </w:rPr>
        <w:t>Public Service Essential Services Act</w:t>
      </w:r>
      <w:r w:rsidRPr="00B22DD8">
        <w:rPr>
          <w:rFonts w:eastAsia="Times New Roman" w:cs="Times New Roman"/>
          <w:sz w:val="20"/>
          <w:szCs w:val="20"/>
          <w:lang w:val="en-US" w:eastAsia="en-CA"/>
        </w:rPr>
        <w:t xml:space="preserve"> infringes s. 2(b) and/or s. 2(d) of </w:t>
      </w:r>
      <w:r w:rsidRPr="00B22DD8">
        <w:rPr>
          <w:rFonts w:eastAsia="Times New Roman" w:cs="Times New Roman"/>
          <w:i/>
          <w:sz w:val="20"/>
          <w:szCs w:val="20"/>
          <w:lang w:val="en-US" w:eastAsia="en-CA"/>
        </w:rPr>
        <w:t xml:space="preserve">Charter </w:t>
      </w:r>
      <w:r w:rsidRPr="00B22DD8">
        <w:rPr>
          <w:rFonts w:eastAsia="Times New Roman" w:cs="Times New Roman"/>
          <w:sz w:val="20"/>
          <w:szCs w:val="20"/>
          <w:lang w:val="en-US" w:eastAsia="en-CA"/>
        </w:rPr>
        <w:t xml:space="preserve">and, if so, whether infringement a reasonable limit prescribed by law as can be demonstrably justified in a free and democratic society under s. 1 of </w:t>
      </w:r>
      <w:r w:rsidRPr="00B22DD8">
        <w:rPr>
          <w:rFonts w:eastAsia="Times New Roman" w:cs="Times New Roman"/>
          <w:i/>
          <w:sz w:val="20"/>
          <w:szCs w:val="20"/>
          <w:lang w:val="en-US" w:eastAsia="en-CA"/>
        </w:rPr>
        <w:t>Charter</w:t>
      </w:r>
      <w:r w:rsidRPr="00B22DD8">
        <w:rPr>
          <w:rFonts w:eastAsia="Times New Roman" w:cs="Times New Roman"/>
          <w:sz w:val="20"/>
          <w:szCs w:val="20"/>
          <w:lang w:val="en-US" w:eastAsia="en-CA"/>
        </w:rPr>
        <w:t xml:space="preserve"> - Whether sections 3, 6, 7 and 11 of </w:t>
      </w:r>
      <w:r w:rsidRPr="00B22DD8">
        <w:rPr>
          <w:rFonts w:eastAsia="Times New Roman" w:cs="Times New Roman"/>
          <w:i/>
          <w:sz w:val="20"/>
          <w:szCs w:val="20"/>
          <w:lang w:val="en-US" w:eastAsia="en-CA"/>
        </w:rPr>
        <w:t xml:space="preserve">Trade Union Amendment Act, 2008, </w:t>
      </w:r>
      <w:r w:rsidRPr="00B22DD8">
        <w:rPr>
          <w:rFonts w:eastAsia="Times New Roman" w:cs="Times New Roman"/>
          <w:sz w:val="20"/>
          <w:szCs w:val="20"/>
          <w:lang w:val="en-US" w:eastAsia="en-CA"/>
        </w:rPr>
        <w:t xml:space="preserve">infringe s. 2(d) of </w:t>
      </w:r>
      <w:r w:rsidRPr="00B22DD8">
        <w:rPr>
          <w:rFonts w:eastAsia="Times New Roman" w:cs="Times New Roman"/>
          <w:i/>
          <w:sz w:val="20"/>
          <w:szCs w:val="20"/>
          <w:lang w:val="en-US" w:eastAsia="en-CA"/>
        </w:rPr>
        <w:t xml:space="preserve">Charter </w:t>
      </w:r>
      <w:r w:rsidRPr="00B22DD8">
        <w:rPr>
          <w:rFonts w:eastAsia="Times New Roman" w:cs="Times New Roman"/>
          <w:sz w:val="20"/>
          <w:szCs w:val="20"/>
          <w:lang w:val="en-US" w:eastAsia="en-CA"/>
        </w:rPr>
        <w:t xml:space="preserve">and, if so, whether infringement a reasonable limit prescribed by law as can be demonstrably justified in a free and democratic society under s. 1 of </w:t>
      </w:r>
      <w:r w:rsidRPr="00B22DD8">
        <w:rPr>
          <w:rFonts w:eastAsia="Times New Roman" w:cs="Times New Roman"/>
          <w:i/>
          <w:sz w:val="20"/>
          <w:szCs w:val="20"/>
          <w:lang w:val="en-US" w:eastAsia="en-CA"/>
        </w:rPr>
        <w:t xml:space="preserve">Charter </w:t>
      </w:r>
      <w:r w:rsidRPr="00B22DD8">
        <w:rPr>
          <w:rFonts w:eastAsia="Times New Roman" w:cs="Times New Roman"/>
          <w:sz w:val="20"/>
          <w:szCs w:val="20"/>
          <w:lang w:val="en-US" w:eastAsia="en-CA"/>
        </w:rPr>
        <w:t xml:space="preserve">- </w:t>
      </w:r>
      <w:r w:rsidRPr="00B22DD8">
        <w:rPr>
          <w:rFonts w:eastAsia="Times New Roman" w:cs="Times New Roman"/>
          <w:i/>
          <w:sz w:val="20"/>
          <w:szCs w:val="20"/>
          <w:lang w:val="en-US" w:eastAsia="en-CA"/>
        </w:rPr>
        <w:t>Public Service Essential Services Act</w:t>
      </w:r>
      <w:r w:rsidRPr="00B22DD8">
        <w:rPr>
          <w:rFonts w:eastAsia="Times New Roman" w:cs="Times New Roman"/>
          <w:sz w:val="20"/>
          <w:szCs w:val="20"/>
          <w:lang w:val="en-US" w:eastAsia="en-CA"/>
        </w:rPr>
        <w:t xml:space="preserve">, S.S. 2008, c. P-42.2 - </w:t>
      </w:r>
      <w:r w:rsidRPr="00B22DD8">
        <w:rPr>
          <w:rFonts w:eastAsia="Times New Roman" w:cs="Times New Roman"/>
          <w:i/>
          <w:sz w:val="20"/>
          <w:szCs w:val="20"/>
          <w:lang w:val="en-US" w:eastAsia="en-CA"/>
        </w:rPr>
        <w:t>Trade Union Amendment Act, 2008</w:t>
      </w:r>
      <w:r w:rsidRPr="00B22DD8">
        <w:rPr>
          <w:rFonts w:eastAsia="Times New Roman" w:cs="Times New Roman"/>
          <w:sz w:val="20"/>
          <w:szCs w:val="20"/>
          <w:lang w:val="en-US" w:eastAsia="en-CA"/>
        </w:rPr>
        <w:t>, S.S. 2008, c. 26 and c. 27.</w:t>
      </w:r>
    </w:p>
    <w:p w:rsidR="006F54B9" w:rsidRPr="00B22DD8" w:rsidRDefault="006F54B9" w:rsidP="006F54B9">
      <w:pPr>
        <w:widowControl w:val="0"/>
        <w:jc w:val="both"/>
        <w:rPr>
          <w:rFonts w:eastAsia="Times New Roman" w:cs="Times New Roman"/>
          <w:sz w:val="20"/>
          <w:szCs w:val="20"/>
          <w:lang w:val="en-US"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sz w:val="20"/>
          <w:szCs w:val="20"/>
          <w:lang w:val="en-US" w:eastAsia="en-CA"/>
        </w:rPr>
        <w:t xml:space="preserve">In May 2008, the Government of Saskatchewan enacted the </w:t>
      </w:r>
      <w:r w:rsidRPr="00B22DD8">
        <w:rPr>
          <w:rFonts w:eastAsia="Times New Roman" w:cs="Times New Roman"/>
          <w:i/>
          <w:sz w:val="20"/>
          <w:szCs w:val="20"/>
          <w:lang w:val="en-US" w:eastAsia="en-CA"/>
        </w:rPr>
        <w:t>Public Service Essential Services Act</w:t>
      </w:r>
      <w:r w:rsidRPr="00B22DD8">
        <w:rPr>
          <w:rFonts w:eastAsia="Times New Roman" w:cs="Times New Roman"/>
          <w:sz w:val="20"/>
          <w:szCs w:val="20"/>
          <w:lang w:val="en-US" w:eastAsia="en-CA"/>
        </w:rPr>
        <w:t xml:space="preserve">, S.S. 2008, c. P-42.2 (the PSESA) and the </w:t>
      </w:r>
      <w:r w:rsidRPr="00B22DD8">
        <w:rPr>
          <w:rFonts w:eastAsia="Times New Roman" w:cs="Times New Roman"/>
          <w:i/>
          <w:sz w:val="20"/>
          <w:szCs w:val="20"/>
          <w:lang w:val="en-US" w:eastAsia="en-CA"/>
        </w:rPr>
        <w:t>Trade Union Amendment Act, 2008</w:t>
      </w:r>
      <w:r w:rsidRPr="00B22DD8">
        <w:rPr>
          <w:rFonts w:eastAsia="Times New Roman" w:cs="Times New Roman"/>
          <w:sz w:val="20"/>
          <w:szCs w:val="20"/>
          <w:lang w:val="en-US" w:eastAsia="en-CA"/>
        </w:rPr>
        <w:t>, S.S. 2008, c. 26 and c. 27 (the TUAA).</w:t>
      </w:r>
    </w:p>
    <w:p w:rsidR="006F54B9" w:rsidRPr="00B22DD8" w:rsidRDefault="006F54B9" w:rsidP="006F54B9">
      <w:pPr>
        <w:jc w:val="both"/>
        <w:rPr>
          <w:rFonts w:eastAsia="Times New Roman" w:cs="Times New Roman"/>
          <w:sz w:val="20"/>
          <w:szCs w:val="20"/>
          <w:lang w:val="en-US"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sz w:val="20"/>
          <w:szCs w:val="20"/>
          <w:lang w:val="en-US" w:eastAsia="en-CA"/>
        </w:rPr>
        <w:t xml:space="preserve">The PSESA introduced restrictions on the ability of public sector workers who provide essential services to engage in strike activity.  It implemented a “controlled strike” approach regulating the withdrawal of essential services by establishing a regime for limiting the number of employees who are allowed to refuse to work in the event of a strike.  The PSESA contemplates the negotiation of essential services agreements intended (i) to establish the particulars of the services to be maintained during a strike, (ii) to identify the number of employees in each classification who must work during a work stoppage, and (iii) to identify the employees who will be required to continue to provide those essential services in the event of a strike.  However, the PSESA also foresees that, if an essential services agreement has not been concluded at least 30 days before the expiry of a collective agreement, the employer can give notice to the union dictating the essential services to be maintained during a strike, the number of employees in each classification that will be required to work as well as the name of the employees that it will require to work during a work stoppage.  The PSESA further empowers the employer to designate an additional number of employees who will be required to work during all or any part of a work stoppage in order to maintain essential services. </w:t>
      </w:r>
    </w:p>
    <w:p w:rsidR="006F54B9" w:rsidRPr="00B22DD8" w:rsidRDefault="006F54B9" w:rsidP="006F54B9">
      <w:pPr>
        <w:jc w:val="both"/>
        <w:rPr>
          <w:rFonts w:eastAsia="Times New Roman" w:cs="Times New Roman"/>
          <w:sz w:val="20"/>
          <w:szCs w:val="20"/>
          <w:lang w:val="en-US"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sz w:val="20"/>
          <w:szCs w:val="20"/>
          <w:lang w:val="en-US" w:eastAsia="en-CA"/>
        </w:rPr>
        <w:t xml:space="preserve">The TUAA changed existing provincial labour legislation so as to make it somewhat more difficult for unions to obtain certification as bargaining agents and so as to broaden the scope of permissible communications between employers and their employees. </w:t>
      </w:r>
    </w:p>
    <w:p w:rsidR="006F54B9" w:rsidRPr="00B22DD8" w:rsidRDefault="006F54B9" w:rsidP="006F54B9">
      <w:pPr>
        <w:jc w:val="both"/>
        <w:rPr>
          <w:rFonts w:eastAsia="Times New Roman" w:cs="Times New Roman"/>
          <w:sz w:val="20"/>
          <w:szCs w:val="20"/>
          <w:lang w:val="en-US"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sz w:val="20"/>
          <w:szCs w:val="20"/>
          <w:lang w:val="en-US" w:eastAsia="en-CA"/>
        </w:rPr>
        <w:t xml:space="preserve">The Saskatchewan Federation of Labour (the SFL) and numerous other unions challenged the constitutionality of one or both of these acts on the basis that they infringe rights and freedoms guaranteed by the </w:t>
      </w:r>
      <w:r w:rsidRPr="00B22DD8">
        <w:rPr>
          <w:rFonts w:eastAsia="Times New Roman" w:cs="Times New Roman"/>
          <w:i/>
          <w:sz w:val="20"/>
          <w:szCs w:val="20"/>
          <w:lang w:val="en-US" w:eastAsia="en-CA"/>
        </w:rPr>
        <w:t>Charter</w:t>
      </w:r>
      <w:r w:rsidRPr="00B22DD8">
        <w:rPr>
          <w:rFonts w:eastAsia="Times New Roman" w:cs="Times New Roman"/>
          <w:sz w:val="20"/>
          <w:szCs w:val="20"/>
          <w:lang w:val="en-US" w:eastAsia="en-CA"/>
        </w:rPr>
        <w:t xml:space="preserve">, notably the freedom of association and freedom of expression.  In order to avoid duplication, the Court of Queen’s Bench of Saskatchewan ordered that those challenges should be dealt with in a single trial, with the SFL’s action being the lead case and all other challenges being stayed pending the outcome of the SFL’s action.  </w:t>
      </w:r>
    </w:p>
    <w:p w:rsidR="006F54B9" w:rsidRPr="00B22DD8" w:rsidRDefault="006F54B9" w:rsidP="006F54B9">
      <w:pPr>
        <w:widowControl w:val="0"/>
        <w:jc w:val="both"/>
        <w:rPr>
          <w:rFonts w:eastAsia="Times New Roman" w:cs="Times New Roman"/>
          <w:sz w:val="20"/>
          <w:szCs w:val="20"/>
          <w:lang w:val="en-US" w:eastAsia="en-CA"/>
        </w:rPr>
      </w:pPr>
    </w:p>
    <w:p w:rsidR="006F54B9" w:rsidRPr="00B22DD8" w:rsidRDefault="006F54B9" w:rsidP="006F54B9">
      <w:pPr>
        <w:widowControl w:val="0"/>
        <w:jc w:val="both"/>
        <w:rPr>
          <w:rFonts w:eastAsia="Times New Roman" w:cs="Times New Roman"/>
          <w:sz w:val="20"/>
          <w:szCs w:val="20"/>
          <w:lang w:val="en-US" w:eastAsia="en-CA"/>
        </w:rPr>
      </w:pP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Origin of the case:</w:t>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t>Saskatchewan</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File No.:</w:t>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00B22DD8">
        <w:rPr>
          <w:rFonts w:eastAsia="Times New Roman" w:cs="Times New Roman"/>
          <w:sz w:val="20"/>
          <w:szCs w:val="20"/>
          <w:lang w:eastAsia="en-CA"/>
        </w:rPr>
        <w:tab/>
      </w:r>
      <w:r w:rsidRPr="00B22DD8">
        <w:rPr>
          <w:rFonts w:eastAsia="Times New Roman" w:cs="Times New Roman"/>
          <w:sz w:val="20"/>
          <w:szCs w:val="20"/>
          <w:lang w:eastAsia="en-CA"/>
        </w:rPr>
        <w:t xml:space="preserve">35423 </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rPr>
          <w:rFonts w:eastAsia="Times New Roman" w:cs="Times New Roman"/>
          <w:sz w:val="20"/>
          <w:szCs w:val="20"/>
          <w:lang w:val="en-US" w:eastAsia="en-CA"/>
        </w:rPr>
      </w:pPr>
      <w:r w:rsidRPr="00B22DD8">
        <w:rPr>
          <w:rFonts w:eastAsia="Times New Roman" w:cs="Times New Roman"/>
          <w:sz w:val="20"/>
          <w:szCs w:val="20"/>
          <w:lang w:eastAsia="en-CA"/>
        </w:rPr>
        <w:t>Judgment of the Court of Appeal:</w:t>
      </w:r>
      <w:r w:rsidRPr="00B22DD8">
        <w:rPr>
          <w:rFonts w:eastAsia="Times New Roman" w:cs="Times New Roman"/>
          <w:sz w:val="20"/>
          <w:szCs w:val="20"/>
          <w:lang w:eastAsia="en-CA"/>
        </w:rPr>
        <w:tab/>
      </w:r>
      <w:r w:rsidR="00B22DD8">
        <w:rPr>
          <w:rFonts w:eastAsia="Times New Roman" w:cs="Times New Roman"/>
          <w:sz w:val="20"/>
          <w:szCs w:val="20"/>
          <w:lang w:eastAsia="en-CA"/>
        </w:rPr>
        <w:tab/>
      </w:r>
      <w:r w:rsidRPr="00B22DD8">
        <w:rPr>
          <w:rFonts w:eastAsia="Times New Roman" w:cs="Times New Roman"/>
          <w:sz w:val="20"/>
          <w:szCs w:val="20"/>
          <w:lang w:val="en-US" w:eastAsia="en-CA"/>
        </w:rPr>
        <w:t>April 26, 2013</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Counsel:</w:t>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00B22DD8">
        <w:rPr>
          <w:rFonts w:eastAsia="Times New Roman" w:cs="Times New Roman"/>
          <w:sz w:val="20"/>
          <w:szCs w:val="20"/>
          <w:lang w:eastAsia="en-CA"/>
        </w:rPr>
        <w:tab/>
      </w:r>
      <w:r w:rsidRPr="00B22DD8">
        <w:rPr>
          <w:rFonts w:eastAsia="Times New Roman" w:cs="Times New Roman"/>
          <w:sz w:val="20"/>
          <w:szCs w:val="20"/>
          <w:lang w:eastAsia="en-CA"/>
        </w:rPr>
        <w:t>Craig Bavis, Rick Engel, Q</w:t>
      </w:r>
      <w:r w:rsidR="00B22DD8">
        <w:rPr>
          <w:rFonts w:eastAsia="Times New Roman" w:cs="Times New Roman"/>
          <w:sz w:val="20"/>
          <w:szCs w:val="20"/>
          <w:lang w:eastAsia="en-CA"/>
        </w:rPr>
        <w:t xml:space="preserve">.C. and Peter Barnacle for the </w:t>
      </w:r>
      <w:r w:rsidRPr="00B22DD8">
        <w:rPr>
          <w:rFonts w:eastAsia="Times New Roman" w:cs="Times New Roman"/>
          <w:sz w:val="20"/>
          <w:szCs w:val="20"/>
          <w:lang w:eastAsia="en-CA"/>
        </w:rPr>
        <w:t>appellants</w:t>
      </w: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t>Graeme G. Mitchell, Q.C. for the respondent</w:t>
      </w:r>
    </w:p>
    <w:p w:rsidR="006168D3" w:rsidRPr="00B22DD8" w:rsidRDefault="006168D3" w:rsidP="006168D3">
      <w:pPr>
        <w:tabs>
          <w:tab w:val="left" w:pos="-1440"/>
          <w:tab w:val="left" w:pos="-720"/>
        </w:tabs>
        <w:jc w:val="both"/>
        <w:rPr>
          <w:rFonts w:cs="Times New Roman"/>
          <w:sz w:val="20"/>
          <w:szCs w:val="20"/>
        </w:rPr>
      </w:pPr>
    </w:p>
    <w:p w:rsidR="006168D3" w:rsidRPr="00B22DD8" w:rsidRDefault="000B3306" w:rsidP="006168D3">
      <w:pPr>
        <w:tabs>
          <w:tab w:val="left" w:pos="-1440"/>
          <w:tab w:val="left" w:pos="-720"/>
        </w:tabs>
        <w:jc w:val="both"/>
        <w:rPr>
          <w:rFonts w:cs="Times New Roman"/>
          <w:sz w:val="20"/>
          <w:szCs w:val="20"/>
          <w:lang w:val="fr-CA"/>
        </w:rPr>
      </w:pPr>
      <w:r>
        <w:rPr>
          <w:rFonts w:cs="Times New Roman"/>
          <w:sz w:val="20"/>
          <w:szCs w:val="20"/>
          <w:lang w:val="fr-CA"/>
        </w:rPr>
        <w:pict>
          <v:rect id="_x0000_i1104" style="width:2in;height:1pt" o:hrpct="0" o:hralign="center" o:hrstd="t" o:hrnoshade="t" o:hr="t" fillcolor="black [3213]" stroked="f"/>
        </w:pict>
      </w:r>
    </w:p>
    <w:p w:rsidR="006168D3" w:rsidRPr="00B22DD8" w:rsidRDefault="006168D3">
      <w:pPr>
        <w:rPr>
          <w:rFonts w:cs="Times New Roman"/>
          <w:sz w:val="20"/>
          <w:szCs w:val="20"/>
          <w:lang w:val="fr-CA"/>
        </w:rPr>
      </w:pPr>
      <w:r w:rsidRPr="00B22DD8">
        <w:rPr>
          <w:rFonts w:cs="Times New Roman"/>
          <w:sz w:val="20"/>
          <w:szCs w:val="20"/>
          <w:lang w:val="fr-CA"/>
        </w:rPr>
        <w:br w:type="page"/>
      </w:r>
    </w:p>
    <w:p w:rsidR="006F54B9" w:rsidRPr="00B22DD8" w:rsidRDefault="006F54B9" w:rsidP="006F54B9">
      <w:pPr>
        <w:widowControl w:val="0"/>
        <w:ind w:left="720" w:hanging="720"/>
        <w:jc w:val="both"/>
        <w:rPr>
          <w:rFonts w:eastAsia="Times New Roman" w:cs="Times New Roman"/>
          <w:b/>
          <w:sz w:val="20"/>
          <w:szCs w:val="20"/>
          <w:lang w:val="fr-CA" w:eastAsia="en-CA"/>
        </w:rPr>
      </w:pPr>
      <w:r w:rsidRPr="00B22DD8">
        <w:rPr>
          <w:rFonts w:eastAsia="Times New Roman" w:cs="Times New Roman"/>
          <w:b/>
          <w:sz w:val="20"/>
          <w:szCs w:val="20"/>
          <w:lang w:val="fr-CA" w:eastAsia="en-CA"/>
        </w:rPr>
        <w:lastRenderedPageBreak/>
        <w:t>35423</w:t>
      </w:r>
      <w:r w:rsidR="00EF5791" w:rsidRPr="00B22DD8">
        <w:rPr>
          <w:rFonts w:eastAsia="Times New Roman" w:cs="Times New Roman"/>
          <w:b/>
          <w:sz w:val="20"/>
          <w:szCs w:val="20"/>
          <w:lang w:eastAsia="en-CA"/>
        </w:rPr>
        <w:fldChar w:fldCharType="begin"/>
      </w:r>
      <w:r w:rsidRPr="00B22DD8">
        <w:rPr>
          <w:rFonts w:eastAsia="Times New Roman" w:cs="Times New Roman"/>
          <w:b/>
          <w:sz w:val="20"/>
          <w:szCs w:val="20"/>
          <w:lang w:val="fr-CA" w:eastAsia="en-CA"/>
        </w:rPr>
        <w:instrText xml:space="preserve"> SEQ CHAPTER \h \r 1</w:instrText>
      </w:r>
      <w:r w:rsidR="00EF5791" w:rsidRPr="00B22DD8">
        <w:rPr>
          <w:rFonts w:eastAsia="Times New Roman" w:cs="Times New Roman"/>
          <w:b/>
          <w:sz w:val="20"/>
          <w:szCs w:val="20"/>
          <w:lang w:val="en-US" w:eastAsia="en-CA"/>
        </w:rPr>
        <w:fldChar w:fldCharType="end"/>
      </w:r>
      <w:r w:rsidRPr="00B22DD8">
        <w:rPr>
          <w:rFonts w:eastAsia="Times New Roman" w:cs="Times New Roman"/>
          <w:b/>
          <w:sz w:val="20"/>
          <w:szCs w:val="20"/>
          <w:lang w:val="fr-CA" w:eastAsia="en-CA"/>
        </w:rPr>
        <w:tab/>
      </w:r>
      <w:r w:rsidRPr="00B22DD8">
        <w:rPr>
          <w:rFonts w:eastAsia="Times New Roman" w:cs="Times New Roman"/>
          <w:b/>
          <w:i/>
          <w:sz w:val="20"/>
          <w:szCs w:val="20"/>
          <w:lang w:val="fr-CA" w:eastAsia="en-CA"/>
        </w:rPr>
        <w:t>Saskatchewan Federation of Labour (de son propre chef et au nom des syndicats et salariés de la province de Saskatchewan) et autres</w:t>
      </w:r>
      <w:r w:rsidRPr="00B22DD8">
        <w:rPr>
          <w:rFonts w:eastAsia="Times New Roman" w:cs="Times New Roman"/>
          <w:b/>
          <w:sz w:val="20"/>
          <w:szCs w:val="20"/>
          <w:lang w:val="fr-CA" w:eastAsia="en-CA"/>
        </w:rPr>
        <w:t xml:space="preserve"> </w:t>
      </w:r>
      <w:r w:rsidRPr="00B22DD8">
        <w:rPr>
          <w:rFonts w:eastAsia="Times New Roman" w:cs="Times New Roman"/>
          <w:b/>
          <w:i/>
          <w:sz w:val="20"/>
          <w:szCs w:val="20"/>
          <w:lang w:val="fr-CA" w:eastAsia="en-CA"/>
        </w:rPr>
        <w:t>c. Sa Majesté la Reine du chef de la province de Saskatchewan</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en-US" w:eastAsia="en-CA"/>
        </w:rPr>
      </w:pPr>
      <w:r w:rsidRPr="00B22DD8">
        <w:rPr>
          <w:rFonts w:eastAsia="Times New Roman" w:cs="Times New Roman"/>
          <w:i/>
          <w:sz w:val="20"/>
          <w:szCs w:val="20"/>
          <w:lang w:val="fr-CA" w:eastAsia="en-CA"/>
        </w:rPr>
        <w:t xml:space="preserve">Charte canadienne des droits et libertés </w:t>
      </w:r>
      <w:r w:rsidRPr="00B22DD8">
        <w:rPr>
          <w:rFonts w:eastAsia="Times New Roman" w:cs="Times New Roman"/>
          <w:sz w:val="20"/>
          <w:szCs w:val="20"/>
          <w:lang w:val="fr-CA" w:eastAsia="en-CA"/>
        </w:rPr>
        <w:t xml:space="preserve">- Liberté d’association - Droit du travail - Droit de grève - Liberté d’expression - Adoption par la province de lois qui ont eu pour effet de limiter la capacité des employés du secteur public de faire la grève et qui ont rendu l’accréditation des syndicats un peu plus difficile - Décision du juge du première instance que la </w:t>
      </w:r>
      <w:r w:rsidRPr="00B22DD8">
        <w:rPr>
          <w:rFonts w:eastAsia="Times New Roman" w:cs="Times New Roman"/>
          <w:i/>
          <w:sz w:val="20"/>
          <w:szCs w:val="20"/>
          <w:lang w:val="fr-CA" w:eastAsia="en-CA"/>
        </w:rPr>
        <w:t>Public Service Essential Services Act</w:t>
      </w:r>
      <w:r w:rsidRPr="00B22DD8">
        <w:rPr>
          <w:rFonts w:eastAsia="Times New Roman" w:cs="Times New Roman"/>
          <w:sz w:val="20"/>
          <w:szCs w:val="20"/>
          <w:lang w:val="fr-CA" w:eastAsia="en-CA"/>
        </w:rPr>
        <w:t xml:space="preserve"> est contraire à l’al. 2</w:t>
      </w:r>
      <w:r w:rsidRPr="00B22DD8">
        <w:rPr>
          <w:rFonts w:eastAsia="Times New Roman" w:cs="Times New Roman"/>
          <w:i/>
          <w:sz w:val="20"/>
          <w:szCs w:val="20"/>
          <w:lang w:val="fr-CA" w:eastAsia="en-CA"/>
        </w:rPr>
        <w:t>d</w:t>
      </w:r>
      <w:r w:rsidRPr="00B22DD8">
        <w:rPr>
          <w:rFonts w:eastAsia="Times New Roman" w:cs="Times New Roman"/>
          <w:sz w:val="20"/>
          <w:szCs w:val="20"/>
          <w:lang w:val="fr-CA" w:eastAsia="en-CA"/>
        </w:rPr>
        <w:t xml:space="preserve">) de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 xml:space="preserve"> et n’est pas sauvegardée par l’article premier - Appel accueilli par la Cour d’appel, qui s’estime liée par la jurisprudence selon laquelle la liberté d’association ne comprend pas le droit de grève - La liberté d’association garantie par l’al. 2</w:t>
      </w:r>
      <w:r w:rsidRPr="00B22DD8">
        <w:rPr>
          <w:rFonts w:eastAsia="Times New Roman" w:cs="Times New Roman"/>
          <w:i/>
          <w:sz w:val="20"/>
          <w:szCs w:val="20"/>
          <w:lang w:val="fr-CA" w:eastAsia="en-CA"/>
        </w:rPr>
        <w:t>d</w:t>
      </w:r>
      <w:r w:rsidRPr="00B22DD8">
        <w:rPr>
          <w:rFonts w:eastAsia="Times New Roman" w:cs="Times New Roman"/>
          <w:sz w:val="20"/>
          <w:szCs w:val="20"/>
          <w:lang w:val="fr-CA" w:eastAsia="en-CA"/>
        </w:rPr>
        <w:t xml:space="preserve">) de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 xml:space="preserve"> assure-t-elle le droit de grève? - La liberté d’expression garantie par l’al. 2</w:t>
      </w:r>
      <w:r w:rsidRPr="00B22DD8">
        <w:rPr>
          <w:rFonts w:eastAsia="Times New Roman" w:cs="Times New Roman"/>
          <w:i/>
          <w:sz w:val="20"/>
          <w:szCs w:val="20"/>
          <w:lang w:val="fr-CA" w:eastAsia="en-CA"/>
        </w:rPr>
        <w:t>b</w:t>
      </w:r>
      <w:r w:rsidRPr="00B22DD8">
        <w:rPr>
          <w:rFonts w:eastAsia="Times New Roman" w:cs="Times New Roman"/>
          <w:sz w:val="20"/>
          <w:szCs w:val="20"/>
          <w:lang w:val="fr-CA" w:eastAsia="en-CA"/>
        </w:rPr>
        <w:t xml:space="preserve">) de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 xml:space="preserve"> assure-t-elle le droit de grève? - La </w:t>
      </w:r>
      <w:r w:rsidRPr="00B22DD8">
        <w:rPr>
          <w:rFonts w:eastAsia="Times New Roman" w:cs="Times New Roman"/>
          <w:i/>
          <w:sz w:val="20"/>
          <w:szCs w:val="20"/>
          <w:lang w:val="fr-CA" w:eastAsia="en-CA"/>
        </w:rPr>
        <w:t>Public Service Essential Services Act</w:t>
      </w:r>
      <w:r w:rsidRPr="00B22DD8">
        <w:rPr>
          <w:rFonts w:eastAsia="Times New Roman" w:cs="Times New Roman"/>
          <w:sz w:val="20"/>
          <w:szCs w:val="20"/>
          <w:lang w:val="fr-CA" w:eastAsia="en-CA"/>
        </w:rPr>
        <w:t xml:space="preserve"> contrevient-elle à l’al. 2</w:t>
      </w:r>
      <w:r w:rsidRPr="00B22DD8">
        <w:rPr>
          <w:rFonts w:eastAsia="Times New Roman" w:cs="Times New Roman"/>
          <w:i/>
          <w:sz w:val="20"/>
          <w:szCs w:val="20"/>
          <w:lang w:val="fr-CA" w:eastAsia="en-CA"/>
        </w:rPr>
        <w:t>b</w:t>
      </w:r>
      <w:r w:rsidRPr="00B22DD8">
        <w:rPr>
          <w:rFonts w:eastAsia="Times New Roman" w:cs="Times New Roman"/>
          <w:sz w:val="20"/>
          <w:szCs w:val="20"/>
          <w:lang w:val="fr-CA" w:eastAsia="en-CA"/>
        </w:rPr>
        <w:t>) ou 2</w:t>
      </w:r>
      <w:r w:rsidRPr="00B22DD8">
        <w:rPr>
          <w:rFonts w:eastAsia="Times New Roman" w:cs="Times New Roman"/>
          <w:i/>
          <w:sz w:val="20"/>
          <w:szCs w:val="20"/>
          <w:lang w:val="fr-CA" w:eastAsia="en-CA"/>
        </w:rPr>
        <w:t>d</w:t>
      </w:r>
      <w:r w:rsidRPr="00B22DD8">
        <w:rPr>
          <w:rFonts w:eastAsia="Times New Roman" w:cs="Times New Roman"/>
          <w:sz w:val="20"/>
          <w:szCs w:val="20"/>
          <w:lang w:val="fr-CA" w:eastAsia="en-CA"/>
        </w:rPr>
        <w:t xml:space="preserve">) de la </w:t>
      </w:r>
      <w:r w:rsidRPr="00B22DD8">
        <w:rPr>
          <w:rFonts w:eastAsia="Times New Roman" w:cs="Times New Roman"/>
          <w:i/>
          <w:sz w:val="20"/>
          <w:szCs w:val="20"/>
          <w:lang w:val="fr-CA" w:eastAsia="en-CA"/>
        </w:rPr>
        <w:t xml:space="preserve">Charte </w:t>
      </w:r>
      <w:r w:rsidRPr="00B22DD8">
        <w:rPr>
          <w:rFonts w:eastAsia="Times New Roman" w:cs="Times New Roman"/>
          <w:sz w:val="20"/>
          <w:szCs w:val="20"/>
          <w:lang w:val="fr-CA" w:eastAsia="en-CA"/>
        </w:rPr>
        <w:t xml:space="preserve">et, dans l’affirmative, s’agit-il d’une limite raisonnable prescrite par une règle de droit et dont la justification peut se démontrer dans le cadre d’une société libre et démocratique au sens de l’article premier de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 xml:space="preserve">? - Les articles 3, 6, 7 et 11 de la </w:t>
      </w:r>
      <w:r w:rsidRPr="00B22DD8">
        <w:rPr>
          <w:rFonts w:eastAsia="Times New Roman" w:cs="Times New Roman"/>
          <w:i/>
          <w:sz w:val="20"/>
          <w:szCs w:val="20"/>
          <w:lang w:val="fr-CA" w:eastAsia="en-CA"/>
        </w:rPr>
        <w:t xml:space="preserve">Trade Union Amendment Act, 2008, </w:t>
      </w:r>
      <w:r w:rsidRPr="00B22DD8">
        <w:rPr>
          <w:rFonts w:eastAsia="Times New Roman" w:cs="Times New Roman"/>
          <w:sz w:val="20"/>
          <w:szCs w:val="20"/>
          <w:lang w:val="fr-CA" w:eastAsia="en-CA"/>
        </w:rPr>
        <w:t>violent-ils l’al. 2</w:t>
      </w:r>
      <w:r w:rsidRPr="00B22DD8">
        <w:rPr>
          <w:rFonts w:eastAsia="Times New Roman" w:cs="Times New Roman"/>
          <w:i/>
          <w:sz w:val="20"/>
          <w:szCs w:val="20"/>
          <w:lang w:val="fr-CA" w:eastAsia="en-CA"/>
        </w:rPr>
        <w:t>d</w:t>
      </w:r>
      <w:r w:rsidRPr="00B22DD8">
        <w:rPr>
          <w:rFonts w:eastAsia="Times New Roman" w:cs="Times New Roman"/>
          <w:sz w:val="20"/>
          <w:szCs w:val="20"/>
          <w:lang w:val="fr-CA" w:eastAsia="en-CA"/>
        </w:rPr>
        <w:t xml:space="preserve">) de la </w:t>
      </w:r>
      <w:r w:rsidRPr="00B22DD8">
        <w:rPr>
          <w:rFonts w:eastAsia="Times New Roman" w:cs="Times New Roman"/>
          <w:i/>
          <w:sz w:val="20"/>
          <w:szCs w:val="20"/>
          <w:lang w:val="fr-CA" w:eastAsia="en-CA"/>
        </w:rPr>
        <w:t xml:space="preserve">Charte </w:t>
      </w:r>
      <w:r w:rsidRPr="00B22DD8">
        <w:rPr>
          <w:rFonts w:eastAsia="Times New Roman" w:cs="Times New Roman"/>
          <w:sz w:val="20"/>
          <w:szCs w:val="20"/>
          <w:lang w:val="fr-CA" w:eastAsia="en-CA"/>
        </w:rPr>
        <w:t xml:space="preserve">et, dans l’affirmative, cette violation constitue-t-elle une limite raisonnable prescrite par une règle de droit et dont la justification peut se démontrer dans le cadre d’une société libre et démocratique au sens de l’article premier de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w:t>
      </w:r>
      <w:r w:rsidRPr="00B22DD8">
        <w:rPr>
          <w:rFonts w:eastAsia="Times New Roman" w:cs="Times New Roman"/>
          <w:i/>
          <w:sz w:val="20"/>
          <w:szCs w:val="20"/>
          <w:lang w:val="fr-CA" w:eastAsia="en-CA"/>
        </w:rPr>
        <w:t xml:space="preserve"> </w:t>
      </w:r>
      <w:r w:rsidRPr="00B22DD8">
        <w:rPr>
          <w:rFonts w:eastAsia="Times New Roman" w:cs="Times New Roman"/>
          <w:sz w:val="20"/>
          <w:szCs w:val="20"/>
          <w:lang w:val="fr-CA" w:eastAsia="en-CA"/>
        </w:rPr>
        <w:t xml:space="preserve">- </w:t>
      </w:r>
      <w:r w:rsidRPr="00B22DD8">
        <w:rPr>
          <w:rFonts w:eastAsia="Times New Roman" w:cs="Times New Roman"/>
          <w:i/>
          <w:sz w:val="20"/>
          <w:szCs w:val="20"/>
          <w:lang w:val="fr-CA" w:eastAsia="en-CA"/>
        </w:rPr>
        <w:t>Public Service Essential Services Act</w:t>
      </w:r>
      <w:r w:rsidRPr="00B22DD8">
        <w:rPr>
          <w:rFonts w:eastAsia="Times New Roman" w:cs="Times New Roman"/>
          <w:sz w:val="20"/>
          <w:szCs w:val="20"/>
          <w:lang w:val="fr-CA" w:eastAsia="en-CA"/>
        </w:rPr>
        <w:t>, S.S. 2008, ch. </w:t>
      </w:r>
      <w:r w:rsidRPr="00B22DD8">
        <w:rPr>
          <w:rFonts w:eastAsia="Times New Roman" w:cs="Times New Roman"/>
          <w:sz w:val="20"/>
          <w:szCs w:val="20"/>
          <w:lang w:val="en-US" w:eastAsia="en-CA"/>
        </w:rPr>
        <w:t xml:space="preserve">P-42.2 - </w:t>
      </w:r>
      <w:r w:rsidRPr="00B22DD8">
        <w:rPr>
          <w:rFonts w:eastAsia="Times New Roman" w:cs="Times New Roman"/>
          <w:i/>
          <w:sz w:val="20"/>
          <w:szCs w:val="20"/>
          <w:lang w:val="en-US" w:eastAsia="en-CA"/>
        </w:rPr>
        <w:t>Trade Union Amendment Act, 2008</w:t>
      </w:r>
      <w:r w:rsidRPr="00B22DD8">
        <w:rPr>
          <w:rFonts w:eastAsia="Times New Roman" w:cs="Times New Roman"/>
          <w:sz w:val="20"/>
          <w:szCs w:val="20"/>
          <w:lang w:val="en-US" w:eastAsia="en-CA"/>
        </w:rPr>
        <w:t>, S.S. 2008, ch. 26 et ch. 27.</w:t>
      </w:r>
    </w:p>
    <w:p w:rsidR="006F54B9" w:rsidRPr="00B22DD8" w:rsidRDefault="006F54B9" w:rsidP="006F54B9">
      <w:pPr>
        <w:widowControl w:val="0"/>
        <w:jc w:val="both"/>
        <w:rPr>
          <w:rFonts w:eastAsia="Times New Roman" w:cs="Times New Roman"/>
          <w:sz w:val="20"/>
          <w:szCs w:val="20"/>
          <w:lang w:val="en-US"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 xml:space="preserve">En mai 2008, le gouvernement de la Saskatchewan a adopté la </w:t>
      </w:r>
      <w:r w:rsidRPr="00B22DD8">
        <w:rPr>
          <w:rFonts w:eastAsia="Times New Roman" w:cs="Times New Roman"/>
          <w:i/>
          <w:sz w:val="20"/>
          <w:szCs w:val="20"/>
          <w:lang w:val="fr-CA" w:eastAsia="en-CA"/>
        </w:rPr>
        <w:t>Public Service Essential Services Act</w:t>
      </w:r>
      <w:r w:rsidRPr="00B22DD8">
        <w:rPr>
          <w:rFonts w:eastAsia="Times New Roman" w:cs="Times New Roman"/>
          <w:sz w:val="20"/>
          <w:szCs w:val="20"/>
          <w:lang w:val="fr-CA" w:eastAsia="en-CA"/>
        </w:rPr>
        <w:t xml:space="preserve">, S.S. 2008, ch. P-42.2 (PSESA), et la </w:t>
      </w:r>
      <w:r w:rsidRPr="00B22DD8">
        <w:rPr>
          <w:rFonts w:eastAsia="Times New Roman" w:cs="Times New Roman"/>
          <w:i/>
          <w:sz w:val="20"/>
          <w:szCs w:val="20"/>
          <w:lang w:val="fr-CA" w:eastAsia="en-CA"/>
        </w:rPr>
        <w:t>Trade Union Amendment Act, 2008</w:t>
      </w:r>
      <w:r w:rsidRPr="00B22DD8">
        <w:rPr>
          <w:rFonts w:eastAsia="Times New Roman" w:cs="Times New Roman"/>
          <w:sz w:val="20"/>
          <w:szCs w:val="20"/>
          <w:lang w:val="fr-CA" w:eastAsia="en-CA"/>
        </w:rPr>
        <w:t>, S.S. 2008, ch. 26 et ch. 27 (TUAA).</w:t>
      </w:r>
    </w:p>
    <w:p w:rsidR="006F54B9" w:rsidRPr="00B22DD8" w:rsidRDefault="006F54B9" w:rsidP="006F54B9">
      <w:pPr>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 xml:space="preserve">La PSESA a eu pour effet de limiter la capacité des employés du secteur public qui fournissent des services essentiels de faire la grève.  Elle a mis en œuvre une méthode dite de « grève contrôlée » encadrant le retrait des services essentiels en établissant un régime destiné à limiter le nombre de salariés qui ont le droit de refuser de travailler en cas de grève.  La PSESA prévoit la négociation d’accords sur les services essentiels qui visent à : (i) établir les détails des services qui doivent être maintenus pendant la grève; (ii) fixer le nombre d’employés de chaque groupe qui doivent travailler pendant un arrêt de travail; (iii) désigner les employés qui seront tenus de continuer à fournir ces services essentiels en cas de grève.  Toutefois, la PSESA prévoit aussi que, si un accord sur les services essentiels n’a pas été conclu au moins 30 jours avant l’expiration d’une convention collective, l’employeur peut donner au syndicat un avis décrétant les services essentiels qui devront être maintenus pendant la grève, le nombre d’employés de chaque groupe qui devront travailler et le nom des employés qui devront travailler pendant un arrêt de travail.  En outre, la PSESA autorise l’employeur à désigner d’autres employés qui devront travailler pendant toute la durée ou une partie d’un arrêt de travail pour maintenir les services essentiels. </w:t>
      </w:r>
    </w:p>
    <w:p w:rsidR="006F54B9" w:rsidRPr="00B22DD8" w:rsidRDefault="006F54B9" w:rsidP="006F54B9">
      <w:pPr>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 xml:space="preserve">La TUAA a modifié la législation ouvrière provinciale en vigueur pour qu’il soit un peu plus difficile pour les syndicats d’obtenir l’accréditation comme agents négociateurs et pour élargir la portée des communications permises entre les employeurs et leurs employés.  </w:t>
      </w:r>
    </w:p>
    <w:p w:rsidR="006F54B9" w:rsidRPr="00B22DD8" w:rsidRDefault="006F54B9" w:rsidP="006F54B9">
      <w:pPr>
        <w:jc w:val="both"/>
        <w:rPr>
          <w:rFonts w:eastAsia="Times New Roman" w:cs="Times New Roman"/>
          <w:sz w:val="20"/>
          <w:szCs w:val="20"/>
          <w:lang w:val="fr-CA" w:eastAsia="en-CA"/>
        </w:rPr>
      </w:pPr>
    </w:p>
    <w:p w:rsidR="006F54B9" w:rsidRPr="00B22DD8" w:rsidRDefault="006F54B9" w:rsidP="006F54B9">
      <w:pPr>
        <w:jc w:val="both"/>
        <w:rPr>
          <w:rFonts w:eastAsia="Times New Roman" w:cs="Times New Roman"/>
          <w:sz w:val="20"/>
          <w:szCs w:val="20"/>
          <w:lang w:val="fr-CA" w:eastAsia="en-CA"/>
        </w:rPr>
      </w:pPr>
      <w:r w:rsidRPr="00B22DD8">
        <w:rPr>
          <w:rFonts w:eastAsia="Times New Roman" w:cs="Times New Roman"/>
          <w:sz w:val="20"/>
          <w:szCs w:val="20"/>
          <w:lang w:val="fr-CA" w:eastAsia="en-CA"/>
        </w:rPr>
        <w:t xml:space="preserve">La Saskatchewan Federation of Labour (SFL) et de nombreux autres syndicats ont contesté la constitutionnalité de ces lois, faisant valoir qu’elles portent atteinte aux droits et libertés garantis par la </w:t>
      </w:r>
      <w:r w:rsidRPr="00B22DD8">
        <w:rPr>
          <w:rFonts w:eastAsia="Times New Roman" w:cs="Times New Roman"/>
          <w:i/>
          <w:sz w:val="20"/>
          <w:szCs w:val="20"/>
          <w:lang w:val="fr-CA" w:eastAsia="en-CA"/>
        </w:rPr>
        <w:t>Charte</w:t>
      </w:r>
      <w:r w:rsidRPr="00B22DD8">
        <w:rPr>
          <w:rFonts w:eastAsia="Times New Roman" w:cs="Times New Roman"/>
          <w:sz w:val="20"/>
          <w:szCs w:val="20"/>
          <w:lang w:val="fr-CA" w:eastAsia="en-CA"/>
        </w:rPr>
        <w:t xml:space="preserve">, notamment la liberté d’association et la liberté d’expression.  Pour éviter le dédoublement des procédures, la Cour du Banc de la Reine de la Saskatchewan a ordonné que ces contestations soient tranchées dans un même procès et que l’action de SFL constitue le dossier principal, et a suspendu toutes les autres contestations en attendant l’issue de l’action intentée par SFL.  </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Origine :</w:t>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t>Saskatchewan</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eastAsia="en-CA"/>
        </w:rPr>
        <w:t>N</w:t>
      </w:r>
      <w:r w:rsidRPr="00B22DD8">
        <w:rPr>
          <w:rFonts w:eastAsia="Times New Roman" w:cs="Times New Roman"/>
          <w:sz w:val="20"/>
          <w:szCs w:val="20"/>
          <w:vertAlign w:val="superscript"/>
          <w:lang w:eastAsia="en-CA"/>
        </w:rPr>
        <w:t>o</w:t>
      </w:r>
      <w:r w:rsidRPr="00B22DD8">
        <w:rPr>
          <w:rFonts w:eastAsia="Times New Roman" w:cs="Times New Roman"/>
          <w:sz w:val="20"/>
          <w:szCs w:val="20"/>
          <w:lang w:eastAsia="en-CA"/>
        </w:rPr>
        <w:t xml:space="preserve"> du greffe :</w:t>
      </w:r>
      <w:r w:rsidRPr="00B22DD8">
        <w:rPr>
          <w:rFonts w:eastAsia="Times New Roman" w:cs="Times New Roman"/>
          <w:sz w:val="20"/>
          <w:szCs w:val="20"/>
          <w:lang w:eastAsia="en-CA"/>
        </w:rPr>
        <w:tab/>
      </w:r>
      <w:r w:rsidRPr="00B22DD8">
        <w:rPr>
          <w:rFonts w:eastAsia="Times New Roman" w:cs="Times New Roman"/>
          <w:sz w:val="20"/>
          <w:szCs w:val="20"/>
          <w:lang w:eastAsia="en-CA"/>
        </w:rPr>
        <w:tab/>
      </w:r>
      <w:r w:rsidRPr="00B22DD8">
        <w:rPr>
          <w:rFonts w:eastAsia="Times New Roman" w:cs="Times New Roman"/>
          <w:sz w:val="20"/>
          <w:szCs w:val="20"/>
          <w:lang w:eastAsia="en-CA"/>
        </w:rPr>
        <w:tab/>
        <w:t xml:space="preserve">35423 </w:t>
      </w:r>
    </w:p>
    <w:p w:rsidR="006F54B9" w:rsidRPr="00B22DD8" w:rsidRDefault="006F54B9" w:rsidP="006F54B9">
      <w:pPr>
        <w:widowControl w:val="0"/>
        <w:jc w:val="both"/>
        <w:rPr>
          <w:rFonts w:eastAsia="Times New Roman" w:cs="Times New Roman"/>
          <w:sz w:val="20"/>
          <w:szCs w:val="20"/>
          <w:lang w:eastAsia="en-CA"/>
        </w:rPr>
      </w:pPr>
    </w:p>
    <w:p w:rsidR="006F54B9" w:rsidRPr="00B22DD8" w:rsidRDefault="006F54B9" w:rsidP="006F54B9">
      <w:pPr>
        <w:rPr>
          <w:rFonts w:eastAsia="Times New Roman" w:cs="Times New Roman"/>
          <w:sz w:val="20"/>
          <w:szCs w:val="20"/>
          <w:lang w:val="fr-CA" w:eastAsia="en-CA"/>
        </w:rPr>
      </w:pPr>
      <w:r w:rsidRPr="00B22DD8">
        <w:rPr>
          <w:rFonts w:eastAsia="Times New Roman" w:cs="Times New Roman"/>
          <w:sz w:val="20"/>
          <w:szCs w:val="20"/>
          <w:lang w:val="fr-CA" w:eastAsia="en-CA"/>
        </w:rPr>
        <w:t>Arrêt de la Cour d’appel :</w:t>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t>le 26 avril 2013</w:t>
      </w:r>
    </w:p>
    <w:p w:rsidR="006F54B9" w:rsidRPr="00B22DD8" w:rsidRDefault="006F54B9" w:rsidP="006F54B9">
      <w:pPr>
        <w:widowControl w:val="0"/>
        <w:jc w:val="both"/>
        <w:rPr>
          <w:rFonts w:eastAsia="Times New Roman" w:cs="Times New Roman"/>
          <w:sz w:val="20"/>
          <w:szCs w:val="20"/>
          <w:lang w:val="fr-CA" w:eastAsia="en-CA"/>
        </w:rPr>
      </w:pPr>
    </w:p>
    <w:p w:rsidR="006F54B9" w:rsidRPr="00B22DD8" w:rsidRDefault="006F54B9" w:rsidP="00B22DD8">
      <w:pPr>
        <w:widowControl w:val="0"/>
        <w:jc w:val="both"/>
        <w:rPr>
          <w:rFonts w:eastAsia="Times New Roman" w:cs="Times New Roman"/>
          <w:sz w:val="20"/>
          <w:szCs w:val="20"/>
          <w:lang w:val="fr-CA" w:eastAsia="en-CA"/>
        </w:rPr>
      </w:pPr>
      <w:r w:rsidRPr="00B22DD8">
        <w:rPr>
          <w:rFonts w:eastAsia="Times New Roman" w:cs="Times New Roman"/>
          <w:sz w:val="20"/>
          <w:szCs w:val="20"/>
          <w:lang w:val="fr-CA" w:eastAsia="en-CA"/>
        </w:rPr>
        <w:t>Avocats :</w:t>
      </w:r>
      <w:r w:rsidRPr="00B22DD8">
        <w:rPr>
          <w:rFonts w:eastAsia="Times New Roman" w:cs="Times New Roman"/>
          <w:sz w:val="20"/>
          <w:szCs w:val="20"/>
          <w:lang w:val="fr-CA" w:eastAsia="en-CA"/>
        </w:rPr>
        <w:tab/>
      </w:r>
      <w:r w:rsidR="00B22DD8">
        <w:rPr>
          <w:rFonts w:eastAsia="Times New Roman" w:cs="Times New Roman"/>
          <w:sz w:val="20"/>
          <w:szCs w:val="20"/>
          <w:lang w:val="fr-CA" w:eastAsia="en-CA"/>
        </w:rPr>
        <w:tab/>
      </w:r>
      <w:r w:rsidR="00B22DD8">
        <w:rPr>
          <w:rFonts w:eastAsia="Times New Roman" w:cs="Times New Roman"/>
          <w:sz w:val="20"/>
          <w:szCs w:val="20"/>
          <w:lang w:val="fr-CA" w:eastAsia="en-CA"/>
        </w:rPr>
        <w:tab/>
      </w:r>
      <w:r w:rsidRPr="00B22DD8">
        <w:rPr>
          <w:rFonts w:eastAsia="Times New Roman" w:cs="Times New Roman"/>
          <w:sz w:val="20"/>
          <w:szCs w:val="20"/>
          <w:lang w:val="fr-CA" w:eastAsia="en-CA"/>
        </w:rPr>
        <w:t>Craig Bavis, Rick Engel, c.r., et Peter Barnacle pour les appelants</w:t>
      </w:r>
    </w:p>
    <w:p w:rsidR="006F54B9" w:rsidRPr="00B22DD8" w:rsidRDefault="006F54B9" w:rsidP="006F54B9">
      <w:pPr>
        <w:widowControl w:val="0"/>
        <w:jc w:val="both"/>
        <w:rPr>
          <w:rFonts w:eastAsia="Times New Roman" w:cs="Times New Roman"/>
          <w:sz w:val="20"/>
          <w:szCs w:val="20"/>
          <w:lang w:eastAsia="en-CA"/>
        </w:rPr>
      </w:pP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val="fr-CA" w:eastAsia="en-CA"/>
        </w:rPr>
        <w:tab/>
      </w:r>
      <w:r w:rsidRPr="00B22DD8">
        <w:rPr>
          <w:rFonts w:eastAsia="Times New Roman" w:cs="Times New Roman"/>
          <w:sz w:val="20"/>
          <w:szCs w:val="20"/>
          <w:lang w:eastAsia="en-CA"/>
        </w:rPr>
        <w:t>Graeme G. Mitchell, c.r., pour l’intimée</w:t>
      </w:r>
    </w:p>
    <w:p w:rsidR="006168D3" w:rsidRPr="00B22DD8" w:rsidRDefault="006168D3" w:rsidP="006168D3">
      <w:pPr>
        <w:tabs>
          <w:tab w:val="left" w:pos="-1440"/>
          <w:tab w:val="left" w:pos="-720"/>
        </w:tabs>
        <w:jc w:val="both"/>
        <w:rPr>
          <w:rFonts w:cs="Times New Roman"/>
          <w:sz w:val="20"/>
          <w:szCs w:val="20"/>
          <w:lang w:val="fr-CA"/>
        </w:rPr>
      </w:pPr>
    </w:p>
    <w:p w:rsidR="006168D3" w:rsidRDefault="000B3306" w:rsidP="00B22DD8">
      <w:pPr>
        <w:tabs>
          <w:tab w:val="left" w:pos="-1440"/>
          <w:tab w:val="left" w:pos="-720"/>
        </w:tabs>
        <w:jc w:val="both"/>
        <w:rPr>
          <w:sz w:val="20"/>
          <w:szCs w:val="20"/>
          <w:lang w:val="fr-CA"/>
        </w:rPr>
      </w:pPr>
      <w:r>
        <w:rPr>
          <w:rFonts w:cs="Times New Roman"/>
          <w:sz w:val="20"/>
          <w:szCs w:val="20"/>
          <w:lang w:val="fr-CA"/>
        </w:rPr>
        <w:pict>
          <v:rect id="_x0000_i1105" style="width:2in;height:1pt" o:hrpct="0" o:hralign="center" o:hrstd="t" o:hrnoshade="t" o:hr="t" fillcolor="black [3213]" stroked="f"/>
        </w:pict>
      </w:r>
      <w:r w:rsidR="006168D3">
        <w:rPr>
          <w:sz w:val="20"/>
          <w:szCs w:val="20"/>
          <w:lang w:val="fr-CA"/>
        </w:rPr>
        <w:br w:type="page"/>
      </w:r>
    </w:p>
    <w:bookmarkStart w:id="4" w:name="1"/>
    <w:bookmarkEnd w:id="4"/>
    <w:p w:rsidR="006168D3" w:rsidRPr="00DB0BF3" w:rsidRDefault="00EF5791" w:rsidP="006168D3">
      <w:pPr>
        <w:widowControl w:val="0"/>
        <w:ind w:left="709" w:hanging="709"/>
        <w:jc w:val="both"/>
        <w:rPr>
          <w:b/>
          <w:i/>
          <w:sz w:val="20"/>
          <w:szCs w:val="20"/>
        </w:rPr>
      </w:pPr>
      <w:r w:rsidRPr="00DB0BF3">
        <w:rPr>
          <w:b/>
          <w:sz w:val="20"/>
          <w:szCs w:val="20"/>
        </w:rPr>
        <w:lastRenderedPageBreak/>
        <w:fldChar w:fldCharType="begin"/>
      </w:r>
      <w:r w:rsidR="006168D3" w:rsidRPr="00DB0BF3">
        <w:rPr>
          <w:b/>
          <w:sz w:val="20"/>
          <w:szCs w:val="20"/>
        </w:rPr>
        <w:instrText xml:space="preserve"> SEQ CHAPTER \h \r 1</w:instrText>
      </w:r>
      <w:r w:rsidRPr="00DB0BF3">
        <w:rPr>
          <w:b/>
          <w:sz w:val="20"/>
          <w:szCs w:val="20"/>
        </w:rPr>
        <w:fldChar w:fldCharType="end"/>
      </w:r>
      <w:r w:rsidR="006168D3" w:rsidRPr="00DB0BF3">
        <w:rPr>
          <w:b/>
          <w:sz w:val="20"/>
          <w:szCs w:val="20"/>
        </w:rPr>
        <w:t>35298</w:t>
      </w:r>
      <w:r w:rsidR="006168D3" w:rsidRPr="00DB0BF3">
        <w:rPr>
          <w:sz w:val="20"/>
          <w:szCs w:val="20"/>
        </w:rPr>
        <w:tab/>
      </w:r>
      <w:bookmarkStart w:id="5" w:name="3"/>
      <w:bookmarkEnd w:id="5"/>
      <w:r w:rsidR="006168D3" w:rsidRPr="00DB0BF3">
        <w:rPr>
          <w:b/>
          <w:i/>
          <w:sz w:val="20"/>
          <w:szCs w:val="20"/>
        </w:rPr>
        <w:t>Kevin Fearon v. Her Majesty the Queen</w:t>
      </w:r>
    </w:p>
    <w:p w:rsidR="006168D3" w:rsidRPr="00DB0BF3" w:rsidRDefault="006168D3" w:rsidP="006168D3">
      <w:pPr>
        <w:widowControl w:val="0"/>
        <w:jc w:val="both"/>
        <w:rPr>
          <w:sz w:val="20"/>
          <w:szCs w:val="20"/>
        </w:rPr>
      </w:pPr>
    </w:p>
    <w:p w:rsidR="006168D3" w:rsidRPr="00DB0BF3" w:rsidRDefault="006168D3" w:rsidP="006168D3">
      <w:pPr>
        <w:jc w:val="both"/>
        <w:rPr>
          <w:sz w:val="20"/>
          <w:szCs w:val="20"/>
        </w:rPr>
      </w:pPr>
      <w:r w:rsidRPr="00DB0BF3">
        <w:rPr>
          <w:i/>
          <w:sz w:val="20"/>
          <w:szCs w:val="20"/>
        </w:rPr>
        <w:t>Charter of Rights</w:t>
      </w:r>
      <w:r w:rsidRPr="00DB0BF3">
        <w:rPr>
          <w:sz w:val="20"/>
          <w:szCs w:val="20"/>
        </w:rPr>
        <w:t xml:space="preserve"> - Constitutional law - Search and seizure - Search incident to arrest - Evidence - Whether a search of the appellant’s cell-phone during his arrest breached s. 8 of the </w:t>
      </w:r>
      <w:r w:rsidRPr="00DB0BF3">
        <w:rPr>
          <w:i/>
          <w:sz w:val="20"/>
          <w:szCs w:val="20"/>
        </w:rPr>
        <w:t>Charter</w:t>
      </w:r>
      <w:r w:rsidRPr="00DB0BF3">
        <w:rPr>
          <w:sz w:val="20"/>
          <w:szCs w:val="20"/>
        </w:rPr>
        <w:t xml:space="preserve"> - Whether the legal framework governing searches incident to arrest extends to cell-phones - Whether a cell phone exception should be made to the common law power of police to search incident to arrest - Whether evidence found on the appellant’s cell-phone during his arrest should have been excluded pursuant to s. 24(2) of the </w:t>
      </w:r>
      <w:r w:rsidRPr="00DB0BF3">
        <w:rPr>
          <w:i/>
          <w:sz w:val="20"/>
          <w:szCs w:val="20"/>
        </w:rPr>
        <w:t>Charter</w:t>
      </w:r>
      <w:r w:rsidRPr="00DB0BF3">
        <w:rPr>
          <w:sz w:val="20"/>
          <w:szCs w:val="20"/>
        </w:rPr>
        <w:t>?</w:t>
      </w:r>
    </w:p>
    <w:p w:rsidR="006168D3" w:rsidRPr="00DB0BF3" w:rsidRDefault="006168D3" w:rsidP="006168D3">
      <w:pPr>
        <w:widowControl w:val="0"/>
        <w:jc w:val="both"/>
        <w:rPr>
          <w:sz w:val="20"/>
          <w:szCs w:val="20"/>
        </w:rPr>
      </w:pPr>
    </w:p>
    <w:p w:rsidR="006168D3" w:rsidRPr="00DB0BF3" w:rsidRDefault="006168D3" w:rsidP="006168D3">
      <w:pPr>
        <w:jc w:val="both"/>
        <w:rPr>
          <w:sz w:val="20"/>
          <w:szCs w:val="20"/>
        </w:rPr>
      </w:pPr>
      <w:r w:rsidRPr="00DB0BF3">
        <w:rPr>
          <w:sz w:val="20"/>
          <w:szCs w:val="20"/>
        </w:rPr>
        <w:t xml:space="preserve">Two men robbed a merchant and one of the robbers carried a gun.  The armed robber wore a red hoodie and he got into the front passenger seat of the get-away car.  When the police found the get-away car, they discovered a red hoodie on the front passenger seat and a loaded handgun under that seat. The gun bore distinctive etchings.  The police suspected the appellant had been involved and they arrested him.  One of the arresting officers conducted a pat down search and seized the appellant’s cell phone.  The cell phone was turned on and it was not password-protected or locked. The officer searched the cell phone and discovered incriminating evidence. The appellant admitted that he was one of the robbers and that he wore a red and black hoodie. However, he claimed that the gun used in the robbery was a fake and that he threw it away after the robbery.  A </w:t>
      </w:r>
      <w:r w:rsidRPr="00DB0BF3">
        <w:rPr>
          <w:i/>
          <w:sz w:val="20"/>
          <w:szCs w:val="20"/>
        </w:rPr>
        <w:t>voir dire</w:t>
      </w:r>
      <w:r w:rsidRPr="00DB0BF3">
        <w:rPr>
          <w:sz w:val="20"/>
          <w:szCs w:val="20"/>
        </w:rPr>
        <w:t xml:space="preserve"> was held to determine whether the search of the appellant’s cell phone incident to his arrest had violated s. 8 of the </w:t>
      </w:r>
      <w:r w:rsidRPr="00DB0BF3">
        <w:rPr>
          <w:i/>
          <w:sz w:val="20"/>
          <w:szCs w:val="20"/>
        </w:rPr>
        <w:t xml:space="preserve">Charter of Rights and Freedoms </w:t>
      </w:r>
      <w:r w:rsidRPr="00DB0BF3">
        <w:rPr>
          <w:sz w:val="20"/>
          <w:szCs w:val="20"/>
        </w:rPr>
        <w:t>and whether the incriminating evidence found on the cell phone should be admitted.  The trial judge admitted the evidence and relied on it to convict the appellant of armed robbery and possession of a loaded restricted firearm without a license or a registration certificate.</w:t>
      </w:r>
    </w:p>
    <w:p w:rsidR="006168D3" w:rsidRPr="00DB0BF3" w:rsidRDefault="006168D3" w:rsidP="006168D3">
      <w:pPr>
        <w:jc w:val="both"/>
        <w:rPr>
          <w:sz w:val="20"/>
          <w:szCs w:val="20"/>
        </w:rPr>
      </w:pPr>
    </w:p>
    <w:p w:rsidR="006168D3" w:rsidRPr="00DB0BF3" w:rsidRDefault="006168D3" w:rsidP="006168D3">
      <w:pPr>
        <w:widowControl w:val="0"/>
        <w:jc w:val="both"/>
        <w:rPr>
          <w:sz w:val="20"/>
          <w:szCs w:val="20"/>
        </w:rPr>
      </w:pPr>
    </w:p>
    <w:p w:rsidR="006168D3" w:rsidRPr="00DB0BF3" w:rsidRDefault="006168D3" w:rsidP="006168D3">
      <w:pPr>
        <w:widowControl w:val="0"/>
        <w:ind w:left="2880" w:hanging="2880"/>
        <w:jc w:val="both"/>
        <w:rPr>
          <w:sz w:val="20"/>
          <w:szCs w:val="20"/>
        </w:rPr>
      </w:pPr>
      <w:r w:rsidRPr="00DB0BF3">
        <w:rPr>
          <w:sz w:val="20"/>
          <w:szCs w:val="20"/>
        </w:rPr>
        <w:t>Origin of the case:</w:t>
      </w:r>
      <w:r w:rsidRPr="00DB0BF3">
        <w:rPr>
          <w:sz w:val="20"/>
          <w:szCs w:val="20"/>
        </w:rPr>
        <w:tab/>
      </w:r>
      <w:bookmarkStart w:id="6" w:name="4"/>
      <w:bookmarkEnd w:id="6"/>
      <w:r w:rsidRPr="00DB0BF3">
        <w:rPr>
          <w:sz w:val="20"/>
          <w:szCs w:val="20"/>
        </w:rPr>
        <w:t>Ontario</w:t>
      </w:r>
    </w:p>
    <w:p w:rsidR="006168D3" w:rsidRPr="00DB0BF3" w:rsidRDefault="006168D3" w:rsidP="006168D3">
      <w:pPr>
        <w:widowControl w:val="0"/>
        <w:ind w:left="2880" w:hanging="2880"/>
        <w:jc w:val="both"/>
        <w:rPr>
          <w:sz w:val="20"/>
          <w:szCs w:val="20"/>
        </w:rPr>
      </w:pPr>
    </w:p>
    <w:p w:rsidR="006168D3" w:rsidRPr="00DB0BF3" w:rsidRDefault="006168D3" w:rsidP="006168D3">
      <w:pPr>
        <w:widowControl w:val="0"/>
        <w:ind w:left="2880" w:hanging="2880"/>
        <w:jc w:val="both"/>
        <w:rPr>
          <w:sz w:val="20"/>
          <w:szCs w:val="20"/>
        </w:rPr>
      </w:pPr>
      <w:r w:rsidRPr="00DB0BF3">
        <w:rPr>
          <w:sz w:val="20"/>
          <w:szCs w:val="20"/>
        </w:rPr>
        <w:t>File No.:</w:t>
      </w:r>
      <w:r w:rsidRPr="00DB0BF3">
        <w:rPr>
          <w:sz w:val="20"/>
          <w:szCs w:val="20"/>
        </w:rPr>
        <w:tab/>
      </w:r>
      <w:bookmarkStart w:id="7" w:name="2"/>
      <w:bookmarkEnd w:id="7"/>
      <w:r w:rsidRPr="00DB0BF3">
        <w:rPr>
          <w:sz w:val="20"/>
          <w:szCs w:val="20"/>
        </w:rPr>
        <w:t>35298</w:t>
      </w:r>
    </w:p>
    <w:p w:rsidR="006168D3" w:rsidRPr="00DB0BF3" w:rsidRDefault="006168D3" w:rsidP="006168D3">
      <w:pPr>
        <w:widowControl w:val="0"/>
        <w:ind w:left="2880" w:hanging="2880"/>
        <w:jc w:val="both"/>
        <w:rPr>
          <w:sz w:val="20"/>
          <w:szCs w:val="20"/>
        </w:rPr>
      </w:pPr>
    </w:p>
    <w:p w:rsidR="006168D3" w:rsidRPr="00DB0BF3" w:rsidRDefault="006168D3" w:rsidP="006168D3">
      <w:pPr>
        <w:widowControl w:val="0"/>
        <w:ind w:left="2880" w:hanging="2880"/>
        <w:jc w:val="both"/>
        <w:rPr>
          <w:sz w:val="20"/>
          <w:szCs w:val="20"/>
        </w:rPr>
      </w:pPr>
      <w:r w:rsidRPr="00DB0BF3">
        <w:rPr>
          <w:sz w:val="20"/>
          <w:szCs w:val="20"/>
        </w:rPr>
        <w:t>Judgment of the Court of Appeal:</w:t>
      </w:r>
      <w:r w:rsidRPr="00DB0BF3">
        <w:rPr>
          <w:sz w:val="20"/>
          <w:szCs w:val="20"/>
        </w:rPr>
        <w:tab/>
      </w:r>
      <w:bookmarkStart w:id="8" w:name="5"/>
      <w:bookmarkEnd w:id="8"/>
      <w:r w:rsidRPr="00DB0BF3">
        <w:rPr>
          <w:sz w:val="20"/>
          <w:szCs w:val="20"/>
        </w:rPr>
        <w:t>February 20, 2013</w:t>
      </w:r>
    </w:p>
    <w:p w:rsidR="006168D3" w:rsidRPr="00DB0BF3" w:rsidRDefault="006168D3" w:rsidP="006168D3">
      <w:pPr>
        <w:widowControl w:val="0"/>
        <w:ind w:left="2880" w:hanging="2880"/>
        <w:jc w:val="both"/>
        <w:rPr>
          <w:sz w:val="20"/>
          <w:szCs w:val="20"/>
        </w:rPr>
      </w:pPr>
    </w:p>
    <w:p w:rsidR="006168D3" w:rsidRPr="00DB0BF3" w:rsidRDefault="006168D3" w:rsidP="006168D3">
      <w:pPr>
        <w:widowControl w:val="0"/>
        <w:ind w:left="2880" w:hanging="2880"/>
        <w:jc w:val="both"/>
        <w:rPr>
          <w:sz w:val="20"/>
          <w:szCs w:val="20"/>
        </w:rPr>
      </w:pPr>
      <w:r w:rsidRPr="00DB0BF3">
        <w:rPr>
          <w:sz w:val="20"/>
          <w:szCs w:val="20"/>
        </w:rPr>
        <w:t>Counsel:</w:t>
      </w:r>
      <w:r w:rsidRPr="00DB0BF3">
        <w:rPr>
          <w:sz w:val="20"/>
          <w:szCs w:val="20"/>
        </w:rPr>
        <w:tab/>
      </w:r>
      <w:bookmarkStart w:id="9" w:name="6"/>
      <w:bookmarkEnd w:id="9"/>
      <w:r w:rsidRPr="00DB0BF3">
        <w:rPr>
          <w:sz w:val="20"/>
          <w:szCs w:val="20"/>
        </w:rPr>
        <w:t>Sam Goldstein for the appellant</w:t>
      </w:r>
    </w:p>
    <w:p w:rsidR="006168D3" w:rsidRPr="00DB0BF3" w:rsidRDefault="006168D3" w:rsidP="006168D3">
      <w:pPr>
        <w:widowControl w:val="0"/>
        <w:ind w:left="2880" w:hanging="2880"/>
        <w:jc w:val="both"/>
        <w:rPr>
          <w:sz w:val="20"/>
          <w:szCs w:val="20"/>
        </w:rPr>
      </w:pPr>
      <w:r w:rsidRPr="00DB0BF3">
        <w:rPr>
          <w:sz w:val="20"/>
          <w:szCs w:val="20"/>
        </w:rPr>
        <w:tab/>
        <w:t>Randy Schwartz for the respondent</w:t>
      </w:r>
    </w:p>
    <w:p w:rsidR="006168D3" w:rsidRPr="00DD0B49" w:rsidRDefault="006168D3" w:rsidP="006168D3">
      <w:pPr>
        <w:tabs>
          <w:tab w:val="left" w:pos="-1440"/>
          <w:tab w:val="left" w:pos="-720"/>
        </w:tabs>
        <w:jc w:val="both"/>
        <w:rPr>
          <w:sz w:val="20"/>
          <w:szCs w:val="20"/>
          <w:lang w:val="fr-CA"/>
        </w:rPr>
      </w:pPr>
    </w:p>
    <w:p w:rsidR="006168D3" w:rsidRDefault="000B3306" w:rsidP="006168D3">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6168D3" w:rsidRDefault="006168D3" w:rsidP="006168D3">
      <w:pPr>
        <w:tabs>
          <w:tab w:val="left" w:pos="-1440"/>
          <w:tab w:val="left" w:pos="-720"/>
        </w:tabs>
        <w:jc w:val="both"/>
        <w:rPr>
          <w:sz w:val="20"/>
          <w:szCs w:val="20"/>
          <w:lang w:val="fr-CA"/>
        </w:rPr>
      </w:pPr>
    </w:p>
    <w:p w:rsidR="006168D3" w:rsidRDefault="006168D3">
      <w:pPr>
        <w:rPr>
          <w:sz w:val="20"/>
          <w:szCs w:val="20"/>
          <w:lang w:val="fr-CA"/>
        </w:rPr>
      </w:pPr>
      <w:r>
        <w:rPr>
          <w:sz w:val="20"/>
          <w:szCs w:val="20"/>
          <w:lang w:val="fr-CA"/>
        </w:rPr>
        <w:br w:type="page"/>
      </w:r>
    </w:p>
    <w:p w:rsidR="006168D3" w:rsidRPr="008D3E29" w:rsidRDefault="00EF5791" w:rsidP="006168D3">
      <w:pPr>
        <w:widowControl w:val="0"/>
        <w:ind w:left="709" w:hanging="709"/>
        <w:jc w:val="both"/>
        <w:rPr>
          <w:b/>
          <w:i/>
          <w:sz w:val="20"/>
          <w:szCs w:val="20"/>
          <w:lang w:val="fr-CA"/>
        </w:rPr>
      </w:pPr>
      <w:r w:rsidRPr="008D3E29">
        <w:rPr>
          <w:b/>
          <w:sz w:val="20"/>
          <w:szCs w:val="20"/>
          <w:lang w:val="fr-CA"/>
        </w:rPr>
        <w:lastRenderedPageBreak/>
        <w:fldChar w:fldCharType="begin"/>
      </w:r>
      <w:r w:rsidR="006168D3" w:rsidRPr="008D3E29">
        <w:rPr>
          <w:b/>
          <w:sz w:val="20"/>
          <w:szCs w:val="20"/>
          <w:lang w:val="fr-CA"/>
        </w:rPr>
        <w:instrText xml:space="preserve"> SEQ CHAPTER \h \r 1</w:instrText>
      </w:r>
      <w:r w:rsidRPr="008D3E29">
        <w:rPr>
          <w:b/>
          <w:sz w:val="20"/>
          <w:szCs w:val="20"/>
          <w:lang w:val="fr-CA"/>
        </w:rPr>
        <w:fldChar w:fldCharType="end"/>
      </w:r>
      <w:r w:rsidR="006168D3" w:rsidRPr="008D3E29">
        <w:rPr>
          <w:b/>
          <w:sz w:val="20"/>
          <w:szCs w:val="20"/>
          <w:lang w:val="fr-CA"/>
        </w:rPr>
        <w:t>35298</w:t>
      </w:r>
      <w:r w:rsidR="006168D3" w:rsidRPr="008D3E29">
        <w:rPr>
          <w:sz w:val="20"/>
          <w:szCs w:val="20"/>
          <w:lang w:val="fr-CA"/>
        </w:rPr>
        <w:tab/>
      </w:r>
      <w:r w:rsidR="006168D3" w:rsidRPr="008D3E29">
        <w:rPr>
          <w:b/>
          <w:i/>
          <w:sz w:val="20"/>
          <w:szCs w:val="20"/>
          <w:lang w:val="fr-CA"/>
        </w:rPr>
        <w:t>Kevin Fearon c. Sa Majesté la Reine</w:t>
      </w:r>
    </w:p>
    <w:p w:rsidR="006168D3" w:rsidRPr="008D3E29" w:rsidRDefault="006168D3" w:rsidP="006168D3">
      <w:pPr>
        <w:widowControl w:val="0"/>
        <w:jc w:val="both"/>
        <w:rPr>
          <w:sz w:val="20"/>
          <w:szCs w:val="20"/>
          <w:lang w:val="fr-CA"/>
        </w:rPr>
      </w:pPr>
    </w:p>
    <w:p w:rsidR="006168D3" w:rsidRPr="008D3E29" w:rsidRDefault="006168D3" w:rsidP="006168D3">
      <w:pPr>
        <w:jc w:val="both"/>
        <w:rPr>
          <w:sz w:val="20"/>
          <w:szCs w:val="20"/>
          <w:lang w:val="fr-CA"/>
        </w:rPr>
      </w:pPr>
      <w:r w:rsidRPr="008D3E29">
        <w:rPr>
          <w:i/>
          <w:sz w:val="20"/>
          <w:szCs w:val="20"/>
          <w:lang w:val="fr-CA"/>
        </w:rPr>
        <w:t>Charte des droits</w:t>
      </w:r>
      <w:r w:rsidRPr="008D3E29">
        <w:rPr>
          <w:sz w:val="20"/>
          <w:szCs w:val="20"/>
          <w:lang w:val="fr-CA"/>
        </w:rPr>
        <w:t xml:space="preserve"> - Droit constitutionnel - Fouilles, perquisitions et saisies - Fouille accessoire à l’arrestation - Preuve - La fouille du téléphone cellulaire de l’appelant pendant une arrestation a-t-elle enfreint l’art. 8 de la </w:t>
      </w:r>
      <w:r w:rsidRPr="008D3E29">
        <w:rPr>
          <w:i/>
          <w:sz w:val="20"/>
          <w:szCs w:val="20"/>
          <w:lang w:val="fr-CA"/>
        </w:rPr>
        <w:t>Charte</w:t>
      </w:r>
      <w:r w:rsidRPr="008D3E29">
        <w:rPr>
          <w:sz w:val="20"/>
          <w:szCs w:val="20"/>
          <w:lang w:val="fr-CA"/>
        </w:rPr>
        <w:t xml:space="preserve">? - Le cadre juridique qui régit les fouilles accessoires à l’arrestation vise-t-il également les téléphones cellulaires? - Faut-il prévoir une exception pour les téléphones cellulaires au pouvoir issu de la common law qui autorise le policier à procéder à une fouille accessoire à une arrestation? - Les éléments que révélait le téléphone cellulaire de l’appelant, découverts lors de l’arrestation, devraient-ils être exclus de la preuve en application du par. 24(2) de la </w:t>
      </w:r>
      <w:r w:rsidRPr="008D3E29">
        <w:rPr>
          <w:i/>
          <w:sz w:val="20"/>
          <w:szCs w:val="20"/>
          <w:lang w:val="fr-CA"/>
        </w:rPr>
        <w:t>Charte</w:t>
      </w:r>
      <w:r w:rsidRPr="008D3E29">
        <w:rPr>
          <w:sz w:val="20"/>
          <w:szCs w:val="20"/>
          <w:lang w:val="fr-CA"/>
        </w:rPr>
        <w:t>?</w:t>
      </w:r>
    </w:p>
    <w:p w:rsidR="006168D3" w:rsidRPr="008D3E29" w:rsidRDefault="006168D3" w:rsidP="006168D3">
      <w:pPr>
        <w:widowControl w:val="0"/>
        <w:jc w:val="both"/>
        <w:rPr>
          <w:sz w:val="20"/>
          <w:szCs w:val="20"/>
          <w:lang w:val="fr-CA"/>
        </w:rPr>
      </w:pPr>
    </w:p>
    <w:p w:rsidR="006168D3" w:rsidRPr="008D3E29" w:rsidRDefault="006168D3" w:rsidP="006168D3">
      <w:pPr>
        <w:jc w:val="both"/>
        <w:rPr>
          <w:sz w:val="20"/>
          <w:szCs w:val="20"/>
          <w:lang w:val="fr-CA"/>
        </w:rPr>
      </w:pPr>
      <w:r w:rsidRPr="008D3E29">
        <w:rPr>
          <w:sz w:val="20"/>
          <w:szCs w:val="20"/>
          <w:lang w:val="fr-CA"/>
        </w:rPr>
        <w:t xml:space="preserve">Deux hommes ont perpétré un vol qualifié chez un commerçant; l’un d’eux portait une arme à feu.  Ce dernier, vêtu d’un chandail rouge à capuchon, a pris place dans une voiture à côté du conducteur pour quitter le lieu du crime.  Après avoir repéré la voiture, les policiers ont trouvé un chandail rouge à capuchon sur le siège du passager et une arme de poing chargée dessous.  Des gravures particulières ornaient l’arme.  Soupçonnant l’appelant du crime, les policiers l’ont arrêté.  L’un d’eux, en effectuant la fouille par palpation de l’appelant, a saisi le téléphone cellulaire de celui-ci.  Le téléphone était en marche, et il n’était pas verrouillé, ni protégé par un mot de passe.  Le policier a examiné le téléphone et il a trouvé des preuves incriminantes.  L’appelant a avoué avoir participé au vol qualifié et a reconnu qu’il portait un chandail rouge et noir à capuchon, mais il a prétendu que l’arme du crime n’était qu’une reproduction, dont il s’était débarrassé après la perpétration.  Un voir-dire a été tenu pour déterminer si la fouille du téléphone cellulaire de l’appelant accessoire à l’arrestation avait enfreint l’art. 8 de la </w:t>
      </w:r>
      <w:r w:rsidRPr="008D3E29">
        <w:rPr>
          <w:i/>
          <w:sz w:val="20"/>
          <w:szCs w:val="20"/>
          <w:lang w:val="fr-CA"/>
        </w:rPr>
        <w:t>Charte canadienne des droits et libertés</w:t>
      </w:r>
      <w:r w:rsidRPr="008D3E29">
        <w:rPr>
          <w:sz w:val="20"/>
          <w:szCs w:val="20"/>
          <w:lang w:val="fr-CA"/>
        </w:rPr>
        <w:t xml:space="preserve"> et si la preuve incriminante découverte devait être admise.  Au procès, la preuve a été admise et a fondé la déclaration de culpabilité pour vol qualifié et possession d’une arme à feu à utilisation restreinte chargée sans permis ni certificat d’enregistrement.  </w:t>
      </w:r>
    </w:p>
    <w:p w:rsidR="006168D3" w:rsidRPr="008D3E29" w:rsidRDefault="006168D3" w:rsidP="006168D3">
      <w:pPr>
        <w:jc w:val="both"/>
        <w:rPr>
          <w:sz w:val="20"/>
          <w:szCs w:val="20"/>
          <w:lang w:val="fr-CA"/>
        </w:rPr>
      </w:pPr>
    </w:p>
    <w:p w:rsidR="006168D3" w:rsidRPr="008D3E29" w:rsidRDefault="006168D3" w:rsidP="006168D3">
      <w:pPr>
        <w:widowControl w:val="0"/>
        <w:jc w:val="both"/>
        <w:rPr>
          <w:sz w:val="20"/>
          <w:szCs w:val="20"/>
          <w:lang w:val="fr-CA"/>
        </w:rPr>
      </w:pPr>
    </w:p>
    <w:p w:rsidR="006168D3" w:rsidRPr="008D3E29" w:rsidRDefault="006168D3" w:rsidP="006168D3">
      <w:pPr>
        <w:widowControl w:val="0"/>
        <w:ind w:left="2880" w:hanging="2880"/>
        <w:jc w:val="both"/>
        <w:rPr>
          <w:sz w:val="20"/>
          <w:szCs w:val="20"/>
          <w:lang w:val="fr-CA"/>
        </w:rPr>
      </w:pPr>
      <w:r w:rsidRPr="008D3E29">
        <w:rPr>
          <w:sz w:val="20"/>
          <w:szCs w:val="20"/>
          <w:lang w:val="fr-CA"/>
        </w:rPr>
        <w:t>Origine :</w:t>
      </w:r>
      <w:r w:rsidRPr="008D3E29">
        <w:rPr>
          <w:sz w:val="20"/>
          <w:szCs w:val="20"/>
          <w:lang w:val="fr-CA"/>
        </w:rPr>
        <w:tab/>
        <w:t>Ontario</w:t>
      </w:r>
    </w:p>
    <w:p w:rsidR="006168D3" w:rsidRPr="008D3E29" w:rsidRDefault="006168D3" w:rsidP="006168D3">
      <w:pPr>
        <w:widowControl w:val="0"/>
        <w:ind w:left="2880" w:hanging="2880"/>
        <w:jc w:val="both"/>
        <w:rPr>
          <w:sz w:val="20"/>
          <w:szCs w:val="20"/>
          <w:lang w:val="fr-CA"/>
        </w:rPr>
      </w:pPr>
    </w:p>
    <w:p w:rsidR="006168D3" w:rsidRPr="008D3E29" w:rsidRDefault="006168D3" w:rsidP="006168D3">
      <w:pPr>
        <w:widowControl w:val="0"/>
        <w:ind w:left="2880" w:hanging="2880"/>
        <w:jc w:val="both"/>
        <w:rPr>
          <w:sz w:val="20"/>
          <w:szCs w:val="20"/>
          <w:lang w:val="fr-CA"/>
        </w:rPr>
      </w:pPr>
      <w:r w:rsidRPr="008D3E29">
        <w:rPr>
          <w:sz w:val="20"/>
          <w:szCs w:val="20"/>
          <w:lang w:val="fr-CA"/>
        </w:rPr>
        <w:t>N</w:t>
      </w:r>
      <w:r w:rsidRPr="008D3E29">
        <w:rPr>
          <w:sz w:val="20"/>
          <w:szCs w:val="20"/>
          <w:vertAlign w:val="superscript"/>
          <w:lang w:val="fr-CA"/>
        </w:rPr>
        <w:t>o</w:t>
      </w:r>
      <w:r w:rsidRPr="008D3E29">
        <w:rPr>
          <w:sz w:val="20"/>
          <w:szCs w:val="20"/>
          <w:lang w:val="fr-CA"/>
        </w:rPr>
        <w:t xml:space="preserve"> du greffe :</w:t>
      </w:r>
      <w:r w:rsidRPr="008D3E29">
        <w:rPr>
          <w:sz w:val="20"/>
          <w:szCs w:val="20"/>
          <w:lang w:val="fr-CA"/>
        </w:rPr>
        <w:tab/>
        <w:t>35298</w:t>
      </w:r>
    </w:p>
    <w:p w:rsidR="006168D3" w:rsidRPr="008D3E29" w:rsidRDefault="006168D3" w:rsidP="006168D3">
      <w:pPr>
        <w:widowControl w:val="0"/>
        <w:ind w:left="2880" w:hanging="2880"/>
        <w:jc w:val="both"/>
        <w:rPr>
          <w:sz w:val="20"/>
          <w:szCs w:val="20"/>
          <w:lang w:val="fr-CA"/>
        </w:rPr>
      </w:pPr>
    </w:p>
    <w:p w:rsidR="006168D3" w:rsidRPr="008D3E29" w:rsidRDefault="006168D3" w:rsidP="006168D3">
      <w:pPr>
        <w:widowControl w:val="0"/>
        <w:ind w:left="2880" w:hanging="2880"/>
        <w:jc w:val="both"/>
        <w:rPr>
          <w:sz w:val="20"/>
          <w:szCs w:val="20"/>
          <w:lang w:val="fr-CA"/>
        </w:rPr>
      </w:pPr>
      <w:r w:rsidRPr="008D3E29">
        <w:rPr>
          <w:sz w:val="20"/>
          <w:szCs w:val="20"/>
          <w:lang w:val="fr-CA"/>
        </w:rPr>
        <w:t>Arrêt de la Cour d’appel :</w:t>
      </w:r>
      <w:r w:rsidRPr="008D3E29">
        <w:rPr>
          <w:sz w:val="20"/>
          <w:szCs w:val="20"/>
          <w:lang w:val="fr-CA"/>
        </w:rPr>
        <w:tab/>
        <w:t>le 20 février 2013</w:t>
      </w:r>
    </w:p>
    <w:p w:rsidR="006168D3" w:rsidRPr="008D3E29" w:rsidRDefault="006168D3" w:rsidP="006168D3">
      <w:pPr>
        <w:widowControl w:val="0"/>
        <w:ind w:left="2880" w:hanging="2880"/>
        <w:jc w:val="both"/>
        <w:rPr>
          <w:sz w:val="20"/>
          <w:szCs w:val="20"/>
          <w:lang w:val="fr-CA"/>
        </w:rPr>
      </w:pPr>
    </w:p>
    <w:p w:rsidR="006168D3" w:rsidRPr="008D3E29" w:rsidRDefault="006168D3" w:rsidP="006168D3">
      <w:pPr>
        <w:widowControl w:val="0"/>
        <w:ind w:left="2880" w:hanging="2880"/>
        <w:jc w:val="both"/>
        <w:rPr>
          <w:sz w:val="20"/>
          <w:szCs w:val="20"/>
          <w:lang w:val="fr-CA"/>
        </w:rPr>
      </w:pPr>
      <w:r w:rsidRPr="008D3E29">
        <w:rPr>
          <w:sz w:val="20"/>
          <w:szCs w:val="20"/>
          <w:lang w:val="fr-CA"/>
        </w:rPr>
        <w:t>Avocats :</w:t>
      </w:r>
      <w:r w:rsidRPr="008D3E29">
        <w:rPr>
          <w:sz w:val="20"/>
          <w:szCs w:val="20"/>
          <w:lang w:val="fr-CA"/>
        </w:rPr>
        <w:tab/>
        <w:t>Sam Goldstein pour l’appellant</w:t>
      </w:r>
    </w:p>
    <w:p w:rsidR="006168D3" w:rsidRPr="008D3E29" w:rsidRDefault="006168D3" w:rsidP="006168D3">
      <w:pPr>
        <w:widowControl w:val="0"/>
        <w:ind w:left="2880" w:hanging="2880"/>
        <w:jc w:val="both"/>
        <w:rPr>
          <w:sz w:val="20"/>
          <w:szCs w:val="20"/>
          <w:lang w:val="fr-CA"/>
        </w:rPr>
      </w:pPr>
      <w:r w:rsidRPr="008D3E29">
        <w:rPr>
          <w:sz w:val="20"/>
          <w:szCs w:val="20"/>
          <w:lang w:val="fr-CA"/>
        </w:rPr>
        <w:tab/>
        <w:t>Randy Schwartz pour l’intimée</w:t>
      </w:r>
    </w:p>
    <w:p w:rsidR="006168D3" w:rsidRPr="00DD0B49" w:rsidRDefault="006168D3" w:rsidP="006168D3">
      <w:pPr>
        <w:tabs>
          <w:tab w:val="left" w:pos="-1440"/>
          <w:tab w:val="left" w:pos="-720"/>
        </w:tabs>
        <w:jc w:val="both"/>
        <w:rPr>
          <w:sz w:val="20"/>
          <w:szCs w:val="20"/>
          <w:lang w:val="fr-CA"/>
        </w:rPr>
      </w:pPr>
    </w:p>
    <w:p w:rsidR="006168D3" w:rsidRDefault="000B3306" w:rsidP="006168D3">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6168D3" w:rsidRDefault="006168D3" w:rsidP="006168D3">
      <w:pPr>
        <w:tabs>
          <w:tab w:val="left" w:pos="-1440"/>
          <w:tab w:val="left" w:pos="-720"/>
        </w:tabs>
        <w:jc w:val="both"/>
        <w:rPr>
          <w:sz w:val="20"/>
          <w:szCs w:val="20"/>
          <w:lang w:val="fr-CA"/>
        </w:rPr>
      </w:pPr>
    </w:p>
    <w:p w:rsidR="006168D3" w:rsidRPr="00DD0B49" w:rsidRDefault="006168D3"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81610A" w:rsidRPr="002E0C7E" w:rsidRDefault="00EF5791"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5"/>
      <w:footerReference w:type="default" r:id="rId9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43" w:rsidRDefault="00723843" w:rsidP="00A87207">
      <w:r>
        <w:separator/>
      </w:r>
    </w:p>
  </w:endnote>
  <w:endnote w:type="continuationSeparator" w:id="0">
    <w:p w:rsidR="00723843" w:rsidRDefault="0072384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pPr>
      <w:pStyle w:val="Footer"/>
      <w:rPr>
        <w:lang w:val="fr-CA"/>
      </w:rPr>
    </w:pPr>
    <w:r>
      <w:rPr>
        <w:lang w:val="fr-CA"/>
      </w:rPr>
      <w:pict>
        <v:rect id="_x0000_i1062" style="width:480.95pt;height:1pt" o:hralign="center" o:hrstd="t" o:hrnoshade="t" o:hr="t" fillcolor="black [3213]" stroked="f"/>
      </w:pict>
    </w:r>
  </w:p>
  <w:p w:rsidR="00723843" w:rsidRDefault="00723843" w:rsidP="00245129">
    <w:pPr>
      <w:tabs>
        <w:tab w:val="center" w:pos="4680"/>
      </w:tabs>
    </w:pPr>
    <w:r>
      <w:tab/>
    </w:r>
    <w:r w:rsidRPr="0009648D">
      <w:t xml:space="preserve">- </w:t>
    </w:r>
    <w:r w:rsidR="000B3306">
      <w:fldChar w:fldCharType="begin"/>
    </w:r>
    <w:r w:rsidR="000B3306">
      <w:instrText xml:space="preserve"> PAGE   \* MERGEFORMAT </w:instrText>
    </w:r>
    <w:r w:rsidR="000B3306">
      <w:fldChar w:fldCharType="separate"/>
    </w:r>
    <w:r w:rsidR="000B3306">
      <w:rPr>
        <w:noProof/>
      </w:rPr>
      <w:t>761</w:t>
    </w:r>
    <w:r w:rsidR="000B3306">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3843" w:rsidRDefault="0072384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55F22">
    <w:pPr>
      <w:tabs>
        <w:tab w:val="left" w:pos="-1440"/>
        <w:tab w:val="left" w:pos="-720"/>
      </w:tabs>
    </w:pPr>
    <w:r>
      <w:pict>
        <v:rect id="_x0000_i1067" style="width:480.95pt;height:1pt" o:hralign="center" o:hrstd="t" o:hrnoshade="t" o:hr="t" fillcolor="black [3213]" stroked="f"/>
      </w:pict>
    </w:r>
  </w:p>
  <w:p w:rsidR="00723843" w:rsidRDefault="00723843" w:rsidP="00EB2B90">
    <w:pPr>
      <w:tabs>
        <w:tab w:val="center" w:pos="4680"/>
      </w:tabs>
    </w:pPr>
    <w:r>
      <w:tab/>
      <w:t xml:space="preserve">- </w:t>
    </w:r>
    <w:r w:rsidR="000B3306">
      <w:fldChar w:fldCharType="begin"/>
    </w:r>
    <w:r w:rsidR="000B3306">
      <w:instrText xml:space="preserve"> PAGE   \* MERGEFORMAT </w:instrText>
    </w:r>
    <w:r w:rsidR="000B3306">
      <w:fldChar w:fldCharType="separate"/>
    </w:r>
    <w:r w:rsidR="000B3306">
      <w:rPr>
        <w:noProof/>
      </w:rPr>
      <w:t>785</w:t>
    </w:r>
    <w:r w:rsidR="000B3306">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EB2B90">
    <w:pPr>
      <w:tabs>
        <w:tab w:val="center" w:pos="4680"/>
      </w:tabs>
    </w:pPr>
    <w:r>
      <w:pict>
        <v:rect id="_x0000_i1068" style="width:480.95pt;height:1pt" o:hralign="center" o:hrstd="t" o:hrnoshade="t" o:hr="t" fillcolor="black [3213]" stroked="f"/>
      </w:pict>
    </w:r>
  </w:p>
  <w:p w:rsidR="00723843" w:rsidRPr="0031432F" w:rsidRDefault="00723843" w:rsidP="00EB2B90">
    <w:pPr>
      <w:tabs>
        <w:tab w:val="center" w:pos="4680"/>
      </w:tabs>
    </w:pPr>
    <w:r>
      <w:tab/>
      <w:t xml:space="preserve">- </w:t>
    </w:r>
    <w:r w:rsidR="000B3306">
      <w:fldChar w:fldCharType="begin"/>
    </w:r>
    <w:r w:rsidR="000B3306">
      <w:instrText xml:space="preserve"> PAGE   \* MERGEFORMAT </w:instrText>
    </w:r>
    <w:r w:rsidR="000B3306">
      <w:fldChar w:fldCharType="separate"/>
    </w:r>
    <w:r w:rsidR="000B3306">
      <w:rPr>
        <w:noProof/>
      </w:rPr>
      <w:t>780</w:t>
    </w:r>
    <w:r w:rsidR="000B3306">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3843" w:rsidRDefault="0072384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723843" w:rsidRDefault="00723843" w:rsidP="00EB2B90">
    <w:pPr>
      <w:tabs>
        <w:tab w:val="center" w:pos="4680"/>
      </w:tabs>
    </w:pPr>
    <w:r>
      <w:tab/>
      <w:t xml:space="preserve">- </w:t>
    </w:r>
    <w:r w:rsidR="000B3306">
      <w:fldChar w:fldCharType="begin"/>
    </w:r>
    <w:r w:rsidR="000B3306">
      <w:instrText xml:space="preserve"> PAGE   \* MERGEFORMAT </w:instrText>
    </w:r>
    <w:r w:rsidR="000B3306">
      <w:fldChar w:fldCharType="separate"/>
    </w:r>
    <w:r>
      <w:rPr>
        <w:noProof/>
      </w:rPr>
      <w:t>782</w:t>
    </w:r>
    <w:r w:rsidR="000B3306">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pPr>
      <w:pStyle w:val="Footer"/>
      <w:rPr>
        <w:lang w:val="fr-CA"/>
      </w:rPr>
    </w:pPr>
    <w:r>
      <w:rPr>
        <w:lang w:val="fr-CA"/>
      </w:rPr>
      <w:pict>
        <v:rect id="_x0000_i1078" style="width:480.95pt;height:1pt" o:hralign="center" o:hrstd="t" o:hrnoshade="t" o:hr="t" fillcolor="black [3213]" stroked="f"/>
      </w:pict>
    </w:r>
  </w:p>
  <w:p w:rsidR="00723843" w:rsidRDefault="00723843" w:rsidP="00EB2B90">
    <w:pPr>
      <w:tabs>
        <w:tab w:val="center" w:pos="4680"/>
      </w:tabs>
    </w:pPr>
    <w:r>
      <w:tab/>
      <w:t xml:space="preserve">- </w:t>
    </w:r>
    <w:r w:rsidR="000B3306">
      <w:fldChar w:fldCharType="begin"/>
    </w:r>
    <w:r w:rsidR="000B3306">
      <w:instrText xml:space="preserve"> PAGE   \* MERGEFORMAT </w:instrText>
    </w:r>
    <w:r w:rsidR="000B3306">
      <w:fldChar w:fldCharType="separate"/>
    </w:r>
    <w:r w:rsidR="000B3306">
      <w:rPr>
        <w:noProof/>
      </w:rPr>
      <w:t>786</w:t>
    </w:r>
    <w:r w:rsidR="000B3306">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3843" w:rsidRDefault="0072384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32DB7">
    <w:r>
      <w:pict>
        <v:rect id="_x0000_i1081" style="width:480.95pt;height:1pt" o:hralign="center" o:hrstd="t" o:hrnoshade="t" o:hr="t" fillcolor="black" stroked="f"/>
      </w:pict>
    </w:r>
  </w:p>
  <w:p w:rsidR="00723843" w:rsidRDefault="0072384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pPr>
      <w:pStyle w:val="Footer"/>
    </w:pPr>
    <w:r>
      <w:pict>
        <v:rect id="_x0000_i1082" style="width:480.95pt;height:1pt" o:hralign="center" o:hrstd="t" o:hrnoshade="t" o:hr="t" fillcolor="black [3213]" stroked="f"/>
      </w:pict>
    </w:r>
  </w:p>
  <w:p w:rsidR="00723843" w:rsidRPr="003C2C0F" w:rsidRDefault="00723843" w:rsidP="00697C62">
    <w:pPr>
      <w:tabs>
        <w:tab w:val="center" w:pos="4680"/>
      </w:tabs>
    </w:pPr>
    <w:r>
      <w:tab/>
      <w:t xml:space="preserve">- </w:t>
    </w:r>
    <w:r w:rsidR="000B3306">
      <w:fldChar w:fldCharType="begin"/>
    </w:r>
    <w:r w:rsidR="000B3306">
      <w:instrText xml:space="preserve"> PAGE   \* MERGEFORMAT </w:instrText>
    </w:r>
    <w:r w:rsidR="000B3306">
      <w:fldChar w:fldCharType="separate"/>
    </w:r>
    <w:r w:rsidR="000B3306">
      <w:rPr>
        <w:noProof/>
      </w:rPr>
      <w:t>787</w:t>
    </w:r>
    <w:r w:rsidR="000B3306">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3843" w:rsidRDefault="0072384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3843" w:rsidRDefault="000B3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723843" w:rsidRDefault="00723843" w:rsidP="00782AE4">
    <w:pPr>
      <w:tabs>
        <w:tab w:val="center" w:pos="4680"/>
      </w:tabs>
    </w:pPr>
    <w:r>
      <w:tab/>
      <w:t xml:space="preserve">- </w:t>
    </w:r>
    <w:r w:rsidR="00EF5791" w:rsidRPr="001775C1">
      <w:rPr>
        <w:szCs w:val="24"/>
      </w:rPr>
      <w:fldChar w:fldCharType="begin"/>
    </w:r>
    <w:r w:rsidRPr="001775C1">
      <w:rPr>
        <w:szCs w:val="24"/>
      </w:rPr>
      <w:instrText xml:space="preserve"> PAGE   \* MERGEFORMAT </w:instrText>
    </w:r>
    <w:r w:rsidR="00EF5791" w:rsidRPr="001775C1">
      <w:rPr>
        <w:szCs w:val="24"/>
      </w:rPr>
      <w:fldChar w:fldCharType="separate"/>
    </w:r>
    <w:r w:rsidR="000B3306">
      <w:rPr>
        <w:noProof/>
        <w:szCs w:val="24"/>
      </w:rPr>
      <w:t>794</w:t>
    </w:r>
    <w:r w:rsidR="00EF5791"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82AE4">
    <w:pPr>
      <w:tabs>
        <w:tab w:val="center" w:pos="4680"/>
      </w:tabs>
    </w:pPr>
    <w:r>
      <w:pict>
        <v:rect id="_x0000_i1088" style="width:480.95pt;height:1pt" o:hralign="center" o:hrstd="t" o:hrnoshade="t" o:hr="t" fillcolor="black [3213]" stroked="f"/>
      </w:pict>
    </w:r>
  </w:p>
  <w:p w:rsidR="00723843" w:rsidRDefault="00723843" w:rsidP="00782AE4">
    <w:pPr>
      <w:tabs>
        <w:tab w:val="center" w:pos="4680"/>
      </w:tabs>
    </w:pPr>
    <w:r>
      <w:tab/>
      <w:t xml:space="preserve">- </w:t>
    </w:r>
    <w:r w:rsidR="00EF5791" w:rsidRPr="001775C1">
      <w:rPr>
        <w:szCs w:val="24"/>
      </w:rPr>
      <w:fldChar w:fldCharType="begin"/>
    </w:r>
    <w:r w:rsidRPr="001775C1">
      <w:rPr>
        <w:szCs w:val="24"/>
      </w:rPr>
      <w:instrText xml:space="preserve"> PAGE   \* MERGEFORMAT </w:instrText>
    </w:r>
    <w:r w:rsidR="00EF5791" w:rsidRPr="001775C1">
      <w:rPr>
        <w:szCs w:val="24"/>
      </w:rPr>
      <w:fldChar w:fldCharType="separate"/>
    </w:r>
    <w:r w:rsidR="000B3306">
      <w:rPr>
        <w:noProof/>
        <w:szCs w:val="24"/>
      </w:rPr>
      <w:t>788</w:t>
    </w:r>
    <w:r w:rsidR="00EF5791"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723843" w:rsidRDefault="0072384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723843" w:rsidRDefault="0072384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A3EAE">
    <w:pPr>
      <w:pStyle w:val="Footer"/>
    </w:pPr>
    <w:r>
      <w:pict>
        <v:rect id="_x0000_i1090" style="width:480.95pt;height:1pt" o:hralign="center" o:hrstd="t" o:hrnoshade="t" o:hr="t" fillcolor="black [3213]" stroked="f"/>
      </w:pict>
    </w:r>
  </w:p>
  <w:p w:rsidR="00723843" w:rsidRPr="003160AB" w:rsidRDefault="00723843" w:rsidP="007A3EAE">
    <w:pPr>
      <w:pStyle w:val="Footer"/>
    </w:pPr>
    <w:r w:rsidRPr="003160AB">
      <w:tab/>
    </w:r>
    <w:r>
      <w:t xml:space="preserve">- </w:t>
    </w:r>
    <w:r w:rsidR="000B3306">
      <w:fldChar w:fldCharType="begin"/>
    </w:r>
    <w:r w:rsidR="000B3306">
      <w:instrText xml:space="preserve"> PAGE   \* MERGEFORMAT </w:instrText>
    </w:r>
    <w:r w:rsidR="000B3306">
      <w:fldChar w:fldCharType="separate"/>
    </w:r>
    <w:r>
      <w:rPr>
        <w:noProof/>
      </w:rPr>
      <w:t>809</w:t>
    </w:r>
    <w:r w:rsidR="000B3306">
      <w:rPr>
        <w:noProof/>
      </w:rPr>
      <w:fldChar w:fldCharType="end"/>
    </w:r>
    <w: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82AE4">
    <w:pPr>
      <w:tabs>
        <w:tab w:val="center" w:pos="4680"/>
      </w:tabs>
    </w:pPr>
    <w:r>
      <w:pict>
        <v:rect id="_x0000_i1091" style="width:480.95pt;height:1pt" o:hralign="center" o:hrstd="t" o:hrnoshade="t" o:hr="t" fillcolor="black [3213]" stroked="f"/>
      </w:pict>
    </w:r>
  </w:p>
  <w:p w:rsidR="00723843" w:rsidRDefault="00723843" w:rsidP="00782AE4">
    <w:pPr>
      <w:tabs>
        <w:tab w:val="center" w:pos="4680"/>
      </w:tabs>
    </w:pPr>
    <w:r>
      <w:tab/>
      <w:t xml:space="preserve">- </w:t>
    </w:r>
    <w:r w:rsidR="00EF5791" w:rsidRPr="001775C1">
      <w:rPr>
        <w:szCs w:val="24"/>
      </w:rPr>
      <w:fldChar w:fldCharType="begin"/>
    </w:r>
    <w:r w:rsidRPr="001775C1">
      <w:rPr>
        <w:szCs w:val="24"/>
      </w:rPr>
      <w:instrText xml:space="preserve"> PAGE   \* MERGEFORMAT </w:instrText>
    </w:r>
    <w:r w:rsidR="00EF5791" w:rsidRPr="001775C1">
      <w:rPr>
        <w:szCs w:val="24"/>
      </w:rPr>
      <w:fldChar w:fldCharType="separate"/>
    </w:r>
    <w:r w:rsidR="000B3306">
      <w:rPr>
        <w:noProof/>
        <w:szCs w:val="24"/>
      </w:rPr>
      <w:t>795</w:t>
    </w:r>
    <w:r w:rsidR="00EF5791"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23843" w:rsidRDefault="007238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23843" w:rsidRDefault="00723843">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22323B">
    <w:r>
      <w:pict>
        <v:rect id="_x0000_i1094" style="width:480.95pt;height:1pt" o:hralign="center" o:hrstd="t" o:hrnoshade="t" o:hr="t" fillcolor="black [3213]" stroked="f"/>
      </w:pict>
    </w:r>
  </w:p>
  <w:p w:rsidR="00723843" w:rsidRDefault="00723843">
    <w:pPr>
      <w:tabs>
        <w:tab w:val="center" w:pos="4740"/>
      </w:tabs>
      <w:spacing w:line="0" w:lineRule="atLeast"/>
    </w:pPr>
    <w:r>
      <w:tab/>
      <w:t xml:space="preserve">- </w:t>
    </w:r>
    <w:r w:rsidR="000B3306">
      <w:fldChar w:fldCharType="begin"/>
    </w:r>
    <w:r w:rsidR="000B3306">
      <w:instrText xml:space="preserve"> PAGE   \* MERGEFORMAT </w:instrText>
    </w:r>
    <w:r w:rsidR="000B3306">
      <w:fldChar w:fldCharType="separate"/>
    </w:r>
    <w:r>
      <w:rPr>
        <w:noProof/>
      </w:rPr>
      <w:t>541</w:t>
    </w:r>
    <w:r w:rsidR="000B3306">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22323B">
    <w:r>
      <w:pict>
        <v:rect id="_x0000_i1095" style="width:480.95pt;height:1pt" o:hralign="center" o:hrstd="t" o:hrnoshade="t" o:hr="t" fillcolor="black [3213]" stroked="f"/>
      </w:pict>
    </w:r>
  </w:p>
  <w:p w:rsidR="00723843" w:rsidRDefault="00723843" w:rsidP="0022323B">
    <w:pPr>
      <w:tabs>
        <w:tab w:val="center" w:pos="4740"/>
      </w:tabs>
      <w:spacing w:line="0" w:lineRule="atLeast"/>
    </w:pPr>
    <w:r>
      <w:tab/>
      <w:t xml:space="preserve">- </w:t>
    </w:r>
    <w:r w:rsidR="000B3306">
      <w:fldChar w:fldCharType="begin"/>
    </w:r>
    <w:r w:rsidR="000B3306">
      <w:instrText xml:space="preserve"> PAGE   \* MERGEFORMAT </w:instrText>
    </w:r>
    <w:r w:rsidR="000B3306">
      <w:fldChar w:fldCharType="separate"/>
    </w:r>
    <w:r w:rsidR="000B3306">
      <w:rPr>
        <w:noProof/>
      </w:rPr>
      <w:t>796</w:t>
    </w:r>
    <w:r w:rsidR="000B3306">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22323B">
    <w:r>
      <w:pict>
        <v:rect id="_x0000_i1108" style="width:480.95pt;height:1pt" o:hralign="center" o:hrstd="t" o:hrnoshade="t" o:hr="t" fillcolor="black [3213]" stroked="f"/>
      </w:pict>
    </w:r>
  </w:p>
  <w:p w:rsidR="00723843" w:rsidRDefault="00723843">
    <w:pPr>
      <w:tabs>
        <w:tab w:val="center" w:pos="4740"/>
      </w:tabs>
      <w:spacing w:line="0" w:lineRule="atLeast"/>
    </w:pPr>
    <w:r>
      <w:tab/>
      <w:t xml:space="preserve">- </w:t>
    </w:r>
    <w:r w:rsidR="000B3306">
      <w:fldChar w:fldCharType="begin"/>
    </w:r>
    <w:r w:rsidR="000B3306">
      <w:instrText xml:space="preserve"> PAGE   \* MERGEFORMAT </w:instrText>
    </w:r>
    <w:r w:rsidR="000B3306">
      <w:fldChar w:fldCharType="separate"/>
    </w:r>
    <w:r w:rsidR="000B3306">
      <w:rPr>
        <w:noProof/>
      </w:rPr>
      <w:t>811</w:t>
    </w:r>
    <w:r w:rsidR="000B3306">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22323B">
    <w:r>
      <w:pict>
        <v:rect id="_x0000_i1109" style="width:480.95pt;height:1pt" o:hralign="center" o:hrstd="t" o:hrnoshade="t" o:hr="t" fillcolor="black [3213]" stroked="f"/>
      </w:pict>
    </w:r>
  </w:p>
  <w:p w:rsidR="00723843" w:rsidRDefault="00723843" w:rsidP="0022323B">
    <w:pPr>
      <w:tabs>
        <w:tab w:val="center" w:pos="4740"/>
      </w:tabs>
      <w:spacing w:line="0" w:lineRule="atLeast"/>
    </w:pPr>
    <w:r>
      <w:tab/>
      <w:t xml:space="preserve">- </w:t>
    </w:r>
    <w:r w:rsidR="000B3306">
      <w:fldChar w:fldCharType="begin"/>
    </w:r>
    <w:r w:rsidR="000B3306">
      <w:instrText xml:space="preserve"> PAGE   \* MERGEFORMAT </w:instrText>
    </w:r>
    <w:r w:rsidR="000B3306">
      <w:fldChar w:fldCharType="separate"/>
    </w:r>
    <w:r w:rsidR="000B3306">
      <w:rPr>
        <w:noProof/>
      </w:rPr>
      <w:t>797</w:t>
    </w:r>
    <w:r w:rsidR="000B3306">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Pr="00924065" w:rsidRDefault="00723843"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A87207">
    <w:pPr>
      <w:pStyle w:val="Footer"/>
    </w:pPr>
    <w:r>
      <w:pict>
        <v:rect id="_x0000_i1036" style="width:480.95pt;height:1pt" o:hralign="center" o:hrstd="t" o:hrnoshade="t" o:hr="t" fillcolor="black [3213]" stroked="f"/>
      </w:pict>
    </w:r>
  </w:p>
  <w:p w:rsidR="00723843" w:rsidRPr="00B7374B" w:rsidRDefault="00723843" w:rsidP="00B7374B">
    <w:pPr>
      <w:tabs>
        <w:tab w:val="center" w:pos="4680"/>
      </w:tabs>
      <w:rPr>
        <w:szCs w:val="24"/>
      </w:rPr>
    </w:pPr>
    <w:r w:rsidRPr="00954D22">
      <w:rPr>
        <w:szCs w:val="24"/>
      </w:rPr>
      <w:tab/>
      <w:t xml:space="preserve">- </w:t>
    </w:r>
    <w:r w:rsidR="00EF5791" w:rsidRPr="00954D22">
      <w:rPr>
        <w:szCs w:val="24"/>
      </w:rPr>
      <w:fldChar w:fldCharType="begin"/>
    </w:r>
    <w:r w:rsidRPr="00954D22">
      <w:rPr>
        <w:szCs w:val="24"/>
      </w:rPr>
      <w:instrText xml:space="preserve"> PAGE   \* MERGEFORMAT </w:instrText>
    </w:r>
    <w:r w:rsidR="00EF5791" w:rsidRPr="00954D22">
      <w:rPr>
        <w:szCs w:val="24"/>
      </w:rPr>
      <w:fldChar w:fldCharType="separate"/>
    </w:r>
    <w:r w:rsidR="000B3306">
      <w:rPr>
        <w:noProof/>
        <w:szCs w:val="24"/>
      </w:rPr>
      <w:t>759</w:t>
    </w:r>
    <w:r w:rsidR="00EF5791"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755F22">
    <w:pPr>
      <w:tabs>
        <w:tab w:val="left" w:pos="-1440"/>
        <w:tab w:val="left" w:pos="-720"/>
      </w:tabs>
    </w:pPr>
    <w:r>
      <w:pict>
        <v:rect id="_x0000_i1037" style="width:480.95pt;height:1pt" o:hralign="center" o:hrstd="t" o:hrnoshade="t" o:hr="t" fillcolor="black [3213]" stroked="f"/>
      </w:pict>
    </w:r>
  </w:p>
  <w:p w:rsidR="00723843" w:rsidRPr="00954D22" w:rsidRDefault="00723843" w:rsidP="00B7374B">
    <w:pPr>
      <w:tabs>
        <w:tab w:val="center" w:pos="4680"/>
      </w:tabs>
      <w:rPr>
        <w:szCs w:val="24"/>
      </w:rPr>
    </w:pPr>
    <w:r w:rsidRPr="00954D22">
      <w:rPr>
        <w:szCs w:val="24"/>
      </w:rPr>
      <w:tab/>
      <w:t xml:space="preserve">- </w:t>
    </w:r>
    <w:r w:rsidR="00EF5791">
      <w:rPr>
        <w:szCs w:val="24"/>
      </w:rPr>
      <w:fldChar w:fldCharType="begin"/>
    </w:r>
    <w:r>
      <w:rPr>
        <w:szCs w:val="24"/>
      </w:rPr>
      <w:instrText xml:space="preserve"> PAGE   \* MERGEFORMAT </w:instrText>
    </w:r>
    <w:r w:rsidR="00EF5791">
      <w:rPr>
        <w:szCs w:val="24"/>
      </w:rPr>
      <w:fldChar w:fldCharType="separate"/>
    </w:r>
    <w:r w:rsidR="000B3306">
      <w:rPr>
        <w:noProof/>
        <w:szCs w:val="24"/>
      </w:rPr>
      <w:t>758</w:t>
    </w:r>
    <w:r w:rsidR="00EF5791">
      <w:rPr>
        <w:szCs w:val="24"/>
      </w:rPr>
      <w:fldChar w:fldCharType="end"/>
    </w:r>
    <w:r w:rsidRPr="00954D22">
      <w:rPr>
        <w:szCs w:val="24"/>
      </w:rPr>
      <w:t xml:space="preserve"> -</w:t>
    </w:r>
  </w:p>
  <w:p w:rsidR="00723843" w:rsidRDefault="007238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A87207">
    <w:pPr>
      <w:pStyle w:val="Footer"/>
    </w:pPr>
    <w:r>
      <w:pict>
        <v:rect id="_x0000_i1039" style="width:480.95pt;height:1pt" o:hralign="center" o:hrstd="t" o:hrnoshade="t" o:hr="t" fillcolor="black [3213]" stroked="f"/>
      </w:pict>
    </w:r>
  </w:p>
  <w:p w:rsidR="00723843" w:rsidRPr="00B7374B" w:rsidRDefault="00723843" w:rsidP="00B7374B">
    <w:pPr>
      <w:tabs>
        <w:tab w:val="center" w:pos="4680"/>
      </w:tabs>
      <w:rPr>
        <w:szCs w:val="24"/>
      </w:rPr>
    </w:pPr>
    <w:r w:rsidRPr="00954D22">
      <w:rPr>
        <w:szCs w:val="24"/>
      </w:rPr>
      <w:tab/>
      <w:t xml:space="preserve">- </w:t>
    </w:r>
    <w:r w:rsidR="00EF5791" w:rsidRPr="00954D22">
      <w:rPr>
        <w:szCs w:val="24"/>
      </w:rPr>
      <w:fldChar w:fldCharType="begin"/>
    </w:r>
    <w:r w:rsidRPr="00954D22">
      <w:rPr>
        <w:szCs w:val="24"/>
      </w:rPr>
      <w:instrText xml:space="preserve"> PAGE   \* MERGEFORMAT </w:instrText>
    </w:r>
    <w:r w:rsidR="00EF5791" w:rsidRPr="00954D22">
      <w:rPr>
        <w:szCs w:val="24"/>
      </w:rPr>
      <w:fldChar w:fldCharType="separate"/>
    </w:r>
    <w:r>
      <w:rPr>
        <w:noProof/>
        <w:szCs w:val="24"/>
      </w:rPr>
      <w:t>761</w:t>
    </w:r>
    <w:r w:rsidR="00EF5791"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723843" w:rsidRPr="00954D22" w:rsidRDefault="00723843" w:rsidP="00B7374B">
    <w:pPr>
      <w:tabs>
        <w:tab w:val="center" w:pos="4680"/>
      </w:tabs>
      <w:rPr>
        <w:szCs w:val="24"/>
      </w:rPr>
    </w:pPr>
    <w:r w:rsidRPr="00954D22">
      <w:rPr>
        <w:szCs w:val="24"/>
      </w:rPr>
      <w:tab/>
      <w:t xml:space="preserve">- </w:t>
    </w:r>
    <w:r w:rsidR="00EF5791" w:rsidRPr="00954D22">
      <w:rPr>
        <w:szCs w:val="24"/>
      </w:rPr>
      <w:fldChar w:fldCharType="begin"/>
    </w:r>
    <w:r w:rsidRPr="00954D22">
      <w:rPr>
        <w:szCs w:val="24"/>
      </w:rPr>
      <w:instrText xml:space="preserve"> PAGE   \* MERGEFORMAT </w:instrText>
    </w:r>
    <w:r w:rsidR="00EF5791" w:rsidRPr="00954D22">
      <w:rPr>
        <w:szCs w:val="24"/>
      </w:rPr>
      <w:fldChar w:fldCharType="separate"/>
    </w:r>
    <w:r w:rsidR="000B3306">
      <w:rPr>
        <w:noProof/>
        <w:szCs w:val="24"/>
      </w:rPr>
      <w:t>760</w:t>
    </w:r>
    <w:r w:rsidR="00EF5791"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3843" w:rsidRDefault="0072384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0B3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723843" w:rsidRPr="0009648D" w:rsidRDefault="00723843" w:rsidP="00ED7E83">
    <w:pPr>
      <w:tabs>
        <w:tab w:val="center" w:pos="4680"/>
      </w:tabs>
    </w:pPr>
    <w:r>
      <w:tab/>
    </w:r>
    <w:r w:rsidRPr="0009648D">
      <w:t xml:space="preserve">- </w:t>
    </w:r>
    <w:r w:rsidR="000B3306">
      <w:fldChar w:fldCharType="begin"/>
    </w:r>
    <w:r w:rsidR="000B3306">
      <w:instrText xml:space="preserve"> PAGE   \* MERGEFORMAT </w:instrText>
    </w:r>
    <w:r w:rsidR="000B3306">
      <w:fldChar w:fldCharType="separate"/>
    </w:r>
    <w:r w:rsidR="000B3306">
      <w:rPr>
        <w:noProof/>
      </w:rPr>
      <w:t>779</w:t>
    </w:r>
    <w:r w:rsidR="000B3306">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43" w:rsidRDefault="00723843" w:rsidP="00A87207">
      <w:r>
        <w:separator/>
      </w:r>
    </w:p>
  </w:footnote>
  <w:footnote w:type="continuationSeparator" w:id="0">
    <w:p w:rsidR="00723843" w:rsidRDefault="0072384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23843">
      <w:tc>
        <w:tcPr>
          <w:tcW w:w="423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23843"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3843"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23843">
      <w:trPr>
        <w:gridAfter w:val="2"/>
        <w:wAfter w:w="5250" w:type="dxa"/>
      </w:trPr>
      <w:tc>
        <w:tcPr>
          <w:tcW w:w="4230" w:type="dxa"/>
          <w:tcMar>
            <w:left w:w="0" w:type="dxa"/>
            <w:right w:w="0" w:type="dxa"/>
          </w:tcMar>
        </w:tcPr>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23843" w:rsidRPr="00755F22" w:rsidTr="00245129">
      <w:tc>
        <w:tcPr>
          <w:tcW w:w="4230" w:type="dxa"/>
          <w:tcMar>
            <w:left w:w="0" w:type="dxa"/>
            <w:right w:w="0" w:type="dxa"/>
          </w:tcMar>
        </w:tcPr>
        <w:p w:rsidR="00723843" w:rsidRPr="00755F22" w:rsidRDefault="00723843" w:rsidP="00831CA9">
          <w:pPr>
            <w:keepNext/>
            <w:keepLines/>
            <w:rPr>
              <w:sz w:val="20"/>
              <w:szCs w:val="20"/>
            </w:rPr>
          </w:pPr>
          <w:r w:rsidRPr="00755F22">
            <w:rPr>
              <w:sz w:val="20"/>
              <w:szCs w:val="20"/>
            </w:rPr>
            <w:t>MOTIONS</w:t>
          </w:r>
        </w:p>
      </w:tc>
      <w:tc>
        <w:tcPr>
          <w:tcW w:w="1170" w:type="dxa"/>
          <w:tcMar>
            <w:left w:w="0" w:type="dxa"/>
            <w:right w:w="0" w:type="dxa"/>
          </w:tcMar>
        </w:tcPr>
        <w:p w:rsidR="00723843" w:rsidRPr="00755F22" w:rsidRDefault="00723843" w:rsidP="00831CA9">
          <w:pPr>
            <w:keepLines/>
            <w:jc w:val="center"/>
            <w:rPr>
              <w:sz w:val="20"/>
              <w:szCs w:val="20"/>
            </w:rPr>
          </w:pPr>
        </w:p>
        <w:p w:rsidR="00723843" w:rsidRPr="00755F22" w:rsidRDefault="00723843" w:rsidP="00831CA9">
          <w:pPr>
            <w:keepLines/>
            <w:tabs>
              <w:tab w:val="left" w:pos="-1440"/>
              <w:tab w:val="left" w:pos="-720"/>
            </w:tabs>
            <w:jc w:val="center"/>
            <w:rPr>
              <w:sz w:val="20"/>
              <w:szCs w:val="20"/>
            </w:rPr>
          </w:pPr>
        </w:p>
      </w:tc>
      <w:tc>
        <w:tcPr>
          <w:tcW w:w="4080" w:type="dxa"/>
          <w:tcMar>
            <w:left w:w="0" w:type="dxa"/>
            <w:right w:w="0" w:type="dxa"/>
          </w:tcMar>
        </w:tcPr>
        <w:p w:rsidR="00723843" w:rsidRPr="00BA6468" w:rsidRDefault="00723843" w:rsidP="00BA6468">
          <w:pPr>
            <w:keepLines/>
            <w:rPr>
              <w:sz w:val="20"/>
              <w:szCs w:val="20"/>
              <w:lang w:val="fr-CA"/>
            </w:rPr>
          </w:pPr>
          <w:r w:rsidRPr="00BA6468">
            <w:rPr>
              <w:sz w:val="20"/>
              <w:szCs w:val="20"/>
              <w:lang w:val="fr-CA"/>
            </w:rPr>
            <w:t>REQUÊTES</w:t>
          </w:r>
        </w:p>
      </w:tc>
    </w:tr>
  </w:tbl>
  <w:p w:rsidR="00723843" w:rsidRDefault="0072384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tc>
        <w:tcPr>
          <w:tcW w:w="420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3843" w:rsidRPr="00B01A03"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23843" w:rsidRPr="00B01A0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23843" w:rsidRPr="00B01A0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23843" w:rsidRPr="00EA4608" w:rsidTr="00245129">
      <w:tc>
        <w:tcPr>
          <w:tcW w:w="4200" w:type="dxa"/>
          <w:tcMar>
            <w:left w:w="0" w:type="dxa"/>
            <w:right w:w="0" w:type="dxa"/>
          </w:tcMar>
        </w:tcPr>
        <w:p w:rsidR="00723843" w:rsidRPr="00F40249" w:rsidRDefault="0072384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23843" w:rsidRDefault="00723843" w:rsidP="00102926">
          <w:pPr>
            <w:keepNext/>
            <w:keepLines/>
            <w:tabs>
              <w:tab w:val="left" w:pos="-1440"/>
              <w:tab w:val="left" w:pos="-720"/>
            </w:tabs>
            <w:jc w:val="center"/>
            <w:rPr>
              <w:sz w:val="20"/>
              <w:szCs w:val="20"/>
            </w:rPr>
          </w:pPr>
        </w:p>
        <w:p w:rsidR="00723843" w:rsidRDefault="00723843" w:rsidP="00102926">
          <w:pPr>
            <w:keepNext/>
            <w:keepLines/>
            <w:tabs>
              <w:tab w:val="left" w:pos="-1440"/>
              <w:tab w:val="left" w:pos="-720"/>
            </w:tabs>
            <w:jc w:val="center"/>
            <w:rPr>
              <w:sz w:val="20"/>
              <w:szCs w:val="20"/>
            </w:rPr>
          </w:pPr>
        </w:p>
        <w:p w:rsidR="00723843" w:rsidRPr="00F40249" w:rsidRDefault="00723843" w:rsidP="00102926">
          <w:pPr>
            <w:keepNext/>
            <w:keepLines/>
            <w:tabs>
              <w:tab w:val="left" w:pos="-1440"/>
              <w:tab w:val="left" w:pos="-720"/>
            </w:tabs>
            <w:jc w:val="center"/>
            <w:rPr>
              <w:sz w:val="20"/>
              <w:szCs w:val="20"/>
            </w:rPr>
          </w:pPr>
        </w:p>
      </w:tc>
      <w:tc>
        <w:tcPr>
          <w:tcW w:w="4230" w:type="dxa"/>
          <w:tcMar>
            <w:left w:w="0" w:type="dxa"/>
            <w:right w:w="0" w:type="dxa"/>
          </w:tcMar>
        </w:tcPr>
        <w:p w:rsidR="00723843" w:rsidRPr="00F40249" w:rsidRDefault="0072384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23843" w:rsidRPr="00B01A03" w:rsidRDefault="0072384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tc>
        <w:tcPr>
          <w:tcW w:w="420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23843" w:rsidRPr="003C2C0F"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23843" w:rsidRPr="003C2C0F"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23843" w:rsidRPr="003C2C0F"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rsidTr="00245129">
      <w:tc>
        <w:tcPr>
          <w:tcW w:w="4200" w:type="dxa"/>
          <w:tcMar>
            <w:left w:w="0" w:type="dxa"/>
            <w:right w:w="0" w:type="dxa"/>
          </w:tcMar>
        </w:tcPr>
        <w:p w:rsidR="00723843" w:rsidRPr="00FF6EEC" w:rsidRDefault="00723843" w:rsidP="00FF6EEC">
          <w:pPr>
            <w:rPr>
              <w:sz w:val="20"/>
              <w:szCs w:val="20"/>
            </w:rPr>
          </w:pPr>
          <w:r w:rsidRPr="00FF6EEC">
            <w:rPr>
              <w:sz w:val="20"/>
              <w:szCs w:val="20"/>
            </w:rPr>
            <w:t>PRONOUNCEMENTS OF APPEALS RESERVED</w:t>
          </w:r>
        </w:p>
      </w:tc>
      <w:tc>
        <w:tcPr>
          <w:tcW w:w="1200" w:type="dxa"/>
          <w:tcMar>
            <w:left w:w="0" w:type="dxa"/>
            <w:right w:w="0" w:type="dxa"/>
          </w:tcMar>
        </w:tcPr>
        <w:p w:rsidR="00723843" w:rsidRPr="00FF6EEC" w:rsidRDefault="00723843" w:rsidP="00FF6EEC">
          <w:pPr>
            <w:jc w:val="center"/>
            <w:rPr>
              <w:sz w:val="20"/>
              <w:szCs w:val="20"/>
            </w:rPr>
          </w:pPr>
        </w:p>
        <w:p w:rsidR="00723843" w:rsidRPr="00FF6EEC" w:rsidRDefault="00723843" w:rsidP="00FF6EEC">
          <w:pPr>
            <w:jc w:val="center"/>
            <w:rPr>
              <w:sz w:val="20"/>
              <w:szCs w:val="20"/>
            </w:rPr>
          </w:pPr>
        </w:p>
        <w:p w:rsidR="00723843" w:rsidRPr="00FF6EEC" w:rsidRDefault="00723843" w:rsidP="00FF6EEC">
          <w:pPr>
            <w:jc w:val="center"/>
            <w:rPr>
              <w:sz w:val="20"/>
              <w:szCs w:val="20"/>
            </w:rPr>
          </w:pPr>
        </w:p>
      </w:tc>
      <w:tc>
        <w:tcPr>
          <w:tcW w:w="4080" w:type="dxa"/>
          <w:tcMar>
            <w:left w:w="0" w:type="dxa"/>
            <w:right w:w="0" w:type="dxa"/>
          </w:tcMar>
        </w:tcPr>
        <w:p w:rsidR="00723843" w:rsidRPr="00FF6EEC" w:rsidRDefault="00723843" w:rsidP="00FF6EEC">
          <w:pPr>
            <w:rPr>
              <w:sz w:val="20"/>
              <w:szCs w:val="20"/>
              <w:lang w:val="fr-CA"/>
            </w:rPr>
          </w:pPr>
          <w:r w:rsidRPr="00FF6EEC">
            <w:rPr>
              <w:sz w:val="20"/>
              <w:szCs w:val="20"/>
              <w:lang w:val="fr-CA"/>
            </w:rPr>
            <w:t>JUGEMENTS RENDUS SUR LES APPELS EN DÉLIBÉRÉ</w:t>
          </w:r>
        </w:p>
      </w:tc>
    </w:tr>
  </w:tbl>
  <w:p w:rsidR="00723843" w:rsidRPr="003C2C0F" w:rsidRDefault="0072384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23843">
      <w:tc>
        <w:tcPr>
          <w:tcW w:w="423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23843"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3843"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23843" w:rsidRPr="00782AE4" w:rsidTr="00245129">
      <w:tc>
        <w:tcPr>
          <w:tcW w:w="4230" w:type="dxa"/>
          <w:tcMar>
            <w:left w:w="0" w:type="dxa"/>
            <w:right w:w="0" w:type="dxa"/>
          </w:tcMar>
        </w:tcPr>
        <w:p w:rsidR="00723843" w:rsidRPr="00782AE4" w:rsidRDefault="00723843" w:rsidP="00102926">
          <w:pPr>
            <w:keepNext/>
            <w:keepLines/>
            <w:tabs>
              <w:tab w:val="left" w:pos="-1440"/>
              <w:tab w:val="left" w:pos="-720"/>
            </w:tabs>
            <w:rPr>
              <w:sz w:val="20"/>
              <w:szCs w:val="20"/>
            </w:rPr>
          </w:pPr>
          <w:r w:rsidRPr="00782AE4">
            <w:rPr>
              <w:sz w:val="20"/>
              <w:szCs w:val="20"/>
            </w:rPr>
            <w:t xml:space="preserve">HEADNOTES OF RECENT </w:t>
          </w:r>
        </w:p>
        <w:p w:rsidR="00723843" w:rsidRPr="00782AE4"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23843" w:rsidRDefault="00723843" w:rsidP="00102926">
          <w:pPr>
            <w:keepNext/>
            <w:keepLines/>
            <w:tabs>
              <w:tab w:val="left" w:pos="-1440"/>
              <w:tab w:val="left" w:pos="-720"/>
            </w:tabs>
            <w:jc w:val="center"/>
            <w:rPr>
              <w:sz w:val="20"/>
              <w:szCs w:val="20"/>
            </w:rPr>
          </w:pPr>
        </w:p>
        <w:p w:rsidR="00723843" w:rsidRDefault="00723843" w:rsidP="00102926">
          <w:pPr>
            <w:keepNext/>
            <w:keepLines/>
            <w:tabs>
              <w:tab w:val="left" w:pos="-1440"/>
              <w:tab w:val="left" w:pos="-720"/>
            </w:tabs>
            <w:jc w:val="center"/>
            <w:rPr>
              <w:sz w:val="20"/>
              <w:szCs w:val="20"/>
            </w:rPr>
          </w:pPr>
        </w:p>
        <w:p w:rsidR="00723843" w:rsidRPr="00782AE4" w:rsidRDefault="00723843" w:rsidP="00102926">
          <w:pPr>
            <w:keepNext/>
            <w:keepLines/>
            <w:tabs>
              <w:tab w:val="left" w:pos="-1440"/>
              <w:tab w:val="left" w:pos="-720"/>
            </w:tabs>
            <w:jc w:val="center"/>
            <w:rPr>
              <w:sz w:val="20"/>
              <w:szCs w:val="20"/>
            </w:rPr>
          </w:pPr>
        </w:p>
      </w:tc>
      <w:tc>
        <w:tcPr>
          <w:tcW w:w="4080" w:type="dxa"/>
          <w:tcMar>
            <w:left w:w="0" w:type="dxa"/>
            <w:right w:w="0" w:type="dxa"/>
          </w:tcMar>
        </w:tcPr>
        <w:p w:rsidR="00723843" w:rsidRPr="00102926"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23843" w:rsidRPr="00782AE4" w:rsidRDefault="00723843" w:rsidP="00102926">
          <w:pPr>
            <w:keepLines/>
            <w:tabs>
              <w:tab w:val="left" w:pos="-1440"/>
              <w:tab w:val="left" w:pos="-720"/>
            </w:tabs>
            <w:rPr>
              <w:sz w:val="20"/>
              <w:szCs w:val="20"/>
            </w:rPr>
          </w:pPr>
          <w:r w:rsidRPr="00102926">
            <w:rPr>
              <w:sz w:val="20"/>
              <w:szCs w:val="20"/>
              <w:lang w:val="fr-CA"/>
            </w:rPr>
            <w:t>RÉCENTS</w:t>
          </w:r>
        </w:p>
      </w:tc>
    </w:tr>
  </w:tbl>
  <w:p w:rsidR="00723843" w:rsidRDefault="0072384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3843">
      <w:tc>
        <w:tcPr>
          <w:tcW w:w="4200" w:type="dxa"/>
          <w:tcMar>
            <w:left w:w="0" w:type="dxa"/>
            <w:right w:w="0" w:type="dxa"/>
          </w:tcMar>
        </w:tcPr>
        <w:p w:rsidR="00723843" w:rsidRDefault="00723843">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723843" w:rsidRDefault="00723843">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723843" w:rsidRDefault="00723843">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723843" w:rsidRDefault="00723843">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723843" w:rsidRDefault="00723843">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102926" w:rsidTr="00245129">
      <w:tc>
        <w:tcPr>
          <w:tcW w:w="4200" w:type="dxa"/>
          <w:tcMar>
            <w:left w:w="0" w:type="dxa"/>
            <w:right w:w="0" w:type="dxa"/>
          </w:tcMar>
        </w:tcPr>
        <w:p w:rsidR="00723843" w:rsidRPr="00102926" w:rsidRDefault="00723843"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723843" w:rsidRDefault="00723843" w:rsidP="00102926">
          <w:pPr>
            <w:jc w:val="center"/>
            <w:rPr>
              <w:sz w:val="20"/>
              <w:szCs w:val="20"/>
            </w:rPr>
          </w:pPr>
        </w:p>
        <w:p w:rsidR="00723843" w:rsidRPr="00102926" w:rsidRDefault="00723843" w:rsidP="00102926">
          <w:pPr>
            <w:jc w:val="center"/>
            <w:rPr>
              <w:sz w:val="20"/>
              <w:szCs w:val="20"/>
            </w:rPr>
          </w:pPr>
        </w:p>
      </w:tc>
      <w:tc>
        <w:tcPr>
          <w:tcW w:w="4080" w:type="dxa"/>
          <w:tcMar>
            <w:left w:w="0" w:type="dxa"/>
            <w:right w:w="0" w:type="dxa"/>
          </w:tcMar>
        </w:tcPr>
        <w:p w:rsidR="00723843" w:rsidRPr="00102926" w:rsidRDefault="00723843" w:rsidP="007A3EAE">
          <w:pPr>
            <w:rPr>
              <w:sz w:val="20"/>
              <w:szCs w:val="20"/>
            </w:rPr>
          </w:pPr>
          <w:r w:rsidRPr="00102926">
            <w:rPr>
              <w:sz w:val="20"/>
              <w:szCs w:val="20"/>
            </w:rPr>
            <w:t>NOUVELLE AUDITION</w:t>
          </w:r>
        </w:p>
      </w:tc>
    </w:tr>
  </w:tbl>
  <w:p w:rsidR="00723843" w:rsidRDefault="00723843"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3843">
      <w:tc>
        <w:tcPr>
          <w:tcW w:w="4200" w:type="dxa"/>
          <w:tcMar>
            <w:left w:w="0" w:type="dxa"/>
            <w:right w:w="0" w:type="dxa"/>
          </w:tcMar>
        </w:tcPr>
        <w:p w:rsidR="00723843" w:rsidRDefault="007238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23843" w:rsidRDefault="007238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23843" w:rsidRDefault="007238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23843" w:rsidRDefault="0072384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23843" w:rsidRDefault="007238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23843" w:rsidRDefault="007238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C50A5C" w:rsidTr="00245129">
      <w:tc>
        <w:tcPr>
          <w:tcW w:w="4200" w:type="dxa"/>
          <w:tcMar>
            <w:left w:w="0" w:type="dxa"/>
            <w:right w:w="0" w:type="dxa"/>
          </w:tcMar>
        </w:tcPr>
        <w:p w:rsidR="00723843" w:rsidRPr="00C50A5C" w:rsidRDefault="007238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723843" w:rsidRPr="00C50A5C" w:rsidRDefault="007238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23843" w:rsidRPr="00C50A5C" w:rsidRDefault="0072384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23843" w:rsidRPr="00C50A5C" w:rsidRDefault="0072384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723843" w:rsidRDefault="0072384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5F263E" w:rsidTr="00245129">
      <w:tc>
        <w:tcPr>
          <w:tcW w:w="4200" w:type="dxa"/>
          <w:tcMar>
            <w:left w:w="0" w:type="dxa"/>
            <w:right w:w="0" w:type="dxa"/>
          </w:tcMar>
        </w:tcPr>
        <w:p w:rsidR="00723843" w:rsidRPr="005F263E" w:rsidRDefault="0072384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23843" w:rsidRPr="005F263E" w:rsidRDefault="00723843" w:rsidP="00245129">
          <w:pPr>
            <w:keepNext/>
            <w:keepLines/>
            <w:tabs>
              <w:tab w:val="left" w:pos="-1440"/>
              <w:tab w:val="left" w:pos="-720"/>
            </w:tabs>
            <w:jc w:val="center"/>
            <w:rPr>
              <w:sz w:val="20"/>
              <w:szCs w:val="20"/>
            </w:rPr>
          </w:pPr>
        </w:p>
        <w:p w:rsidR="00723843" w:rsidRPr="005F263E" w:rsidRDefault="00723843" w:rsidP="00245129">
          <w:pPr>
            <w:keepNext/>
            <w:keepLines/>
            <w:tabs>
              <w:tab w:val="left" w:pos="-1440"/>
              <w:tab w:val="left" w:pos="-720"/>
            </w:tabs>
            <w:jc w:val="center"/>
            <w:rPr>
              <w:sz w:val="20"/>
              <w:szCs w:val="20"/>
            </w:rPr>
          </w:pPr>
        </w:p>
      </w:tc>
      <w:tc>
        <w:tcPr>
          <w:tcW w:w="4080" w:type="dxa"/>
          <w:tcMar>
            <w:left w:w="0" w:type="dxa"/>
            <w:right w:w="0" w:type="dxa"/>
          </w:tcMar>
        </w:tcPr>
        <w:p w:rsidR="00723843" w:rsidRPr="005F263E" w:rsidRDefault="00723843" w:rsidP="00245129">
          <w:pPr>
            <w:keepLines/>
            <w:tabs>
              <w:tab w:val="left" w:pos="-1440"/>
              <w:tab w:val="left" w:pos="-720"/>
            </w:tabs>
            <w:rPr>
              <w:sz w:val="20"/>
              <w:szCs w:val="20"/>
            </w:rPr>
          </w:pPr>
          <w:r w:rsidRPr="005F263E">
            <w:rPr>
              <w:sz w:val="20"/>
              <w:szCs w:val="20"/>
            </w:rPr>
            <w:t>RÉSUMÉS DES AFFAIRES</w:t>
          </w:r>
        </w:p>
      </w:tc>
    </w:tr>
  </w:tbl>
  <w:p w:rsidR="00723843" w:rsidRDefault="00723843"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23843" w:rsidRPr="0044776A" w:rsidTr="00245129">
      <w:tc>
        <w:tcPr>
          <w:tcW w:w="4290" w:type="dxa"/>
          <w:tcMar>
            <w:left w:w="0" w:type="dxa"/>
            <w:right w:w="0" w:type="dxa"/>
          </w:tcMar>
        </w:tcPr>
        <w:p w:rsidR="00723843" w:rsidRPr="0044776A" w:rsidRDefault="0072384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23843" w:rsidRPr="0044776A" w:rsidRDefault="00723843" w:rsidP="002E2327">
          <w:pPr>
            <w:keepNext/>
            <w:keepLines/>
            <w:tabs>
              <w:tab w:val="left" w:pos="-1440"/>
              <w:tab w:val="left" w:pos="-720"/>
            </w:tabs>
            <w:jc w:val="center"/>
            <w:rPr>
              <w:sz w:val="20"/>
              <w:szCs w:val="20"/>
            </w:rPr>
          </w:pPr>
        </w:p>
        <w:p w:rsidR="00723843" w:rsidRPr="0044776A" w:rsidRDefault="00723843" w:rsidP="002E2327">
          <w:pPr>
            <w:keepNext/>
            <w:keepLines/>
            <w:tabs>
              <w:tab w:val="left" w:pos="-1440"/>
              <w:tab w:val="left" w:pos="-720"/>
            </w:tabs>
            <w:jc w:val="center"/>
            <w:rPr>
              <w:sz w:val="20"/>
              <w:szCs w:val="20"/>
            </w:rPr>
          </w:pPr>
        </w:p>
        <w:p w:rsidR="00723843" w:rsidRPr="0044776A" w:rsidRDefault="00723843" w:rsidP="002E2327">
          <w:pPr>
            <w:keepNext/>
            <w:keepLines/>
            <w:tabs>
              <w:tab w:val="left" w:pos="-1440"/>
              <w:tab w:val="left" w:pos="-720"/>
            </w:tabs>
            <w:jc w:val="center"/>
            <w:rPr>
              <w:sz w:val="20"/>
              <w:szCs w:val="20"/>
            </w:rPr>
          </w:pPr>
        </w:p>
      </w:tc>
      <w:tc>
        <w:tcPr>
          <w:tcW w:w="4320" w:type="dxa"/>
          <w:tcMar>
            <w:left w:w="0" w:type="dxa"/>
            <w:right w:w="0" w:type="dxa"/>
          </w:tcMar>
        </w:tcPr>
        <w:p w:rsidR="00723843" w:rsidRPr="0044776A" w:rsidRDefault="00723843" w:rsidP="002E2327">
          <w:pPr>
            <w:keepLines/>
            <w:rPr>
              <w:sz w:val="20"/>
              <w:szCs w:val="20"/>
              <w:lang w:val="fr-CA"/>
            </w:rPr>
          </w:pPr>
          <w:r w:rsidRPr="0044776A">
            <w:rPr>
              <w:sz w:val="20"/>
              <w:szCs w:val="20"/>
              <w:lang w:val="fr-CA"/>
            </w:rPr>
            <w:t>DEMANDES D'AUTORISATION D'APPEL DÉPOSÉES</w:t>
          </w:r>
        </w:p>
      </w:tc>
    </w:tr>
  </w:tbl>
  <w:p w:rsidR="00723843" w:rsidRDefault="007238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rsidTr="00245129">
      <w:tc>
        <w:tcPr>
          <w:tcW w:w="4200" w:type="dxa"/>
          <w:tcMar>
            <w:left w:w="0" w:type="dxa"/>
            <w:right w:w="0" w:type="dxa"/>
          </w:tcMar>
        </w:tcPr>
        <w:p w:rsidR="00723843" w:rsidRPr="0044776A" w:rsidRDefault="00723843" w:rsidP="0044776A">
          <w:pPr>
            <w:keepNext/>
            <w:keepLines/>
            <w:widowControl w:val="0"/>
            <w:rPr>
              <w:sz w:val="20"/>
              <w:szCs w:val="20"/>
            </w:rPr>
          </w:pPr>
          <w:r>
            <w:rPr>
              <w:sz w:val="20"/>
              <w:szCs w:val="20"/>
            </w:rPr>
            <w:t>APPLICATIONS FOR LEAVE</w:t>
          </w:r>
        </w:p>
        <w:p w:rsidR="00723843" w:rsidRPr="0044776A" w:rsidRDefault="0072384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23843" w:rsidRPr="0044776A" w:rsidRDefault="00723843" w:rsidP="0044776A">
          <w:pPr>
            <w:keepNext/>
            <w:keepLines/>
            <w:widowControl w:val="0"/>
            <w:jc w:val="center"/>
            <w:rPr>
              <w:sz w:val="20"/>
              <w:szCs w:val="20"/>
            </w:rPr>
          </w:pPr>
        </w:p>
        <w:p w:rsidR="00723843" w:rsidRPr="0044776A" w:rsidRDefault="00723843" w:rsidP="0044776A">
          <w:pPr>
            <w:keepNext/>
            <w:keepLines/>
            <w:widowControl w:val="0"/>
            <w:jc w:val="center"/>
            <w:rPr>
              <w:sz w:val="20"/>
              <w:szCs w:val="20"/>
            </w:rPr>
          </w:pPr>
        </w:p>
        <w:p w:rsidR="00723843" w:rsidRPr="0044776A" w:rsidRDefault="00723843" w:rsidP="0044776A">
          <w:pPr>
            <w:keepNext/>
            <w:keepLines/>
            <w:widowControl w:val="0"/>
            <w:jc w:val="center"/>
            <w:rPr>
              <w:sz w:val="20"/>
              <w:szCs w:val="20"/>
            </w:rPr>
          </w:pPr>
        </w:p>
      </w:tc>
      <w:tc>
        <w:tcPr>
          <w:tcW w:w="4080" w:type="dxa"/>
          <w:tcMar>
            <w:left w:w="0" w:type="dxa"/>
            <w:right w:w="0" w:type="dxa"/>
          </w:tcMar>
        </w:tcPr>
        <w:p w:rsidR="00723843" w:rsidRPr="0044776A" w:rsidRDefault="00723843" w:rsidP="0044776A">
          <w:pPr>
            <w:keepLines/>
            <w:widowControl w:val="0"/>
            <w:rPr>
              <w:sz w:val="20"/>
              <w:szCs w:val="20"/>
              <w:lang w:val="fr-CA"/>
            </w:rPr>
          </w:pPr>
          <w:r w:rsidRPr="0044776A">
            <w:rPr>
              <w:sz w:val="20"/>
              <w:szCs w:val="20"/>
              <w:lang w:val="fr-CA"/>
            </w:rPr>
            <w:t>DEMANDES SOUMISES À LA COUR DEPUIS LA DERNIÈRE PARUTION</w:t>
          </w:r>
        </w:p>
        <w:p w:rsidR="00723843" w:rsidRPr="0044776A" w:rsidRDefault="00723843" w:rsidP="0044776A">
          <w:pPr>
            <w:widowControl w:val="0"/>
            <w:rPr>
              <w:sz w:val="20"/>
              <w:szCs w:val="20"/>
              <w:lang w:val="fr-CA"/>
            </w:rPr>
          </w:pPr>
        </w:p>
      </w:tc>
    </w:tr>
  </w:tbl>
  <w:p w:rsidR="00723843" w:rsidRPr="002E2327" w:rsidRDefault="0072384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43" w:rsidRDefault="007238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tc>
        <w:tcPr>
          <w:tcW w:w="4200" w:type="dxa"/>
          <w:tcMar>
            <w:left w:w="0" w:type="dxa"/>
            <w:right w:w="0" w:type="dxa"/>
          </w:tcMar>
        </w:tcPr>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23843"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23843"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3843" w:rsidRPr="00FF6BA5"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23843" w:rsidRPr="00FF6BA5"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23843" w:rsidRPr="00FF6BA5"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23843" w:rsidRPr="00FF6BA5" w:rsidRDefault="00723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3843" w:rsidRPr="00EA4608" w:rsidTr="00245129">
      <w:tc>
        <w:tcPr>
          <w:tcW w:w="4200" w:type="dxa"/>
          <w:tcMar>
            <w:left w:w="0" w:type="dxa"/>
            <w:right w:w="0" w:type="dxa"/>
          </w:tcMar>
        </w:tcPr>
        <w:p w:rsidR="00723843" w:rsidRPr="00755F22"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23843" w:rsidRPr="00755F22" w:rsidRDefault="007238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23843" w:rsidRPr="00755F22" w:rsidRDefault="007238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3843" w:rsidRPr="00755F22" w:rsidRDefault="007238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3843" w:rsidRPr="00755F22" w:rsidRDefault="007238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23843" w:rsidRPr="00755F22" w:rsidRDefault="007238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23843" w:rsidRPr="00FF6BA5" w:rsidRDefault="0072384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43EA"/>
    <w:multiLevelType w:val="hybridMultilevel"/>
    <w:tmpl w:val="E8A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876C3E"/>
    <w:multiLevelType w:val="hybridMultilevel"/>
    <w:tmpl w:val="43F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26E75"/>
    <w:multiLevelType w:val="hybridMultilevel"/>
    <w:tmpl w:val="E8A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CE0EA0"/>
    <w:multiLevelType w:val="hybridMultilevel"/>
    <w:tmpl w:val="43F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90133"/>
  </w:hdrShapeDefaults>
  <w:footnotePr>
    <w:footnote w:id="-1"/>
    <w:footnote w:id="0"/>
  </w:footnotePr>
  <w:endnotePr>
    <w:endnote w:id="-1"/>
    <w:endnote w:id="0"/>
  </w:endnotePr>
  <w:compat>
    <w:compatSetting w:name="compatibilityMode" w:uri="http://schemas.microsoft.com/office/word" w:val="12"/>
  </w:compat>
  <w:rsids>
    <w:rsidRoot w:val="00B26D72"/>
    <w:rsid w:val="00016F97"/>
    <w:rsid w:val="0003223B"/>
    <w:rsid w:val="000327B2"/>
    <w:rsid w:val="0004528B"/>
    <w:rsid w:val="00091FA6"/>
    <w:rsid w:val="00096BD9"/>
    <w:rsid w:val="000A781C"/>
    <w:rsid w:val="000B3306"/>
    <w:rsid w:val="000B3C9A"/>
    <w:rsid w:val="000B40A2"/>
    <w:rsid w:val="000B4624"/>
    <w:rsid w:val="000C0ACD"/>
    <w:rsid w:val="000C0D2A"/>
    <w:rsid w:val="000C5CE8"/>
    <w:rsid w:val="000E2959"/>
    <w:rsid w:val="000F0B60"/>
    <w:rsid w:val="00102926"/>
    <w:rsid w:val="0010587F"/>
    <w:rsid w:val="00111C6B"/>
    <w:rsid w:val="0012102B"/>
    <w:rsid w:val="0013369E"/>
    <w:rsid w:val="0014756B"/>
    <w:rsid w:val="00155776"/>
    <w:rsid w:val="00155CD6"/>
    <w:rsid w:val="001575C0"/>
    <w:rsid w:val="0016011B"/>
    <w:rsid w:val="00162410"/>
    <w:rsid w:val="00164E6D"/>
    <w:rsid w:val="0017795C"/>
    <w:rsid w:val="00183454"/>
    <w:rsid w:val="001B157C"/>
    <w:rsid w:val="001B4006"/>
    <w:rsid w:val="001B442C"/>
    <w:rsid w:val="001B5C23"/>
    <w:rsid w:val="001C4678"/>
    <w:rsid w:val="001C4C89"/>
    <w:rsid w:val="001D0D5F"/>
    <w:rsid w:val="001D6B8C"/>
    <w:rsid w:val="001F1F83"/>
    <w:rsid w:val="001F40DF"/>
    <w:rsid w:val="002021A9"/>
    <w:rsid w:val="002024BD"/>
    <w:rsid w:val="002102EE"/>
    <w:rsid w:val="002139A7"/>
    <w:rsid w:val="00215F7C"/>
    <w:rsid w:val="0022323B"/>
    <w:rsid w:val="002248C1"/>
    <w:rsid w:val="00231993"/>
    <w:rsid w:val="002410B8"/>
    <w:rsid w:val="00242AEE"/>
    <w:rsid w:val="00245129"/>
    <w:rsid w:val="00245879"/>
    <w:rsid w:val="00267FD5"/>
    <w:rsid w:val="00274D34"/>
    <w:rsid w:val="0028238D"/>
    <w:rsid w:val="00283ED8"/>
    <w:rsid w:val="002868D0"/>
    <w:rsid w:val="002A008C"/>
    <w:rsid w:val="002A27D1"/>
    <w:rsid w:val="002A4AFA"/>
    <w:rsid w:val="002B516C"/>
    <w:rsid w:val="002B7DB8"/>
    <w:rsid w:val="002D72EB"/>
    <w:rsid w:val="002E2327"/>
    <w:rsid w:val="002E3583"/>
    <w:rsid w:val="002E5576"/>
    <w:rsid w:val="00303378"/>
    <w:rsid w:val="003102BE"/>
    <w:rsid w:val="00331B52"/>
    <w:rsid w:val="003359D3"/>
    <w:rsid w:val="00355967"/>
    <w:rsid w:val="0038164A"/>
    <w:rsid w:val="00382C47"/>
    <w:rsid w:val="00384384"/>
    <w:rsid w:val="003866AE"/>
    <w:rsid w:val="003B3977"/>
    <w:rsid w:val="003B4800"/>
    <w:rsid w:val="003C39D1"/>
    <w:rsid w:val="003D1950"/>
    <w:rsid w:val="003E1D4C"/>
    <w:rsid w:val="003F2AF2"/>
    <w:rsid w:val="003F4A27"/>
    <w:rsid w:val="00421F3C"/>
    <w:rsid w:val="00432989"/>
    <w:rsid w:val="00434E32"/>
    <w:rsid w:val="00440E24"/>
    <w:rsid w:val="0044776A"/>
    <w:rsid w:val="00460AFC"/>
    <w:rsid w:val="004733D2"/>
    <w:rsid w:val="0047471F"/>
    <w:rsid w:val="004B195E"/>
    <w:rsid w:val="004B66B4"/>
    <w:rsid w:val="004B7F60"/>
    <w:rsid w:val="004C1AAC"/>
    <w:rsid w:val="004E1E0A"/>
    <w:rsid w:val="004F090E"/>
    <w:rsid w:val="00501F3C"/>
    <w:rsid w:val="00510FEE"/>
    <w:rsid w:val="00512F90"/>
    <w:rsid w:val="0052229C"/>
    <w:rsid w:val="00524CF0"/>
    <w:rsid w:val="00527CC7"/>
    <w:rsid w:val="00571CA4"/>
    <w:rsid w:val="00582136"/>
    <w:rsid w:val="00585401"/>
    <w:rsid w:val="005A71EC"/>
    <w:rsid w:val="005C21FF"/>
    <w:rsid w:val="005C6840"/>
    <w:rsid w:val="005D0E05"/>
    <w:rsid w:val="005E611C"/>
    <w:rsid w:val="005E79B1"/>
    <w:rsid w:val="005F1ED8"/>
    <w:rsid w:val="005F263E"/>
    <w:rsid w:val="005F5FEC"/>
    <w:rsid w:val="00600252"/>
    <w:rsid w:val="00605711"/>
    <w:rsid w:val="00612A40"/>
    <w:rsid w:val="006168D3"/>
    <w:rsid w:val="0062714A"/>
    <w:rsid w:val="006303B3"/>
    <w:rsid w:val="00633E2E"/>
    <w:rsid w:val="00653D6E"/>
    <w:rsid w:val="00667BDE"/>
    <w:rsid w:val="00675479"/>
    <w:rsid w:val="00680709"/>
    <w:rsid w:val="00696BF9"/>
    <w:rsid w:val="00697AD1"/>
    <w:rsid w:val="00697C62"/>
    <w:rsid w:val="006A329B"/>
    <w:rsid w:val="006A7C32"/>
    <w:rsid w:val="006A7EB8"/>
    <w:rsid w:val="006B6926"/>
    <w:rsid w:val="006C3F47"/>
    <w:rsid w:val="006C5F7A"/>
    <w:rsid w:val="006C6E25"/>
    <w:rsid w:val="006E06AF"/>
    <w:rsid w:val="006E0D94"/>
    <w:rsid w:val="006E4C71"/>
    <w:rsid w:val="006F350F"/>
    <w:rsid w:val="006F54B9"/>
    <w:rsid w:val="00723843"/>
    <w:rsid w:val="00732A82"/>
    <w:rsid w:val="00732B63"/>
    <w:rsid w:val="00732DB7"/>
    <w:rsid w:val="0074238B"/>
    <w:rsid w:val="00745EF7"/>
    <w:rsid w:val="00747482"/>
    <w:rsid w:val="007474A0"/>
    <w:rsid w:val="00752250"/>
    <w:rsid w:val="00755F22"/>
    <w:rsid w:val="00762C77"/>
    <w:rsid w:val="00766E4A"/>
    <w:rsid w:val="007820CE"/>
    <w:rsid w:val="00782AE4"/>
    <w:rsid w:val="00790566"/>
    <w:rsid w:val="0079724F"/>
    <w:rsid w:val="007A3EAE"/>
    <w:rsid w:val="007C04FC"/>
    <w:rsid w:val="007C47C2"/>
    <w:rsid w:val="007D3E0F"/>
    <w:rsid w:val="007E4282"/>
    <w:rsid w:val="007F280D"/>
    <w:rsid w:val="007F387B"/>
    <w:rsid w:val="00801D59"/>
    <w:rsid w:val="00802863"/>
    <w:rsid w:val="00815B3C"/>
    <w:rsid w:val="0081610A"/>
    <w:rsid w:val="00822BA5"/>
    <w:rsid w:val="0082783A"/>
    <w:rsid w:val="00831CA9"/>
    <w:rsid w:val="00850E1F"/>
    <w:rsid w:val="0085476B"/>
    <w:rsid w:val="0086340B"/>
    <w:rsid w:val="00890FEB"/>
    <w:rsid w:val="00895E7E"/>
    <w:rsid w:val="008A5C1A"/>
    <w:rsid w:val="008B53CB"/>
    <w:rsid w:val="008C7581"/>
    <w:rsid w:val="008D292F"/>
    <w:rsid w:val="008E03DC"/>
    <w:rsid w:val="00902E51"/>
    <w:rsid w:val="0090344D"/>
    <w:rsid w:val="00924065"/>
    <w:rsid w:val="00930D68"/>
    <w:rsid w:val="00932DB4"/>
    <w:rsid w:val="00941A4B"/>
    <w:rsid w:val="00946242"/>
    <w:rsid w:val="0095096B"/>
    <w:rsid w:val="00970B11"/>
    <w:rsid w:val="00970CD3"/>
    <w:rsid w:val="009723FA"/>
    <w:rsid w:val="00984546"/>
    <w:rsid w:val="00996510"/>
    <w:rsid w:val="009969A1"/>
    <w:rsid w:val="009B600A"/>
    <w:rsid w:val="009D1F15"/>
    <w:rsid w:val="009D555E"/>
    <w:rsid w:val="009F3024"/>
    <w:rsid w:val="00A0355E"/>
    <w:rsid w:val="00A048CB"/>
    <w:rsid w:val="00A2115D"/>
    <w:rsid w:val="00A375D1"/>
    <w:rsid w:val="00A51D10"/>
    <w:rsid w:val="00A52A83"/>
    <w:rsid w:val="00A578C3"/>
    <w:rsid w:val="00A6552C"/>
    <w:rsid w:val="00A87207"/>
    <w:rsid w:val="00A935AA"/>
    <w:rsid w:val="00A956D3"/>
    <w:rsid w:val="00AB0EB9"/>
    <w:rsid w:val="00AB2201"/>
    <w:rsid w:val="00AD3259"/>
    <w:rsid w:val="00AF1715"/>
    <w:rsid w:val="00AF3904"/>
    <w:rsid w:val="00B010C0"/>
    <w:rsid w:val="00B22DD8"/>
    <w:rsid w:val="00B26D72"/>
    <w:rsid w:val="00B4740D"/>
    <w:rsid w:val="00B61629"/>
    <w:rsid w:val="00B7374B"/>
    <w:rsid w:val="00B90DC0"/>
    <w:rsid w:val="00BA116A"/>
    <w:rsid w:val="00BA5582"/>
    <w:rsid w:val="00BA6468"/>
    <w:rsid w:val="00BB1D44"/>
    <w:rsid w:val="00BD06DA"/>
    <w:rsid w:val="00BD4217"/>
    <w:rsid w:val="00BF25F3"/>
    <w:rsid w:val="00C1697B"/>
    <w:rsid w:val="00C21644"/>
    <w:rsid w:val="00C21CB5"/>
    <w:rsid w:val="00C50A5C"/>
    <w:rsid w:val="00C50FDF"/>
    <w:rsid w:val="00C63381"/>
    <w:rsid w:val="00C67823"/>
    <w:rsid w:val="00C73D06"/>
    <w:rsid w:val="00C73E1B"/>
    <w:rsid w:val="00C759B4"/>
    <w:rsid w:val="00C77713"/>
    <w:rsid w:val="00C85BB7"/>
    <w:rsid w:val="00CA2DEA"/>
    <w:rsid w:val="00CB3520"/>
    <w:rsid w:val="00CB43D5"/>
    <w:rsid w:val="00CC2D45"/>
    <w:rsid w:val="00CC4D84"/>
    <w:rsid w:val="00CE198A"/>
    <w:rsid w:val="00CF08C8"/>
    <w:rsid w:val="00CF27A9"/>
    <w:rsid w:val="00D004FC"/>
    <w:rsid w:val="00D13004"/>
    <w:rsid w:val="00D64901"/>
    <w:rsid w:val="00D742FD"/>
    <w:rsid w:val="00D749DC"/>
    <w:rsid w:val="00D76BDF"/>
    <w:rsid w:val="00D773CB"/>
    <w:rsid w:val="00D862C1"/>
    <w:rsid w:val="00D93B50"/>
    <w:rsid w:val="00D94028"/>
    <w:rsid w:val="00D94670"/>
    <w:rsid w:val="00D94A41"/>
    <w:rsid w:val="00DA46F6"/>
    <w:rsid w:val="00DC60BD"/>
    <w:rsid w:val="00DC61B5"/>
    <w:rsid w:val="00DD0B49"/>
    <w:rsid w:val="00DE0502"/>
    <w:rsid w:val="00DE08CD"/>
    <w:rsid w:val="00DE349D"/>
    <w:rsid w:val="00E00EEF"/>
    <w:rsid w:val="00E06DFA"/>
    <w:rsid w:val="00E20A0A"/>
    <w:rsid w:val="00E22D67"/>
    <w:rsid w:val="00E244A8"/>
    <w:rsid w:val="00E304BC"/>
    <w:rsid w:val="00E356C7"/>
    <w:rsid w:val="00E40D79"/>
    <w:rsid w:val="00E41A5A"/>
    <w:rsid w:val="00E45FE4"/>
    <w:rsid w:val="00E463EF"/>
    <w:rsid w:val="00E64FA7"/>
    <w:rsid w:val="00E770CB"/>
    <w:rsid w:val="00E861C4"/>
    <w:rsid w:val="00E903A1"/>
    <w:rsid w:val="00E940EB"/>
    <w:rsid w:val="00E9703F"/>
    <w:rsid w:val="00EA4608"/>
    <w:rsid w:val="00EB2B90"/>
    <w:rsid w:val="00EC51EE"/>
    <w:rsid w:val="00ED7AF6"/>
    <w:rsid w:val="00ED7E83"/>
    <w:rsid w:val="00EE091F"/>
    <w:rsid w:val="00EF4B63"/>
    <w:rsid w:val="00EF5791"/>
    <w:rsid w:val="00F0068D"/>
    <w:rsid w:val="00F0576D"/>
    <w:rsid w:val="00F14D7D"/>
    <w:rsid w:val="00F14E6D"/>
    <w:rsid w:val="00F15EA8"/>
    <w:rsid w:val="00F16C8D"/>
    <w:rsid w:val="00F241EA"/>
    <w:rsid w:val="00F26C61"/>
    <w:rsid w:val="00F33CCE"/>
    <w:rsid w:val="00F40249"/>
    <w:rsid w:val="00F526C8"/>
    <w:rsid w:val="00F761A3"/>
    <w:rsid w:val="00F9272D"/>
    <w:rsid w:val="00F9518C"/>
    <w:rsid w:val="00FA316E"/>
    <w:rsid w:val="00FA59EF"/>
    <w:rsid w:val="00FB19A2"/>
    <w:rsid w:val="00FF68F8"/>
    <w:rsid w:val="00FF697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styleId="FollowedHyperlink">
    <w:name w:val="FollowedHyperlink"/>
    <w:basedOn w:val="DefaultParagraphFont"/>
    <w:uiPriority w:val="99"/>
    <w:semiHidden/>
    <w:unhideWhenUsed/>
    <w:rsid w:val="0090344D"/>
    <w:rPr>
      <w:color w:val="800080" w:themeColor="followedHyperlink"/>
      <w:u w:val="single"/>
    </w:rPr>
  </w:style>
  <w:style w:type="paragraph" w:customStyle="1" w:styleId="scjnumber">
    <w:name w:val="scjnumber"/>
    <w:basedOn w:val="Normal"/>
    <w:rsid w:val="006F54B9"/>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next w:val="Normal"/>
    <w:link w:val="SCCLsocSubfileSeparatorChar"/>
    <w:rsid w:val="00303378"/>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303378"/>
    <w:rPr>
      <w:rFonts w:eastAsia="Times New Roman" w:cs="Times New Roman"/>
      <w:szCs w:val="20"/>
      <w:lang w:val="en-CA" w:eastAsia="en-CA"/>
    </w:rPr>
  </w:style>
  <w:style w:type="table" w:customStyle="1" w:styleId="TableGrid2">
    <w:name w:val="Table Grid2"/>
    <w:basedOn w:val="TableNormal"/>
    <w:next w:val="TableGrid"/>
    <w:uiPriority w:val="59"/>
    <w:rsid w:val="00E40D79"/>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475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12F9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333x" TargetMode="External"/><Relationship Id="rId21" Type="http://schemas.openxmlformats.org/officeDocument/2006/relationships/header" Target="header6.xml"/><Relationship Id="rId34" Type="http://schemas.openxmlformats.org/officeDocument/2006/relationships/hyperlink" Target="http://canlii.ca/t/g27bw" TargetMode="External"/><Relationship Id="rId42" Type="http://schemas.openxmlformats.org/officeDocument/2006/relationships/hyperlink" Target="http://www.canlii.org/en/on/onca/doc/2013/2013onca512/2013onca512.html?searchUrlHash=AAAAAQANMjAxMyBPTkNBIDUxMgAAAAAB" TargetMode="Externa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header" Target="header16.xml"/><Relationship Id="rId68" Type="http://schemas.openxmlformats.org/officeDocument/2006/relationships/footer" Target="footer18.xml"/><Relationship Id="rId76" Type="http://schemas.openxmlformats.org/officeDocument/2006/relationships/footer" Target="footer21.xml"/><Relationship Id="rId84" Type="http://schemas.openxmlformats.org/officeDocument/2006/relationships/footer" Target="footer25.xml"/><Relationship Id="rId89" Type="http://schemas.openxmlformats.org/officeDocument/2006/relationships/header" Target="header28.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cc-csc.ca/case-dossier/info/sum-som-fra.aspx?cas=34854" TargetMode="External"/><Relationship Id="rId92"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tdp/doc/2010/2010qctdp16/2010qctdp1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3/2013qcca1650/2013qcca1650.html" TargetMode="External"/><Relationship Id="rId37" Type="http://schemas.openxmlformats.org/officeDocument/2006/relationships/hyperlink" Target="http://www.canlii.ca/en/on/onsc/doc/2012/2012onsc2581/2012onsc2581.html" TargetMode="External"/><Relationship Id="rId40" Type="http://schemas.openxmlformats.org/officeDocument/2006/relationships/hyperlink" Target="http://www.canlii.ca/en/on/onca/doc/2013/2013onca725/2013onca725.html" TargetMode="External"/><Relationship Id="rId45" Type="http://schemas.openxmlformats.org/officeDocument/2006/relationships/hyperlink" Target="http://canlii.ca/en/bc/bcca/doc/2014/2014bcca4/2014bcca4.html" TargetMode="Externa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header" Target="header18.xml"/><Relationship Id="rId74" Type="http://schemas.openxmlformats.org/officeDocument/2006/relationships/header" Target="header21.xml"/><Relationship Id="rId79" Type="http://schemas.openxmlformats.org/officeDocument/2006/relationships/header" Target="header23.xml"/><Relationship Id="rId87"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footer" Target="footer14.xml"/><Relationship Id="rId82" Type="http://schemas.openxmlformats.org/officeDocument/2006/relationships/footer" Target="footer24.xml"/><Relationship Id="rId90" Type="http://schemas.openxmlformats.org/officeDocument/2006/relationships/footer" Target="footer28.xml"/><Relationship Id="rId95"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fz65t" TargetMode="External"/><Relationship Id="rId30" Type="http://schemas.openxmlformats.org/officeDocument/2006/relationships/hyperlink" Target="http://www.canlii.org/fr/qc/qcca/doc/2013/2013qcca1650/2013qcca1650.html" TargetMode="External"/><Relationship Id="rId35" Type="http://schemas.openxmlformats.org/officeDocument/2006/relationships/hyperlink" Target="http://canlii.ca/t/29fjh" TargetMode="External"/><Relationship Id="rId43" Type="http://schemas.openxmlformats.org/officeDocument/2006/relationships/hyperlink" Target="http://www.canlii.org/en/on/onsc/doc/2011/2011onsc3372/2011onsc3372.html?searchUrlHash=AAAAAQAOMjAxMSBPTlNDIDMzNzIAAAAAAQ" TargetMode="External"/><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header" Target="header19.xml"/><Relationship Id="rId77" Type="http://schemas.openxmlformats.org/officeDocument/2006/relationships/header" Target="header22.xml"/><Relationship Id="rId8" Type="http://schemas.openxmlformats.org/officeDocument/2006/relationships/image" Target="media/image1.wmf"/><Relationship Id="rId51" Type="http://schemas.openxmlformats.org/officeDocument/2006/relationships/header" Target="header10.xml"/><Relationship Id="rId72" Type="http://schemas.openxmlformats.org/officeDocument/2006/relationships/hyperlink" Target="http://www.scc-csc.ca/case-dossier/info/sum-som-fra.aspx?cas=35295" TargetMode="External"/><Relationship Id="rId80" Type="http://schemas.openxmlformats.org/officeDocument/2006/relationships/header" Target="header24.xml"/><Relationship Id="rId85" Type="http://schemas.openxmlformats.org/officeDocument/2006/relationships/header" Target="header26.xml"/><Relationship Id="rId93" Type="http://schemas.openxmlformats.org/officeDocument/2006/relationships/header" Target="header30.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333x" TargetMode="External"/><Relationship Id="rId33" Type="http://schemas.openxmlformats.org/officeDocument/2006/relationships/hyperlink" Target="http://canlii.ca/t/29fjh" TargetMode="External"/><Relationship Id="rId38" Type="http://schemas.openxmlformats.org/officeDocument/2006/relationships/hyperlink" Target="http://www.canlii.ca/en/on/onca/doc/2013/2013onca725/2013onca725.html" TargetMode="External"/><Relationship Id="rId46" Type="http://schemas.openxmlformats.org/officeDocument/2006/relationships/hyperlink" Target="http://canlii.ca/en/bc/bcca/doc/2014/2014bcca4/2014bcca4.html" TargetMode="External"/><Relationship Id="rId59" Type="http://schemas.openxmlformats.org/officeDocument/2006/relationships/header" Target="header14.xml"/><Relationship Id="rId67"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yperlink" Target="http://www.canlii.org/en/on/onsc/doc/2011/2011onsc3372/2011onsc3372.html?searchUrlHash=AAAAAQAOMjAxMSBPTlNDIDMzNzIAAAAAAQ" TargetMode="External"/><Relationship Id="rId54" Type="http://schemas.openxmlformats.org/officeDocument/2006/relationships/header" Target="header12.xml"/><Relationship Id="rId62" Type="http://schemas.openxmlformats.org/officeDocument/2006/relationships/footer" Target="footer15.xml"/><Relationship Id="rId70" Type="http://schemas.openxmlformats.org/officeDocument/2006/relationships/footer" Target="footer19.xml"/><Relationship Id="rId75" Type="http://schemas.openxmlformats.org/officeDocument/2006/relationships/footer" Target="footer20.xml"/><Relationship Id="rId83" Type="http://schemas.openxmlformats.org/officeDocument/2006/relationships/header" Target="header25.xml"/><Relationship Id="rId88" Type="http://schemas.openxmlformats.org/officeDocument/2006/relationships/footer" Target="footer27.xml"/><Relationship Id="rId91" Type="http://schemas.openxmlformats.org/officeDocument/2006/relationships/header" Target="header29.xml"/><Relationship Id="rId96"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fz65t" TargetMode="External"/><Relationship Id="rId36" Type="http://schemas.openxmlformats.org/officeDocument/2006/relationships/hyperlink" Target="http://canlii.ca/t/g27bw" TargetMode="External"/><Relationship Id="rId49" Type="http://schemas.openxmlformats.org/officeDocument/2006/relationships/footer" Target="footer8.xml"/><Relationship Id="rId57" Type="http://schemas.openxmlformats.org/officeDocument/2006/relationships/header" Target="header13.xml"/><Relationship Id="rId10" Type="http://schemas.openxmlformats.org/officeDocument/2006/relationships/hyperlink" Target="http://www.scc-csc.ca" TargetMode="External"/><Relationship Id="rId31" Type="http://schemas.openxmlformats.org/officeDocument/2006/relationships/hyperlink" Target="http://www.canlii.org/fr/qc/qctdp/doc/2010/2010qctdp16/2010qctdp16.html" TargetMode="External"/><Relationship Id="rId44" Type="http://schemas.openxmlformats.org/officeDocument/2006/relationships/hyperlink" Target="http://www.canlii.org/en/on/onca/doc/2013/2013onca512/2013onca512.html?searchUrlHash=AAAAAQANMjAxMyBPTkNBIDUxMgAAAAAB" TargetMode="External"/><Relationship Id="rId52" Type="http://schemas.openxmlformats.org/officeDocument/2006/relationships/footer" Target="footer10.xml"/><Relationship Id="rId60" Type="http://schemas.openxmlformats.org/officeDocument/2006/relationships/header" Target="header15.xml"/><Relationship Id="rId65" Type="http://schemas.openxmlformats.org/officeDocument/2006/relationships/header" Target="header17.xml"/><Relationship Id="rId73" Type="http://schemas.openxmlformats.org/officeDocument/2006/relationships/header" Target="header20.xml"/><Relationship Id="rId78" Type="http://schemas.openxmlformats.org/officeDocument/2006/relationships/footer" Target="footer22.xml"/><Relationship Id="rId81" Type="http://schemas.openxmlformats.org/officeDocument/2006/relationships/footer" Target="footer23.xml"/><Relationship Id="rId86" Type="http://schemas.openxmlformats.org/officeDocument/2006/relationships/header" Target="header27.xml"/><Relationship Id="rId94"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ca/en/on/onsc/doc/2012/2012onsc2581/2012onsc25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299EE-6A55-491F-A71A-918A6FFD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19913</Words>
  <Characters>113510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2014-04-10T12:59:00Z</dcterms:created>
  <dcterms:modified xsi:type="dcterms:W3CDTF">2015-12-04T16:16:00Z</dcterms:modified>
</cp:coreProperties>
</file>