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84E5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84E5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84E5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84E5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84E5B" w:rsidTr="002E5576">
        <w:tc>
          <w:tcPr>
            <w:tcW w:w="4518" w:type="dxa"/>
          </w:tcPr>
          <w:p w:rsidR="00BF25F3" w:rsidRPr="002E2327" w:rsidRDefault="00477F7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77F7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84E5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84E5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584E5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584E5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3910AB">
        <w:rPr>
          <w:lang w:val="fr-CA"/>
        </w:rPr>
        <w:t>uly 4</w:t>
      </w:r>
      <w:r w:rsidR="00440E24" w:rsidRPr="00675479">
        <w:rPr>
          <w:lang w:val="fr-CA"/>
        </w:rPr>
        <w:t>, 201</w:t>
      </w:r>
      <w:r w:rsidR="00501F3C">
        <w:rPr>
          <w:lang w:val="fr-CA"/>
        </w:rPr>
        <w:t>4</w:t>
      </w:r>
      <w:r w:rsidR="00F0068D" w:rsidRPr="00675479">
        <w:rPr>
          <w:lang w:val="fr-CA"/>
        </w:rPr>
        <w:tab/>
        <w:t>1</w:t>
      </w:r>
      <w:r w:rsidR="003910AB">
        <w:rPr>
          <w:lang w:val="fr-CA"/>
        </w:rPr>
        <w:t>10</w:t>
      </w:r>
      <w:r w:rsidR="00B40890">
        <w:rPr>
          <w:lang w:val="fr-CA"/>
        </w:rPr>
        <w:t>4</w:t>
      </w:r>
      <w:r w:rsidR="00F0068D" w:rsidRPr="00675479">
        <w:rPr>
          <w:lang w:val="fr-CA"/>
        </w:rPr>
        <w:t xml:space="preserve"> - </w:t>
      </w:r>
      <w:r w:rsidR="00405087">
        <w:rPr>
          <w:lang w:val="fr-CA"/>
        </w:rPr>
        <w:t>1127</w:t>
      </w:r>
      <w:r w:rsidR="00440E24" w:rsidRPr="00675479">
        <w:rPr>
          <w:lang w:val="fr-CA"/>
        </w:rPr>
        <w:tab/>
      </w:r>
      <w:r w:rsidR="00440E24" w:rsidRPr="002E2327">
        <w:rPr>
          <w:lang w:val="fr-CA"/>
        </w:rPr>
        <w:t>Le</w:t>
      </w:r>
      <w:r>
        <w:rPr>
          <w:lang w:val="fr-CA"/>
        </w:rPr>
        <w:t xml:space="preserve"> </w:t>
      </w:r>
      <w:r w:rsidR="003910AB">
        <w:rPr>
          <w:lang w:val="fr-CA"/>
        </w:rPr>
        <w:t>4 juillet</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C5198D" w:rsidRDefault="00440E24" w:rsidP="00440E24">
      <w:pPr>
        <w:pBdr>
          <w:bottom w:val="single" w:sz="6" w:space="1" w:color="auto"/>
        </w:pBdr>
        <w:tabs>
          <w:tab w:val="right" w:pos="9360"/>
        </w:tabs>
        <w:rPr>
          <w:sz w:val="18"/>
          <w:szCs w:val="18"/>
        </w:rPr>
      </w:pPr>
      <w:r w:rsidRPr="00C5198D">
        <w:rPr>
          <w:sz w:val="18"/>
          <w:szCs w:val="18"/>
        </w:rPr>
        <w:t>© Supreme Court of Canada (201</w:t>
      </w:r>
      <w:r w:rsidR="00501F3C" w:rsidRPr="00C5198D">
        <w:rPr>
          <w:sz w:val="18"/>
          <w:szCs w:val="18"/>
        </w:rPr>
        <w:t>4</w:t>
      </w:r>
      <w:r w:rsidRPr="00C5198D">
        <w:rPr>
          <w:sz w:val="18"/>
          <w:szCs w:val="18"/>
        </w:rPr>
        <w:t>)</w:t>
      </w:r>
      <w:r w:rsidRPr="00C5198D">
        <w:rPr>
          <w:sz w:val="18"/>
          <w:szCs w:val="18"/>
        </w:rPr>
        <w:tab/>
        <w:t>© Cour suprême du Canada (201</w:t>
      </w:r>
      <w:r w:rsidR="00501F3C" w:rsidRPr="00C5198D">
        <w:rPr>
          <w:sz w:val="18"/>
          <w:szCs w:val="18"/>
        </w:rPr>
        <w:t>4</w:t>
      </w:r>
      <w:r w:rsidRPr="00C5198D">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Taxation of costs</w:t>
            </w:r>
          </w:p>
          <w:p w:rsidR="00A87207" w:rsidRPr="002E2327" w:rsidRDefault="00A87207" w:rsidP="00E77667">
            <w:pPr>
              <w:tabs>
                <w:tab w:val="right" w:pos="9360"/>
              </w:tabs>
              <w:rPr>
                <w:rFonts w:cs="Times New Roman"/>
                <w:sz w:val="20"/>
                <w:szCs w:val="20"/>
              </w:rPr>
            </w:pPr>
          </w:p>
        </w:tc>
        <w:tc>
          <w:tcPr>
            <w:tcW w:w="1980" w:type="dxa"/>
          </w:tcPr>
          <w:p w:rsidR="0095096B" w:rsidRPr="002E2327" w:rsidRDefault="003910AB" w:rsidP="0095096B">
            <w:pPr>
              <w:jc w:val="center"/>
              <w:rPr>
                <w:rFonts w:cs="Times New Roman"/>
                <w:sz w:val="20"/>
                <w:szCs w:val="20"/>
              </w:rPr>
            </w:pPr>
            <w:r>
              <w:rPr>
                <w:rFonts w:cs="Times New Roman"/>
                <w:sz w:val="20"/>
                <w:szCs w:val="20"/>
              </w:rPr>
              <w:t>110</w:t>
            </w:r>
            <w:r w:rsidR="00B40890">
              <w:rPr>
                <w:rFonts w:cs="Times New Roman"/>
                <w:sz w:val="20"/>
                <w:szCs w:val="20"/>
              </w:rPr>
              <w:t xml:space="preserve">4 </w:t>
            </w:r>
            <w:r w:rsidR="00477F7E" w:rsidRPr="002E2327">
              <w:rPr>
                <w:rFonts w:cs="Times New Roman"/>
                <w:sz w:val="20"/>
                <w:szCs w:val="20"/>
              </w:rPr>
              <w:fldChar w:fldCharType="begin"/>
            </w:r>
            <w:r w:rsidR="0095096B" w:rsidRPr="002E2327">
              <w:rPr>
                <w:rFonts w:cs="Times New Roman"/>
                <w:sz w:val="20"/>
                <w:szCs w:val="20"/>
              </w:rPr>
              <w:instrText xml:space="preserve"> SEQ CHAPTER \h \r 1</w:instrText>
            </w:r>
            <w:r w:rsidR="00477F7E" w:rsidRPr="002E2327">
              <w:rPr>
                <w:rFonts w:cs="Times New Roman"/>
                <w:sz w:val="20"/>
                <w:szCs w:val="20"/>
              </w:rPr>
              <w:fldChar w:fldCharType="end"/>
            </w:r>
            <w:r w:rsidR="0095096B" w:rsidRPr="002E2327">
              <w:rPr>
                <w:rFonts w:cs="Times New Roman"/>
                <w:sz w:val="20"/>
                <w:szCs w:val="20"/>
              </w:rPr>
              <w:t>-</w:t>
            </w:r>
            <w:r w:rsidR="00A809A9">
              <w:rPr>
                <w:rFonts w:cs="Times New Roman"/>
                <w:sz w:val="20"/>
                <w:szCs w:val="20"/>
              </w:rPr>
              <w:t xml:space="preserve"> 1105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09A9" w:rsidP="0095096B">
            <w:pPr>
              <w:jc w:val="center"/>
              <w:rPr>
                <w:rFonts w:cs="Times New Roman"/>
                <w:sz w:val="20"/>
                <w:szCs w:val="20"/>
              </w:rPr>
            </w:pPr>
            <w:r>
              <w:rPr>
                <w:rFonts w:cs="Times New Roman"/>
                <w:sz w:val="20"/>
                <w:szCs w:val="20"/>
              </w:rPr>
              <w:t>1106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77667" w:rsidP="0095096B">
            <w:pPr>
              <w:jc w:val="center"/>
              <w:rPr>
                <w:rFonts w:cs="Times New Roman"/>
                <w:sz w:val="20"/>
                <w:szCs w:val="20"/>
              </w:rPr>
            </w:pPr>
            <w:r>
              <w:rPr>
                <w:rFonts w:cs="Times New Roman"/>
                <w:sz w:val="20"/>
                <w:szCs w:val="20"/>
              </w:rPr>
              <w:t xml:space="preserve">1107 </w:t>
            </w:r>
            <w:r w:rsidR="0095096B" w:rsidRPr="002E2327">
              <w:rPr>
                <w:rFonts w:cs="Times New Roman"/>
                <w:sz w:val="20"/>
                <w:szCs w:val="20"/>
              </w:rPr>
              <w:t>-</w:t>
            </w:r>
            <w:r>
              <w:rPr>
                <w:rFonts w:cs="Times New Roman"/>
                <w:sz w:val="20"/>
                <w:szCs w:val="20"/>
              </w:rPr>
              <w:t xml:space="preserve"> 1118</w:t>
            </w:r>
          </w:p>
          <w:p w:rsidR="0095096B" w:rsidRDefault="0095096B" w:rsidP="0095096B">
            <w:pPr>
              <w:jc w:val="center"/>
              <w:rPr>
                <w:rFonts w:cs="Times New Roman"/>
                <w:sz w:val="20"/>
                <w:szCs w:val="20"/>
              </w:rPr>
            </w:pPr>
          </w:p>
          <w:p w:rsidR="00E77667" w:rsidRPr="002E2327" w:rsidRDefault="00E77667" w:rsidP="0095096B">
            <w:pPr>
              <w:jc w:val="center"/>
              <w:rPr>
                <w:rFonts w:cs="Times New Roman"/>
                <w:sz w:val="20"/>
                <w:szCs w:val="20"/>
              </w:rPr>
            </w:pPr>
          </w:p>
          <w:p w:rsidR="0095096B" w:rsidRPr="002E2327" w:rsidRDefault="00E77667" w:rsidP="0095096B">
            <w:pPr>
              <w:jc w:val="center"/>
              <w:rPr>
                <w:rFonts w:cs="Times New Roman"/>
                <w:sz w:val="20"/>
                <w:szCs w:val="20"/>
              </w:rPr>
            </w:pPr>
            <w:r>
              <w:rPr>
                <w:rFonts w:cs="Times New Roman"/>
                <w:sz w:val="20"/>
                <w:szCs w:val="20"/>
              </w:rPr>
              <w:t xml:space="preserve">1119 </w:t>
            </w:r>
            <w:r w:rsidR="0095096B" w:rsidRPr="002E2327">
              <w:rPr>
                <w:rFonts w:cs="Times New Roman"/>
                <w:sz w:val="20"/>
                <w:szCs w:val="20"/>
              </w:rPr>
              <w:t>-</w:t>
            </w:r>
            <w:r>
              <w:rPr>
                <w:rFonts w:cs="Times New Roman"/>
                <w:sz w:val="20"/>
                <w:szCs w:val="20"/>
              </w:rPr>
              <w:t xml:space="preserve"> 1121</w:t>
            </w:r>
          </w:p>
          <w:p w:rsidR="0095096B" w:rsidRPr="002E2327" w:rsidRDefault="0095096B" w:rsidP="0095096B">
            <w:pPr>
              <w:jc w:val="center"/>
              <w:rPr>
                <w:rFonts w:cs="Times New Roman"/>
                <w:sz w:val="20"/>
                <w:szCs w:val="20"/>
              </w:rPr>
            </w:pPr>
          </w:p>
          <w:p w:rsidR="0095096B" w:rsidRPr="002E2327" w:rsidRDefault="00E77667" w:rsidP="0095096B">
            <w:pPr>
              <w:jc w:val="center"/>
              <w:rPr>
                <w:rFonts w:cs="Times New Roman"/>
                <w:sz w:val="20"/>
                <w:szCs w:val="20"/>
              </w:rPr>
            </w:pPr>
            <w:r>
              <w:rPr>
                <w:rFonts w:cs="Times New Roman"/>
                <w:sz w:val="20"/>
                <w:szCs w:val="20"/>
              </w:rPr>
              <w:t xml:space="preserve">1122 </w:t>
            </w:r>
            <w:r w:rsidR="0095096B" w:rsidRPr="002E2327">
              <w:rPr>
                <w:rFonts w:cs="Times New Roman"/>
                <w:sz w:val="20"/>
                <w:szCs w:val="20"/>
              </w:rPr>
              <w:t>-</w:t>
            </w:r>
            <w:r>
              <w:rPr>
                <w:rFonts w:cs="Times New Roman"/>
                <w:sz w:val="20"/>
                <w:szCs w:val="20"/>
              </w:rPr>
              <w:t xml:space="preserve">  1127</w:t>
            </w:r>
          </w:p>
          <w:p w:rsidR="00A87207" w:rsidRPr="002E2327" w:rsidRDefault="00A87207" w:rsidP="00E77667">
            <w:pPr>
              <w:jc w:val="center"/>
              <w:rPr>
                <w:rFonts w:cs="Times New Roman"/>
                <w:sz w:val="20"/>
                <w:szCs w:val="20"/>
              </w:rPr>
            </w:pPr>
          </w:p>
        </w:tc>
        <w:tc>
          <w:tcPr>
            <w:tcW w:w="3888" w:type="dxa"/>
          </w:tcPr>
          <w:p w:rsidR="0095096B" w:rsidRPr="002E2327" w:rsidRDefault="00477F7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Taxation des dépens</w:t>
            </w:r>
          </w:p>
          <w:p w:rsidR="00A87207" w:rsidRPr="002E2327" w:rsidRDefault="00A87207" w:rsidP="00E77667">
            <w:pPr>
              <w:rPr>
                <w:rFonts w:cs="Times New Roman"/>
                <w:sz w:val="20"/>
                <w:szCs w:val="20"/>
                <w:lang w:val="fr-CA"/>
              </w:rPr>
            </w:pPr>
          </w:p>
        </w:tc>
      </w:tr>
    </w:tbl>
    <w:p w:rsidR="0095096B" w:rsidRDefault="0095096B" w:rsidP="0095096B">
      <w:pPr>
        <w:tabs>
          <w:tab w:val="right" w:pos="9360"/>
        </w:tabs>
      </w:pPr>
    </w:p>
    <w:p w:rsidR="0079380A" w:rsidRDefault="0079380A" w:rsidP="0095096B">
      <w:pPr>
        <w:tabs>
          <w:tab w:val="right" w:pos="9360"/>
        </w:tabs>
      </w:pPr>
    </w:p>
    <w:p w:rsidR="0079380A" w:rsidRDefault="0079380A" w:rsidP="0095096B">
      <w:pPr>
        <w:tabs>
          <w:tab w:val="right" w:pos="9360"/>
        </w:tabs>
      </w:pPr>
    </w:p>
    <w:p w:rsidR="0079380A" w:rsidRDefault="0079380A" w:rsidP="0095096B">
      <w:pPr>
        <w:tabs>
          <w:tab w:val="right" w:pos="9360"/>
        </w:tabs>
      </w:pPr>
    </w:p>
    <w:p w:rsidR="0079380A" w:rsidRPr="002E2327" w:rsidRDefault="0079380A" w:rsidP="0095096B">
      <w:pPr>
        <w:tabs>
          <w:tab w:val="right" w:pos="9360"/>
        </w:tabs>
      </w:pPr>
    </w:p>
    <w:tbl>
      <w:tblPr>
        <w:tblStyle w:val="TableGrid"/>
        <w:tblW w:w="0" w:type="auto"/>
        <w:tblLook w:val="04A0" w:firstRow="1" w:lastRow="0" w:firstColumn="1" w:lastColumn="0" w:noHBand="0" w:noVBand="1"/>
      </w:tblPr>
      <w:tblGrid>
        <w:gridCol w:w="9576"/>
      </w:tblGrid>
      <w:tr w:rsidR="0079724F" w:rsidRPr="00584E5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CA12C8" w:rsidP="005F1ED8">
            <w:pPr>
              <w:rPr>
                <w:b/>
                <w:sz w:val="20"/>
                <w:szCs w:val="20"/>
              </w:rPr>
            </w:pPr>
            <w:r>
              <w:rPr>
                <w:b/>
                <w:sz w:val="20"/>
                <w:szCs w:val="20"/>
              </w:rPr>
              <w:t>Da Wei Chang</w:t>
            </w:r>
          </w:p>
          <w:p w:rsidR="00C21644" w:rsidRPr="00A935AA" w:rsidRDefault="00C21644" w:rsidP="005F1ED8">
            <w:pPr>
              <w:tabs>
                <w:tab w:val="left" w:pos="-1440"/>
                <w:tab w:val="left" w:pos="-720"/>
              </w:tabs>
              <w:rPr>
                <w:sz w:val="20"/>
                <w:szCs w:val="20"/>
              </w:rPr>
            </w:pPr>
            <w:r w:rsidRPr="00A935AA">
              <w:rPr>
                <w:sz w:val="20"/>
                <w:szCs w:val="20"/>
              </w:rPr>
              <w:tab/>
            </w:r>
            <w:r>
              <w:rPr>
                <w:sz w:val="20"/>
                <w:szCs w:val="20"/>
              </w:rPr>
              <w:t>Da</w:t>
            </w:r>
            <w:r w:rsidR="00CA12C8">
              <w:rPr>
                <w:sz w:val="20"/>
                <w:szCs w:val="20"/>
              </w:rPr>
              <w:t xml:space="preserve"> We</w:t>
            </w:r>
            <w:r>
              <w:rPr>
                <w:sz w:val="20"/>
                <w:szCs w:val="20"/>
              </w:rPr>
              <w:t>i</w:t>
            </w:r>
            <w:r w:rsidR="00CA12C8">
              <w:rPr>
                <w:sz w:val="20"/>
                <w:szCs w:val="20"/>
              </w:rPr>
              <w:t xml:space="preserve"> C</w:t>
            </w:r>
            <w:r>
              <w:rPr>
                <w:sz w:val="20"/>
                <w:szCs w:val="20"/>
              </w:rPr>
              <w:t>h</w:t>
            </w:r>
            <w:r w:rsidR="00CA12C8">
              <w:rPr>
                <w:sz w:val="20"/>
                <w:szCs w:val="20"/>
              </w:rPr>
              <w:t>ang</w:t>
            </w:r>
            <w:r>
              <w:rPr>
                <w:sz w:val="20"/>
                <w:szCs w:val="20"/>
              </w:rPr>
              <w:t xml:space="preserve"> </w:t>
            </w:r>
          </w:p>
          <w:p w:rsidR="00C21644" w:rsidRPr="00FA5B55" w:rsidRDefault="00C21644" w:rsidP="005F1ED8">
            <w:pPr>
              <w:tabs>
                <w:tab w:val="left" w:pos="-1440"/>
                <w:tab w:val="left" w:pos="-720"/>
              </w:tabs>
              <w:rPr>
                <w:sz w:val="20"/>
                <w:szCs w:val="20"/>
              </w:rPr>
            </w:pPr>
          </w:p>
          <w:p w:rsidR="00C21644" w:rsidRPr="00CA12C8" w:rsidRDefault="00C21644" w:rsidP="005F1ED8">
            <w:pPr>
              <w:tabs>
                <w:tab w:val="left" w:pos="-1440"/>
                <w:tab w:val="left" w:pos="-720"/>
              </w:tabs>
              <w:rPr>
                <w:sz w:val="20"/>
                <w:szCs w:val="20"/>
              </w:rPr>
            </w:pPr>
            <w:r w:rsidRPr="00FA5B55">
              <w:rPr>
                <w:sz w:val="20"/>
                <w:szCs w:val="20"/>
              </w:rPr>
              <w:tab/>
            </w:r>
            <w:r w:rsidRPr="00CA12C8">
              <w:rPr>
                <w:sz w:val="20"/>
                <w:szCs w:val="20"/>
              </w:rPr>
              <w:t>v. (35</w:t>
            </w:r>
            <w:r w:rsidR="00CA12C8" w:rsidRPr="00CA12C8">
              <w:rPr>
                <w:sz w:val="20"/>
                <w:szCs w:val="20"/>
              </w:rPr>
              <w:t>951</w:t>
            </w:r>
            <w:r w:rsidRPr="00CA12C8">
              <w:rPr>
                <w:sz w:val="20"/>
                <w:szCs w:val="20"/>
              </w:rPr>
              <w:t>)</w:t>
            </w:r>
          </w:p>
          <w:p w:rsidR="00C21644" w:rsidRPr="00CA12C8" w:rsidRDefault="00C21644" w:rsidP="005F1ED8">
            <w:pPr>
              <w:tabs>
                <w:tab w:val="left" w:pos="-1440"/>
                <w:tab w:val="left" w:pos="-720"/>
              </w:tabs>
              <w:rPr>
                <w:sz w:val="20"/>
                <w:szCs w:val="20"/>
              </w:rPr>
            </w:pPr>
          </w:p>
          <w:p w:rsidR="00C21644" w:rsidRPr="00A935AA" w:rsidRDefault="00CA12C8" w:rsidP="005F1ED8">
            <w:pPr>
              <w:tabs>
                <w:tab w:val="left" w:pos="-1440"/>
                <w:tab w:val="left" w:pos="-720"/>
              </w:tabs>
              <w:rPr>
                <w:b/>
                <w:sz w:val="20"/>
                <w:szCs w:val="20"/>
              </w:rPr>
            </w:pPr>
            <w:r>
              <w:rPr>
                <w:b/>
                <w:sz w:val="20"/>
                <w:szCs w:val="20"/>
              </w:rPr>
              <w:t>Elizabeth Foo-Yun</w:t>
            </w:r>
            <w:r w:rsidR="00C21644" w:rsidRPr="00CA12C8">
              <w:rPr>
                <w:b/>
                <w:sz w:val="20"/>
                <w:szCs w:val="20"/>
              </w:rPr>
              <w:t xml:space="preserve"> </w:t>
            </w:r>
            <w:r w:rsidRPr="00CA12C8">
              <w:rPr>
                <w:b/>
                <w:sz w:val="20"/>
                <w:szCs w:val="20"/>
              </w:rPr>
              <w:t xml:space="preserve">Chang Leung, Executrix of the Estate of Hsieu Chang, also known as Chen Hsieu Chang, also known as Chang Chen Hsieu, Deceased </w:t>
            </w:r>
            <w:r w:rsidR="00C21644" w:rsidRPr="00CA12C8">
              <w:rPr>
                <w:b/>
                <w:sz w:val="20"/>
                <w:szCs w:val="20"/>
              </w:rPr>
              <w:t>et al.</w:t>
            </w:r>
            <w:r w:rsidR="00C21644" w:rsidRPr="00CA12C8">
              <w:rPr>
                <w:sz w:val="20"/>
                <w:szCs w:val="20"/>
              </w:rPr>
              <w:t xml:space="preserve"> </w:t>
            </w:r>
            <w:r w:rsidR="00C21644" w:rsidRPr="00A935AA">
              <w:rPr>
                <w:b/>
                <w:sz w:val="20"/>
                <w:szCs w:val="20"/>
              </w:rPr>
              <w:t>(</w:t>
            </w:r>
            <w:r>
              <w:rPr>
                <w:b/>
                <w:sz w:val="20"/>
                <w:szCs w:val="20"/>
              </w:rPr>
              <w:t>B.C</w:t>
            </w:r>
            <w:r w:rsidR="00C21644" w:rsidRPr="00A935AA">
              <w:rPr>
                <w:b/>
                <w:sz w:val="20"/>
                <w:szCs w:val="20"/>
              </w:rPr>
              <w:t>.)</w:t>
            </w:r>
          </w:p>
          <w:p w:rsidR="00C21644" w:rsidRPr="00CA12C8" w:rsidRDefault="00C21644" w:rsidP="005F1ED8">
            <w:pPr>
              <w:tabs>
                <w:tab w:val="left" w:pos="-1440"/>
                <w:tab w:val="left" w:pos="-720"/>
              </w:tabs>
              <w:rPr>
                <w:sz w:val="20"/>
                <w:szCs w:val="20"/>
              </w:rPr>
            </w:pPr>
            <w:r w:rsidRPr="00A935AA">
              <w:rPr>
                <w:sz w:val="20"/>
                <w:szCs w:val="20"/>
              </w:rPr>
              <w:tab/>
            </w:r>
            <w:r w:rsidR="00CA12C8" w:rsidRPr="00CA12C8">
              <w:rPr>
                <w:sz w:val="20"/>
                <w:szCs w:val="20"/>
              </w:rPr>
              <w:t>Elizabeth Foo-Yun Chang Leung</w:t>
            </w:r>
          </w:p>
          <w:p w:rsidR="00C21644" w:rsidRPr="00A935AA" w:rsidRDefault="00C21644" w:rsidP="005F1ED8">
            <w:pPr>
              <w:tabs>
                <w:tab w:val="left" w:pos="-1440"/>
                <w:tab w:val="left" w:pos="-720"/>
              </w:tabs>
              <w:rPr>
                <w:sz w:val="20"/>
                <w:szCs w:val="20"/>
              </w:rPr>
            </w:pPr>
          </w:p>
          <w:p w:rsidR="00C21644" w:rsidRPr="00A935AA" w:rsidRDefault="00C21644" w:rsidP="00CA12C8">
            <w:pPr>
              <w:rPr>
                <w:sz w:val="20"/>
                <w:szCs w:val="20"/>
              </w:rPr>
            </w:pPr>
            <w:r w:rsidRPr="00A935AA">
              <w:rPr>
                <w:sz w:val="20"/>
                <w:szCs w:val="20"/>
              </w:rPr>
              <w:t xml:space="preserve">FILING DATE: </w:t>
            </w:r>
            <w:r w:rsidR="00CA12C8">
              <w:rPr>
                <w:sz w:val="20"/>
                <w:szCs w:val="20"/>
              </w:rPr>
              <w:t>24</w:t>
            </w:r>
            <w:r w:rsidRPr="00A935AA">
              <w:rPr>
                <w:sz w:val="20"/>
                <w:szCs w:val="20"/>
              </w:rPr>
              <w:t>.</w:t>
            </w:r>
            <w:r w:rsidR="00CA12C8">
              <w:rPr>
                <w:sz w:val="20"/>
                <w:szCs w:val="20"/>
              </w:rPr>
              <w:t>03</w:t>
            </w:r>
            <w:r w:rsidRPr="00A935AA">
              <w:rPr>
                <w:sz w:val="20"/>
                <w:szCs w:val="20"/>
              </w:rPr>
              <w:t>.201</w:t>
            </w:r>
            <w:r w:rsidR="00CA12C8">
              <w:rPr>
                <w:sz w:val="20"/>
                <w:szCs w:val="20"/>
              </w:rPr>
              <w:t>4</w:t>
            </w:r>
            <w:r w:rsidR="00584E5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A12C8" w:rsidRDefault="00CA12C8" w:rsidP="005F1ED8">
            <w:pPr>
              <w:keepNext/>
              <w:keepLines/>
              <w:tabs>
                <w:tab w:val="left" w:pos="-1440"/>
                <w:tab w:val="left" w:pos="-720"/>
              </w:tabs>
              <w:rPr>
                <w:b/>
                <w:sz w:val="20"/>
                <w:szCs w:val="20"/>
              </w:rPr>
            </w:pPr>
            <w:r w:rsidRPr="00CA12C8">
              <w:rPr>
                <w:b/>
                <w:sz w:val="20"/>
                <w:szCs w:val="20"/>
              </w:rPr>
              <w:t>Atiba Ralph</w:t>
            </w:r>
          </w:p>
          <w:p w:rsidR="00CA12C8" w:rsidRDefault="00C21644" w:rsidP="005F1ED8">
            <w:pPr>
              <w:keepNext/>
              <w:keepLines/>
              <w:tabs>
                <w:tab w:val="left" w:pos="-1440"/>
                <w:tab w:val="left" w:pos="-720"/>
              </w:tabs>
              <w:rPr>
                <w:sz w:val="20"/>
                <w:szCs w:val="20"/>
              </w:rPr>
            </w:pPr>
            <w:r w:rsidRPr="00CA12C8">
              <w:rPr>
                <w:sz w:val="20"/>
                <w:szCs w:val="20"/>
              </w:rPr>
              <w:tab/>
            </w:r>
            <w:r w:rsidR="00CA12C8" w:rsidRPr="00CA12C8">
              <w:rPr>
                <w:sz w:val="20"/>
                <w:szCs w:val="20"/>
              </w:rPr>
              <w:t xml:space="preserve">Diana M. </w:t>
            </w:r>
            <w:r w:rsidR="00CA12C8">
              <w:rPr>
                <w:sz w:val="20"/>
                <w:szCs w:val="20"/>
              </w:rPr>
              <w:t>Lumba</w:t>
            </w:r>
          </w:p>
          <w:p w:rsidR="00C21644" w:rsidRPr="00CA12C8" w:rsidRDefault="00CA12C8" w:rsidP="005F1ED8">
            <w:pPr>
              <w:keepNext/>
              <w:keepLines/>
              <w:tabs>
                <w:tab w:val="left" w:pos="-1440"/>
                <w:tab w:val="left" w:pos="-720"/>
              </w:tabs>
              <w:rPr>
                <w:sz w:val="20"/>
                <w:szCs w:val="20"/>
              </w:rPr>
            </w:pPr>
            <w:r>
              <w:rPr>
                <w:sz w:val="20"/>
                <w:szCs w:val="20"/>
              </w:rPr>
              <w:tab/>
              <w:t>Edward H. Royle &amp; Associates</w:t>
            </w:r>
          </w:p>
          <w:p w:rsidR="00C21644" w:rsidRPr="00CA12C8" w:rsidRDefault="00C21644" w:rsidP="005F1ED8">
            <w:pPr>
              <w:keepNext/>
              <w:keepLines/>
              <w:tabs>
                <w:tab w:val="left" w:pos="-1440"/>
                <w:tab w:val="left" w:pos="-720"/>
              </w:tabs>
              <w:rPr>
                <w:sz w:val="20"/>
                <w:szCs w:val="20"/>
              </w:rPr>
            </w:pPr>
          </w:p>
          <w:p w:rsidR="00C21644" w:rsidRPr="00CA12C8" w:rsidRDefault="00C21644" w:rsidP="005F1ED8">
            <w:pPr>
              <w:keepNext/>
              <w:keepLines/>
              <w:tabs>
                <w:tab w:val="left" w:pos="-1440"/>
                <w:tab w:val="left" w:pos="-720"/>
              </w:tabs>
              <w:rPr>
                <w:sz w:val="20"/>
                <w:szCs w:val="20"/>
              </w:rPr>
            </w:pPr>
            <w:r w:rsidRPr="00CA12C8">
              <w:rPr>
                <w:sz w:val="20"/>
                <w:szCs w:val="20"/>
              </w:rPr>
              <w:tab/>
            </w:r>
            <w:r w:rsidR="00CA12C8" w:rsidRPr="00CA12C8">
              <w:rPr>
                <w:sz w:val="20"/>
                <w:szCs w:val="20"/>
              </w:rPr>
              <w:t>v</w:t>
            </w:r>
            <w:r w:rsidRPr="00CA12C8">
              <w:rPr>
                <w:sz w:val="20"/>
                <w:szCs w:val="20"/>
              </w:rPr>
              <w:t>. (35</w:t>
            </w:r>
            <w:r w:rsidR="00CA12C8">
              <w:rPr>
                <w:sz w:val="20"/>
                <w:szCs w:val="20"/>
              </w:rPr>
              <w:t>934</w:t>
            </w:r>
            <w:r w:rsidRPr="00CA12C8">
              <w:rPr>
                <w:sz w:val="20"/>
                <w:szCs w:val="20"/>
              </w:rPr>
              <w:t>)</w:t>
            </w:r>
          </w:p>
          <w:p w:rsidR="00C21644" w:rsidRPr="00CA12C8" w:rsidRDefault="00C21644" w:rsidP="005F1ED8">
            <w:pPr>
              <w:keepNext/>
              <w:keepLines/>
              <w:tabs>
                <w:tab w:val="left" w:pos="-1440"/>
                <w:tab w:val="left" w:pos="-720"/>
              </w:tabs>
              <w:rPr>
                <w:sz w:val="20"/>
                <w:szCs w:val="20"/>
              </w:rPr>
            </w:pPr>
          </w:p>
          <w:p w:rsidR="00C21644" w:rsidRPr="00CA12C8" w:rsidRDefault="00CA12C8" w:rsidP="005F1ED8">
            <w:pPr>
              <w:keepNext/>
              <w:keepLines/>
              <w:tabs>
                <w:tab w:val="left" w:pos="-1440"/>
                <w:tab w:val="left" w:pos="-720"/>
              </w:tabs>
              <w:rPr>
                <w:b/>
                <w:sz w:val="20"/>
                <w:szCs w:val="20"/>
              </w:rPr>
            </w:pPr>
            <w:r>
              <w:rPr>
                <w:b/>
                <w:sz w:val="20"/>
                <w:szCs w:val="20"/>
              </w:rPr>
              <w:t xml:space="preserve">Her Majesty the Queen </w:t>
            </w:r>
            <w:r w:rsidR="00C21644" w:rsidRPr="00CA12C8">
              <w:rPr>
                <w:b/>
                <w:sz w:val="20"/>
                <w:szCs w:val="20"/>
              </w:rPr>
              <w:t>(</w:t>
            </w:r>
            <w:r>
              <w:rPr>
                <w:b/>
                <w:sz w:val="20"/>
                <w:szCs w:val="20"/>
              </w:rPr>
              <w:t>Ont</w:t>
            </w:r>
            <w:r w:rsidRPr="00CA12C8">
              <w:rPr>
                <w:b/>
                <w:sz w:val="20"/>
                <w:szCs w:val="20"/>
              </w:rPr>
              <w:t>.</w:t>
            </w:r>
            <w:r w:rsidR="00C21644" w:rsidRPr="00CA12C8">
              <w:rPr>
                <w:b/>
                <w:sz w:val="20"/>
                <w:szCs w:val="20"/>
              </w:rPr>
              <w:t>)</w:t>
            </w:r>
          </w:p>
          <w:p w:rsidR="00CA12C8" w:rsidRDefault="00C21644" w:rsidP="005F1ED8">
            <w:pPr>
              <w:keepNext/>
              <w:keepLines/>
              <w:tabs>
                <w:tab w:val="left" w:pos="-1440"/>
                <w:tab w:val="left" w:pos="-720"/>
              </w:tabs>
              <w:rPr>
                <w:sz w:val="20"/>
                <w:szCs w:val="20"/>
              </w:rPr>
            </w:pPr>
            <w:r w:rsidRPr="00CA12C8">
              <w:rPr>
                <w:sz w:val="20"/>
                <w:szCs w:val="20"/>
              </w:rPr>
              <w:tab/>
            </w:r>
            <w:r w:rsidR="00CA12C8">
              <w:rPr>
                <w:sz w:val="20"/>
                <w:szCs w:val="20"/>
              </w:rPr>
              <w:t>Nicholas E. Devlin</w:t>
            </w:r>
          </w:p>
          <w:p w:rsidR="00C21644" w:rsidRPr="00CA12C8" w:rsidRDefault="00CA12C8" w:rsidP="005F1ED8">
            <w:pPr>
              <w:keepNext/>
              <w:keepLines/>
              <w:tabs>
                <w:tab w:val="left" w:pos="-1440"/>
                <w:tab w:val="left" w:pos="-720"/>
              </w:tabs>
              <w:rPr>
                <w:sz w:val="20"/>
                <w:szCs w:val="20"/>
              </w:rPr>
            </w:pPr>
            <w:r>
              <w:rPr>
                <w:sz w:val="20"/>
                <w:szCs w:val="20"/>
              </w:rPr>
              <w:tab/>
              <w:t>Public Prosecution Service of Canada</w:t>
            </w:r>
          </w:p>
          <w:p w:rsidR="00C21644" w:rsidRPr="00CA12C8" w:rsidRDefault="00C21644" w:rsidP="005F1ED8">
            <w:pPr>
              <w:keepNext/>
              <w:keepLines/>
              <w:tabs>
                <w:tab w:val="left" w:pos="-1440"/>
                <w:tab w:val="left" w:pos="-720"/>
              </w:tabs>
              <w:rPr>
                <w:sz w:val="20"/>
                <w:szCs w:val="20"/>
              </w:rPr>
            </w:pPr>
          </w:p>
          <w:p w:rsidR="00C21644" w:rsidRPr="00CA12C8" w:rsidRDefault="00CA12C8" w:rsidP="00CA12C8">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6</w:t>
            </w:r>
            <w:r w:rsidRPr="00A935AA">
              <w:rPr>
                <w:sz w:val="20"/>
                <w:szCs w:val="20"/>
              </w:rPr>
              <w:t>.201</w:t>
            </w:r>
            <w:r>
              <w:rPr>
                <w:sz w:val="20"/>
                <w:szCs w:val="20"/>
              </w:rPr>
              <w:t>4</w:t>
            </w:r>
            <w:r w:rsidR="00584E5B">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A12C8" w:rsidRDefault="00CA12C8" w:rsidP="003B3977">
            <w:pPr>
              <w:rPr>
                <w:b/>
                <w:sz w:val="20"/>
                <w:szCs w:val="20"/>
              </w:rPr>
            </w:pPr>
          </w:p>
          <w:p w:rsidR="00C21644" w:rsidRPr="00CA12C8" w:rsidRDefault="00CA12C8" w:rsidP="003B3977">
            <w:pPr>
              <w:rPr>
                <w:b/>
                <w:sz w:val="20"/>
                <w:szCs w:val="20"/>
              </w:rPr>
            </w:pPr>
            <w:r w:rsidRPr="00CA12C8">
              <w:rPr>
                <w:b/>
                <w:sz w:val="20"/>
                <w:szCs w:val="20"/>
              </w:rPr>
              <w:t>N.D.</w:t>
            </w:r>
          </w:p>
          <w:p w:rsidR="00CA12C8" w:rsidRPr="00CA12C8" w:rsidRDefault="00C21644" w:rsidP="00CA12C8">
            <w:pPr>
              <w:keepNext/>
              <w:keepLines/>
              <w:tabs>
                <w:tab w:val="left" w:pos="-1440"/>
                <w:tab w:val="left" w:pos="-720"/>
              </w:tabs>
              <w:rPr>
                <w:sz w:val="20"/>
                <w:szCs w:val="20"/>
              </w:rPr>
            </w:pPr>
            <w:r w:rsidRPr="00CA12C8">
              <w:rPr>
                <w:sz w:val="20"/>
                <w:szCs w:val="20"/>
              </w:rPr>
              <w:tab/>
            </w:r>
            <w:r w:rsidR="00CA12C8" w:rsidRPr="00CA12C8">
              <w:rPr>
                <w:sz w:val="20"/>
                <w:szCs w:val="20"/>
              </w:rPr>
              <w:t>N.D.</w:t>
            </w:r>
          </w:p>
          <w:p w:rsidR="00CA12C8" w:rsidRPr="00CA12C8" w:rsidRDefault="00CA12C8" w:rsidP="00CA12C8">
            <w:pPr>
              <w:keepNext/>
              <w:keepLines/>
              <w:tabs>
                <w:tab w:val="left" w:pos="-1440"/>
                <w:tab w:val="left" w:pos="-720"/>
              </w:tabs>
              <w:rPr>
                <w:sz w:val="20"/>
                <w:szCs w:val="20"/>
              </w:rPr>
            </w:pPr>
          </w:p>
          <w:p w:rsidR="00CA12C8" w:rsidRPr="00CA12C8" w:rsidRDefault="00CA12C8" w:rsidP="00CA12C8">
            <w:pPr>
              <w:keepNext/>
              <w:keepLines/>
              <w:tabs>
                <w:tab w:val="left" w:pos="-1440"/>
                <w:tab w:val="left" w:pos="-720"/>
              </w:tabs>
              <w:rPr>
                <w:sz w:val="20"/>
                <w:szCs w:val="20"/>
              </w:rPr>
            </w:pPr>
            <w:r w:rsidRPr="00CA12C8">
              <w:rPr>
                <w:sz w:val="20"/>
                <w:szCs w:val="20"/>
              </w:rPr>
              <w:tab/>
              <w:t>v. (35857)</w:t>
            </w:r>
          </w:p>
          <w:p w:rsidR="00CA12C8" w:rsidRPr="00CA12C8" w:rsidRDefault="00CA12C8" w:rsidP="00CA12C8">
            <w:pPr>
              <w:keepNext/>
              <w:keepLines/>
              <w:tabs>
                <w:tab w:val="left" w:pos="-1440"/>
                <w:tab w:val="left" w:pos="-720"/>
              </w:tabs>
              <w:rPr>
                <w:sz w:val="20"/>
                <w:szCs w:val="20"/>
              </w:rPr>
            </w:pPr>
          </w:p>
          <w:p w:rsidR="00CA12C8" w:rsidRPr="00CA12C8" w:rsidRDefault="00CA12C8" w:rsidP="00CA12C8">
            <w:pPr>
              <w:keepNext/>
              <w:keepLines/>
              <w:tabs>
                <w:tab w:val="left" w:pos="-1440"/>
                <w:tab w:val="left" w:pos="-720"/>
              </w:tabs>
              <w:rPr>
                <w:b/>
                <w:sz w:val="20"/>
                <w:szCs w:val="20"/>
              </w:rPr>
            </w:pPr>
            <w:r w:rsidRPr="00CA12C8">
              <w:rPr>
                <w:b/>
                <w:sz w:val="20"/>
                <w:szCs w:val="20"/>
              </w:rPr>
              <w:t>K.D. (B.C.)</w:t>
            </w:r>
          </w:p>
          <w:p w:rsidR="00CA12C8" w:rsidRPr="00CA12C8" w:rsidRDefault="00CA12C8" w:rsidP="00CA12C8">
            <w:pPr>
              <w:keepNext/>
              <w:keepLines/>
              <w:tabs>
                <w:tab w:val="left" w:pos="-1440"/>
                <w:tab w:val="left" w:pos="-720"/>
              </w:tabs>
              <w:rPr>
                <w:sz w:val="20"/>
                <w:szCs w:val="20"/>
              </w:rPr>
            </w:pPr>
            <w:r w:rsidRPr="00CA12C8">
              <w:rPr>
                <w:sz w:val="20"/>
                <w:szCs w:val="20"/>
              </w:rPr>
              <w:tab/>
              <w:t>K.D.</w:t>
            </w:r>
          </w:p>
          <w:p w:rsidR="00CA12C8" w:rsidRPr="00CA12C8" w:rsidRDefault="00CA12C8" w:rsidP="00CA12C8">
            <w:pPr>
              <w:keepNext/>
              <w:keepLines/>
              <w:tabs>
                <w:tab w:val="left" w:pos="-1440"/>
                <w:tab w:val="left" w:pos="-720"/>
              </w:tabs>
              <w:rPr>
                <w:sz w:val="20"/>
                <w:szCs w:val="20"/>
              </w:rPr>
            </w:pPr>
          </w:p>
          <w:p w:rsidR="00C21644" w:rsidRPr="00A935AA" w:rsidRDefault="00CA12C8" w:rsidP="00CA12C8">
            <w:pPr>
              <w:rPr>
                <w:sz w:val="20"/>
                <w:szCs w:val="20"/>
              </w:rPr>
            </w:pPr>
            <w:r w:rsidRPr="00A935AA">
              <w:rPr>
                <w:sz w:val="20"/>
                <w:szCs w:val="20"/>
              </w:rPr>
              <w:t>FILING DATE: 2</w:t>
            </w:r>
            <w:r>
              <w:rPr>
                <w:sz w:val="20"/>
                <w:szCs w:val="20"/>
              </w:rPr>
              <w:t>3</w:t>
            </w:r>
            <w:r w:rsidRPr="00A935AA">
              <w:rPr>
                <w:sz w:val="20"/>
                <w:szCs w:val="20"/>
              </w:rPr>
              <w:t>.0</w:t>
            </w:r>
            <w:r>
              <w:rPr>
                <w:sz w:val="20"/>
                <w:szCs w:val="20"/>
              </w:rPr>
              <w:t>4</w:t>
            </w:r>
            <w:r w:rsidRPr="00A935AA">
              <w:rPr>
                <w:sz w:val="20"/>
                <w:szCs w:val="20"/>
              </w:rPr>
              <w:t>.201</w:t>
            </w:r>
            <w:r>
              <w:rPr>
                <w:sz w:val="20"/>
                <w:szCs w:val="20"/>
              </w:rPr>
              <w:t>4</w:t>
            </w:r>
            <w:r w:rsidR="00584E5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A12C8" w:rsidRDefault="00CA12C8" w:rsidP="003B3977">
            <w:pPr>
              <w:keepNext/>
              <w:keepLines/>
              <w:tabs>
                <w:tab w:val="left" w:pos="-1440"/>
                <w:tab w:val="left" w:pos="-720"/>
              </w:tabs>
              <w:rPr>
                <w:b/>
                <w:sz w:val="20"/>
                <w:szCs w:val="20"/>
              </w:rPr>
            </w:pPr>
            <w:r>
              <w:rPr>
                <w:b/>
                <w:sz w:val="20"/>
                <w:szCs w:val="20"/>
              </w:rPr>
              <w:t>Wayne Ferron</w:t>
            </w:r>
          </w:p>
          <w:p w:rsidR="00C21644" w:rsidRPr="00CA12C8" w:rsidRDefault="00C21644" w:rsidP="003B3977">
            <w:pPr>
              <w:keepNext/>
              <w:keepLines/>
              <w:tabs>
                <w:tab w:val="left" w:pos="-1440"/>
                <w:tab w:val="left" w:pos="-720"/>
              </w:tabs>
              <w:rPr>
                <w:sz w:val="20"/>
                <w:szCs w:val="20"/>
              </w:rPr>
            </w:pPr>
            <w:r w:rsidRPr="00CA12C8">
              <w:rPr>
                <w:sz w:val="20"/>
                <w:szCs w:val="20"/>
              </w:rPr>
              <w:tab/>
            </w:r>
            <w:r w:rsidR="00CA12C8">
              <w:rPr>
                <w:sz w:val="20"/>
                <w:szCs w:val="20"/>
              </w:rPr>
              <w:t>Wayne Ferron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CA12C8">
              <w:rPr>
                <w:sz w:val="20"/>
                <w:szCs w:val="20"/>
              </w:rPr>
              <w:t>939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CA12C8" w:rsidP="003B3977">
            <w:pPr>
              <w:keepNext/>
              <w:keepLines/>
              <w:tabs>
                <w:tab w:val="left" w:pos="-1440"/>
                <w:tab w:val="left" w:pos="-720"/>
              </w:tabs>
              <w:rPr>
                <w:b/>
                <w:sz w:val="20"/>
                <w:szCs w:val="20"/>
              </w:rPr>
            </w:pPr>
            <w:r>
              <w:rPr>
                <w:b/>
                <w:sz w:val="20"/>
                <w:szCs w:val="20"/>
              </w:rPr>
              <w:t xml:space="preserve">Her Majesty the Quen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CA12C8">
              <w:rPr>
                <w:sz w:val="20"/>
                <w:szCs w:val="20"/>
              </w:rPr>
              <w:t>Deborah Krick</w:t>
            </w:r>
          </w:p>
          <w:p w:rsidR="00C21644" w:rsidRPr="00A935AA" w:rsidRDefault="00C21644" w:rsidP="003B3977">
            <w:pPr>
              <w:keepNext/>
              <w:keepLines/>
              <w:tabs>
                <w:tab w:val="left" w:pos="-1440"/>
                <w:tab w:val="left" w:pos="-720"/>
              </w:tabs>
              <w:rPr>
                <w:sz w:val="20"/>
                <w:szCs w:val="20"/>
              </w:rPr>
            </w:pPr>
            <w:r w:rsidRPr="00A935AA">
              <w:rPr>
                <w:sz w:val="20"/>
                <w:szCs w:val="20"/>
              </w:rPr>
              <w:tab/>
            </w:r>
            <w:r w:rsidR="00CA12C8">
              <w:rPr>
                <w:sz w:val="20"/>
                <w:szCs w:val="20"/>
              </w:rPr>
              <w:t>A.G. of Ontario</w:t>
            </w:r>
          </w:p>
          <w:p w:rsidR="00C21644" w:rsidRPr="00A935AA" w:rsidRDefault="00C21644" w:rsidP="003B3977">
            <w:pPr>
              <w:keepNext/>
              <w:keepLines/>
              <w:tabs>
                <w:tab w:val="left" w:pos="-1440"/>
                <w:tab w:val="left" w:pos="-720"/>
              </w:tabs>
              <w:rPr>
                <w:sz w:val="20"/>
                <w:szCs w:val="20"/>
              </w:rPr>
            </w:pPr>
          </w:p>
          <w:p w:rsidR="00C21644" w:rsidRPr="00A935AA" w:rsidRDefault="00C21644" w:rsidP="00CA12C8">
            <w:pPr>
              <w:rPr>
                <w:sz w:val="20"/>
                <w:szCs w:val="20"/>
              </w:rPr>
            </w:pPr>
            <w:r w:rsidRPr="00A935AA">
              <w:rPr>
                <w:sz w:val="20"/>
                <w:szCs w:val="20"/>
              </w:rPr>
              <w:t xml:space="preserve">FILING DATE: </w:t>
            </w:r>
            <w:r w:rsidR="00CA12C8">
              <w:rPr>
                <w:sz w:val="20"/>
                <w:szCs w:val="20"/>
              </w:rPr>
              <w:t>05</w:t>
            </w:r>
            <w:r w:rsidRPr="00A935AA">
              <w:rPr>
                <w:sz w:val="20"/>
                <w:szCs w:val="20"/>
              </w:rPr>
              <w:t>.0</w:t>
            </w:r>
            <w:r w:rsidR="00CA12C8">
              <w:rPr>
                <w:sz w:val="20"/>
                <w:szCs w:val="20"/>
              </w:rPr>
              <w:t>6</w:t>
            </w:r>
            <w:r w:rsidRPr="00A935AA">
              <w:rPr>
                <w:sz w:val="20"/>
                <w:szCs w:val="20"/>
              </w:rPr>
              <w:t>.201</w:t>
            </w:r>
            <w:r>
              <w:rPr>
                <w:sz w:val="20"/>
                <w:szCs w:val="20"/>
              </w:rPr>
              <w:t>4</w:t>
            </w:r>
            <w:r w:rsidR="00584E5B">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CA12C8" w:rsidRDefault="00CA12C8" w:rsidP="005F1ED8">
            <w:pPr>
              <w:rPr>
                <w:b/>
                <w:sz w:val="20"/>
                <w:szCs w:val="20"/>
                <w:lang w:val="fr-CA"/>
              </w:rPr>
            </w:pPr>
            <w:r w:rsidRPr="00CA12C8">
              <w:rPr>
                <w:b/>
                <w:sz w:val="20"/>
                <w:szCs w:val="20"/>
                <w:lang w:val="fr-CA"/>
              </w:rPr>
              <w:t>Paul Abi-Mansour</w:t>
            </w:r>
          </w:p>
          <w:p w:rsidR="00C21644" w:rsidRPr="00CA12C8" w:rsidRDefault="00C21644" w:rsidP="005F1ED8">
            <w:pPr>
              <w:tabs>
                <w:tab w:val="left" w:pos="-1440"/>
                <w:tab w:val="left" w:pos="-720"/>
              </w:tabs>
              <w:rPr>
                <w:sz w:val="20"/>
                <w:szCs w:val="20"/>
                <w:lang w:val="fr-CA"/>
              </w:rPr>
            </w:pPr>
            <w:r w:rsidRPr="00CA12C8">
              <w:rPr>
                <w:sz w:val="20"/>
                <w:szCs w:val="20"/>
                <w:lang w:val="fr-CA"/>
              </w:rPr>
              <w:tab/>
            </w:r>
            <w:r w:rsidR="00CA12C8" w:rsidRPr="00CA12C8">
              <w:rPr>
                <w:sz w:val="20"/>
                <w:szCs w:val="20"/>
                <w:lang w:val="fr-CA"/>
              </w:rPr>
              <w:t>Paul Abi-Mansour</w:t>
            </w:r>
          </w:p>
          <w:p w:rsidR="00C21644" w:rsidRPr="00CA12C8" w:rsidRDefault="00C21644" w:rsidP="005F1ED8">
            <w:pPr>
              <w:tabs>
                <w:tab w:val="left" w:pos="-1440"/>
                <w:tab w:val="left" w:pos="-720"/>
              </w:tabs>
              <w:rPr>
                <w:sz w:val="20"/>
                <w:szCs w:val="20"/>
                <w:lang w:val="fr-CA"/>
              </w:rPr>
            </w:pPr>
          </w:p>
          <w:p w:rsidR="00C21644" w:rsidRPr="00A935AA" w:rsidRDefault="00C21644" w:rsidP="005F1ED8">
            <w:pPr>
              <w:tabs>
                <w:tab w:val="left" w:pos="-1440"/>
                <w:tab w:val="left" w:pos="-720"/>
              </w:tabs>
              <w:rPr>
                <w:sz w:val="20"/>
                <w:szCs w:val="20"/>
              </w:rPr>
            </w:pPr>
            <w:r w:rsidRPr="00CA12C8">
              <w:rPr>
                <w:sz w:val="20"/>
                <w:szCs w:val="20"/>
                <w:lang w:val="fr-CA"/>
              </w:rPr>
              <w:tab/>
            </w:r>
            <w:r w:rsidRPr="00A935AA">
              <w:rPr>
                <w:sz w:val="20"/>
                <w:szCs w:val="20"/>
              </w:rPr>
              <w:t>v. (3</w:t>
            </w:r>
            <w:r>
              <w:rPr>
                <w:sz w:val="20"/>
                <w:szCs w:val="20"/>
              </w:rPr>
              <w:t>5</w:t>
            </w:r>
            <w:r w:rsidR="00CA12C8">
              <w:rPr>
                <w:sz w:val="20"/>
                <w:szCs w:val="20"/>
              </w:rPr>
              <w:t>936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82D1A" w:rsidP="005F1ED8">
            <w:pPr>
              <w:tabs>
                <w:tab w:val="left" w:pos="-1440"/>
                <w:tab w:val="left" w:pos="-720"/>
              </w:tabs>
              <w:rPr>
                <w:b/>
                <w:sz w:val="20"/>
                <w:szCs w:val="20"/>
              </w:rPr>
            </w:pPr>
            <w:r>
              <w:rPr>
                <w:b/>
                <w:sz w:val="20"/>
                <w:szCs w:val="20"/>
              </w:rPr>
              <w:t xml:space="preserve">Public Service Commission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Richard Fader</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82D1A">
              <w:rPr>
                <w:sz w:val="20"/>
                <w:szCs w:val="20"/>
              </w:rPr>
              <w:t>11</w:t>
            </w:r>
            <w:r w:rsidRPr="00A935AA">
              <w:rPr>
                <w:sz w:val="20"/>
                <w:szCs w:val="20"/>
              </w:rPr>
              <w:t>.0</w:t>
            </w:r>
            <w:r w:rsidR="00682D1A">
              <w:rPr>
                <w:sz w:val="20"/>
                <w:szCs w:val="20"/>
              </w:rPr>
              <w:t>6</w:t>
            </w:r>
            <w:r w:rsidRPr="00A935AA">
              <w:rPr>
                <w:sz w:val="20"/>
                <w:szCs w:val="20"/>
              </w:rPr>
              <w:t>.201</w:t>
            </w:r>
            <w:r>
              <w:rPr>
                <w:sz w:val="20"/>
                <w:szCs w:val="20"/>
              </w:rPr>
              <w:t>4</w:t>
            </w:r>
          </w:p>
          <w:p w:rsidR="00C21644" w:rsidRPr="00A935AA" w:rsidRDefault="00584E5B"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682D1A" w:rsidP="005F1ED8">
            <w:pPr>
              <w:rPr>
                <w:b/>
                <w:sz w:val="20"/>
                <w:szCs w:val="20"/>
              </w:rPr>
            </w:pPr>
            <w:r>
              <w:rPr>
                <w:b/>
                <w:sz w:val="20"/>
                <w:szCs w:val="20"/>
              </w:rPr>
              <w:t>Mixail Gladuhov</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Mixail Gladuhov</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682D1A">
              <w:rPr>
                <w:sz w:val="20"/>
                <w:szCs w:val="20"/>
              </w:rPr>
              <w:t>949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82D1A" w:rsidP="005F1ED8">
            <w:pPr>
              <w:tabs>
                <w:tab w:val="left" w:pos="-1440"/>
                <w:tab w:val="left" w:pos="-720"/>
              </w:tabs>
              <w:rPr>
                <w:b/>
                <w:sz w:val="20"/>
                <w:szCs w:val="20"/>
              </w:rPr>
            </w:pPr>
            <w:r>
              <w:rPr>
                <w:b/>
                <w:sz w:val="20"/>
                <w:szCs w:val="20"/>
              </w:rPr>
              <w:t xml:space="preserve">Sylvia Swider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Michele Brady</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City of Toronto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82D1A">
              <w:rPr>
                <w:sz w:val="20"/>
                <w:szCs w:val="20"/>
              </w:rPr>
              <w:t>1</w:t>
            </w:r>
            <w:r w:rsidRPr="00A935AA">
              <w:rPr>
                <w:sz w:val="20"/>
                <w:szCs w:val="20"/>
              </w:rPr>
              <w:t>2.0</w:t>
            </w:r>
            <w:r w:rsidR="00682D1A">
              <w:rPr>
                <w:sz w:val="20"/>
                <w:szCs w:val="20"/>
              </w:rPr>
              <w:t>6</w:t>
            </w:r>
            <w:r w:rsidRPr="00A935AA">
              <w:rPr>
                <w:sz w:val="20"/>
                <w:szCs w:val="20"/>
              </w:rPr>
              <w:t>.201</w:t>
            </w:r>
            <w:r>
              <w:rPr>
                <w:sz w:val="20"/>
                <w:szCs w:val="20"/>
              </w:rPr>
              <w:t>4</w:t>
            </w:r>
          </w:p>
          <w:p w:rsidR="00C21644" w:rsidRPr="00A935AA" w:rsidRDefault="00584E5B"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682D1A" w:rsidP="005F1ED8">
            <w:pPr>
              <w:rPr>
                <w:b/>
                <w:sz w:val="20"/>
                <w:szCs w:val="20"/>
              </w:rPr>
            </w:pPr>
            <w:r>
              <w:rPr>
                <w:b/>
                <w:sz w:val="20"/>
                <w:szCs w:val="20"/>
              </w:rPr>
              <w:t>Christopher John Whaling</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Christopher John Whaling</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682D1A">
              <w:rPr>
                <w:sz w:val="20"/>
                <w:szCs w:val="20"/>
              </w:rPr>
              <w:t>950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82D1A"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Michael Brundrett</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A.G. of British Columbia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82D1A">
              <w:rPr>
                <w:sz w:val="20"/>
                <w:szCs w:val="20"/>
              </w:rPr>
              <w:t>1</w:t>
            </w:r>
            <w:r w:rsidRPr="00A935AA">
              <w:rPr>
                <w:sz w:val="20"/>
                <w:szCs w:val="20"/>
              </w:rPr>
              <w:t>2.0</w:t>
            </w:r>
            <w:r w:rsidR="00682D1A">
              <w:rPr>
                <w:sz w:val="20"/>
                <w:szCs w:val="20"/>
              </w:rPr>
              <w:t>6</w:t>
            </w:r>
            <w:r w:rsidRPr="00A935AA">
              <w:rPr>
                <w:sz w:val="20"/>
                <w:szCs w:val="20"/>
              </w:rPr>
              <w:t>.201</w:t>
            </w:r>
            <w:r>
              <w:rPr>
                <w:sz w:val="20"/>
                <w:szCs w:val="20"/>
              </w:rPr>
              <w:t>4</w:t>
            </w:r>
          </w:p>
          <w:p w:rsidR="00C21644" w:rsidRPr="00A935AA" w:rsidRDefault="00584E5B"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682D1A" w:rsidP="005F1ED8">
            <w:pPr>
              <w:rPr>
                <w:b/>
                <w:sz w:val="20"/>
                <w:szCs w:val="20"/>
              </w:rPr>
            </w:pPr>
            <w:r>
              <w:rPr>
                <w:b/>
                <w:sz w:val="20"/>
                <w:szCs w:val="20"/>
              </w:rPr>
              <w:t>Hau Duong</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Gregory Lafontaine</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Lafontaine &amp; Associates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682D1A">
              <w:rPr>
                <w:sz w:val="20"/>
                <w:szCs w:val="20"/>
              </w:rPr>
              <w:t>940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82D1A"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Niall Gilks</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82D1A">
              <w:rPr>
                <w:sz w:val="20"/>
                <w:szCs w:val="20"/>
              </w:rPr>
              <w:t>13</w:t>
            </w:r>
            <w:r w:rsidRPr="00A935AA">
              <w:rPr>
                <w:sz w:val="20"/>
                <w:szCs w:val="20"/>
              </w:rPr>
              <w:t>.0</w:t>
            </w:r>
            <w:r w:rsidR="00682D1A">
              <w:rPr>
                <w:sz w:val="20"/>
                <w:szCs w:val="20"/>
              </w:rPr>
              <w:t>6</w:t>
            </w:r>
            <w:r w:rsidRPr="00A935AA">
              <w:rPr>
                <w:sz w:val="20"/>
                <w:szCs w:val="20"/>
              </w:rPr>
              <w:t>.201</w:t>
            </w:r>
            <w:r>
              <w:rPr>
                <w:sz w:val="20"/>
                <w:szCs w:val="20"/>
              </w:rPr>
              <w:t>4</w:t>
            </w:r>
          </w:p>
          <w:p w:rsidR="00C21644" w:rsidRPr="00A935AA" w:rsidRDefault="00584E5B"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07047B" w:rsidRDefault="00682D1A" w:rsidP="005F1ED8">
            <w:pPr>
              <w:rPr>
                <w:b/>
                <w:sz w:val="20"/>
                <w:szCs w:val="20"/>
                <w:lang w:val="fr-CA"/>
              </w:rPr>
            </w:pPr>
            <w:r w:rsidRPr="0007047B">
              <w:rPr>
                <w:b/>
                <w:sz w:val="20"/>
                <w:szCs w:val="20"/>
                <w:lang w:val="fr-CA"/>
              </w:rPr>
              <w:lastRenderedPageBreak/>
              <w:t>Ralph Ivan Doncaster</w:t>
            </w:r>
          </w:p>
          <w:p w:rsidR="00C21644" w:rsidRPr="0007047B" w:rsidRDefault="00C21644" w:rsidP="005F1ED8">
            <w:pPr>
              <w:tabs>
                <w:tab w:val="left" w:pos="-1440"/>
                <w:tab w:val="left" w:pos="-720"/>
              </w:tabs>
              <w:rPr>
                <w:sz w:val="20"/>
                <w:szCs w:val="20"/>
                <w:lang w:val="fr-CA"/>
              </w:rPr>
            </w:pPr>
            <w:r w:rsidRPr="0007047B">
              <w:rPr>
                <w:sz w:val="20"/>
                <w:szCs w:val="20"/>
                <w:lang w:val="fr-CA"/>
              </w:rPr>
              <w:tab/>
            </w:r>
            <w:r w:rsidR="00682D1A" w:rsidRPr="0007047B">
              <w:rPr>
                <w:sz w:val="20"/>
                <w:szCs w:val="20"/>
                <w:lang w:val="fr-CA"/>
              </w:rPr>
              <w:t xml:space="preserve">Ralph </w:t>
            </w:r>
            <w:r w:rsidR="00365225" w:rsidRPr="0007047B">
              <w:rPr>
                <w:sz w:val="20"/>
                <w:szCs w:val="20"/>
                <w:lang w:val="fr-CA"/>
              </w:rPr>
              <w:t xml:space="preserve">Ivan </w:t>
            </w:r>
            <w:r w:rsidR="00682D1A" w:rsidRPr="0007047B">
              <w:rPr>
                <w:sz w:val="20"/>
                <w:szCs w:val="20"/>
                <w:lang w:val="fr-CA"/>
              </w:rPr>
              <w:t>Doncaster</w:t>
            </w:r>
          </w:p>
          <w:p w:rsidR="00C21644" w:rsidRPr="0007047B" w:rsidRDefault="00C21644" w:rsidP="005F1ED8">
            <w:pPr>
              <w:tabs>
                <w:tab w:val="left" w:pos="-1440"/>
                <w:tab w:val="left" w:pos="-720"/>
              </w:tabs>
              <w:rPr>
                <w:sz w:val="20"/>
                <w:szCs w:val="20"/>
                <w:lang w:val="fr-CA"/>
              </w:rPr>
            </w:pPr>
          </w:p>
          <w:p w:rsidR="00C21644" w:rsidRPr="00A935AA" w:rsidRDefault="00C21644" w:rsidP="005F1ED8">
            <w:pPr>
              <w:tabs>
                <w:tab w:val="left" w:pos="-1440"/>
                <w:tab w:val="left" w:pos="-720"/>
              </w:tabs>
              <w:rPr>
                <w:sz w:val="20"/>
                <w:szCs w:val="20"/>
              </w:rPr>
            </w:pPr>
            <w:r w:rsidRPr="0007047B">
              <w:rPr>
                <w:sz w:val="20"/>
                <w:szCs w:val="20"/>
                <w:lang w:val="fr-CA"/>
              </w:rPr>
              <w:tab/>
            </w:r>
            <w:r w:rsidRPr="00A935AA">
              <w:rPr>
                <w:sz w:val="20"/>
                <w:szCs w:val="20"/>
              </w:rPr>
              <w:t>v. (3</w:t>
            </w:r>
            <w:r>
              <w:rPr>
                <w:sz w:val="20"/>
                <w:szCs w:val="20"/>
              </w:rPr>
              <w:t>5</w:t>
            </w:r>
            <w:r w:rsidR="00682D1A">
              <w:rPr>
                <w:sz w:val="20"/>
                <w:szCs w:val="20"/>
              </w:rPr>
              <w:t>943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82D1A" w:rsidP="005F1ED8">
            <w:pPr>
              <w:tabs>
                <w:tab w:val="left" w:pos="-1440"/>
                <w:tab w:val="left" w:pos="-720"/>
              </w:tabs>
              <w:rPr>
                <w:b/>
                <w:sz w:val="20"/>
                <w:szCs w:val="20"/>
              </w:rPr>
            </w:pPr>
            <w:r>
              <w:rPr>
                <w:b/>
                <w:sz w:val="20"/>
                <w:szCs w:val="20"/>
              </w:rPr>
              <w:t xml:space="preserve">Jennifer Lynn Field </w:t>
            </w:r>
            <w:r w:rsidR="00C21644" w:rsidRPr="00A935AA">
              <w:rPr>
                <w:b/>
                <w:sz w:val="20"/>
                <w:szCs w:val="20"/>
              </w:rPr>
              <w:t>(</w:t>
            </w:r>
            <w:r>
              <w:rPr>
                <w:b/>
                <w:sz w:val="20"/>
                <w:szCs w:val="20"/>
              </w:rPr>
              <w:t>N.S</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Janet M. Stevenson</w:t>
            </w:r>
          </w:p>
          <w:p w:rsidR="00C21644" w:rsidRPr="00A935AA" w:rsidRDefault="00C21644" w:rsidP="005F1ED8">
            <w:pPr>
              <w:tabs>
                <w:tab w:val="left" w:pos="-1440"/>
                <w:tab w:val="left" w:pos="-720"/>
              </w:tabs>
              <w:rPr>
                <w:sz w:val="20"/>
                <w:szCs w:val="20"/>
              </w:rPr>
            </w:pPr>
            <w:r w:rsidRPr="00A935AA">
              <w:rPr>
                <w:sz w:val="20"/>
                <w:szCs w:val="20"/>
              </w:rPr>
              <w:tab/>
            </w:r>
            <w:r w:rsidR="00682D1A">
              <w:rPr>
                <w:sz w:val="20"/>
                <w:szCs w:val="20"/>
              </w:rPr>
              <w:t>MacKinnon Buckle Stevenson</w:t>
            </w:r>
          </w:p>
          <w:p w:rsidR="00C21644" w:rsidRPr="00A935AA" w:rsidRDefault="00C21644" w:rsidP="005F1ED8">
            <w:pPr>
              <w:tabs>
                <w:tab w:val="left" w:pos="-1440"/>
                <w:tab w:val="left" w:pos="-720"/>
              </w:tabs>
              <w:rPr>
                <w:sz w:val="20"/>
                <w:szCs w:val="20"/>
              </w:rPr>
            </w:pPr>
          </w:p>
          <w:p w:rsidR="00C21644" w:rsidRPr="00A935AA" w:rsidRDefault="00C21644" w:rsidP="00B93BB8">
            <w:pPr>
              <w:rPr>
                <w:sz w:val="20"/>
                <w:szCs w:val="20"/>
              </w:rPr>
            </w:pPr>
            <w:r w:rsidRPr="00A935AA">
              <w:rPr>
                <w:sz w:val="20"/>
                <w:szCs w:val="20"/>
              </w:rPr>
              <w:t xml:space="preserve">FILING DATE: </w:t>
            </w:r>
            <w:r w:rsidR="00682D1A">
              <w:rPr>
                <w:sz w:val="20"/>
                <w:szCs w:val="20"/>
              </w:rPr>
              <w:t>13</w:t>
            </w:r>
            <w:r w:rsidRPr="00A935AA">
              <w:rPr>
                <w:sz w:val="20"/>
                <w:szCs w:val="20"/>
              </w:rPr>
              <w:t>.0</w:t>
            </w:r>
            <w:r w:rsidR="00682D1A">
              <w:rPr>
                <w:sz w:val="20"/>
                <w:szCs w:val="20"/>
              </w:rPr>
              <w:t>6</w:t>
            </w:r>
            <w:r w:rsidRPr="00A935AA">
              <w:rPr>
                <w:sz w:val="20"/>
                <w:szCs w:val="20"/>
              </w:rPr>
              <w:t>.201</w:t>
            </w:r>
            <w:r>
              <w:rPr>
                <w:sz w:val="20"/>
                <w:szCs w:val="20"/>
              </w:rPr>
              <w:t>4</w:t>
            </w:r>
            <w:r w:rsidR="00584E5B">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FA5B55" w:rsidRDefault="00B93BB8" w:rsidP="005F1ED8">
            <w:pPr>
              <w:rPr>
                <w:b/>
                <w:sz w:val="20"/>
                <w:szCs w:val="20"/>
                <w:lang w:val="fr-CA"/>
              </w:rPr>
            </w:pPr>
            <w:r w:rsidRPr="00FA5B55">
              <w:rPr>
                <w:b/>
                <w:sz w:val="20"/>
                <w:szCs w:val="20"/>
                <w:lang w:val="fr-CA"/>
              </w:rPr>
              <w:t>Louis Pasquin</w:t>
            </w:r>
          </w:p>
          <w:p w:rsidR="00C21644" w:rsidRPr="00FA5B55" w:rsidRDefault="00C21644" w:rsidP="005F1ED8">
            <w:pPr>
              <w:tabs>
                <w:tab w:val="left" w:pos="-1440"/>
                <w:tab w:val="left" w:pos="-720"/>
              </w:tabs>
              <w:rPr>
                <w:sz w:val="20"/>
                <w:szCs w:val="20"/>
                <w:lang w:val="fr-CA"/>
              </w:rPr>
            </w:pPr>
            <w:r w:rsidRPr="00FA5B55">
              <w:rPr>
                <w:sz w:val="20"/>
                <w:szCs w:val="20"/>
                <w:lang w:val="fr-CA"/>
              </w:rPr>
              <w:tab/>
            </w:r>
            <w:r w:rsidR="00B93BB8" w:rsidRPr="00FA5B55">
              <w:rPr>
                <w:sz w:val="20"/>
                <w:szCs w:val="20"/>
                <w:lang w:val="fr-CA"/>
              </w:rPr>
              <w:t>Pierre Panaccio</w:t>
            </w:r>
          </w:p>
          <w:p w:rsidR="00C21644" w:rsidRPr="00FA5B55" w:rsidRDefault="00C21644" w:rsidP="005F1ED8">
            <w:pPr>
              <w:tabs>
                <w:tab w:val="left" w:pos="-1440"/>
                <w:tab w:val="left" w:pos="-720"/>
              </w:tabs>
              <w:rPr>
                <w:sz w:val="20"/>
                <w:szCs w:val="20"/>
                <w:lang w:val="fr-CA"/>
              </w:rPr>
            </w:pPr>
          </w:p>
          <w:p w:rsidR="00C21644" w:rsidRPr="00B93BB8" w:rsidRDefault="00C21644" w:rsidP="005F1ED8">
            <w:pPr>
              <w:tabs>
                <w:tab w:val="left" w:pos="-1440"/>
                <w:tab w:val="left" w:pos="-720"/>
              </w:tabs>
              <w:rPr>
                <w:sz w:val="20"/>
                <w:szCs w:val="20"/>
                <w:lang w:val="fr-CA"/>
              </w:rPr>
            </w:pPr>
            <w:r w:rsidRPr="00FA5B55">
              <w:rPr>
                <w:sz w:val="20"/>
                <w:szCs w:val="20"/>
                <w:lang w:val="fr-CA"/>
              </w:rPr>
              <w:tab/>
            </w:r>
            <w:r w:rsidR="00B93BB8" w:rsidRPr="00FA5B55">
              <w:rPr>
                <w:sz w:val="20"/>
                <w:szCs w:val="20"/>
                <w:lang w:val="fr-CA"/>
              </w:rPr>
              <w:t>c</w:t>
            </w:r>
            <w:r w:rsidRPr="00B93BB8">
              <w:rPr>
                <w:sz w:val="20"/>
                <w:szCs w:val="20"/>
                <w:lang w:val="fr-CA"/>
              </w:rPr>
              <w:t>. (35</w:t>
            </w:r>
            <w:r w:rsidR="00B93BB8" w:rsidRPr="00B93BB8">
              <w:rPr>
                <w:sz w:val="20"/>
                <w:szCs w:val="20"/>
                <w:lang w:val="fr-CA"/>
              </w:rPr>
              <w:t>944</w:t>
            </w:r>
            <w:r w:rsidRPr="00B93BB8">
              <w:rPr>
                <w:sz w:val="20"/>
                <w:szCs w:val="20"/>
                <w:lang w:val="fr-CA"/>
              </w:rPr>
              <w:t>)</w:t>
            </w:r>
          </w:p>
          <w:p w:rsidR="00C21644" w:rsidRPr="00B93BB8" w:rsidRDefault="00C21644" w:rsidP="005F1ED8">
            <w:pPr>
              <w:tabs>
                <w:tab w:val="left" w:pos="-1440"/>
                <w:tab w:val="left" w:pos="-720"/>
              </w:tabs>
              <w:rPr>
                <w:sz w:val="20"/>
                <w:szCs w:val="20"/>
                <w:lang w:val="fr-CA"/>
              </w:rPr>
            </w:pPr>
          </w:p>
          <w:p w:rsidR="00C21644" w:rsidRPr="00B93BB8" w:rsidRDefault="00B93BB8" w:rsidP="005F1ED8">
            <w:pPr>
              <w:tabs>
                <w:tab w:val="left" w:pos="-1440"/>
                <w:tab w:val="left" w:pos="-720"/>
              </w:tabs>
              <w:rPr>
                <w:b/>
                <w:sz w:val="20"/>
                <w:szCs w:val="20"/>
                <w:lang w:val="fr-CA"/>
              </w:rPr>
            </w:pPr>
            <w:r w:rsidRPr="00B93BB8">
              <w:rPr>
                <w:b/>
                <w:sz w:val="20"/>
                <w:szCs w:val="20"/>
                <w:lang w:val="fr-CA"/>
              </w:rPr>
              <w:t xml:space="preserve">Sa Majesté la Reine </w:t>
            </w:r>
            <w:r w:rsidR="00C21644" w:rsidRPr="00B93BB8">
              <w:rPr>
                <w:b/>
                <w:sz w:val="20"/>
                <w:szCs w:val="20"/>
                <w:lang w:val="fr-CA"/>
              </w:rPr>
              <w:t>(</w:t>
            </w:r>
            <w:r w:rsidRPr="00B93BB8">
              <w:rPr>
                <w:b/>
                <w:sz w:val="20"/>
                <w:szCs w:val="20"/>
                <w:lang w:val="fr-CA"/>
              </w:rPr>
              <w:t>Qc</w:t>
            </w:r>
            <w:r w:rsidR="00C21644" w:rsidRPr="00B93BB8">
              <w:rPr>
                <w:b/>
                <w:sz w:val="20"/>
                <w:szCs w:val="20"/>
                <w:lang w:val="fr-CA"/>
              </w:rPr>
              <w:t>)</w:t>
            </w:r>
          </w:p>
          <w:p w:rsidR="00C21644" w:rsidRPr="00FA5B55" w:rsidRDefault="00C21644" w:rsidP="005F1ED8">
            <w:pPr>
              <w:tabs>
                <w:tab w:val="left" w:pos="-1440"/>
                <w:tab w:val="left" w:pos="-720"/>
              </w:tabs>
              <w:rPr>
                <w:sz w:val="20"/>
                <w:szCs w:val="20"/>
                <w:lang w:val="fr-CA"/>
              </w:rPr>
            </w:pPr>
            <w:r w:rsidRPr="00B93BB8">
              <w:rPr>
                <w:sz w:val="20"/>
                <w:szCs w:val="20"/>
                <w:lang w:val="fr-CA"/>
              </w:rPr>
              <w:tab/>
            </w:r>
            <w:r w:rsidR="00B93BB8">
              <w:rPr>
                <w:sz w:val="20"/>
                <w:szCs w:val="20"/>
                <w:lang w:val="fr-CA"/>
              </w:rPr>
              <w:t>Brigitte M</w:t>
            </w:r>
            <w:r w:rsidR="00B93BB8" w:rsidRPr="00FA5B55">
              <w:rPr>
                <w:sz w:val="20"/>
                <w:szCs w:val="20"/>
                <w:lang w:val="fr-CA"/>
              </w:rPr>
              <w:t>artin</w:t>
            </w:r>
          </w:p>
          <w:p w:rsidR="00C21644" w:rsidRPr="00B93BB8" w:rsidRDefault="00C21644" w:rsidP="005F1ED8">
            <w:pPr>
              <w:tabs>
                <w:tab w:val="left" w:pos="-1440"/>
                <w:tab w:val="left" w:pos="-720"/>
              </w:tabs>
              <w:rPr>
                <w:sz w:val="20"/>
                <w:szCs w:val="20"/>
                <w:lang w:val="fr-CA"/>
              </w:rPr>
            </w:pPr>
            <w:r w:rsidRPr="00FA5B55">
              <w:rPr>
                <w:sz w:val="20"/>
                <w:szCs w:val="20"/>
                <w:lang w:val="fr-CA"/>
              </w:rPr>
              <w:tab/>
            </w:r>
            <w:r w:rsidR="00B93BB8" w:rsidRPr="00B93BB8">
              <w:rPr>
                <w:sz w:val="20"/>
                <w:szCs w:val="20"/>
                <w:lang w:val="fr-CA"/>
              </w:rPr>
              <w:t xml:space="preserve">Poursuites criminelles et pénales du </w:t>
            </w:r>
            <w:r w:rsidR="00B93BB8">
              <w:rPr>
                <w:sz w:val="20"/>
                <w:szCs w:val="20"/>
                <w:lang w:val="fr-CA"/>
              </w:rPr>
              <w:tab/>
            </w:r>
            <w:r w:rsidR="00B93BB8" w:rsidRPr="00B93BB8">
              <w:rPr>
                <w:sz w:val="20"/>
                <w:szCs w:val="20"/>
                <w:lang w:val="fr-CA"/>
              </w:rPr>
              <w:t>Québec</w:t>
            </w:r>
          </w:p>
          <w:p w:rsidR="00C21644" w:rsidRPr="00B93BB8" w:rsidRDefault="00C21644" w:rsidP="005F1ED8">
            <w:pPr>
              <w:tabs>
                <w:tab w:val="left" w:pos="-1440"/>
                <w:tab w:val="left" w:pos="-720"/>
              </w:tabs>
              <w:rPr>
                <w:sz w:val="20"/>
                <w:szCs w:val="20"/>
                <w:lang w:val="fr-CA"/>
              </w:rPr>
            </w:pPr>
          </w:p>
          <w:p w:rsidR="00C21644" w:rsidRPr="00A935AA" w:rsidRDefault="00C21644" w:rsidP="00B93BB8">
            <w:pPr>
              <w:rPr>
                <w:sz w:val="20"/>
                <w:szCs w:val="20"/>
              </w:rPr>
            </w:pPr>
            <w:r w:rsidRPr="00A935AA">
              <w:rPr>
                <w:sz w:val="20"/>
                <w:szCs w:val="20"/>
              </w:rPr>
              <w:t>DATE</w:t>
            </w:r>
            <w:r w:rsidR="00B93BB8">
              <w:rPr>
                <w:sz w:val="20"/>
                <w:szCs w:val="20"/>
              </w:rPr>
              <w:t xml:space="preserve"> DE PRODUCTION </w:t>
            </w:r>
            <w:r w:rsidRPr="00A935AA">
              <w:rPr>
                <w:sz w:val="20"/>
                <w:szCs w:val="20"/>
              </w:rPr>
              <w:t xml:space="preserve">: </w:t>
            </w:r>
            <w:r w:rsidR="00B93BB8">
              <w:rPr>
                <w:sz w:val="20"/>
                <w:szCs w:val="20"/>
              </w:rPr>
              <w:t>16</w:t>
            </w:r>
            <w:r w:rsidRPr="00A935AA">
              <w:rPr>
                <w:sz w:val="20"/>
                <w:szCs w:val="20"/>
              </w:rPr>
              <w:t>.0</w:t>
            </w:r>
            <w:r w:rsidR="00B93BB8">
              <w:rPr>
                <w:sz w:val="20"/>
                <w:szCs w:val="20"/>
              </w:rPr>
              <w:t>6</w:t>
            </w:r>
            <w:r w:rsidRPr="00A935AA">
              <w:rPr>
                <w:sz w:val="20"/>
                <w:szCs w:val="20"/>
              </w:rPr>
              <w:t>.201</w:t>
            </w:r>
            <w:r>
              <w:rPr>
                <w:sz w:val="20"/>
                <w:szCs w:val="20"/>
              </w:rPr>
              <w:t>4</w:t>
            </w:r>
            <w:r w:rsidR="00584E5B">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B93BB8" w:rsidP="005F1ED8">
            <w:pPr>
              <w:rPr>
                <w:b/>
                <w:sz w:val="20"/>
                <w:szCs w:val="20"/>
              </w:rPr>
            </w:pPr>
            <w:r>
              <w:rPr>
                <w:b/>
                <w:sz w:val="20"/>
                <w:szCs w:val="20"/>
              </w:rPr>
              <w:t>1681625 Alberta Ltd.</w:t>
            </w:r>
          </w:p>
          <w:p w:rsidR="00B93BB8" w:rsidRPr="00A935AA" w:rsidRDefault="00C21644" w:rsidP="00B93BB8">
            <w:pPr>
              <w:tabs>
                <w:tab w:val="left" w:pos="-1440"/>
                <w:tab w:val="left" w:pos="-720"/>
              </w:tabs>
              <w:rPr>
                <w:sz w:val="20"/>
                <w:szCs w:val="20"/>
              </w:rPr>
            </w:pPr>
            <w:r w:rsidRPr="00A935AA">
              <w:rPr>
                <w:sz w:val="20"/>
                <w:szCs w:val="20"/>
              </w:rPr>
              <w:tab/>
            </w:r>
            <w:r w:rsidR="00B93BB8">
              <w:rPr>
                <w:sz w:val="20"/>
                <w:szCs w:val="20"/>
              </w:rPr>
              <w:t>Robert Hawkes</w:t>
            </w:r>
          </w:p>
          <w:p w:rsidR="00B93BB8" w:rsidRPr="00A935AA" w:rsidRDefault="00B93BB8" w:rsidP="00B93BB8">
            <w:pPr>
              <w:tabs>
                <w:tab w:val="left" w:pos="-1440"/>
                <w:tab w:val="left" w:pos="-720"/>
              </w:tabs>
              <w:rPr>
                <w:sz w:val="20"/>
                <w:szCs w:val="20"/>
              </w:rPr>
            </w:pPr>
            <w:r w:rsidRPr="00A935AA">
              <w:rPr>
                <w:sz w:val="20"/>
                <w:szCs w:val="20"/>
              </w:rPr>
              <w:tab/>
            </w:r>
            <w:r>
              <w:rPr>
                <w:sz w:val="20"/>
                <w:szCs w:val="20"/>
              </w:rPr>
              <w:t xml:space="preserve">Jensen Shawa Solomon Duguid Hawkes </w:t>
            </w:r>
            <w:r>
              <w:rPr>
                <w:sz w:val="20"/>
                <w:szCs w:val="20"/>
              </w:rPr>
              <w:tab/>
              <w:t>LLP</w:t>
            </w:r>
          </w:p>
          <w:p w:rsidR="00B93BB8" w:rsidRPr="00A935AA" w:rsidRDefault="00B93BB8" w:rsidP="00B93BB8">
            <w:pPr>
              <w:tabs>
                <w:tab w:val="left" w:pos="-1440"/>
                <w:tab w:val="left" w:pos="-720"/>
              </w:tabs>
              <w:rPr>
                <w:sz w:val="20"/>
                <w:szCs w:val="20"/>
              </w:rPr>
            </w:pPr>
          </w:p>
          <w:p w:rsidR="00B93BB8" w:rsidRPr="00A935AA" w:rsidRDefault="00B93BB8" w:rsidP="00B93BB8">
            <w:pPr>
              <w:tabs>
                <w:tab w:val="left" w:pos="-1440"/>
                <w:tab w:val="left" w:pos="-720"/>
              </w:tabs>
              <w:rPr>
                <w:sz w:val="20"/>
                <w:szCs w:val="20"/>
              </w:rPr>
            </w:pPr>
            <w:r w:rsidRPr="00A935AA">
              <w:rPr>
                <w:sz w:val="20"/>
                <w:szCs w:val="20"/>
              </w:rPr>
              <w:tab/>
              <w:t>v. (3</w:t>
            </w:r>
            <w:r>
              <w:rPr>
                <w:sz w:val="20"/>
                <w:szCs w:val="20"/>
              </w:rPr>
              <w:t>5942</w:t>
            </w:r>
            <w:r w:rsidRPr="00A935AA">
              <w:rPr>
                <w:sz w:val="20"/>
                <w:szCs w:val="20"/>
              </w:rPr>
              <w:t>)</w:t>
            </w:r>
          </w:p>
          <w:p w:rsidR="00B93BB8" w:rsidRPr="00A935AA" w:rsidRDefault="00B93BB8" w:rsidP="00B93BB8">
            <w:pPr>
              <w:tabs>
                <w:tab w:val="left" w:pos="-1440"/>
                <w:tab w:val="left" w:pos="-720"/>
              </w:tabs>
              <w:rPr>
                <w:sz w:val="20"/>
                <w:szCs w:val="20"/>
              </w:rPr>
            </w:pPr>
          </w:p>
          <w:p w:rsidR="00B93BB8" w:rsidRPr="00A935AA" w:rsidRDefault="00B93BB8" w:rsidP="00B93BB8">
            <w:pPr>
              <w:tabs>
                <w:tab w:val="left" w:pos="-1440"/>
                <w:tab w:val="left" w:pos="-720"/>
              </w:tabs>
              <w:rPr>
                <w:b/>
                <w:sz w:val="20"/>
                <w:szCs w:val="20"/>
              </w:rPr>
            </w:pPr>
            <w:r>
              <w:rPr>
                <w:b/>
                <w:sz w:val="20"/>
                <w:szCs w:val="20"/>
              </w:rPr>
              <w:t xml:space="preserve">Summer Village of Parkland Beach </w:t>
            </w:r>
            <w:r w:rsidRPr="00A935AA">
              <w:rPr>
                <w:b/>
                <w:sz w:val="20"/>
                <w:szCs w:val="20"/>
              </w:rPr>
              <w:t>(</w:t>
            </w:r>
            <w:r>
              <w:rPr>
                <w:b/>
                <w:sz w:val="20"/>
                <w:szCs w:val="20"/>
              </w:rPr>
              <w:t>Alta</w:t>
            </w:r>
            <w:r w:rsidRPr="00A935AA">
              <w:rPr>
                <w:b/>
                <w:sz w:val="20"/>
                <w:szCs w:val="20"/>
              </w:rPr>
              <w:t>.)</w:t>
            </w:r>
          </w:p>
          <w:p w:rsidR="00B93BB8" w:rsidRPr="00A935AA" w:rsidRDefault="00B93BB8" w:rsidP="00B93BB8">
            <w:pPr>
              <w:tabs>
                <w:tab w:val="left" w:pos="-1440"/>
                <w:tab w:val="left" w:pos="-720"/>
              </w:tabs>
              <w:rPr>
                <w:sz w:val="20"/>
                <w:szCs w:val="20"/>
              </w:rPr>
            </w:pPr>
            <w:r w:rsidRPr="00A935AA">
              <w:rPr>
                <w:sz w:val="20"/>
                <w:szCs w:val="20"/>
              </w:rPr>
              <w:tab/>
            </w:r>
            <w:r>
              <w:rPr>
                <w:sz w:val="20"/>
                <w:szCs w:val="20"/>
              </w:rPr>
              <w:t>Jeneane S. Grundberg</w:t>
            </w:r>
          </w:p>
          <w:p w:rsidR="00B93BB8" w:rsidRPr="00A935AA" w:rsidRDefault="00B93BB8" w:rsidP="00B93BB8">
            <w:pPr>
              <w:tabs>
                <w:tab w:val="left" w:pos="-1440"/>
                <w:tab w:val="left" w:pos="-720"/>
              </w:tabs>
              <w:rPr>
                <w:sz w:val="20"/>
                <w:szCs w:val="20"/>
              </w:rPr>
            </w:pPr>
            <w:r w:rsidRPr="00A935AA">
              <w:rPr>
                <w:sz w:val="20"/>
                <w:szCs w:val="20"/>
              </w:rPr>
              <w:tab/>
            </w:r>
            <w:r>
              <w:rPr>
                <w:sz w:val="20"/>
                <w:szCs w:val="20"/>
              </w:rPr>
              <w:t>Brownlee LLP</w:t>
            </w:r>
          </w:p>
          <w:p w:rsidR="00B93BB8" w:rsidRPr="00A935AA" w:rsidRDefault="00B93BB8" w:rsidP="00B93BB8">
            <w:pPr>
              <w:tabs>
                <w:tab w:val="left" w:pos="-1440"/>
                <w:tab w:val="left" w:pos="-720"/>
              </w:tabs>
              <w:rPr>
                <w:sz w:val="20"/>
                <w:szCs w:val="20"/>
              </w:rPr>
            </w:pPr>
          </w:p>
          <w:p w:rsidR="00C21644" w:rsidRPr="00A935AA" w:rsidRDefault="00B93BB8" w:rsidP="00B93BB8">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6</w:t>
            </w:r>
            <w:r w:rsidRPr="00A935AA">
              <w:rPr>
                <w:sz w:val="20"/>
                <w:szCs w:val="20"/>
              </w:rPr>
              <w:t>.201</w:t>
            </w:r>
            <w:r>
              <w:rPr>
                <w:sz w:val="20"/>
                <w:szCs w:val="20"/>
              </w:rPr>
              <w:t>4</w:t>
            </w:r>
            <w:r w:rsidR="00584E5B">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B93BB8" w:rsidRPr="00A935AA" w:rsidRDefault="00B93BB8" w:rsidP="005F1ED8">
            <w:pPr>
              <w:rPr>
                <w:b/>
                <w:sz w:val="20"/>
                <w:szCs w:val="20"/>
              </w:rPr>
            </w:pPr>
            <w:r>
              <w:rPr>
                <w:b/>
                <w:sz w:val="20"/>
                <w:szCs w:val="20"/>
              </w:rPr>
              <w:t>Harry Daniels et al.</w:t>
            </w:r>
          </w:p>
          <w:p w:rsidR="00C21644" w:rsidRPr="00A935AA" w:rsidRDefault="00C21644" w:rsidP="005F1ED8">
            <w:pPr>
              <w:tabs>
                <w:tab w:val="left" w:pos="-1440"/>
                <w:tab w:val="left" w:pos="-720"/>
              </w:tabs>
              <w:rPr>
                <w:sz w:val="20"/>
                <w:szCs w:val="20"/>
              </w:rPr>
            </w:pPr>
            <w:r w:rsidRPr="00A935AA">
              <w:rPr>
                <w:sz w:val="20"/>
                <w:szCs w:val="20"/>
              </w:rPr>
              <w:tab/>
            </w:r>
            <w:r w:rsidR="00B93BB8">
              <w:rPr>
                <w:sz w:val="20"/>
                <w:szCs w:val="20"/>
              </w:rPr>
              <w:t>Joseph Eliot Magnet</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B93BB8">
              <w:rPr>
                <w:sz w:val="20"/>
                <w:szCs w:val="20"/>
              </w:rPr>
              <w:t>945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93BB8" w:rsidP="005F1ED8">
            <w:pPr>
              <w:tabs>
                <w:tab w:val="left" w:pos="-1440"/>
                <w:tab w:val="left" w:pos="-720"/>
              </w:tabs>
              <w:rPr>
                <w:b/>
                <w:sz w:val="20"/>
                <w:szCs w:val="20"/>
              </w:rPr>
            </w:pPr>
            <w:r>
              <w:rPr>
                <w:b/>
                <w:sz w:val="20"/>
                <w:szCs w:val="20"/>
              </w:rPr>
              <w:t xml:space="preserve">Her Majesty the Queen as represented by the Minister of Indian Affairs and Northern Development et al.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93BB8">
              <w:rPr>
                <w:sz w:val="20"/>
                <w:szCs w:val="20"/>
              </w:rPr>
              <w:t>Brian McLaughlin</w:t>
            </w:r>
          </w:p>
          <w:p w:rsidR="00C21644" w:rsidRPr="00A935AA" w:rsidRDefault="00C21644" w:rsidP="005F1ED8">
            <w:pPr>
              <w:tabs>
                <w:tab w:val="left" w:pos="-1440"/>
                <w:tab w:val="left" w:pos="-720"/>
              </w:tabs>
              <w:rPr>
                <w:sz w:val="20"/>
                <w:szCs w:val="20"/>
              </w:rPr>
            </w:pPr>
            <w:r w:rsidRPr="00A935AA">
              <w:rPr>
                <w:sz w:val="20"/>
                <w:szCs w:val="20"/>
              </w:rPr>
              <w:tab/>
            </w:r>
            <w:r w:rsidR="00B93BB8">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B93BB8">
              <w:rPr>
                <w:sz w:val="20"/>
                <w:szCs w:val="20"/>
              </w:rPr>
              <w:t>16</w:t>
            </w:r>
            <w:r w:rsidRPr="00A935AA">
              <w:rPr>
                <w:sz w:val="20"/>
                <w:szCs w:val="20"/>
              </w:rPr>
              <w:t>.0</w:t>
            </w:r>
            <w:r w:rsidR="00B93BB8">
              <w:rPr>
                <w:sz w:val="20"/>
                <w:szCs w:val="20"/>
              </w:rPr>
              <w:t>6</w:t>
            </w:r>
            <w:r w:rsidRPr="00A935AA">
              <w:rPr>
                <w:sz w:val="20"/>
                <w:szCs w:val="20"/>
              </w:rPr>
              <w:t>.201</w:t>
            </w:r>
            <w:r>
              <w:rPr>
                <w:sz w:val="20"/>
                <w:szCs w:val="20"/>
              </w:rPr>
              <w:t>4</w:t>
            </w:r>
          </w:p>
          <w:p w:rsidR="00C21644" w:rsidRPr="00A935AA" w:rsidRDefault="00584E5B" w:rsidP="005F1ED8">
            <w:pPr>
              <w:rPr>
                <w:sz w:val="20"/>
                <w:szCs w:val="20"/>
              </w:rPr>
            </w:pPr>
            <w:r>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40890">
          <w:headerReference w:type="default" r:id="rId16"/>
          <w:footerReference w:type="default" r:id="rId17"/>
          <w:headerReference w:type="first" r:id="rId18"/>
          <w:footerReference w:type="first" r:id="rId19"/>
          <w:pgSz w:w="12240" w:h="15840"/>
          <w:pgMar w:top="720" w:right="965" w:bottom="1080" w:left="1656" w:header="706" w:footer="706" w:gutter="0"/>
          <w:pgNumType w:start="110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84E5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2F385F">
        <w:rPr>
          <w:b/>
          <w:sz w:val="20"/>
          <w:szCs w:val="20"/>
        </w:rPr>
        <w:t>NE</w:t>
      </w:r>
      <w:r>
        <w:rPr>
          <w:b/>
          <w:sz w:val="20"/>
          <w:szCs w:val="20"/>
        </w:rPr>
        <w:t xml:space="preserve"> </w:t>
      </w:r>
      <w:r w:rsidR="002F385F">
        <w:rPr>
          <w:b/>
          <w:sz w:val="20"/>
          <w:szCs w:val="20"/>
        </w:rPr>
        <w:t>30</w:t>
      </w:r>
      <w:r w:rsidRPr="00C50A5C">
        <w:rPr>
          <w:b/>
          <w:sz w:val="20"/>
          <w:szCs w:val="20"/>
        </w:rPr>
        <w:t>, 201</w:t>
      </w:r>
      <w:r>
        <w:rPr>
          <w:b/>
          <w:sz w:val="20"/>
          <w:szCs w:val="20"/>
        </w:rPr>
        <w:t>4</w:t>
      </w:r>
      <w:r w:rsidRPr="00C50A5C">
        <w:rPr>
          <w:b/>
          <w:sz w:val="20"/>
          <w:szCs w:val="20"/>
        </w:rPr>
        <w:t xml:space="preserve"> / LE </w:t>
      </w:r>
      <w:r w:rsidR="002F385F">
        <w:rPr>
          <w:b/>
          <w:sz w:val="20"/>
          <w:szCs w:val="20"/>
        </w:rPr>
        <w:t>30</w:t>
      </w:r>
      <w:r>
        <w:rPr>
          <w:b/>
          <w:sz w:val="20"/>
          <w:szCs w:val="20"/>
        </w:rPr>
        <w:t xml:space="preserve"> J</w:t>
      </w:r>
      <w:r w:rsidR="002F385F">
        <w:rPr>
          <w:b/>
          <w:sz w:val="20"/>
          <w:szCs w:val="20"/>
        </w:rPr>
        <w:t>UI</w:t>
      </w:r>
      <w:r>
        <w:rPr>
          <w:b/>
          <w:sz w:val="20"/>
          <w:szCs w:val="20"/>
        </w:rPr>
        <w:t>N</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2F385F" w:rsidRDefault="002F385F" w:rsidP="00CB3520">
      <w:pPr>
        <w:pStyle w:val="ListParagraph"/>
        <w:widowControl w:val="0"/>
        <w:numPr>
          <w:ilvl w:val="0"/>
          <w:numId w:val="1"/>
        </w:numPr>
        <w:ind w:hanging="720"/>
        <w:jc w:val="both"/>
        <w:rPr>
          <w:sz w:val="20"/>
          <w:szCs w:val="20"/>
          <w:lang w:val="fr-CA"/>
        </w:rPr>
      </w:pPr>
      <w:r w:rsidRPr="002F385F">
        <w:rPr>
          <w:i/>
          <w:sz w:val="20"/>
          <w:szCs w:val="20"/>
          <w:lang w:val="fr-CA"/>
        </w:rPr>
        <w:t>Sa Majesté la Reine c. Moïse Latortue et autre</w:t>
      </w:r>
      <w:r w:rsidRPr="002F385F">
        <w:rPr>
          <w:sz w:val="20"/>
          <w:szCs w:val="20"/>
          <w:lang w:val="fr-CA"/>
        </w:rPr>
        <w:t xml:space="preserve"> (Qc) (Crim.) (Autorisation) </w:t>
      </w:r>
      <w:r w:rsidR="00CB3520" w:rsidRPr="002F385F">
        <w:rPr>
          <w:sz w:val="20"/>
          <w:szCs w:val="20"/>
          <w:lang w:val="fr-CA"/>
        </w:rPr>
        <w:t>(35</w:t>
      </w:r>
      <w:r w:rsidRPr="002F385F">
        <w:rPr>
          <w:sz w:val="20"/>
          <w:szCs w:val="20"/>
          <w:lang w:val="fr-CA"/>
        </w:rPr>
        <w:t>805</w:t>
      </w:r>
      <w:r w:rsidR="00CB3520" w:rsidRPr="002F385F">
        <w:rPr>
          <w:sz w:val="20"/>
          <w:szCs w:val="20"/>
          <w:lang w:val="fr-CA"/>
        </w:rPr>
        <w:t>)</w:t>
      </w:r>
    </w:p>
    <w:p w:rsidR="00CB3520" w:rsidRPr="002F385F" w:rsidRDefault="00CB3520" w:rsidP="00CB3520">
      <w:pPr>
        <w:widowControl w:val="0"/>
        <w:jc w:val="both"/>
        <w:rPr>
          <w:sz w:val="20"/>
          <w:szCs w:val="20"/>
          <w:lang w:val="fr-CA"/>
        </w:rPr>
      </w:pPr>
    </w:p>
    <w:p w:rsidR="00CB3520" w:rsidRPr="00C612D0" w:rsidRDefault="002F385F" w:rsidP="00CB3520">
      <w:pPr>
        <w:pStyle w:val="ListParagraph"/>
        <w:widowControl w:val="0"/>
        <w:numPr>
          <w:ilvl w:val="0"/>
          <w:numId w:val="1"/>
        </w:numPr>
        <w:ind w:hanging="720"/>
        <w:jc w:val="both"/>
        <w:rPr>
          <w:sz w:val="20"/>
          <w:szCs w:val="20"/>
        </w:rPr>
      </w:pPr>
      <w:r w:rsidRPr="002F385F">
        <w:rPr>
          <w:i/>
          <w:sz w:val="20"/>
          <w:szCs w:val="20"/>
        </w:rPr>
        <w:t>Natasha Kaye Healy v. Her Majesty the Queen</w:t>
      </w:r>
      <w:r w:rsidRPr="002F385F">
        <w:rPr>
          <w:sz w:val="20"/>
          <w:szCs w:val="20"/>
        </w:rPr>
        <w:t xml:space="preserve"> (B.C.) (Crim.) (By Leave)</w:t>
      </w:r>
      <w:r w:rsidRPr="00C612D0">
        <w:rPr>
          <w:sz w:val="20"/>
          <w:szCs w:val="20"/>
        </w:rPr>
        <w:t xml:space="preserve"> </w:t>
      </w:r>
      <w:r w:rsidR="00CB3520" w:rsidRPr="00C612D0">
        <w:rPr>
          <w:sz w:val="20"/>
          <w:szCs w:val="20"/>
        </w:rPr>
        <w:t>(3</w:t>
      </w:r>
      <w:r w:rsidR="00CB3520">
        <w:rPr>
          <w:sz w:val="20"/>
          <w:szCs w:val="20"/>
        </w:rPr>
        <w:t>5</w:t>
      </w:r>
      <w:r>
        <w:rPr>
          <w:sz w:val="20"/>
          <w:szCs w:val="20"/>
        </w:rPr>
        <w:t>9</w:t>
      </w:r>
      <w:r w:rsidR="00CB3520">
        <w:rPr>
          <w:sz w:val="20"/>
          <w:szCs w:val="20"/>
        </w:rPr>
        <w:t>0</w:t>
      </w:r>
      <w:r>
        <w:rPr>
          <w:sz w:val="20"/>
          <w:szCs w:val="20"/>
        </w:rPr>
        <w:t>7</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2F385F" w:rsidP="00CB3520">
      <w:pPr>
        <w:pStyle w:val="ListParagraph"/>
        <w:widowControl w:val="0"/>
        <w:numPr>
          <w:ilvl w:val="0"/>
          <w:numId w:val="1"/>
        </w:numPr>
        <w:ind w:hanging="720"/>
        <w:jc w:val="both"/>
        <w:rPr>
          <w:sz w:val="20"/>
          <w:szCs w:val="20"/>
        </w:rPr>
      </w:pPr>
      <w:r w:rsidRPr="002F385F">
        <w:rPr>
          <w:i/>
          <w:sz w:val="20"/>
          <w:szCs w:val="20"/>
        </w:rPr>
        <w:t>Robert Lavigne v. Canadian Human Rights Commission et al.</w:t>
      </w:r>
      <w:r w:rsidRPr="002F385F">
        <w:rPr>
          <w:sz w:val="20"/>
          <w:szCs w:val="20"/>
        </w:rPr>
        <w:t xml:space="preserve"> (F.C.) (Civil) (By Leave)</w:t>
      </w:r>
      <w:r w:rsidRPr="00940CAD">
        <w:rPr>
          <w:sz w:val="20"/>
          <w:szCs w:val="20"/>
        </w:rPr>
        <w:t xml:space="preserve"> </w:t>
      </w:r>
      <w:r w:rsidR="00CB3520" w:rsidRPr="00940CAD">
        <w:rPr>
          <w:sz w:val="20"/>
          <w:szCs w:val="20"/>
        </w:rPr>
        <w:t>(3</w:t>
      </w:r>
      <w:r w:rsidR="00CB3520">
        <w:rPr>
          <w:sz w:val="20"/>
          <w:szCs w:val="20"/>
        </w:rPr>
        <w:t>5</w:t>
      </w:r>
      <w:r>
        <w:rPr>
          <w:sz w:val="20"/>
          <w:szCs w:val="20"/>
        </w:rPr>
        <w:t>738</w:t>
      </w:r>
      <w:r w:rsidR="00CB3520" w:rsidRPr="00940CAD">
        <w:rPr>
          <w:sz w:val="20"/>
          <w:szCs w:val="20"/>
        </w:rPr>
        <w:t>)</w:t>
      </w:r>
    </w:p>
    <w:p w:rsidR="00CB3520" w:rsidRDefault="00CB3520" w:rsidP="00CB3520">
      <w:pPr>
        <w:widowControl w:val="0"/>
        <w:rPr>
          <w:sz w:val="20"/>
          <w:szCs w:val="20"/>
        </w:rPr>
      </w:pPr>
    </w:p>
    <w:p w:rsidR="002F385F" w:rsidRPr="009C5D38" w:rsidRDefault="002F385F" w:rsidP="002F385F">
      <w:pPr>
        <w:widowControl w:val="0"/>
        <w:rPr>
          <w:sz w:val="20"/>
          <w:szCs w:val="20"/>
        </w:rPr>
      </w:pPr>
    </w:p>
    <w:p w:rsidR="002F385F" w:rsidRPr="00C50A5C" w:rsidRDefault="002F385F" w:rsidP="002F385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sidR="00B34F87">
        <w:rPr>
          <w:b/>
          <w:sz w:val="20"/>
          <w:szCs w:val="20"/>
        </w:rPr>
        <w:t>G</w:t>
      </w:r>
      <w:r>
        <w:rPr>
          <w:b/>
          <w:sz w:val="20"/>
          <w:szCs w:val="20"/>
        </w:rPr>
        <w:t>a</w:t>
      </w:r>
      <w:r w:rsidR="00B34F87">
        <w:rPr>
          <w:b/>
          <w:sz w:val="20"/>
          <w:szCs w:val="20"/>
        </w:rPr>
        <w:t>sco</w:t>
      </w:r>
      <w:r>
        <w:rPr>
          <w:b/>
          <w:sz w:val="20"/>
          <w:szCs w:val="20"/>
        </w:rPr>
        <w:t>n</w:t>
      </w:r>
      <w:r w:rsidRPr="00C50A5C">
        <w:rPr>
          <w:b/>
          <w:sz w:val="20"/>
          <w:szCs w:val="20"/>
        </w:rPr>
        <w:t xml:space="preserve"> JJ.</w:t>
      </w:r>
    </w:p>
    <w:p w:rsidR="002F385F" w:rsidRPr="00C50A5C" w:rsidRDefault="002F385F" w:rsidP="002F385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B34F87">
        <w:rPr>
          <w:b/>
          <w:sz w:val="20"/>
          <w:szCs w:val="20"/>
          <w:lang w:val="fr-CA"/>
        </w:rPr>
        <w:t>G</w:t>
      </w:r>
      <w:r>
        <w:rPr>
          <w:b/>
          <w:sz w:val="20"/>
          <w:szCs w:val="20"/>
          <w:lang w:val="fr-CA"/>
        </w:rPr>
        <w:t>a</w:t>
      </w:r>
      <w:r w:rsidR="00B34F87">
        <w:rPr>
          <w:b/>
          <w:sz w:val="20"/>
          <w:szCs w:val="20"/>
          <w:lang w:val="fr-CA"/>
        </w:rPr>
        <w:t>sco</w:t>
      </w:r>
      <w:r>
        <w:rPr>
          <w:b/>
          <w:sz w:val="20"/>
          <w:szCs w:val="20"/>
          <w:lang w:val="fr-CA"/>
        </w:rPr>
        <w:t>n</w:t>
      </w:r>
    </w:p>
    <w:p w:rsidR="002F385F" w:rsidRPr="002F385F" w:rsidRDefault="002F385F" w:rsidP="00CB3520">
      <w:pPr>
        <w:widowControl w:val="0"/>
        <w:rPr>
          <w:sz w:val="20"/>
          <w:szCs w:val="20"/>
          <w:lang w:val="fr-CA"/>
        </w:rPr>
      </w:pPr>
    </w:p>
    <w:p w:rsidR="00CB3520" w:rsidRPr="00C50A5C" w:rsidRDefault="002F385F" w:rsidP="00CB3520">
      <w:pPr>
        <w:pStyle w:val="ListParagraph"/>
        <w:widowControl w:val="0"/>
        <w:numPr>
          <w:ilvl w:val="0"/>
          <w:numId w:val="1"/>
        </w:numPr>
        <w:ind w:hanging="720"/>
        <w:jc w:val="both"/>
        <w:rPr>
          <w:sz w:val="20"/>
          <w:szCs w:val="20"/>
        </w:rPr>
      </w:pPr>
      <w:r w:rsidRPr="002F385F">
        <w:rPr>
          <w:i/>
          <w:sz w:val="20"/>
          <w:szCs w:val="20"/>
        </w:rPr>
        <w:t>Jason Hyra v. Her Majesty the Queen</w:t>
      </w:r>
      <w:r w:rsidRPr="002F385F">
        <w:rPr>
          <w:sz w:val="20"/>
          <w:szCs w:val="20"/>
        </w:rPr>
        <w:t xml:space="preserve"> (Man.) (Crim.) (By Leave)</w:t>
      </w:r>
      <w:r w:rsidRPr="00C50A5C">
        <w:rPr>
          <w:sz w:val="20"/>
          <w:szCs w:val="20"/>
        </w:rPr>
        <w:t xml:space="preserve"> </w:t>
      </w:r>
      <w:r w:rsidR="00CB3520" w:rsidRPr="00C50A5C">
        <w:rPr>
          <w:sz w:val="20"/>
          <w:szCs w:val="20"/>
        </w:rPr>
        <w:t>(3</w:t>
      </w:r>
      <w:r w:rsidR="00CB3520">
        <w:rPr>
          <w:sz w:val="20"/>
          <w:szCs w:val="20"/>
        </w:rPr>
        <w:t>5</w:t>
      </w:r>
      <w:r>
        <w:rPr>
          <w:sz w:val="20"/>
          <w:szCs w:val="20"/>
        </w:rPr>
        <w:t>89</w:t>
      </w:r>
      <w:r w:rsidR="00CB3520">
        <w:rPr>
          <w:sz w:val="20"/>
          <w:szCs w:val="20"/>
        </w:rPr>
        <w:t>1</w:t>
      </w:r>
      <w:r w:rsidR="00CB3520" w:rsidRPr="00C50A5C">
        <w:rPr>
          <w:sz w:val="20"/>
          <w:szCs w:val="20"/>
        </w:rPr>
        <w:t>)</w:t>
      </w:r>
    </w:p>
    <w:p w:rsidR="00CB3520" w:rsidRDefault="00CB3520" w:rsidP="00CB3520">
      <w:pPr>
        <w:widowControl w:val="0"/>
        <w:jc w:val="both"/>
        <w:rPr>
          <w:sz w:val="20"/>
          <w:szCs w:val="20"/>
        </w:rPr>
      </w:pPr>
    </w:p>
    <w:p w:rsidR="00CB3520" w:rsidRPr="009C5D38" w:rsidRDefault="002F385F" w:rsidP="00CB3520">
      <w:pPr>
        <w:pStyle w:val="ListParagraph"/>
        <w:widowControl w:val="0"/>
        <w:numPr>
          <w:ilvl w:val="0"/>
          <w:numId w:val="1"/>
        </w:numPr>
        <w:ind w:hanging="720"/>
        <w:jc w:val="both"/>
        <w:rPr>
          <w:sz w:val="20"/>
          <w:szCs w:val="20"/>
        </w:rPr>
      </w:pPr>
      <w:r w:rsidRPr="002F385F">
        <w:rPr>
          <w:i/>
          <w:sz w:val="20"/>
          <w:szCs w:val="20"/>
        </w:rPr>
        <w:t>James E. Lindstrom et al. v. Nancy Evelyn Knowles</w:t>
      </w:r>
      <w:r w:rsidRPr="002F385F">
        <w:rPr>
          <w:sz w:val="20"/>
          <w:szCs w:val="20"/>
        </w:rPr>
        <w:t xml:space="preserve"> (Ont.) (Civil) (By Leave)</w:t>
      </w:r>
      <w:r w:rsidRPr="009C5D38">
        <w:rPr>
          <w:sz w:val="20"/>
          <w:szCs w:val="20"/>
        </w:rPr>
        <w:t xml:space="preserve"> </w:t>
      </w:r>
      <w:r w:rsidR="00CB3520" w:rsidRPr="009C5D38">
        <w:rPr>
          <w:sz w:val="20"/>
          <w:szCs w:val="20"/>
        </w:rPr>
        <w:t>(35</w:t>
      </w:r>
      <w:r>
        <w:rPr>
          <w:sz w:val="20"/>
          <w:szCs w:val="20"/>
        </w:rPr>
        <w:t>828</w:t>
      </w:r>
      <w:r w:rsidR="00CB3520" w:rsidRPr="009C5D38">
        <w:rPr>
          <w:sz w:val="20"/>
          <w:szCs w:val="20"/>
        </w:rPr>
        <w:t>)</w:t>
      </w:r>
    </w:p>
    <w:p w:rsidR="00CB3520" w:rsidRPr="002F385F" w:rsidRDefault="00CB3520" w:rsidP="00CB3520">
      <w:pPr>
        <w:widowControl w:val="0"/>
        <w:jc w:val="both"/>
        <w:rPr>
          <w:sz w:val="20"/>
          <w:szCs w:val="20"/>
        </w:rPr>
      </w:pPr>
    </w:p>
    <w:p w:rsidR="00CB3520" w:rsidRPr="002F385F" w:rsidRDefault="002F385F" w:rsidP="00CB3520">
      <w:pPr>
        <w:pStyle w:val="ListParagraph"/>
        <w:widowControl w:val="0"/>
        <w:numPr>
          <w:ilvl w:val="0"/>
          <w:numId w:val="1"/>
        </w:numPr>
        <w:ind w:hanging="720"/>
        <w:jc w:val="both"/>
        <w:rPr>
          <w:sz w:val="20"/>
          <w:szCs w:val="20"/>
        </w:rPr>
      </w:pPr>
      <w:r w:rsidRPr="002F385F">
        <w:rPr>
          <w:i/>
          <w:sz w:val="20"/>
          <w:szCs w:val="20"/>
        </w:rPr>
        <w:t>Peter Misheal v. Mona Okel</w:t>
      </w:r>
      <w:r w:rsidRPr="002F385F">
        <w:rPr>
          <w:sz w:val="20"/>
          <w:szCs w:val="20"/>
        </w:rPr>
        <w:t xml:space="preserve"> (Ont.) (Civil) (By Leave) </w:t>
      </w:r>
      <w:r w:rsidR="00CB3520" w:rsidRPr="002F385F">
        <w:rPr>
          <w:sz w:val="20"/>
          <w:szCs w:val="20"/>
        </w:rPr>
        <w:t>(35</w:t>
      </w:r>
      <w:r w:rsidRPr="002F385F">
        <w:rPr>
          <w:sz w:val="20"/>
          <w:szCs w:val="20"/>
        </w:rPr>
        <w:t>8</w:t>
      </w:r>
      <w:r w:rsidR="00CB3520" w:rsidRPr="002F385F">
        <w:rPr>
          <w:sz w:val="20"/>
          <w:szCs w:val="20"/>
        </w:rPr>
        <w:t>6</w:t>
      </w:r>
      <w:r w:rsidRPr="002F385F">
        <w:rPr>
          <w:sz w:val="20"/>
          <w:szCs w:val="20"/>
        </w:rPr>
        <w:t>1</w:t>
      </w:r>
      <w:r w:rsidR="00CB3520" w:rsidRPr="002F385F">
        <w:rPr>
          <w:sz w:val="20"/>
          <w:szCs w:val="20"/>
        </w:rPr>
        <w:t>)</w:t>
      </w:r>
    </w:p>
    <w:p w:rsidR="00CB3520" w:rsidRPr="002F385F" w:rsidRDefault="00CB3520" w:rsidP="00CB3520">
      <w:pPr>
        <w:widowControl w:val="0"/>
        <w:jc w:val="both"/>
        <w:rPr>
          <w:sz w:val="20"/>
          <w:szCs w:val="20"/>
        </w:rPr>
      </w:pPr>
    </w:p>
    <w:p w:rsidR="002F385F" w:rsidRPr="002F385F" w:rsidRDefault="002F385F" w:rsidP="00CB3520">
      <w:pPr>
        <w:widowControl w:val="0"/>
        <w:jc w:val="both"/>
        <w:rPr>
          <w:sz w:val="20"/>
          <w:szCs w:val="20"/>
        </w:rPr>
      </w:pPr>
    </w:p>
    <w:p w:rsidR="002F385F" w:rsidRPr="00C50A5C" w:rsidRDefault="002F385F" w:rsidP="002F385F">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2F385F" w:rsidRPr="00C50A5C" w:rsidRDefault="002F385F" w:rsidP="002F385F">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2F385F" w:rsidRPr="00115C9E" w:rsidRDefault="002F385F" w:rsidP="00CB3520">
      <w:pPr>
        <w:widowControl w:val="0"/>
        <w:jc w:val="both"/>
        <w:rPr>
          <w:sz w:val="20"/>
          <w:szCs w:val="20"/>
          <w:lang w:val="fr-CA"/>
        </w:rPr>
      </w:pPr>
    </w:p>
    <w:p w:rsidR="00CB3520" w:rsidRPr="009C5D38" w:rsidRDefault="002F385F" w:rsidP="00CB3520">
      <w:pPr>
        <w:pStyle w:val="ListParagraph"/>
        <w:widowControl w:val="0"/>
        <w:numPr>
          <w:ilvl w:val="0"/>
          <w:numId w:val="1"/>
        </w:numPr>
        <w:ind w:hanging="720"/>
        <w:jc w:val="both"/>
        <w:rPr>
          <w:sz w:val="20"/>
          <w:szCs w:val="20"/>
        </w:rPr>
      </w:pPr>
      <w:r w:rsidRPr="002F385F">
        <w:rPr>
          <w:i/>
          <w:sz w:val="20"/>
          <w:szCs w:val="20"/>
        </w:rPr>
        <w:t>Cory Farrell v. Her Majesty the Queen</w:t>
      </w:r>
      <w:r w:rsidRPr="002F385F">
        <w:rPr>
          <w:sz w:val="20"/>
          <w:szCs w:val="20"/>
        </w:rPr>
        <w:t xml:space="preserve"> (Ont.) (Crim.) (By Leave)</w:t>
      </w:r>
      <w:r w:rsidRPr="009C5D38">
        <w:rPr>
          <w:sz w:val="20"/>
          <w:szCs w:val="20"/>
        </w:rPr>
        <w:t xml:space="preserve"> </w:t>
      </w:r>
      <w:r w:rsidR="00CB3520" w:rsidRPr="009C5D38">
        <w:rPr>
          <w:sz w:val="20"/>
          <w:szCs w:val="20"/>
        </w:rPr>
        <w:t>(35</w:t>
      </w:r>
      <w:r>
        <w:rPr>
          <w:sz w:val="20"/>
          <w:szCs w:val="20"/>
        </w:rPr>
        <w:t>912</w:t>
      </w:r>
      <w:r w:rsidR="00CB3520" w:rsidRPr="009C5D38">
        <w:rPr>
          <w:sz w:val="20"/>
          <w:szCs w:val="20"/>
        </w:rPr>
        <w:t>)</w:t>
      </w:r>
    </w:p>
    <w:p w:rsidR="00CB3520" w:rsidRPr="009C5D38" w:rsidRDefault="00CB3520" w:rsidP="00CB3520">
      <w:pPr>
        <w:widowControl w:val="0"/>
        <w:jc w:val="both"/>
        <w:rPr>
          <w:sz w:val="20"/>
          <w:szCs w:val="20"/>
        </w:rPr>
      </w:pPr>
    </w:p>
    <w:p w:rsidR="00CB3520" w:rsidRPr="002F385F" w:rsidRDefault="002F385F" w:rsidP="00CB3520">
      <w:pPr>
        <w:pStyle w:val="ListParagraph"/>
        <w:widowControl w:val="0"/>
        <w:numPr>
          <w:ilvl w:val="0"/>
          <w:numId w:val="1"/>
        </w:numPr>
        <w:ind w:hanging="720"/>
        <w:jc w:val="both"/>
        <w:rPr>
          <w:sz w:val="20"/>
          <w:szCs w:val="20"/>
        </w:rPr>
      </w:pPr>
      <w:r w:rsidRPr="002F385F">
        <w:rPr>
          <w:i/>
          <w:sz w:val="20"/>
          <w:szCs w:val="20"/>
        </w:rPr>
        <w:t xml:space="preserve">Greg Dowling Architect Inc. et al. v. J. Raymond Griffin Architect Inc. et al. </w:t>
      </w:r>
      <w:r w:rsidRPr="002F385F">
        <w:rPr>
          <w:sz w:val="20"/>
          <w:szCs w:val="20"/>
        </w:rPr>
        <w:t xml:space="preserve">(B.C.) (Civil) (By Leave) </w:t>
      </w:r>
      <w:r w:rsidR="00CB3520" w:rsidRPr="002F385F">
        <w:rPr>
          <w:sz w:val="20"/>
          <w:szCs w:val="20"/>
        </w:rPr>
        <w:t>(35</w:t>
      </w:r>
      <w:r w:rsidRPr="002F385F">
        <w:rPr>
          <w:sz w:val="20"/>
          <w:szCs w:val="20"/>
        </w:rPr>
        <w:t>868</w:t>
      </w:r>
      <w:r w:rsidR="00CB3520" w:rsidRPr="002F385F">
        <w:rPr>
          <w:sz w:val="20"/>
          <w:szCs w:val="20"/>
        </w:rPr>
        <w:t>)</w:t>
      </w:r>
    </w:p>
    <w:p w:rsidR="002E2327" w:rsidRPr="00CB3520" w:rsidRDefault="002E2327" w:rsidP="002E2327">
      <w:pPr>
        <w:widowControl w:val="0"/>
        <w:rPr>
          <w:sz w:val="20"/>
          <w:szCs w:val="20"/>
        </w:rPr>
      </w:pPr>
    </w:p>
    <w:p w:rsidR="002E2327" w:rsidRDefault="00584E5B"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84E5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F72E8" w:rsidP="000E2959">
      <w:pPr>
        <w:rPr>
          <w:b/>
          <w:sz w:val="20"/>
          <w:szCs w:val="20"/>
        </w:rPr>
      </w:pPr>
      <w:r>
        <w:rPr>
          <w:b/>
          <w:sz w:val="20"/>
          <w:szCs w:val="20"/>
        </w:rPr>
        <w:t>JUL</w:t>
      </w:r>
      <w:r w:rsidR="000E2959">
        <w:rPr>
          <w:b/>
          <w:sz w:val="20"/>
          <w:szCs w:val="20"/>
        </w:rPr>
        <w:t>Y</w:t>
      </w:r>
      <w:r w:rsidR="000E2959" w:rsidRPr="00C50A5C">
        <w:rPr>
          <w:b/>
          <w:sz w:val="20"/>
          <w:szCs w:val="20"/>
        </w:rPr>
        <w:t xml:space="preserve"> </w:t>
      </w:r>
      <w:r w:rsidR="000E2959">
        <w:rPr>
          <w:b/>
          <w:sz w:val="20"/>
          <w:szCs w:val="20"/>
        </w:rPr>
        <w:t>3</w:t>
      </w:r>
      <w:r w:rsidR="000E2959" w:rsidRPr="00C50A5C">
        <w:rPr>
          <w:b/>
          <w:sz w:val="20"/>
          <w:szCs w:val="20"/>
        </w:rPr>
        <w:t>, 201</w:t>
      </w:r>
      <w:r>
        <w:rPr>
          <w:b/>
          <w:sz w:val="20"/>
          <w:szCs w:val="20"/>
        </w:rPr>
        <w:t>4</w:t>
      </w:r>
      <w:r w:rsidR="000E2959" w:rsidRPr="00C50A5C">
        <w:rPr>
          <w:b/>
          <w:sz w:val="20"/>
          <w:szCs w:val="20"/>
        </w:rPr>
        <w:t xml:space="preserve"> / LE </w:t>
      </w:r>
      <w:r w:rsidR="000E2959">
        <w:rPr>
          <w:b/>
          <w:sz w:val="20"/>
          <w:szCs w:val="20"/>
        </w:rPr>
        <w:t>3</w:t>
      </w:r>
      <w:r w:rsidR="000E2959" w:rsidRPr="00C50A5C">
        <w:rPr>
          <w:b/>
          <w:sz w:val="20"/>
          <w:szCs w:val="20"/>
        </w:rPr>
        <w:t xml:space="preserve"> </w:t>
      </w:r>
      <w:r>
        <w:rPr>
          <w:b/>
          <w:sz w:val="20"/>
          <w:szCs w:val="20"/>
        </w:rPr>
        <w:t>JU</w:t>
      </w:r>
      <w:r w:rsidR="000E2959" w:rsidRPr="00C50A5C">
        <w:rPr>
          <w:b/>
          <w:sz w:val="20"/>
          <w:szCs w:val="20"/>
        </w:rPr>
        <w:t>I</w:t>
      </w:r>
      <w:r>
        <w:rPr>
          <w:b/>
          <w:sz w:val="20"/>
          <w:szCs w:val="20"/>
        </w:rPr>
        <w:t>LLET</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35812</w:t>
            </w:r>
          </w:p>
          <w:p w:rsidR="00E77667" w:rsidRPr="007D142E" w:rsidRDefault="00E77667" w:rsidP="002A3A49">
            <w:pPr>
              <w:rPr>
                <w:b/>
                <w:sz w:val="20"/>
                <w:szCs w:val="20"/>
                <w:lang w:val="fr-CA"/>
              </w:rPr>
            </w:pPr>
          </w:p>
        </w:tc>
        <w:tc>
          <w:tcPr>
            <w:tcW w:w="8118" w:type="dxa"/>
          </w:tcPr>
          <w:p w:rsidR="00E77667" w:rsidRPr="007D142E" w:rsidRDefault="00E77667" w:rsidP="002A3A49">
            <w:pPr>
              <w:rPr>
                <w:sz w:val="20"/>
                <w:szCs w:val="20"/>
              </w:rPr>
            </w:pPr>
            <w:r w:rsidRPr="007D142E">
              <w:rPr>
                <w:rStyle w:val="SCCLsocChar"/>
                <w:sz w:val="20"/>
                <w:szCs w:val="20"/>
                <w:lang w:val="en-CA"/>
              </w:rPr>
              <w:t>Wayne Ferron v. Her Majesty the Queen</w:t>
            </w:r>
            <w:r w:rsidRPr="007D142E">
              <w:rPr>
                <w:sz w:val="20"/>
                <w:szCs w:val="20"/>
              </w:rPr>
              <w:t xml:space="preserve"> (Ont.) (Criminal) (By Leave)</w:t>
            </w:r>
          </w:p>
          <w:p w:rsidR="00E77667" w:rsidRPr="007D142E" w:rsidRDefault="00E77667" w:rsidP="002A3A49">
            <w:pPr>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t>The motion for an extension of time to serve and file the application for leave to appeal from the judgment of the Court of Appeal for Ontario, Number C51190, dated January 17, 2012, is dismissed. In any event, had such motion been granted, the application for leave to appeal would have been dismissed without costs.</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requête en prorogation du délai de signification et de dépôt de la demande d’autorisation d’appel de l’arrêt de la Cour d’appel de l’Ontario, numéro C51190, daté du 17 janvier 2012, est rejetée. Quoi qu’il en soit, même si la requête avait été accueillie, la demande d’autorisation d’appel aurait été rejetée sans dépens.</w:t>
            </w:r>
          </w:p>
        </w:tc>
      </w:tr>
    </w:tbl>
    <w:p w:rsidR="008F72E8" w:rsidRPr="00E77667" w:rsidRDefault="008F72E8" w:rsidP="000E2959">
      <w:pPr>
        <w:rPr>
          <w:sz w:val="20"/>
          <w:szCs w:val="20"/>
          <w:lang w:val="fr-CA"/>
        </w:rPr>
      </w:pPr>
    </w:p>
    <w:p w:rsidR="008F72E8" w:rsidRPr="001B157C" w:rsidRDefault="008F72E8" w:rsidP="008F72E8">
      <w:pPr>
        <w:rPr>
          <w:sz w:val="20"/>
          <w:szCs w:val="20"/>
          <w:u w:val="single"/>
        </w:rPr>
      </w:pPr>
      <w:r w:rsidRPr="001B157C">
        <w:rPr>
          <w:sz w:val="20"/>
          <w:szCs w:val="20"/>
          <w:u w:val="single"/>
        </w:rPr>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C03D34" w:rsidTr="00A809A9">
        <w:tc>
          <w:tcPr>
            <w:tcW w:w="5000" w:type="pct"/>
            <w:gridSpan w:val="3"/>
          </w:tcPr>
          <w:p w:rsidR="00A9484F" w:rsidRPr="00C03D34" w:rsidRDefault="00A9484F" w:rsidP="00A809A9">
            <w:pPr>
              <w:jc w:val="both"/>
              <w:rPr>
                <w:sz w:val="20"/>
              </w:rPr>
            </w:pPr>
            <w:r w:rsidRPr="00C03D34">
              <w:rPr>
                <w:i/>
                <w:sz w:val="20"/>
              </w:rPr>
              <w:t>Canadian Charter of Rights and Freedoms</w:t>
            </w:r>
            <w:r w:rsidRPr="00C03D34">
              <w:rPr>
                <w:sz w:val="20"/>
              </w:rPr>
              <w:t xml:space="preserve"> – Criminal law – Appeals – Whether the Court of Appeal erred in dismissing the application for leave to appeal – Whether there was a violation of s. 15 of the </w:t>
            </w:r>
            <w:r w:rsidRPr="00C03D34">
              <w:rPr>
                <w:i/>
                <w:sz w:val="20"/>
              </w:rPr>
              <w:t>Canadian Charter of Rights and Freedoms.</w:t>
            </w:r>
          </w:p>
          <w:p w:rsidR="00A9484F" w:rsidRPr="00C03D34" w:rsidRDefault="00A9484F" w:rsidP="00A809A9">
            <w:pPr>
              <w:jc w:val="both"/>
              <w:rPr>
                <w:sz w:val="20"/>
              </w:rPr>
            </w:pPr>
          </w:p>
        </w:tc>
      </w:tr>
      <w:tr w:rsidR="00A9484F" w:rsidRPr="00C03D34" w:rsidTr="00A809A9">
        <w:tc>
          <w:tcPr>
            <w:tcW w:w="5000" w:type="pct"/>
            <w:gridSpan w:val="3"/>
          </w:tcPr>
          <w:p w:rsidR="00A9484F" w:rsidRPr="00C03D34" w:rsidRDefault="00A9484F" w:rsidP="00A809A9">
            <w:pPr>
              <w:jc w:val="both"/>
              <w:rPr>
                <w:sz w:val="20"/>
              </w:rPr>
            </w:pPr>
            <w:r w:rsidRPr="00C03D34">
              <w:rPr>
                <w:sz w:val="20"/>
              </w:rPr>
              <w:t xml:space="preserve">At the time of the incident in question, the applicant was driving a company vehicle.  A witness was travelling behind the applicant and observed erratic driving.  The witness called 911 and followed the applicant.  The police subsequently located and stopped the van.  The applicant was unresponsive to the police.  The police directed him to produce his licence, registration and insurance, which he did with difficulty.  The applicant was advised that he was under arrest. The officers took a cell phone and paper from his hand.  When these were taken, the applicant screamed.  He became increasingly aggressive and after several attempts to control the applicant, the police administered pepper spray. </w:t>
            </w:r>
          </w:p>
        </w:tc>
      </w:tr>
      <w:tr w:rsidR="00A9484F" w:rsidRPr="00C03D34" w:rsidTr="00A809A9">
        <w:tc>
          <w:tcPr>
            <w:tcW w:w="5000" w:type="pct"/>
            <w:gridSpan w:val="3"/>
          </w:tcPr>
          <w:p w:rsidR="00A9484F" w:rsidRPr="00C03D34" w:rsidRDefault="00A9484F" w:rsidP="00A809A9">
            <w:pPr>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September 26, 2008</w:t>
            </w:r>
          </w:p>
          <w:p w:rsidR="00A9484F" w:rsidRPr="00C03D34" w:rsidRDefault="00A9484F" w:rsidP="00A809A9">
            <w:pPr>
              <w:jc w:val="both"/>
              <w:rPr>
                <w:sz w:val="20"/>
              </w:rPr>
            </w:pPr>
            <w:r w:rsidRPr="00C03D34">
              <w:rPr>
                <w:sz w:val="20"/>
              </w:rPr>
              <w:t>Ontario Court of Justice</w:t>
            </w:r>
          </w:p>
          <w:p w:rsidR="00A9484F" w:rsidRPr="00C03D34" w:rsidRDefault="00A9484F" w:rsidP="00A809A9">
            <w:pPr>
              <w:jc w:val="both"/>
              <w:rPr>
                <w:sz w:val="20"/>
              </w:rPr>
            </w:pPr>
            <w:r w:rsidRPr="00C03D34">
              <w:rPr>
                <w:sz w:val="20"/>
              </w:rPr>
              <w:t>Kenkel J.</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 xml:space="preserve">Applicant found guilty dangerous driving contrary to s. 249 of the </w:t>
            </w:r>
            <w:r w:rsidRPr="00C03D34">
              <w:rPr>
                <w:i/>
                <w:sz w:val="20"/>
              </w:rPr>
              <w:t>Criminal Code</w:t>
            </w:r>
            <w:r w:rsidRPr="00C03D34">
              <w:rPr>
                <w:sz w:val="20"/>
              </w:rPr>
              <w:t xml:space="preserve"> and resisting a peace officer contrary to s. 129(a) of the </w:t>
            </w:r>
            <w:r w:rsidRPr="00C03D34">
              <w:rPr>
                <w:i/>
                <w:sz w:val="20"/>
              </w:rPr>
              <w:t>Criminal Code</w:t>
            </w:r>
            <w:r w:rsidRPr="00C03D34">
              <w:rPr>
                <w:sz w:val="20"/>
              </w:rPr>
              <w:t>.</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October 15, 2009</w:t>
            </w:r>
          </w:p>
          <w:p w:rsidR="00A9484F" w:rsidRPr="00C03D34" w:rsidRDefault="00A9484F" w:rsidP="00A809A9">
            <w:pPr>
              <w:jc w:val="both"/>
              <w:rPr>
                <w:sz w:val="20"/>
              </w:rPr>
            </w:pPr>
            <w:r w:rsidRPr="00C03D34">
              <w:rPr>
                <w:sz w:val="20"/>
              </w:rPr>
              <w:t>Superior Court of Justice</w:t>
            </w:r>
          </w:p>
          <w:p w:rsidR="00A9484F" w:rsidRPr="00C03D34" w:rsidRDefault="00A9484F" w:rsidP="00A809A9">
            <w:pPr>
              <w:jc w:val="both"/>
              <w:rPr>
                <w:sz w:val="20"/>
              </w:rPr>
            </w:pPr>
            <w:r w:rsidRPr="00C03D34">
              <w:rPr>
                <w:sz w:val="20"/>
              </w:rPr>
              <w:t>Healey J.</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Appeal dismissed.</w:t>
            </w:r>
          </w:p>
          <w:p w:rsidR="00A9484F" w:rsidRPr="00C03D34" w:rsidRDefault="00A9484F" w:rsidP="00A809A9">
            <w:pPr>
              <w:jc w:val="both"/>
              <w:rPr>
                <w:sz w:val="20"/>
              </w:rPr>
            </w:pP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January 17, 2012</w:t>
            </w:r>
          </w:p>
          <w:p w:rsidR="00A9484F" w:rsidRPr="00C03D34" w:rsidRDefault="00A9484F" w:rsidP="00A809A9">
            <w:pPr>
              <w:jc w:val="both"/>
              <w:rPr>
                <w:sz w:val="20"/>
              </w:rPr>
            </w:pPr>
            <w:r w:rsidRPr="00C03D34">
              <w:rPr>
                <w:sz w:val="20"/>
              </w:rPr>
              <w:t>Court of Appeal for Ontario</w:t>
            </w:r>
          </w:p>
          <w:p w:rsidR="00A9484F" w:rsidRPr="00C03D34" w:rsidRDefault="00A9484F" w:rsidP="00A809A9">
            <w:pPr>
              <w:jc w:val="both"/>
              <w:rPr>
                <w:sz w:val="20"/>
              </w:rPr>
            </w:pPr>
            <w:r w:rsidRPr="00C03D34">
              <w:rPr>
                <w:sz w:val="20"/>
              </w:rPr>
              <w:t>(Goudge, Epstein, and Newbould JJ.A.)</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Application for leave to appeal denied.</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March 3, 2014</w:t>
            </w:r>
          </w:p>
          <w:p w:rsidR="00A9484F" w:rsidRPr="00C03D34" w:rsidRDefault="00A9484F" w:rsidP="00A809A9">
            <w:pPr>
              <w:jc w:val="both"/>
              <w:rPr>
                <w:sz w:val="20"/>
              </w:rPr>
            </w:pPr>
            <w:r w:rsidRPr="00C03D34">
              <w:rPr>
                <w:sz w:val="20"/>
              </w:rPr>
              <w:t>Supreme Court of Canada</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Motion for extension of time to file and/or serve application for leave and application for leave to appeal filed.</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May 6, 2014</w:t>
            </w:r>
          </w:p>
          <w:p w:rsidR="00A9484F" w:rsidRPr="00C03D34" w:rsidRDefault="00A9484F" w:rsidP="00A809A9">
            <w:pPr>
              <w:jc w:val="both"/>
              <w:rPr>
                <w:sz w:val="20"/>
              </w:rPr>
            </w:pPr>
            <w:r w:rsidRPr="00C03D34">
              <w:rPr>
                <w:sz w:val="20"/>
              </w:rPr>
              <w:t>Supreme Court of Canada</w:t>
            </w: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Amended application for leave to appeal filed.</w:t>
            </w: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42"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584E5B" w:rsidTr="00A809A9">
        <w:tc>
          <w:tcPr>
            <w:tcW w:w="5000" w:type="pct"/>
            <w:gridSpan w:val="3"/>
          </w:tcPr>
          <w:p w:rsidR="00A9484F" w:rsidRPr="00C03D34" w:rsidRDefault="00A9484F" w:rsidP="00A809A9">
            <w:pPr>
              <w:jc w:val="both"/>
              <w:rPr>
                <w:sz w:val="20"/>
                <w:lang w:val="fr-CA"/>
              </w:rPr>
            </w:pPr>
            <w:r w:rsidRPr="00C03D34">
              <w:rPr>
                <w:i/>
                <w:sz w:val="20"/>
                <w:lang w:val="fr-CA"/>
              </w:rPr>
              <w:t xml:space="preserve">Charte canadienne des droits et libertés </w:t>
            </w:r>
            <w:r w:rsidRPr="00C03D34">
              <w:rPr>
                <w:sz w:val="20"/>
                <w:lang w:val="fr-CA"/>
              </w:rPr>
              <w:t xml:space="preserve">– Droit criminel – Appels – La Cour d’appel a-t-elle commis une erreur en rejetant la demande d’autorisation d’appel? – Y a-t-il eu violation de l’art. 15 de la </w:t>
            </w:r>
            <w:r w:rsidRPr="00C03D34">
              <w:rPr>
                <w:i/>
                <w:sz w:val="20"/>
                <w:lang w:val="fr-CA"/>
              </w:rPr>
              <w:t>Charte canadienne des droits et libertés</w:t>
            </w:r>
            <w:r w:rsidRPr="00C03D34">
              <w:rPr>
                <w:sz w:val="20"/>
                <w:lang w:val="fr-CA"/>
              </w:rPr>
              <w:t>?</w:t>
            </w:r>
          </w:p>
          <w:p w:rsidR="00A9484F" w:rsidRPr="00C03D34" w:rsidRDefault="00A9484F" w:rsidP="00A809A9">
            <w:pPr>
              <w:jc w:val="both"/>
              <w:rPr>
                <w:sz w:val="20"/>
                <w:lang w:val="fr-CA"/>
              </w:rPr>
            </w:pPr>
          </w:p>
        </w:tc>
      </w:tr>
      <w:tr w:rsidR="00A9484F" w:rsidRPr="00584E5B" w:rsidTr="00A809A9">
        <w:tc>
          <w:tcPr>
            <w:tcW w:w="5000" w:type="pct"/>
            <w:gridSpan w:val="3"/>
          </w:tcPr>
          <w:p w:rsidR="00A9484F" w:rsidRPr="00C03D34" w:rsidRDefault="00A9484F" w:rsidP="00A809A9">
            <w:pPr>
              <w:jc w:val="both"/>
              <w:rPr>
                <w:sz w:val="20"/>
                <w:lang w:val="fr-CA"/>
              </w:rPr>
            </w:pPr>
            <w:r w:rsidRPr="00C03D34">
              <w:rPr>
                <w:sz w:val="20"/>
                <w:lang w:val="fr-CA"/>
              </w:rPr>
              <w:t xml:space="preserve">Le demandeur conduisait un véhicule de l’entreprise au moment de l’incident en cause. Un témoin qui roulait derrière le demandeur a constaté que ce dernier conduisait de façon irrégulière. Le témoin a composé le 911 et a suivi le demandeur. Les policiers ont par la suite repéré et intercepté la fourgonnette. Le demandeur n’a pas répondu aux policiers, qui lui ont ordonné de produire son permis de conduire, le certificat d’immatriculation et la preuve d’assurance, ce qu’il a fait non sans difficulté. Les policiers ont informé le demandeur qu’il était en état d’arrestation. Quand ils lui ont pris des mains un téléphone cellulaire et un morceau de papier, le demandeur s’est mis à crier. Il est devenu de plus en plus agressif et, après avoir tenté plusieurs fois de le maîtriser, les policiers l’ont aspergé de gaz poivré.  </w:t>
            </w:r>
          </w:p>
        </w:tc>
      </w:tr>
      <w:tr w:rsidR="00A9484F" w:rsidRPr="00584E5B" w:rsidTr="00A809A9">
        <w:tc>
          <w:tcPr>
            <w:tcW w:w="5000" w:type="pct"/>
            <w:gridSpan w:val="3"/>
          </w:tcPr>
          <w:p w:rsidR="00A9484F" w:rsidRPr="00C03D34" w:rsidRDefault="00A9484F" w:rsidP="00A809A9">
            <w:pPr>
              <w:jc w:val="both"/>
              <w:rPr>
                <w:sz w:val="20"/>
                <w:lang w:val="fr-CA"/>
              </w:rPr>
            </w:pPr>
          </w:p>
        </w:tc>
      </w:tr>
      <w:tr w:rsidR="00A9484F" w:rsidRPr="00584E5B" w:rsidTr="00A809A9">
        <w:tc>
          <w:tcPr>
            <w:tcW w:w="2427" w:type="pct"/>
          </w:tcPr>
          <w:p w:rsidR="00A9484F" w:rsidRPr="00C03D34" w:rsidRDefault="00A9484F" w:rsidP="00A809A9">
            <w:pPr>
              <w:jc w:val="both"/>
              <w:rPr>
                <w:sz w:val="20"/>
                <w:lang w:val="fr-CA"/>
              </w:rPr>
            </w:pPr>
            <w:r w:rsidRPr="00C03D34">
              <w:rPr>
                <w:sz w:val="20"/>
                <w:lang w:val="fr-CA"/>
              </w:rPr>
              <w:t>26 septembre 2008</w:t>
            </w:r>
          </w:p>
          <w:p w:rsidR="00A9484F" w:rsidRPr="00C03D34" w:rsidRDefault="00A9484F" w:rsidP="00A809A9">
            <w:pPr>
              <w:jc w:val="both"/>
              <w:rPr>
                <w:sz w:val="20"/>
                <w:lang w:val="fr-CA"/>
              </w:rPr>
            </w:pPr>
            <w:r w:rsidRPr="00C03D34">
              <w:rPr>
                <w:sz w:val="20"/>
                <w:lang w:val="fr-CA"/>
              </w:rPr>
              <w:t>Cour de justice de l’Ontario</w:t>
            </w:r>
          </w:p>
          <w:p w:rsidR="00A9484F" w:rsidRPr="00C03D34" w:rsidRDefault="00A9484F" w:rsidP="00A809A9">
            <w:pPr>
              <w:jc w:val="both"/>
              <w:rPr>
                <w:sz w:val="20"/>
              </w:rPr>
            </w:pPr>
            <w:r w:rsidRPr="00C03D34">
              <w:rPr>
                <w:sz w:val="20"/>
              </w:rPr>
              <w:t xml:space="preserve">Juge Kenkel </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lang w:val="fr-CA"/>
              </w:rPr>
            </w:pPr>
            <w:r w:rsidRPr="00C03D34">
              <w:rPr>
                <w:sz w:val="20"/>
                <w:lang w:val="fr-CA"/>
              </w:rPr>
              <w:t xml:space="preserve">Demandeur reconnu coupable de conduite dangereuse en violation de l’art. 249 du </w:t>
            </w:r>
            <w:r w:rsidRPr="00C03D34">
              <w:rPr>
                <w:i/>
                <w:sz w:val="20"/>
                <w:lang w:val="fr-CA"/>
              </w:rPr>
              <w:t>Code criminel</w:t>
            </w:r>
            <w:r w:rsidRPr="00C03D34">
              <w:rPr>
                <w:sz w:val="20"/>
                <w:lang w:val="fr-CA"/>
              </w:rPr>
              <w:t xml:space="preserve"> et d’entrave à un agent de la paix en violation de l’al. 129</w:t>
            </w:r>
            <w:r w:rsidRPr="00C03D34">
              <w:rPr>
                <w:i/>
                <w:sz w:val="20"/>
                <w:lang w:val="fr-CA"/>
              </w:rPr>
              <w:t>a</w:t>
            </w:r>
            <w:r w:rsidRPr="00C03D34">
              <w:rPr>
                <w:sz w:val="20"/>
                <w:lang w:val="fr-CA"/>
              </w:rPr>
              <w:t xml:space="preserve">) du </w:t>
            </w:r>
            <w:r w:rsidRPr="00C03D34">
              <w:rPr>
                <w:i/>
                <w:sz w:val="20"/>
                <w:lang w:val="fr-CA"/>
              </w:rPr>
              <w:t>Code</w:t>
            </w:r>
            <w:r w:rsidRPr="00C03D34">
              <w:rPr>
                <w:sz w:val="20"/>
                <w:lang w:val="fr-CA"/>
              </w:rPr>
              <w:t>.</w:t>
            </w:r>
          </w:p>
          <w:p w:rsidR="00A9484F" w:rsidRPr="00C03D34" w:rsidRDefault="00A9484F" w:rsidP="00A809A9">
            <w:pPr>
              <w:jc w:val="both"/>
              <w:rPr>
                <w:sz w:val="20"/>
                <w:lang w:val="fr-CA"/>
              </w:rPr>
            </w:pPr>
          </w:p>
        </w:tc>
      </w:tr>
      <w:tr w:rsidR="00A9484F" w:rsidRPr="00C03D34" w:rsidTr="00A809A9">
        <w:tc>
          <w:tcPr>
            <w:tcW w:w="2427" w:type="pct"/>
          </w:tcPr>
          <w:p w:rsidR="00A9484F" w:rsidRPr="00C03D34" w:rsidRDefault="00A9484F" w:rsidP="00A809A9">
            <w:pPr>
              <w:jc w:val="both"/>
              <w:rPr>
                <w:sz w:val="20"/>
                <w:lang w:val="fr-CA"/>
              </w:rPr>
            </w:pPr>
            <w:r w:rsidRPr="00C03D34">
              <w:rPr>
                <w:sz w:val="20"/>
                <w:lang w:val="fr-CA"/>
              </w:rPr>
              <w:t>15 octobre 2009</w:t>
            </w:r>
          </w:p>
          <w:p w:rsidR="00A9484F" w:rsidRPr="00C03D34" w:rsidRDefault="00A9484F" w:rsidP="00A809A9">
            <w:pPr>
              <w:jc w:val="both"/>
              <w:rPr>
                <w:sz w:val="20"/>
                <w:lang w:val="fr-CA"/>
              </w:rPr>
            </w:pPr>
            <w:r w:rsidRPr="00C03D34">
              <w:rPr>
                <w:sz w:val="20"/>
                <w:lang w:val="fr-CA"/>
              </w:rPr>
              <w:t>Cour supérieure de justice</w:t>
            </w:r>
          </w:p>
          <w:p w:rsidR="00A9484F" w:rsidRPr="00C03D34" w:rsidRDefault="00A9484F" w:rsidP="00A809A9">
            <w:pPr>
              <w:jc w:val="both"/>
              <w:rPr>
                <w:sz w:val="20"/>
                <w:lang w:val="fr-CA"/>
              </w:rPr>
            </w:pPr>
            <w:r w:rsidRPr="00C03D34">
              <w:rPr>
                <w:sz w:val="20"/>
                <w:lang w:val="fr-CA"/>
              </w:rPr>
              <w:t xml:space="preserve">Juge Healey </w:t>
            </w:r>
          </w:p>
          <w:p w:rsidR="00A9484F" w:rsidRPr="00C03D34" w:rsidRDefault="00A9484F" w:rsidP="00A809A9">
            <w:pPr>
              <w:jc w:val="both"/>
              <w:rPr>
                <w:sz w:val="20"/>
                <w:lang w:val="fr-CA"/>
              </w:rPr>
            </w:pPr>
          </w:p>
        </w:tc>
        <w:tc>
          <w:tcPr>
            <w:tcW w:w="243" w:type="pct"/>
          </w:tcPr>
          <w:p w:rsidR="00A9484F" w:rsidRPr="00C03D34" w:rsidRDefault="00A9484F" w:rsidP="00A809A9">
            <w:pPr>
              <w:jc w:val="both"/>
              <w:rPr>
                <w:sz w:val="20"/>
                <w:lang w:val="fr-CA"/>
              </w:rPr>
            </w:pPr>
          </w:p>
        </w:tc>
        <w:tc>
          <w:tcPr>
            <w:tcW w:w="2330" w:type="pct"/>
          </w:tcPr>
          <w:p w:rsidR="00A9484F" w:rsidRPr="00C03D34" w:rsidRDefault="00A9484F" w:rsidP="00A809A9">
            <w:pPr>
              <w:jc w:val="both"/>
              <w:rPr>
                <w:sz w:val="20"/>
                <w:lang w:val="fr-CA"/>
              </w:rPr>
            </w:pPr>
            <w:r w:rsidRPr="00C03D34">
              <w:rPr>
                <w:sz w:val="20"/>
                <w:lang w:val="fr-CA"/>
              </w:rPr>
              <w:t>Appel rejeté.</w:t>
            </w:r>
          </w:p>
          <w:p w:rsidR="00A9484F" w:rsidRPr="00C03D34" w:rsidRDefault="00A9484F" w:rsidP="00A809A9">
            <w:pPr>
              <w:jc w:val="both"/>
              <w:rPr>
                <w:sz w:val="20"/>
                <w:lang w:val="fr-CA"/>
              </w:rPr>
            </w:pPr>
          </w:p>
          <w:p w:rsidR="00A9484F" w:rsidRPr="00C03D34" w:rsidRDefault="00A9484F" w:rsidP="00A809A9">
            <w:pPr>
              <w:jc w:val="both"/>
              <w:rPr>
                <w:sz w:val="20"/>
                <w:lang w:val="fr-CA"/>
              </w:rPr>
            </w:pPr>
          </w:p>
        </w:tc>
      </w:tr>
      <w:tr w:rsidR="00A9484F" w:rsidRPr="00C03D34" w:rsidTr="00A809A9">
        <w:tc>
          <w:tcPr>
            <w:tcW w:w="2427" w:type="pct"/>
          </w:tcPr>
          <w:p w:rsidR="00A9484F" w:rsidRPr="00C03D34" w:rsidRDefault="00A9484F" w:rsidP="00A809A9">
            <w:pPr>
              <w:jc w:val="both"/>
              <w:rPr>
                <w:sz w:val="20"/>
                <w:lang w:val="fr-CA"/>
              </w:rPr>
            </w:pPr>
            <w:r w:rsidRPr="00C03D34">
              <w:rPr>
                <w:sz w:val="20"/>
                <w:lang w:val="fr-CA"/>
              </w:rPr>
              <w:t>17 janvier 2012</w:t>
            </w:r>
          </w:p>
          <w:p w:rsidR="00A9484F" w:rsidRPr="00C03D34" w:rsidRDefault="00A9484F" w:rsidP="00A809A9">
            <w:pPr>
              <w:jc w:val="both"/>
              <w:rPr>
                <w:sz w:val="20"/>
                <w:lang w:val="fr-CA"/>
              </w:rPr>
            </w:pPr>
            <w:r w:rsidRPr="00C03D34">
              <w:rPr>
                <w:sz w:val="20"/>
                <w:lang w:val="fr-CA"/>
              </w:rPr>
              <w:t>Cour d’appel de l’Ontario</w:t>
            </w:r>
          </w:p>
          <w:p w:rsidR="00A9484F" w:rsidRPr="00C03D34" w:rsidRDefault="00A9484F" w:rsidP="00A809A9">
            <w:pPr>
              <w:jc w:val="both"/>
              <w:rPr>
                <w:sz w:val="20"/>
                <w:lang w:val="fr-CA"/>
              </w:rPr>
            </w:pPr>
            <w:r w:rsidRPr="00C03D34">
              <w:rPr>
                <w:sz w:val="20"/>
                <w:lang w:val="fr-CA"/>
              </w:rPr>
              <w:t>(Juges Goudge, Epstein et Newbould)</w:t>
            </w:r>
          </w:p>
          <w:p w:rsidR="00A9484F" w:rsidRPr="00C03D34" w:rsidRDefault="00A9484F" w:rsidP="00A809A9">
            <w:pPr>
              <w:jc w:val="both"/>
              <w:rPr>
                <w:sz w:val="20"/>
                <w:lang w:val="fr-CA"/>
              </w:rPr>
            </w:pPr>
          </w:p>
        </w:tc>
        <w:tc>
          <w:tcPr>
            <w:tcW w:w="243" w:type="pct"/>
          </w:tcPr>
          <w:p w:rsidR="00A9484F" w:rsidRPr="00C03D34" w:rsidRDefault="00A9484F" w:rsidP="00A809A9">
            <w:pPr>
              <w:jc w:val="both"/>
              <w:rPr>
                <w:sz w:val="20"/>
                <w:lang w:val="fr-CA"/>
              </w:rPr>
            </w:pPr>
          </w:p>
        </w:tc>
        <w:tc>
          <w:tcPr>
            <w:tcW w:w="2330" w:type="pct"/>
          </w:tcPr>
          <w:p w:rsidR="00A9484F" w:rsidRPr="006A2066" w:rsidRDefault="00A9484F" w:rsidP="00A809A9">
            <w:pPr>
              <w:jc w:val="both"/>
              <w:rPr>
                <w:sz w:val="20"/>
                <w:lang w:val="fr-CA"/>
              </w:rPr>
            </w:pPr>
            <w:r w:rsidRPr="006A2066">
              <w:rPr>
                <w:sz w:val="20"/>
                <w:lang w:val="fr-CA"/>
              </w:rPr>
              <w:t>Demande d’autorisation d’appel refusée.</w:t>
            </w:r>
          </w:p>
          <w:p w:rsidR="00A9484F" w:rsidRPr="00C03D34" w:rsidRDefault="00A9484F" w:rsidP="00A809A9">
            <w:pPr>
              <w:jc w:val="both"/>
              <w:rPr>
                <w:sz w:val="20"/>
              </w:rPr>
            </w:pPr>
          </w:p>
        </w:tc>
      </w:tr>
      <w:tr w:rsidR="00A9484F" w:rsidRPr="00584E5B" w:rsidTr="00A809A9">
        <w:tc>
          <w:tcPr>
            <w:tcW w:w="2427" w:type="pct"/>
          </w:tcPr>
          <w:p w:rsidR="00A9484F" w:rsidRPr="00C03D34" w:rsidRDefault="00A9484F" w:rsidP="00A809A9">
            <w:pPr>
              <w:jc w:val="both"/>
              <w:rPr>
                <w:sz w:val="20"/>
              </w:rPr>
            </w:pPr>
            <w:r w:rsidRPr="00C03D34">
              <w:rPr>
                <w:sz w:val="20"/>
              </w:rPr>
              <w:t>3 mars 2014</w:t>
            </w:r>
          </w:p>
          <w:p w:rsidR="00A9484F" w:rsidRPr="00C03D34" w:rsidRDefault="00A9484F" w:rsidP="00A809A9">
            <w:pPr>
              <w:jc w:val="both"/>
              <w:rPr>
                <w:sz w:val="20"/>
              </w:rPr>
            </w:pPr>
            <w:r w:rsidRPr="00C03D34">
              <w:rPr>
                <w:sz w:val="20"/>
              </w:rPr>
              <w:t>Cour suprême du Canada</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lang w:val="fr-CA"/>
              </w:rPr>
            </w:pPr>
            <w:r w:rsidRPr="00C03D34">
              <w:rPr>
                <w:sz w:val="20"/>
                <w:lang w:val="fr-CA"/>
              </w:rPr>
              <w:t>Requête en prorogation du délai pour déposer et signifier la demande d’autorisation d’appel et demande d’autorisation d’appel déposées.</w:t>
            </w:r>
          </w:p>
          <w:p w:rsidR="00A9484F" w:rsidRPr="00C03D34" w:rsidRDefault="00A9484F" w:rsidP="00A809A9">
            <w:pPr>
              <w:jc w:val="both"/>
              <w:rPr>
                <w:sz w:val="20"/>
                <w:lang w:val="fr-CA"/>
              </w:rPr>
            </w:pPr>
          </w:p>
        </w:tc>
      </w:tr>
      <w:tr w:rsidR="00A9484F" w:rsidRPr="00584E5B" w:rsidTr="00A809A9">
        <w:tc>
          <w:tcPr>
            <w:tcW w:w="2427" w:type="pct"/>
          </w:tcPr>
          <w:p w:rsidR="00A9484F" w:rsidRPr="00C03D34" w:rsidRDefault="00A9484F" w:rsidP="00A809A9">
            <w:pPr>
              <w:jc w:val="both"/>
              <w:rPr>
                <w:sz w:val="20"/>
                <w:lang w:val="fr-CA"/>
              </w:rPr>
            </w:pPr>
            <w:r w:rsidRPr="00C03D34">
              <w:rPr>
                <w:sz w:val="20"/>
                <w:lang w:val="fr-CA"/>
              </w:rPr>
              <w:t>6 mai 2014</w:t>
            </w:r>
          </w:p>
          <w:p w:rsidR="00A9484F" w:rsidRPr="00C03D34" w:rsidRDefault="00A9484F" w:rsidP="00A809A9">
            <w:pPr>
              <w:jc w:val="both"/>
              <w:rPr>
                <w:sz w:val="20"/>
                <w:lang w:val="fr-CA"/>
              </w:rPr>
            </w:pPr>
            <w:r w:rsidRPr="00C03D34">
              <w:rPr>
                <w:sz w:val="20"/>
                <w:lang w:val="fr-CA"/>
              </w:rPr>
              <w:t>Cour suprême du Canada</w:t>
            </w:r>
          </w:p>
        </w:tc>
        <w:tc>
          <w:tcPr>
            <w:tcW w:w="243" w:type="pct"/>
          </w:tcPr>
          <w:p w:rsidR="00A9484F" w:rsidRPr="00C03D34" w:rsidRDefault="00A9484F" w:rsidP="00A809A9">
            <w:pPr>
              <w:jc w:val="both"/>
              <w:rPr>
                <w:sz w:val="20"/>
                <w:lang w:val="fr-CA"/>
              </w:rPr>
            </w:pPr>
          </w:p>
        </w:tc>
        <w:tc>
          <w:tcPr>
            <w:tcW w:w="2330" w:type="pct"/>
          </w:tcPr>
          <w:p w:rsidR="00A9484F" w:rsidRPr="00C03D34" w:rsidRDefault="00A9484F" w:rsidP="00A809A9">
            <w:pPr>
              <w:jc w:val="both"/>
              <w:rPr>
                <w:sz w:val="20"/>
                <w:lang w:val="fr-CA"/>
              </w:rPr>
            </w:pPr>
            <w:r w:rsidRPr="00C03D34">
              <w:rPr>
                <w:sz w:val="20"/>
                <w:lang w:val="fr-CA"/>
              </w:rPr>
              <w:t>Demande d’autorisation d’appel modifiée déposée.</w:t>
            </w:r>
          </w:p>
        </w:tc>
      </w:tr>
    </w:tbl>
    <w:p w:rsidR="008F72E8" w:rsidRPr="00A9484F" w:rsidRDefault="008F72E8" w:rsidP="000E2959">
      <w:pPr>
        <w:rPr>
          <w:sz w:val="20"/>
          <w:szCs w:val="20"/>
          <w:lang w:val="fr-CA"/>
        </w:rPr>
      </w:pPr>
    </w:p>
    <w:p w:rsidR="008F72E8" w:rsidRDefault="00584E5B" w:rsidP="000E2959">
      <w:pPr>
        <w:rPr>
          <w:sz w:val="20"/>
          <w:szCs w:val="20"/>
          <w:lang w:val="fr-CA"/>
        </w:rPr>
      </w:pPr>
      <w:r>
        <w:rPr>
          <w:sz w:val="20"/>
          <w:szCs w:val="20"/>
          <w:lang w:val="fr-CA"/>
        </w:rPr>
        <w:pict>
          <v:rect id="_x0000_i1043" style="width:2in;height:1pt" o:hrpct="0" o:hralign="center" o:hrstd="t" o:hrnoshade="t" o:hr="t" fillcolor="black [3213]" stroked="f"/>
        </w:pict>
      </w:r>
    </w:p>
    <w:p w:rsidR="008F72E8" w:rsidRDefault="008F72E8"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35817</w:t>
            </w:r>
          </w:p>
          <w:p w:rsidR="00E77667" w:rsidRPr="007D142E" w:rsidRDefault="00E77667" w:rsidP="002A3A49">
            <w:pPr>
              <w:rPr>
                <w:b/>
                <w:sz w:val="20"/>
                <w:szCs w:val="20"/>
                <w:lang w:val="fr-CA"/>
              </w:rPr>
            </w:pPr>
          </w:p>
        </w:tc>
        <w:tc>
          <w:tcPr>
            <w:tcW w:w="8118" w:type="dxa"/>
          </w:tcPr>
          <w:p w:rsidR="00E77667" w:rsidRPr="007D142E" w:rsidRDefault="00E77667" w:rsidP="002A3A49">
            <w:pPr>
              <w:rPr>
                <w:sz w:val="20"/>
                <w:szCs w:val="20"/>
              </w:rPr>
            </w:pPr>
            <w:r w:rsidRPr="007D142E">
              <w:rPr>
                <w:rStyle w:val="SCCLsocChar"/>
                <w:sz w:val="20"/>
                <w:szCs w:val="20"/>
                <w:lang w:val="en-CA"/>
              </w:rPr>
              <w:t>Jeannine M. Kapelus v. University of British Columbia</w:t>
            </w:r>
            <w:r w:rsidRPr="007D142E">
              <w:rPr>
                <w:sz w:val="20"/>
                <w:szCs w:val="20"/>
              </w:rPr>
              <w:t xml:space="preserve"> (B.C.) (Civil) (By Leave)</w:t>
            </w:r>
          </w:p>
          <w:p w:rsidR="00E77667" w:rsidRPr="007D142E" w:rsidRDefault="00E77667" w:rsidP="002A3A49">
            <w:pPr>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t>The application for leave to appeal from the judgment of the Court of Appeal for British Columbia (Vancouver), Number CA039900, 2014 BCCA 42, dated February 3, 2014, is dismissed with costs.</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demande d’autorisation d’appel de l’arrêt de la Cour d’appel de la Colombie-Britannique (Vancouver), numéro CA039900, 2014 BCCA 42, daté du 3 février 2014, est rejetée avec dépens.</w:t>
            </w:r>
          </w:p>
        </w:tc>
      </w:tr>
    </w:tbl>
    <w:p w:rsidR="008F72E8" w:rsidRPr="00E77667" w:rsidRDefault="008F72E8" w:rsidP="000E2959">
      <w:pPr>
        <w:rPr>
          <w:sz w:val="20"/>
          <w:szCs w:val="20"/>
          <w:lang w:val="fr-CA"/>
        </w:rPr>
      </w:pPr>
    </w:p>
    <w:p w:rsidR="00E77667" w:rsidRPr="00C5198D" w:rsidRDefault="00E77667">
      <w:pPr>
        <w:rPr>
          <w:sz w:val="20"/>
          <w:szCs w:val="20"/>
          <w:u w:val="single"/>
          <w:lang w:val="fr-CA"/>
        </w:rPr>
      </w:pPr>
      <w:r w:rsidRPr="00C5198D">
        <w:rPr>
          <w:sz w:val="20"/>
          <w:szCs w:val="20"/>
          <w:u w:val="single"/>
          <w:lang w:val="fr-CA"/>
        </w:rPr>
        <w:br w:type="page"/>
      </w:r>
    </w:p>
    <w:p w:rsidR="008F72E8" w:rsidRPr="001B157C" w:rsidRDefault="008F72E8" w:rsidP="008F72E8">
      <w:pPr>
        <w:rPr>
          <w:sz w:val="20"/>
          <w:szCs w:val="20"/>
          <w:u w:val="single"/>
        </w:rPr>
      </w:pPr>
      <w:r w:rsidRPr="001B157C">
        <w:rPr>
          <w:sz w:val="20"/>
          <w:szCs w:val="20"/>
          <w:u w:val="single"/>
        </w:rPr>
        <w:lastRenderedPageBreak/>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C03D34" w:rsidTr="00A809A9">
        <w:tc>
          <w:tcPr>
            <w:tcW w:w="5000" w:type="pct"/>
            <w:gridSpan w:val="3"/>
          </w:tcPr>
          <w:p w:rsidR="00A9484F" w:rsidRPr="00C03D34" w:rsidRDefault="00A9484F" w:rsidP="00A809A9">
            <w:pPr>
              <w:ind w:right="300"/>
              <w:jc w:val="both"/>
              <w:rPr>
                <w:color w:val="000000"/>
                <w:sz w:val="20"/>
              </w:rPr>
            </w:pPr>
            <w:r w:rsidRPr="00C03D34">
              <w:rPr>
                <w:iCs/>
                <w:color w:val="000000"/>
                <w:sz w:val="20"/>
              </w:rPr>
              <w:t xml:space="preserve">Civil procedure — Costs — Enforcement — </w:t>
            </w:r>
            <w:r w:rsidRPr="00C03D34">
              <w:rPr>
                <w:sz w:val="20"/>
              </w:rPr>
              <w:t>Application to renew and enforce seven certificates of judgment for costs granted in part</w:t>
            </w:r>
            <w:r w:rsidRPr="00C03D34">
              <w:rPr>
                <w:iCs/>
                <w:color w:val="000000"/>
                <w:sz w:val="20"/>
              </w:rPr>
              <w:t xml:space="preserve"> — Whether lower courts erred.</w:t>
            </w:r>
          </w:p>
        </w:tc>
      </w:tr>
      <w:tr w:rsidR="00A9484F" w:rsidRPr="00C03D34" w:rsidTr="00A809A9">
        <w:tc>
          <w:tcPr>
            <w:tcW w:w="5000" w:type="pct"/>
            <w:gridSpan w:val="3"/>
          </w:tcPr>
          <w:p w:rsidR="00A9484F" w:rsidRPr="00C03D34" w:rsidRDefault="00A9484F" w:rsidP="00A809A9">
            <w:pPr>
              <w:jc w:val="both"/>
              <w:rPr>
                <w:sz w:val="20"/>
              </w:rPr>
            </w:pPr>
          </w:p>
        </w:tc>
      </w:tr>
      <w:tr w:rsidR="00A9484F" w:rsidRPr="00C03D34" w:rsidTr="00A809A9">
        <w:tc>
          <w:tcPr>
            <w:tcW w:w="5000" w:type="pct"/>
            <w:gridSpan w:val="3"/>
          </w:tcPr>
          <w:p w:rsidR="00A9484F" w:rsidRPr="00C03D34" w:rsidRDefault="00A9484F" w:rsidP="00A809A9">
            <w:pPr>
              <w:jc w:val="both"/>
              <w:rPr>
                <w:sz w:val="20"/>
              </w:rPr>
            </w:pPr>
            <w:r w:rsidRPr="00C03D34">
              <w:rPr>
                <w:sz w:val="20"/>
              </w:rPr>
              <w:t>The respondent, together with Dr. J.T. Brimacombe and Technexus, applied to the Supreme Court of British Columbia to renew and enforce seven certificates of judgment for costs against the applicant, Ms. Kapelus, issued by the Court of Appeal and the Supreme Court of British Columbia between July 25, 2000 and December 14, 2004.  Ms. Kapelus opposed the application.  She argued that one of the claims was statute barred, that she was improperly served, that the claims constituted an abuse of process and that there was no valid assignment by either Dr. Brimacombe or Technexus of their cause of action for costs to the respondent, University of British Columbia (“UBC”).</w:t>
            </w:r>
          </w:p>
          <w:p w:rsidR="00A9484F" w:rsidRPr="00C03D34" w:rsidRDefault="00A9484F" w:rsidP="00A809A9">
            <w:pPr>
              <w:jc w:val="both"/>
              <w:rPr>
                <w:sz w:val="20"/>
              </w:rPr>
            </w:pPr>
          </w:p>
          <w:p w:rsidR="00A9484F" w:rsidRPr="00C03D34" w:rsidRDefault="00A9484F" w:rsidP="00A809A9">
            <w:pPr>
              <w:jc w:val="both"/>
              <w:rPr>
                <w:sz w:val="20"/>
              </w:rPr>
            </w:pPr>
            <w:r w:rsidRPr="00C03D34">
              <w:rPr>
                <w:sz w:val="20"/>
              </w:rPr>
              <w:t xml:space="preserve">Pearlman J. granted the application in favour of UBC, in part. He found that as a recipient of a joint award of costs under each of six of the certificates, UBC was entitled to recover those costs in its own right, which amount to $149,531.59 including interest.  However, with respect to the seventh certificate, Pearlman J. noted that the award had been made to Dr. Brimacombe, now deceased. In his view, UBC had not met its onus of establishing a clear intention on the part of Dr. Brimacombe to assign the award to UBC ($57,937.46, plus interest). </w:t>
            </w:r>
          </w:p>
          <w:p w:rsidR="00A9484F" w:rsidRPr="00C03D34" w:rsidRDefault="00A9484F" w:rsidP="00A809A9">
            <w:pPr>
              <w:jc w:val="both"/>
              <w:rPr>
                <w:sz w:val="20"/>
              </w:rPr>
            </w:pPr>
          </w:p>
          <w:p w:rsidR="00A9484F" w:rsidRPr="00C03D34" w:rsidRDefault="00A9484F" w:rsidP="00A809A9">
            <w:pPr>
              <w:jc w:val="both"/>
              <w:rPr>
                <w:sz w:val="20"/>
              </w:rPr>
            </w:pPr>
            <w:r w:rsidRPr="00C03D34">
              <w:rPr>
                <w:sz w:val="20"/>
              </w:rPr>
              <w:t xml:space="preserve">Only Ms. Kapelus appealed, and she sought to adduce fresh evidence.  The Court of Appeal dismissed both the application to adduce fresh evidence and the appeal. </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April 2, 2012</w:t>
            </w:r>
          </w:p>
          <w:p w:rsidR="00A9484F" w:rsidRPr="00C03D34" w:rsidRDefault="00A9484F" w:rsidP="00A809A9">
            <w:pPr>
              <w:jc w:val="both"/>
              <w:rPr>
                <w:sz w:val="20"/>
              </w:rPr>
            </w:pPr>
            <w:r w:rsidRPr="00C03D34">
              <w:rPr>
                <w:sz w:val="20"/>
              </w:rPr>
              <w:t>Supreme Court of British Columbia</w:t>
            </w:r>
          </w:p>
          <w:p w:rsidR="00A9484F" w:rsidRPr="00C03D34" w:rsidRDefault="00A9484F" w:rsidP="00A809A9">
            <w:pPr>
              <w:jc w:val="both"/>
              <w:rPr>
                <w:sz w:val="20"/>
              </w:rPr>
            </w:pPr>
            <w:r w:rsidRPr="00C03D34">
              <w:rPr>
                <w:sz w:val="20"/>
              </w:rPr>
              <w:t>(Pearlman J.)</w:t>
            </w:r>
          </w:p>
          <w:p w:rsidR="00A9484F" w:rsidRPr="00C03D34" w:rsidRDefault="00A9484F" w:rsidP="00A809A9">
            <w:pPr>
              <w:jc w:val="both"/>
              <w:rPr>
                <w:sz w:val="20"/>
              </w:rPr>
            </w:pPr>
            <w:r w:rsidRPr="00C03D34">
              <w:rPr>
                <w:sz w:val="20"/>
              </w:rPr>
              <w:t xml:space="preserve">S105288; </w:t>
            </w:r>
            <w:hyperlink r:id="rId24" w:history="1">
              <w:r w:rsidRPr="00C03D34">
                <w:rPr>
                  <w:rStyle w:val="Hyperlink"/>
                  <w:sz w:val="20"/>
                </w:rPr>
                <w:t>2012 BCSC 486</w:t>
              </w:r>
            </w:hyperlink>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Application to renew and enforce seven certificates of judgment for costs against Ms. Kapelus granted in part</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February 3, 2014</w:t>
            </w:r>
          </w:p>
          <w:p w:rsidR="00A9484F" w:rsidRPr="00C03D34" w:rsidRDefault="00A9484F" w:rsidP="00A809A9">
            <w:pPr>
              <w:jc w:val="both"/>
              <w:rPr>
                <w:sz w:val="20"/>
              </w:rPr>
            </w:pPr>
            <w:r w:rsidRPr="00C03D34">
              <w:rPr>
                <w:sz w:val="20"/>
              </w:rPr>
              <w:t xml:space="preserve">Court of Appeal for British Columbia </w:t>
            </w:r>
          </w:p>
          <w:p w:rsidR="00A9484F" w:rsidRPr="00C03D34" w:rsidRDefault="00A9484F" w:rsidP="00A809A9">
            <w:pPr>
              <w:jc w:val="both"/>
              <w:rPr>
                <w:sz w:val="20"/>
              </w:rPr>
            </w:pPr>
            <w:r w:rsidRPr="00C03D34">
              <w:rPr>
                <w:sz w:val="20"/>
              </w:rPr>
              <w:t>(Lowry, Smith, and Bennett JJ.A.)</w:t>
            </w:r>
          </w:p>
          <w:p w:rsidR="00A9484F" w:rsidRPr="00C03D34" w:rsidRDefault="00A9484F" w:rsidP="00A809A9">
            <w:pPr>
              <w:jc w:val="both"/>
              <w:rPr>
                <w:sz w:val="20"/>
              </w:rPr>
            </w:pPr>
            <w:r w:rsidRPr="00C03D34">
              <w:rPr>
                <w:sz w:val="20"/>
              </w:rPr>
              <w:t xml:space="preserve">CA039900; </w:t>
            </w:r>
            <w:hyperlink r:id="rId25" w:history="1">
              <w:r w:rsidRPr="00C03D34">
                <w:rPr>
                  <w:rStyle w:val="Hyperlink"/>
                  <w:sz w:val="20"/>
                </w:rPr>
                <w:t>2014 BCCA 42</w:t>
              </w:r>
            </w:hyperlink>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Appeal dismissed</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April 4, 2014</w:t>
            </w:r>
          </w:p>
          <w:p w:rsidR="00A9484F" w:rsidRPr="00C03D34" w:rsidRDefault="00A9484F" w:rsidP="00A809A9">
            <w:pPr>
              <w:jc w:val="both"/>
              <w:rPr>
                <w:sz w:val="20"/>
              </w:rPr>
            </w:pPr>
            <w:r w:rsidRPr="00C03D34">
              <w:rPr>
                <w:sz w:val="20"/>
              </w:rPr>
              <w:t>Supreme Court of Canada</w:t>
            </w: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Application for leave to appeal filed</w:t>
            </w:r>
          </w:p>
          <w:p w:rsidR="00A9484F" w:rsidRPr="00C03D34" w:rsidRDefault="00A9484F" w:rsidP="00A809A9">
            <w:pPr>
              <w:jc w:val="both"/>
              <w:rPr>
                <w:sz w:val="20"/>
              </w:rPr>
            </w:pP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44"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584E5B" w:rsidTr="00A809A9">
        <w:tc>
          <w:tcPr>
            <w:tcW w:w="5000" w:type="pct"/>
            <w:gridSpan w:val="3"/>
          </w:tcPr>
          <w:p w:rsidR="00A9484F" w:rsidRPr="00C03D34" w:rsidRDefault="00A9484F" w:rsidP="00A809A9">
            <w:pPr>
              <w:jc w:val="both"/>
              <w:rPr>
                <w:color w:val="000000"/>
                <w:sz w:val="20"/>
                <w:lang w:val="fr-CA"/>
              </w:rPr>
            </w:pPr>
            <w:r w:rsidRPr="00C03D34">
              <w:rPr>
                <w:iCs/>
                <w:color w:val="000000"/>
                <w:sz w:val="20"/>
                <w:lang w:val="fr-CA"/>
              </w:rPr>
              <w:t xml:space="preserve">Procédure civile — Dépens — Exécution — Demande de renouvellement et d’exécution de sept certificats de jugement concernant les dépens accueillie en </w:t>
            </w:r>
            <w:r w:rsidRPr="00C03D34">
              <w:rPr>
                <w:sz w:val="20"/>
                <w:lang w:val="fr-CA"/>
              </w:rPr>
              <w:t>partie</w:t>
            </w:r>
            <w:r w:rsidRPr="00C03D34">
              <w:rPr>
                <w:iCs/>
                <w:color w:val="000000"/>
                <w:sz w:val="20"/>
                <w:lang w:val="fr-CA"/>
              </w:rPr>
              <w:t xml:space="preserve"> — Les juridictions inférieures ont-elles fait erreur?</w:t>
            </w:r>
          </w:p>
        </w:tc>
      </w:tr>
      <w:tr w:rsidR="00A9484F" w:rsidRPr="00584E5B" w:rsidTr="00A809A9">
        <w:tc>
          <w:tcPr>
            <w:tcW w:w="5000" w:type="pct"/>
            <w:gridSpan w:val="3"/>
          </w:tcPr>
          <w:p w:rsidR="00A9484F" w:rsidRPr="00C03D34" w:rsidRDefault="00A9484F" w:rsidP="00A809A9">
            <w:pPr>
              <w:jc w:val="both"/>
              <w:rPr>
                <w:sz w:val="20"/>
                <w:lang w:val="fr-CA"/>
              </w:rPr>
            </w:pPr>
          </w:p>
        </w:tc>
      </w:tr>
      <w:tr w:rsidR="00A9484F" w:rsidRPr="00584E5B" w:rsidTr="00A809A9">
        <w:tc>
          <w:tcPr>
            <w:tcW w:w="5000" w:type="pct"/>
            <w:gridSpan w:val="3"/>
          </w:tcPr>
          <w:p w:rsidR="00A9484F" w:rsidRPr="00C03D34" w:rsidRDefault="00A9484F" w:rsidP="00A809A9">
            <w:pPr>
              <w:jc w:val="both"/>
              <w:rPr>
                <w:sz w:val="20"/>
                <w:lang w:val="fr-CA"/>
              </w:rPr>
            </w:pPr>
            <w:r w:rsidRPr="00C03D34">
              <w:rPr>
                <w:sz w:val="20"/>
                <w:lang w:val="fr-CA"/>
              </w:rPr>
              <w:t>L’intimée, ainsi que M. J.T. Brimacombe et Technexus, ont demandé à la Cour suprême de la Colombie-Britannique de renouveler et d’exécuter sept certificats de jugement concernant les dépens délivrés contre la demanderesse, M</w:t>
            </w:r>
            <w:r w:rsidRPr="00C03D34">
              <w:rPr>
                <w:sz w:val="20"/>
                <w:vertAlign w:val="superscript"/>
                <w:lang w:val="fr-CA"/>
              </w:rPr>
              <w:t>me</w:t>
            </w:r>
            <w:r w:rsidRPr="00C03D34">
              <w:rPr>
                <w:sz w:val="20"/>
                <w:lang w:val="fr-CA"/>
              </w:rPr>
              <w:t> Kapelus, par la Cour d’appel et la Cour suprême de la Colombie-Britannique entre le 25 juillet 2000 et le 14 décembre 2004.  M</w:t>
            </w:r>
            <w:r w:rsidRPr="00C03D34">
              <w:rPr>
                <w:sz w:val="20"/>
                <w:vertAlign w:val="superscript"/>
                <w:lang w:val="fr-CA"/>
              </w:rPr>
              <w:t>me</w:t>
            </w:r>
            <w:r w:rsidRPr="00C03D34">
              <w:rPr>
                <w:sz w:val="20"/>
                <w:lang w:val="fr-CA"/>
              </w:rPr>
              <w:t> Kapelus s’est opposée à la demande.  Elle a soutenu qu’une des demandes était prescrite, qu’on lui avait signifié irrégulièrement les demandes, que celles-ci constituaient un abus de procédure et que ni M. Brimacombe ni Technexus n’avaient cédé validement leur cause d’action en dépens à l’intimée, l’Université de la Colombie-Britannique (« UBC »).</w:t>
            </w:r>
          </w:p>
          <w:p w:rsidR="00A9484F" w:rsidRPr="00C03D34" w:rsidRDefault="00A9484F" w:rsidP="00A809A9">
            <w:pPr>
              <w:jc w:val="both"/>
              <w:rPr>
                <w:sz w:val="20"/>
                <w:lang w:val="fr-CA"/>
              </w:rPr>
            </w:pPr>
          </w:p>
          <w:p w:rsidR="00A9484F" w:rsidRPr="00C03D34" w:rsidRDefault="00A9484F" w:rsidP="00A809A9">
            <w:pPr>
              <w:jc w:val="both"/>
              <w:rPr>
                <w:sz w:val="20"/>
                <w:lang w:val="fr-CA"/>
              </w:rPr>
            </w:pPr>
            <w:r w:rsidRPr="00C03D34">
              <w:rPr>
                <w:sz w:val="20"/>
                <w:lang w:val="fr-CA"/>
              </w:rPr>
              <w:t xml:space="preserve">Le juge Pearlman a accueilli en partie la demande en faveur de l’UBC, concluant qu’à titre de partie ayant droit aux </w:t>
            </w:r>
            <w:r w:rsidRPr="00C03D34">
              <w:rPr>
                <w:sz w:val="20"/>
                <w:lang w:val="fr-CA"/>
              </w:rPr>
              <w:lastRenderedPageBreak/>
              <w:t xml:space="preserve">dépens conjoints prévus par chacun des six certificats, elle pouvait recouvrer elle-même ces dépens, qui s’élèvent à 149 531,59 $, y compris les intérêts. Cependant, le juge Pearlman a fait remarquer, à propos du septième certificat, que les dépens avaient été accordés à M. Brimacombe, maintenant décédé.  Selon le juge Pearlman, l’UBC ne s’est pas acquittée de son fardeau d’établir l’intention claire de M. Brimacombe de lui céder les dépens auxquels il avait droit ($57,937.46, plus les intérêts). </w:t>
            </w:r>
          </w:p>
          <w:p w:rsidR="00A9484F" w:rsidRPr="00C03D34" w:rsidRDefault="00A9484F" w:rsidP="00A809A9">
            <w:pPr>
              <w:jc w:val="both"/>
              <w:rPr>
                <w:sz w:val="20"/>
                <w:lang w:val="fr-CA"/>
              </w:rPr>
            </w:pPr>
          </w:p>
          <w:p w:rsidR="00A9484F" w:rsidRPr="00C03D34" w:rsidRDefault="00A9484F" w:rsidP="00A809A9">
            <w:pPr>
              <w:jc w:val="both"/>
              <w:rPr>
                <w:sz w:val="20"/>
                <w:lang w:val="fr-CA"/>
              </w:rPr>
            </w:pPr>
            <w:r w:rsidRPr="00C03D34">
              <w:rPr>
                <w:sz w:val="20"/>
                <w:lang w:val="fr-CA"/>
              </w:rPr>
              <w:t>Seule M</w:t>
            </w:r>
            <w:r w:rsidRPr="00C03D34">
              <w:rPr>
                <w:sz w:val="20"/>
                <w:vertAlign w:val="superscript"/>
                <w:lang w:val="fr-CA"/>
              </w:rPr>
              <w:t>me</w:t>
            </w:r>
            <w:r w:rsidRPr="00C03D34">
              <w:rPr>
                <w:sz w:val="20"/>
                <w:lang w:val="fr-CA"/>
              </w:rPr>
              <w:t xml:space="preserve"> Kapelus a interjeté appel, et elle a demandé à présenter de nouveaux éléments de preuve.  La Cour d’appel a rejeté à la fois l’appel et la demande. </w:t>
            </w:r>
          </w:p>
          <w:p w:rsidR="00A9484F" w:rsidRPr="00C03D34" w:rsidRDefault="00A9484F" w:rsidP="00A809A9">
            <w:pPr>
              <w:jc w:val="both"/>
              <w:rPr>
                <w:sz w:val="20"/>
                <w:lang w:val="fr-CA"/>
              </w:rPr>
            </w:pPr>
          </w:p>
        </w:tc>
      </w:tr>
      <w:tr w:rsidR="00A9484F" w:rsidRPr="00584E5B" w:rsidTr="00A809A9">
        <w:tc>
          <w:tcPr>
            <w:tcW w:w="2427" w:type="pct"/>
          </w:tcPr>
          <w:p w:rsidR="00A9484F" w:rsidRPr="00C03D34" w:rsidRDefault="00A9484F" w:rsidP="00A809A9">
            <w:pPr>
              <w:jc w:val="both"/>
              <w:rPr>
                <w:sz w:val="20"/>
                <w:lang w:val="fr-CA"/>
              </w:rPr>
            </w:pPr>
            <w:r w:rsidRPr="00C03D34">
              <w:rPr>
                <w:sz w:val="20"/>
                <w:lang w:val="fr-CA"/>
              </w:rPr>
              <w:lastRenderedPageBreak/>
              <w:t>2 avril 2012</w:t>
            </w:r>
          </w:p>
          <w:p w:rsidR="00A9484F" w:rsidRPr="00C03D34" w:rsidRDefault="00A9484F" w:rsidP="00A809A9">
            <w:pPr>
              <w:jc w:val="both"/>
              <w:rPr>
                <w:sz w:val="20"/>
                <w:lang w:val="fr-CA"/>
              </w:rPr>
            </w:pPr>
            <w:r w:rsidRPr="00C03D34">
              <w:rPr>
                <w:sz w:val="20"/>
                <w:lang w:val="fr-CA"/>
              </w:rPr>
              <w:t>Cour suprême de la Colombie-Britannique</w:t>
            </w:r>
          </w:p>
          <w:p w:rsidR="00A9484F" w:rsidRPr="00C03D34" w:rsidRDefault="00A9484F" w:rsidP="00A809A9">
            <w:pPr>
              <w:jc w:val="both"/>
              <w:rPr>
                <w:sz w:val="20"/>
              </w:rPr>
            </w:pPr>
            <w:r w:rsidRPr="00C03D34">
              <w:rPr>
                <w:sz w:val="20"/>
              </w:rPr>
              <w:t>(Juge Pearlman)</w:t>
            </w:r>
          </w:p>
          <w:p w:rsidR="00A9484F" w:rsidRPr="00C03D34" w:rsidRDefault="00A9484F" w:rsidP="00A809A9">
            <w:pPr>
              <w:jc w:val="both"/>
              <w:rPr>
                <w:sz w:val="20"/>
              </w:rPr>
            </w:pPr>
            <w:r w:rsidRPr="00C03D34">
              <w:rPr>
                <w:sz w:val="20"/>
              </w:rPr>
              <w:t xml:space="preserve">S105288; </w:t>
            </w:r>
            <w:hyperlink r:id="rId26" w:history="1">
              <w:r w:rsidRPr="00C03D34">
                <w:rPr>
                  <w:rStyle w:val="Hyperlink"/>
                  <w:sz w:val="20"/>
                </w:rPr>
                <w:t>2012 BCSC 486</w:t>
              </w:r>
            </w:hyperlink>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lang w:val="fr-CA"/>
              </w:rPr>
            </w:pPr>
            <w:r w:rsidRPr="00C03D34">
              <w:rPr>
                <w:sz w:val="20"/>
                <w:lang w:val="fr-CA"/>
              </w:rPr>
              <w:t>Demande de renouvellement et d’exécution de sept certificats de jugement concernant les dépens délivrés contre M</w:t>
            </w:r>
            <w:r w:rsidRPr="00C03D34">
              <w:rPr>
                <w:sz w:val="20"/>
                <w:vertAlign w:val="superscript"/>
                <w:lang w:val="fr-CA"/>
              </w:rPr>
              <w:t>me</w:t>
            </w:r>
            <w:r w:rsidRPr="00C03D34">
              <w:rPr>
                <w:sz w:val="20"/>
                <w:lang w:val="fr-CA"/>
              </w:rPr>
              <w:t> Kapelus, accueillie en partie</w:t>
            </w:r>
          </w:p>
          <w:p w:rsidR="00A9484F" w:rsidRPr="00C03D34" w:rsidRDefault="00A9484F" w:rsidP="00A809A9">
            <w:pPr>
              <w:jc w:val="both"/>
              <w:rPr>
                <w:sz w:val="20"/>
                <w:lang w:val="fr-CA"/>
              </w:rPr>
            </w:pPr>
          </w:p>
        </w:tc>
      </w:tr>
      <w:tr w:rsidR="00A9484F" w:rsidRPr="00C03D34" w:rsidTr="00A809A9">
        <w:tc>
          <w:tcPr>
            <w:tcW w:w="2427" w:type="pct"/>
          </w:tcPr>
          <w:p w:rsidR="00A9484F" w:rsidRPr="00C03D34" w:rsidRDefault="00A9484F" w:rsidP="00A809A9">
            <w:pPr>
              <w:jc w:val="both"/>
              <w:rPr>
                <w:sz w:val="20"/>
                <w:lang w:val="fr-CA"/>
              </w:rPr>
            </w:pPr>
            <w:r w:rsidRPr="00C03D34">
              <w:rPr>
                <w:sz w:val="20"/>
                <w:lang w:val="fr-CA"/>
              </w:rPr>
              <w:t>3 février 2014</w:t>
            </w:r>
          </w:p>
          <w:p w:rsidR="00A9484F" w:rsidRPr="00C03D34" w:rsidRDefault="00A9484F" w:rsidP="00A809A9">
            <w:pPr>
              <w:jc w:val="both"/>
              <w:rPr>
                <w:sz w:val="20"/>
                <w:lang w:val="fr-CA"/>
              </w:rPr>
            </w:pPr>
            <w:r w:rsidRPr="00C03D34">
              <w:rPr>
                <w:sz w:val="20"/>
                <w:lang w:val="fr-CA"/>
              </w:rPr>
              <w:t xml:space="preserve">Cour d’appel de la Colombie-Britannique </w:t>
            </w:r>
          </w:p>
          <w:p w:rsidR="00A9484F" w:rsidRPr="00C03D34" w:rsidRDefault="00A9484F" w:rsidP="00A809A9">
            <w:pPr>
              <w:jc w:val="both"/>
              <w:rPr>
                <w:sz w:val="20"/>
              </w:rPr>
            </w:pPr>
            <w:r w:rsidRPr="00C03D34">
              <w:rPr>
                <w:sz w:val="20"/>
              </w:rPr>
              <w:t>(Juges Lowry, Smith et Bennett)</w:t>
            </w:r>
          </w:p>
          <w:p w:rsidR="00A9484F" w:rsidRPr="00C03D34" w:rsidRDefault="00A9484F" w:rsidP="00A809A9">
            <w:pPr>
              <w:jc w:val="both"/>
              <w:rPr>
                <w:sz w:val="20"/>
              </w:rPr>
            </w:pPr>
            <w:r w:rsidRPr="00C03D34">
              <w:rPr>
                <w:sz w:val="20"/>
              </w:rPr>
              <w:t xml:space="preserve">CA039900; </w:t>
            </w:r>
            <w:hyperlink r:id="rId27" w:history="1">
              <w:r w:rsidRPr="00C03D34">
                <w:rPr>
                  <w:rStyle w:val="Hyperlink"/>
                  <w:sz w:val="20"/>
                </w:rPr>
                <w:t>2014 BCCA 42</w:t>
              </w:r>
            </w:hyperlink>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6A2066" w:rsidRDefault="00A9484F" w:rsidP="00A809A9">
            <w:pPr>
              <w:jc w:val="both"/>
              <w:rPr>
                <w:sz w:val="20"/>
                <w:lang w:val="fr-CA"/>
              </w:rPr>
            </w:pPr>
            <w:r w:rsidRPr="006A2066">
              <w:rPr>
                <w:sz w:val="20"/>
                <w:lang w:val="fr-CA"/>
              </w:rPr>
              <w:t>Appel rejeté</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lang w:val="fr-CA"/>
              </w:rPr>
            </w:pPr>
            <w:r w:rsidRPr="00C03D34">
              <w:rPr>
                <w:sz w:val="20"/>
                <w:lang w:val="fr-CA"/>
              </w:rPr>
              <w:t>4 avril 2014</w:t>
            </w:r>
          </w:p>
          <w:p w:rsidR="00A9484F" w:rsidRPr="00C03D34" w:rsidRDefault="00A9484F" w:rsidP="00A809A9">
            <w:pPr>
              <w:jc w:val="both"/>
              <w:rPr>
                <w:sz w:val="20"/>
                <w:lang w:val="fr-CA"/>
              </w:rPr>
            </w:pPr>
            <w:r w:rsidRPr="00C03D34">
              <w:rPr>
                <w:sz w:val="20"/>
                <w:lang w:val="fr-CA"/>
              </w:rPr>
              <w:t>Cour suprême du Canada</w:t>
            </w:r>
          </w:p>
        </w:tc>
        <w:tc>
          <w:tcPr>
            <w:tcW w:w="243" w:type="pct"/>
          </w:tcPr>
          <w:p w:rsidR="00A9484F" w:rsidRPr="00C03D34" w:rsidRDefault="00A9484F" w:rsidP="00A809A9">
            <w:pPr>
              <w:jc w:val="both"/>
              <w:rPr>
                <w:sz w:val="20"/>
                <w:lang w:val="fr-CA"/>
              </w:rPr>
            </w:pPr>
          </w:p>
        </w:tc>
        <w:tc>
          <w:tcPr>
            <w:tcW w:w="2330" w:type="pct"/>
          </w:tcPr>
          <w:p w:rsidR="00A9484F" w:rsidRPr="00C03D34" w:rsidRDefault="00A9484F" w:rsidP="00A809A9">
            <w:pPr>
              <w:jc w:val="both"/>
              <w:rPr>
                <w:sz w:val="20"/>
                <w:lang w:val="fr-CA"/>
              </w:rPr>
            </w:pPr>
            <w:r w:rsidRPr="00C03D34">
              <w:rPr>
                <w:sz w:val="20"/>
                <w:lang w:val="fr-CA"/>
              </w:rPr>
              <w:t xml:space="preserve">Demande d’autorisation d’appel déposée </w:t>
            </w:r>
          </w:p>
          <w:p w:rsidR="00A9484F" w:rsidRPr="00C03D34" w:rsidRDefault="00A9484F" w:rsidP="00A809A9">
            <w:pPr>
              <w:jc w:val="both"/>
              <w:rPr>
                <w:sz w:val="20"/>
                <w:lang w:val="fr-CA"/>
              </w:rPr>
            </w:pPr>
          </w:p>
        </w:tc>
      </w:tr>
    </w:tbl>
    <w:p w:rsidR="008F72E8" w:rsidRDefault="008F72E8" w:rsidP="008F72E8">
      <w:pPr>
        <w:rPr>
          <w:sz w:val="20"/>
          <w:szCs w:val="20"/>
        </w:rPr>
      </w:pPr>
    </w:p>
    <w:p w:rsidR="008F72E8" w:rsidRDefault="00584E5B" w:rsidP="008F72E8">
      <w:pPr>
        <w:rPr>
          <w:sz w:val="20"/>
          <w:szCs w:val="20"/>
          <w:lang w:val="fr-CA"/>
        </w:rPr>
      </w:pPr>
      <w:r>
        <w:rPr>
          <w:sz w:val="20"/>
          <w:szCs w:val="20"/>
          <w:lang w:val="fr-CA"/>
        </w:rPr>
        <w:pict>
          <v:rect id="_x0000_i1045" style="width:2in;height:1pt" o:hrpct="0" o:hralign="center" o:hrstd="t" o:hrnoshade="t" o:hr="t" fillcolor="black [3213]" stroked="f"/>
        </w:pict>
      </w:r>
    </w:p>
    <w:p w:rsidR="008F72E8" w:rsidRDefault="008F72E8" w:rsidP="008F72E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35821</w:t>
            </w:r>
          </w:p>
          <w:p w:rsidR="00E77667" w:rsidRPr="007D142E" w:rsidRDefault="00E77667" w:rsidP="002A3A49">
            <w:pPr>
              <w:rPr>
                <w:b/>
                <w:sz w:val="20"/>
                <w:szCs w:val="20"/>
                <w:lang w:val="fr-CA"/>
              </w:rPr>
            </w:pPr>
          </w:p>
        </w:tc>
        <w:tc>
          <w:tcPr>
            <w:tcW w:w="8118" w:type="dxa"/>
          </w:tcPr>
          <w:p w:rsidR="00E77667" w:rsidRPr="007D142E" w:rsidRDefault="00E77667" w:rsidP="002A3A49">
            <w:pPr>
              <w:jc w:val="both"/>
              <w:rPr>
                <w:sz w:val="20"/>
                <w:szCs w:val="20"/>
              </w:rPr>
            </w:pPr>
            <w:r w:rsidRPr="007D142E">
              <w:rPr>
                <w:rStyle w:val="SCCLsocChar"/>
                <w:sz w:val="20"/>
                <w:szCs w:val="20"/>
                <w:lang w:val="en-CA"/>
              </w:rPr>
              <w:t>Wayne Ferron v. Her Majesty the Queen, York Regional Police Services</w:t>
            </w:r>
            <w:r w:rsidR="00415405">
              <w:rPr>
                <w:rStyle w:val="SCCLsocChar"/>
                <w:sz w:val="20"/>
                <w:szCs w:val="20"/>
                <w:lang w:val="en-CA"/>
              </w:rPr>
              <w:t xml:space="preserve"> and</w:t>
            </w:r>
            <w:r w:rsidRPr="007D142E">
              <w:rPr>
                <w:rStyle w:val="SCCLsocChar"/>
                <w:sz w:val="20"/>
                <w:szCs w:val="20"/>
                <w:lang w:val="en-CA"/>
              </w:rPr>
              <w:t xml:space="preserve"> Regional Municipality of York</w:t>
            </w:r>
            <w:r w:rsidRPr="007D142E">
              <w:rPr>
                <w:sz w:val="20"/>
                <w:szCs w:val="20"/>
              </w:rPr>
              <w:t xml:space="preserve"> (Ont.) (Civil) (By Leave)</w:t>
            </w:r>
          </w:p>
          <w:p w:rsidR="00E77667" w:rsidRPr="007D142E" w:rsidRDefault="00E77667" w:rsidP="002A3A49">
            <w:pPr>
              <w:jc w:val="both"/>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t>The motion for an extension of time to serve and file the application for leave to appeal is dismissed as unnecessary. The application for leave to appeal from the judgment of the Court of Appeal for Ontario, Number M42812, dated March 5, 2014, is dismissed with costs to the respondents York Regional Police Services and Regional Municipality of York.</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requête en prorogation du délai de signification et de dépôt de la demande d’autorisation d’appel est rejetée au motif qu’elle est inutile. La demande d’autorisation d’appel de l’arrêt de la Cour d’appel de l’Ontario, numéro M42812, daté du 5 mars 2014, est rejetée avec dépens en faveur des intimés Service de police régional de York et municipalité régionale de York.</w:t>
            </w:r>
          </w:p>
        </w:tc>
      </w:tr>
    </w:tbl>
    <w:p w:rsidR="008F72E8" w:rsidRPr="00E77667" w:rsidRDefault="008F72E8" w:rsidP="000E2959">
      <w:pPr>
        <w:rPr>
          <w:sz w:val="20"/>
          <w:szCs w:val="20"/>
          <w:lang w:val="fr-CA"/>
        </w:rPr>
      </w:pPr>
    </w:p>
    <w:p w:rsidR="008F72E8" w:rsidRPr="001B157C" w:rsidRDefault="008F72E8" w:rsidP="008F72E8">
      <w:pPr>
        <w:rPr>
          <w:sz w:val="20"/>
          <w:szCs w:val="20"/>
          <w:u w:val="single"/>
        </w:rPr>
      </w:pPr>
      <w:r w:rsidRPr="001B157C">
        <w:rPr>
          <w:sz w:val="20"/>
          <w:szCs w:val="20"/>
          <w:u w:val="single"/>
        </w:rPr>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C03D34" w:rsidTr="00A809A9">
        <w:tc>
          <w:tcPr>
            <w:tcW w:w="5000" w:type="pct"/>
            <w:gridSpan w:val="3"/>
          </w:tcPr>
          <w:p w:rsidR="00A9484F" w:rsidRPr="00C03D34" w:rsidRDefault="00A9484F" w:rsidP="00A809A9">
            <w:pPr>
              <w:jc w:val="both"/>
              <w:rPr>
                <w:sz w:val="20"/>
              </w:rPr>
            </w:pPr>
            <w:r w:rsidRPr="00C03D34">
              <w:rPr>
                <w:i/>
                <w:sz w:val="20"/>
              </w:rPr>
              <w:t>Canadian Charter of Rights and Freedoms</w:t>
            </w:r>
            <w:r w:rsidRPr="00C03D34">
              <w:rPr>
                <w:sz w:val="20"/>
              </w:rPr>
              <w:t xml:space="preserve"> – Appeals – Whether the lower court erred in declaring the applicant to be a vexatious litigant pursuant to </w:t>
            </w:r>
            <w:r w:rsidRPr="00C03D34">
              <w:rPr>
                <w:i/>
                <w:sz w:val="20"/>
              </w:rPr>
              <w:t>Courts of Justice Act</w:t>
            </w:r>
            <w:r w:rsidRPr="00C03D34">
              <w:rPr>
                <w:sz w:val="20"/>
              </w:rPr>
              <w:t xml:space="preserve">, R.S.O. 1990, c. C.43 – Whether the lower court erred in finding that service was sufficient – Whether the Court of Appeal erred in dismissing the motion for an extension of time – Whether there was a violation of s. 15 of the </w:t>
            </w:r>
            <w:r w:rsidRPr="00C03D34">
              <w:rPr>
                <w:i/>
                <w:sz w:val="20"/>
              </w:rPr>
              <w:t>Canadian Charter of Rights and Freedoms.</w:t>
            </w:r>
          </w:p>
        </w:tc>
      </w:tr>
      <w:tr w:rsidR="00A9484F" w:rsidRPr="00C03D34" w:rsidTr="00A809A9">
        <w:tc>
          <w:tcPr>
            <w:tcW w:w="5000" w:type="pct"/>
            <w:gridSpan w:val="3"/>
          </w:tcPr>
          <w:p w:rsidR="00A9484F" w:rsidRPr="00C03D34" w:rsidRDefault="00A9484F" w:rsidP="00A809A9">
            <w:pPr>
              <w:jc w:val="both"/>
              <w:rPr>
                <w:sz w:val="20"/>
              </w:rPr>
            </w:pPr>
          </w:p>
        </w:tc>
      </w:tr>
      <w:tr w:rsidR="00A9484F" w:rsidRPr="00C03D34" w:rsidTr="00A809A9">
        <w:tc>
          <w:tcPr>
            <w:tcW w:w="5000" w:type="pct"/>
            <w:gridSpan w:val="3"/>
          </w:tcPr>
          <w:p w:rsidR="00A9484F" w:rsidRPr="00C03D34" w:rsidRDefault="00A9484F" w:rsidP="00A809A9">
            <w:pPr>
              <w:jc w:val="both"/>
              <w:rPr>
                <w:sz w:val="20"/>
              </w:rPr>
            </w:pPr>
            <w:r w:rsidRPr="00C03D34">
              <w:rPr>
                <w:sz w:val="20"/>
              </w:rPr>
              <w:t>In 2007 the applicant was convicted of dangerous driving and obstructing a police officer.  In December of that year, the applicant lodged a complaint to the York Regional Police Services alleging that the officers involved in his arrest had made racially disparaging remarks against him.  The complaint was dismissed and the Ontario Civilian Commission on Police Services dismissed the appeal.</w:t>
            </w:r>
          </w:p>
          <w:p w:rsidR="00A9484F" w:rsidRPr="00C03D34" w:rsidRDefault="00A9484F" w:rsidP="00A809A9">
            <w:pPr>
              <w:jc w:val="both"/>
              <w:rPr>
                <w:sz w:val="20"/>
              </w:rPr>
            </w:pPr>
          </w:p>
          <w:p w:rsidR="00A9484F" w:rsidRPr="00C03D34" w:rsidRDefault="00A9484F" w:rsidP="00A809A9">
            <w:pPr>
              <w:jc w:val="both"/>
              <w:rPr>
                <w:sz w:val="20"/>
              </w:rPr>
            </w:pPr>
            <w:r w:rsidRPr="00C03D34">
              <w:rPr>
                <w:sz w:val="20"/>
              </w:rPr>
              <w:t xml:space="preserve">From March 2009 to February 2012, the applicant filed four separate civil actions, seeking damages arising from his arrest in 2007.  Each of the actions were struck because it was found that each constituted a collateral attack on the applicant’s criminal convictions and the decision of the Ontario Civilian Commission on Police Services. </w:t>
            </w:r>
          </w:p>
          <w:p w:rsidR="00A9484F" w:rsidRPr="00C03D34" w:rsidRDefault="00A9484F" w:rsidP="00A809A9">
            <w:pPr>
              <w:jc w:val="both"/>
              <w:rPr>
                <w:sz w:val="20"/>
              </w:rPr>
            </w:pPr>
          </w:p>
          <w:p w:rsidR="00A9484F" w:rsidRPr="00C03D34" w:rsidRDefault="00A9484F" w:rsidP="00A809A9">
            <w:pPr>
              <w:jc w:val="both"/>
              <w:rPr>
                <w:sz w:val="20"/>
              </w:rPr>
            </w:pPr>
            <w:r w:rsidRPr="00C03D34">
              <w:rPr>
                <w:sz w:val="20"/>
              </w:rPr>
              <w:t xml:space="preserve">An application was brought pursuant to s. 140 of the </w:t>
            </w:r>
            <w:r w:rsidRPr="00C03D34">
              <w:rPr>
                <w:i/>
                <w:sz w:val="20"/>
              </w:rPr>
              <w:t>Courts of Justice Act</w:t>
            </w:r>
            <w:r w:rsidRPr="00C03D34">
              <w:rPr>
                <w:sz w:val="20"/>
              </w:rPr>
              <w:t xml:space="preserve"> R.S.O. 1990, c. C.43, for a court order preventing the applicant from instituting any further court proceedings and from continuing any court proceedings without the court’s direction. </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lastRenderedPageBreak/>
              <w:t>July 8, 2013</w:t>
            </w:r>
          </w:p>
          <w:p w:rsidR="00A9484F" w:rsidRPr="00C03D34" w:rsidRDefault="00A9484F" w:rsidP="00A809A9">
            <w:pPr>
              <w:jc w:val="both"/>
              <w:rPr>
                <w:sz w:val="20"/>
              </w:rPr>
            </w:pPr>
            <w:r w:rsidRPr="00C03D34">
              <w:rPr>
                <w:sz w:val="20"/>
              </w:rPr>
              <w:t>Ontario Superior Court of Justice</w:t>
            </w:r>
          </w:p>
          <w:p w:rsidR="00A9484F" w:rsidRPr="00C03D34" w:rsidRDefault="00A9484F" w:rsidP="00A809A9">
            <w:pPr>
              <w:jc w:val="both"/>
              <w:rPr>
                <w:sz w:val="20"/>
              </w:rPr>
            </w:pPr>
            <w:r w:rsidRPr="00C03D34">
              <w:rPr>
                <w:sz w:val="20"/>
              </w:rPr>
              <w:t>(André J.)</w:t>
            </w:r>
          </w:p>
          <w:p w:rsidR="00A9484F" w:rsidRPr="00C03D34" w:rsidRDefault="00A9484F" w:rsidP="00A809A9">
            <w:pPr>
              <w:jc w:val="both"/>
              <w:rPr>
                <w:sz w:val="20"/>
              </w:rPr>
            </w:pPr>
            <w:r w:rsidRPr="00C03D34">
              <w:rPr>
                <w:sz w:val="20"/>
              </w:rPr>
              <w:t>2013 ONSC 1809</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 xml:space="preserve">Application for court order declaring the applicant a vexatious litigant pursuant to s. 140(1) of the </w:t>
            </w:r>
            <w:r w:rsidRPr="00C03D34">
              <w:rPr>
                <w:i/>
                <w:sz w:val="20"/>
              </w:rPr>
              <w:t>Courts of Justice Act</w:t>
            </w:r>
            <w:r w:rsidRPr="00C03D34">
              <w:rPr>
                <w:sz w:val="20"/>
              </w:rPr>
              <w:t>, R.S.O. 1990, c. C.43, granted</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March 5, 2014</w:t>
            </w:r>
          </w:p>
          <w:p w:rsidR="00A9484F" w:rsidRPr="00C03D34" w:rsidRDefault="00A9484F" w:rsidP="00A809A9">
            <w:pPr>
              <w:jc w:val="both"/>
              <w:rPr>
                <w:sz w:val="20"/>
              </w:rPr>
            </w:pPr>
            <w:r w:rsidRPr="00C03D34">
              <w:rPr>
                <w:sz w:val="20"/>
              </w:rPr>
              <w:t>Court of Appeal for Ontario</w:t>
            </w:r>
          </w:p>
          <w:p w:rsidR="00A9484F" w:rsidRPr="00C03D34" w:rsidRDefault="00A9484F" w:rsidP="00A809A9">
            <w:pPr>
              <w:jc w:val="both"/>
              <w:rPr>
                <w:sz w:val="20"/>
              </w:rPr>
            </w:pPr>
            <w:r w:rsidRPr="00C03D34">
              <w:rPr>
                <w:sz w:val="20"/>
              </w:rPr>
              <w:t>Hourigan J.A.</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Motion for extension of time to deliver a notice of appeal dismissed</w:t>
            </w:r>
          </w:p>
        </w:tc>
      </w:tr>
      <w:tr w:rsidR="00A9484F" w:rsidRPr="00C03D34" w:rsidTr="00A809A9">
        <w:tc>
          <w:tcPr>
            <w:tcW w:w="2427" w:type="pct"/>
          </w:tcPr>
          <w:p w:rsidR="00A9484F" w:rsidRPr="00C03D34" w:rsidRDefault="00A9484F" w:rsidP="00A809A9">
            <w:pPr>
              <w:jc w:val="both"/>
              <w:rPr>
                <w:sz w:val="20"/>
              </w:rPr>
            </w:pPr>
            <w:r w:rsidRPr="00C03D34">
              <w:rPr>
                <w:sz w:val="20"/>
              </w:rPr>
              <w:t>March 21, 2014</w:t>
            </w:r>
          </w:p>
          <w:p w:rsidR="00A9484F" w:rsidRPr="00C03D34" w:rsidRDefault="00A9484F" w:rsidP="00A809A9">
            <w:pPr>
              <w:jc w:val="both"/>
              <w:rPr>
                <w:sz w:val="20"/>
              </w:rPr>
            </w:pPr>
            <w:r w:rsidRPr="00C03D34">
              <w:rPr>
                <w:sz w:val="20"/>
              </w:rPr>
              <w:t>Supreme Court of Canada</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Motion for an extension of time and application for leave to appeal filed</w:t>
            </w:r>
          </w:p>
          <w:p w:rsidR="00A9484F" w:rsidRPr="00C03D34" w:rsidRDefault="00A9484F" w:rsidP="00A809A9">
            <w:pPr>
              <w:jc w:val="both"/>
              <w:rPr>
                <w:sz w:val="20"/>
              </w:rPr>
            </w:pPr>
          </w:p>
        </w:tc>
      </w:tr>
      <w:tr w:rsidR="00A9484F" w:rsidRPr="00C03D34" w:rsidTr="00A809A9">
        <w:tc>
          <w:tcPr>
            <w:tcW w:w="2427" w:type="pct"/>
          </w:tcPr>
          <w:p w:rsidR="00A9484F" w:rsidRPr="00C03D34" w:rsidRDefault="00A9484F" w:rsidP="00A809A9">
            <w:pPr>
              <w:jc w:val="both"/>
              <w:rPr>
                <w:sz w:val="20"/>
              </w:rPr>
            </w:pPr>
            <w:r w:rsidRPr="00C03D34">
              <w:rPr>
                <w:sz w:val="20"/>
              </w:rPr>
              <w:t>May 6, 2014</w:t>
            </w:r>
          </w:p>
          <w:p w:rsidR="00A9484F" w:rsidRPr="00C03D34" w:rsidRDefault="00A9484F" w:rsidP="00A809A9">
            <w:pPr>
              <w:jc w:val="both"/>
              <w:rPr>
                <w:sz w:val="20"/>
              </w:rPr>
            </w:pPr>
            <w:r w:rsidRPr="00C03D34">
              <w:rPr>
                <w:sz w:val="20"/>
              </w:rPr>
              <w:t>Supreme Court of Canada</w:t>
            </w: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Amended application for leave to appeal filed</w:t>
            </w: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46"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584E5B" w:rsidTr="00A809A9">
        <w:tc>
          <w:tcPr>
            <w:tcW w:w="5000" w:type="pct"/>
            <w:gridSpan w:val="3"/>
          </w:tcPr>
          <w:p w:rsidR="00A9484F" w:rsidRPr="00C03D34" w:rsidRDefault="00A9484F" w:rsidP="00A809A9">
            <w:pPr>
              <w:jc w:val="both"/>
              <w:rPr>
                <w:sz w:val="20"/>
                <w:lang w:val="fr-CA"/>
              </w:rPr>
            </w:pPr>
            <w:r w:rsidRPr="00C03D34">
              <w:rPr>
                <w:i/>
                <w:sz w:val="20"/>
                <w:lang w:val="fr-CA"/>
              </w:rPr>
              <w:t xml:space="preserve">Charte canadienne des droits et libertés </w:t>
            </w:r>
            <w:r w:rsidRPr="00C03D34">
              <w:rPr>
                <w:sz w:val="20"/>
                <w:lang w:val="fr-CA"/>
              </w:rPr>
              <w:t xml:space="preserve">– Appels – La cour inférieure a-t-elle fait erreur en déclarant le demandeur plaideur quérulent en vertu de la </w:t>
            </w:r>
            <w:r w:rsidRPr="00C03D34">
              <w:rPr>
                <w:i/>
                <w:sz w:val="20"/>
                <w:lang w:val="fr-CA"/>
              </w:rPr>
              <w:t>Loi sur les tribunaux judiciaires</w:t>
            </w:r>
            <w:r w:rsidRPr="00C03D34">
              <w:rPr>
                <w:sz w:val="20"/>
                <w:lang w:val="fr-CA"/>
              </w:rPr>
              <w:t xml:space="preserve">, L.R.O. 1990, ch. C.43? – La cour inférieure a-t-elle conclu à tort que la signification était adéquate? – La Cour d’appel a-t-elle rejeté à tort la motion en prorogation de délai? – Y a-t-il eu violation de l’art. 15 de la </w:t>
            </w:r>
            <w:r w:rsidRPr="00C03D34">
              <w:rPr>
                <w:i/>
                <w:sz w:val="20"/>
                <w:lang w:val="fr-CA"/>
              </w:rPr>
              <w:t>Charte canadienne des droits et libertés</w:t>
            </w:r>
            <w:r w:rsidRPr="00C03D34">
              <w:rPr>
                <w:sz w:val="20"/>
                <w:lang w:val="fr-CA"/>
              </w:rPr>
              <w:t>?</w:t>
            </w:r>
          </w:p>
        </w:tc>
      </w:tr>
      <w:tr w:rsidR="00A9484F" w:rsidRPr="00584E5B" w:rsidTr="00A809A9">
        <w:tc>
          <w:tcPr>
            <w:tcW w:w="5000" w:type="pct"/>
            <w:gridSpan w:val="3"/>
          </w:tcPr>
          <w:p w:rsidR="00A9484F" w:rsidRPr="00C03D34" w:rsidRDefault="00A9484F" w:rsidP="00A809A9">
            <w:pPr>
              <w:jc w:val="both"/>
              <w:rPr>
                <w:sz w:val="20"/>
                <w:lang w:val="fr-CA"/>
              </w:rPr>
            </w:pPr>
          </w:p>
        </w:tc>
      </w:tr>
      <w:tr w:rsidR="00A9484F" w:rsidRPr="00584E5B" w:rsidTr="00A809A9">
        <w:tc>
          <w:tcPr>
            <w:tcW w:w="5000" w:type="pct"/>
            <w:gridSpan w:val="3"/>
          </w:tcPr>
          <w:p w:rsidR="00A9484F" w:rsidRPr="00C03D34" w:rsidRDefault="00A9484F" w:rsidP="00A809A9">
            <w:pPr>
              <w:jc w:val="both"/>
              <w:rPr>
                <w:sz w:val="20"/>
                <w:lang w:val="fr-CA"/>
              </w:rPr>
            </w:pPr>
            <w:r w:rsidRPr="00C03D34">
              <w:rPr>
                <w:sz w:val="20"/>
                <w:lang w:val="fr-CA"/>
              </w:rPr>
              <w:t>Le demandeur a été reconnu coupable de conduite dangereuse et d’entrave au travail d’un policier en 2007. En décembre, le demandeur a déposé au Service de police régional de York une plainte dans laquelle il reproche aux policiers qui l’ont arrêté de lui avoir fait des remarques désobligeantes à caractère raciste. La plainte a été rejetée et la Commission civile de l’Ontario sur la police a rejeté l’appel.</w:t>
            </w:r>
          </w:p>
          <w:p w:rsidR="00A9484F" w:rsidRPr="00C03D34" w:rsidRDefault="00A9484F" w:rsidP="00A809A9">
            <w:pPr>
              <w:jc w:val="both"/>
              <w:rPr>
                <w:sz w:val="20"/>
                <w:lang w:val="fr-CA"/>
              </w:rPr>
            </w:pPr>
          </w:p>
          <w:p w:rsidR="00A9484F" w:rsidRPr="00C03D34" w:rsidRDefault="00A9484F" w:rsidP="00A809A9">
            <w:pPr>
              <w:jc w:val="both"/>
              <w:rPr>
                <w:sz w:val="20"/>
                <w:lang w:val="fr-CA"/>
              </w:rPr>
            </w:pPr>
            <w:r w:rsidRPr="00C03D34">
              <w:rPr>
                <w:sz w:val="20"/>
                <w:lang w:val="fr-CA"/>
              </w:rPr>
              <w:t xml:space="preserve">Entre mars 2009 et février 2012, le demandeur a exercé quatre recours civils distincts en dommages-intérêts à la suite de son arrestation de 2007. Tous ces  recours ont été rejetés parce qu’on a jugé qu’ils constituaient une contestation indirecte des déclarations de culpabilité du demandeur et de la décision rendue par la Commission civile de l’Ontario sur la police. </w:t>
            </w:r>
          </w:p>
          <w:p w:rsidR="00A9484F" w:rsidRPr="00C03D34" w:rsidRDefault="00A9484F" w:rsidP="00A809A9">
            <w:pPr>
              <w:jc w:val="both"/>
              <w:rPr>
                <w:sz w:val="20"/>
                <w:lang w:val="fr-CA"/>
              </w:rPr>
            </w:pPr>
          </w:p>
          <w:p w:rsidR="00A9484F" w:rsidRPr="00C03D34" w:rsidRDefault="00A9484F" w:rsidP="00A809A9">
            <w:pPr>
              <w:jc w:val="both"/>
              <w:rPr>
                <w:sz w:val="20"/>
                <w:lang w:val="fr-CA"/>
              </w:rPr>
            </w:pPr>
            <w:r w:rsidRPr="00C03D34">
              <w:rPr>
                <w:sz w:val="20"/>
                <w:lang w:val="fr-CA"/>
              </w:rPr>
              <w:t xml:space="preserve">On a présenté une demande en vertu de l’art. 140 de la </w:t>
            </w:r>
            <w:r w:rsidRPr="00C03D34">
              <w:rPr>
                <w:i/>
                <w:sz w:val="20"/>
                <w:lang w:val="fr-CA"/>
              </w:rPr>
              <w:t>Loi sur les tribunaux judiciaires</w:t>
            </w:r>
            <w:r w:rsidRPr="00C03D34">
              <w:rPr>
                <w:sz w:val="20"/>
                <w:lang w:val="fr-CA"/>
              </w:rPr>
              <w:t>, L.R.O. 1990, ch. C.43, pour obtenir une ordonnance judiciaire empêchant le demandeur d’instituer d’autres instances devant un tribunal ou de poursuivre devant un tribunal une instance déjà introduite sans son autorisation.</w:t>
            </w:r>
          </w:p>
          <w:p w:rsidR="00A9484F" w:rsidRPr="00C03D34" w:rsidRDefault="00A9484F" w:rsidP="00A809A9">
            <w:pPr>
              <w:jc w:val="both"/>
              <w:rPr>
                <w:sz w:val="20"/>
                <w:lang w:val="fr-CA"/>
              </w:rPr>
            </w:pPr>
          </w:p>
        </w:tc>
      </w:tr>
      <w:tr w:rsidR="00A9484F" w:rsidRPr="00C03D34" w:rsidTr="00E77667">
        <w:trPr>
          <w:cantSplit/>
        </w:trPr>
        <w:tc>
          <w:tcPr>
            <w:tcW w:w="2427" w:type="pct"/>
          </w:tcPr>
          <w:p w:rsidR="00A9484F" w:rsidRPr="00C03D34" w:rsidRDefault="00A9484F" w:rsidP="00A809A9">
            <w:pPr>
              <w:jc w:val="both"/>
              <w:rPr>
                <w:sz w:val="20"/>
                <w:lang w:val="fr-CA"/>
              </w:rPr>
            </w:pPr>
            <w:r w:rsidRPr="00C03D34">
              <w:rPr>
                <w:sz w:val="20"/>
                <w:lang w:val="fr-CA"/>
              </w:rPr>
              <w:lastRenderedPageBreak/>
              <w:t>8 juillet 2013</w:t>
            </w:r>
          </w:p>
          <w:p w:rsidR="00A9484F" w:rsidRPr="00C03D34" w:rsidRDefault="00A9484F" w:rsidP="00A809A9">
            <w:pPr>
              <w:jc w:val="both"/>
              <w:rPr>
                <w:sz w:val="20"/>
                <w:lang w:val="fr-CA"/>
              </w:rPr>
            </w:pPr>
            <w:r w:rsidRPr="00C03D34">
              <w:rPr>
                <w:sz w:val="20"/>
                <w:lang w:val="fr-CA"/>
              </w:rPr>
              <w:t xml:space="preserve">Cour supérieure de justice de l’Ontario </w:t>
            </w:r>
          </w:p>
          <w:p w:rsidR="00A9484F" w:rsidRPr="00C03D34" w:rsidRDefault="00A9484F" w:rsidP="00A809A9">
            <w:pPr>
              <w:jc w:val="both"/>
              <w:rPr>
                <w:sz w:val="20"/>
              </w:rPr>
            </w:pPr>
            <w:r w:rsidRPr="00C03D34">
              <w:rPr>
                <w:sz w:val="20"/>
              </w:rPr>
              <w:t>(Juge André)</w:t>
            </w:r>
          </w:p>
          <w:p w:rsidR="00A9484F" w:rsidRPr="00C03D34" w:rsidRDefault="00A9484F" w:rsidP="00A809A9">
            <w:pPr>
              <w:jc w:val="both"/>
              <w:rPr>
                <w:sz w:val="20"/>
              </w:rPr>
            </w:pPr>
            <w:r w:rsidRPr="00C03D34">
              <w:rPr>
                <w:sz w:val="20"/>
              </w:rPr>
              <w:t>2013 ONSC 1809</w:t>
            </w:r>
          </w:p>
          <w:p w:rsidR="00A9484F" w:rsidRPr="00C03D34" w:rsidRDefault="00A9484F" w:rsidP="00A809A9">
            <w:pPr>
              <w:jc w:val="both"/>
              <w:rPr>
                <w:sz w:val="20"/>
              </w:rPr>
            </w:pP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lang w:val="fr-CA"/>
              </w:rPr>
            </w:pPr>
            <w:r w:rsidRPr="00C03D34">
              <w:rPr>
                <w:sz w:val="20"/>
                <w:lang w:val="fr-CA"/>
              </w:rPr>
              <w:t xml:space="preserve">Demande d’ordonnance judiciaire déclarant le demandeur plaideur quérulent en vertu du par. 140(1) de la </w:t>
            </w:r>
            <w:r w:rsidRPr="00C03D34">
              <w:rPr>
                <w:i/>
                <w:sz w:val="20"/>
                <w:lang w:val="fr-CA"/>
              </w:rPr>
              <w:t>Loi sur les</w:t>
            </w:r>
            <w:r w:rsidRPr="00C03D34">
              <w:rPr>
                <w:sz w:val="20"/>
                <w:lang w:val="fr-CA"/>
              </w:rPr>
              <w:t xml:space="preserve"> </w:t>
            </w:r>
            <w:r w:rsidRPr="00C03D34">
              <w:rPr>
                <w:i/>
                <w:sz w:val="20"/>
                <w:lang w:val="fr-CA"/>
              </w:rPr>
              <w:t>tribunaux judiciaires</w:t>
            </w:r>
            <w:r w:rsidRPr="00C03D34">
              <w:rPr>
                <w:sz w:val="20"/>
                <w:lang w:val="fr-CA"/>
              </w:rPr>
              <w:t>, L.R.O. 1990, ch. C.43, accueillie</w:t>
            </w:r>
          </w:p>
          <w:p w:rsidR="00A9484F" w:rsidRPr="00C03D34" w:rsidRDefault="00A9484F" w:rsidP="00A809A9">
            <w:pPr>
              <w:jc w:val="both"/>
              <w:rPr>
                <w:sz w:val="20"/>
                <w:lang w:val="fr-CA"/>
              </w:rPr>
            </w:pPr>
          </w:p>
        </w:tc>
      </w:tr>
      <w:tr w:rsidR="00A9484F" w:rsidRPr="00584E5B" w:rsidTr="00E77667">
        <w:trPr>
          <w:cantSplit/>
        </w:trPr>
        <w:tc>
          <w:tcPr>
            <w:tcW w:w="2427" w:type="pct"/>
          </w:tcPr>
          <w:p w:rsidR="00A9484F" w:rsidRPr="00C03D34" w:rsidRDefault="00A9484F" w:rsidP="00A809A9">
            <w:pPr>
              <w:jc w:val="both"/>
              <w:rPr>
                <w:sz w:val="20"/>
                <w:lang w:val="fr-CA"/>
              </w:rPr>
            </w:pPr>
            <w:r w:rsidRPr="00C03D34">
              <w:rPr>
                <w:sz w:val="20"/>
                <w:lang w:val="fr-CA"/>
              </w:rPr>
              <w:t>5 mars 2014</w:t>
            </w:r>
          </w:p>
          <w:p w:rsidR="00A9484F" w:rsidRPr="00C03D34" w:rsidRDefault="00A9484F" w:rsidP="00A809A9">
            <w:pPr>
              <w:jc w:val="both"/>
              <w:rPr>
                <w:sz w:val="20"/>
                <w:lang w:val="fr-CA"/>
              </w:rPr>
            </w:pPr>
            <w:r w:rsidRPr="00C03D34">
              <w:rPr>
                <w:sz w:val="20"/>
                <w:lang w:val="fr-CA"/>
              </w:rPr>
              <w:t>Cour d’appel de l’Ontario</w:t>
            </w:r>
          </w:p>
          <w:p w:rsidR="00A9484F" w:rsidRPr="00C03D34" w:rsidRDefault="00A9484F" w:rsidP="00A809A9">
            <w:pPr>
              <w:jc w:val="both"/>
              <w:rPr>
                <w:sz w:val="20"/>
                <w:lang w:val="fr-CA"/>
              </w:rPr>
            </w:pPr>
            <w:r w:rsidRPr="00C03D34">
              <w:rPr>
                <w:sz w:val="20"/>
                <w:lang w:val="fr-CA"/>
              </w:rPr>
              <w:t xml:space="preserve">Juge Hourigan </w:t>
            </w:r>
          </w:p>
          <w:p w:rsidR="00A9484F" w:rsidRPr="00C03D34" w:rsidRDefault="00A9484F" w:rsidP="00A809A9">
            <w:pPr>
              <w:jc w:val="both"/>
              <w:rPr>
                <w:sz w:val="20"/>
                <w:lang w:val="fr-CA"/>
              </w:rPr>
            </w:pPr>
          </w:p>
        </w:tc>
        <w:tc>
          <w:tcPr>
            <w:tcW w:w="243" w:type="pct"/>
          </w:tcPr>
          <w:p w:rsidR="00A9484F" w:rsidRPr="00C03D34" w:rsidRDefault="00A9484F" w:rsidP="00A809A9">
            <w:pPr>
              <w:jc w:val="both"/>
              <w:rPr>
                <w:sz w:val="20"/>
                <w:lang w:val="fr-CA"/>
              </w:rPr>
            </w:pPr>
          </w:p>
        </w:tc>
        <w:tc>
          <w:tcPr>
            <w:tcW w:w="2330" w:type="pct"/>
          </w:tcPr>
          <w:p w:rsidR="00A9484F" w:rsidRPr="00C03D34" w:rsidRDefault="00A9484F" w:rsidP="00A809A9">
            <w:pPr>
              <w:jc w:val="both"/>
              <w:rPr>
                <w:sz w:val="20"/>
                <w:lang w:val="fr-CA"/>
              </w:rPr>
            </w:pPr>
            <w:r w:rsidRPr="00C03D34">
              <w:rPr>
                <w:sz w:val="20"/>
                <w:lang w:val="fr-CA"/>
              </w:rPr>
              <w:t xml:space="preserve">Motion en prorogation du délai pour signifier un avis d’appel rejetée </w:t>
            </w:r>
          </w:p>
        </w:tc>
      </w:tr>
      <w:tr w:rsidR="00A9484F" w:rsidRPr="00584E5B" w:rsidTr="00E77667">
        <w:trPr>
          <w:cantSplit/>
        </w:trPr>
        <w:tc>
          <w:tcPr>
            <w:tcW w:w="2427" w:type="pct"/>
          </w:tcPr>
          <w:p w:rsidR="00A9484F" w:rsidRPr="00C03D34" w:rsidRDefault="00A9484F" w:rsidP="00A809A9">
            <w:pPr>
              <w:jc w:val="both"/>
              <w:rPr>
                <w:sz w:val="20"/>
                <w:lang w:val="fr-CA"/>
              </w:rPr>
            </w:pPr>
            <w:r w:rsidRPr="00C03D34">
              <w:rPr>
                <w:sz w:val="20"/>
                <w:lang w:val="fr-CA"/>
              </w:rPr>
              <w:t>21 mars 2014</w:t>
            </w:r>
          </w:p>
          <w:p w:rsidR="00A9484F" w:rsidRPr="00C03D34" w:rsidRDefault="00A9484F" w:rsidP="00A809A9">
            <w:pPr>
              <w:jc w:val="both"/>
              <w:rPr>
                <w:sz w:val="20"/>
                <w:lang w:val="fr-CA"/>
              </w:rPr>
            </w:pPr>
            <w:r w:rsidRPr="00C03D34">
              <w:rPr>
                <w:sz w:val="20"/>
                <w:lang w:val="fr-CA"/>
              </w:rPr>
              <w:t>Cour suprême du Canada</w:t>
            </w:r>
          </w:p>
          <w:p w:rsidR="00A9484F" w:rsidRPr="00C03D34" w:rsidRDefault="00A9484F" w:rsidP="00A809A9">
            <w:pPr>
              <w:jc w:val="both"/>
              <w:rPr>
                <w:sz w:val="20"/>
                <w:lang w:val="fr-CA"/>
              </w:rPr>
            </w:pPr>
          </w:p>
        </w:tc>
        <w:tc>
          <w:tcPr>
            <w:tcW w:w="243" w:type="pct"/>
          </w:tcPr>
          <w:p w:rsidR="00A9484F" w:rsidRPr="00C03D34" w:rsidRDefault="00A9484F" w:rsidP="00A809A9">
            <w:pPr>
              <w:jc w:val="both"/>
              <w:rPr>
                <w:sz w:val="20"/>
                <w:lang w:val="fr-CA"/>
              </w:rPr>
            </w:pPr>
          </w:p>
        </w:tc>
        <w:tc>
          <w:tcPr>
            <w:tcW w:w="2330" w:type="pct"/>
          </w:tcPr>
          <w:p w:rsidR="00A9484F" w:rsidRPr="00C03D34" w:rsidRDefault="00A9484F" w:rsidP="00A809A9">
            <w:pPr>
              <w:jc w:val="both"/>
              <w:rPr>
                <w:sz w:val="20"/>
                <w:lang w:val="fr-CA"/>
              </w:rPr>
            </w:pPr>
            <w:r w:rsidRPr="00C03D34">
              <w:rPr>
                <w:sz w:val="20"/>
                <w:lang w:val="fr-CA"/>
              </w:rPr>
              <w:t xml:space="preserve">Requête en prorogation de délai et demande d’autorisation d’appel déposées </w:t>
            </w:r>
          </w:p>
          <w:p w:rsidR="00A9484F" w:rsidRPr="00C03D34" w:rsidRDefault="00A9484F" w:rsidP="00A809A9">
            <w:pPr>
              <w:jc w:val="both"/>
              <w:rPr>
                <w:sz w:val="20"/>
                <w:lang w:val="fr-CA"/>
              </w:rPr>
            </w:pPr>
          </w:p>
        </w:tc>
      </w:tr>
      <w:tr w:rsidR="00A9484F" w:rsidRPr="00584E5B" w:rsidTr="00E77667">
        <w:trPr>
          <w:cantSplit/>
        </w:trPr>
        <w:tc>
          <w:tcPr>
            <w:tcW w:w="2427" w:type="pct"/>
          </w:tcPr>
          <w:p w:rsidR="00A9484F" w:rsidRPr="00C03D34" w:rsidRDefault="00A9484F" w:rsidP="00A809A9">
            <w:pPr>
              <w:jc w:val="both"/>
              <w:rPr>
                <w:sz w:val="20"/>
                <w:lang w:val="fr-CA"/>
              </w:rPr>
            </w:pPr>
            <w:r w:rsidRPr="00C03D34">
              <w:rPr>
                <w:sz w:val="20"/>
                <w:lang w:val="fr-CA"/>
              </w:rPr>
              <w:t>6 mai 2014</w:t>
            </w:r>
          </w:p>
          <w:p w:rsidR="00A9484F" w:rsidRPr="00C03D34" w:rsidRDefault="00A9484F" w:rsidP="00A809A9">
            <w:pPr>
              <w:jc w:val="both"/>
              <w:rPr>
                <w:sz w:val="20"/>
                <w:lang w:val="fr-CA"/>
              </w:rPr>
            </w:pPr>
            <w:r w:rsidRPr="00C03D34">
              <w:rPr>
                <w:sz w:val="20"/>
                <w:lang w:val="fr-CA"/>
              </w:rPr>
              <w:t>Cour suprême du Canada</w:t>
            </w:r>
          </w:p>
        </w:tc>
        <w:tc>
          <w:tcPr>
            <w:tcW w:w="243" w:type="pct"/>
          </w:tcPr>
          <w:p w:rsidR="00A9484F" w:rsidRPr="00C03D34" w:rsidRDefault="00A9484F" w:rsidP="00A809A9">
            <w:pPr>
              <w:jc w:val="both"/>
              <w:rPr>
                <w:sz w:val="20"/>
                <w:lang w:val="fr-CA"/>
              </w:rPr>
            </w:pPr>
          </w:p>
        </w:tc>
        <w:tc>
          <w:tcPr>
            <w:tcW w:w="2330" w:type="pct"/>
          </w:tcPr>
          <w:p w:rsidR="00A9484F" w:rsidRPr="00C03D34" w:rsidRDefault="00A9484F" w:rsidP="00A809A9">
            <w:pPr>
              <w:jc w:val="both"/>
              <w:rPr>
                <w:sz w:val="20"/>
                <w:lang w:val="fr-CA"/>
              </w:rPr>
            </w:pPr>
            <w:r w:rsidRPr="00C03D34">
              <w:rPr>
                <w:sz w:val="20"/>
                <w:lang w:val="fr-CA"/>
              </w:rPr>
              <w:t xml:space="preserve">Demande d’autorisation d’appel modifiée déposée </w:t>
            </w:r>
          </w:p>
        </w:tc>
      </w:tr>
    </w:tbl>
    <w:p w:rsidR="008F72E8" w:rsidRPr="00A9484F" w:rsidRDefault="008F72E8" w:rsidP="008F72E8">
      <w:pPr>
        <w:rPr>
          <w:sz w:val="20"/>
          <w:szCs w:val="20"/>
          <w:lang w:val="fr-CA"/>
        </w:rPr>
      </w:pPr>
    </w:p>
    <w:p w:rsidR="008F72E8" w:rsidRDefault="00584E5B" w:rsidP="008F72E8">
      <w:pPr>
        <w:rPr>
          <w:sz w:val="20"/>
          <w:szCs w:val="20"/>
          <w:lang w:val="fr-CA"/>
        </w:rPr>
      </w:pPr>
      <w:r>
        <w:rPr>
          <w:sz w:val="20"/>
          <w:szCs w:val="20"/>
          <w:lang w:val="fr-CA"/>
        </w:rPr>
        <w:pict>
          <v:rect id="_x0000_i1047" style="width:2in;height:1pt" o:hrpct="0" o:hralign="center" o:hrstd="t" o:hrnoshade="t" o:hr="t" fillcolor="black [3213]" stroked="f"/>
        </w:pict>
      </w:r>
    </w:p>
    <w:p w:rsidR="008F72E8" w:rsidRDefault="008F72E8" w:rsidP="008F72E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35826</w:t>
            </w:r>
          </w:p>
          <w:p w:rsidR="00E77667" w:rsidRPr="007D142E" w:rsidRDefault="00E77667" w:rsidP="002A3A49">
            <w:pPr>
              <w:rPr>
                <w:b/>
                <w:sz w:val="20"/>
                <w:szCs w:val="20"/>
                <w:lang w:val="fr-CA"/>
              </w:rPr>
            </w:pPr>
          </w:p>
        </w:tc>
        <w:tc>
          <w:tcPr>
            <w:tcW w:w="8118" w:type="dxa"/>
          </w:tcPr>
          <w:p w:rsidR="00E77667" w:rsidRPr="007D142E" w:rsidRDefault="00E77667" w:rsidP="002A3A49">
            <w:pPr>
              <w:rPr>
                <w:sz w:val="20"/>
                <w:szCs w:val="20"/>
              </w:rPr>
            </w:pPr>
            <w:r w:rsidRPr="007D142E">
              <w:rPr>
                <w:rStyle w:val="SCCLsocChar"/>
                <w:sz w:val="20"/>
                <w:szCs w:val="20"/>
                <w:lang w:val="en-CA"/>
              </w:rPr>
              <w:t>Her Majesty the Queen v. Jamuar Sharat Vijaya</w:t>
            </w:r>
            <w:r w:rsidRPr="007D142E">
              <w:rPr>
                <w:sz w:val="20"/>
                <w:szCs w:val="20"/>
              </w:rPr>
              <w:t xml:space="preserve"> (Ont.) (Criminal) (By Leave)</w:t>
            </w:r>
          </w:p>
          <w:p w:rsidR="00E77667" w:rsidRPr="007D142E" w:rsidRDefault="00E77667" w:rsidP="002A3A49">
            <w:pPr>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t>The application for leave to appeal from the judgment of the Ontario Superior Court of Justice, Number M331/13, 2014 ONSC 1653, dated March 14, 2014, is dismissed without costs.</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demande d’autorisation d’appel de l’arrêt de la Cour supérieure de justice de l’Ontario, numéro M331/13, 2014 ONSC 1653, daté du 14 mars 2014, est rejetée sans dépens.</w:t>
            </w:r>
          </w:p>
        </w:tc>
      </w:tr>
    </w:tbl>
    <w:p w:rsidR="008F72E8" w:rsidRPr="00E77667" w:rsidRDefault="008F72E8" w:rsidP="000E2959">
      <w:pPr>
        <w:rPr>
          <w:sz w:val="20"/>
          <w:szCs w:val="20"/>
          <w:lang w:val="fr-CA"/>
        </w:rPr>
      </w:pPr>
    </w:p>
    <w:p w:rsidR="008F72E8" w:rsidRPr="001B157C" w:rsidRDefault="008F72E8" w:rsidP="008F72E8">
      <w:pPr>
        <w:rPr>
          <w:sz w:val="20"/>
          <w:szCs w:val="20"/>
          <w:u w:val="single"/>
        </w:rPr>
      </w:pPr>
      <w:r w:rsidRPr="001B157C">
        <w:rPr>
          <w:sz w:val="20"/>
          <w:szCs w:val="20"/>
          <w:u w:val="single"/>
        </w:rPr>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C03D34" w:rsidTr="00A809A9">
        <w:tc>
          <w:tcPr>
            <w:tcW w:w="5000" w:type="pct"/>
            <w:gridSpan w:val="3"/>
          </w:tcPr>
          <w:p w:rsidR="00A9484F" w:rsidRPr="00C03D34" w:rsidRDefault="00A9484F" w:rsidP="00A809A9">
            <w:pPr>
              <w:jc w:val="both"/>
              <w:rPr>
                <w:sz w:val="20"/>
              </w:rPr>
            </w:pPr>
            <w:r w:rsidRPr="00C03D34">
              <w:rPr>
                <w:i/>
                <w:sz w:val="20"/>
              </w:rPr>
              <w:t>Charter of Rights and Freedoms</w:t>
            </w:r>
            <w:r w:rsidRPr="00C03D34">
              <w:rPr>
                <w:sz w:val="20"/>
              </w:rPr>
              <w:t xml:space="preserve"> – Search and Seizure – Remedy – Application to quash search warrants – When should a superior court decline to hear a </w:t>
            </w:r>
            <w:r w:rsidRPr="00C03D34">
              <w:rPr>
                <w:i/>
                <w:sz w:val="20"/>
              </w:rPr>
              <w:t>Charter</w:t>
            </w:r>
            <w:r w:rsidRPr="00C03D34">
              <w:rPr>
                <w:sz w:val="20"/>
              </w:rPr>
              <w:t xml:space="preserve"> application that is brought prior to charges being laid, seeking to quash a search warrant? – What legal standards govern such a </w:t>
            </w:r>
            <w:r w:rsidRPr="00C03D34">
              <w:rPr>
                <w:i/>
                <w:sz w:val="20"/>
              </w:rPr>
              <w:t>Charter</w:t>
            </w:r>
            <w:r w:rsidRPr="00C03D34">
              <w:rPr>
                <w:sz w:val="20"/>
              </w:rPr>
              <w:t xml:space="preserve"> application? – If a </w:t>
            </w:r>
            <w:r w:rsidRPr="00C03D34">
              <w:rPr>
                <w:i/>
                <w:sz w:val="20"/>
              </w:rPr>
              <w:t>Charter</w:t>
            </w:r>
            <w:r w:rsidRPr="00C03D34">
              <w:rPr>
                <w:sz w:val="20"/>
              </w:rPr>
              <w:t xml:space="preserve"> application seeking to quash a search warrant is brought when the things seized have not yet been examined, are police required to cease examination pending the outcome of the application? – Does it matter that solicitor-client privilege is presumed to exist in portions of the things seized, when the examination is to be conducted by an independent court-supervised examiner? – When a </w:t>
            </w:r>
            <w:r w:rsidRPr="00C03D34">
              <w:rPr>
                <w:i/>
                <w:sz w:val="20"/>
              </w:rPr>
              <w:t>Charter</w:t>
            </w:r>
            <w:r w:rsidRPr="00C03D34">
              <w:rPr>
                <w:sz w:val="20"/>
              </w:rPr>
              <w:t xml:space="preserve"> application seeking to quash a search warrant is brought by a person who is not charged with an offence relating to the search, is the person entitled to disclosure of the police investigation beyond what is already disclosed in the Information to Obtain the warrant? – </w:t>
            </w:r>
            <w:r w:rsidRPr="00C03D34">
              <w:rPr>
                <w:i/>
                <w:sz w:val="20"/>
              </w:rPr>
              <w:t>Canadian Charter of Rights and Freedoms</w:t>
            </w:r>
            <w:r w:rsidRPr="00C03D34">
              <w:rPr>
                <w:sz w:val="20"/>
              </w:rPr>
              <w:t xml:space="preserve"> ss. 8 and 24(1).</w:t>
            </w:r>
          </w:p>
        </w:tc>
      </w:tr>
      <w:tr w:rsidR="00A9484F" w:rsidRPr="00C03D34" w:rsidTr="00A809A9">
        <w:tc>
          <w:tcPr>
            <w:tcW w:w="5000" w:type="pct"/>
            <w:gridSpan w:val="3"/>
          </w:tcPr>
          <w:p w:rsidR="00A9484F" w:rsidRPr="00C03D34" w:rsidRDefault="00A9484F" w:rsidP="00A809A9">
            <w:pPr>
              <w:jc w:val="both"/>
              <w:rPr>
                <w:sz w:val="20"/>
              </w:rPr>
            </w:pPr>
          </w:p>
        </w:tc>
      </w:tr>
      <w:tr w:rsidR="00A9484F" w:rsidRPr="00C03D34" w:rsidTr="00A809A9">
        <w:tc>
          <w:tcPr>
            <w:tcW w:w="5000" w:type="pct"/>
            <w:gridSpan w:val="3"/>
          </w:tcPr>
          <w:p w:rsidR="00A9484F" w:rsidRPr="00C03D34" w:rsidRDefault="00A9484F" w:rsidP="00A809A9">
            <w:pPr>
              <w:jc w:val="both"/>
              <w:rPr>
                <w:sz w:val="20"/>
              </w:rPr>
            </w:pPr>
            <w:r w:rsidRPr="00C03D34">
              <w:rPr>
                <w:sz w:val="20"/>
              </w:rPr>
              <w:t>The applicant brought an application to quash the search warrants regarding his work computers.  No charges have been laid yet.  The applicant sought to cross-examine the affiant of the Information to Obtain (hereinafter the ITO), the sub-affiant (who is the lead investigator), the applicant’s wife and her friend.  The applicant also sought production of various pieces of material that are referred to by the affiant in the ITO.  The applications judge concluded that the applicant is entitled to disclosure of material referred to, or summarized, by the affiant in the ITO.  However, it is premature to make any determination of whether the applicant should be granted leave to cross-examine until the required disclosure is made.</w:t>
            </w:r>
          </w:p>
          <w:p w:rsidR="00A9484F" w:rsidRPr="00C03D34" w:rsidRDefault="00A9484F" w:rsidP="00A809A9">
            <w:pPr>
              <w:jc w:val="both"/>
              <w:rPr>
                <w:sz w:val="20"/>
              </w:rPr>
            </w:pPr>
          </w:p>
        </w:tc>
      </w:tr>
      <w:tr w:rsidR="00A9484F" w:rsidRPr="00C03D34" w:rsidTr="00E77667">
        <w:trPr>
          <w:cantSplit/>
        </w:trPr>
        <w:tc>
          <w:tcPr>
            <w:tcW w:w="2427" w:type="pct"/>
          </w:tcPr>
          <w:p w:rsidR="00A9484F" w:rsidRPr="00C03D34" w:rsidRDefault="00A9484F" w:rsidP="00A809A9">
            <w:pPr>
              <w:jc w:val="both"/>
              <w:rPr>
                <w:sz w:val="20"/>
              </w:rPr>
            </w:pPr>
            <w:r w:rsidRPr="00C03D34">
              <w:rPr>
                <w:sz w:val="20"/>
              </w:rPr>
              <w:lastRenderedPageBreak/>
              <w:t>March 14, 2014</w:t>
            </w:r>
          </w:p>
          <w:p w:rsidR="00A9484F" w:rsidRPr="00C03D34" w:rsidRDefault="00A9484F" w:rsidP="00A809A9">
            <w:pPr>
              <w:jc w:val="both"/>
              <w:rPr>
                <w:sz w:val="20"/>
              </w:rPr>
            </w:pPr>
            <w:r w:rsidRPr="00C03D34">
              <w:rPr>
                <w:sz w:val="20"/>
              </w:rPr>
              <w:t>Ontario Superior Court of Justice</w:t>
            </w:r>
          </w:p>
          <w:p w:rsidR="00A9484F" w:rsidRPr="00C03D34" w:rsidRDefault="00A9484F" w:rsidP="00A809A9">
            <w:pPr>
              <w:jc w:val="both"/>
              <w:rPr>
                <w:sz w:val="20"/>
                <w:lang w:val="fr-FR"/>
              </w:rPr>
            </w:pPr>
            <w:r w:rsidRPr="00C03D34">
              <w:rPr>
                <w:sz w:val="20"/>
                <w:lang w:val="fr-FR"/>
              </w:rPr>
              <w:t>(Nordheimer J.)</w:t>
            </w:r>
          </w:p>
          <w:p w:rsidR="00A9484F" w:rsidRPr="00C03D34" w:rsidRDefault="00A9484F" w:rsidP="00A809A9">
            <w:pPr>
              <w:jc w:val="both"/>
              <w:rPr>
                <w:sz w:val="20"/>
                <w:lang w:val="fr-FR"/>
              </w:rPr>
            </w:pPr>
            <w:r w:rsidRPr="00C03D34">
              <w:rPr>
                <w:sz w:val="20"/>
                <w:lang w:val="fr-FR"/>
              </w:rPr>
              <w:t>2014 ONSC 1653</w:t>
            </w:r>
          </w:p>
          <w:p w:rsidR="00A9484F" w:rsidRPr="00C03D34" w:rsidRDefault="00584E5B" w:rsidP="00A809A9">
            <w:pPr>
              <w:jc w:val="both"/>
              <w:rPr>
                <w:sz w:val="20"/>
                <w:lang w:val="fr-FR"/>
              </w:rPr>
            </w:pPr>
            <w:hyperlink r:id="rId28" w:history="1">
              <w:r w:rsidR="00A9484F" w:rsidRPr="00C03D34">
                <w:rPr>
                  <w:rStyle w:val="Hyperlink"/>
                  <w:sz w:val="20"/>
                  <w:lang w:val="fr-FR"/>
                </w:rPr>
                <w:t>http://canlii.ca/t/g65s6</w:t>
              </w:r>
            </w:hyperlink>
          </w:p>
          <w:p w:rsidR="00A9484F" w:rsidRPr="00C03D34" w:rsidRDefault="00A9484F" w:rsidP="00A809A9">
            <w:pPr>
              <w:jc w:val="both"/>
              <w:rPr>
                <w:sz w:val="20"/>
                <w:lang w:val="fr-FR"/>
              </w:rPr>
            </w:pPr>
          </w:p>
        </w:tc>
        <w:tc>
          <w:tcPr>
            <w:tcW w:w="243" w:type="pct"/>
          </w:tcPr>
          <w:p w:rsidR="00A9484F" w:rsidRPr="00C03D34" w:rsidRDefault="00A9484F" w:rsidP="00A809A9">
            <w:pPr>
              <w:jc w:val="both"/>
              <w:rPr>
                <w:sz w:val="20"/>
                <w:lang w:val="fr-FR"/>
              </w:rPr>
            </w:pPr>
          </w:p>
        </w:tc>
        <w:tc>
          <w:tcPr>
            <w:tcW w:w="2330" w:type="pct"/>
          </w:tcPr>
          <w:p w:rsidR="00A9484F" w:rsidRPr="00C03D34" w:rsidRDefault="00A9484F" w:rsidP="00A809A9">
            <w:pPr>
              <w:jc w:val="both"/>
              <w:rPr>
                <w:sz w:val="20"/>
              </w:rPr>
            </w:pPr>
            <w:r w:rsidRPr="00C03D34">
              <w:rPr>
                <w:sz w:val="20"/>
              </w:rPr>
              <w:t>Ruling: applicant is entitled to disclosure of material referred to, or summarized, by the affiant in the Information to Obtain the warrant</w:t>
            </w:r>
          </w:p>
          <w:p w:rsidR="00A9484F" w:rsidRPr="00C03D34" w:rsidRDefault="00A9484F" w:rsidP="00A809A9">
            <w:pPr>
              <w:jc w:val="both"/>
              <w:rPr>
                <w:sz w:val="20"/>
              </w:rPr>
            </w:pPr>
          </w:p>
          <w:p w:rsidR="00A9484F" w:rsidRPr="00C03D34" w:rsidRDefault="00A9484F" w:rsidP="00A809A9">
            <w:pPr>
              <w:jc w:val="both"/>
              <w:rPr>
                <w:sz w:val="20"/>
              </w:rPr>
            </w:pPr>
          </w:p>
        </w:tc>
      </w:tr>
      <w:tr w:rsidR="00A9484F" w:rsidRPr="00C03D34" w:rsidTr="00E77667">
        <w:trPr>
          <w:cantSplit/>
        </w:trPr>
        <w:tc>
          <w:tcPr>
            <w:tcW w:w="2427" w:type="pct"/>
          </w:tcPr>
          <w:p w:rsidR="00A9484F" w:rsidRPr="00C03D34" w:rsidRDefault="00A9484F" w:rsidP="00A809A9">
            <w:pPr>
              <w:jc w:val="both"/>
              <w:rPr>
                <w:sz w:val="20"/>
              </w:rPr>
            </w:pPr>
            <w:r w:rsidRPr="00C03D34">
              <w:rPr>
                <w:sz w:val="20"/>
              </w:rPr>
              <w:t>April 11, 2014</w:t>
            </w:r>
          </w:p>
          <w:p w:rsidR="00A9484F" w:rsidRPr="00C03D34" w:rsidRDefault="00A9484F" w:rsidP="00A809A9">
            <w:pPr>
              <w:jc w:val="both"/>
              <w:rPr>
                <w:sz w:val="20"/>
              </w:rPr>
            </w:pPr>
            <w:r w:rsidRPr="00C03D34">
              <w:rPr>
                <w:sz w:val="20"/>
              </w:rPr>
              <w:t>Supreme Court of Canada</w:t>
            </w:r>
          </w:p>
        </w:tc>
        <w:tc>
          <w:tcPr>
            <w:tcW w:w="243" w:type="pct"/>
          </w:tcPr>
          <w:p w:rsidR="00A9484F" w:rsidRPr="00C03D34" w:rsidRDefault="00A9484F" w:rsidP="00A809A9">
            <w:pPr>
              <w:jc w:val="both"/>
              <w:rPr>
                <w:sz w:val="20"/>
              </w:rPr>
            </w:pPr>
          </w:p>
        </w:tc>
        <w:tc>
          <w:tcPr>
            <w:tcW w:w="2330" w:type="pct"/>
          </w:tcPr>
          <w:p w:rsidR="00A9484F" w:rsidRPr="00C03D34" w:rsidRDefault="00A9484F" w:rsidP="00A809A9">
            <w:pPr>
              <w:jc w:val="both"/>
              <w:rPr>
                <w:sz w:val="20"/>
              </w:rPr>
            </w:pPr>
            <w:r w:rsidRPr="00C03D34">
              <w:rPr>
                <w:sz w:val="20"/>
              </w:rPr>
              <w:t>Application for leave to appeal filed</w:t>
            </w: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48"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484F" w:rsidRPr="00584E5B" w:rsidTr="00A809A9">
        <w:tc>
          <w:tcPr>
            <w:tcW w:w="5000" w:type="pct"/>
            <w:gridSpan w:val="3"/>
          </w:tcPr>
          <w:p w:rsidR="00A9484F" w:rsidRPr="00C03D34" w:rsidRDefault="00A9484F" w:rsidP="00A809A9">
            <w:pPr>
              <w:jc w:val="both"/>
              <w:rPr>
                <w:sz w:val="20"/>
                <w:lang w:val="fr-CA"/>
              </w:rPr>
            </w:pPr>
            <w:r w:rsidRPr="00C03D34">
              <w:rPr>
                <w:i/>
                <w:sz w:val="20"/>
                <w:lang w:val="fr-CA"/>
              </w:rPr>
              <w:t>Charte des droits et libertés</w:t>
            </w:r>
            <w:r w:rsidRPr="00C03D34">
              <w:rPr>
                <w:sz w:val="20"/>
                <w:lang w:val="fr-CA"/>
              </w:rPr>
              <w:t xml:space="preserve"> – Fouilles, perquisitions et saisies – Réparation – Demande d’annulation de mandats de perquisition – Dans quels cas une cour supérieure doit-elle refuser d’entendre une demande d’annulation de mandat de perquisition qui est présentée en vertu de la </w:t>
            </w:r>
            <w:r w:rsidRPr="00C03D34">
              <w:rPr>
                <w:i/>
                <w:sz w:val="20"/>
                <w:lang w:val="fr-CA"/>
              </w:rPr>
              <w:t>Charte</w:t>
            </w:r>
            <w:r w:rsidRPr="00C03D34">
              <w:rPr>
                <w:sz w:val="20"/>
                <w:lang w:val="fr-CA"/>
              </w:rPr>
              <w:t xml:space="preserve"> avant le dépôt des accusations? – Quelles normes juridiques s’appliquent à une telle demande faite en vertu de la </w:t>
            </w:r>
            <w:r w:rsidRPr="00C03D34">
              <w:rPr>
                <w:i/>
                <w:sz w:val="20"/>
                <w:lang w:val="fr-CA"/>
              </w:rPr>
              <w:t>Charte</w:t>
            </w:r>
            <w:r w:rsidRPr="00C03D34">
              <w:rPr>
                <w:sz w:val="20"/>
                <w:lang w:val="fr-CA"/>
              </w:rPr>
              <w:t xml:space="preserve">? – Si une demande d’annulation de mandat de perquisition est présentée en vertu de la </w:t>
            </w:r>
            <w:r w:rsidRPr="00C03D34">
              <w:rPr>
                <w:i/>
                <w:sz w:val="20"/>
                <w:lang w:val="fr-CA"/>
              </w:rPr>
              <w:t xml:space="preserve">Charte </w:t>
            </w:r>
            <w:r w:rsidRPr="00C03D34">
              <w:rPr>
                <w:sz w:val="20"/>
                <w:lang w:val="fr-CA"/>
              </w:rPr>
              <w:t xml:space="preserve">avant que les objets saisis ne soient examinés, les policiers sont-ils tenus d’interrompre l’examen en attendant l’issue de la demande? – Importe-t-il que le secret professionnel de l’avocat est présumé exister dans certaines parties des objets saisis lorsque l’examen est effectué par un examinateur indépendant sous la surveillance du tribunal? – Lorsqu’une demande d’annulation de mandat de perquisition est présentée en vertu de la </w:t>
            </w:r>
            <w:r w:rsidRPr="00C03D34">
              <w:rPr>
                <w:i/>
                <w:sz w:val="20"/>
                <w:lang w:val="fr-CA"/>
              </w:rPr>
              <w:t>Charte</w:t>
            </w:r>
            <w:r w:rsidRPr="00C03D34">
              <w:rPr>
                <w:sz w:val="20"/>
                <w:lang w:val="fr-CA"/>
              </w:rPr>
              <w:t xml:space="preserve"> par une personne qui n’est pas accusée d’une infraction liée à la perquisition, cette personne a-t-elle droit à la communication des résultats de l’enquête policière en plus des renseignements delà fournis dans la dénonciation visant l’obtention d’un mandat? – </w:t>
            </w:r>
            <w:r w:rsidRPr="00C03D34">
              <w:rPr>
                <w:i/>
                <w:sz w:val="20"/>
                <w:lang w:val="fr-CA"/>
              </w:rPr>
              <w:t xml:space="preserve">Charte canadienne des droits et libertés </w:t>
            </w:r>
            <w:r w:rsidRPr="00C03D34">
              <w:rPr>
                <w:sz w:val="20"/>
                <w:lang w:val="fr-CA"/>
              </w:rPr>
              <w:t>art. 8 et 24(1).</w:t>
            </w:r>
          </w:p>
        </w:tc>
      </w:tr>
      <w:tr w:rsidR="00A9484F" w:rsidRPr="00584E5B" w:rsidTr="00A809A9">
        <w:tc>
          <w:tcPr>
            <w:tcW w:w="5000" w:type="pct"/>
            <w:gridSpan w:val="3"/>
          </w:tcPr>
          <w:p w:rsidR="00A9484F" w:rsidRPr="00C03D34" w:rsidRDefault="00A9484F" w:rsidP="00A809A9">
            <w:pPr>
              <w:jc w:val="both"/>
              <w:rPr>
                <w:sz w:val="20"/>
                <w:lang w:val="fr-CA"/>
              </w:rPr>
            </w:pPr>
          </w:p>
        </w:tc>
      </w:tr>
      <w:tr w:rsidR="00A9484F" w:rsidRPr="00584E5B" w:rsidTr="00A809A9">
        <w:tc>
          <w:tcPr>
            <w:tcW w:w="5000" w:type="pct"/>
            <w:gridSpan w:val="3"/>
          </w:tcPr>
          <w:p w:rsidR="00A9484F" w:rsidRPr="00C03D34" w:rsidRDefault="00A9484F" w:rsidP="00A809A9">
            <w:pPr>
              <w:jc w:val="both"/>
              <w:rPr>
                <w:sz w:val="20"/>
                <w:lang w:val="fr-CA"/>
              </w:rPr>
            </w:pPr>
            <w:r w:rsidRPr="00C03D34">
              <w:rPr>
                <w:sz w:val="20"/>
                <w:lang w:val="fr-CA"/>
              </w:rPr>
              <w:t xml:space="preserve">Le demandeur a présenté une demande d’annulation des mandats de perquisition visant ses ordinateurs du travail.  Aucune accusation n’a encore été déposée.  Le demandeur a cherché à contre-interroger le déposant de la dénonciation visant l’obtention d’un mandat (ci-après la dénonciation), le sous-déposant (l’enquêteur principal), l’épouse du demandeur et l’amie de son épouse.  Le demandeur a aussi cherché à obtenir la production de différents documents dont parle le déposant dans la dénonciation.  Le juge des requêtes a conclu que le demandeur a droit à la communication des documents que le déposant mentionne ou résume dans la dénonciation. Toutefois, il est trop tôt pour décider si on accordera au demandeur l’autorisation de contre-interroger avant que la communication de la preuve requise soit faite. </w:t>
            </w:r>
          </w:p>
          <w:p w:rsidR="00A9484F" w:rsidRPr="00C03D34" w:rsidRDefault="00A9484F" w:rsidP="00A809A9">
            <w:pPr>
              <w:jc w:val="both"/>
              <w:rPr>
                <w:sz w:val="20"/>
                <w:lang w:val="fr-CA"/>
              </w:rPr>
            </w:pPr>
          </w:p>
        </w:tc>
      </w:tr>
      <w:tr w:rsidR="00A9484F" w:rsidRPr="00584E5B" w:rsidTr="00A809A9">
        <w:tc>
          <w:tcPr>
            <w:tcW w:w="2427" w:type="pct"/>
          </w:tcPr>
          <w:p w:rsidR="00A9484F" w:rsidRPr="00C03D34" w:rsidRDefault="00A9484F" w:rsidP="00A809A9">
            <w:pPr>
              <w:jc w:val="both"/>
              <w:rPr>
                <w:sz w:val="20"/>
                <w:lang w:val="fr-CA"/>
              </w:rPr>
            </w:pPr>
            <w:r w:rsidRPr="00C03D34">
              <w:rPr>
                <w:sz w:val="20"/>
                <w:lang w:val="fr-CA"/>
              </w:rPr>
              <w:t>14 mars 2014</w:t>
            </w:r>
          </w:p>
          <w:p w:rsidR="00A9484F" w:rsidRPr="00C03D34" w:rsidRDefault="00A9484F" w:rsidP="00A809A9">
            <w:pPr>
              <w:jc w:val="both"/>
              <w:rPr>
                <w:sz w:val="20"/>
                <w:lang w:val="fr-CA"/>
              </w:rPr>
            </w:pPr>
            <w:r w:rsidRPr="00C03D34">
              <w:rPr>
                <w:sz w:val="20"/>
                <w:lang w:val="fr-CA"/>
              </w:rPr>
              <w:t>Cour supérieure de justice de l’Ontario</w:t>
            </w:r>
          </w:p>
          <w:p w:rsidR="00A9484F" w:rsidRPr="00C03D34" w:rsidRDefault="00A9484F" w:rsidP="00A809A9">
            <w:pPr>
              <w:jc w:val="both"/>
              <w:rPr>
                <w:sz w:val="20"/>
                <w:lang w:val="fr-FR"/>
              </w:rPr>
            </w:pPr>
            <w:r w:rsidRPr="00C03D34">
              <w:rPr>
                <w:sz w:val="20"/>
                <w:lang w:val="fr-FR"/>
              </w:rPr>
              <w:t>(Juge Nordheimer)</w:t>
            </w:r>
          </w:p>
          <w:p w:rsidR="00A9484F" w:rsidRPr="00C03D34" w:rsidRDefault="00A9484F" w:rsidP="00A809A9">
            <w:pPr>
              <w:jc w:val="both"/>
              <w:rPr>
                <w:sz w:val="20"/>
                <w:lang w:val="fr-FR"/>
              </w:rPr>
            </w:pPr>
            <w:r w:rsidRPr="00C03D34">
              <w:rPr>
                <w:sz w:val="20"/>
                <w:lang w:val="fr-FR"/>
              </w:rPr>
              <w:t>2014 ONSC 1653</w:t>
            </w:r>
          </w:p>
          <w:p w:rsidR="00A9484F" w:rsidRPr="00C03D34" w:rsidRDefault="00584E5B" w:rsidP="00A809A9">
            <w:pPr>
              <w:jc w:val="both"/>
              <w:rPr>
                <w:sz w:val="20"/>
                <w:lang w:val="fr-FR"/>
              </w:rPr>
            </w:pPr>
            <w:hyperlink r:id="rId29" w:history="1">
              <w:r w:rsidR="00A9484F" w:rsidRPr="00C03D34">
                <w:rPr>
                  <w:rStyle w:val="Hyperlink"/>
                  <w:sz w:val="20"/>
                  <w:lang w:val="fr-FR"/>
                </w:rPr>
                <w:t>http://canlii.ca/t/g65s6</w:t>
              </w:r>
            </w:hyperlink>
          </w:p>
          <w:p w:rsidR="00A9484F" w:rsidRPr="00C03D34" w:rsidRDefault="00A9484F" w:rsidP="00A809A9">
            <w:pPr>
              <w:jc w:val="both"/>
              <w:rPr>
                <w:sz w:val="20"/>
                <w:lang w:val="fr-FR"/>
              </w:rPr>
            </w:pPr>
          </w:p>
        </w:tc>
        <w:tc>
          <w:tcPr>
            <w:tcW w:w="243" w:type="pct"/>
          </w:tcPr>
          <w:p w:rsidR="00A9484F" w:rsidRPr="00C03D34" w:rsidRDefault="00A9484F" w:rsidP="00A809A9">
            <w:pPr>
              <w:jc w:val="both"/>
              <w:rPr>
                <w:sz w:val="20"/>
                <w:lang w:val="fr-FR"/>
              </w:rPr>
            </w:pPr>
          </w:p>
        </w:tc>
        <w:tc>
          <w:tcPr>
            <w:tcW w:w="2330" w:type="pct"/>
          </w:tcPr>
          <w:p w:rsidR="00A9484F" w:rsidRPr="00C03D34" w:rsidRDefault="00A9484F" w:rsidP="00A809A9">
            <w:pPr>
              <w:jc w:val="both"/>
              <w:rPr>
                <w:sz w:val="20"/>
                <w:lang w:val="fr-FR"/>
              </w:rPr>
            </w:pPr>
            <w:r w:rsidRPr="00C03D34">
              <w:rPr>
                <w:sz w:val="20"/>
                <w:lang w:val="fr-FR"/>
              </w:rPr>
              <w:t>Décision : le demandeur a droit à la communication des documents que le déposant mentionne ou résume dans la dénonciation</w:t>
            </w:r>
          </w:p>
          <w:p w:rsidR="00A9484F" w:rsidRPr="00C03D34" w:rsidRDefault="00A9484F" w:rsidP="00A809A9">
            <w:pPr>
              <w:jc w:val="both"/>
              <w:rPr>
                <w:sz w:val="20"/>
                <w:lang w:val="fr-FR"/>
              </w:rPr>
            </w:pPr>
          </w:p>
          <w:p w:rsidR="00A9484F" w:rsidRPr="00C03D34" w:rsidRDefault="00A9484F" w:rsidP="00A809A9">
            <w:pPr>
              <w:jc w:val="both"/>
              <w:rPr>
                <w:sz w:val="20"/>
                <w:lang w:val="fr-FR"/>
              </w:rPr>
            </w:pPr>
          </w:p>
        </w:tc>
      </w:tr>
      <w:tr w:rsidR="00A9484F" w:rsidRPr="00C03D34" w:rsidTr="00A809A9">
        <w:tc>
          <w:tcPr>
            <w:tcW w:w="2427" w:type="pct"/>
          </w:tcPr>
          <w:p w:rsidR="00A9484F" w:rsidRPr="00A9484F" w:rsidRDefault="00A9484F" w:rsidP="00A809A9">
            <w:pPr>
              <w:jc w:val="both"/>
              <w:rPr>
                <w:sz w:val="20"/>
                <w:lang w:val="fr-CA"/>
              </w:rPr>
            </w:pPr>
            <w:r w:rsidRPr="00A9484F">
              <w:rPr>
                <w:sz w:val="20"/>
                <w:lang w:val="fr-CA"/>
              </w:rPr>
              <w:t>11 avril 2014</w:t>
            </w:r>
          </w:p>
          <w:p w:rsidR="00A9484F" w:rsidRPr="00A9484F" w:rsidRDefault="00A9484F" w:rsidP="00A809A9">
            <w:pPr>
              <w:jc w:val="both"/>
              <w:rPr>
                <w:sz w:val="20"/>
                <w:lang w:val="fr-CA"/>
              </w:rPr>
            </w:pPr>
            <w:r w:rsidRPr="00A9484F">
              <w:rPr>
                <w:sz w:val="20"/>
                <w:lang w:val="fr-CA"/>
              </w:rPr>
              <w:t>Cour suprême du Canada</w:t>
            </w:r>
          </w:p>
        </w:tc>
        <w:tc>
          <w:tcPr>
            <w:tcW w:w="243" w:type="pct"/>
          </w:tcPr>
          <w:p w:rsidR="00A9484F" w:rsidRPr="00A9484F" w:rsidRDefault="00A9484F" w:rsidP="00A809A9">
            <w:pPr>
              <w:jc w:val="both"/>
              <w:rPr>
                <w:sz w:val="20"/>
                <w:lang w:val="fr-CA"/>
              </w:rPr>
            </w:pPr>
          </w:p>
        </w:tc>
        <w:tc>
          <w:tcPr>
            <w:tcW w:w="2330" w:type="pct"/>
          </w:tcPr>
          <w:p w:rsidR="00A9484F" w:rsidRPr="006A2066" w:rsidRDefault="00A9484F" w:rsidP="00A809A9">
            <w:pPr>
              <w:jc w:val="both"/>
              <w:rPr>
                <w:sz w:val="20"/>
                <w:lang w:val="fr-CA"/>
              </w:rPr>
            </w:pPr>
            <w:r w:rsidRPr="006A2066">
              <w:rPr>
                <w:sz w:val="20"/>
                <w:lang w:val="fr-CA"/>
              </w:rPr>
              <w:t>Demande d’autorisation d’appel déposée</w:t>
            </w:r>
          </w:p>
        </w:tc>
      </w:tr>
    </w:tbl>
    <w:p w:rsidR="008F72E8" w:rsidRDefault="008F72E8" w:rsidP="008F72E8">
      <w:pPr>
        <w:rPr>
          <w:sz w:val="20"/>
          <w:szCs w:val="20"/>
        </w:rPr>
      </w:pPr>
    </w:p>
    <w:p w:rsidR="008F72E8" w:rsidRDefault="00584E5B" w:rsidP="008F72E8">
      <w:pPr>
        <w:rPr>
          <w:sz w:val="20"/>
          <w:szCs w:val="20"/>
          <w:lang w:val="fr-CA"/>
        </w:rPr>
      </w:pPr>
      <w:r>
        <w:rPr>
          <w:sz w:val="20"/>
          <w:szCs w:val="20"/>
          <w:lang w:val="fr-CA"/>
        </w:rPr>
        <w:pict>
          <v:rect id="_x0000_i1049" style="width:2in;height:1pt" o:hrpct="0" o:hralign="center" o:hrstd="t" o:hrnoshade="t" o:hr="t" fillcolor="black [3213]" stroked="f"/>
        </w:pict>
      </w:r>
    </w:p>
    <w:p w:rsidR="008F72E8" w:rsidRDefault="008F72E8" w:rsidP="008F72E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35829</w:t>
            </w:r>
          </w:p>
          <w:p w:rsidR="00E77667" w:rsidRPr="007D142E" w:rsidRDefault="00E77667" w:rsidP="002A3A49">
            <w:pPr>
              <w:rPr>
                <w:b/>
                <w:sz w:val="20"/>
                <w:szCs w:val="20"/>
                <w:lang w:val="fr-CA"/>
              </w:rPr>
            </w:pPr>
          </w:p>
        </w:tc>
        <w:tc>
          <w:tcPr>
            <w:tcW w:w="8118" w:type="dxa"/>
          </w:tcPr>
          <w:p w:rsidR="00E77667" w:rsidRPr="007D142E" w:rsidRDefault="00E77667" w:rsidP="002A3A49">
            <w:pPr>
              <w:rPr>
                <w:sz w:val="20"/>
                <w:szCs w:val="20"/>
              </w:rPr>
            </w:pPr>
            <w:r w:rsidRPr="007D142E">
              <w:rPr>
                <w:rStyle w:val="SCCLsocChar"/>
                <w:sz w:val="20"/>
                <w:szCs w:val="20"/>
                <w:lang w:val="en-CA"/>
              </w:rPr>
              <w:t>Dennis Neil Hamer v. Corporation of the Township of Seguin</w:t>
            </w:r>
            <w:r w:rsidRPr="007D142E">
              <w:rPr>
                <w:sz w:val="20"/>
                <w:szCs w:val="20"/>
              </w:rPr>
              <w:t xml:space="preserve"> (Ont.) (Civil) (By Leave)</w:t>
            </w:r>
          </w:p>
          <w:p w:rsidR="00E77667" w:rsidRPr="007D142E" w:rsidRDefault="00E77667" w:rsidP="002A3A49">
            <w:pPr>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lastRenderedPageBreak/>
              <w:t>The application for leave to appeal from the judgment of the Court of Appeal for Ontario, Number C57449, 2014 ONCA 108, dated February 11, 2014, is dismissed with costs.</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demande d’autorisation d’appel de l’arrêt de la Cour d’appel de l’Ontario, numéro C57449, 2014 ONCA 108, daté du 11 février 2014, est rejetée avec dépens.</w:t>
            </w:r>
          </w:p>
        </w:tc>
      </w:tr>
    </w:tbl>
    <w:p w:rsidR="008F72E8" w:rsidRPr="00E77667" w:rsidRDefault="008F72E8" w:rsidP="000E2959">
      <w:pPr>
        <w:rPr>
          <w:sz w:val="20"/>
          <w:szCs w:val="20"/>
          <w:lang w:val="fr-CA"/>
        </w:rPr>
      </w:pPr>
    </w:p>
    <w:p w:rsidR="008F72E8" w:rsidRPr="001B157C" w:rsidRDefault="008F72E8" w:rsidP="008F72E8">
      <w:pPr>
        <w:rPr>
          <w:sz w:val="20"/>
          <w:szCs w:val="20"/>
          <w:u w:val="single"/>
        </w:rPr>
      </w:pPr>
      <w:r w:rsidRPr="001B157C">
        <w:rPr>
          <w:sz w:val="20"/>
          <w:szCs w:val="20"/>
          <w:u w:val="single"/>
        </w:rPr>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83023" w:rsidRPr="00C03D34" w:rsidTr="00A809A9">
        <w:tc>
          <w:tcPr>
            <w:tcW w:w="5000" w:type="pct"/>
            <w:gridSpan w:val="3"/>
          </w:tcPr>
          <w:p w:rsidR="00583023" w:rsidRPr="00C03D34" w:rsidRDefault="00583023" w:rsidP="00A809A9">
            <w:pPr>
              <w:jc w:val="both"/>
              <w:rPr>
                <w:sz w:val="20"/>
              </w:rPr>
            </w:pPr>
            <w:r w:rsidRPr="00C03D34">
              <w:rPr>
                <w:sz w:val="20"/>
              </w:rPr>
              <w:t>Municipal law — By-laws — Validity — Whether the Court of Appeal erred at law in finding that good faith shall be presumed, without the Municipality having provided any analysis, investigation or evidence that the Municipality acted in good faith, and was consequently within its power in passing the impugned by-law.</w:t>
            </w:r>
          </w:p>
        </w:tc>
      </w:tr>
      <w:tr w:rsidR="00583023" w:rsidRPr="00C03D34" w:rsidTr="00A809A9">
        <w:tc>
          <w:tcPr>
            <w:tcW w:w="5000" w:type="pct"/>
            <w:gridSpan w:val="3"/>
          </w:tcPr>
          <w:p w:rsidR="00583023" w:rsidRPr="00C03D34" w:rsidRDefault="00583023" w:rsidP="00A809A9">
            <w:pPr>
              <w:jc w:val="both"/>
              <w:rPr>
                <w:sz w:val="20"/>
              </w:rPr>
            </w:pPr>
          </w:p>
        </w:tc>
      </w:tr>
      <w:tr w:rsidR="00583023" w:rsidRPr="00C03D34" w:rsidTr="00A809A9">
        <w:tc>
          <w:tcPr>
            <w:tcW w:w="5000" w:type="pct"/>
            <w:gridSpan w:val="3"/>
          </w:tcPr>
          <w:p w:rsidR="00583023" w:rsidRPr="00C03D34" w:rsidRDefault="00583023" w:rsidP="00A809A9">
            <w:pPr>
              <w:jc w:val="both"/>
              <w:rPr>
                <w:sz w:val="20"/>
              </w:rPr>
            </w:pPr>
            <w:r w:rsidRPr="00C03D34">
              <w:rPr>
                <w:sz w:val="20"/>
              </w:rPr>
              <w:t xml:space="preserve">The Township applied for temporary and permanent injunctions restraining Mr. Hamer from providing access to food to any bear and placing or storing any attractants out of doors for the purpose of attracting and/or feeding bears contrary to Township of Seguin By-law 2012-049. Mr. Hamer filed a counter-petition seeking to quash the by-law, alleging that it was </w:t>
            </w:r>
            <w:r w:rsidRPr="00C03D34">
              <w:rPr>
                <w:i/>
                <w:sz w:val="20"/>
              </w:rPr>
              <w:t>ultra vires</w:t>
            </w:r>
            <w:r w:rsidRPr="00C03D34">
              <w:rPr>
                <w:sz w:val="20"/>
              </w:rPr>
              <w:t xml:space="preserve"> of the municipality, enacted in bad faith, and should be considered void for uncertainty.  (The Township argued that the counter-petition was out-of-time, but that argument was dismissed in both lower courts and has not been pursued here.)</w:t>
            </w:r>
          </w:p>
          <w:p w:rsidR="00583023" w:rsidRPr="00C03D34" w:rsidRDefault="00583023" w:rsidP="00A809A9">
            <w:pPr>
              <w:jc w:val="both"/>
              <w:rPr>
                <w:sz w:val="20"/>
              </w:rPr>
            </w:pPr>
          </w:p>
          <w:p w:rsidR="00583023" w:rsidRPr="00C03D34" w:rsidRDefault="00583023" w:rsidP="00A809A9">
            <w:pPr>
              <w:jc w:val="both"/>
              <w:rPr>
                <w:sz w:val="20"/>
              </w:rPr>
            </w:pPr>
            <w:r w:rsidRPr="00C03D34">
              <w:rPr>
                <w:sz w:val="20"/>
              </w:rPr>
              <w:t>The application judge quashed the by-law, declined the Township’s application for injunctive relief and allowed the counter-application.  The Court of Appeal allowed the Township’s appeal, set aside the order quashing by-law, and granted a permanent injunction restraining Mr. Hamer from deliberately feeding any bear or providing access to food to any bear or placing or storing any “attractants”, as defined by the by-law, outdoors for the purpose of attracting or feeding any bear.</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July 8, 2013</w:t>
            </w:r>
          </w:p>
          <w:p w:rsidR="00583023" w:rsidRPr="00C03D34" w:rsidRDefault="00583023" w:rsidP="00A809A9">
            <w:pPr>
              <w:jc w:val="both"/>
              <w:rPr>
                <w:sz w:val="20"/>
              </w:rPr>
            </w:pPr>
            <w:r w:rsidRPr="00C03D34">
              <w:rPr>
                <w:sz w:val="20"/>
              </w:rPr>
              <w:t>Ontario Superior Court of Justice</w:t>
            </w:r>
          </w:p>
          <w:p w:rsidR="00583023" w:rsidRPr="00C03D34" w:rsidRDefault="00583023" w:rsidP="00A809A9">
            <w:pPr>
              <w:jc w:val="both"/>
              <w:rPr>
                <w:sz w:val="20"/>
              </w:rPr>
            </w:pPr>
            <w:r w:rsidRPr="00C03D34">
              <w:rPr>
                <w:sz w:val="20"/>
              </w:rPr>
              <w:t>(McCarthy J.)</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Application for injunction dismissed; counter-application granted; Township of Seguin By-law 2012-049 quashed</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February 11, 2014</w:t>
            </w:r>
          </w:p>
          <w:p w:rsidR="00583023" w:rsidRPr="00C03D34" w:rsidRDefault="00583023" w:rsidP="00A809A9">
            <w:pPr>
              <w:jc w:val="both"/>
              <w:rPr>
                <w:sz w:val="20"/>
              </w:rPr>
            </w:pPr>
            <w:r w:rsidRPr="00C03D34">
              <w:rPr>
                <w:sz w:val="20"/>
              </w:rPr>
              <w:t>Court of Appeal for Ontario</w:t>
            </w:r>
          </w:p>
          <w:p w:rsidR="00583023" w:rsidRPr="00C03D34" w:rsidRDefault="00583023" w:rsidP="00A809A9">
            <w:pPr>
              <w:jc w:val="both"/>
              <w:rPr>
                <w:sz w:val="20"/>
              </w:rPr>
            </w:pPr>
            <w:r w:rsidRPr="00C03D34">
              <w:rPr>
                <w:sz w:val="20"/>
              </w:rPr>
              <w:t>(Juriansz, Pepall, Pardu JJ.A.)</w:t>
            </w:r>
          </w:p>
          <w:p w:rsidR="00583023" w:rsidRPr="00C03D34" w:rsidRDefault="00584E5B" w:rsidP="00A809A9">
            <w:pPr>
              <w:jc w:val="both"/>
              <w:rPr>
                <w:sz w:val="20"/>
              </w:rPr>
            </w:pPr>
            <w:hyperlink r:id="rId30" w:history="1">
              <w:r w:rsidR="00583023" w:rsidRPr="00C03D34">
                <w:rPr>
                  <w:rStyle w:val="Hyperlink"/>
                  <w:sz w:val="20"/>
                </w:rPr>
                <w:t>2014 ONCA 108</w:t>
              </w:r>
            </w:hyperlink>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Appeal allowed; order quashing by-law set aside; permanent injunction restraining Mr. Hamer from deliberately feeding any bear or providing access to food to any bear or placing or storing any “attractants”, as defined by the by-law, outdoors for the purpose of attracting or feeding any bear granted</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April 14, 2014</w:t>
            </w:r>
          </w:p>
          <w:p w:rsidR="00583023" w:rsidRPr="00C03D34" w:rsidRDefault="00583023" w:rsidP="00A809A9">
            <w:pPr>
              <w:jc w:val="both"/>
              <w:rPr>
                <w:sz w:val="20"/>
              </w:rPr>
            </w:pPr>
            <w:r w:rsidRPr="00C03D34">
              <w:rPr>
                <w:sz w:val="20"/>
              </w:rPr>
              <w:t>Supreme Court of Canada</w:t>
            </w: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Application for leave to appeal filed</w:t>
            </w:r>
          </w:p>
          <w:p w:rsidR="00583023" w:rsidRPr="00C03D34" w:rsidRDefault="00583023" w:rsidP="00A809A9">
            <w:pPr>
              <w:jc w:val="both"/>
              <w:rPr>
                <w:sz w:val="20"/>
              </w:rPr>
            </w:pP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50"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83023" w:rsidRPr="00584E5B" w:rsidTr="00A809A9">
        <w:tc>
          <w:tcPr>
            <w:tcW w:w="5000" w:type="pct"/>
            <w:gridSpan w:val="3"/>
          </w:tcPr>
          <w:p w:rsidR="00583023" w:rsidRPr="00C03D34" w:rsidRDefault="00583023" w:rsidP="00A809A9">
            <w:pPr>
              <w:jc w:val="both"/>
              <w:rPr>
                <w:sz w:val="20"/>
                <w:lang w:val="fr-CA"/>
              </w:rPr>
            </w:pPr>
            <w:r w:rsidRPr="00C03D34">
              <w:rPr>
                <w:sz w:val="20"/>
                <w:lang w:val="fr-CA"/>
              </w:rPr>
              <w:t xml:space="preserve">Droit municipal — Règlements — Validité — La Cour d’appel a-t-elle commis une erreur de droit en concluant que la bonne foi est présumée, sans que la municipalité n’ait à démontrer qu’elle a fait une analyse ou une enquête, ni à prouver qu’elle a agi de bonne foi et que par conséquent la municipalité avait compétence pour adopter le règlement contesté? </w:t>
            </w:r>
          </w:p>
        </w:tc>
      </w:tr>
      <w:tr w:rsidR="00583023" w:rsidRPr="00584E5B" w:rsidTr="00A809A9">
        <w:tc>
          <w:tcPr>
            <w:tcW w:w="5000" w:type="pct"/>
            <w:gridSpan w:val="3"/>
          </w:tcPr>
          <w:p w:rsidR="00583023" w:rsidRPr="00C03D34" w:rsidRDefault="00583023" w:rsidP="00A809A9">
            <w:pPr>
              <w:jc w:val="both"/>
              <w:rPr>
                <w:sz w:val="20"/>
                <w:lang w:val="fr-CA"/>
              </w:rPr>
            </w:pPr>
          </w:p>
        </w:tc>
      </w:tr>
      <w:tr w:rsidR="00583023" w:rsidRPr="00584E5B" w:rsidTr="00A809A9">
        <w:tc>
          <w:tcPr>
            <w:tcW w:w="5000" w:type="pct"/>
            <w:gridSpan w:val="3"/>
          </w:tcPr>
          <w:p w:rsidR="00583023" w:rsidRPr="00C03D34" w:rsidRDefault="00583023" w:rsidP="00A809A9">
            <w:pPr>
              <w:jc w:val="both"/>
              <w:rPr>
                <w:sz w:val="20"/>
                <w:lang w:val="fr-CA"/>
              </w:rPr>
            </w:pPr>
            <w:r w:rsidRPr="00C03D34">
              <w:rPr>
                <w:sz w:val="20"/>
                <w:lang w:val="fr-CA"/>
              </w:rPr>
              <w:t xml:space="preserve">Le canton a demandé des injonctions provisoire et permanente interdisant à M. Hamer de permettre aux ours d’avoir accès à de la nourriture et de mettre ou d’entreposer des attractifs à l’extérieur dans le but d’attirer des ours et de les </w:t>
            </w:r>
            <w:r w:rsidRPr="00C03D34">
              <w:rPr>
                <w:sz w:val="20"/>
                <w:lang w:val="fr-CA"/>
              </w:rPr>
              <w:lastRenderedPageBreak/>
              <w:t>nourrir, en contravention du règlement 2012-049 du canton de Seguin. M. Hamer a déposé une demande reconventionnelle en vue de faire annuler le règlement, prétendant que le règlement outrepassait la compétence de la municipalité, que le règlement avait été adopté de mauvaise foi et qu’il devrait être considéré nul pour cause d’incertitude. (Le canton a fait valoir que la demande reconventionnelle était hors délai, mais cet argument a été rejeté par les juridictions inférieures et n’a pas été invoqué devant la Cour.)</w:t>
            </w:r>
          </w:p>
          <w:p w:rsidR="00583023" w:rsidRPr="00C03D34" w:rsidRDefault="00583023" w:rsidP="00A809A9">
            <w:pPr>
              <w:jc w:val="both"/>
              <w:rPr>
                <w:sz w:val="20"/>
                <w:lang w:val="fr-CA"/>
              </w:rPr>
            </w:pPr>
          </w:p>
          <w:p w:rsidR="00583023" w:rsidRPr="00C03D34" w:rsidRDefault="00583023" w:rsidP="00A809A9">
            <w:pPr>
              <w:jc w:val="both"/>
              <w:rPr>
                <w:sz w:val="20"/>
                <w:lang w:val="fr-CA"/>
              </w:rPr>
            </w:pPr>
            <w:r w:rsidRPr="00C03D34">
              <w:rPr>
                <w:sz w:val="20"/>
                <w:lang w:val="fr-CA"/>
              </w:rPr>
              <w:t xml:space="preserve">Le juge des requêtes a annulé le règlement, rejeté la demande d’injonctions du canton et fait droit à la demande reconventionnelle. La Cour d’appel a accueilli l’appel du canton, annulé l’ordonnance annulant le règlement et accordé l’injonction permanente interdisant à M. Hamer de nourrir délibérément les ours ou de leur permettre d’avoir accès à de la nourriture, ou de mettre ou d’entreposer des « attractifs » au sens du règlement, à l’extérieur dans le but d’attirer ou de nourrir les ours.  </w:t>
            </w:r>
          </w:p>
          <w:p w:rsidR="00583023" w:rsidRPr="00C03D34" w:rsidRDefault="00583023" w:rsidP="00A809A9">
            <w:pPr>
              <w:jc w:val="both"/>
              <w:rPr>
                <w:sz w:val="20"/>
                <w:lang w:val="fr-CA"/>
              </w:rPr>
            </w:pPr>
          </w:p>
        </w:tc>
      </w:tr>
      <w:tr w:rsidR="00583023" w:rsidRPr="00584E5B" w:rsidTr="00A809A9">
        <w:tc>
          <w:tcPr>
            <w:tcW w:w="2427" w:type="pct"/>
          </w:tcPr>
          <w:p w:rsidR="00583023" w:rsidRPr="00C03D34" w:rsidRDefault="00583023" w:rsidP="00A809A9">
            <w:pPr>
              <w:jc w:val="both"/>
              <w:rPr>
                <w:sz w:val="20"/>
                <w:lang w:val="fr-CA"/>
              </w:rPr>
            </w:pPr>
            <w:r w:rsidRPr="00C03D34">
              <w:rPr>
                <w:sz w:val="20"/>
                <w:lang w:val="fr-CA"/>
              </w:rPr>
              <w:lastRenderedPageBreak/>
              <w:t>8 juillet 2013</w:t>
            </w:r>
          </w:p>
          <w:p w:rsidR="00583023" w:rsidRPr="00C03D34" w:rsidRDefault="00583023" w:rsidP="00A809A9">
            <w:pPr>
              <w:jc w:val="both"/>
              <w:rPr>
                <w:sz w:val="20"/>
                <w:lang w:val="fr-CA"/>
              </w:rPr>
            </w:pPr>
            <w:r w:rsidRPr="00C03D34">
              <w:rPr>
                <w:sz w:val="20"/>
                <w:lang w:val="fr-CA"/>
              </w:rPr>
              <w:t>Cour supérieure de justice de l’Ontario</w:t>
            </w:r>
          </w:p>
          <w:p w:rsidR="00583023" w:rsidRPr="00C03D34" w:rsidRDefault="00583023" w:rsidP="00A809A9">
            <w:pPr>
              <w:jc w:val="both"/>
              <w:rPr>
                <w:sz w:val="20"/>
              </w:rPr>
            </w:pPr>
            <w:r w:rsidRPr="00C03D34">
              <w:rPr>
                <w:sz w:val="20"/>
              </w:rPr>
              <w:t>(Juge McCarthy)</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lang w:val="fr-CA"/>
              </w:rPr>
            </w:pPr>
            <w:r w:rsidRPr="00C03D34">
              <w:rPr>
                <w:sz w:val="20"/>
                <w:lang w:val="fr-CA"/>
              </w:rPr>
              <w:t>Demande d’injonction rejetée; demande reconventionnelle accueillie; règlement 2012-049 du canton de Seguin annulé</w:t>
            </w:r>
          </w:p>
          <w:p w:rsidR="00583023" w:rsidRPr="00C03D34" w:rsidRDefault="00583023" w:rsidP="00A809A9">
            <w:pPr>
              <w:jc w:val="both"/>
              <w:rPr>
                <w:sz w:val="20"/>
                <w:lang w:val="fr-CA"/>
              </w:rPr>
            </w:pPr>
          </w:p>
        </w:tc>
      </w:tr>
      <w:tr w:rsidR="00583023" w:rsidRPr="00584E5B" w:rsidTr="00A809A9">
        <w:tc>
          <w:tcPr>
            <w:tcW w:w="2427" w:type="pct"/>
          </w:tcPr>
          <w:p w:rsidR="00583023" w:rsidRPr="00C03D34" w:rsidRDefault="00583023" w:rsidP="00A809A9">
            <w:pPr>
              <w:jc w:val="both"/>
              <w:rPr>
                <w:sz w:val="20"/>
                <w:lang w:val="fr-CA"/>
              </w:rPr>
            </w:pPr>
            <w:r w:rsidRPr="00C03D34">
              <w:rPr>
                <w:sz w:val="20"/>
                <w:lang w:val="fr-CA"/>
              </w:rPr>
              <w:t>11 février 2014</w:t>
            </w:r>
          </w:p>
          <w:p w:rsidR="00583023" w:rsidRPr="00C03D34" w:rsidRDefault="00583023" w:rsidP="00A809A9">
            <w:pPr>
              <w:jc w:val="both"/>
              <w:rPr>
                <w:sz w:val="20"/>
                <w:lang w:val="fr-CA"/>
              </w:rPr>
            </w:pPr>
            <w:r w:rsidRPr="00C03D34">
              <w:rPr>
                <w:sz w:val="20"/>
                <w:lang w:val="fr-CA"/>
              </w:rPr>
              <w:t>Cour d’appel de l’Ontario</w:t>
            </w:r>
          </w:p>
          <w:p w:rsidR="00583023" w:rsidRPr="00C03D34" w:rsidRDefault="00583023" w:rsidP="00A809A9">
            <w:pPr>
              <w:jc w:val="both"/>
              <w:rPr>
                <w:sz w:val="20"/>
                <w:lang w:val="fr-CA"/>
              </w:rPr>
            </w:pPr>
            <w:r w:rsidRPr="00C03D34">
              <w:rPr>
                <w:sz w:val="20"/>
                <w:lang w:val="fr-CA"/>
              </w:rPr>
              <w:t>(Juges Juriansz, Pepall et Pardu)</w:t>
            </w:r>
          </w:p>
          <w:p w:rsidR="00583023" w:rsidRPr="00C03D34" w:rsidRDefault="00584E5B" w:rsidP="00A809A9">
            <w:pPr>
              <w:jc w:val="both"/>
              <w:rPr>
                <w:sz w:val="20"/>
              </w:rPr>
            </w:pPr>
            <w:hyperlink r:id="rId31" w:history="1">
              <w:r w:rsidR="00583023" w:rsidRPr="00C03D34">
                <w:rPr>
                  <w:rStyle w:val="Hyperlink"/>
                  <w:sz w:val="20"/>
                </w:rPr>
                <w:t>2014 ONCA 108</w:t>
              </w:r>
            </w:hyperlink>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lang w:val="fr-CA"/>
              </w:rPr>
            </w:pPr>
            <w:r w:rsidRPr="00C03D34">
              <w:rPr>
                <w:sz w:val="20"/>
                <w:lang w:val="fr-CA"/>
              </w:rPr>
              <w:t>Appel accueilli; ordonnance annulant le règlement annulée; injonction permanente interdisant à M. Hamer de nourrir délibérément les ours ou de leur permettre d’avoir accès à de la nourriture ou de mettre ou d’entreposer des « attractifs » au sens du règlement à l’extérieur dans le but d’attirer ou de nourrir les ours, accordée</w:t>
            </w:r>
          </w:p>
          <w:p w:rsidR="00583023" w:rsidRPr="00C03D34" w:rsidRDefault="00583023" w:rsidP="00A809A9">
            <w:pPr>
              <w:jc w:val="both"/>
              <w:rPr>
                <w:sz w:val="20"/>
                <w:lang w:val="fr-CA"/>
              </w:rPr>
            </w:pPr>
          </w:p>
        </w:tc>
      </w:tr>
      <w:tr w:rsidR="00583023" w:rsidRPr="00C03D34" w:rsidTr="00A809A9">
        <w:tc>
          <w:tcPr>
            <w:tcW w:w="2427" w:type="pct"/>
          </w:tcPr>
          <w:p w:rsidR="00583023" w:rsidRPr="00C03D34" w:rsidRDefault="00583023" w:rsidP="00A809A9">
            <w:pPr>
              <w:jc w:val="both"/>
              <w:rPr>
                <w:sz w:val="20"/>
                <w:lang w:val="fr-CA"/>
              </w:rPr>
            </w:pPr>
            <w:r w:rsidRPr="00C03D34">
              <w:rPr>
                <w:sz w:val="20"/>
                <w:lang w:val="fr-CA"/>
              </w:rPr>
              <w:t>14 avril 2014</w:t>
            </w:r>
          </w:p>
          <w:p w:rsidR="00583023" w:rsidRPr="00C03D34" w:rsidRDefault="00583023" w:rsidP="00A809A9">
            <w:pPr>
              <w:jc w:val="both"/>
              <w:rPr>
                <w:sz w:val="20"/>
                <w:lang w:val="fr-CA"/>
              </w:rPr>
            </w:pPr>
            <w:r w:rsidRPr="00C03D34">
              <w:rPr>
                <w:sz w:val="20"/>
                <w:lang w:val="fr-CA"/>
              </w:rPr>
              <w:t>Cour suprême du Canada</w:t>
            </w:r>
          </w:p>
        </w:tc>
        <w:tc>
          <w:tcPr>
            <w:tcW w:w="243" w:type="pct"/>
          </w:tcPr>
          <w:p w:rsidR="00583023" w:rsidRPr="00C03D34" w:rsidRDefault="00583023" w:rsidP="00A809A9">
            <w:pPr>
              <w:jc w:val="both"/>
              <w:rPr>
                <w:sz w:val="20"/>
                <w:lang w:val="fr-CA"/>
              </w:rPr>
            </w:pPr>
          </w:p>
        </w:tc>
        <w:tc>
          <w:tcPr>
            <w:tcW w:w="2330" w:type="pct"/>
          </w:tcPr>
          <w:p w:rsidR="00583023" w:rsidRPr="00C03D34" w:rsidRDefault="00583023" w:rsidP="00A809A9">
            <w:pPr>
              <w:jc w:val="both"/>
              <w:rPr>
                <w:sz w:val="20"/>
                <w:lang w:val="fr-CA"/>
              </w:rPr>
            </w:pPr>
            <w:r w:rsidRPr="00C03D34">
              <w:rPr>
                <w:sz w:val="20"/>
                <w:lang w:val="fr-CA"/>
              </w:rPr>
              <w:t>Demande d’autorisation d’appel déposée</w:t>
            </w:r>
          </w:p>
        </w:tc>
      </w:tr>
    </w:tbl>
    <w:p w:rsidR="008F72E8" w:rsidRDefault="008F72E8" w:rsidP="008F72E8">
      <w:pPr>
        <w:rPr>
          <w:sz w:val="20"/>
          <w:szCs w:val="20"/>
        </w:rPr>
      </w:pPr>
    </w:p>
    <w:p w:rsidR="008F72E8" w:rsidRDefault="00584E5B" w:rsidP="008F72E8">
      <w:pPr>
        <w:rPr>
          <w:sz w:val="20"/>
          <w:szCs w:val="20"/>
          <w:lang w:val="fr-CA"/>
        </w:rPr>
      </w:pPr>
      <w:r>
        <w:rPr>
          <w:sz w:val="20"/>
          <w:szCs w:val="20"/>
          <w:lang w:val="fr-CA"/>
        </w:rPr>
        <w:pict>
          <v:rect id="_x0000_i1051" style="width:2in;height:1pt" o:hrpct="0" o:hralign="center" o:hrstd="t" o:hrnoshade="t" o:hr="t" fillcolor="black [3213]" stroked="f"/>
        </w:pict>
      </w:r>
    </w:p>
    <w:p w:rsidR="008F72E8" w:rsidRDefault="008F72E8" w:rsidP="008F72E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35840</w:t>
            </w:r>
          </w:p>
          <w:p w:rsidR="00E77667" w:rsidRPr="007D142E" w:rsidRDefault="00E77667" w:rsidP="002A3A49">
            <w:pPr>
              <w:rPr>
                <w:b/>
                <w:sz w:val="20"/>
                <w:szCs w:val="20"/>
                <w:lang w:val="fr-CA"/>
              </w:rPr>
            </w:pPr>
          </w:p>
        </w:tc>
        <w:tc>
          <w:tcPr>
            <w:tcW w:w="8118" w:type="dxa"/>
          </w:tcPr>
          <w:p w:rsidR="00E77667" w:rsidRPr="007D142E" w:rsidRDefault="00E77667" w:rsidP="002A3A49">
            <w:pPr>
              <w:rPr>
                <w:sz w:val="20"/>
                <w:szCs w:val="20"/>
              </w:rPr>
            </w:pPr>
            <w:r w:rsidRPr="007D142E">
              <w:rPr>
                <w:rStyle w:val="SCCLsocChar"/>
                <w:sz w:val="20"/>
                <w:szCs w:val="20"/>
                <w:lang w:val="en-CA"/>
              </w:rPr>
              <w:t>Wayne Ferron v. Her Majesty the Queen</w:t>
            </w:r>
            <w:r w:rsidRPr="007D142E">
              <w:rPr>
                <w:sz w:val="20"/>
                <w:szCs w:val="20"/>
              </w:rPr>
              <w:t xml:space="preserve"> (Ont.) (Criminal) (By Leave)</w:t>
            </w:r>
          </w:p>
          <w:p w:rsidR="00E77667" w:rsidRPr="007D142E" w:rsidRDefault="00E77667" w:rsidP="002A3A49">
            <w:pPr>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t>The application for leave to appeal from the judgment of the Court of Appeal for Ontario, Number M43059, dated January 30, 2014, is dismissed without costs.</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demande d’autorisation d’appel de l’arrêt de la Cour d’appel de l’Ontario, numéro M43059, daté du 30 janvier 2014, est rejetée sans dépens.</w:t>
            </w:r>
          </w:p>
        </w:tc>
      </w:tr>
    </w:tbl>
    <w:p w:rsidR="008F72E8" w:rsidRPr="00E77667" w:rsidRDefault="008F72E8" w:rsidP="000E2959">
      <w:pPr>
        <w:rPr>
          <w:sz w:val="20"/>
          <w:szCs w:val="20"/>
          <w:lang w:val="fr-CA"/>
        </w:rPr>
      </w:pPr>
    </w:p>
    <w:p w:rsidR="008F72E8" w:rsidRPr="001B157C" w:rsidRDefault="008F72E8" w:rsidP="008F72E8">
      <w:pPr>
        <w:rPr>
          <w:sz w:val="20"/>
          <w:szCs w:val="20"/>
          <w:u w:val="single"/>
        </w:rPr>
      </w:pPr>
      <w:r w:rsidRPr="001B157C">
        <w:rPr>
          <w:sz w:val="20"/>
          <w:szCs w:val="20"/>
          <w:u w:val="single"/>
        </w:rPr>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83023" w:rsidRPr="00C03D34" w:rsidTr="00A809A9">
        <w:tc>
          <w:tcPr>
            <w:tcW w:w="5000" w:type="pct"/>
            <w:gridSpan w:val="3"/>
          </w:tcPr>
          <w:p w:rsidR="00583023" w:rsidRPr="00C03D34" w:rsidRDefault="00583023" w:rsidP="00A809A9">
            <w:pPr>
              <w:jc w:val="both"/>
              <w:rPr>
                <w:sz w:val="20"/>
              </w:rPr>
            </w:pPr>
            <w:r w:rsidRPr="00C03D34">
              <w:rPr>
                <w:i/>
                <w:sz w:val="20"/>
              </w:rPr>
              <w:t>Canadian Charter of Rights and Freedoms</w:t>
            </w:r>
            <w:r w:rsidRPr="00C03D34">
              <w:rPr>
                <w:sz w:val="20"/>
              </w:rPr>
              <w:t xml:space="preserve"> – Appeals – Whether the Court of Appeal erred in not granting the motion for an extension of time – Whether there was a violation of s. 15 of the </w:t>
            </w:r>
            <w:r w:rsidRPr="00C03D34">
              <w:rPr>
                <w:i/>
                <w:sz w:val="20"/>
              </w:rPr>
              <w:t>Canadian Charter of Rights and Freedoms.</w:t>
            </w:r>
          </w:p>
        </w:tc>
      </w:tr>
      <w:tr w:rsidR="00583023" w:rsidRPr="00C03D34" w:rsidTr="00A809A9">
        <w:tc>
          <w:tcPr>
            <w:tcW w:w="5000" w:type="pct"/>
            <w:gridSpan w:val="3"/>
          </w:tcPr>
          <w:p w:rsidR="00583023" w:rsidRPr="00C03D34" w:rsidRDefault="00583023" w:rsidP="00A809A9">
            <w:pPr>
              <w:jc w:val="both"/>
              <w:rPr>
                <w:sz w:val="20"/>
              </w:rPr>
            </w:pPr>
          </w:p>
        </w:tc>
      </w:tr>
      <w:tr w:rsidR="00583023" w:rsidRPr="00C03D34" w:rsidTr="00A809A9">
        <w:tc>
          <w:tcPr>
            <w:tcW w:w="5000" w:type="pct"/>
            <w:gridSpan w:val="3"/>
          </w:tcPr>
          <w:p w:rsidR="00583023" w:rsidRPr="00C03D34" w:rsidRDefault="00583023" w:rsidP="00A809A9">
            <w:pPr>
              <w:jc w:val="both"/>
              <w:rPr>
                <w:sz w:val="20"/>
              </w:rPr>
            </w:pPr>
            <w:r w:rsidRPr="00C03D34">
              <w:rPr>
                <w:sz w:val="20"/>
              </w:rPr>
              <w:t>In 2007 the applicant was convicted of two criminal code offences.  Between 2007 and 2012, he pursued civil remedies arising from his criminal charges and other matters against police, prosecutors and support staff.  In 2013, the applicant was declared a vexatious litigant.</w:t>
            </w:r>
          </w:p>
          <w:p w:rsidR="00583023" w:rsidRPr="00C03D34" w:rsidRDefault="00583023" w:rsidP="00A809A9">
            <w:pPr>
              <w:jc w:val="both"/>
              <w:rPr>
                <w:sz w:val="20"/>
              </w:rPr>
            </w:pPr>
          </w:p>
          <w:p w:rsidR="00583023" w:rsidRPr="00C03D34" w:rsidRDefault="00583023" w:rsidP="00A809A9">
            <w:pPr>
              <w:jc w:val="both"/>
              <w:rPr>
                <w:sz w:val="20"/>
              </w:rPr>
            </w:pPr>
            <w:r w:rsidRPr="00C03D34">
              <w:rPr>
                <w:sz w:val="20"/>
              </w:rPr>
              <w:t xml:space="preserve">In 2012, the applicant sought to lay five private informations against those involved in his criminal case.  He applied for </w:t>
            </w:r>
            <w:r w:rsidRPr="00C03D34">
              <w:rPr>
                <w:i/>
                <w:sz w:val="20"/>
              </w:rPr>
              <w:t>mandamus</w:t>
            </w:r>
            <w:r w:rsidRPr="00C03D34">
              <w:rPr>
                <w:sz w:val="20"/>
              </w:rPr>
              <w:t xml:space="preserve">.  The Crown brought an application to have these applications summarily dismissed.  The court found </w:t>
            </w:r>
            <w:r w:rsidRPr="00C03D34">
              <w:rPr>
                <w:sz w:val="20"/>
              </w:rPr>
              <w:lastRenderedPageBreak/>
              <w:t xml:space="preserve">that the applications for </w:t>
            </w:r>
            <w:r w:rsidRPr="00C03D34">
              <w:rPr>
                <w:i/>
                <w:sz w:val="20"/>
              </w:rPr>
              <w:t>mandamus</w:t>
            </w:r>
            <w:r w:rsidRPr="00C03D34">
              <w:rPr>
                <w:sz w:val="20"/>
              </w:rPr>
              <w:t xml:space="preserve"> were frivolous and vexatious, had no reasonable prospect of success and were an abuse of process. The applicant filed a motion for an extension of time to file a notice of appeal.</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lastRenderedPageBreak/>
              <w:t>August 10, 2012</w:t>
            </w:r>
          </w:p>
          <w:p w:rsidR="00583023" w:rsidRPr="00C03D34" w:rsidRDefault="00583023" w:rsidP="00A809A9">
            <w:pPr>
              <w:jc w:val="both"/>
              <w:rPr>
                <w:sz w:val="20"/>
              </w:rPr>
            </w:pPr>
            <w:r w:rsidRPr="00C03D34">
              <w:rPr>
                <w:sz w:val="20"/>
              </w:rPr>
              <w:t>Superior Court of Justice of Ontario</w:t>
            </w:r>
          </w:p>
          <w:p w:rsidR="00583023" w:rsidRPr="00C03D34" w:rsidRDefault="00583023" w:rsidP="00A809A9">
            <w:pPr>
              <w:jc w:val="both"/>
              <w:rPr>
                <w:sz w:val="20"/>
              </w:rPr>
            </w:pPr>
            <w:r w:rsidRPr="00C03D34">
              <w:rPr>
                <w:sz w:val="20"/>
              </w:rPr>
              <w:t>(Healy J.)</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Motion for summary dismissal granted</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September 13, 2013</w:t>
            </w:r>
          </w:p>
          <w:p w:rsidR="00583023" w:rsidRPr="00C03D34" w:rsidRDefault="00583023" w:rsidP="00A809A9">
            <w:pPr>
              <w:jc w:val="both"/>
              <w:rPr>
                <w:sz w:val="20"/>
              </w:rPr>
            </w:pPr>
            <w:r w:rsidRPr="00C03D34">
              <w:rPr>
                <w:sz w:val="20"/>
              </w:rPr>
              <w:t>Court of Appeal for Ontario</w:t>
            </w:r>
          </w:p>
          <w:p w:rsidR="00583023" w:rsidRPr="00C03D34" w:rsidRDefault="00583023" w:rsidP="00A809A9">
            <w:pPr>
              <w:jc w:val="both"/>
              <w:rPr>
                <w:sz w:val="20"/>
              </w:rPr>
            </w:pPr>
            <w:r w:rsidRPr="00C03D34">
              <w:rPr>
                <w:sz w:val="20"/>
              </w:rPr>
              <w:t>(Watt J.A.)</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Motion for an extension of time to serve and file a Notice of Appeal dismissed</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January 30, 2014</w:t>
            </w:r>
          </w:p>
          <w:p w:rsidR="00583023" w:rsidRPr="00C03D34" w:rsidRDefault="00583023" w:rsidP="00A809A9">
            <w:pPr>
              <w:jc w:val="both"/>
              <w:rPr>
                <w:sz w:val="20"/>
              </w:rPr>
            </w:pPr>
            <w:r w:rsidRPr="00C03D34">
              <w:rPr>
                <w:sz w:val="20"/>
              </w:rPr>
              <w:t>Court of Appeal for Ontario</w:t>
            </w:r>
          </w:p>
          <w:p w:rsidR="00583023" w:rsidRPr="00C03D34" w:rsidRDefault="00583023" w:rsidP="00A809A9">
            <w:pPr>
              <w:jc w:val="both"/>
              <w:rPr>
                <w:sz w:val="20"/>
              </w:rPr>
            </w:pPr>
            <w:r w:rsidRPr="00C03D34">
              <w:rPr>
                <w:sz w:val="20"/>
              </w:rPr>
              <w:t>(Feldman J.A.)</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 xml:space="preserve">Motion for an extension of time adjourned </w:t>
            </w:r>
            <w:r w:rsidRPr="00C03D34">
              <w:rPr>
                <w:i/>
                <w:sz w:val="20"/>
              </w:rPr>
              <w:t>sine die</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March 27, 2014</w:t>
            </w:r>
          </w:p>
          <w:p w:rsidR="00583023" w:rsidRPr="00C03D34" w:rsidRDefault="00583023" w:rsidP="00A809A9">
            <w:pPr>
              <w:jc w:val="both"/>
              <w:rPr>
                <w:sz w:val="20"/>
              </w:rPr>
            </w:pPr>
            <w:r w:rsidRPr="00C03D34">
              <w:rPr>
                <w:sz w:val="20"/>
              </w:rPr>
              <w:t>Supreme Court of Canada</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Application for leave to appeal filed</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May 6, 2014</w:t>
            </w:r>
          </w:p>
          <w:p w:rsidR="00583023" w:rsidRPr="00C03D34" w:rsidRDefault="00583023" w:rsidP="00A809A9">
            <w:pPr>
              <w:jc w:val="both"/>
              <w:rPr>
                <w:sz w:val="20"/>
              </w:rPr>
            </w:pPr>
            <w:r w:rsidRPr="00C03D34">
              <w:rPr>
                <w:sz w:val="20"/>
              </w:rPr>
              <w:t>Supreme Court of Canada</w:t>
            </w: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Amended application for leave to appeal filed</w:t>
            </w: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52"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83023" w:rsidRPr="00584E5B" w:rsidTr="00A809A9">
        <w:tc>
          <w:tcPr>
            <w:tcW w:w="5000" w:type="pct"/>
            <w:gridSpan w:val="3"/>
          </w:tcPr>
          <w:p w:rsidR="00583023" w:rsidRPr="00C03D34" w:rsidRDefault="00583023" w:rsidP="00A809A9">
            <w:pPr>
              <w:jc w:val="both"/>
              <w:rPr>
                <w:sz w:val="20"/>
                <w:lang w:val="fr-CA"/>
              </w:rPr>
            </w:pPr>
            <w:r w:rsidRPr="00C03D34">
              <w:rPr>
                <w:i/>
                <w:sz w:val="20"/>
                <w:lang w:val="fr-CA"/>
              </w:rPr>
              <w:t>Charte canadienne des droits et libertés</w:t>
            </w:r>
            <w:r w:rsidRPr="00C03D34">
              <w:rPr>
                <w:sz w:val="20"/>
                <w:lang w:val="fr-CA"/>
              </w:rPr>
              <w:t xml:space="preserve"> – Appels – La Cour d’appel a-t-elle commis une erreur en refusant d’accueillir la motion en prorogation de délai? – Y a-t-il eu violation de l’art. 15 de la </w:t>
            </w:r>
            <w:r w:rsidRPr="00C03D34">
              <w:rPr>
                <w:i/>
                <w:sz w:val="20"/>
                <w:lang w:val="fr-CA"/>
              </w:rPr>
              <w:t>Charte canadienne des droits et libertés</w:t>
            </w:r>
            <w:r w:rsidRPr="00C03D34">
              <w:rPr>
                <w:sz w:val="20"/>
                <w:lang w:val="fr-CA"/>
              </w:rPr>
              <w:t>?</w:t>
            </w:r>
          </w:p>
        </w:tc>
      </w:tr>
      <w:tr w:rsidR="00583023" w:rsidRPr="00584E5B" w:rsidTr="00A809A9">
        <w:tc>
          <w:tcPr>
            <w:tcW w:w="5000" w:type="pct"/>
            <w:gridSpan w:val="3"/>
          </w:tcPr>
          <w:p w:rsidR="00583023" w:rsidRPr="00C03D34" w:rsidRDefault="00583023" w:rsidP="00A809A9">
            <w:pPr>
              <w:jc w:val="both"/>
              <w:rPr>
                <w:sz w:val="20"/>
                <w:lang w:val="fr-CA"/>
              </w:rPr>
            </w:pPr>
          </w:p>
        </w:tc>
      </w:tr>
      <w:tr w:rsidR="00583023" w:rsidRPr="00584E5B" w:rsidTr="00A809A9">
        <w:tc>
          <w:tcPr>
            <w:tcW w:w="5000" w:type="pct"/>
            <w:gridSpan w:val="3"/>
          </w:tcPr>
          <w:p w:rsidR="00583023" w:rsidRPr="00C03D34" w:rsidRDefault="00583023" w:rsidP="00A809A9">
            <w:pPr>
              <w:jc w:val="both"/>
              <w:rPr>
                <w:sz w:val="20"/>
                <w:lang w:val="fr-CA"/>
              </w:rPr>
            </w:pPr>
            <w:r w:rsidRPr="00C03D34">
              <w:rPr>
                <w:sz w:val="20"/>
                <w:lang w:val="fr-CA"/>
              </w:rPr>
              <w:t xml:space="preserve">Le demandeur a été reconnu coupable de deux infractions au </w:t>
            </w:r>
            <w:r w:rsidRPr="00C03D34">
              <w:rPr>
                <w:i/>
                <w:sz w:val="20"/>
                <w:lang w:val="fr-CA"/>
              </w:rPr>
              <w:t>Code criminel</w:t>
            </w:r>
            <w:r w:rsidRPr="00C03D34">
              <w:rPr>
                <w:sz w:val="20"/>
                <w:lang w:val="fr-CA"/>
              </w:rPr>
              <w:t xml:space="preserve"> en 2007. Entre cette année-là et 2012, il a exercé des recours civils contre la police, les poursuivants et le personnel de soutien à la suite des accusations portées contre lui et d’autres faits. Il a été déclaré plaideur quérulent en 2013. </w:t>
            </w:r>
          </w:p>
          <w:p w:rsidR="00583023" w:rsidRPr="00C03D34" w:rsidRDefault="00583023" w:rsidP="00A809A9">
            <w:pPr>
              <w:jc w:val="both"/>
              <w:rPr>
                <w:sz w:val="20"/>
                <w:lang w:val="fr-CA"/>
              </w:rPr>
            </w:pPr>
          </w:p>
          <w:p w:rsidR="00583023" w:rsidRPr="00C03D34" w:rsidRDefault="00583023" w:rsidP="00A809A9">
            <w:pPr>
              <w:jc w:val="both"/>
              <w:rPr>
                <w:sz w:val="20"/>
                <w:lang w:val="fr-CA"/>
              </w:rPr>
            </w:pPr>
            <w:r w:rsidRPr="00C03D34">
              <w:rPr>
                <w:sz w:val="20"/>
                <w:lang w:val="fr-CA"/>
              </w:rPr>
              <w:t xml:space="preserve">Le demandeur a cherché en 2012 à déposer cinq dénonciations privées contre les personnes ayant participé à la poursuite criminelle engagée contre lui. Il a présenté des demandes de </w:t>
            </w:r>
            <w:r w:rsidRPr="00C03D34">
              <w:rPr>
                <w:i/>
                <w:sz w:val="20"/>
                <w:lang w:val="fr-CA"/>
              </w:rPr>
              <w:t>mandamus</w:t>
            </w:r>
            <w:r w:rsidRPr="00C03D34">
              <w:rPr>
                <w:sz w:val="20"/>
                <w:lang w:val="fr-CA"/>
              </w:rPr>
              <w:t xml:space="preserve">. Le ministère public a sollicité le rejet sommaire de ces demandes. Selon le tribunal, les demandes de </w:t>
            </w:r>
            <w:r w:rsidRPr="00C03D34">
              <w:rPr>
                <w:i/>
                <w:sz w:val="20"/>
                <w:lang w:val="fr-CA"/>
              </w:rPr>
              <w:t>mandamus</w:t>
            </w:r>
            <w:r w:rsidRPr="00C03D34">
              <w:rPr>
                <w:sz w:val="20"/>
                <w:lang w:val="fr-CA"/>
              </w:rPr>
              <w:t xml:space="preserve"> étaient frivoles et vexatoires, n’avaient aucune possibilité raisonnable d’être accueillies et constituaient un abus de procédure. Le demandeur a présenté une requête en prorogation du délai pour déposer un avis d’appel. </w:t>
            </w:r>
          </w:p>
          <w:p w:rsidR="00583023" w:rsidRPr="00C03D34" w:rsidRDefault="00583023" w:rsidP="00A809A9">
            <w:pPr>
              <w:jc w:val="both"/>
              <w:rPr>
                <w:sz w:val="20"/>
                <w:lang w:val="fr-CA"/>
              </w:rPr>
            </w:pPr>
          </w:p>
        </w:tc>
      </w:tr>
      <w:tr w:rsidR="00583023" w:rsidRPr="00C03D34" w:rsidTr="00A809A9">
        <w:tc>
          <w:tcPr>
            <w:tcW w:w="2427" w:type="pct"/>
          </w:tcPr>
          <w:p w:rsidR="00583023" w:rsidRPr="00C03D34" w:rsidRDefault="00583023" w:rsidP="00A809A9">
            <w:pPr>
              <w:jc w:val="both"/>
              <w:rPr>
                <w:sz w:val="20"/>
                <w:lang w:val="fr-CA"/>
              </w:rPr>
            </w:pPr>
            <w:r w:rsidRPr="00C03D34">
              <w:rPr>
                <w:sz w:val="20"/>
                <w:lang w:val="fr-CA"/>
              </w:rPr>
              <w:t>10 août 2012</w:t>
            </w:r>
          </w:p>
          <w:p w:rsidR="00583023" w:rsidRPr="00C03D34" w:rsidRDefault="00583023" w:rsidP="00A809A9">
            <w:pPr>
              <w:jc w:val="both"/>
              <w:rPr>
                <w:sz w:val="20"/>
                <w:lang w:val="fr-CA"/>
              </w:rPr>
            </w:pPr>
            <w:r w:rsidRPr="00C03D34">
              <w:rPr>
                <w:sz w:val="20"/>
                <w:lang w:val="fr-CA"/>
              </w:rPr>
              <w:t>Cour supérieure de justice de l’Ontario</w:t>
            </w:r>
          </w:p>
          <w:p w:rsidR="00583023" w:rsidRPr="00C03D34" w:rsidRDefault="00583023" w:rsidP="00A809A9">
            <w:pPr>
              <w:jc w:val="both"/>
              <w:rPr>
                <w:sz w:val="20"/>
              </w:rPr>
            </w:pPr>
            <w:r w:rsidRPr="00C03D34">
              <w:rPr>
                <w:sz w:val="20"/>
              </w:rPr>
              <w:t>(Juge Healy)</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6A2066" w:rsidRDefault="00583023" w:rsidP="00A809A9">
            <w:pPr>
              <w:jc w:val="both"/>
              <w:rPr>
                <w:sz w:val="20"/>
                <w:lang w:val="fr-CA"/>
              </w:rPr>
            </w:pPr>
            <w:r w:rsidRPr="006A2066">
              <w:rPr>
                <w:sz w:val="20"/>
                <w:lang w:val="fr-CA"/>
              </w:rPr>
              <w:t xml:space="preserve">Motion en rejet sommaire accueillie </w:t>
            </w:r>
          </w:p>
          <w:p w:rsidR="00583023" w:rsidRPr="00C03D34" w:rsidRDefault="00583023" w:rsidP="00A809A9">
            <w:pPr>
              <w:jc w:val="both"/>
              <w:rPr>
                <w:sz w:val="20"/>
              </w:rPr>
            </w:pPr>
          </w:p>
        </w:tc>
      </w:tr>
      <w:tr w:rsidR="00583023" w:rsidRPr="00584E5B" w:rsidTr="00A809A9">
        <w:tc>
          <w:tcPr>
            <w:tcW w:w="2427" w:type="pct"/>
          </w:tcPr>
          <w:p w:rsidR="00583023" w:rsidRPr="00C03D34" w:rsidRDefault="00583023" w:rsidP="00A809A9">
            <w:pPr>
              <w:jc w:val="both"/>
              <w:rPr>
                <w:sz w:val="20"/>
                <w:lang w:val="fr-CA"/>
              </w:rPr>
            </w:pPr>
            <w:r w:rsidRPr="00C03D34">
              <w:rPr>
                <w:sz w:val="20"/>
                <w:lang w:val="fr-CA"/>
              </w:rPr>
              <w:t>13 septembre 2013</w:t>
            </w:r>
          </w:p>
          <w:p w:rsidR="00583023" w:rsidRPr="00C03D34" w:rsidRDefault="00583023" w:rsidP="00A809A9">
            <w:pPr>
              <w:jc w:val="both"/>
              <w:rPr>
                <w:sz w:val="20"/>
                <w:lang w:val="fr-CA"/>
              </w:rPr>
            </w:pPr>
            <w:r w:rsidRPr="00C03D34">
              <w:rPr>
                <w:sz w:val="20"/>
                <w:lang w:val="fr-CA"/>
              </w:rPr>
              <w:t>Cour d’appel de l’Ontario</w:t>
            </w:r>
          </w:p>
          <w:p w:rsidR="00583023" w:rsidRPr="00C03D34" w:rsidRDefault="00583023" w:rsidP="00A809A9">
            <w:pPr>
              <w:jc w:val="both"/>
              <w:rPr>
                <w:sz w:val="20"/>
                <w:lang w:val="fr-CA"/>
              </w:rPr>
            </w:pPr>
            <w:r w:rsidRPr="00C03D34">
              <w:rPr>
                <w:sz w:val="20"/>
                <w:lang w:val="fr-CA"/>
              </w:rPr>
              <w:t>(Juge Watt)</w:t>
            </w:r>
          </w:p>
          <w:p w:rsidR="00583023" w:rsidRPr="00C03D34" w:rsidRDefault="00583023" w:rsidP="00A809A9">
            <w:pPr>
              <w:jc w:val="both"/>
              <w:rPr>
                <w:sz w:val="20"/>
                <w:lang w:val="fr-CA"/>
              </w:rPr>
            </w:pPr>
          </w:p>
        </w:tc>
        <w:tc>
          <w:tcPr>
            <w:tcW w:w="243" w:type="pct"/>
          </w:tcPr>
          <w:p w:rsidR="00583023" w:rsidRPr="00C03D34" w:rsidRDefault="00583023" w:rsidP="00A809A9">
            <w:pPr>
              <w:jc w:val="both"/>
              <w:rPr>
                <w:sz w:val="20"/>
                <w:lang w:val="fr-CA"/>
              </w:rPr>
            </w:pPr>
          </w:p>
        </w:tc>
        <w:tc>
          <w:tcPr>
            <w:tcW w:w="2330" w:type="pct"/>
          </w:tcPr>
          <w:p w:rsidR="00583023" w:rsidRPr="00C03D34" w:rsidRDefault="00583023" w:rsidP="00A809A9">
            <w:pPr>
              <w:jc w:val="both"/>
              <w:rPr>
                <w:sz w:val="20"/>
                <w:lang w:val="fr-CA"/>
              </w:rPr>
            </w:pPr>
            <w:r w:rsidRPr="00C03D34">
              <w:rPr>
                <w:sz w:val="20"/>
                <w:lang w:val="fr-CA"/>
              </w:rPr>
              <w:t xml:space="preserve">Motion en prorogation du délai pour signifier et déposer un avis d’appel rejetée </w:t>
            </w:r>
          </w:p>
          <w:p w:rsidR="00583023" w:rsidRPr="00C03D34" w:rsidRDefault="00583023" w:rsidP="00A809A9">
            <w:pPr>
              <w:jc w:val="both"/>
              <w:rPr>
                <w:sz w:val="20"/>
                <w:lang w:val="fr-CA"/>
              </w:rPr>
            </w:pPr>
          </w:p>
        </w:tc>
      </w:tr>
      <w:tr w:rsidR="00583023" w:rsidRPr="00584E5B" w:rsidTr="00E77667">
        <w:trPr>
          <w:cantSplit/>
        </w:trPr>
        <w:tc>
          <w:tcPr>
            <w:tcW w:w="2427" w:type="pct"/>
          </w:tcPr>
          <w:p w:rsidR="00583023" w:rsidRPr="00C03D34" w:rsidRDefault="00583023" w:rsidP="00A809A9">
            <w:pPr>
              <w:jc w:val="both"/>
              <w:rPr>
                <w:sz w:val="20"/>
                <w:lang w:val="fr-CA"/>
              </w:rPr>
            </w:pPr>
            <w:r w:rsidRPr="00C03D34">
              <w:rPr>
                <w:sz w:val="20"/>
                <w:lang w:val="fr-CA"/>
              </w:rPr>
              <w:lastRenderedPageBreak/>
              <w:t>30 janvier 2014</w:t>
            </w:r>
          </w:p>
          <w:p w:rsidR="00583023" w:rsidRPr="00C03D34" w:rsidRDefault="00583023" w:rsidP="00A809A9">
            <w:pPr>
              <w:jc w:val="both"/>
              <w:rPr>
                <w:sz w:val="20"/>
                <w:lang w:val="fr-CA"/>
              </w:rPr>
            </w:pPr>
            <w:r w:rsidRPr="00C03D34">
              <w:rPr>
                <w:sz w:val="20"/>
                <w:lang w:val="fr-CA"/>
              </w:rPr>
              <w:t>Cour d’appel de l’Ontario</w:t>
            </w:r>
          </w:p>
          <w:p w:rsidR="00583023" w:rsidRPr="00C03D34" w:rsidRDefault="00583023" w:rsidP="00A809A9">
            <w:pPr>
              <w:jc w:val="both"/>
              <w:rPr>
                <w:sz w:val="20"/>
                <w:lang w:val="fr-CA"/>
              </w:rPr>
            </w:pPr>
            <w:r w:rsidRPr="00C03D34">
              <w:rPr>
                <w:sz w:val="20"/>
                <w:lang w:val="fr-CA"/>
              </w:rPr>
              <w:t>(Juge Feldman)</w:t>
            </w:r>
          </w:p>
          <w:p w:rsidR="00583023" w:rsidRPr="00C03D34" w:rsidRDefault="00583023" w:rsidP="00A809A9">
            <w:pPr>
              <w:jc w:val="both"/>
              <w:rPr>
                <w:sz w:val="20"/>
                <w:lang w:val="fr-CA"/>
              </w:rPr>
            </w:pPr>
          </w:p>
        </w:tc>
        <w:tc>
          <w:tcPr>
            <w:tcW w:w="243" w:type="pct"/>
          </w:tcPr>
          <w:p w:rsidR="00583023" w:rsidRPr="00C03D34" w:rsidRDefault="00583023" w:rsidP="00A809A9">
            <w:pPr>
              <w:jc w:val="both"/>
              <w:rPr>
                <w:sz w:val="20"/>
                <w:lang w:val="fr-CA"/>
              </w:rPr>
            </w:pPr>
          </w:p>
        </w:tc>
        <w:tc>
          <w:tcPr>
            <w:tcW w:w="2330" w:type="pct"/>
          </w:tcPr>
          <w:p w:rsidR="00583023" w:rsidRPr="00C03D34" w:rsidRDefault="00583023" w:rsidP="00A809A9">
            <w:pPr>
              <w:jc w:val="both"/>
              <w:rPr>
                <w:sz w:val="20"/>
                <w:lang w:val="fr-CA"/>
              </w:rPr>
            </w:pPr>
            <w:r w:rsidRPr="00C03D34">
              <w:rPr>
                <w:sz w:val="20"/>
                <w:lang w:val="fr-CA"/>
              </w:rPr>
              <w:t xml:space="preserve">Motion en prorogation de délai ajournée  </w:t>
            </w:r>
            <w:r w:rsidRPr="00C03D34">
              <w:rPr>
                <w:i/>
                <w:sz w:val="20"/>
                <w:lang w:val="fr-CA"/>
              </w:rPr>
              <w:t>sine die</w:t>
            </w:r>
          </w:p>
          <w:p w:rsidR="00583023" w:rsidRPr="00C03D34" w:rsidRDefault="00583023" w:rsidP="00A809A9">
            <w:pPr>
              <w:jc w:val="both"/>
              <w:rPr>
                <w:sz w:val="20"/>
                <w:lang w:val="fr-CA"/>
              </w:rPr>
            </w:pPr>
          </w:p>
        </w:tc>
      </w:tr>
      <w:tr w:rsidR="00583023" w:rsidRPr="00C03D34" w:rsidTr="00E77667">
        <w:trPr>
          <w:cantSplit/>
        </w:trPr>
        <w:tc>
          <w:tcPr>
            <w:tcW w:w="2427" w:type="pct"/>
          </w:tcPr>
          <w:p w:rsidR="00583023" w:rsidRPr="00C03D34" w:rsidRDefault="00583023" w:rsidP="00A809A9">
            <w:pPr>
              <w:jc w:val="both"/>
              <w:rPr>
                <w:sz w:val="20"/>
              </w:rPr>
            </w:pPr>
            <w:r w:rsidRPr="00C03D34">
              <w:rPr>
                <w:sz w:val="20"/>
              </w:rPr>
              <w:t>27 mars 2014</w:t>
            </w:r>
          </w:p>
          <w:p w:rsidR="00583023" w:rsidRPr="00C03D34" w:rsidRDefault="00583023" w:rsidP="00A809A9">
            <w:pPr>
              <w:jc w:val="both"/>
              <w:rPr>
                <w:sz w:val="20"/>
              </w:rPr>
            </w:pPr>
            <w:r w:rsidRPr="00C03D34">
              <w:rPr>
                <w:sz w:val="20"/>
              </w:rPr>
              <w:t>Cour suprême du Canada</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A96BD2" w:rsidRDefault="00583023" w:rsidP="00A809A9">
            <w:pPr>
              <w:jc w:val="both"/>
              <w:rPr>
                <w:sz w:val="20"/>
                <w:lang w:val="fr-CA"/>
              </w:rPr>
            </w:pPr>
            <w:r w:rsidRPr="00A96BD2">
              <w:rPr>
                <w:sz w:val="20"/>
                <w:lang w:val="fr-CA"/>
              </w:rPr>
              <w:t xml:space="preserve">Demande d’autorisation d’appel déposée </w:t>
            </w:r>
          </w:p>
          <w:p w:rsidR="00583023" w:rsidRPr="00C03D34" w:rsidRDefault="00583023" w:rsidP="00A809A9">
            <w:pPr>
              <w:jc w:val="both"/>
              <w:rPr>
                <w:sz w:val="20"/>
              </w:rPr>
            </w:pPr>
          </w:p>
        </w:tc>
      </w:tr>
      <w:tr w:rsidR="00583023" w:rsidRPr="00584E5B" w:rsidTr="00E77667">
        <w:trPr>
          <w:cantSplit/>
        </w:trPr>
        <w:tc>
          <w:tcPr>
            <w:tcW w:w="2427" w:type="pct"/>
          </w:tcPr>
          <w:p w:rsidR="00583023" w:rsidRPr="00C03D34" w:rsidRDefault="00583023" w:rsidP="00A809A9">
            <w:pPr>
              <w:jc w:val="both"/>
              <w:rPr>
                <w:sz w:val="20"/>
                <w:lang w:val="fr-CA"/>
              </w:rPr>
            </w:pPr>
            <w:r w:rsidRPr="00C03D34">
              <w:rPr>
                <w:sz w:val="20"/>
                <w:lang w:val="fr-CA"/>
              </w:rPr>
              <w:t>6 mai 2014</w:t>
            </w:r>
          </w:p>
          <w:p w:rsidR="00583023" w:rsidRPr="00C03D34" w:rsidRDefault="00583023" w:rsidP="00A809A9">
            <w:pPr>
              <w:jc w:val="both"/>
              <w:rPr>
                <w:sz w:val="20"/>
                <w:lang w:val="fr-CA"/>
              </w:rPr>
            </w:pPr>
            <w:r w:rsidRPr="00C03D34">
              <w:rPr>
                <w:sz w:val="20"/>
                <w:lang w:val="fr-CA"/>
              </w:rPr>
              <w:t>Cour suprême du Canada</w:t>
            </w:r>
          </w:p>
        </w:tc>
        <w:tc>
          <w:tcPr>
            <w:tcW w:w="243" w:type="pct"/>
          </w:tcPr>
          <w:p w:rsidR="00583023" w:rsidRPr="00C03D34" w:rsidRDefault="00583023" w:rsidP="00A809A9">
            <w:pPr>
              <w:jc w:val="both"/>
              <w:rPr>
                <w:sz w:val="20"/>
                <w:lang w:val="fr-CA"/>
              </w:rPr>
            </w:pPr>
          </w:p>
        </w:tc>
        <w:tc>
          <w:tcPr>
            <w:tcW w:w="2330" w:type="pct"/>
          </w:tcPr>
          <w:p w:rsidR="00583023" w:rsidRPr="00C03D34" w:rsidRDefault="00583023" w:rsidP="00A809A9">
            <w:pPr>
              <w:jc w:val="both"/>
              <w:rPr>
                <w:sz w:val="20"/>
                <w:lang w:val="fr-CA"/>
              </w:rPr>
            </w:pPr>
            <w:r w:rsidRPr="00C03D34">
              <w:rPr>
                <w:sz w:val="20"/>
                <w:lang w:val="fr-CA"/>
              </w:rPr>
              <w:t xml:space="preserve">Demande d’autorisation d’appel modifiée déposée </w:t>
            </w:r>
          </w:p>
        </w:tc>
      </w:tr>
    </w:tbl>
    <w:p w:rsidR="008F72E8" w:rsidRPr="00583023" w:rsidRDefault="008F72E8" w:rsidP="008F72E8">
      <w:pPr>
        <w:rPr>
          <w:sz w:val="20"/>
          <w:szCs w:val="20"/>
          <w:lang w:val="fr-CA"/>
        </w:rPr>
      </w:pPr>
    </w:p>
    <w:p w:rsidR="008F72E8" w:rsidRDefault="00584E5B" w:rsidP="008F72E8">
      <w:pPr>
        <w:rPr>
          <w:sz w:val="20"/>
          <w:szCs w:val="20"/>
          <w:lang w:val="fr-CA"/>
        </w:rPr>
      </w:pPr>
      <w:r>
        <w:rPr>
          <w:sz w:val="20"/>
          <w:szCs w:val="20"/>
          <w:lang w:val="fr-CA"/>
        </w:rPr>
        <w:pict>
          <v:rect id="_x0000_i1053" style="width:2in;height:1pt" o:hrpct="0" o:hralign="center" o:hrstd="t" o:hrnoshade="t" o:hr="t" fillcolor="black [3213]" stroked="f"/>
        </w:pict>
      </w:r>
    </w:p>
    <w:p w:rsidR="008F72E8" w:rsidRDefault="008F72E8" w:rsidP="008F72E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7667" w:rsidRPr="007D142E" w:rsidTr="002A3A49">
        <w:trPr>
          <w:cantSplit/>
        </w:trPr>
        <w:tc>
          <w:tcPr>
            <w:tcW w:w="1458" w:type="dxa"/>
          </w:tcPr>
          <w:p w:rsidR="00E77667" w:rsidRPr="007D142E" w:rsidRDefault="00E77667" w:rsidP="002A3A49">
            <w:pPr>
              <w:rPr>
                <w:sz w:val="20"/>
                <w:szCs w:val="20"/>
              </w:rPr>
            </w:pPr>
            <w:r w:rsidRPr="007D142E">
              <w:rPr>
                <w:rStyle w:val="SCCFileNumberChar"/>
                <w:sz w:val="20"/>
                <w:szCs w:val="20"/>
              </w:rPr>
              <w:t>35855</w:t>
            </w:r>
          </w:p>
          <w:p w:rsidR="00E77667" w:rsidRPr="007D142E" w:rsidRDefault="00E77667" w:rsidP="002A3A49">
            <w:pPr>
              <w:rPr>
                <w:b/>
                <w:sz w:val="20"/>
                <w:szCs w:val="20"/>
                <w:lang w:val="fr-CA"/>
              </w:rPr>
            </w:pPr>
          </w:p>
        </w:tc>
        <w:tc>
          <w:tcPr>
            <w:tcW w:w="8118" w:type="dxa"/>
          </w:tcPr>
          <w:p w:rsidR="00E77667" w:rsidRPr="007D142E" w:rsidRDefault="00E77667" w:rsidP="002A3A49">
            <w:pPr>
              <w:rPr>
                <w:sz w:val="20"/>
                <w:szCs w:val="20"/>
              </w:rPr>
            </w:pPr>
            <w:r w:rsidRPr="007D142E">
              <w:rPr>
                <w:rStyle w:val="SCCLsocChar"/>
                <w:sz w:val="20"/>
                <w:szCs w:val="20"/>
                <w:lang w:val="en-CA"/>
              </w:rPr>
              <w:t>Jenny Tran v. Her Majesty the Queen</w:t>
            </w:r>
            <w:r w:rsidRPr="007D142E">
              <w:rPr>
                <w:sz w:val="20"/>
                <w:szCs w:val="20"/>
              </w:rPr>
              <w:t xml:space="preserve"> (Ont.) (Criminal) (By Leave)</w:t>
            </w:r>
          </w:p>
          <w:p w:rsidR="00E77667" w:rsidRPr="007D142E" w:rsidRDefault="00E77667" w:rsidP="002A3A49">
            <w:pPr>
              <w:rPr>
                <w:sz w:val="20"/>
                <w:szCs w:val="20"/>
              </w:rPr>
            </w:pPr>
          </w:p>
        </w:tc>
      </w:tr>
      <w:tr w:rsidR="00E77667" w:rsidRPr="007D142E" w:rsidTr="002A3A49">
        <w:trPr>
          <w:cantSplit/>
        </w:trPr>
        <w:tc>
          <w:tcPr>
            <w:tcW w:w="1458" w:type="dxa"/>
          </w:tcPr>
          <w:p w:rsidR="00E77667" w:rsidRPr="007D142E" w:rsidRDefault="00E77667" w:rsidP="002A3A49">
            <w:pPr>
              <w:rPr>
                <w:sz w:val="20"/>
                <w:szCs w:val="20"/>
              </w:rPr>
            </w:pPr>
            <w:r w:rsidRPr="007D142E">
              <w:rPr>
                <w:sz w:val="20"/>
                <w:szCs w:val="20"/>
              </w:rPr>
              <w:t>Coram :</w:t>
            </w:r>
          </w:p>
        </w:tc>
        <w:tc>
          <w:tcPr>
            <w:tcW w:w="8118" w:type="dxa"/>
          </w:tcPr>
          <w:p w:rsidR="00E77667" w:rsidRPr="007D142E" w:rsidRDefault="00E77667" w:rsidP="002A3A49">
            <w:pPr>
              <w:rPr>
                <w:sz w:val="20"/>
                <w:szCs w:val="20"/>
              </w:rPr>
            </w:pPr>
            <w:r w:rsidRPr="007D142E">
              <w:rPr>
                <w:rStyle w:val="SCCCoramChar"/>
                <w:sz w:val="20"/>
                <w:szCs w:val="20"/>
                <w:lang w:val="en-CA"/>
              </w:rPr>
              <w:t>Abella, Rothstein and Moldaver JJ.</w:t>
            </w:r>
          </w:p>
          <w:p w:rsidR="00E77667" w:rsidRPr="007D142E" w:rsidRDefault="00E77667" w:rsidP="002A3A49">
            <w:pPr>
              <w:rPr>
                <w:sz w:val="20"/>
                <w:szCs w:val="20"/>
                <w:u w:val="single"/>
              </w:rPr>
            </w:pPr>
          </w:p>
        </w:tc>
      </w:tr>
      <w:tr w:rsidR="00E77667" w:rsidRPr="00584E5B" w:rsidTr="002A3A49">
        <w:trPr>
          <w:cantSplit/>
        </w:trPr>
        <w:tc>
          <w:tcPr>
            <w:tcW w:w="9576" w:type="dxa"/>
            <w:gridSpan w:val="2"/>
          </w:tcPr>
          <w:p w:rsidR="00E77667" w:rsidRPr="007D142E" w:rsidRDefault="00E77667" w:rsidP="002A3A49">
            <w:pPr>
              <w:pStyle w:val="SCCShortJudgment"/>
              <w:rPr>
                <w:szCs w:val="20"/>
              </w:rPr>
            </w:pPr>
            <w:r w:rsidRPr="007D142E">
              <w:rPr>
                <w:szCs w:val="20"/>
              </w:rPr>
              <w:t>The application for leave to appeal from the judgment of the Court of Appeal for Ontario, Number C55841, 2014 ONCA 146, dated February 25, 2014, is dismissed without costs.</w:t>
            </w:r>
          </w:p>
          <w:p w:rsidR="00E77667" w:rsidRPr="007D142E" w:rsidRDefault="00E77667" w:rsidP="002A3A49">
            <w:pPr>
              <w:pStyle w:val="SCCShortJudgment"/>
              <w:ind w:firstLine="0"/>
              <w:rPr>
                <w:szCs w:val="20"/>
              </w:rPr>
            </w:pPr>
          </w:p>
          <w:p w:rsidR="00E77667" w:rsidRPr="007D142E" w:rsidRDefault="00E77667" w:rsidP="002A3A49">
            <w:pPr>
              <w:pStyle w:val="SCCShortJudgment"/>
              <w:rPr>
                <w:szCs w:val="20"/>
                <w:lang w:val="fr-CA"/>
              </w:rPr>
            </w:pPr>
            <w:r w:rsidRPr="007D142E">
              <w:rPr>
                <w:szCs w:val="20"/>
                <w:lang w:val="fr-CA"/>
              </w:rPr>
              <w:t>La demande d’autorisation d’appel de l’arrêt de la Cour d’appel de l’Ontario, numéro C55841, 2014 ONCA 146, daté du 25 février 2014, est rejetée sans dépens.</w:t>
            </w:r>
          </w:p>
        </w:tc>
      </w:tr>
    </w:tbl>
    <w:p w:rsidR="008F72E8" w:rsidRPr="00E77667" w:rsidRDefault="008F72E8" w:rsidP="000E2959">
      <w:pPr>
        <w:rPr>
          <w:sz w:val="20"/>
          <w:szCs w:val="20"/>
          <w:lang w:val="fr-CA"/>
        </w:rPr>
      </w:pPr>
    </w:p>
    <w:p w:rsidR="008F72E8" w:rsidRPr="001B157C" w:rsidRDefault="008F72E8" w:rsidP="008F72E8">
      <w:pPr>
        <w:rPr>
          <w:sz w:val="20"/>
          <w:szCs w:val="20"/>
          <w:u w:val="single"/>
        </w:rPr>
      </w:pPr>
      <w:r w:rsidRPr="001B157C">
        <w:rPr>
          <w:sz w:val="20"/>
          <w:szCs w:val="20"/>
          <w:u w:val="single"/>
        </w:rPr>
        <w:t>CASE SUMMARY</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83023" w:rsidRPr="00C03D34" w:rsidTr="00A809A9">
        <w:tc>
          <w:tcPr>
            <w:tcW w:w="5000" w:type="pct"/>
            <w:gridSpan w:val="3"/>
          </w:tcPr>
          <w:p w:rsidR="00583023" w:rsidRPr="00C03D34" w:rsidRDefault="00583023" w:rsidP="00A809A9">
            <w:pPr>
              <w:jc w:val="both"/>
              <w:rPr>
                <w:sz w:val="20"/>
              </w:rPr>
            </w:pPr>
            <w:r w:rsidRPr="00C03D34">
              <w:rPr>
                <w:sz w:val="20"/>
              </w:rPr>
              <w:t xml:space="preserve">Criminal law – Appeals – Whether this is a matter of pressing public and national importance – Whether the Court of Appeal erred in denying the applicant leave to appeal the trial judge’s finding that the applicant could not resort to the citizen’s arrest power under s. 494(1)(a) of the </w:t>
            </w:r>
            <w:r w:rsidRPr="00C03D34">
              <w:rPr>
                <w:i/>
                <w:sz w:val="20"/>
              </w:rPr>
              <w:t>Criminal Code</w:t>
            </w:r>
            <w:r w:rsidRPr="00C03D34">
              <w:rPr>
                <w:sz w:val="20"/>
              </w:rPr>
              <w:t xml:space="preserve"> in circumstances where a complainant refuses to pay for services rendered by the applicant.</w:t>
            </w:r>
          </w:p>
        </w:tc>
      </w:tr>
      <w:tr w:rsidR="00583023" w:rsidRPr="00C03D34" w:rsidTr="00A809A9">
        <w:tc>
          <w:tcPr>
            <w:tcW w:w="5000" w:type="pct"/>
            <w:gridSpan w:val="3"/>
          </w:tcPr>
          <w:p w:rsidR="00583023" w:rsidRPr="00C03D34" w:rsidRDefault="00583023" w:rsidP="00A809A9">
            <w:pPr>
              <w:jc w:val="both"/>
              <w:rPr>
                <w:sz w:val="20"/>
              </w:rPr>
            </w:pPr>
          </w:p>
        </w:tc>
      </w:tr>
      <w:tr w:rsidR="00583023" w:rsidRPr="00C03D34" w:rsidTr="00A809A9">
        <w:tc>
          <w:tcPr>
            <w:tcW w:w="5000" w:type="pct"/>
            <w:gridSpan w:val="3"/>
          </w:tcPr>
          <w:p w:rsidR="00583023" w:rsidRPr="00C03D34" w:rsidRDefault="00583023" w:rsidP="00A809A9">
            <w:pPr>
              <w:jc w:val="both"/>
              <w:rPr>
                <w:sz w:val="20"/>
              </w:rPr>
            </w:pPr>
            <w:r w:rsidRPr="00C03D34">
              <w:rPr>
                <w:sz w:val="20"/>
              </w:rPr>
              <w:t xml:space="preserve">There was an altercation at a health spa between the applicant, the spa’s owner, and the complainant.  The client complainant decided to leave the spa when, during her treatment, she heard a loud argument between the applicant and another customer.  The applicant would not let the complainant leave without paying, although the treatment had just started.  The applicant locked the spa door and pushed the complainant backwards when she tried to leave.  The applicant called the police.  The trial judge rejected the applicant’s defence was that she was effecting a citizen’s arrest pursuant to s. 494 of the </w:t>
            </w:r>
            <w:r w:rsidRPr="00C03D34">
              <w:rPr>
                <w:i/>
                <w:sz w:val="20"/>
              </w:rPr>
              <w:t>Criminal Code</w:t>
            </w:r>
            <w:r w:rsidRPr="00C03D34">
              <w:rPr>
                <w:sz w:val="20"/>
              </w:rPr>
              <w:t>.  The applicant was convicted of unlawful confinement and assault.  The appeal and the application for leave to appeal were dismissed.</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June 10, 2011</w:t>
            </w:r>
          </w:p>
          <w:p w:rsidR="00583023" w:rsidRPr="00C03D34" w:rsidRDefault="00583023" w:rsidP="00A809A9">
            <w:pPr>
              <w:jc w:val="both"/>
              <w:rPr>
                <w:sz w:val="20"/>
              </w:rPr>
            </w:pPr>
            <w:r w:rsidRPr="00C03D34">
              <w:rPr>
                <w:sz w:val="20"/>
              </w:rPr>
              <w:t>Ontario Court of Justice</w:t>
            </w:r>
          </w:p>
          <w:p w:rsidR="00583023" w:rsidRPr="00C03D34" w:rsidRDefault="00583023" w:rsidP="00A809A9">
            <w:pPr>
              <w:jc w:val="both"/>
              <w:rPr>
                <w:sz w:val="20"/>
              </w:rPr>
            </w:pPr>
            <w:r w:rsidRPr="00C03D34">
              <w:rPr>
                <w:sz w:val="20"/>
              </w:rPr>
              <w:t>(Halikowski J.)</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Applicant convicted of unlawful confinement and assault</w:t>
            </w:r>
          </w:p>
          <w:p w:rsidR="00583023" w:rsidRPr="00C03D34" w:rsidRDefault="00583023" w:rsidP="00A809A9">
            <w:pPr>
              <w:jc w:val="both"/>
              <w:rPr>
                <w:sz w:val="20"/>
              </w:rPr>
            </w:pP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rPr>
            </w:pPr>
            <w:r w:rsidRPr="00C03D34">
              <w:rPr>
                <w:sz w:val="20"/>
              </w:rPr>
              <w:t>July 4, 2012</w:t>
            </w:r>
          </w:p>
          <w:p w:rsidR="00583023" w:rsidRPr="00C03D34" w:rsidRDefault="00583023" w:rsidP="00A809A9">
            <w:pPr>
              <w:jc w:val="both"/>
              <w:rPr>
                <w:sz w:val="20"/>
              </w:rPr>
            </w:pPr>
            <w:r w:rsidRPr="00C03D34">
              <w:rPr>
                <w:sz w:val="20"/>
              </w:rPr>
              <w:t>Ontario Superior Court of Justice</w:t>
            </w:r>
          </w:p>
          <w:p w:rsidR="00583023" w:rsidRPr="00C03D34" w:rsidRDefault="00583023" w:rsidP="00A809A9">
            <w:pPr>
              <w:jc w:val="both"/>
              <w:rPr>
                <w:sz w:val="20"/>
              </w:rPr>
            </w:pPr>
            <w:r w:rsidRPr="00C03D34">
              <w:rPr>
                <w:sz w:val="20"/>
              </w:rPr>
              <w:t>(Edwards J.)</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Appeal dismissed</w:t>
            </w:r>
          </w:p>
          <w:p w:rsidR="00583023" w:rsidRPr="00C03D34" w:rsidRDefault="00583023" w:rsidP="00A809A9">
            <w:pPr>
              <w:jc w:val="both"/>
              <w:rPr>
                <w:sz w:val="20"/>
              </w:rPr>
            </w:pPr>
          </w:p>
          <w:p w:rsidR="00583023" w:rsidRPr="00C03D34" w:rsidRDefault="00583023" w:rsidP="00A809A9">
            <w:pPr>
              <w:jc w:val="both"/>
              <w:rPr>
                <w:sz w:val="20"/>
              </w:rPr>
            </w:pPr>
          </w:p>
        </w:tc>
      </w:tr>
      <w:tr w:rsidR="00583023" w:rsidRPr="00C03D34" w:rsidTr="00E77667">
        <w:trPr>
          <w:cantSplit/>
        </w:trPr>
        <w:tc>
          <w:tcPr>
            <w:tcW w:w="2427" w:type="pct"/>
          </w:tcPr>
          <w:p w:rsidR="00583023" w:rsidRPr="00C03D34" w:rsidRDefault="00583023" w:rsidP="00A809A9">
            <w:pPr>
              <w:jc w:val="both"/>
              <w:rPr>
                <w:sz w:val="20"/>
              </w:rPr>
            </w:pPr>
            <w:r w:rsidRPr="00C03D34">
              <w:rPr>
                <w:sz w:val="20"/>
              </w:rPr>
              <w:lastRenderedPageBreak/>
              <w:t>February 25, 2014</w:t>
            </w:r>
          </w:p>
          <w:p w:rsidR="00583023" w:rsidRPr="00C03D34" w:rsidRDefault="00583023" w:rsidP="00A809A9">
            <w:pPr>
              <w:jc w:val="both"/>
              <w:rPr>
                <w:sz w:val="20"/>
              </w:rPr>
            </w:pPr>
            <w:r w:rsidRPr="00C03D34">
              <w:rPr>
                <w:sz w:val="20"/>
              </w:rPr>
              <w:t>Court of Appeal for Ontario</w:t>
            </w:r>
          </w:p>
          <w:p w:rsidR="00583023" w:rsidRPr="00C03D34" w:rsidRDefault="00583023" w:rsidP="00A809A9">
            <w:pPr>
              <w:jc w:val="both"/>
              <w:rPr>
                <w:sz w:val="20"/>
              </w:rPr>
            </w:pPr>
            <w:r w:rsidRPr="00C03D34">
              <w:rPr>
                <w:sz w:val="20"/>
              </w:rPr>
              <w:t>(MacPherson , Cronk and Gillese JJ.A.)</w:t>
            </w:r>
          </w:p>
          <w:p w:rsidR="00583023" w:rsidRPr="00C03D34" w:rsidRDefault="00583023" w:rsidP="00A809A9">
            <w:pPr>
              <w:jc w:val="both"/>
              <w:rPr>
                <w:sz w:val="20"/>
              </w:rPr>
            </w:pPr>
            <w:r w:rsidRPr="00C03D34">
              <w:rPr>
                <w:sz w:val="20"/>
              </w:rPr>
              <w:t>2014 ONCA 146</w:t>
            </w:r>
          </w:p>
          <w:p w:rsidR="00583023" w:rsidRPr="00C03D34" w:rsidRDefault="00584E5B" w:rsidP="00A809A9">
            <w:pPr>
              <w:jc w:val="both"/>
              <w:rPr>
                <w:rStyle w:val="documentstaticurl"/>
                <w:sz w:val="20"/>
              </w:rPr>
            </w:pPr>
            <w:hyperlink r:id="rId32" w:history="1">
              <w:r w:rsidR="00583023" w:rsidRPr="00C03D34">
                <w:rPr>
                  <w:rStyle w:val="Hyperlink"/>
                  <w:sz w:val="20"/>
                </w:rPr>
                <w:t>http://canlii.ca/t/g476t</w:t>
              </w:r>
            </w:hyperlink>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Application for leave to appeal dismissed</w:t>
            </w:r>
          </w:p>
          <w:p w:rsidR="00583023" w:rsidRPr="00C03D34" w:rsidRDefault="00583023" w:rsidP="00A809A9">
            <w:pPr>
              <w:jc w:val="both"/>
              <w:rPr>
                <w:sz w:val="20"/>
              </w:rPr>
            </w:pPr>
          </w:p>
        </w:tc>
      </w:tr>
      <w:tr w:rsidR="00583023" w:rsidRPr="00C03D34" w:rsidTr="00E77667">
        <w:trPr>
          <w:cantSplit/>
        </w:trPr>
        <w:tc>
          <w:tcPr>
            <w:tcW w:w="2427" w:type="pct"/>
          </w:tcPr>
          <w:p w:rsidR="00583023" w:rsidRPr="00C03D34" w:rsidRDefault="00583023" w:rsidP="00A809A9">
            <w:pPr>
              <w:jc w:val="both"/>
              <w:rPr>
                <w:sz w:val="20"/>
              </w:rPr>
            </w:pPr>
            <w:r w:rsidRPr="00C03D34">
              <w:rPr>
                <w:sz w:val="20"/>
              </w:rPr>
              <w:t>April 28, 2014</w:t>
            </w:r>
          </w:p>
          <w:p w:rsidR="00583023" w:rsidRPr="00C03D34" w:rsidRDefault="00583023" w:rsidP="00A809A9">
            <w:pPr>
              <w:jc w:val="both"/>
              <w:rPr>
                <w:sz w:val="20"/>
              </w:rPr>
            </w:pPr>
            <w:r w:rsidRPr="00C03D34">
              <w:rPr>
                <w:sz w:val="20"/>
              </w:rPr>
              <w:t>Supreme Court of Canada</w:t>
            </w:r>
          </w:p>
        </w:tc>
        <w:tc>
          <w:tcPr>
            <w:tcW w:w="243" w:type="pct"/>
          </w:tcPr>
          <w:p w:rsidR="00583023" w:rsidRPr="00C03D34" w:rsidRDefault="00583023" w:rsidP="00A809A9">
            <w:pPr>
              <w:jc w:val="both"/>
              <w:rPr>
                <w:sz w:val="20"/>
              </w:rPr>
            </w:pPr>
          </w:p>
        </w:tc>
        <w:tc>
          <w:tcPr>
            <w:tcW w:w="2330" w:type="pct"/>
          </w:tcPr>
          <w:p w:rsidR="00583023" w:rsidRPr="00C03D34" w:rsidRDefault="00583023" w:rsidP="00A809A9">
            <w:pPr>
              <w:jc w:val="both"/>
              <w:rPr>
                <w:sz w:val="20"/>
              </w:rPr>
            </w:pPr>
            <w:r w:rsidRPr="00C03D34">
              <w:rPr>
                <w:sz w:val="20"/>
              </w:rPr>
              <w:t>Application for leave to appeal filed</w:t>
            </w:r>
          </w:p>
          <w:p w:rsidR="00583023" w:rsidRPr="00C03D34" w:rsidRDefault="00583023" w:rsidP="00A809A9">
            <w:pPr>
              <w:jc w:val="both"/>
              <w:rPr>
                <w:sz w:val="20"/>
              </w:rPr>
            </w:pPr>
          </w:p>
        </w:tc>
      </w:tr>
    </w:tbl>
    <w:p w:rsidR="008F72E8" w:rsidRDefault="008F72E8" w:rsidP="008F72E8">
      <w:pPr>
        <w:rPr>
          <w:sz w:val="20"/>
          <w:szCs w:val="20"/>
        </w:rPr>
      </w:pPr>
    </w:p>
    <w:p w:rsidR="008F72E8" w:rsidRPr="00C50A5C" w:rsidRDefault="00584E5B" w:rsidP="008F72E8">
      <w:pPr>
        <w:rPr>
          <w:sz w:val="20"/>
          <w:szCs w:val="20"/>
        </w:rPr>
      </w:pPr>
      <w:r>
        <w:rPr>
          <w:sz w:val="20"/>
          <w:szCs w:val="20"/>
          <w:lang w:val="fr-CA"/>
        </w:rPr>
        <w:pict>
          <v:rect id="_x0000_i1054" style="width:2in;height:1pt" o:hrpct="0" o:hralign="center" o:hrstd="t" o:hrnoshade="t" o:hr="t" fillcolor="black [3213]" stroked="f"/>
        </w:pict>
      </w:r>
    </w:p>
    <w:p w:rsidR="008F72E8" w:rsidRDefault="008F72E8" w:rsidP="008F72E8">
      <w:pPr>
        <w:rPr>
          <w:sz w:val="20"/>
          <w:szCs w:val="20"/>
        </w:rPr>
      </w:pPr>
    </w:p>
    <w:p w:rsidR="008F72E8" w:rsidRPr="001B157C" w:rsidRDefault="008F72E8" w:rsidP="008F72E8">
      <w:pPr>
        <w:rPr>
          <w:sz w:val="20"/>
          <w:szCs w:val="20"/>
          <w:u w:val="single"/>
          <w:lang w:val="fr-CA"/>
        </w:rPr>
      </w:pPr>
      <w:r w:rsidRPr="001B157C">
        <w:rPr>
          <w:sz w:val="20"/>
          <w:szCs w:val="20"/>
          <w:u w:val="single"/>
          <w:lang w:val="fr-CA"/>
        </w:rPr>
        <w:t>RÉSUMÉ DE L’AFFAIRE</w:t>
      </w:r>
    </w:p>
    <w:p w:rsidR="008F72E8" w:rsidRDefault="008F72E8" w:rsidP="008F72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83023" w:rsidRPr="00584E5B" w:rsidTr="00A809A9">
        <w:tc>
          <w:tcPr>
            <w:tcW w:w="5000" w:type="pct"/>
            <w:gridSpan w:val="3"/>
          </w:tcPr>
          <w:p w:rsidR="00583023" w:rsidRPr="00C03D34" w:rsidRDefault="00583023" w:rsidP="00A809A9">
            <w:pPr>
              <w:jc w:val="both"/>
              <w:rPr>
                <w:sz w:val="20"/>
                <w:lang w:val="fr-CA"/>
              </w:rPr>
            </w:pPr>
            <w:r w:rsidRPr="00C03D34">
              <w:rPr>
                <w:sz w:val="20"/>
                <w:lang w:val="fr-CA"/>
              </w:rPr>
              <w:t>Droit criminel – Appels – S’agit-il d’une affaire urgente et importante pour le public et d’importance nationale? – La Cour d’appel a-t-elle commis une erreur en rejetant la demande d’autorisation d’appel de la demanderesse visant la conclusion du juge de première instance selon laquelle la demanderesse ne pouvait pas exercer le pouvoir d’arrestation conféré à un simple citoyen par l’alinéa 494(1)</w:t>
            </w:r>
            <w:r w:rsidRPr="00C03D34">
              <w:rPr>
                <w:i/>
                <w:sz w:val="20"/>
                <w:lang w:val="fr-CA"/>
              </w:rPr>
              <w:t>a</w:t>
            </w:r>
            <w:r w:rsidRPr="00C03D34">
              <w:rPr>
                <w:sz w:val="20"/>
                <w:lang w:val="fr-CA"/>
              </w:rPr>
              <w:t xml:space="preserve">) du </w:t>
            </w:r>
            <w:r w:rsidRPr="00C03D34">
              <w:rPr>
                <w:i/>
                <w:sz w:val="20"/>
                <w:lang w:val="fr-CA"/>
              </w:rPr>
              <w:t xml:space="preserve">Code criminel </w:t>
            </w:r>
            <w:r w:rsidRPr="00C03D34">
              <w:rPr>
                <w:sz w:val="20"/>
                <w:lang w:val="fr-CA"/>
              </w:rPr>
              <w:t xml:space="preserve">dans le cas où une plaignante refusait de payer pour des services que lui avait offert la demanderesse? </w:t>
            </w:r>
          </w:p>
        </w:tc>
      </w:tr>
      <w:tr w:rsidR="00583023" w:rsidRPr="00584E5B" w:rsidTr="00A809A9">
        <w:tc>
          <w:tcPr>
            <w:tcW w:w="5000" w:type="pct"/>
            <w:gridSpan w:val="3"/>
          </w:tcPr>
          <w:p w:rsidR="00583023" w:rsidRPr="00C03D34" w:rsidRDefault="00583023" w:rsidP="00A809A9">
            <w:pPr>
              <w:jc w:val="both"/>
              <w:rPr>
                <w:sz w:val="20"/>
                <w:lang w:val="fr-CA"/>
              </w:rPr>
            </w:pPr>
          </w:p>
        </w:tc>
      </w:tr>
      <w:tr w:rsidR="00583023" w:rsidRPr="00C03D34" w:rsidTr="00A809A9">
        <w:tc>
          <w:tcPr>
            <w:tcW w:w="5000" w:type="pct"/>
            <w:gridSpan w:val="3"/>
          </w:tcPr>
          <w:p w:rsidR="00583023" w:rsidRPr="00C03D34" w:rsidRDefault="00583023" w:rsidP="00A809A9">
            <w:pPr>
              <w:jc w:val="both"/>
              <w:rPr>
                <w:sz w:val="20"/>
                <w:lang w:val="fr-CA"/>
              </w:rPr>
            </w:pPr>
            <w:r w:rsidRPr="00C03D34">
              <w:rPr>
                <w:sz w:val="20"/>
                <w:lang w:val="fr-CA"/>
              </w:rPr>
              <w:t xml:space="preserve">Il y a eu une altercation dans un centre de santé entre la demanderesse, le propriétaire du centre de santé et la plaignante.  La cliente plaignante a décidé de quitter le centre de santé au cours de son traitement lorsqu’elle a entendu la demanderesse et un autre client se disputer à voix haute. La demanderesse n’a pas laissé la plaignante partir sans payer même si le traitement venait tout juste de commencer.  La demanderesse a verrouillé la porte du centre de santé et a poussé la plaignante vers l’arrière lorsque celle-ci a tenté de sortir.  La demanderesse a appelé la police. Le juge de première instance a rejeté la défense de la demanderesse selon laquelle elle effectuait une arrestation en tant que simple citoyenne conformément à l’art. 494 du </w:t>
            </w:r>
            <w:r w:rsidRPr="00C03D34">
              <w:rPr>
                <w:i/>
                <w:sz w:val="20"/>
                <w:lang w:val="fr-CA"/>
              </w:rPr>
              <w:t>Code criminel</w:t>
            </w:r>
            <w:r w:rsidRPr="00C03D34">
              <w:rPr>
                <w:sz w:val="20"/>
                <w:lang w:val="fr-CA"/>
              </w:rPr>
              <w:t xml:space="preserve">.  La demanderesse a été reconnue coupable de séquestration et de voies de fait.  L’appel et la demande d’autorisation d’appel ont été rejetés. </w:t>
            </w:r>
          </w:p>
          <w:p w:rsidR="00583023" w:rsidRPr="00C03D34" w:rsidRDefault="00583023" w:rsidP="00A809A9">
            <w:pPr>
              <w:jc w:val="both"/>
              <w:rPr>
                <w:sz w:val="20"/>
                <w:lang w:val="fr-CA"/>
              </w:rPr>
            </w:pPr>
          </w:p>
        </w:tc>
      </w:tr>
      <w:tr w:rsidR="00583023" w:rsidRPr="00584E5B" w:rsidTr="00A809A9">
        <w:tc>
          <w:tcPr>
            <w:tcW w:w="2427" w:type="pct"/>
          </w:tcPr>
          <w:p w:rsidR="00583023" w:rsidRPr="00C03D34" w:rsidRDefault="00583023" w:rsidP="00A809A9">
            <w:pPr>
              <w:jc w:val="both"/>
              <w:rPr>
                <w:sz w:val="20"/>
                <w:lang w:val="fr-CA"/>
              </w:rPr>
            </w:pPr>
            <w:r w:rsidRPr="00C03D34">
              <w:rPr>
                <w:sz w:val="20"/>
                <w:lang w:val="fr-CA"/>
              </w:rPr>
              <w:t>10 juin 2011</w:t>
            </w:r>
          </w:p>
          <w:p w:rsidR="00583023" w:rsidRPr="00C03D34" w:rsidRDefault="00583023" w:rsidP="00A809A9">
            <w:pPr>
              <w:jc w:val="both"/>
              <w:rPr>
                <w:sz w:val="20"/>
                <w:lang w:val="fr-CA"/>
              </w:rPr>
            </w:pPr>
            <w:r w:rsidRPr="00C03D34">
              <w:rPr>
                <w:sz w:val="20"/>
                <w:lang w:val="fr-CA"/>
              </w:rPr>
              <w:t xml:space="preserve">Cour de justice de l’Ontario </w:t>
            </w:r>
          </w:p>
          <w:p w:rsidR="00583023" w:rsidRPr="00C03D34" w:rsidRDefault="00583023" w:rsidP="00A809A9">
            <w:pPr>
              <w:jc w:val="both"/>
              <w:rPr>
                <w:sz w:val="20"/>
                <w:lang w:val="fr-CA"/>
              </w:rPr>
            </w:pPr>
            <w:r w:rsidRPr="00C03D34">
              <w:rPr>
                <w:sz w:val="20"/>
                <w:lang w:val="fr-CA"/>
              </w:rPr>
              <w:t>(Juge Halikowski)</w:t>
            </w:r>
          </w:p>
          <w:p w:rsidR="00583023" w:rsidRPr="00C03D34" w:rsidRDefault="00583023" w:rsidP="00A809A9">
            <w:pPr>
              <w:jc w:val="both"/>
              <w:rPr>
                <w:sz w:val="20"/>
                <w:lang w:val="fr-CA"/>
              </w:rPr>
            </w:pPr>
          </w:p>
        </w:tc>
        <w:tc>
          <w:tcPr>
            <w:tcW w:w="243" w:type="pct"/>
          </w:tcPr>
          <w:p w:rsidR="00583023" w:rsidRPr="00C03D34" w:rsidRDefault="00583023" w:rsidP="00A809A9">
            <w:pPr>
              <w:jc w:val="both"/>
              <w:rPr>
                <w:sz w:val="20"/>
                <w:lang w:val="fr-CA"/>
              </w:rPr>
            </w:pPr>
          </w:p>
        </w:tc>
        <w:tc>
          <w:tcPr>
            <w:tcW w:w="2330" w:type="pct"/>
          </w:tcPr>
          <w:p w:rsidR="00583023" w:rsidRPr="00C03D34" w:rsidRDefault="00583023" w:rsidP="00A809A9">
            <w:pPr>
              <w:jc w:val="both"/>
              <w:rPr>
                <w:sz w:val="20"/>
                <w:lang w:val="fr-CA"/>
              </w:rPr>
            </w:pPr>
            <w:r w:rsidRPr="00C03D34">
              <w:rPr>
                <w:sz w:val="20"/>
                <w:lang w:val="fr-CA"/>
              </w:rPr>
              <w:t xml:space="preserve">Demanderesse reconnue coupable de séquestration et de voies de fait </w:t>
            </w:r>
          </w:p>
          <w:p w:rsidR="00583023" w:rsidRPr="00C03D34" w:rsidRDefault="00583023" w:rsidP="00A809A9">
            <w:pPr>
              <w:jc w:val="both"/>
              <w:rPr>
                <w:sz w:val="20"/>
                <w:lang w:val="fr-CA"/>
              </w:rPr>
            </w:pPr>
          </w:p>
          <w:p w:rsidR="00583023" w:rsidRPr="00C03D34" w:rsidRDefault="00583023" w:rsidP="00A809A9">
            <w:pPr>
              <w:jc w:val="both"/>
              <w:rPr>
                <w:sz w:val="20"/>
                <w:lang w:val="fr-CA"/>
              </w:rPr>
            </w:pPr>
          </w:p>
        </w:tc>
      </w:tr>
      <w:tr w:rsidR="00583023" w:rsidRPr="00C03D34" w:rsidTr="00A809A9">
        <w:tc>
          <w:tcPr>
            <w:tcW w:w="2427" w:type="pct"/>
          </w:tcPr>
          <w:p w:rsidR="00583023" w:rsidRPr="00C03D34" w:rsidRDefault="00583023" w:rsidP="00A809A9">
            <w:pPr>
              <w:jc w:val="both"/>
              <w:rPr>
                <w:sz w:val="20"/>
                <w:lang w:val="fr-CA"/>
              </w:rPr>
            </w:pPr>
            <w:r w:rsidRPr="00C03D34">
              <w:rPr>
                <w:sz w:val="20"/>
                <w:lang w:val="fr-CA"/>
              </w:rPr>
              <w:t>4 juillet 2012</w:t>
            </w:r>
          </w:p>
          <w:p w:rsidR="00583023" w:rsidRPr="00C03D34" w:rsidRDefault="00583023" w:rsidP="00A809A9">
            <w:pPr>
              <w:jc w:val="both"/>
              <w:rPr>
                <w:sz w:val="20"/>
                <w:lang w:val="fr-CA"/>
              </w:rPr>
            </w:pPr>
            <w:r w:rsidRPr="00C03D34">
              <w:rPr>
                <w:sz w:val="20"/>
                <w:lang w:val="fr-CA"/>
              </w:rPr>
              <w:t xml:space="preserve">Cour supérieure de Justice de l’Ontario </w:t>
            </w:r>
          </w:p>
          <w:p w:rsidR="00583023" w:rsidRPr="00C03D34" w:rsidRDefault="00583023" w:rsidP="00A809A9">
            <w:pPr>
              <w:jc w:val="both"/>
              <w:rPr>
                <w:sz w:val="20"/>
              </w:rPr>
            </w:pPr>
            <w:r w:rsidRPr="00C03D34">
              <w:rPr>
                <w:sz w:val="20"/>
              </w:rPr>
              <w:t>(Juge Edwards)</w:t>
            </w:r>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A96BD2" w:rsidRDefault="00583023" w:rsidP="00A809A9">
            <w:pPr>
              <w:jc w:val="both"/>
              <w:rPr>
                <w:sz w:val="20"/>
                <w:lang w:val="fr-CA"/>
              </w:rPr>
            </w:pPr>
            <w:r w:rsidRPr="00A96BD2">
              <w:rPr>
                <w:sz w:val="20"/>
                <w:lang w:val="fr-CA"/>
              </w:rPr>
              <w:t>Appel rejeté</w:t>
            </w:r>
          </w:p>
          <w:p w:rsidR="00583023" w:rsidRPr="00C03D34" w:rsidRDefault="00583023" w:rsidP="00A809A9">
            <w:pPr>
              <w:jc w:val="both"/>
              <w:rPr>
                <w:sz w:val="20"/>
              </w:rPr>
            </w:pPr>
          </w:p>
        </w:tc>
      </w:tr>
      <w:tr w:rsidR="00583023" w:rsidRPr="00C03D34" w:rsidTr="00A809A9">
        <w:tc>
          <w:tcPr>
            <w:tcW w:w="2427" w:type="pct"/>
          </w:tcPr>
          <w:p w:rsidR="00583023" w:rsidRPr="00C03D34" w:rsidRDefault="00583023" w:rsidP="00A809A9">
            <w:pPr>
              <w:jc w:val="both"/>
              <w:rPr>
                <w:sz w:val="20"/>
                <w:lang w:val="fr-CA"/>
              </w:rPr>
            </w:pPr>
            <w:r w:rsidRPr="00C03D34">
              <w:rPr>
                <w:sz w:val="20"/>
                <w:lang w:val="fr-CA"/>
              </w:rPr>
              <w:t>25 février 2014</w:t>
            </w:r>
          </w:p>
          <w:p w:rsidR="00583023" w:rsidRPr="00C03D34" w:rsidRDefault="00583023" w:rsidP="00A809A9">
            <w:pPr>
              <w:jc w:val="both"/>
              <w:rPr>
                <w:sz w:val="20"/>
                <w:lang w:val="fr-CA"/>
              </w:rPr>
            </w:pPr>
            <w:r w:rsidRPr="00C03D34">
              <w:rPr>
                <w:sz w:val="20"/>
                <w:lang w:val="fr-CA"/>
              </w:rPr>
              <w:t>Cour d’appel de l’Ontario</w:t>
            </w:r>
          </w:p>
          <w:p w:rsidR="00583023" w:rsidRPr="00C03D34" w:rsidRDefault="00583023" w:rsidP="00A809A9">
            <w:pPr>
              <w:jc w:val="both"/>
              <w:rPr>
                <w:sz w:val="20"/>
                <w:lang w:val="fr-CA"/>
              </w:rPr>
            </w:pPr>
            <w:r w:rsidRPr="00C03D34">
              <w:rPr>
                <w:sz w:val="20"/>
                <w:lang w:val="fr-CA"/>
              </w:rPr>
              <w:t>(Juges MacPherson, Cronk et Gillese)</w:t>
            </w:r>
          </w:p>
          <w:p w:rsidR="00583023" w:rsidRPr="00C03D34" w:rsidRDefault="00583023" w:rsidP="00A809A9">
            <w:pPr>
              <w:jc w:val="both"/>
              <w:rPr>
                <w:sz w:val="20"/>
              </w:rPr>
            </w:pPr>
            <w:r w:rsidRPr="00C03D34">
              <w:rPr>
                <w:sz w:val="20"/>
              </w:rPr>
              <w:t>2014 ONCA 146</w:t>
            </w:r>
          </w:p>
          <w:p w:rsidR="00583023" w:rsidRPr="00C03D34" w:rsidRDefault="00584E5B" w:rsidP="00A809A9">
            <w:pPr>
              <w:jc w:val="both"/>
              <w:rPr>
                <w:rStyle w:val="documentstaticurl"/>
                <w:sz w:val="20"/>
              </w:rPr>
            </w:pPr>
            <w:hyperlink r:id="rId33" w:history="1">
              <w:r w:rsidR="00583023" w:rsidRPr="00C03D34">
                <w:rPr>
                  <w:rStyle w:val="Hyperlink"/>
                  <w:sz w:val="20"/>
                </w:rPr>
                <w:t>http://canlii.ca/t/g476t</w:t>
              </w:r>
            </w:hyperlink>
          </w:p>
          <w:p w:rsidR="00583023" w:rsidRPr="00C03D34" w:rsidRDefault="00583023" w:rsidP="00A809A9">
            <w:pPr>
              <w:jc w:val="both"/>
              <w:rPr>
                <w:sz w:val="20"/>
              </w:rPr>
            </w:pPr>
          </w:p>
        </w:tc>
        <w:tc>
          <w:tcPr>
            <w:tcW w:w="243" w:type="pct"/>
          </w:tcPr>
          <w:p w:rsidR="00583023" w:rsidRPr="00C03D34" w:rsidRDefault="00583023" w:rsidP="00A809A9">
            <w:pPr>
              <w:jc w:val="both"/>
              <w:rPr>
                <w:sz w:val="20"/>
              </w:rPr>
            </w:pPr>
          </w:p>
        </w:tc>
        <w:tc>
          <w:tcPr>
            <w:tcW w:w="2330" w:type="pct"/>
          </w:tcPr>
          <w:p w:rsidR="00583023" w:rsidRPr="00A96BD2" w:rsidRDefault="00583023" w:rsidP="00A809A9">
            <w:pPr>
              <w:jc w:val="both"/>
              <w:rPr>
                <w:sz w:val="20"/>
                <w:lang w:val="fr-CA"/>
              </w:rPr>
            </w:pPr>
            <w:r w:rsidRPr="00A96BD2">
              <w:rPr>
                <w:sz w:val="20"/>
                <w:lang w:val="fr-CA"/>
              </w:rPr>
              <w:t>Demande d’autorisation d’appel rejetée</w:t>
            </w:r>
          </w:p>
        </w:tc>
      </w:tr>
      <w:tr w:rsidR="00583023" w:rsidRPr="00C03D34" w:rsidTr="00A809A9">
        <w:tc>
          <w:tcPr>
            <w:tcW w:w="2427" w:type="pct"/>
          </w:tcPr>
          <w:p w:rsidR="00583023" w:rsidRPr="00C03D34" w:rsidRDefault="00583023" w:rsidP="00A809A9">
            <w:pPr>
              <w:jc w:val="both"/>
              <w:rPr>
                <w:sz w:val="20"/>
                <w:lang w:val="fr-CA"/>
              </w:rPr>
            </w:pPr>
            <w:r w:rsidRPr="00C03D34">
              <w:rPr>
                <w:sz w:val="20"/>
                <w:lang w:val="fr-CA"/>
              </w:rPr>
              <w:t>28 avril 2014</w:t>
            </w:r>
          </w:p>
          <w:p w:rsidR="00583023" w:rsidRPr="00C03D34" w:rsidRDefault="00583023" w:rsidP="00A809A9">
            <w:pPr>
              <w:jc w:val="both"/>
              <w:rPr>
                <w:sz w:val="20"/>
                <w:lang w:val="fr-CA"/>
              </w:rPr>
            </w:pPr>
            <w:r w:rsidRPr="00C03D34">
              <w:rPr>
                <w:sz w:val="20"/>
                <w:lang w:val="fr-CA"/>
              </w:rPr>
              <w:t>Cour suprême du Canada</w:t>
            </w:r>
          </w:p>
        </w:tc>
        <w:tc>
          <w:tcPr>
            <w:tcW w:w="243" w:type="pct"/>
          </w:tcPr>
          <w:p w:rsidR="00583023" w:rsidRPr="00C03D34" w:rsidRDefault="00583023" w:rsidP="00A809A9">
            <w:pPr>
              <w:jc w:val="both"/>
              <w:rPr>
                <w:sz w:val="20"/>
                <w:lang w:val="fr-CA"/>
              </w:rPr>
            </w:pPr>
          </w:p>
        </w:tc>
        <w:tc>
          <w:tcPr>
            <w:tcW w:w="2330" w:type="pct"/>
          </w:tcPr>
          <w:p w:rsidR="00583023" w:rsidRPr="00A96BD2" w:rsidRDefault="00583023" w:rsidP="00A809A9">
            <w:pPr>
              <w:jc w:val="both"/>
              <w:rPr>
                <w:sz w:val="20"/>
                <w:lang w:val="fr-CA"/>
              </w:rPr>
            </w:pPr>
            <w:r w:rsidRPr="00A96BD2">
              <w:rPr>
                <w:sz w:val="20"/>
                <w:lang w:val="fr-CA"/>
              </w:rPr>
              <w:t>Demande d’autorisation d’appel déposée</w:t>
            </w:r>
          </w:p>
          <w:p w:rsidR="00583023" w:rsidRPr="00C03D34" w:rsidRDefault="00583023" w:rsidP="00A809A9">
            <w:pPr>
              <w:jc w:val="both"/>
              <w:rPr>
                <w:sz w:val="20"/>
              </w:rPr>
            </w:pPr>
          </w:p>
        </w:tc>
      </w:tr>
    </w:tbl>
    <w:p w:rsidR="008F72E8" w:rsidRDefault="008F72E8" w:rsidP="008F72E8">
      <w:pPr>
        <w:rPr>
          <w:sz w:val="20"/>
          <w:szCs w:val="20"/>
        </w:rPr>
      </w:pPr>
    </w:p>
    <w:p w:rsidR="008F72E8" w:rsidRDefault="00584E5B" w:rsidP="008F72E8">
      <w:pPr>
        <w:rPr>
          <w:sz w:val="20"/>
          <w:szCs w:val="20"/>
          <w:lang w:val="fr-CA"/>
        </w:rPr>
      </w:pPr>
      <w:r>
        <w:rPr>
          <w:sz w:val="20"/>
          <w:szCs w:val="20"/>
          <w:lang w:val="fr-CA"/>
        </w:rPr>
        <w:pict>
          <v:rect id="_x0000_i1055" style="width:2in;height:1pt" o:hrpct="0" o:hralign="center" o:hrstd="t" o:hrnoshade="t" o:hr="t" fillcolor="black [3213]" stroked="f"/>
        </w:pict>
      </w:r>
    </w:p>
    <w:p w:rsidR="008F72E8" w:rsidRDefault="008F72E8" w:rsidP="008F72E8">
      <w:pPr>
        <w:rPr>
          <w:sz w:val="20"/>
          <w:szCs w:val="20"/>
          <w:lang w:val="fr-CA"/>
        </w:rPr>
      </w:pPr>
    </w:p>
    <w:p w:rsidR="008F72E8" w:rsidRDefault="008F72E8"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r w:rsidRPr="00FA5B55">
        <w:rPr>
          <w:rFonts w:eastAsia="Times New Roman" w:cs="Times New Roman"/>
          <w:sz w:val="20"/>
          <w:szCs w:val="20"/>
          <w:lang w:val="fr-CA" w:eastAsia="en-CA"/>
        </w:rPr>
        <w:t>20.06.2014</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r w:rsidRPr="00FA5B55">
        <w:rPr>
          <w:rFonts w:eastAsia="Times New Roman" w:cs="Times New Roman"/>
          <w:sz w:val="20"/>
          <w:szCs w:val="20"/>
          <w:lang w:val="fr-CA" w:eastAsia="en-CA"/>
        </w:rPr>
        <w:t>Before / Devant :   LEBEL J. / LE JUGE LEBEL</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A5B55" w:rsidRPr="00C163A8" w:rsidTr="00A809A9">
        <w:trPr>
          <w:trHeight w:val="151"/>
        </w:trPr>
        <w:tc>
          <w:tcPr>
            <w:tcW w:w="4338" w:type="dxa"/>
          </w:tcPr>
          <w:p w:rsidR="00FA5B55" w:rsidRPr="00FA5B55" w:rsidRDefault="00FA5B55" w:rsidP="00FA5B55">
            <w:pPr>
              <w:tabs>
                <w:tab w:val="left" w:pos="-1440"/>
                <w:tab w:val="left" w:pos="-720"/>
              </w:tabs>
              <w:jc w:val="both"/>
            </w:pPr>
            <w:r w:rsidRPr="00FA5B55">
              <w:rPr>
                <w:b/>
                <w:bCs/>
              </w:rPr>
              <w:t>Motion to file a reply factum on appeal, not exceeding 5 pages, in reply to all interveners on or before August 14, 2014</w:t>
            </w:r>
          </w:p>
          <w:p w:rsidR="00FA5B55" w:rsidRPr="00FA5B55" w:rsidRDefault="00477F7E" w:rsidP="00FA5B55">
            <w:pPr>
              <w:tabs>
                <w:tab w:val="left" w:pos="-1440"/>
                <w:tab w:val="left" w:pos="-720"/>
              </w:tabs>
              <w:jc w:val="both"/>
            </w:pPr>
            <w:r w:rsidRPr="00FA5B55">
              <w:rPr>
                <w:lang w:val="en-US"/>
              </w:rPr>
              <w:fldChar w:fldCharType="begin"/>
            </w:r>
            <w:r w:rsidR="00FA5B55" w:rsidRPr="00FA5B55">
              <w:instrText xml:space="preserve"> SEQ CHAPTER \h \r 1</w:instrText>
            </w:r>
            <w:r w:rsidRPr="00FA5B55">
              <w:rPr>
                <w:lang w:val="en-US"/>
              </w:rPr>
              <w:fldChar w:fldCharType="end"/>
            </w:r>
          </w:p>
        </w:tc>
        <w:tc>
          <w:tcPr>
            <w:tcW w:w="1170" w:type="dxa"/>
          </w:tcPr>
          <w:p w:rsidR="00FA5B55" w:rsidRPr="00FA5B55" w:rsidRDefault="00FA5B55" w:rsidP="00FA5B55">
            <w:pPr>
              <w:jc w:val="both"/>
            </w:pPr>
          </w:p>
          <w:p w:rsidR="00FA5B55" w:rsidRPr="00FA5B55" w:rsidRDefault="00FA5B55" w:rsidP="00FA5B55">
            <w:pPr>
              <w:jc w:val="both"/>
            </w:pPr>
          </w:p>
          <w:p w:rsidR="00FA5B55" w:rsidRPr="00FA5B55" w:rsidRDefault="00FA5B55" w:rsidP="00FA5B55">
            <w:pPr>
              <w:jc w:val="both"/>
            </w:pPr>
          </w:p>
          <w:p w:rsidR="00FA5B55" w:rsidRPr="00FA5B55" w:rsidRDefault="00FA5B55" w:rsidP="00FA5B55">
            <w:pPr>
              <w:jc w:val="both"/>
            </w:pPr>
          </w:p>
        </w:tc>
        <w:tc>
          <w:tcPr>
            <w:tcW w:w="4327" w:type="dxa"/>
          </w:tcPr>
          <w:p w:rsidR="00FA5B55" w:rsidRPr="00FA5B55" w:rsidRDefault="00FA5B55" w:rsidP="00FA5B55">
            <w:pPr>
              <w:jc w:val="both"/>
              <w:rPr>
                <w:b/>
                <w:lang w:val="fr-CA"/>
              </w:rPr>
            </w:pPr>
            <w:r w:rsidRPr="00FA5B55">
              <w:rPr>
                <w:b/>
                <w:bCs/>
                <w:lang w:val="fr-CA"/>
              </w:rPr>
              <w:t>Requête en vue de déposer concernant l’appel un mémoire en réplique à toutes les interventions d’au plus 5 pages, au plus tard le 14 août 2014</w:t>
            </w:r>
          </w:p>
          <w:p w:rsidR="00FA5B55" w:rsidRPr="00FA5B55" w:rsidRDefault="00477F7E" w:rsidP="00FA5B55">
            <w:pPr>
              <w:jc w:val="both"/>
              <w:rPr>
                <w:b/>
                <w:lang w:val="fr-CA"/>
              </w:rPr>
            </w:pPr>
            <w:r w:rsidRPr="00FA5B55">
              <w:rPr>
                <w:b/>
                <w:lang w:val="en-US"/>
              </w:rPr>
              <w:fldChar w:fldCharType="begin"/>
            </w:r>
            <w:r w:rsidR="00FA5B55" w:rsidRPr="00FA5B55">
              <w:rPr>
                <w:b/>
                <w:lang w:val="fr-CA"/>
              </w:rPr>
              <w:instrText xml:space="preserve"> SEQ CHAPTER \h \r 1</w:instrText>
            </w:r>
            <w:r w:rsidRPr="00FA5B55">
              <w:rPr>
                <w:b/>
                <w:lang w:val="en-US"/>
              </w:rPr>
              <w:fldChar w:fldCharType="end"/>
            </w:r>
            <w:r w:rsidRPr="00FA5B55">
              <w:rPr>
                <w:b/>
                <w:lang w:val="en-US"/>
              </w:rPr>
              <w:fldChar w:fldCharType="begin"/>
            </w:r>
            <w:r w:rsidR="00FA5B55" w:rsidRPr="00FA5B55">
              <w:rPr>
                <w:b/>
                <w:lang w:val="fr-CA"/>
              </w:rPr>
              <w:instrText xml:space="preserve"> SEQ CHAPTER \h \r 1</w:instrText>
            </w:r>
            <w:r w:rsidRPr="00FA5B55">
              <w:rPr>
                <w:b/>
                <w:lang w:val="en-US"/>
              </w:rPr>
              <w:fldChar w:fldCharType="end"/>
            </w:r>
          </w:p>
        </w:tc>
      </w:tr>
      <w:tr w:rsidR="00FA5B55" w:rsidRPr="00584E5B" w:rsidTr="00A809A9">
        <w:trPr>
          <w:trHeight w:val="150"/>
        </w:trPr>
        <w:tc>
          <w:tcPr>
            <w:tcW w:w="4338" w:type="dxa"/>
          </w:tcPr>
          <w:p w:rsidR="00FA5B55" w:rsidRPr="00FA5B55" w:rsidRDefault="00FA5B55" w:rsidP="00FA5B55">
            <w:pPr>
              <w:tabs>
                <w:tab w:val="left" w:pos="-1440"/>
                <w:tab w:val="left" w:pos="-720"/>
              </w:tabs>
              <w:jc w:val="both"/>
              <w:rPr>
                <w:lang w:val="fr-CA"/>
              </w:rPr>
            </w:pPr>
            <w:r w:rsidRPr="00FA5B55">
              <w:rPr>
                <w:lang w:val="fr-CA"/>
              </w:rPr>
              <w:t>Procureur général du Québec</w:t>
            </w:r>
          </w:p>
          <w:p w:rsidR="00FA5B55" w:rsidRPr="00FA5B55" w:rsidRDefault="00FA5B55" w:rsidP="00FA5B55">
            <w:pPr>
              <w:tabs>
                <w:tab w:val="left" w:pos="-1440"/>
                <w:tab w:val="left" w:pos="-720"/>
              </w:tabs>
              <w:jc w:val="both"/>
              <w:rPr>
                <w:lang w:val="fr-CA"/>
              </w:rPr>
            </w:pPr>
          </w:p>
          <w:p w:rsidR="00FA5B55" w:rsidRPr="00FA5B55" w:rsidRDefault="00FA5B55" w:rsidP="00FA5B55">
            <w:pPr>
              <w:tabs>
                <w:tab w:val="left" w:pos="-1440"/>
                <w:tab w:val="left" w:pos="-720"/>
              </w:tabs>
              <w:jc w:val="both"/>
              <w:rPr>
                <w:lang w:val="fr-CA"/>
              </w:rPr>
            </w:pPr>
            <w:r w:rsidRPr="00FA5B55">
              <w:rPr>
                <w:lang w:val="fr-CA"/>
              </w:rPr>
              <w:tab/>
              <w:t>c. (35448)</w:t>
            </w:r>
          </w:p>
          <w:p w:rsidR="00FA5B55" w:rsidRPr="00FA5B55" w:rsidRDefault="00FA5B55" w:rsidP="00FA5B55">
            <w:pPr>
              <w:tabs>
                <w:tab w:val="left" w:pos="-1440"/>
                <w:tab w:val="left" w:pos="-720"/>
              </w:tabs>
              <w:jc w:val="both"/>
              <w:rPr>
                <w:lang w:val="fr-CA"/>
              </w:rPr>
            </w:pPr>
          </w:p>
          <w:p w:rsidR="00FA5B55" w:rsidRPr="00FA5B55" w:rsidRDefault="00FA5B55" w:rsidP="00FA5B55">
            <w:pPr>
              <w:tabs>
                <w:tab w:val="left" w:pos="-1440"/>
                <w:tab w:val="left" w:pos="-720"/>
              </w:tabs>
              <w:jc w:val="both"/>
              <w:rPr>
                <w:lang w:val="fr-CA"/>
              </w:rPr>
            </w:pPr>
            <w:r w:rsidRPr="00FA5B55">
              <w:rPr>
                <w:lang w:val="fr-CA"/>
              </w:rPr>
              <w:t>Procureur général du Canada et autres (Qc)</w:t>
            </w:r>
          </w:p>
        </w:tc>
        <w:tc>
          <w:tcPr>
            <w:tcW w:w="1170" w:type="dxa"/>
          </w:tcPr>
          <w:p w:rsidR="00FA5B55" w:rsidRPr="00FA5B55" w:rsidRDefault="00FA5B55" w:rsidP="00FA5B55">
            <w:pPr>
              <w:jc w:val="both"/>
              <w:rPr>
                <w:lang w:val="fr-CA"/>
              </w:rPr>
            </w:pPr>
          </w:p>
        </w:tc>
        <w:tc>
          <w:tcPr>
            <w:tcW w:w="4327" w:type="dxa"/>
          </w:tcPr>
          <w:p w:rsidR="00FA5B55" w:rsidRPr="00FA5B55" w:rsidRDefault="00FA5B55" w:rsidP="00FA5B55">
            <w:pPr>
              <w:jc w:val="both"/>
              <w:rPr>
                <w:lang w:val="fr-CA"/>
              </w:rPr>
            </w:pPr>
          </w:p>
        </w:tc>
      </w:tr>
    </w:tbl>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440"/>
          <w:tab w:val="left" w:pos="-720"/>
        </w:tabs>
        <w:jc w:val="both"/>
        <w:rPr>
          <w:rFonts w:eastAsia="Times New Roman" w:cs="Times New Roman"/>
          <w:b/>
          <w:sz w:val="20"/>
          <w:szCs w:val="20"/>
          <w:lang w:eastAsia="en-CA"/>
        </w:rPr>
      </w:pPr>
      <w:r w:rsidRPr="00FA5B55">
        <w:rPr>
          <w:rFonts w:eastAsia="Times New Roman" w:cs="Times New Roman"/>
          <w:b/>
          <w:sz w:val="20"/>
          <w:szCs w:val="20"/>
          <w:lang w:eastAsia="en-CA"/>
        </w:rPr>
        <w:t>GRANTED / ACCORDÉE</w:t>
      </w:r>
    </w:p>
    <w:p w:rsidR="00FA5B55" w:rsidRPr="00FA5B55" w:rsidRDefault="00FA5B55" w:rsidP="00FA5B55">
      <w:pPr>
        <w:widowControl w:val="0"/>
        <w:jc w:val="both"/>
        <w:rPr>
          <w:rFonts w:eastAsia="Times New Roman" w:cs="Times New Roman"/>
          <w:sz w:val="20"/>
          <w:szCs w:val="20"/>
          <w:lang w:val="en-US" w:eastAsia="en-CA"/>
        </w:rPr>
      </w:pPr>
    </w:p>
    <w:p w:rsidR="00FA5B55" w:rsidRPr="00FA5B55" w:rsidRDefault="00584E5B" w:rsidP="00FA5B55">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r w:rsidRPr="00FA5B55">
        <w:rPr>
          <w:rFonts w:eastAsia="Times New Roman" w:cs="Times New Roman"/>
          <w:sz w:val="20"/>
          <w:szCs w:val="20"/>
          <w:lang w:val="fr-CA" w:eastAsia="en-CA"/>
        </w:rPr>
        <w:t>24.06.2014</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440"/>
          <w:tab w:val="left" w:pos="-720"/>
        </w:tabs>
        <w:jc w:val="both"/>
        <w:rPr>
          <w:rFonts w:eastAsia="Times New Roman" w:cs="Times New Roman"/>
          <w:sz w:val="20"/>
          <w:szCs w:val="20"/>
          <w:lang w:eastAsia="en-CA"/>
        </w:rPr>
      </w:pPr>
      <w:r w:rsidRPr="00FA5B55">
        <w:rPr>
          <w:rFonts w:eastAsia="Times New Roman" w:cs="Times New Roman"/>
          <w:sz w:val="20"/>
          <w:szCs w:val="20"/>
          <w:lang w:val="fr-CA" w:eastAsia="en-CA"/>
        </w:rPr>
        <w:t xml:space="preserve">Before / Devant:   </w:t>
      </w:r>
      <w:r w:rsidRPr="00FA5B55">
        <w:rPr>
          <w:rFonts w:eastAsia="Times New Roman" w:cs="Times New Roman"/>
          <w:sz w:val="20"/>
          <w:szCs w:val="20"/>
          <w:lang w:eastAsia="en-CA"/>
        </w:rPr>
        <w:t>THE REGISTRAR / LE REGISTRAIRE</w:t>
      </w:r>
    </w:p>
    <w:p w:rsidR="00FA5B55" w:rsidRPr="00FA5B55" w:rsidRDefault="00FA5B55" w:rsidP="00FA5B5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A5B55" w:rsidRPr="00584E5B" w:rsidTr="00A809A9">
        <w:trPr>
          <w:trHeight w:val="151"/>
        </w:trPr>
        <w:tc>
          <w:tcPr>
            <w:tcW w:w="4338" w:type="dxa"/>
          </w:tcPr>
          <w:p w:rsidR="00FA5B55" w:rsidRPr="00FA5B55" w:rsidRDefault="00FA5B55" w:rsidP="00FA5B55">
            <w:pPr>
              <w:tabs>
                <w:tab w:val="left" w:pos="-1440"/>
                <w:tab w:val="left" w:pos="-720"/>
              </w:tabs>
              <w:jc w:val="both"/>
            </w:pPr>
            <w:r w:rsidRPr="00FA5B55">
              <w:rPr>
                <w:b/>
                <w:bCs/>
                <w:color w:val="000000"/>
                <w:lang w:val="en-US"/>
              </w:rPr>
              <w:t>Motion for extension of time to serve and file a reply to the response to the application for leave to appeal to June 3, 2014</w:t>
            </w:r>
            <w:r w:rsidR="00477F7E" w:rsidRPr="00FA5B55">
              <w:rPr>
                <w:lang w:val="en-US"/>
              </w:rPr>
              <w:fldChar w:fldCharType="begin"/>
            </w:r>
            <w:r w:rsidRPr="00FA5B55">
              <w:instrText xml:space="preserve"> SEQ CHAPTER \h \r 1</w:instrText>
            </w:r>
            <w:r w:rsidR="00477F7E" w:rsidRPr="00FA5B55">
              <w:rPr>
                <w:lang w:val="en-US"/>
              </w:rPr>
              <w:fldChar w:fldCharType="end"/>
            </w:r>
          </w:p>
        </w:tc>
        <w:tc>
          <w:tcPr>
            <w:tcW w:w="1170" w:type="dxa"/>
          </w:tcPr>
          <w:p w:rsidR="00FA5B55" w:rsidRPr="00FA5B55" w:rsidRDefault="00FA5B55" w:rsidP="00FA5B55">
            <w:pPr>
              <w:jc w:val="both"/>
            </w:pPr>
          </w:p>
          <w:p w:rsidR="00FA5B55" w:rsidRPr="00FA5B55" w:rsidRDefault="00FA5B55" w:rsidP="00FA5B55">
            <w:pPr>
              <w:jc w:val="both"/>
            </w:pPr>
          </w:p>
          <w:p w:rsidR="00FA5B55" w:rsidRPr="00FA5B55" w:rsidRDefault="00FA5B55" w:rsidP="00FA5B55">
            <w:pPr>
              <w:jc w:val="both"/>
            </w:pPr>
          </w:p>
          <w:p w:rsidR="00FA5B55" w:rsidRPr="00FA5B55" w:rsidRDefault="00FA5B55" w:rsidP="00FA5B55">
            <w:pPr>
              <w:jc w:val="both"/>
            </w:pPr>
          </w:p>
          <w:p w:rsidR="00FA5B55" w:rsidRPr="00FA5B55" w:rsidRDefault="00FA5B55" w:rsidP="00FA5B55">
            <w:pPr>
              <w:jc w:val="both"/>
            </w:pPr>
          </w:p>
        </w:tc>
        <w:tc>
          <w:tcPr>
            <w:tcW w:w="4327" w:type="dxa"/>
          </w:tcPr>
          <w:p w:rsidR="00FA5B55" w:rsidRPr="00FA5B55" w:rsidRDefault="00FA5B55" w:rsidP="00FA5B55">
            <w:pPr>
              <w:jc w:val="both"/>
              <w:rPr>
                <w:b/>
                <w:lang w:val="fr-CA"/>
              </w:rPr>
            </w:pPr>
            <w:r w:rsidRPr="00FA5B55">
              <w:rPr>
                <w:b/>
                <w:bCs/>
                <w:color w:val="000000"/>
                <w:lang w:val="fr-CA"/>
              </w:rPr>
              <w:t>Requête en prorogation du délai de signification et de dépôt d’une réplique à la réponse à la demande d’autorisation d’appel jusqu’au 3 juin 2014</w:t>
            </w:r>
            <w:r w:rsidR="00477F7E" w:rsidRPr="00FA5B55">
              <w:rPr>
                <w:b/>
                <w:lang w:val="en-US"/>
              </w:rPr>
              <w:fldChar w:fldCharType="begin"/>
            </w:r>
            <w:r w:rsidRPr="00FA5B55">
              <w:rPr>
                <w:b/>
                <w:lang w:val="fr-CA"/>
              </w:rPr>
              <w:instrText xml:space="preserve"> SEQ CHAPTER \h \r 1</w:instrText>
            </w:r>
            <w:r w:rsidR="00477F7E" w:rsidRPr="00FA5B55">
              <w:rPr>
                <w:b/>
                <w:lang w:val="en-US"/>
              </w:rPr>
              <w:fldChar w:fldCharType="end"/>
            </w:r>
            <w:r w:rsidR="00477F7E" w:rsidRPr="00FA5B55">
              <w:rPr>
                <w:b/>
                <w:lang w:val="en-US"/>
              </w:rPr>
              <w:fldChar w:fldCharType="begin"/>
            </w:r>
            <w:r w:rsidRPr="00FA5B55">
              <w:rPr>
                <w:b/>
                <w:lang w:val="fr-CA"/>
              </w:rPr>
              <w:instrText xml:space="preserve"> SEQ CHAPTER \h \r 1</w:instrText>
            </w:r>
            <w:r w:rsidR="00477F7E" w:rsidRPr="00FA5B55">
              <w:rPr>
                <w:b/>
                <w:lang w:val="en-US"/>
              </w:rPr>
              <w:fldChar w:fldCharType="end"/>
            </w:r>
          </w:p>
        </w:tc>
      </w:tr>
      <w:tr w:rsidR="00FA5B55" w:rsidRPr="00FA5B55" w:rsidTr="00A809A9">
        <w:trPr>
          <w:trHeight w:val="150"/>
        </w:trPr>
        <w:tc>
          <w:tcPr>
            <w:tcW w:w="4338" w:type="dxa"/>
          </w:tcPr>
          <w:p w:rsidR="00FA5B55" w:rsidRPr="00FA5B55" w:rsidRDefault="00FA5B55" w:rsidP="00FA5B55">
            <w:pPr>
              <w:tabs>
                <w:tab w:val="left" w:pos="-1440"/>
                <w:tab w:val="left" w:pos="-720"/>
              </w:tabs>
              <w:jc w:val="both"/>
              <w:rPr>
                <w:lang w:val="fr-CA"/>
              </w:rPr>
            </w:pPr>
            <w:r w:rsidRPr="00FA5B55">
              <w:rPr>
                <w:lang w:val="fr-CA"/>
              </w:rPr>
              <w:t>Hugo Michel Nicolas Kotar</w:t>
            </w:r>
          </w:p>
          <w:p w:rsidR="00FA5B55" w:rsidRPr="00FA5B55" w:rsidRDefault="00FA5B55" w:rsidP="00FA5B55">
            <w:pPr>
              <w:tabs>
                <w:tab w:val="left" w:pos="-1440"/>
                <w:tab w:val="left" w:pos="-720"/>
              </w:tabs>
              <w:jc w:val="both"/>
              <w:rPr>
                <w:lang w:val="fr-CA"/>
              </w:rPr>
            </w:pPr>
          </w:p>
          <w:p w:rsidR="00FA5B55" w:rsidRPr="00FA5B55" w:rsidRDefault="00FA5B55" w:rsidP="00FA5B55">
            <w:pPr>
              <w:tabs>
                <w:tab w:val="left" w:pos="-1440"/>
                <w:tab w:val="left" w:pos="-720"/>
              </w:tabs>
              <w:jc w:val="both"/>
              <w:rPr>
                <w:lang w:val="fr-CA"/>
              </w:rPr>
            </w:pPr>
            <w:r w:rsidRPr="00FA5B55">
              <w:rPr>
                <w:lang w:val="fr-CA"/>
              </w:rPr>
              <w:tab/>
              <w:t>v. (35841)</w:t>
            </w:r>
          </w:p>
          <w:p w:rsidR="00FA5B55" w:rsidRPr="00FA5B55" w:rsidRDefault="00FA5B55" w:rsidP="00FA5B55">
            <w:pPr>
              <w:tabs>
                <w:tab w:val="left" w:pos="-1440"/>
                <w:tab w:val="left" w:pos="-720"/>
              </w:tabs>
              <w:jc w:val="both"/>
              <w:rPr>
                <w:lang w:val="fr-CA"/>
              </w:rPr>
            </w:pPr>
          </w:p>
          <w:p w:rsidR="00FA5B55" w:rsidRPr="00FA5B55" w:rsidRDefault="00FA5B55" w:rsidP="00FA5B55">
            <w:pPr>
              <w:tabs>
                <w:tab w:val="left" w:pos="-1440"/>
                <w:tab w:val="left" w:pos="-720"/>
              </w:tabs>
              <w:jc w:val="both"/>
            </w:pPr>
            <w:r w:rsidRPr="00FA5B55">
              <w:t>Elizabeth Jane Lightle (B.C.)</w:t>
            </w:r>
          </w:p>
        </w:tc>
        <w:tc>
          <w:tcPr>
            <w:tcW w:w="1170" w:type="dxa"/>
          </w:tcPr>
          <w:p w:rsidR="00FA5B55" w:rsidRPr="00FA5B55" w:rsidRDefault="00FA5B55" w:rsidP="00FA5B55">
            <w:pPr>
              <w:jc w:val="both"/>
            </w:pPr>
          </w:p>
        </w:tc>
        <w:tc>
          <w:tcPr>
            <w:tcW w:w="4327" w:type="dxa"/>
          </w:tcPr>
          <w:p w:rsidR="00FA5B55" w:rsidRPr="00FA5B55" w:rsidRDefault="00FA5B55" w:rsidP="00FA5B55">
            <w:pPr>
              <w:jc w:val="both"/>
            </w:pPr>
          </w:p>
        </w:tc>
      </w:tr>
    </w:tbl>
    <w:p w:rsidR="00FA5B55" w:rsidRPr="00FA5B55" w:rsidRDefault="00FA5B55" w:rsidP="00FA5B55">
      <w:pPr>
        <w:jc w:val="both"/>
        <w:rPr>
          <w:rFonts w:eastAsia="Times New Roman" w:cs="Times New Roman"/>
          <w:sz w:val="20"/>
          <w:szCs w:val="20"/>
          <w:lang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r w:rsidRPr="00FA5B55">
        <w:rPr>
          <w:rFonts w:eastAsia="Times New Roman" w:cs="Times New Roman"/>
          <w:b/>
          <w:sz w:val="20"/>
          <w:szCs w:val="20"/>
          <w:lang w:val="fr-CA" w:eastAsia="en-CA"/>
        </w:rPr>
        <w:t>GRANTED / ACCORDÉE</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584E5B" w:rsidP="00FA5B5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r w:rsidRPr="00FA5B55">
        <w:rPr>
          <w:rFonts w:eastAsia="Times New Roman" w:cs="Times New Roman"/>
          <w:sz w:val="20"/>
          <w:szCs w:val="20"/>
          <w:lang w:val="fr-CA" w:eastAsia="en-CA"/>
        </w:rPr>
        <w:t>26.06.2014</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r w:rsidRPr="00FA5B55">
        <w:rPr>
          <w:rFonts w:eastAsia="Times New Roman" w:cs="Times New Roman"/>
          <w:sz w:val="20"/>
          <w:szCs w:val="20"/>
          <w:lang w:val="fr-CA" w:eastAsia="en-CA"/>
        </w:rPr>
        <w:t>Before / Devant :   CROMWELL J. / LE JUGE CROMWELL</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A5B55" w:rsidRPr="00FA5B55" w:rsidTr="00A809A9">
        <w:trPr>
          <w:trHeight w:val="151"/>
        </w:trPr>
        <w:tc>
          <w:tcPr>
            <w:tcW w:w="4338" w:type="dxa"/>
          </w:tcPr>
          <w:p w:rsidR="00FA5B55" w:rsidRPr="00FA5B55" w:rsidRDefault="00477F7E" w:rsidP="00FA5B55">
            <w:pPr>
              <w:tabs>
                <w:tab w:val="left" w:pos="-1440"/>
                <w:tab w:val="left" w:pos="-720"/>
              </w:tabs>
              <w:jc w:val="both"/>
              <w:rPr>
                <w:lang w:val="fr-CA"/>
              </w:rPr>
            </w:pPr>
            <w:r w:rsidRPr="00FA5B55">
              <w:rPr>
                <w:lang w:val="en-US"/>
              </w:rPr>
              <w:fldChar w:fldCharType="begin"/>
            </w:r>
            <w:r w:rsidR="00FA5B55" w:rsidRPr="00FA5B55">
              <w:rPr>
                <w:lang w:val="fr-CA"/>
              </w:rPr>
              <w:instrText xml:space="preserve"> SEQ CHAPTER \h \r 1</w:instrText>
            </w:r>
            <w:r w:rsidRPr="00FA5B55">
              <w:rPr>
                <w:lang w:val="en-US"/>
              </w:rPr>
              <w:fldChar w:fldCharType="end"/>
            </w:r>
            <w:r w:rsidR="00FA5B55" w:rsidRPr="00FA5B55">
              <w:rPr>
                <w:b/>
                <w:bCs/>
                <w:lang w:val="fr-CA"/>
              </w:rPr>
              <w:t>Order</w:t>
            </w:r>
          </w:p>
          <w:p w:rsidR="00FA5B55" w:rsidRPr="00FA5B55" w:rsidRDefault="00477F7E" w:rsidP="00FA5B55">
            <w:pPr>
              <w:tabs>
                <w:tab w:val="left" w:pos="-1440"/>
                <w:tab w:val="left" w:pos="-720"/>
              </w:tabs>
              <w:jc w:val="both"/>
              <w:rPr>
                <w:lang w:val="fr-CA"/>
              </w:rPr>
            </w:pPr>
            <w:r w:rsidRPr="00FA5B55">
              <w:rPr>
                <w:lang w:val="en-US"/>
              </w:rPr>
              <w:fldChar w:fldCharType="begin"/>
            </w:r>
            <w:r w:rsidR="00FA5B55" w:rsidRPr="00FA5B55">
              <w:rPr>
                <w:lang w:val="fr-CA"/>
              </w:rPr>
              <w:instrText xml:space="preserve"> SEQ CHAPTER \h \r 1</w:instrText>
            </w:r>
            <w:r w:rsidRPr="00FA5B55">
              <w:rPr>
                <w:lang w:val="en-US"/>
              </w:rPr>
              <w:fldChar w:fldCharType="end"/>
            </w:r>
          </w:p>
        </w:tc>
        <w:tc>
          <w:tcPr>
            <w:tcW w:w="1170" w:type="dxa"/>
          </w:tcPr>
          <w:p w:rsidR="00FA5B55" w:rsidRPr="00FA5B55" w:rsidRDefault="00FA5B55" w:rsidP="00FA5B55">
            <w:pPr>
              <w:jc w:val="both"/>
              <w:rPr>
                <w:lang w:val="fr-CA"/>
              </w:rPr>
            </w:pPr>
          </w:p>
          <w:p w:rsidR="00FA5B55" w:rsidRPr="00FA5B55" w:rsidRDefault="00FA5B55" w:rsidP="00FA5B55">
            <w:pPr>
              <w:jc w:val="both"/>
              <w:rPr>
                <w:lang w:val="fr-CA"/>
              </w:rPr>
            </w:pPr>
          </w:p>
        </w:tc>
        <w:tc>
          <w:tcPr>
            <w:tcW w:w="4327" w:type="dxa"/>
          </w:tcPr>
          <w:p w:rsidR="00FA5B55" w:rsidRPr="00FA5B55" w:rsidRDefault="00477F7E" w:rsidP="00FA5B55">
            <w:pPr>
              <w:jc w:val="both"/>
              <w:rPr>
                <w:b/>
                <w:lang w:val="fr-CA"/>
              </w:rPr>
            </w:pPr>
            <w:r w:rsidRPr="00FA5B55">
              <w:rPr>
                <w:szCs w:val="24"/>
                <w:lang w:val="en-US"/>
              </w:rPr>
              <w:fldChar w:fldCharType="begin"/>
            </w:r>
            <w:r w:rsidR="00FA5B55" w:rsidRPr="00FA5B55">
              <w:rPr>
                <w:szCs w:val="24"/>
                <w:lang w:val="fr-CA"/>
              </w:rPr>
              <w:instrText xml:space="preserve"> SEQ CHAPTER \h \r 1</w:instrText>
            </w:r>
            <w:r w:rsidRPr="00FA5B55">
              <w:rPr>
                <w:szCs w:val="24"/>
                <w:lang w:val="en-US"/>
              </w:rPr>
              <w:fldChar w:fldCharType="end"/>
            </w:r>
            <w:r w:rsidR="00FA5B55" w:rsidRPr="00FA5B55">
              <w:rPr>
                <w:b/>
                <w:bCs/>
                <w:lang w:val="fr-CA"/>
              </w:rPr>
              <w:t>Ordonnance</w:t>
            </w:r>
          </w:p>
          <w:p w:rsidR="00FA5B55" w:rsidRPr="00FA5B55" w:rsidRDefault="00477F7E" w:rsidP="00FA5B55">
            <w:pPr>
              <w:jc w:val="both"/>
              <w:rPr>
                <w:b/>
                <w:lang w:val="fr-CA"/>
              </w:rPr>
            </w:pPr>
            <w:r w:rsidRPr="00FA5B55">
              <w:rPr>
                <w:b/>
                <w:lang w:val="en-US"/>
              </w:rPr>
              <w:fldChar w:fldCharType="begin"/>
            </w:r>
            <w:r w:rsidR="00FA5B55" w:rsidRPr="00FA5B55">
              <w:rPr>
                <w:b/>
                <w:lang w:val="fr-CA"/>
              </w:rPr>
              <w:instrText xml:space="preserve"> SEQ CHAPTER \h \r 1</w:instrText>
            </w:r>
            <w:r w:rsidRPr="00FA5B55">
              <w:rPr>
                <w:b/>
                <w:lang w:val="en-US"/>
              </w:rPr>
              <w:fldChar w:fldCharType="end"/>
            </w:r>
            <w:r w:rsidRPr="00FA5B55">
              <w:rPr>
                <w:b/>
                <w:lang w:val="en-US"/>
              </w:rPr>
              <w:fldChar w:fldCharType="begin"/>
            </w:r>
            <w:r w:rsidR="00FA5B55" w:rsidRPr="00FA5B55">
              <w:rPr>
                <w:b/>
                <w:lang w:val="fr-CA"/>
              </w:rPr>
              <w:instrText xml:space="preserve"> SEQ CHAPTER \h \r 1</w:instrText>
            </w:r>
            <w:r w:rsidRPr="00FA5B55">
              <w:rPr>
                <w:b/>
                <w:lang w:val="en-US"/>
              </w:rPr>
              <w:fldChar w:fldCharType="end"/>
            </w:r>
          </w:p>
        </w:tc>
      </w:tr>
      <w:tr w:rsidR="00FA5B55" w:rsidRPr="00FA5B55" w:rsidTr="00A809A9">
        <w:trPr>
          <w:trHeight w:val="150"/>
        </w:trPr>
        <w:tc>
          <w:tcPr>
            <w:tcW w:w="4338" w:type="dxa"/>
          </w:tcPr>
          <w:p w:rsidR="00FA5B55" w:rsidRPr="00FA5B55" w:rsidRDefault="00FA5B55" w:rsidP="00FA5B55">
            <w:pPr>
              <w:tabs>
                <w:tab w:val="left" w:pos="-1440"/>
                <w:tab w:val="left" w:pos="-720"/>
              </w:tabs>
              <w:jc w:val="both"/>
              <w:rPr>
                <w:lang w:val="fr-CA"/>
              </w:rPr>
            </w:pPr>
            <w:r w:rsidRPr="00FA5B55">
              <w:rPr>
                <w:lang w:val="fr-CA"/>
              </w:rPr>
              <w:t>Shama Textiles Inc. et autre</w:t>
            </w:r>
          </w:p>
          <w:p w:rsidR="00FA5B55" w:rsidRPr="00FA5B55" w:rsidRDefault="00FA5B55" w:rsidP="00FA5B55">
            <w:pPr>
              <w:tabs>
                <w:tab w:val="left" w:pos="-1440"/>
                <w:tab w:val="left" w:pos="-720"/>
              </w:tabs>
              <w:jc w:val="both"/>
              <w:rPr>
                <w:lang w:val="fr-CA"/>
              </w:rPr>
            </w:pPr>
          </w:p>
          <w:p w:rsidR="00FA5B55" w:rsidRPr="00FA5B55" w:rsidRDefault="00FA5B55" w:rsidP="00FA5B55">
            <w:pPr>
              <w:tabs>
                <w:tab w:val="left" w:pos="-1440"/>
                <w:tab w:val="left" w:pos="-720"/>
              </w:tabs>
              <w:jc w:val="both"/>
              <w:rPr>
                <w:lang w:val="fr-CA"/>
              </w:rPr>
            </w:pPr>
            <w:r w:rsidRPr="00FA5B55">
              <w:rPr>
                <w:lang w:val="fr-CA"/>
              </w:rPr>
              <w:tab/>
              <w:t>c. (35727)</w:t>
            </w:r>
          </w:p>
          <w:p w:rsidR="00FA5B55" w:rsidRPr="00FA5B55" w:rsidRDefault="00FA5B55" w:rsidP="00FA5B55">
            <w:pPr>
              <w:tabs>
                <w:tab w:val="left" w:pos="-1440"/>
                <w:tab w:val="left" w:pos="-720"/>
              </w:tabs>
              <w:jc w:val="both"/>
              <w:rPr>
                <w:lang w:val="fr-CA"/>
              </w:rPr>
            </w:pPr>
          </w:p>
          <w:p w:rsidR="00FA5B55" w:rsidRPr="00FA5B55" w:rsidRDefault="00FA5B55" w:rsidP="00FA5B55">
            <w:pPr>
              <w:tabs>
                <w:tab w:val="left" w:pos="-1440"/>
                <w:tab w:val="left" w:pos="-720"/>
              </w:tabs>
              <w:jc w:val="both"/>
            </w:pPr>
            <w:r w:rsidRPr="00FA5B55">
              <w:rPr>
                <w:lang w:val="fr-CA"/>
              </w:rPr>
              <w:t>Cer</w:t>
            </w:r>
            <w:r w:rsidRPr="00FA5B55">
              <w:t>tain Underwriters at Lloyd’s et autre (Qc)</w:t>
            </w:r>
          </w:p>
        </w:tc>
        <w:tc>
          <w:tcPr>
            <w:tcW w:w="1170" w:type="dxa"/>
          </w:tcPr>
          <w:p w:rsidR="00FA5B55" w:rsidRPr="00FA5B55" w:rsidRDefault="00FA5B55" w:rsidP="00FA5B55">
            <w:pPr>
              <w:jc w:val="both"/>
            </w:pPr>
          </w:p>
        </w:tc>
        <w:tc>
          <w:tcPr>
            <w:tcW w:w="4327" w:type="dxa"/>
          </w:tcPr>
          <w:p w:rsidR="00FA5B55" w:rsidRPr="00FA5B55" w:rsidRDefault="00FA5B55" w:rsidP="00FA5B55">
            <w:pPr>
              <w:jc w:val="both"/>
            </w:pPr>
          </w:p>
        </w:tc>
      </w:tr>
    </w:tbl>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bCs/>
          <w:color w:val="000000"/>
          <w:sz w:val="20"/>
          <w:szCs w:val="20"/>
          <w:lang w:val="fr-CA" w:eastAsia="fr-FR"/>
        </w:rPr>
      </w:pPr>
      <w:r w:rsidRPr="00FA5B55">
        <w:rPr>
          <w:rFonts w:eastAsiaTheme="minorEastAsia" w:cs="Times New Roman"/>
          <w:b/>
          <w:bCs/>
          <w:color w:val="000000"/>
          <w:sz w:val="20"/>
          <w:szCs w:val="20"/>
          <w:lang w:val="fr-CA" w:eastAsia="fr-FR"/>
        </w:rPr>
        <w:t>ATTENDU QUE</w:t>
      </w:r>
      <w:r w:rsidRPr="00FA5B55">
        <w:rPr>
          <w:rFonts w:eastAsiaTheme="minorEastAsia" w:cs="Times New Roman"/>
          <w:bCs/>
          <w:color w:val="000000"/>
          <w:sz w:val="20"/>
          <w:szCs w:val="20"/>
          <w:lang w:val="fr-CA" w:eastAsia="fr-FR"/>
        </w:rPr>
        <w:t xml:space="preserve">, en vertu de la règle 67 des </w:t>
      </w:r>
      <w:r w:rsidRPr="00FA5B55">
        <w:rPr>
          <w:rFonts w:eastAsiaTheme="minorEastAsia" w:cs="Times New Roman"/>
          <w:bCs/>
          <w:i/>
          <w:color w:val="000000"/>
          <w:sz w:val="20"/>
          <w:szCs w:val="20"/>
          <w:lang w:val="fr-CA" w:eastAsia="fr-FR"/>
        </w:rPr>
        <w:t>Règles de la Cour suprême du Canada</w:t>
      </w:r>
      <w:r w:rsidRPr="00FA5B55">
        <w:rPr>
          <w:rFonts w:eastAsiaTheme="minorEastAsia" w:cs="Times New Roman"/>
          <w:bCs/>
          <w:color w:val="000000"/>
          <w:sz w:val="20"/>
          <w:szCs w:val="20"/>
          <w:lang w:val="fr-CA" w:eastAsia="fr-FR"/>
        </w:rPr>
        <w:t>, le registraire a demandé à un juge de rendre une ordonnance fondée sur la règle 66(1);</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b/>
          <w:bCs/>
          <w:color w:val="000000"/>
          <w:sz w:val="20"/>
          <w:szCs w:val="20"/>
          <w:lang w:val="fr-CA"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r w:rsidRPr="00FA5B55">
        <w:rPr>
          <w:rFonts w:eastAsiaTheme="minorEastAsia" w:cs="Times New Roman"/>
          <w:b/>
          <w:bCs/>
          <w:color w:val="000000"/>
          <w:sz w:val="20"/>
          <w:szCs w:val="20"/>
          <w:lang w:val="fr-CA" w:eastAsia="fr-FR"/>
        </w:rPr>
        <w:t xml:space="preserve">ATTENDU QUE </w:t>
      </w:r>
      <w:r w:rsidRPr="00FA5B55">
        <w:rPr>
          <w:rFonts w:eastAsiaTheme="minorEastAsia" w:cs="Times New Roman"/>
          <w:color w:val="000000"/>
          <w:sz w:val="20"/>
          <w:szCs w:val="20"/>
          <w:lang w:val="fr-CA" w:eastAsia="fr-FR"/>
        </w:rPr>
        <w:t>les parties ont été avisées conformément à la règle 67;</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r w:rsidRPr="00FA5B55">
        <w:rPr>
          <w:rFonts w:eastAsiaTheme="minorEastAsia" w:cs="Times New Roman"/>
          <w:b/>
          <w:bCs/>
          <w:color w:val="000000"/>
          <w:sz w:val="20"/>
          <w:szCs w:val="20"/>
          <w:lang w:val="fr-CA" w:eastAsia="fr-FR"/>
        </w:rPr>
        <w:t>ATTENDU QUE</w:t>
      </w:r>
      <w:r w:rsidRPr="00FA5B55">
        <w:rPr>
          <w:rFonts w:eastAsiaTheme="minorEastAsia" w:cs="Times New Roman"/>
          <w:bCs/>
          <w:color w:val="000000"/>
          <w:sz w:val="20"/>
          <w:szCs w:val="20"/>
          <w:lang w:val="fr-CA" w:eastAsia="fr-FR"/>
        </w:rPr>
        <w:t xml:space="preserve"> des observations ont été soumises </w:t>
      </w:r>
      <w:r w:rsidRPr="00FA5B55">
        <w:rPr>
          <w:rFonts w:eastAsiaTheme="minorEastAsia" w:cs="Times New Roman"/>
          <w:color w:val="000000"/>
          <w:sz w:val="20"/>
          <w:szCs w:val="20"/>
          <w:lang w:val="fr-CA" w:eastAsia="fr-FR"/>
        </w:rPr>
        <w:t>en réponse au préavis donné en vertu de la règle 67;</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r w:rsidRPr="00FA5B55">
        <w:rPr>
          <w:rFonts w:eastAsiaTheme="minorEastAsia" w:cs="Times New Roman"/>
          <w:b/>
          <w:bCs/>
          <w:color w:val="000000"/>
          <w:sz w:val="20"/>
          <w:szCs w:val="20"/>
          <w:lang w:val="fr-CA" w:eastAsia="fr-FR"/>
        </w:rPr>
        <w:t>APRÈS EXAMEN</w:t>
      </w:r>
      <w:r w:rsidRPr="00FA5B55">
        <w:rPr>
          <w:rFonts w:eastAsiaTheme="minorEastAsia" w:cs="Times New Roman"/>
          <w:color w:val="000000"/>
          <w:sz w:val="20"/>
          <w:szCs w:val="20"/>
          <w:lang w:val="fr-CA" w:eastAsia="fr-FR"/>
        </w:rPr>
        <w:t xml:space="preserve"> du préavis donné par le registraire et des observations soumises;</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r w:rsidRPr="00FA5B55">
        <w:rPr>
          <w:rFonts w:eastAsiaTheme="minorEastAsia" w:cs="Times New Roman"/>
          <w:b/>
          <w:bCs/>
          <w:color w:val="000000"/>
          <w:sz w:val="20"/>
          <w:szCs w:val="20"/>
          <w:lang w:val="fr-CA" w:eastAsia="fr-FR"/>
        </w:rPr>
        <w:t>EN VERTU DU</w:t>
      </w:r>
      <w:r w:rsidRPr="00FA5B55">
        <w:rPr>
          <w:rFonts w:eastAsiaTheme="minorEastAsia" w:cs="Times New Roman"/>
          <w:bCs/>
          <w:color w:val="000000"/>
          <w:sz w:val="20"/>
          <w:szCs w:val="20"/>
          <w:lang w:val="fr-CA" w:eastAsia="fr-FR"/>
        </w:rPr>
        <w:t xml:space="preserve"> pouvoir qui m’est conféré </w:t>
      </w:r>
      <w:r w:rsidRPr="00FA5B55">
        <w:rPr>
          <w:rFonts w:eastAsiaTheme="minorEastAsia" w:cs="Times New Roman"/>
          <w:color w:val="000000"/>
          <w:sz w:val="20"/>
          <w:szCs w:val="20"/>
          <w:lang w:val="fr-CA" w:eastAsia="fr-FR"/>
        </w:rPr>
        <w:t>par la règle 66(1),</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val="fr-CA" w:eastAsia="fr-FR"/>
        </w:rPr>
      </w:pPr>
    </w:p>
    <w:p w:rsidR="00FA5B55" w:rsidRPr="00FA5B55" w:rsidRDefault="00FA5B55" w:rsidP="00FA5B55">
      <w:pPr>
        <w:spacing w:line="233" w:lineRule="auto"/>
        <w:jc w:val="both"/>
        <w:rPr>
          <w:rFonts w:eastAsia="Times New Roman" w:cs="Times New Roman"/>
          <w:bCs/>
          <w:color w:val="000000"/>
          <w:sz w:val="20"/>
          <w:szCs w:val="20"/>
          <w:lang w:val="fr-CA" w:eastAsia="en-CA"/>
        </w:rPr>
      </w:pPr>
      <w:r w:rsidRPr="00FA5B55">
        <w:rPr>
          <w:rFonts w:eastAsia="Times New Roman" w:cs="Times New Roman"/>
          <w:b/>
          <w:bCs/>
          <w:color w:val="000000"/>
          <w:sz w:val="20"/>
          <w:szCs w:val="20"/>
          <w:lang w:val="fr-CA" w:eastAsia="en-CA"/>
        </w:rPr>
        <w:t>J’ORDONNE PAR LES PRÉSENTES CE QUI SUIT :</w:t>
      </w:r>
      <w:r w:rsidRPr="00FA5B55">
        <w:rPr>
          <w:rFonts w:eastAsia="Times New Roman" w:cs="Times New Roman"/>
          <w:bCs/>
          <w:color w:val="000000"/>
          <w:sz w:val="20"/>
          <w:szCs w:val="20"/>
          <w:lang w:val="fr-CA" w:eastAsia="en-CA"/>
        </w:rPr>
        <w:t xml:space="preserve"> </w:t>
      </w:r>
    </w:p>
    <w:p w:rsidR="00FA5B55" w:rsidRPr="00FA5B55" w:rsidRDefault="00FA5B55" w:rsidP="00FA5B55">
      <w:pPr>
        <w:spacing w:line="233" w:lineRule="auto"/>
        <w:jc w:val="both"/>
        <w:rPr>
          <w:rFonts w:eastAsia="Times New Roman" w:cs="Times New Roman"/>
          <w:color w:val="000000"/>
          <w:sz w:val="20"/>
          <w:szCs w:val="20"/>
          <w:lang w:val="fr-CA" w:eastAsia="en-CA"/>
        </w:rPr>
      </w:pPr>
    </w:p>
    <w:p w:rsidR="00FA5B55" w:rsidRPr="00FA5B55" w:rsidRDefault="00FA5B55" w:rsidP="00FA5B55">
      <w:pPr>
        <w:spacing w:line="233" w:lineRule="auto"/>
        <w:jc w:val="both"/>
        <w:rPr>
          <w:rFonts w:eastAsia="Times New Roman" w:cs="Times New Roman"/>
          <w:sz w:val="20"/>
          <w:szCs w:val="20"/>
          <w:lang w:val="fr-CA" w:eastAsia="en-CA"/>
        </w:rPr>
      </w:pPr>
      <w:r w:rsidRPr="00FA5B55">
        <w:rPr>
          <w:rFonts w:eastAsia="Times New Roman" w:cs="Times New Roman"/>
          <w:color w:val="000000"/>
          <w:sz w:val="20"/>
          <w:szCs w:val="20"/>
          <w:lang w:val="fr-CA" w:eastAsia="en-CA"/>
        </w:rPr>
        <w:t xml:space="preserve">La présente procédure est suspendue conformément à la règle 66(1) des </w:t>
      </w:r>
      <w:r w:rsidRPr="00FA5B55">
        <w:rPr>
          <w:rFonts w:eastAsia="Times New Roman" w:cs="Times New Roman"/>
          <w:i/>
          <w:color w:val="000000"/>
          <w:sz w:val="20"/>
          <w:szCs w:val="20"/>
          <w:lang w:val="fr-CA" w:eastAsia="en-CA"/>
        </w:rPr>
        <w:t>Règles de la Cour suprême du Canada</w:t>
      </w:r>
      <w:r w:rsidRPr="00FA5B55">
        <w:rPr>
          <w:rFonts w:eastAsia="Times New Roman" w:cs="Times New Roman"/>
          <w:color w:val="000000"/>
          <w:sz w:val="20"/>
          <w:szCs w:val="20"/>
          <w:lang w:val="fr-CA" w:eastAsia="en-CA"/>
        </w:rPr>
        <w:t>.</w:t>
      </w: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440"/>
          <w:tab w:val="left" w:pos="-720"/>
        </w:tabs>
        <w:jc w:val="both"/>
        <w:rPr>
          <w:rFonts w:eastAsia="Times New Roman" w:cs="Times New Roman"/>
          <w:sz w:val="20"/>
          <w:szCs w:val="20"/>
          <w:lang w:val="fr-CA" w:eastAsia="en-CA"/>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bCs/>
          <w:color w:val="000000"/>
          <w:sz w:val="20"/>
          <w:szCs w:val="20"/>
          <w:lang w:eastAsia="fr-FR"/>
        </w:rPr>
      </w:pPr>
      <w:r w:rsidRPr="00FA5B55">
        <w:rPr>
          <w:rFonts w:eastAsiaTheme="minorEastAsia" w:cs="Times New Roman"/>
          <w:b/>
          <w:bCs/>
          <w:color w:val="000000"/>
          <w:sz w:val="20"/>
          <w:szCs w:val="20"/>
          <w:lang w:eastAsia="fr-FR"/>
        </w:rPr>
        <w:t>WHEREAS</w:t>
      </w:r>
      <w:r w:rsidRPr="00FA5B55">
        <w:rPr>
          <w:rFonts w:eastAsiaTheme="minorEastAsia" w:cs="Times New Roman"/>
          <w:bCs/>
          <w:color w:val="000000"/>
          <w:sz w:val="20"/>
          <w:szCs w:val="20"/>
          <w:lang w:eastAsia="fr-FR"/>
        </w:rPr>
        <w:t xml:space="preserve"> the Registrar has, pursuant to Rule 67 of the </w:t>
      </w:r>
      <w:r w:rsidRPr="00FA5B55">
        <w:rPr>
          <w:rFonts w:eastAsiaTheme="minorEastAsia" w:cs="Times New Roman"/>
          <w:bCs/>
          <w:i/>
          <w:color w:val="000000"/>
          <w:sz w:val="20"/>
          <w:szCs w:val="20"/>
          <w:lang w:eastAsia="fr-FR"/>
        </w:rPr>
        <w:t>Rules of the Supreme Court of Canada</w:t>
      </w:r>
      <w:r w:rsidRPr="00FA5B55">
        <w:rPr>
          <w:rFonts w:eastAsiaTheme="minorEastAsia" w:cs="Times New Roman"/>
          <w:bCs/>
          <w:color w:val="000000"/>
          <w:sz w:val="20"/>
          <w:szCs w:val="20"/>
          <w:lang w:eastAsia="fr-FR"/>
        </w:rPr>
        <w:t>, requested that a judge make an order under Rule 66(1);</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b/>
          <w:bCs/>
          <w:color w:val="000000"/>
          <w:sz w:val="20"/>
          <w:szCs w:val="20"/>
          <w:lang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r w:rsidRPr="00FA5B55">
        <w:rPr>
          <w:rFonts w:eastAsiaTheme="minorEastAsia" w:cs="Times New Roman"/>
          <w:b/>
          <w:bCs/>
          <w:color w:val="000000"/>
          <w:sz w:val="20"/>
          <w:szCs w:val="20"/>
          <w:lang w:eastAsia="fr-FR"/>
        </w:rPr>
        <w:t xml:space="preserve">WHEREAS </w:t>
      </w:r>
      <w:r w:rsidRPr="00FA5B55">
        <w:rPr>
          <w:rFonts w:eastAsiaTheme="minorEastAsia" w:cs="Times New Roman"/>
          <w:bCs/>
          <w:color w:val="000000"/>
          <w:sz w:val="20"/>
          <w:szCs w:val="20"/>
          <w:lang w:eastAsia="fr-FR"/>
        </w:rPr>
        <w:t xml:space="preserve">a notice has been sent to </w:t>
      </w:r>
      <w:r w:rsidRPr="00FA5B55">
        <w:rPr>
          <w:rFonts w:eastAsiaTheme="minorEastAsia" w:cs="Times New Roman"/>
          <w:color w:val="000000"/>
          <w:sz w:val="20"/>
          <w:szCs w:val="20"/>
          <w:lang w:eastAsia="fr-FR"/>
        </w:rPr>
        <w:t>the parties in accordance with Rule 67;</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r w:rsidRPr="00FA5B55">
        <w:rPr>
          <w:rFonts w:eastAsiaTheme="minorEastAsia" w:cs="Times New Roman"/>
          <w:b/>
          <w:bCs/>
          <w:color w:val="000000"/>
          <w:sz w:val="20"/>
          <w:szCs w:val="20"/>
          <w:lang w:eastAsia="fr-FR"/>
        </w:rPr>
        <w:t>WHEREAS</w:t>
      </w:r>
      <w:r w:rsidRPr="00FA5B55">
        <w:rPr>
          <w:rFonts w:eastAsiaTheme="minorEastAsia" w:cs="Times New Roman"/>
          <w:bCs/>
          <w:color w:val="000000"/>
          <w:sz w:val="20"/>
          <w:szCs w:val="20"/>
          <w:lang w:eastAsia="fr-FR"/>
        </w:rPr>
        <w:t xml:space="preserve"> representations have been made in response to the notice given under Rule </w:t>
      </w:r>
      <w:r w:rsidRPr="00FA5B55">
        <w:rPr>
          <w:rFonts w:eastAsiaTheme="minorEastAsia" w:cs="Times New Roman"/>
          <w:color w:val="000000"/>
          <w:sz w:val="20"/>
          <w:szCs w:val="20"/>
          <w:lang w:eastAsia="fr-FR"/>
        </w:rPr>
        <w:t>67;</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r w:rsidRPr="00FA5B55">
        <w:rPr>
          <w:rFonts w:eastAsiaTheme="minorEastAsia" w:cs="Times New Roman"/>
          <w:b/>
          <w:bCs/>
          <w:color w:val="000000"/>
          <w:sz w:val="20"/>
          <w:szCs w:val="20"/>
          <w:lang w:eastAsia="fr-FR"/>
        </w:rPr>
        <w:t>AND THE</w:t>
      </w:r>
      <w:r w:rsidRPr="00FA5B55">
        <w:rPr>
          <w:rFonts w:eastAsiaTheme="minorEastAsia" w:cs="Times New Roman"/>
          <w:b/>
          <w:color w:val="000000"/>
          <w:sz w:val="20"/>
          <w:szCs w:val="20"/>
          <w:lang w:eastAsia="fr-FR"/>
        </w:rPr>
        <w:t xml:space="preserve"> NOTICE</w:t>
      </w:r>
      <w:r w:rsidRPr="00FA5B55">
        <w:rPr>
          <w:rFonts w:eastAsiaTheme="minorEastAsia" w:cs="Times New Roman"/>
          <w:color w:val="000000"/>
          <w:sz w:val="20"/>
          <w:szCs w:val="20"/>
          <w:lang w:eastAsia="fr-FR"/>
        </w:rPr>
        <w:t xml:space="preserve"> of the Registrar and the representations made having been read;</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r w:rsidRPr="00FA5B55">
        <w:rPr>
          <w:rFonts w:eastAsiaTheme="minorEastAsia" w:cs="Times New Roman"/>
          <w:b/>
          <w:bCs/>
          <w:color w:val="000000"/>
          <w:sz w:val="20"/>
          <w:szCs w:val="20"/>
          <w:lang w:eastAsia="fr-FR"/>
        </w:rPr>
        <w:t>BY VIRTUE OF THE</w:t>
      </w:r>
      <w:r w:rsidRPr="00FA5B55">
        <w:rPr>
          <w:rFonts w:eastAsiaTheme="minorEastAsia" w:cs="Times New Roman"/>
          <w:bCs/>
          <w:color w:val="000000"/>
          <w:sz w:val="20"/>
          <w:szCs w:val="20"/>
          <w:lang w:eastAsia="fr-FR"/>
        </w:rPr>
        <w:t xml:space="preserve"> power given to me under Rule </w:t>
      </w:r>
      <w:r w:rsidRPr="00FA5B55">
        <w:rPr>
          <w:rFonts w:eastAsiaTheme="minorEastAsia" w:cs="Times New Roman"/>
          <w:color w:val="000000"/>
          <w:sz w:val="20"/>
          <w:szCs w:val="20"/>
          <w:lang w:eastAsia="fr-FR"/>
        </w:rPr>
        <w:t>66(1),</w:t>
      </w:r>
    </w:p>
    <w:p w:rsidR="00FA5B55" w:rsidRPr="00FA5B55" w:rsidRDefault="00FA5B55" w:rsidP="00FA5B5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heme="minorEastAsia" w:cs="Times New Roman"/>
          <w:color w:val="000000"/>
          <w:sz w:val="20"/>
          <w:szCs w:val="20"/>
          <w:lang w:eastAsia="fr-FR"/>
        </w:rPr>
      </w:pPr>
    </w:p>
    <w:p w:rsidR="00FA5B55" w:rsidRPr="00FA5B55" w:rsidRDefault="00FA5B55" w:rsidP="00FA5B55">
      <w:pPr>
        <w:spacing w:line="233" w:lineRule="auto"/>
        <w:jc w:val="both"/>
        <w:rPr>
          <w:rFonts w:eastAsia="Times New Roman" w:cs="Times New Roman"/>
          <w:bCs/>
          <w:color w:val="000000"/>
          <w:sz w:val="20"/>
          <w:szCs w:val="20"/>
          <w:lang w:eastAsia="en-CA"/>
        </w:rPr>
      </w:pPr>
      <w:r w:rsidRPr="00FA5B55">
        <w:rPr>
          <w:rFonts w:eastAsia="Times New Roman" w:cs="Times New Roman"/>
          <w:b/>
          <w:bCs/>
          <w:color w:val="000000"/>
          <w:sz w:val="20"/>
          <w:szCs w:val="20"/>
          <w:lang w:eastAsia="en-CA"/>
        </w:rPr>
        <w:t>I HEREBY ORDER THAT:</w:t>
      </w:r>
      <w:r w:rsidRPr="00FA5B55">
        <w:rPr>
          <w:rFonts w:eastAsia="Times New Roman" w:cs="Times New Roman"/>
          <w:bCs/>
          <w:color w:val="000000"/>
          <w:sz w:val="20"/>
          <w:szCs w:val="20"/>
          <w:lang w:eastAsia="en-CA"/>
        </w:rPr>
        <w:t xml:space="preserve"> </w:t>
      </w:r>
    </w:p>
    <w:p w:rsidR="00FA5B55" w:rsidRPr="00FA5B55" w:rsidRDefault="00FA5B55" w:rsidP="00FA5B55">
      <w:pPr>
        <w:spacing w:line="233" w:lineRule="auto"/>
        <w:jc w:val="both"/>
        <w:rPr>
          <w:rFonts w:eastAsia="Times New Roman" w:cs="Times New Roman"/>
          <w:color w:val="000000"/>
          <w:sz w:val="20"/>
          <w:szCs w:val="20"/>
          <w:lang w:eastAsia="en-CA"/>
        </w:rPr>
      </w:pPr>
    </w:p>
    <w:p w:rsidR="00FA5B55" w:rsidRPr="00FA5B55" w:rsidRDefault="00FA5B55" w:rsidP="00FA5B55">
      <w:pPr>
        <w:spacing w:line="233" w:lineRule="auto"/>
        <w:jc w:val="both"/>
        <w:rPr>
          <w:rFonts w:eastAsia="Times New Roman" w:cs="Times New Roman"/>
          <w:sz w:val="20"/>
          <w:szCs w:val="20"/>
          <w:lang w:eastAsia="en-CA"/>
        </w:rPr>
      </w:pPr>
      <w:r w:rsidRPr="00FA5B55">
        <w:rPr>
          <w:rFonts w:eastAsia="Times New Roman" w:cs="Times New Roman"/>
          <w:color w:val="000000"/>
          <w:sz w:val="20"/>
          <w:szCs w:val="20"/>
          <w:lang w:eastAsia="en-CA"/>
        </w:rPr>
        <w:t xml:space="preserve">This proceeding is stayed in accordance with Rule 66(1) of the </w:t>
      </w:r>
      <w:r w:rsidRPr="00FA5B55">
        <w:rPr>
          <w:rFonts w:eastAsia="Times New Roman" w:cs="Times New Roman"/>
          <w:i/>
          <w:color w:val="000000"/>
          <w:sz w:val="20"/>
          <w:szCs w:val="20"/>
          <w:lang w:eastAsia="en-CA"/>
        </w:rPr>
        <w:t>Rules of the Supreme Court of Canada</w:t>
      </w:r>
      <w:r w:rsidRPr="00FA5B55">
        <w:rPr>
          <w:rFonts w:eastAsia="Times New Roman" w:cs="Times New Roman"/>
          <w:color w:val="000000"/>
          <w:sz w:val="20"/>
          <w:szCs w:val="20"/>
          <w:lang w:eastAsia="en-CA"/>
        </w:rPr>
        <w:t>.</w:t>
      </w:r>
    </w:p>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584E5B" w:rsidP="00FA5B5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tabs>
          <w:tab w:val="left" w:pos="-1440"/>
          <w:tab w:val="left" w:pos="-720"/>
        </w:tabs>
        <w:jc w:val="both"/>
        <w:rPr>
          <w:rFonts w:eastAsia="Times New Roman" w:cs="Times New Roman"/>
          <w:sz w:val="20"/>
          <w:szCs w:val="20"/>
          <w:lang w:eastAsia="en-CA"/>
        </w:rPr>
      </w:pPr>
      <w:r w:rsidRPr="00FA5B55">
        <w:rPr>
          <w:rFonts w:eastAsia="Times New Roman" w:cs="Times New Roman"/>
          <w:sz w:val="20"/>
          <w:szCs w:val="20"/>
          <w:lang w:eastAsia="en-CA"/>
        </w:rPr>
        <w:t>26.06.2014</w:t>
      </w:r>
    </w:p>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jc w:val="both"/>
        <w:rPr>
          <w:rFonts w:eastAsia="Times New Roman" w:cs="Times New Roman"/>
          <w:sz w:val="20"/>
          <w:szCs w:val="20"/>
          <w:lang w:eastAsia="en-CA"/>
        </w:rPr>
      </w:pPr>
      <w:r w:rsidRPr="00FA5B55">
        <w:rPr>
          <w:rFonts w:eastAsia="Times New Roman" w:cs="Times New Roman"/>
          <w:sz w:val="20"/>
          <w:szCs w:val="20"/>
          <w:lang w:eastAsia="en-CA"/>
        </w:rPr>
        <w:t>Before / Devant:   THE REGISTRAR / LE REGISTRAIRE</w:t>
      </w:r>
    </w:p>
    <w:p w:rsidR="00FA5B55" w:rsidRPr="00FA5B55" w:rsidRDefault="00FA5B55" w:rsidP="00FA5B55">
      <w:pPr>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A5B55" w:rsidRPr="00C163A8" w:rsidTr="00A809A9">
        <w:trPr>
          <w:trHeight w:val="151"/>
        </w:trPr>
        <w:tc>
          <w:tcPr>
            <w:tcW w:w="4338" w:type="dxa"/>
          </w:tcPr>
          <w:p w:rsidR="00FA5B55" w:rsidRPr="00FA5B55" w:rsidRDefault="00FA5B55" w:rsidP="00FA5B55">
            <w:pPr>
              <w:rPr>
                <w:b/>
                <w:bCs/>
                <w:lang w:val="en-GB"/>
              </w:rPr>
            </w:pPr>
            <w:r w:rsidRPr="00FA5B55">
              <w:rPr>
                <w:b/>
                <w:bCs/>
                <w:lang w:val="en-GB"/>
              </w:rPr>
              <w:t>Motion to dispense with service</w:t>
            </w:r>
          </w:p>
          <w:p w:rsidR="00FA5B55" w:rsidRPr="00FA5B55" w:rsidRDefault="00FA5B55" w:rsidP="00FA5B55">
            <w:pPr>
              <w:tabs>
                <w:tab w:val="left" w:pos="-1440"/>
                <w:tab w:val="left" w:pos="-720"/>
              </w:tabs>
              <w:jc w:val="both"/>
              <w:rPr>
                <w:lang w:val="en-US"/>
              </w:rPr>
            </w:pPr>
          </w:p>
        </w:tc>
        <w:tc>
          <w:tcPr>
            <w:tcW w:w="1170" w:type="dxa"/>
          </w:tcPr>
          <w:p w:rsidR="00FA5B55" w:rsidRPr="00FA5B55" w:rsidRDefault="00FA5B55" w:rsidP="00FA5B55">
            <w:pPr>
              <w:jc w:val="both"/>
            </w:pPr>
          </w:p>
          <w:p w:rsidR="00FA5B55" w:rsidRPr="00FA5B55" w:rsidRDefault="00FA5B55" w:rsidP="00FA5B55">
            <w:pPr>
              <w:jc w:val="both"/>
            </w:pPr>
          </w:p>
          <w:p w:rsidR="00FA5B55" w:rsidRPr="00FA5B55" w:rsidRDefault="00FA5B55" w:rsidP="00FA5B55">
            <w:pPr>
              <w:jc w:val="both"/>
            </w:pPr>
          </w:p>
        </w:tc>
        <w:tc>
          <w:tcPr>
            <w:tcW w:w="4327" w:type="dxa"/>
          </w:tcPr>
          <w:p w:rsidR="00FA5B55" w:rsidRPr="00FA5B55" w:rsidRDefault="00FA5B55" w:rsidP="00FA5B55">
            <w:pPr>
              <w:jc w:val="both"/>
              <w:rPr>
                <w:b/>
                <w:lang w:val="fr-CA"/>
              </w:rPr>
            </w:pPr>
            <w:r w:rsidRPr="00FA5B55">
              <w:rPr>
                <w:b/>
                <w:bCs/>
                <w:lang w:val="fr-CA"/>
              </w:rPr>
              <w:t>Requête en vue d’obtenir une dispense de signification</w:t>
            </w:r>
          </w:p>
        </w:tc>
      </w:tr>
      <w:tr w:rsidR="00FA5B55" w:rsidRPr="00FA5B55" w:rsidTr="00A809A9">
        <w:trPr>
          <w:trHeight w:val="150"/>
        </w:trPr>
        <w:tc>
          <w:tcPr>
            <w:tcW w:w="4338" w:type="dxa"/>
          </w:tcPr>
          <w:p w:rsidR="00FA5B55" w:rsidRPr="00FA5B55" w:rsidRDefault="00FA5B55" w:rsidP="00FA5B55">
            <w:pPr>
              <w:tabs>
                <w:tab w:val="left" w:pos="-1440"/>
                <w:tab w:val="left" w:pos="-720"/>
              </w:tabs>
              <w:jc w:val="both"/>
            </w:pPr>
            <w:r w:rsidRPr="00FA5B55">
              <w:t>Mi Sook Kim</w:t>
            </w:r>
          </w:p>
          <w:p w:rsidR="00FA5B55" w:rsidRPr="00FA5B55" w:rsidRDefault="00FA5B55" w:rsidP="00FA5B55">
            <w:pPr>
              <w:tabs>
                <w:tab w:val="left" w:pos="-1440"/>
                <w:tab w:val="left" w:pos="-720"/>
              </w:tabs>
              <w:jc w:val="both"/>
            </w:pPr>
          </w:p>
          <w:p w:rsidR="00FA5B55" w:rsidRPr="00FA5B55" w:rsidRDefault="00FA5B55" w:rsidP="00FA5B55">
            <w:pPr>
              <w:tabs>
                <w:tab w:val="left" w:pos="-1440"/>
                <w:tab w:val="left" w:pos="-720"/>
              </w:tabs>
              <w:jc w:val="both"/>
            </w:pPr>
            <w:r w:rsidRPr="00FA5B55">
              <w:tab/>
              <w:t>v. (35926)</w:t>
            </w:r>
          </w:p>
          <w:p w:rsidR="00FA5B55" w:rsidRPr="00FA5B55" w:rsidRDefault="00FA5B55" w:rsidP="00FA5B55">
            <w:pPr>
              <w:tabs>
                <w:tab w:val="left" w:pos="-1440"/>
                <w:tab w:val="left" w:pos="-720"/>
              </w:tabs>
              <w:jc w:val="both"/>
            </w:pPr>
          </w:p>
          <w:p w:rsidR="00FA5B55" w:rsidRPr="00FA5B55" w:rsidRDefault="00FA5B55" w:rsidP="00FA5B55">
            <w:pPr>
              <w:tabs>
                <w:tab w:val="left" w:pos="-1440"/>
                <w:tab w:val="left" w:pos="-720"/>
              </w:tabs>
              <w:jc w:val="both"/>
            </w:pPr>
            <w:r w:rsidRPr="00FA5B55">
              <w:t>Dong Sun Kim et al. (Crim.) (Man.)</w:t>
            </w:r>
          </w:p>
        </w:tc>
        <w:tc>
          <w:tcPr>
            <w:tcW w:w="1170" w:type="dxa"/>
          </w:tcPr>
          <w:p w:rsidR="00FA5B55" w:rsidRPr="00FA5B55" w:rsidRDefault="00FA5B55" w:rsidP="00FA5B55">
            <w:pPr>
              <w:jc w:val="both"/>
            </w:pPr>
          </w:p>
        </w:tc>
        <w:tc>
          <w:tcPr>
            <w:tcW w:w="4327" w:type="dxa"/>
          </w:tcPr>
          <w:p w:rsidR="00FA5B55" w:rsidRPr="00FA5B55" w:rsidRDefault="00FA5B55" w:rsidP="00FA5B55">
            <w:pPr>
              <w:jc w:val="both"/>
            </w:pPr>
          </w:p>
        </w:tc>
      </w:tr>
    </w:tbl>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tabs>
          <w:tab w:val="left" w:pos="-1440"/>
          <w:tab w:val="left" w:pos="-720"/>
        </w:tabs>
        <w:jc w:val="both"/>
        <w:rPr>
          <w:rFonts w:eastAsia="Times New Roman" w:cs="Times New Roman"/>
          <w:sz w:val="20"/>
          <w:szCs w:val="20"/>
          <w:lang w:eastAsia="en-CA"/>
        </w:rPr>
      </w:pPr>
      <w:r w:rsidRPr="00FA5B55">
        <w:rPr>
          <w:rFonts w:eastAsia="Times New Roman" w:cs="Times New Roman"/>
          <w:b/>
          <w:sz w:val="20"/>
          <w:szCs w:val="20"/>
          <w:lang w:eastAsia="en-CA"/>
        </w:rPr>
        <w:t>GRANTED / ACCORDÉE</w:t>
      </w:r>
    </w:p>
    <w:p w:rsidR="00FA5B55" w:rsidRPr="00FA5B55" w:rsidRDefault="00FA5B55" w:rsidP="00FA5B55">
      <w:pPr>
        <w:tabs>
          <w:tab w:val="left" w:pos="-1440"/>
          <w:tab w:val="left" w:pos="-720"/>
        </w:tabs>
        <w:jc w:val="both"/>
        <w:rPr>
          <w:rFonts w:eastAsia="Times New Roman" w:cs="Times New Roman"/>
          <w:sz w:val="20"/>
          <w:szCs w:val="20"/>
          <w:lang w:eastAsia="en-CA"/>
        </w:rPr>
      </w:pPr>
    </w:p>
    <w:p w:rsidR="00FA5B55" w:rsidRPr="00FA5B55" w:rsidRDefault="00FA5B55" w:rsidP="00FA5B55">
      <w:pPr>
        <w:jc w:val="both"/>
        <w:rPr>
          <w:rFonts w:eastAsia="Times New Roman" w:cs="Times New Roman"/>
          <w:sz w:val="20"/>
          <w:szCs w:val="20"/>
          <w:lang w:val="en-US" w:eastAsia="en-CA"/>
        </w:rPr>
      </w:pPr>
      <w:r w:rsidRPr="00FA5B55">
        <w:rPr>
          <w:rFonts w:eastAsia="Times New Roman" w:cs="Times New Roman"/>
          <w:b/>
          <w:bCs/>
          <w:sz w:val="20"/>
          <w:szCs w:val="20"/>
          <w:lang w:val="en-US" w:eastAsia="en-CA"/>
        </w:rPr>
        <w:t>UPON APPLICATION</w:t>
      </w:r>
      <w:r w:rsidRPr="00FA5B55">
        <w:rPr>
          <w:rFonts w:eastAsia="Times New Roman" w:cs="Times New Roman"/>
          <w:sz w:val="20"/>
          <w:szCs w:val="20"/>
          <w:lang w:val="en-US" w:eastAsia="en-CA"/>
        </w:rPr>
        <w:t xml:space="preserve"> on behalf of the applicant for an order dispensing with the requirement of service upon the respondent, Dong Sun Kim.</w:t>
      </w:r>
    </w:p>
    <w:p w:rsidR="00FA5B55" w:rsidRPr="00FA5B55" w:rsidRDefault="00FA5B55" w:rsidP="00FA5B55">
      <w:pPr>
        <w:jc w:val="both"/>
        <w:rPr>
          <w:rFonts w:eastAsia="Times New Roman" w:cs="Times New Roman"/>
          <w:sz w:val="20"/>
          <w:szCs w:val="20"/>
          <w:lang w:val="en-US" w:eastAsia="en-CA"/>
        </w:rPr>
      </w:pPr>
    </w:p>
    <w:p w:rsidR="00FA5B55" w:rsidRPr="00FA5B55" w:rsidRDefault="00FA5B55" w:rsidP="00FA5B55">
      <w:pPr>
        <w:jc w:val="both"/>
        <w:rPr>
          <w:rFonts w:eastAsia="Times New Roman" w:cs="Times New Roman"/>
          <w:sz w:val="20"/>
          <w:szCs w:val="20"/>
          <w:lang w:val="en-US" w:eastAsia="en-CA"/>
        </w:rPr>
      </w:pPr>
      <w:r w:rsidRPr="00FA5B55">
        <w:rPr>
          <w:rFonts w:eastAsia="Times New Roman" w:cs="Times New Roman"/>
          <w:b/>
          <w:bCs/>
          <w:sz w:val="20"/>
          <w:szCs w:val="20"/>
          <w:lang w:val="en-US" w:eastAsia="en-CA"/>
        </w:rPr>
        <w:t>THE MATERIAL FILED</w:t>
      </w:r>
      <w:r w:rsidRPr="00FA5B55">
        <w:rPr>
          <w:rFonts w:eastAsia="Times New Roman" w:cs="Times New Roman"/>
          <w:sz w:val="20"/>
          <w:szCs w:val="20"/>
          <w:lang w:val="en-US" w:eastAsia="en-CA"/>
        </w:rPr>
        <w:t xml:space="preserve"> having been read;</w:t>
      </w:r>
    </w:p>
    <w:p w:rsidR="00FA5B55" w:rsidRPr="00FA5B55" w:rsidRDefault="00FA5B55" w:rsidP="00FA5B55">
      <w:pPr>
        <w:jc w:val="both"/>
        <w:rPr>
          <w:rFonts w:eastAsia="Times New Roman" w:cs="Times New Roman"/>
          <w:sz w:val="20"/>
          <w:szCs w:val="20"/>
          <w:lang w:val="en-US" w:eastAsia="en-CA"/>
        </w:rPr>
      </w:pPr>
    </w:p>
    <w:p w:rsidR="00FA5B55" w:rsidRPr="00FA5B55" w:rsidRDefault="00FA5B55" w:rsidP="00FA5B55">
      <w:pPr>
        <w:jc w:val="both"/>
        <w:rPr>
          <w:rFonts w:eastAsia="Times New Roman" w:cs="Times New Roman"/>
          <w:sz w:val="20"/>
          <w:szCs w:val="20"/>
          <w:lang w:val="en-US" w:eastAsia="en-CA"/>
        </w:rPr>
      </w:pPr>
      <w:r w:rsidRPr="00FA5B55">
        <w:rPr>
          <w:rFonts w:eastAsia="Times New Roman" w:cs="Times New Roman"/>
          <w:b/>
          <w:bCs/>
          <w:sz w:val="20"/>
          <w:szCs w:val="20"/>
          <w:lang w:val="en-US" w:eastAsia="en-CA"/>
        </w:rPr>
        <w:t>IT IS HEREBY ORDERED THAT</w:t>
      </w:r>
      <w:r w:rsidRPr="00FA5B55">
        <w:rPr>
          <w:rFonts w:eastAsia="Times New Roman" w:cs="Times New Roman"/>
          <w:sz w:val="20"/>
          <w:szCs w:val="20"/>
          <w:lang w:val="en-US" w:eastAsia="en-CA"/>
        </w:rPr>
        <w:t>:</w:t>
      </w:r>
    </w:p>
    <w:p w:rsidR="00FA5B55" w:rsidRPr="00FA5B55" w:rsidRDefault="00FA5B55" w:rsidP="00FA5B55">
      <w:pPr>
        <w:jc w:val="both"/>
        <w:rPr>
          <w:rFonts w:eastAsia="Times New Roman" w:cs="Times New Roman"/>
          <w:sz w:val="20"/>
          <w:szCs w:val="20"/>
          <w:lang w:val="en-US" w:eastAsia="en-CA"/>
        </w:rPr>
      </w:pPr>
    </w:p>
    <w:p w:rsidR="00FA5B55" w:rsidRPr="00FA5B55" w:rsidRDefault="00FA5B55" w:rsidP="00FA5B55">
      <w:pPr>
        <w:jc w:val="both"/>
        <w:rPr>
          <w:rFonts w:eastAsia="Times New Roman" w:cs="Times New Roman"/>
          <w:sz w:val="20"/>
          <w:szCs w:val="20"/>
          <w:lang w:val="fr-CA" w:eastAsia="en-CA"/>
        </w:rPr>
      </w:pPr>
      <w:r w:rsidRPr="00FA5B55">
        <w:rPr>
          <w:rFonts w:eastAsia="Times New Roman" w:cs="Times New Roman"/>
          <w:sz w:val="20"/>
          <w:szCs w:val="20"/>
          <w:lang w:val="fr-CA" w:eastAsia="en-CA"/>
        </w:rPr>
        <w:t>The motion is granted.</w:t>
      </w:r>
    </w:p>
    <w:p w:rsidR="00FA5B55" w:rsidRPr="00FA5B55" w:rsidRDefault="00FA5B55" w:rsidP="00FA5B55">
      <w:pPr>
        <w:jc w:val="both"/>
        <w:rPr>
          <w:rFonts w:eastAsia="Times New Roman" w:cs="Times New Roman"/>
          <w:sz w:val="20"/>
          <w:szCs w:val="20"/>
          <w:lang w:val="fr-CA" w:eastAsia="en-CA"/>
        </w:rPr>
      </w:pPr>
    </w:p>
    <w:p w:rsidR="00FA5B55" w:rsidRPr="00FA5B55" w:rsidRDefault="00FA5B55" w:rsidP="00FA5B55">
      <w:pPr>
        <w:jc w:val="both"/>
        <w:rPr>
          <w:rFonts w:eastAsia="Times New Roman" w:cs="Times New Roman"/>
          <w:sz w:val="20"/>
          <w:szCs w:val="20"/>
          <w:lang w:val="fr-CA" w:eastAsia="en-CA"/>
        </w:rPr>
      </w:pPr>
    </w:p>
    <w:p w:rsidR="00FA5B55" w:rsidRPr="00FA5B55" w:rsidRDefault="00FA5B55" w:rsidP="00FA5B55">
      <w:pPr>
        <w:jc w:val="both"/>
        <w:rPr>
          <w:rFonts w:eastAsia="Times New Roman" w:cs="Times New Roman"/>
          <w:sz w:val="20"/>
          <w:szCs w:val="20"/>
          <w:lang w:val="fr-CA" w:eastAsia="en-CA"/>
        </w:rPr>
      </w:pPr>
    </w:p>
    <w:p w:rsidR="00FA5B55" w:rsidRPr="00FA5B55" w:rsidRDefault="00FA5B55" w:rsidP="00FA5B55">
      <w:pPr>
        <w:jc w:val="both"/>
        <w:rPr>
          <w:rFonts w:eastAsia="Times New Roman" w:cs="Times New Roman"/>
          <w:sz w:val="20"/>
          <w:szCs w:val="20"/>
          <w:lang w:val="fr-CA" w:eastAsia="en-CA"/>
        </w:rPr>
      </w:pPr>
      <w:r w:rsidRPr="00FA5B55">
        <w:rPr>
          <w:rFonts w:eastAsia="Times New Roman" w:cs="Times New Roman"/>
          <w:b/>
          <w:sz w:val="20"/>
          <w:szCs w:val="20"/>
          <w:lang w:val="fr-CA" w:eastAsia="en-CA"/>
        </w:rPr>
        <w:lastRenderedPageBreak/>
        <w:t>À LA SUITE DE LA DEMANDE</w:t>
      </w:r>
      <w:r w:rsidRPr="00FA5B55">
        <w:rPr>
          <w:rFonts w:eastAsia="Times New Roman" w:cs="Times New Roman"/>
          <w:sz w:val="20"/>
          <w:szCs w:val="20"/>
          <w:lang w:val="fr-CA" w:eastAsia="en-CA"/>
        </w:rPr>
        <w:t xml:space="preserve"> présentée au nom </w:t>
      </w:r>
      <w:r w:rsidRPr="00C5198D">
        <w:rPr>
          <w:rFonts w:eastAsia="Times New Roman" w:cs="Times New Roman"/>
          <w:sz w:val="20"/>
          <w:szCs w:val="20"/>
          <w:lang w:val="fr-CA" w:eastAsia="en-CA"/>
        </w:rPr>
        <w:t>d</w:t>
      </w:r>
      <w:r w:rsidR="00C5198D">
        <w:rPr>
          <w:rFonts w:eastAsia="Times New Roman" w:cs="Times New Roman"/>
          <w:sz w:val="20"/>
          <w:szCs w:val="20"/>
          <w:lang w:val="fr-CA" w:eastAsia="en-CA"/>
        </w:rPr>
        <w:t xml:space="preserve">e la </w:t>
      </w:r>
      <w:r w:rsidRPr="00C5198D">
        <w:rPr>
          <w:rFonts w:eastAsia="Times New Roman" w:cs="Times New Roman"/>
          <w:sz w:val="20"/>
          <w:szCs w:val="20"/>
          <w:lang w:val="fr-CA" w:eastAsia="en-CA"/>
        </w:rPr>
        <w:t>demander</w:t>
      </w:r>
      <w:r w:rsidR="00C5198D">
        <w:rPr>
          <w:rFonts w:eastAsia="Times New Roman" w:cs="Times New Roman"/>
          <w:sz w:val="20"/>
          <w:szCs w:val="20"/>
          <w:lang w:val="fr-CA" w:eastAsia="en-CA"/>
        </w:rPr>
        <w:t>esse</w:t>
      </w:r>
      <w:r w:rsidRPr="00FA5B55">
        <w:rPr>
          <w:rFonts w:eastAsia="Times New Roman" w:cs="Times New Roman"/>
          <w:sz w:val="20"/>
          <w:szCs w:val="20"/>
          <w:lang w:val="fr-CA" w:eastAsia="en-CA"/>
        </w:rPr>
        <w:t xml:space="preserve"> </w:t>
      </w:r>
      <w:r w:rsidR="00C5198D">
        <w:rPr>
          <w:rFonts w:eastAsia="Times New Roman" w:cs="Times New Roman"/>
          <w:sz w:val="20"/>
          <w:szCs w:val="20"/>
          <w:lang w:val="fr-CA" w:eastAsia="en-CA"/>
        </w:rPr>
        <w:t xml:space="preserve">pour qu’elle soit </w:t>
      </w:r>
      <w:r w:rsidRPr="00FA5B55">
        <w:rPr>
          <w:rFonts w:eastAsia="Times New Roman" w:cs="Times New Roman"/>
          <w:sz w:val="20"/>
          <w:szCs w:val="20"/>
          <w:lang w:val="fr-CA" w:eastAsia="en-CA"/>
        </w:rPr>
        <w:t>exempt</w:t>
      </w:r>
      <w:r w:rsidR="00C5198D">
        <w:rPr>
          <w:rFonts w:eastAsia="Times New Roman" w:cs="Times New Roman"/>
          <w:sz w:val="20"/>
          <w:szCs w:val="20"/>
          <w:lang w:val="fr-CA" w:eastAsia="en-CA"/>
        </w:rPr>
        <w:t>é</w:t>
      </w:r>
      <w:r w:rsidR="00306E0B">
        <w:rPr>
          <w:rFonts w:eastAsia="Times New Roman" w:cs="Times New Roman"/>
          <w:sz w:val="20"/>
          <w:szCs w:val="20"/>
          <w:lang w:val="fr-CA" w:eastAsia="en-CA"/>
        </w:rPr>
        <w:t>e</w:t>
      </w:r>
      <w:r w:rsidRPr="00FA5B55">
        <w:rPr>
          <w:rFonts w:eastAsia="Times New Roman" w:cs="Times New Roman"/>
          <w:sz w:val="20"/>
          <w:szCs w:val="20"/>
          <w:lang w:val="fr-CA" w:eastAsia="en-CA"/>
        </w:rPr>
        <w:t xml:space="preserve"> de l’obligation de signifier les procédures à </w:t>
      </w:r>
      <w:r w:rsidRPr="00C5198D">
        <w:rPr>
          <w:rFonts w:eastAsia="Times New Roman" w:cs="Times New Roman"/>
          <w:sz w:val="20"/>
          <w:szCs w:val="20"/>
          <w:lang w:val="fr-CA" w:eastAsia="en-CA"/>
        </w:rPr>
        <w:t>l’intimé</w:t>
      </w:r>
      <w:r w:rsidRPr="00FA5B55">
        <w:rPr>
          <w:rFonts w:eastAsia="Times New Roman" w:cs="Times New Roman"/>
          <w:sz w:val="20"/>
          <w:szCs w:val="20"/>
          <w:lang w:val="fr-CA" w:eastAsia="en-CA"/>
        </w:rPr>
        <w:t>, Dong Sun Kim.</w:t>
      </w:r>
    </w:p>
    <w:p w:rsidR="00FA5B55" w:rsidRPr="00FA5B55" w:rsidRDefault="00FA5B55" w:rsidP="00FA5B55">
      <w:pPr>
        <w:jc w:val="both"/>
        <w:rPr>
          <w:rFonts w:eastAsia="Times New Roman" w:cs="Times New Roman"/>
          <w:b/>
          <w:sz w:val="20"/>
          <w:szCs w:val="20"/>
          <w:lang w:val="fr-CA" w:eastAsia="en-CA"/>
        </w:rPr>
      </w:pPr>
    </w:p>
    <w:p w:rsidR="00FA5B55" w:rsidRPr="00FA5B55" w:rsidRDefault="00FA5B55" w:rsidP="00FA5B55">
      <w:pPr>
        <w:jc w:val="both"/>
        <w:rPr>
          <w:rFonts w:eastAsia="Times New Roman" w:cs="Times New Roman"/>
          <w:sz w:val="20"/>
          <w:szCs w:val="20"/>
          <w:lang w:val="fr-CA" w:eastAsia="en-CA"/>
        </w:rPr>
      </w:pPr>
      <w:r w:rsidRPr="00FA5B55">
        <w:rPr>
          <w:rFonts w:eastAsia="Times New Roman" w:cs="Times New Roman"/>
          <w:b/>
          <w:sz w:val="20"/>
          <w:szCs w:val="20"/>
          <w:lang w:val="fr-CA" w:eastAsia="en-CA"/>
        </w:rPr>
        <w:t>ET APRÈS EXAMEN</w:t>
      </w:r>
      <w:r w:rsidRPr="00FA5B55">
        <w:rPr>
          <w:rFonts w:eastAsia="Times New Roman" w:cs="Times New Roman"/>
          <w:sz w:val="20"/>
          <w:szCs w:val="20"/>
          <w:lang w:val="fr-CA" w:eastAsia="en-CA"/>
        </w:rPr>
        <w:t xml:space="preserve"> des documents déposés;</w:t>
      </w:r>
    </w:p>
    <w:p w:rsidR="00FA5B55" w:rsidRPr="00FA5B55" w:rsidRDefault="00FA5B55" w:rsidP="00FA5B55">
      <w:pPr>
        <w:jc w:val="both"/>
        <w:rPr>
          <w:rFonts w:eastAsia="Times New Roman" w:cs="Times New Roman"/>
          <w:sz w:val="20"/>
          <w:szCs w:val="20"/>
          <w:lang w:val="fr-CA" w:eastAsia="en-CA"/>
        </w:rPr>
      </w:pPr>
    </w:p>
    <w:p w:rsidR="00FA5B55" w:rsidRPr="00FA5B55" w:rsidRDefault="00FA5B55" w:rsidP="00FA5B55">
      <w:pPr>
        <w:jc w:val="both"/>
        <w:rPr>
          <w:rFonts w:eastAsia="Times New Roman" w:cs="Times New Roman"/>
          <w:b/>
          <w:sz w:val="20"/>
          <w:szCs w:val="20"/>
          <w:lang w:val="fr-CA" w:eastAsia="en-CA"/>
        </w:rPr>
      </w:pPr>
      <w:r w:rsidRPr="00FA5B55">
        <w:rPr>
          <w:rFonts w:eastAsia="Times New Roman" w:cs="Times New Roman"/>
          <w:b/>
          <w:sz w:val="20"/>
          <w:szCs w:val="20"/>
          <w:lang w:val="fr-CA" w:eastAsia="en-CA"/>
        </w:rPr>
        <w:t>IL EST ORDONNÉ CE QUI SUIT :</w:t>
      </w:r>
    </w:p>
    <w:p w:rsidR="00FA5B55" w:rsidRPr="00FA5B55" w:rsidRDefault="00FA5B55" w:rsidP="00FA5B55">
      <w:pPr>
        <w:jc w:val="both"/>
        <w:rPr>
          <w:rFonts w:eastAsia="Times New Roman" w:cs="Times New Roman"/>
          <w:sz w:val="20"/>
          <w:szCs w:val="20"/>
          <w:lang w:val="fr-CA" w:eastAsia="en-CA"/>
        </w:rPr>
      </w:pPr>
    </w:p>
    <w:p w:rsidR="00FA5B55" w:rsidRPr="00FA5B55" w:rsidRDefault="00FA5B55" w:rsidP="00FA5B55">
      <w:pPr>
        <w:jc w:val="both"/>
        <w:rPr>
          <w:rFonts w:eastAsia="Times New Roman" w:cs="Times New Roman"/>
          <w:sz w:val="20"/>
          <w:szCs w:val="20"/>
          <w:lang w:val="fr-CA" w:eastAsia="en-CA"/>
        </w:rPr>
      </w:pPr>
      <w:r w:rsidRPr="00FA5B55">
        <w:rPr>
          <w:rFonts w:eastAsia="Times New Roman" w:cs="Times New Roman"/>
          <w:sz w:val="20"/>
          <w:szCs w:val="20"/>
          <w:lang w:val="fr-CA" w:eastAsia="en-CA"/>
        </w:rPr>
        <w:t>La requête est accordée.</w:t>
      </w:r>
    </w:p>
    <w:p w:rsidR="00FA5B55" w:rsidRPr="00FA5B55" w:rsidRDefault="00FA5B55" w:rsidP="00FA5B55">
      <w:pPr>
        <w:jc w:val="both"/>
        <w:rPr>
          <w:rFonts w:eastAsia="Times New Roman" w:cs="Times New Roman"/>
          <w:sz w:val="20"/>
          <w:szCs w:val="20"/>
          <w:lang w:val="fr-CA" w:eastAsia="en-CA"/>
        </w:rPr>
      </w:pPr>
    </w:p>
    <w:p w:rsidR="00FA5B55" w:rsidRPr="00FA5B55" w:rsidRDefault="00584E5B" w:rsidP="00FA5B5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FA5B55" w:rsidRPr="00FA5B55" w:rsidRDefault="00FA5B55" w:rsidP="00FA5B55">
      <w:pPr>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1CA9" w:rsidRPr="002D72EB" w:rsidTr="00BA6468">
        <w:tc>
          <w:tcPr>
            <w:tcW w:w="4200" w:type="dxa"/>
            <w:shd w:val="clear" w:color="auto" w:fill="auto"/>
            <w:tcMar>
              <w:left w:w="0" w:type="dxa"/>
              <w:right w:w="0" w:type="dxa"/>
            </w:tcMar>
          </w:tcPr>
          <w:p w:rsidR="00831CA9" w:rsidRPr="002D72EB" w:rsidRDefault="00831CA9" w:rsidP="00EB2B90">
            <w:pPr>
              <w:keepNext/>
              <w:keepLines/>
              <w:jc w:val="both"/>
              <w:rPr>
                <w:szCs w:val="24"/>
              </w:rPr>
            </w:pPr>
            <w:r w:rsidRPr="002D72EB">
              <w:rPr>
                <w:b/>
                <w:szCs w:val="24"/>
              </w:rPr>
              <w:lastRenderedPageBreak/>
              <w:t>TAXATION OF COSTS</w:t>
            </w:r>
          </w:p>
        </w:tc>
        <w:tc>
          <w:tcPr>
            <w:tcW w:w="1200" w:type="dxa"/>
            <w:shd w:val="clear" w:color="auto" w:fill="auto"/>
            <w:tcMar>
              <w:left w:w="0" w:type="dxa"/>
              <w:right w:w="0" w:type="dxa"/>
            </w:tcMar>
          </w:tcPr>
          <w:p w:rsidR="00831CA9" w:rsidRPr="002D72EB" w:rsidRDefault="00831CA9" w:rsidP="00831CA9">
            <w:pPr>
              <w:keepNext/>
              <w:keepLines/>
              <w:jc w:val="center"/>
              <w:rPr>
                <w:szCs w:val="24"/>
              </w:rPr>
            </w:pPr>
          </w:p>
          <w:p w:rsidR="00831CA9" w:rsidRPr="002D72EB" w:rsidRDefault="00831CA9" w:rsidP="00831CA9">
            <w:pPr>
              <w:keepNext/>
              <w:keepLines/>
              <w:jc w:val="center"/>
              <w:rPr>
                <w:szCs w:val="24"/>
              </w:rPr>
            </w:pPr>
          </w:p>
        </w:tc>
        <w:tc>
          <w:tcPr>
            <w:tcW w:w="4230" w:type="dxa"/>
            <w:shd w:val="clear" w:color="auto" w:fill="auto"/>
            <w:tcMar>
              <w:left w:w="0" w:type="dxa"/>
              <w:right w:w="0" w:type="dxa"/>
            </w:tcMar>
          </w:tcPr>
          <w:p w:rsidR="00831CA9" w:rsidRPr="00BA6468" w:rsidRDefault="00831CA9" w:rsidP="00755F22">
            <w:pPr>
              <w:keepNext/>
              <w:keepLines/>
              <w:rPr>
                <w:szCs w:val="24"/>
                <w:lang w:val="fr-CA"/>
              </w:rPr>
            </w:pPr>
            <w:r w:rsidRPr="00BA6468">
              <w:rPr>
                <w:b/>
                <w:szCs w:val="24"/>
                <w:lang w:val="fr-CA"/>
              </w:rPr>
              <w:t>TAXATION DES DÉPENS</w:t>
            </w:r>
          </w:p>
        </w:tc>
      </w:tr>
    </w:tbl>
    <w:p w:rsidR="00831CA9" w:rsidRPr="00C50A5C" w:rsidRDefault="00831CA9" w:rsidP="00831CA9">
      <w:pPr>
        <w:tabs>
          <w:tab w:val="left" w:pos="-1440"/>
          <w:tab w:val="left" w:pos="-720"/>
        </w:tabs>
        <w:jc w:val="both"/>
        <w:rPr>
          <w:sz w:val="20"/>
          <w:szCs w:val="20"/>
        </w:rPr>
      </w:pPr>
    </w:p>
    <w:p w:rsidR="00831CA9" w:rsidRPr="00C50A5C" w:rsidRDefault="00831CA9" w:rsidP="00831CA9">
      <w:pPr>
        <w:tabs>
          <w:tab w:val="left" w:pos="-1440"/>
          <w:tab w:val="left" w:pos="-720"/>
        </w:tabs>
        <w:jc w:val="both"/>
        <w:rPr>
          <w:sz w:val="20"/>
          <w:szCs w:val="20"/>
        </w:rPr>
      </w:pPr>
      <w:r w:rsidRPr="00C50A5C">
        <w:rPr>
          <w:sz w:val="20"/>
          <w:szCs w:val="20"/>
        </w:rPr>
        <w:t>2</w:t>
      </w:r>
      <w:r w:rsidR="00C27416">
        <w:rPr>
          <w:sz w:val="20"/>
          <w:szCs w:val="20"/>
        </w:rPr>
        <w:t>7</w:t>
      </w:r>
      <w:r w:rsidRPr="00C50A5C">
        <w:rPr>
          <w:sz w:val="20"/>
          <w:szCs w:val="20"/>
        </w:rPr>
        <w:t>.0</w:t>
      </w:r>
      <w:r w:rsidR="00C27416">
        <w:rPr>
          <w:sz w:val="20"/>
          <w:szCs w:val="20"/>
        </w:rPr>
        <w:t>6</w:t>
      </w:r>
      <w:r w:rsidRPr="00C50A5C">
        <w:rPr>
          <w:sz w:val="20"/>
          <w:szCs w:val="20"/>
        </w:rPr>
        <w:t>.20</w:t>
      </w:r>
      <w:r w:rsidR="00C27416">
        <w:rPr>
          <w:sz w:val="20"/>
          <w:szCs w:val="20"/>
        </w:rPr>
        <w:t>14</w:t>
      </w:r>
    </w:p>
    <w:p w:rsidR="00831CA9" w:rsidRPr="00C50A5C" w:rsidRDefault="00831CA9" w:rsidP="00831CA9">
      <w:pPr>
        <w:tabs>
          <w:tab w:val="left" w:pos="-1440"/>
          <w:tab w:val="left" w:pos="-720"/>
        </w:tabs>
        <w:jc w:val="both"/>
        <w:rPr>
          <w:sz w:val="20"/>
          <w:szCs w:val="20"/>
        </w:rPr>
      </w:pPr>
    </w:p>
    <w:p w:rsidR="00831CA9" w:rsidRPr="00C50A5C" w:rsidRDefault="00831CA9" w:rsidP="00831CA9">
      <w:pPr>
        <w:tabs>
          <w:tab w:val="left" w:pos="-1440"/>
          <w:tab w:val="left" w:pos="-720"/>
        </w:tabs>
        <w:jc w:val="both"/>
        <w:rPr>
          <w:sz w:val="20"/>
          <w:szCs w:val="20"/>
        </w:rPr>
      </w:pPr>
      <w:r w:rsidRPr="00C50A5C">
        <w:rPr>
          <w:sz w:val="20"/>
          <w:szCs w:val="20"/>
        </w:rPr>
        <w:t>Before / Devant:   THE REGISTRAR</w:t>
      </w:r>
    </w:p>
    <w:p w:rsidR="00831CA9" w:rsidRPr="00C50A5C" w:rsidRDefault="00831CA9" w:rsidP="00831CA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188"/>
      </w:tblGrid>
      <w:tr w:rsidR="00831CA9" w:rsidRPr="00C27416" w:rsidTr="00EB2B90">
        <w:tc>
          <w:tcPr>
            <w:tcW w:w="4338" w:type="dxa"/>
            <w:shd w:val="clear" w:color="auto" w:fill="auto"/>
          </w:tcPr>
          <w:p w:rsidR="00831CA9" w:rsidRPr="00C27416" w:rsidRDefault="00C27416" w:rsidP="00EB2B90">
            <w:pPr>
              <w:tabs>
                <w:tab w:val="left" w:pos="-1440"/>
                <w:tab w:val="left" w:pos="-720"/>
              </w:tabs>
              <w:jc w:val="both"/>
              <w:rPr>
                <w:b/>
                <w:sz w:val="20"/>
                <w:szCs w:val="20"/>
                <w:lang w:val="fr-CA"/>
              </w:rPr>
            </w:pPr>
            <w:r w:rsidRPr="00C27416">
              <w:rPr>
                <w:b/>
                <w:sz w:val="20"/>
                <w:szCs w:val="20"/>
                <w:lang w:val="fr-CA"/>
              </w:rPr>
              <w:t>Régie des rentes du Québec</w:t>
            </w:r>
          </w:p>
          <w:p w:rsidR="00831CA9" w:rsidRPr="00C27416" w:rsidRDefault="00831CA9" w:rsidP="00EB2B90">
            <w:pPr>
              <w:tabs>
                <w:tab w:val="left" w:pos="-1440"/>
                <w:tab w:val="left" w:pos="-720"/>
              </w:tabs>
              <w:jc w:val="both"/>
              <w:rPr>
                <w:b/>
                <w:sz w:val="20"/>
                <w:szCs w:val="20"/>
                <w:lang w:val="fr-CA"/>
              </w:rPr>
            </w:pPr>
          </w:p>
          <w:p w:rsidR="00831CA9" w:rsidRPr="00FA5B55" w:rsidRDefault="00831CA9" w:rsidP="00EB2B90">
            <w:pPr>
              <w:tabs>
                <w:tab w:val="left" w:pos="-1440"/>
                <w:tab w:val="left" w:pos="-720"/>
              </w:tabs>
              <w:jc w:val="both"/>
              <w:rPr>
                <w:b/>
                <w:sz w:val="20"/>
                <w:szCs w:val="20"/>
                <w:lang w:val="fr-CA"/>
              </w:rPr>
            </w:pPr>
            <w:r w:rsidRPr="00C27416">
              <w:rPr>
                <w:b/>
                <w:sz w:val="20"/>
                <w:szCs w:val="20"/>
                <w:lang w:val="fr-CA"/>
              </w:rPr>
              <w:tab/>
            </w:r>
            <w:r w:rsidR="00C27416">
              <w:rPr>
                <w:b/>
                <w:sz w:val="20"/>
                <w:szCs w:val="20"/>
                <w:lang w:val="fr-CA"/>
              </w:rPr>
              <w:t>c</w:t>
            </w:r>
            <w:r w:rsidRPr="00FA5B55">
              <w:rPr>
                <w:b/>
                <w:sz w:val="20"/>
                <w:szCs w:val="20"/>
                <w:lang w:val="fr-CA"/>
              </w:rPr>
              <w:t>. (3</w:t>
            </w:r>
            <w:r w:rsidR="00C27416" w:rsidRPr="00FA5B55">
              <w:rPr>
                <w:b/>
                <w:sz w:val="20"/>
                <w:szCs w:val="20"/>
                <w:lang w:val="fr-CA"/>
              </w:rPr>
              <w:t>4</w:t>
            </w:r>
            <w:r w:rsidRPr="00FA5B55">
              <w:rPr>
                <w:b/>
                <w:sz w:val="20"/>
                <w:szCs w:val="20"/>
                <w:lang w:val="fr-CA"/>
              </w:rPr>
              <w:t>5</w:t>
            </w:r>
            <w:r w:rsidR="00C27416" w:rsidRPr="00FA5B55">
              <w:rPr>
                <w:b/>
                <w:sz w:val="20"/>
                <w:szCs w:val="20"/>
                <w:lang w:val="fr-CA"/>
              </w:rPr>
              <w:t>05</w:t>
            </w:r>
            <w:r w:rsidRPr="00FA5B55">
              <w:rPr>
                <w:b/>
                <w:sz w:val="20"/>
                <w:szCs w:val="20"/>
                <w:lang w:val="fr-CA"/>
              </w:rPr>
              <w:t>)</w:t>
            </w:r>
          </w:p>
          <w:p w:rsidR="00831CA9" w:rsidRPr="00FA5B55" w:rsidRDefault="00831CA9" w:rsidP="00EB2B90">
            <w:pPr>
              <w:tabs>
                <w:tab w:val="left" w:pos="-1440"/>
                <w:tab w:val="left" w:pos="-720"/>
              </w:tabs>
              <w:jc w:val="both"/>
              <w:rPr>
                <w:b/>
                <w:sz w:val="20"/>
                <w:szCs w:val="20"/>
                <w:lang w:val="fr-CA"/>
              </w:rPr>
            </w:pPr>
          </w:p>
          <w:p w:rsidR="00831CA9" w:rsidRPr="00C27416" w:rsidRDefault="00C27416" w:rsidP="00CE197F">
            <w:pPr>
              <w:pStyle w:val="scclsocparty1"/>
              <w:rPr>
                <w:sz w:val="20"/>
                <w:szCs w:val="20"/>
                <w:lang w:val="en-CA"/>
              </w:rPr>
            </w:pPr>
            <w:r w:rsidRPr="00C27416">
              <w:rPr>
                <w:sz w:val="20"/>
                <w:szCs w:val="20"/>
                <w:lang w:val="en-CA"/>
              </w:rPr>
              <w:t>Canada Bread Company Ltd.</w:t>
            </w:r>
            <w:r>
              <w:rPr>
                <w:sz w:val="20"/>
                <w:szCs w:val="20"/>
                <w:lang w:val="en-CA"/>
              </w:rPr>
              <w:t xml:space="preserve"> et autres (Qc)</w:t>
            </w:r>
          </w:p>
        </w:tc>
        <w:tc>
          <w:tcPr>
            <w:tcW w:w="1170" w:type="dxa"/>
            <w:shd w:val="clear" w:color="auto" w:fill="auto"/>
          </w:tcPr>
          <w:p w:rsidR="00831CA9" w:rsidRPr="00C27416" w:rsidRDefault="00831CA9" w:rsidP="00EB2B90">
            <w:pPr>
              <w:tabs>
                <w:tab w:val="left" w:pos="-1440"/>
                <w:tab w:val="left" w:pos="-720"/>
              </w:tabs>
              <w:jc w:val="both"/>
              <w:rPr>
                <w:sz w:val="20"/>
                <w:szCs w:val="20"/>
              </w:rPr>
            </w:pPr>
          </w:p>
        </w:tc>
        <w:tc>
          <w:tcPr>
            <w:tcW w:w="4188" w:type="dxa"/>
            <w:shd w:val="clear" w:color="auto" w:fill="auto"/>
          </w:tcPr>
          <w:p w:rsidR="00831CA9" w:rsidRPr="00C50A5C" w:rsidRDefault="00831CA9" w:rsidP="00EB2B90">
            <w:pPr>
              <w:tabs>
                <w:tab w:val="left" w:pos="-1440"/>
                <w:tab w:val="left" w:pos="-720"/>
              </w:tabs>
              <w:jc w:val="both"/>
              <w:rPr>
                <w:sz w:val="20"/>
                <w:szCs w:val="20"/>
                <w:lang w:val="fr-CA"/>
              </w:rPr>
            </w:pPr>
          </w:p>
        </w:tc>
      </w:tr>
    </w:tbl>
    <w:p w:rsidR="00831CA9" w:rsidRDefault="00831CA9" w:rsidP="00831CA9">
      <w:pPr>
        <w:tabs>
          <w:tab w:val="left" w:pos="-1440"/>
          <w:tab w:val="left" w:pos="-720"/>
        </w:tabs>
        <w:jc w:val="both"/>
        <w:rPr>
          <w:sz w:val="20"/>
          <w:szCs w:val="20"/>
          <w:lang w:val="fr-CA"/>
        </w:rPr>
      </w:pPr>
    </w:p>
    <w:p w:rsidR="00C27416" w:rsidRPr="00C27416" w:rsidRDefault="00C27416" w:rsidP="00831CA9">
      <w:pPr>
        <w:tabs>
          <w:tab w:val="left" w:pos="-1440"/>
          <w:tab w:val="left" w:pos="-720"/>
        </w:tabs>
        <w:jc w:val="both"/>
        <w:rPr>
          <w:b/>
          <w:sz w:val="20"/>
          <w:szCs w:val="20"/>
          <w:u w:val="single"/>
          <w:lang w:val="fr-CA"/>
        </w:rPr>
      </w:pPr>
      <w:r w:rsidRPr="00C27416">
        <w:rPr>
          <w:b/>
          <w:sz w:val="20"/>
          <w:szCs w:val="20"/>
          <w:u w:val="single"/>
          <w:lang w:val="fr-CA"/>
        </w:rPr>
        <w:t>Contexte</w:t>
      </w:r>
    </w:p>
    <w:p w:rsidR="00C27416" w:rsidRDefault="00C27416" w:rsidP="00831CA9">
      <w:pPr>
        <w:tabs>
          <w:tab w:val="left" w:pos="-1440"/>
          <w:tab w:val="left" w:pos="-720"/>
        </w:tabs>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 xml:space="preserve">Dans la présente affaire, la Cour a accueilli le pourvoi « avec dépens devant toutes les cours ».  Il y avait une seule appelante, la Régie des rentes du Québec, et quatre intimés, Canada Bread Company Ltd., Sean Kelly, en sa qualité de fiduciaire du Bakery and Confectionery Union and Industry Canadian Pension Fund, Multi-Marques Inc., et Multi-Marques Distribution Inc. et Bakery, Confectionery, Tobacco Workers and Grain Millers International Union, Local 468 (« le Syndicat »).  Après que la Cour eut accordé la demande d’autorisation d’appel le 29 mars 2012, l’avocate du Syndicat a informé la Cour, dans une lettre datée du 16 juillet 2012, que son client ne prendrait pas part à l’appel.  Toutes les autres parties y ont participé pleinement.  </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La présente taxation soulève deux questions : (i) Les frais d’expertise réclamés par l’appelante peuvent</w:t>
      </w:r>
      <w:r w:rsidRPr="0083596C">
        <w:rPr>
          <w:sz w:val="20"/>
          <w:szCs w:val="20"/>
          <w:lang w:val="fr-CA"/>
        </w:rPr>
        <w:noBreakHyphen/>
        <w:t xml:space="preserve">ils être accordés au titre de la partie 2 de l’annexe B du </w:t>
      </w:r>
      <w:r w:rsidRPr="0083596C">
        <w:rPr>
          <w:i/>
          <w:sz w:val="20"/>
          <w:szCs w:val="20"/>
          <w:lang w:val="fr-CA"/>
        </w:rPr>
        <w:t>Tarif des honoraires et débours taxables entre parties devant la Cour suprême du Canada</w:t>
      </w:r>
      <w:r w:rsidRPr="0083596C">
        <w:rPr>
          <w:sz w:val="20"/>
          <w:szCs w:val="20"/>
          <w:lang w:val="fr-CA"/>
        </w:rPr>
        <w:t>? (ii) Le mémoire de frais devrait</w:t>
      </w:r>
      <w:r w:rsidRPr="0083596C">
        <w:rPr>
          <w:sz w:val="20"/>
          <w:szCs w:val="20"/>
          <w:lang w:val="fr-CA"/>
        </w:rPr>
        <w:noBreakHyphen/>
        <w:t>il être taxé contre le Syndicat?</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b/>
          <w:sz w:val="20"/>
          <w:szCs w:val="20"/>
          <w:lang w:val="fr-CA"/>
        </w:rPr>
      </w:pPr>
      <w:r w:rsidRPr="0083596C">
        <w:rPr>
          <w:b/>
          <w:sz w:val="20"/>
          <w:szCs w:val="20"/>
          <w:lang w:val="fr-CA"/>
        </w:rPr>
        <w:t>1.</w:t>
      </w:r>
      <w:r w:rsidRPr="0083596C">
        <w:rPr>
          <w:b/>
          <w:sz w:val="20"/>
          <w:szCs w:val="20"/>
          <w:lang w:val="fr-CA"/>
        </w:rPr>
        <w:tab/>
      </w:r>
      <w:r w:rsidRPr="0083596C">
        <w:rPr>
          <w:b/>
          <w:i/>
          <w:sz w:val="20"/>
          <w:szCs w:val="20"/>
          <w:lang w:val="fr-CA"/>
        </w:rPr>
        <w:t>La réclamation relative aux frais d’expertise</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Dans son mémoire de frais, l’appelante la Régie réclame des frais d’expertise de 20 450 $ au titre des débours visés par la partie 2 de l’annexe B du tarif.  Selon l’appelante, les services d’un expert étaient nécessaires en raison des questions complexes d’interprétation des lois soulevées dans l’appel.  L’intimé Sean Kelly conteste ces frais, alléguant que ceux</w:t>
      </w:r>
      <w:r w:rsidRPr="0083596C">
        <w:rPr>
          <w:sz w:val="20"/>
          <w:szCs w:val="20"/>
          <w:lang w:val="fr-CA"/>
        </w:rPr>
        <w:noBreakHyphen/>
        <w:t xml:space="preserve">ci étaient inutiles et déraisonnables.  </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 xml:space="preserve">À mon avis, une ordonnance expresse de la Cour est nécessaire pour que des frais d’expertise puissent être approuvés à titre de débours dans une taxation comme celle en l’espèce : voir </w:t>
      </w:r>
      <w:r w:rsidRPr="0083596C">
        <w:rPr>
          <w:i/>
          <w:sz w:val="20"/>
          <w:szCs w:val="20"/>
          <w:lang w:val="fr-CA"/>
        </w:rPr>
        <w:t>Apotex Inc. c. Bayer Aktiengesellschaft</w:t>
      </w:r>
      <w:r w:rsidRPr="0083596C">
        <w:rPr>
          <w:sz w:val="20"/>
          <w:szCs w:val="20"/>
          <w:lang w:val="fr-CA"/>
        </w:rPr>
        <w:t>, [1999] 3 R.C.S. 857, [1999] A.C.S. n</w:t>
      </w:r>
      <w:r w:rsidRPr="0083596C">
        <w:rPr>
          <w:sz w:val="20"/>
          <w:szCs w:val="20"/>
          <w:vertAlign w:val="superscript"/>
          <w:lang w:val="fr-CA"/>
        </w:rPr>
        <w:t>o</w:t>
      </w:r>
      <w:r w:rsidRPr="0083596C">
        <w:rPr>
          <w:sz w:val="20"/>
          <w:szCs w:val="20"/>
          <w:lang w:val="fr-CA"/>
        </w:rPr>
        <w:t xml:space="preserve"> 77 (QL).  Dans </w:t>
      </w:r>
      <w:r w:rsidRPr="0083596C">
        <w:rPr>
          <w:i/>
          <w:sz w:val="20"/>
          <w:szCs w:val="20"/>
          <w:lang w:val="fr-CA"/>
        </w:rPr>
        <w:t>Apotex</w:t>
      </w:r>
      <w:r w:rsidRPr="0083596C">
        <w:rPr>
          <w:sz w:val="20"/>
          <w:szCs w:val="20"/>
          <w:lang w:val="fr-CA"/>
        </w:rPr>
        <w:t xml:space="preserve">, la Cour était appelée à examiner une décision en matière de taxation dans laquelle le Registraire avait refusé d’approuver les dépenses engagées pour retenir des services d’experts en tant que de débours afférents à une demande d’autorisation d’appel qui avait été rejetée « avec dépens » par une autre formation.  Les extraits suivants des motifs du juge Gonthier dans l’arrêt </w:t>
      </w:r>
      <w:r w:rsidRPr="0083596C">
        <w:rPr>
          <w:i/>
          <w:sz w:val="20"/>
          <w:szCs w:val="20"/>
          <w:lang w:val="fr-CA"/>
        </w:rPr>
        <w:t>Apotex</w:t>
      </w:r>
      <w:r w:rsidRPr="0083596C">
        <w:rPr>
          <w:sz w:val="20"/>
          <w:szCs w:val="20"/>
          <w:lang w:val="fr-CA"/>
        </w:rPr>
        <w:t xml:space="preserve"> permettent de trancher la question soulevée en l’espèce :</w:t>
      </w:r>
    </w:p>
    <w:p w:rsidR="00C27416" w:rsidRPr="0083596C" w:rsidRDefault="00C27416" w:rsidP="00C27416">
      <w:pPr>
        <w:contextualSpacing/>
        <w:jc w:val="both"/>
        <w:rPr>
          <w:sz w:val="20"/>
          <w:szCs w:val="20"/>
          <w:lang w:val="fr-CA"/>
        </w:rPr>
      </w:pPr>
    </w:p>
    <w:p w:rsidR="00C27416" w:rsidRPr="0083596C" w:rsidRDefault="00C27416" w:rsidP="00C27416">
      <w:pPr>
        <w:ind w:left="720" w:right="720"/>
        <w:contextualSpacing/>
        <w:jc w:val="both"/>
        <w:rPr>
          <w:sz w:val="20"/>
          <w:szCs w:val="20"/>
          <w:lang w:val="fr-CA"/>
        </w:rPr>
      </w:pPr>
      <w:r w:rsidRPr="0083596C">
        <w:rPr>
          <w:sz w:val="20"/>
          <w:szCs w:val="20"/>
          <w:lang w:val="fr-CA"/>
        </w:rPr>
        <w:t>9</w:t>
      </w:r>
      <w:r w:rsidRPr="0083596C">
        <w:rPr>
          <w:sz w:val="20"/>
          <w:szCs w:val="20"/>
          <w:lang w:val="fr-CA"/>
        </w:rPr>
        <w:tab/>
        <w:t>Puisque les Règles ne comportent aucune disposition expresse qui habilite le registraire à accorder des dépens pour une preuve d’expert, il faut se reporter à la catégorie résiduelle [« [s]ommes raisonnables pour autres débours nécessairement engagés dans le cadre de l’instance devant la Cour » : art. 3, partie 2 —Débours, annexe B du tarif].  À mon avis, les mots «autres débours» doivent être interprétés dans leur contexte global.  Cette disposition des Règles prévoit qu’il doit s’agir de débours «nécessairement engagés» aux fins de l’instance.  La disposition précédente parle de débours relatifs à des frais de photocopie.  À mon avis, si on les interprète dans leur contexte, les mots «autres débours» ne laissent pas entendre qu’il est possible d’inclure des honoraires pour une preuve d’expert dans la partie II d’un mémoire de frais.  Les dépenses autorisées par cette disposition sont plutôt celles qui sont manifestement nécessaires à la présentation d’une argumentation écrite et orale à la Cour.</w:t>
      </w:r>
    </w:p>
    <w:p w:rsidR="00C27416" w:rsidRPr="0083596C" w:rsidRDefault="00C27416" w:rsidP="00C27416">
      <w:pPr>
        <w:ind w:left="720" w:right="720"/>
        <w:contextualSpacing/>
        <w:jc w:val="both"/>
        <w:rPr>
          <w:sz w:val="20"/>
          <w:szCs w:val="20"/>
          <w:lang w:val="fr-CA"/>
        </w:rPr>
      </w:pPr>
    </w:p>
    <w:p w:rsidR="00C27416" w:rsidRPr="0083596C" w:rsidRDefault="00C27416" w:rsidP="00C27416">
      <w:pPr>
        <w:ind w:left="720" w:right="720"/>
        <w:contextualSpacing/>
        <w:jc w:val="both"/>
        <w:rPr>
          <w:sz w:val="20"/>
          <w:szCs w:val="20"/>
          <w:lang w:val="fr-CA"/>
        </w:rPr>
      </w:pPr>
      <w:r w:rsidRPr="0083596C">
        <w:rPr>
          <w:sz w:val="20"/>
          <w:szCs w:val="20"/>
          <w:lang w:val="fr-CA"/>
        </w:rPr>
        <w:t>10</w:t>
      </w:r>
      <w:r w:rsidRPr="0083596C">
        <w:rPr>
          <w:sz w:val="20"/>
          <w:szCs w:val="20"/>
          <w:lang w:val="fr-CA"/>
        </w:rPr>
        <w:tab/>
        <w:t xml:space="preserve">Cette façon d’aborder les dépenses admissibles a été appliquée de façon uniforme.  Le registraire a, dans le passé, pris soin de n’admettre que les dépenses absolument nécessaires au déroulement de l’instance devant notre Cour.  Par exemple, lorsque des parties déposent trop de </w:t>
      </w:r>
      <w:r w:rsidRPr="0083596C">
        <w:rPr>
          <w:sz w:val="20"/>
          <w:szCs w:val="20"/>
          <w:lang w:val="fr-CA"/>
        </w:rPr>
        <w:lastRenderedPageBreak/>
        <w:t xml:space="preserve">documents dans un dossier relatif à une demande, sans s’y référer par la suite, elles ne peuvent pas réclamer ces frais de photocopie excédentaires:  </w:t>
      </w:r>
      <w:r w:rsidRPr="0083596C">
        <w:rPr>
          <w:i/>
          <w:sz w:val="20"/>
          <w:szCs w:val="20"/>
          <w:lang w:val="fr-CA"/>
        </w:rPr>
        <w:t>Coopérative de commerce «Des Mille</w:t>
      </w:r>
      <w:r w:rsidRPr="0083596C">
        <w:rPr>
          <w:rFonts w:ascii="MS Mincho" w:eastAsia="MS Mincho" w:hAnsi="MS Mincho" w:cs="MS Mincho"/>
          <w:i/>
          <w:sz w:val="20"/>
          <w:szCs w:val="20"/>
          <w:lang w:val="fr-CA"/>
        </w:rPr>
        <w:t>‑</w:t>
      </w:r>
      <w:r w:rsidRPr="0083596C">
        <w:rPr>
          <w:i/>
          <w:sz w:val="20"/>
          <w:szCs w:val="20"/>
          <w:lang w:val="fr-CA"/>
        </w:rPr>
        <w:t>Îles» c. Société des alcools du Québec</w:t>
      </w:r>
      <w:r w:rsidRPr="0083596C">
        <w:rPr>
          <w:sz w:val="20"/>
          <w:szCs w:val="20"/>
          <w:lang w:val="fr-CA"/>
        </w:rPr>
        <w:t>, C.S.C., n</w:t>
      </w:r>
      <w:r w:rsidRPr="0083596C">
        <w:rPr>
          <w:sz w:val="20"/>
          <w:szCs w:val="20"/>
          <w:vertAlign w:val="superscript"/>
          <w:lang w:val="fr-CA"/>
        </w:rPr>
        <w:t>o</w:t>
      </w:r>
      <w:r w:rsidRPr="0083596C">
        <w:rPr>
          <w:sz w:val="20"/>
          <w:szCs w:val="20"/>
          <w:lang w:val="fr-CA"/>
        </w:rPr>
        <w:t xml:space="preserve"> 25703, 27 octobre 1997.  Voir également </w:t>
      </w:r>
      <w:r w:rsidRPr="0083596C">
        <w:rPr>
          <w:i/>
          <w:sz w:val="20"/>
          <w:szCs w:val="20"/>
          <w:lang w:val="fr-CA"/>
        </w:rPr>
        <w:t>Jaremko c. Metropolitan Toronto Condominium Corp. No. 875</w:t>
      </w:r>
      <w:r w:rsidRPr="0083596C">
        <w:rPr>
          <w:sz w:val="20"/>
          <w:szCs w:val="20"/>
          <w:lang w:val="fr-CA"/>
        </w:rPr>
        <w:t>, C.S.C., n</w:t>
      </w:r>
      <w:r w:rsidRPr="0083596C">
        <w:rPr>
          <w:sz w:val="20"/>
          <w:szCs w:val="20"/>
          <w:vertAlign w:val="superscript"/>
          <w:lang w:val="fr-CA"/>
        </w:rPr>
        <w:t>o</w:t>
      </w:r>
      <w:r w:rsidRPr="0083596C">
        <w:rPr>
          <w:sz w:val="20"/>
          <w:szCs w:val="20"/>
          <w:lang w:val="fr-CA"/>
        </w:rPr>
        <w:t xml:space="preserve"> 26714, 8 juin 1999 (publié dans le </w:t>
      </w:r>
      <w:r w:rsidRPr="0083596C">
        <w:rPr>
          <w:i/>
          <w:sz w:val="20"/>
          <w:szCs w:val="20"/>
          <w:lang w:val="fr-CA"/>
        </w:rPr>
        <w:t>Bulletin des procédures</w:t>
      </w:r>
      <w:r w:rsidRPr="0083596C">
        <w:rPr>
          <w:sz w:val="20"/>
          <w:szCs w:val="20"/>
          <w:lang w:val="fr-CA"/>
        </w:rPr>
        <w:t xml:space="preserve"> de la Cour suprême du Canada, 1999, à la p. 995).  Lorsqu’on ne peut pas démontrer au registraire que la dépense engagée était nécessaire à la présentation de la cause, cette dépense ne peut pas être réclamée dans un mémoire de frais.</w:t>
      </w:r>
    </w:p>
    <w:p w:rsidR="00C27416" w:rsidRPr="0083596C" w:rsidRDefault="00C27416" w:rsidP="00C27416">
      <w:pPr>
        <w:ind w:left="720" w:right="720"/>
        <w:contextualSpacing/>
        <w:jc w:val="both"/>
        <w:rPr>
          <w:sz w:val="20"/>
          <w:szCs w:val="20"/>
          <w:lang w:val="fr-CA"/>
        </w:rPr>
      </w:pPr>
    </w:p>
    <w:p w:rsidR="00C27416" w:rsidRPr="0083596C" w:rsidRDefault="00C27416" w:rsidP="00C27416">
      <w:pPr>
        <w:ind w:left="720" w:right="720"/>
        <w:contextualSpacing/>
        <w:jc w:val="both"/>
        <w:rPr>
          <w:sz w:val="20"/>
          <w:szCs w:val="20"/>
          <w:u w:val="single"/>
          <w:lang w:val="fr-CA"/>
        </w:rPr>
      </w:pPr>
      <w:r w:rsidRPr="0083596C">
        <w:rPr>
          <w:sz w:val="20"/>
          <w:szCs w:val="20"/>
          <w:lang w:val="fr-CA"/>
        </w:rPr>
        <w:t>11</w:t>
      </w:r>
      <w:r w:rsidRPr="0083596C">
        <w:rPr>
          <w:sz w:val="20"/>
          <w:szCs w:val="20"/>
          <w:lang w:val="fr-CA"/>
        </w:rPr>
        <w:tab/>
        <w:t xml:space="preserve">À mon avis, en raison de la nature particulière de la nouvelle preuve dont est saisie notre Cour, les dépenses liées à ce genre de preuve ne sauraient être approuvées par le registraire que si elles ont été expressément autorisées.  </w:t>
      </w:r>
      <w:r w:rsidRPr="0083596C">
        <w:rPr>
          <w:sz w:val="20"/>
          <w:szCs w:val="20"/>
          <w:u w:val="single"/>
          <w:lang w:val="fr-CA"/>
        </w:rPr>
        <w:t>Pour que ce type de dépense puisse être approuvé à titre de débours dans un mémoire de frais, il doit être autorisé par la Cour conformément à l’art. 58 des Règles [maintenant le par. 83(1) des Règles] à la suite d’une demande en ce sens.  Ces dépenses peuvent être appropriées dans certains cas, comme celui où les questions en litige sont particulièrement complexes et où les renseignements fournis par les experts exigent des compétences et des connaissances particulières et sont importants aux fins de la décision de la Cour.</w:t>
      </w:r>
      <w:r w:rsidRPr="0083596C">
        <w:rPr>
          <w:sz w:val="20"/>
          <w:szCs w:val="20"/>
          <w:lang w:val="fr-CA"/>
        </w:rPr>
        <w:t xml:space="preserve"> [Je souligne.]</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 xml:space="preserve">En l’espèce, la Cour a accueilli le pourvoi « avec dépens devant toutes les cours ». Le jugement formel la Cour ne fait pas mention de l’octroi de frais d’expertise et, compte tenu des principes énoncés dans </w:t>
      </w:r>
      <w:r w:rsidRPr="0083596C">
        <w:rPr>
          <w:i/>
          <w:sz w:val="20"/>
          <w:szCs w:val="20"/>
          <w:lang w:val="fr-CA"/>
        </w:rPr>
        <w:t>Apotex</w:t>
      </w:r>
      <w:r w:rsidRPr="0083596C">
        <w:rPr>
          <w:sz w:val="20"/>
          <w:szCs w:val="20"/>
          <w:lang w:val="fr-CA"/>
        </w:rPr>
        <w:t xml:space="preserve">, je ne suis pas habilité à admettre ces frais au titre de la catégorie résiduelle du tarif. En outre, la Cour en l’espèce ne s’est pas fondée sur la preuve d’expert, ne se référant pas à cette preuve dans ses motifs de jugement. Il importe également de souligner que les parties adverses n’ont appris que l’appelante avait retenu les services d’un expert qu’au moment du dépôt du mémoire de frais. Vu ces circonstances, on ne peut pas dire que les frais d’expertise constituaient des débours « nécessairement engagés » pour aider la Cour ou les parties. Comme l’a souligné le juge Gonthier dans </w:t>
      </w:r>
      <w:r w:rsidRPr="0083596C">
        <w:rPr>
          <w:i/>
          <w:sz w:val="20"/>
          <w:szCs w:val="20"/>
          <w:lang w:val="fr-CA"/>
        </w:rPr>
        <w:t>Apotex</w:t>
      </w:r>
      <w:r w:rsidRPr="0083596C">
        <w:rPr>
          <w:sz w:val="20"/>
          <w:szCs w:val="20"/>
          <w:lang w:val="fr-CA"/>
        </w:rPr>
        <w:t>, ce n’est que dans de très rares circonstances qu’il est nécessaire pour la Cour suprême du Canada de recevoir de nouveaux éléments de preuve d’expert pour pouvoir statuer sur un appel ou sur une demande d’autorisation, et nous ne sommes pas en présence de telles circonstances en l’espèce :</w:t>
      </w:r>
    </w:p>
    <w:p w:rsidR="00C27416" w:rsidRPr="0083596C" w:rsidRDefault="00C27416" w:rsidP="00C27416">
      <w:pPr>
        <w:contextualSpacing/>
        <w:jc w:val="both"/>
        <w:rPr>
          <w:sz w:val="20"/>
          <w:szCs w:val="20"/>
          <w:lang w:val="fr-CA"/>
        </w:rPr>
      </w:pPr>
    </w:p>
    <w:p w:rsidR="00C27416" w:rsidRPr="0083596C" w:rsidRDefault="00C27416" w:rsidP="00C27416">
      <w:pPr>
        <w:ind w:left="720" w:right="720"/>
        <w:contextualSpacing/>
        <w:jc w:val="both"/>
        <w:rPr>
          <w:sz w:val="20"/>
          <w:szCs w:val="20"/>
          <w:lang w:val="fr-CA"/>
        </w:rPr>
      </w:pPr>
      <w:r w:rsidRPr="0083596C">
        <w:rPr>
          <w:sz w:val="20"/>
          <w:szCs w:val="20"/>
          <w:lang w:val="fr-CA"/>
        </w:rPr>
        <w:t>8</w:t>
      </w:r>
      <w:r w:rsidRPr="0083596C">
        <w:rPr>
          <w:sz w:val="20"/>
          <w:szCs w:val="20"/>
          <w:lang w:val="fr-CA"/>
        </w:rPr>
        <w:tab/>
        <w:t xml:space="preserve">Les règles de pratique d’autres tribunaux prévoient expressément que ces dépenses [pour retenir les services d’experts] peuvent faire partie d’un mémoire de frais, pourvu qu’elles soient raisonnables:  voir, par exemple, les </w:t>
      </w:r>
      <w:r w:rsidRPr="0083596C">
        <w:rPr>
          <w:i/>
          <w:sz w:val="20"/>
          <w:szCs w:val="20"/>
          <w:lang w:val="fr-CA"/>
        </w:rPr>
        <w:t>Règles de la Cour fédérale (1998)</w:t>
      </w:r>
      <w:r w:rsidRPr="0083596C">
        <w:rPr>
          <w:sz w:val="20"/>
          <w:szCs w:val="20"/>
          <w:lang w:val="fr-CA"/>
        </w:rPr>
        <w:t>, DORS/98</w:t>
      </w:r>
      <w:r w:rsidRPr="0083596C">
        <w:rPr>
          <w:rFonts w:ascii="MS Mincho" w:eastAsia="MS Mincho" w:hAnsi="MS Mincho" w:cs="MS Mincho"/>
          <w:sz w:val="20"/>
          <w:szCs w:val="20"/>
          <w:lang w:val="fr-CA"/>
        </w:rPr>
        <w:t>‑</w:t>
      </w:r>
      <w:r w:rsidRPr="0083596C">
        <w:rPr>
          <w:sz w:val="20"/>
          <w:szCs w:val="20"/>
          <w:lang w:val="fr-CA"/>
        </w:rPr>
        <w:t xml:space="preserve">106, tarif A, par. 3(2); tarif B, par. 1(3); les </w:t>
      </w:r>
      <w:r w:rsidRPr="0083596C">
        <w:rPr>
          <w:i/>
          <w:sz w:val="20"/>
          <w:szCs w:val="20"/>
          <w:lang w:val="fr-CA"/>
        </w:rPr>
        <w:t>Règles de procédure civile de l’Ontario</w:t>
      </w:r>
      <w:r w:rsidRPr="0083596C">
        <w:rPr>
          <w:sz w:val="20"/>
          <w:szCs w:val="20"/>
          <w:lang w:val="fr-CA"/>
        </w:rPr>
        <w:t xml:space="preserve">, R.R.O. 1990, règl. 194, tarif A, poste 28; le </w:t>
      </w:r>
      <w:r w:rsidRPr="0083596C">
        <w:rPr>
          <w:i/>
          <w:sz w:val="20"/>
          <w:szCs w:val="20"/>
          <w:lang w:val="fr-CA"/>
        </w:rPr>
        <w:t>Tarif des honoraires judiciaires des avocats</w:t>
      </w:r>
      <w:r w:rsidRPr="0083596C">
        <w:rPr>
          <w:sz w:val="20"/>
          <w:szCs w:val="20"/>
          <w:lang w:val="fr-CA"/>
        </w:rPr>
        <w:t>, R.R.Q. 1981, ch. B</w:t>
      </w:r>
      <w:r w:rsidRPr="0083596C">
        <w:rPr>
          <w:rFonts w:ascii="MS Mincho" w:eastAsia="MS Mincho" w:hAnsi="MS Mincho" w:cs="MS Mincho"/>
          <w:sz w:val="20"/>
          <w:szCs w:val="20"/>
          <w:lang w:val="fr-CA"/>
        </w:rPr>
        <w:t>‑</w:t>
      </w:r>
      <w:r w:rsidRPr="0083596C">
        <w:rPr>
          <w:sz w:val="20"/>
          <w:szCs w:val="20"/>
          <w:lang w:val="fr-CA"/>
        </w:rPr>
        <w:t xml:space="preserve">1, r. 13, art. 12.  </w:t>
      </w:r>
      <w:r w:rsidRPr="0083596C">
        <w:rPr>
          <w:sz w:val="20"/>
          <w:szCs w:val="20"/>
          <w:u w:val="single"/>
          <w:lang w:val="fr-CA"/>
        </w:rPr>
        <w:t>L’absence remarquable de dispositions semblables dans les Règles de notre Cour reflète simplement le fait que notre Cour reçoit rarement de nouveaux éléments de preuve de cette nature, que ce soit pendant l’audition d’un appel ou pendant celle d’une demande d’autorisation.</w:t>
      </w:r>
      <w:r w:rsidRPr="0083596C">
        <w:rPr>
          <w:sz w:val="20"/>
          <w:szCs w:val="20"/>
          <w:lang w:val="fr-CA"/>
        </w:rPr>
        <w:t xml:space="preserve"> [Je souligne.] </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 xml:space="preserve">Enfin, le fait que la taxation dans </w:t>
      </w:r>
      <w:r w:rsidRPr="0083596C">
        <w:rPr>
          <w:i/>
          <w:sz w:val="20"/>
          <w:szCs w:val="20"/>
          <w:lang w:val="fr-CA"/>
        </w:rPr>
        <w:t>Apotex</w:t>
      </w:r>
      <w:r w:rsidRPr="0083596C">
        <w:rPr>
          <w:sz w:val="20"/>
          <w:szCs w:val="20"/>
          <w:lang w:val="fr-CA"/>
        </w:rPr>
        <w:t xml:space="preserve"> se rapportait à une demande d’autorisation d’appel alors que celle en l’espèce porte sur un appel constitue une distinction sans importance. Les principes susmentionnés relativement aux frais d’expertise réclamés dans un mémoire de frais sont les mêmes qu’il s’agisse d’une demande d’autorisation d’appel ou d’un appel. Rien dans les </w:t>
      </w:r>
      <w:r w:rsidRPr="0083596C">
        <w:rPr>
          <w:i/>
          <w:sz w:val="20"/>
          <w:szCs w:val="20"/>
          <w:lang w:val="fr-CA"/>
        </w:rPr>
        <w:t>Règles de la Cour suprême du Canada</w:t>
      </w:r>
      <w:r w:rsidRPr="0083596C">
        <w:rPr>
          <w:sz w:val="20"/>
          <w:szCs w:val="20"/>
          <w:lang w:val="fr-CA"/>
        </w:rPr>
        <w:t>, DORS/2002-156, ni dans la jurisprudence n’indique le contraire.</w:t>
      </w:r>
    </w:p>
    <w:p w:rsidR="00C27416" w:rsidRPr="0083596C" w:rsidRDefault="00C27416" w:rsidP="00C27416">
      <w:pPr>
        <w:contextualSpacing/>
        <w:jc w:val="both"/>
        <w:rPr>
          <w:b/>
          <w:sz w:val="20"/>
          <w:szCs w:val="20"/>
          <w:lang w:val="fr-CA"/>
        </w:rPr>
      </w:pPr>
    </w:p>
    <w:p w:rsidR="00C27416" w:rsidRPr="0083596C" w:rsidRDefault="00C27416" w:rsidP="00C27416">
      <w:pPr>
        <w:contextualSpacing/>
        <w:jc w:val="both"/>
        <w:rPr>
          <w:b/>
          <w:sz w:val="20"/>
          <w:szCs w:val="20"/>
          <w:lang w:val="fr-CA"/>
        </w:rPr>
      </w:pPr>
      <w:r w:rsidRPr="0083596C">
        <w:rPr>
          <w:b/>
          <w:sz w:val="20"/>
          <w:szCs w:val="20"/>
          <w:lang w:val="fr-CA"/>
        </w:rPr>
        <w:t>2.</w:t>
      </w:r>
      <w:r w:rsidRPr="0083596C">
        <w:rPr>
          <w:b/>
          <w:sz w:val="20"/>
          <w:szCs w:val="20"/>
          <w:lang w:val="fr-CA"/>
        </w:rPr>
        <w:tab/>
      </w:r>
      <w:r w:rsidRPr="0083596C">
        <w:rPr>
          <w:b/>
          <w:i/>
          <w:sz w:val="20"/>
          <w:szCs w:val="20"/>
          <w:lang w:val="fr-CA"/>
        </w:rPr>
        <w:t>Le mémoire de frais devrait</w:t>
      </w:r>
      <w:r w:rsidRPr="0083596C">
        <w:rPr>
          <w:b/>
          <w:i/>
          <w:sz w:val="20"/>
          <w:szCs w:val="20"/>
          <w:lang w:val="fr-CA"/>
        </w:rPr>
        <w:noBreakHyphen/>
        <w:t>il être taxé contre le Syndicat?</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 xml:space="preserve">En accordant les « dépens devant toutes les cours », la Cour n’a établi aucune distinction quant à la responsabilité respective des intimés en ce qui a trait au paiement des dépens octroyés à l’appelante, et aucune demande en ce sens ne lui a été présentée par le Syndicat que ce soit avant ou après le prononcé du jugement. Se fondant sur la décision de la Cour dans </w:t>
      </w:r>
      <w:r w:rsidRPr="0083596C">
        <w:rPr>
          <w:i/>
          <w:sz w:val="20"/>
          <w:szCs w:val="20"/>
          <w:lang w:val="fr-CA"/>
        </w:rPr>
        <w:t>Kuwait Airways Corp. c. Iraq</w:t>
      </w:r>
      <w:r w:rsidRPr="0083596C">
        <w:rPr>
          <w:sz w:val="20"/>
          <w:szCs w:val="20"/>
          <w:lang w:val="fr-CA"/>
        </w:rPr>
        <w:t xml:space="preserve">, 2011 CSC 41, [2011] 3 R.C.S 42, le Syndicat soutient maintenant que, comme il a informé la Cour qu’il ne participerait pas à l’appel, le mémoire de frais ne devrait pas être taxé contre lui. Je ne suis pas d’accord. La décision en matière de taxation des dépens déposée le 22 juillet 2013 dans </w:t>
      </w:r>
      <w:r w:rsidRPr="0083596C">
        <w:rPr>
          <w:i/>
          <w:sz w:val="20"/>
          <w:szCs w:val="20"/>
          <w:lang w:val="fr-CA"/>
        </w:rPr>
        <w:t>Westmount (Ville) c. Rossy</w:t>
      </w:r>
      <w:r w:rsidRPr="0083596C">
        <w:rPr>
          <w:sz w:val="20"/>
          <w:szCs w:val="20"/>
          <w:lang w:val="fr-CA"/>
        </w:rPr>
        <w:t xml:space="preserve"> (n</w:t>
      </w:r>
      <w:r w:rsidRPr="0083596C">
        <w:rPr>
          <w:sz w:val="20"/>
          <w:szCs w:val="20"/>
          <w:vertAlign w:val="superscript"/>
          <w:lang w:val="fr-CA"/>
        </w:rPr>
        <w:t>o</w:t>
      </w:r>
      <w:r w:rsidRPr="0083596C">
        <w:rPr>
          <w:sz w:val="20"/>
          <w:szCs w:val="20"/>
          <w:lang w:val="fr-CA"/>
        </w:rPr>
        <w:t> du greffe 34060), où la même question était soulevée — une partie alléguait qu’elle n’était pas responsable des dépens au motif qu’elle n’avait pas pris part à l’appel —, s’applique directement en l’espèce. Dans cette affaire, j’ai écrit :</w:t>
      </w:r>
    </w:p>
    <w:p w:rsidR="00C27416" w:rsidRPr="0083596C" w:rsidRDefault="00C27416" w:rsidP="00C27416">
      <w:pPr>
        <w:ind w:left="720" w:right="720"/>
        <w:contextualSpacing/>
        <w:jc w:val="both"/>
        <w:rPr>
          <w:sz w:val="20"/>
          <w:szCs w:val="20"/>
          <w:lang w:val="fr-CA"/>
        </w:rPr>
      </w:pPr>
    </w:p>
    <w:p w:rsidR="00C27416" w:rsidRPr="0083596C" w:rsidRDefault="00C27416" w:rsidP="00C27416">
      <w:pPr>
        <w:ind w:left="720" w:right="720"/>
        <w:contextualSpacing/>
        <w:jc w:val="both"/>
        <w:rPr>
          <w:sz w:val="20"/>
          <w:szCs w:val="20"/>
          <w:lang w:val="fr-CA"/>
        </w:rPr>
      </w:pPr>
      <w:r w:rsidRPr="0083596C">
        <w:rPr>
          <w:sz w:val="20"/>
          <w:szCs w:val="20"/>
          <w:lang w:val="fr-CA"/>
        </w:rPr>
        <w:lastRenderedPageBreak/>
        <w:t xml:space="preserve">La SAAQ s’oppose en partie au mémoire de frais, au motif qu’elle n’était impliquée devant la Cour qu’à titre de « mise en cause » et qu’elle n’a pas pris part active à l’appel. Elle admet que les frais afférents à la demande d’autorisation d’appel peuvent lui être réclamés, mais elle soutient que cela n’est pas le cas pour les frais afférents à l’appel sur le fond, vu qu’elle n’y a pas participé. Elle invoque, à son profit, l’ordonnance rendue par le juge LeBel dans l’affaire </w:t>
      </w:r>
      <w:r w:rsidRPr="0083596C">
        <w:rPr>
          <w:i/>
          <w:sz w:val="20"/>
          <w:szCs w:val="20"/>
          <w:lang w:val="fr-CA"/>
        </w:rPr>
        <w:t>Kuwait Airways Corp. c. Irak</w:t>
      </w:r>
      <w:r w:rsidRPr="0083596C">
        <w:rPr>
          <w:sz w:val="20"/>
          <w:szCs w:val="20"/>
          <w:lang w:val="fr-CA"/>
        </w:rPr>
        <w:t>, 2011 CSC 41, [2011] 3 R.C.S. 42 (« </w:t>
      </w:r>
      <w:r w:rsidRPr="0083596C">
        <w:rPr>
          <w:i/>
          <w:sz w:val="20"/>
          <w:szCs w:val="20"/>
          <w:lang w:val="fr-CA"/>
        </w:rPr>
        <w:t>Kuwait Airways</w:t>
      </w:r>
      <w:r w:rsidRPr="0083596C">
        <w:rPr>
          <w:sz w:val="20"/>
          <w:szCs w:val="20"/>
          <w:lang w:val="fr-CA"/>
        </w:rPr>
        <w:t xml:space="preserve"> »).</w:t>
      </w:r>
    </w:p>
    <w:p w:rsidR="00C27416" w:rsidRPr="0083596C" w:rsidRDefault="00C27416" w:rsidP="00C27416">
      <w:pPr>
        <w:ind w:left="720" w:right="720"/>
        <w:contextualSpacing/>
        <w:jc w:val="both"/>
        <w:rPr>
          <w:sz w:val="20"/>
          <w:szCs w:val="20"/>
          <w:lang w:val="fr-CA"/>
        </w:rPr>
      </w:pPr>
    </w:p>
    <w:p w:rsidR="00C27416" w:rsidRPr="0083596C" w:rsidRDefault="00C27416" w:rsidP="00C27416">
      <w:pPr>
        <w:ind w:left="720" w:right="720"/>
        <w:contextualSpacing/>
        <w:jc w:val="both"/>
        <w:rPr>
          <w:sz w:val="20"/>
          <w:szCs w:val="20"/>
          <w:lang w:val="fr-CA"/>
        </w:rPr>
      </w:pPr>
      <w:r w:rsidRPr="0083596C">
        <w:rPr>
          <w:sz w:val="20"/>
          <w:szCs w:val="20"/>
          <w:lang w:val="fr-CA"/>
        </w:rPr>
        <w:t xml:space="preserve">Dans cette affaire, la Cour avait accueilli l’appel de la compagnie Kuwait Airways « avec dépens devant toutes les cours », sans faire de distinctions entre les deux parties qualifiées d’intimées : la République d’Irak et la compagnie Bombardier Aéronautique (« Bombardier »). Bombardier s’est opposée à ce que des frais lui soient réclamés, au moyen d’une requête en révision de l’ordonnance relative aux dépens et en prorogation de délai pour signification et dépôt (art. 47 des </w:t>
      </w:r>
      <w:r w:rsidRPr="0083596C">
        <w:rPr>
          <w:i/>
          <w:sz w:val="20"/>
          <w:szCs w:val="20"/>
          <w:lang w:val="fr-CA"/>
        </w:rPr>
        <w:t>Règles de la Cour suprême du Canada</w:t>
      </w:r>
      <w:r w:rsidRPr="0083596C">
        <w:rPr>
          <w:sz w:val="20"/>
          <w:szCs w:val="20"/>
          <w:lang w:val="fr-CA"/>
        </w:rPr>
        <w:t xml:space="preserve">, DORS/2002-156). Le juge LeBel a fait droit à la demande de Bombardier, au motif que même si elle avait été qualifiée d’intimée en application des </w:t>
      </w:r>
      <w:r w:rsidRPr="0083596C">
        <w:rPr>
          <w:i/>
          <w:sz w:val="20"/>
          <w:szCs w:val="20"/>
          <w:lang w:val="fr-CA"/>
        </w:rPr>
        <w:t>Règles</w:t>
      </w:r>
      <w:r w:rsidRPr="0083596C">
        <w:rPr>
          <w:sz w:val="20"/>
          <w:szCs w:val="20"/>
          <w:lang w:val="fr-CA"/>
        </w:rPr>
        <w:t>, elle n’avait aucunement participé au débat devant la Cour et qu’il ne fallait pas interpréter la condamnation aux dépens comme s’appliquant à elle, dans les circonstances de cette affaire. En effet, Bombardier avait été jointe aux procédures parce que des avions qu’elle avait vendus à la République d’Irak, mais qui étaient toujours en sa possession au Canada, avaient été saisis par Kuwait Airways par mesure de prudence pour garantir l’exécution d’un jugement étranger, le cas échéant (</w:t>
      </w:r>
      <w:r w:rsidRPr="0083596C">
        <w:rPr>
          <w:i/>
          <w:sz w:val="20"/>
          <w:szCs w:val="20"/>
          <w:lang w:val="fr-CA"/>
        </w:rPr>
        <w:t>Kuwait Airways Corp. c. Irak</w:t>
      </w:r>
      <w:r w:rsidRPr="0083596C">
        <w:rPr>
          <w:sz w:val="20"/>
          <w:szCs w:val="20"/>
          <w:lang w:val="fr-CA"/>
        </w:rPr>
        <w:t>, 2010 CSC 40, [2010] 2 R.C.S. 571, par. 3). Le juge LeBel a donc déclaré que la condamnation aux dépens ne visait pas Bombardier et que le mémoire de frais ne pouvait être taxé contre elle.</w:t>
      </w:r>
    </w:p>
    <w:p w:rsidR="00C27416" w:rsidRPr="0083596C" w:rsidRDefault="00C27416" w:rsidP="00C27416">
      <w:pPr>
        <w:ind w:left="720" w:right="720"/>
        <w:contextualSpacing/>
        <w:jc w:val="both"/>
        <w:rPr>
          <w:sz w:val="20"/>
          <w:szCs w:val="20"/>
          <w:lang w:val="fr-CA"/>
        </w:rPr>
      </w:pPr>
    </w:p>
    <w:p w:rsidR="00C27416" w:rsidRPr="0083596C" w:rsidRDefault="00C27416" w:rsidP="00C27416">
      <w:pPr>
        <w:ind w:left="720" w:right="720"/>
        <w:contextualSpacing/>
        <w:jc w:val="both"/>
        <w:rPr>
          <w:sz w:val="20"/>
          <w:szCs w:val="20"/>
          <w:lang w:val="fr-CA"/>
        </w:rPr>
      </w:pPr>
      <w:r w:rsidRPr="0083596C">
        <w:rPr>
          <w:sz w:val="20"/>
          <w:szCs w:val="20"/>
          <w:lang w:val="fr-CA"/>
        </w:rPr>
        <w:t xml:space="preserve">À mon avis, lorsque les dépens sont adjugés par la Cour, la compétence du Registraire se limite à les taxer en application des </w:t>
      </w:r>
      <w:r w:rsidRPr="0083596C">
        <w:rPr>
          <w:i/>
          <w:sz w:val="20"/>
          <w:szCs w:val="20"/>
          <w:lang w:val="fr-CA"/>
        </w:rPr>
        <w:t>Règles</w:t>
      </w:r>
      <w:r w:rsidRPr="0083596C">
        <w:rPr>
          <w:sz w:val="20"/>
          <w:szCs w:val="20"/>
          <w:lang w:val="fr-CA"/>
        </w:rPr>
        <w:t xml:space="preserve"> et du tarif en vigueur (</w:t>
      </w:r>
      <w:r w:rsidRPr="0083596C">
        <w:rPr>
          <w:i/>
          <w:sz w:val="20"/>
          <w:szCs w:val="20"/>
          <w:lang w:val="fr-CA"/>
        </w:rPr>
        <w:t>Richman c. Wheaton</w:t>
      </w:r>
      <w:r w:rsidRPr="0083596C">
        <w:rPr>
          <w:sz w:val="20"/>
          <w:szCs w:val="20"/>
          <w:lang w:val="fr-CA"/>
        </w:rPr>
        <w:t xml:space="preserve"> (19 octobre 1990)). En l’espèce, la condamnation aux dépens vise toutes les parties intimées, y compris la SAAQ. Ici, contrairement à dans l’affaire </w:t>
      </w:r>
      <w:r w:rsidRPr="0083596C">
        <w:rPr>
          <w:i/>
          <w:sz w:val="20"/>
          <w:szCs w:val="20"/>
          <w:lang w:val="fr-CA"/>
        </w:rPr>
        <w:t>Kuwait Airways</w:t>
      </w:r>
      <w:r w:rsidRPr="0083596C">
        <w:rPr>
          <w:sz w:val="20"/>
          <w:szCs w:val="20"/>
          <w:lang w:val="fr-CA"/>
        </w:rPr>
        <w:t>, la SAAQ n’a pas demandé la révision de l’ordonnance relative aux dépens ou, avant le prononcé du jugement, cherché à faire clarifier son statut de partie au dossier ou l’étendue de son obligation éventuelle vis-à-vis des dépens. À mon avis, sa demande que le mémoire de frais ne soit pas taxé contre elle dépasse le cadre de la procédure de taxation des dépens, et y faire droit équivaudrait à modifier le dispositif de l’arrêt de la Cour, ce qui ne relève pas de ma compétence.</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Il en va de même en l’espèce.  Bien qu’il ait informé la Cour qu’il ne prendrait pas part à l’appel, le Syndicat « n’a pas demandé la révision de l’ordonnance relative aux dépens ou, avant le prononcé du jugement, cherché à faire clarifier son statut de partie au dossier ou l’étendue de son obligation éventuelle vis-à-vis des dépens ». En conséquence, si j’accueillais la demande du Syndicat et ne taxais pas le mémoire de frais contre lui, comme pour les autres intimés, je modifierais l’arrêt de la Cour et j’outrepasserais par le fait même ma compétence.</w:t>
      </w:r>
    </w:p>
    <w:p w:rsidR="00C27416" w:rsidRPr="0083596C" w:rsidRDefault="00C27416" w:rsidP="00C27416">
      <w:pPr>
        <w:contextualSpacing/>
        <w:jc w:val="both"/>
        <w:rPr>
          <w:b/>
          <w:sz w:val="20"/>
          <w:szCs w:val="20"/>
          <w:lang w:val="fr-CA"/>
        </w:rPr>
      </w:pPr>
    </w:p>
    <w:p w:rsidR="00C27416" w:rsidRPr="0083596C" w:rsidRDefault="00C27416" w:rsidP="00C27416">
      <w:pPr>
        <w:contextualSpacing/>
        <w:jc w:val="both"/>
        <w:rPr>
          <w:b/>
          <w:sz w:val="20"/>
          <w:szCs w:val="20"/>
          <w:lang w:val="fr-CA"/>
        </w:rPr>
      </w:pPr>
      <w:r w:rsidRPr="0083596C">
        <w:rPr>
          <w:b/>
          <w:sz w:val="20"/>
          <w:szCs w:val="20"/>
          <w:lang w:val="fr-CA"/>
        </w:rPr>
        <w:t xml:space="preserve">Conclusion </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Pour les motifs qui précèdent, le mémoire de frais de la Régie sera taxé tel que soumis contre tous les intimés, sauf en ce qui concerne les frais d’expertise, qui sont refusés et seront donc déduits.</w:t>
      </w:r>
    </w:p>
    <w:p w:rsidR="00C27416" w:rsidRPr="0083596C" w:rsidRDefault="00C27416" w:rsidP="00C27416">
      <w:pPr>
        <w:contextualSpacing/>
        <w:jc w:val="both"/>
        <w:rPr>
          <w:sz w:val="20"/>
          <w:szCs w:val="20"/>
          <w:lang w:val="fr-CA"/>
        </w:rPr>
      </w:pPr>
    </w:p>
    <w:p w:rsidR="00C27416" w:rsidRPr="0083596C" w:rsidRDefault="00C27416" w:rsidP="00C27416">
      <w:pPr>
        <w:contextualSpacing/>
        <w:jc w:val="both"/>
        <w:rPr>
          <w:sz w:val="20"/>
          <w:szCs w:val="20"/>
          <w:lang w:val="fr-CA"/>
        </w:rPr>
      </w:pPr>
      <w:r w:rsidRPr="0083596C">
        <w:rPr>
          <w:sz w:val="20"/>
          <w:szCs w:val="20"/>
          <w:lang w:val="fr-CA"/>
        </w:rPr>
        <w:t>Pour conclure, je remercie tous les avocats de leurs observations utiles.</w:t>
      </w:r>
    </w:p>
    <w:p w:rsidR="00C27416" w:rsidRDefault="00C27416" w:rsidP="00831CA9">
      <w:pPr>
        <w:tabs>
          <w:tab w:val="left" w:pos="-1440"/>
          <w:tab w:val="left" w:pos="-720"/>
        </w:tabs>
        <w:jc w:val="both"/>
        <w:rPr>
          <w:sz w:val="20"/>
          <w:szCs w:val="20"/>
          <w:lang w:val="fr-CA"/>
        </w:rPr>
      </w:pPr>
    </w:p>
    <w:p w:rsidR="00C27416" w:rsidRDefault="00C27416" w:rsidP="00831CA9">
      <w:pPr>
        <w:tabs>
          <w:tab w:val="left" w:pos="-1440"/>
          <w:tab w:val="left" w:pos="-720"/>
        </w:tabs>
        <w:jc w:val="both"/>
        <w:rPr>
          <w:sz w:val="20"/>
          <w:szCs w:val="20"/>
          <w:lang w:val="fr-CA"/>
        </w:rPr>
      </w:pPr>
    </w:p>
    <w:p w:rsidR="00C27416" w:rsidRPr="00C50A5C" w:rsidRDefault="00C27416" w:rsidP="00831CA9">
      <w:pPr>
        <w:tabs>
          <w:tab w:val="left" w:pos="-1440"/>
          <w:tab w:val="left" w:pos="-720"/>
        </w:tabs>
        <w:jc w:val="both"/>
        <w:rPr>
          <w:sz w:val="20"/>
          <w:szCs w:val="20"/>
          <w:lang w:val="fr-CA"/>
        </w:rPr>
      </w:pPr>
    </w:p>
    <w:p w:rsidR="00831CA9" w:rsidRPr="00C27416" w:rsidRDefault="00831CA9" w:rsidP="00831CA9">
      <w:pPr>
        <w:tabs>
          <w:tab w:val="left" w:pos="-1440"/>
          <w:tab w:val="left" w:pos="-720"/>
        </w:tabs>
        <w:jc w:val="both"/>
        <w:rPr>
          <w:b/>
          <w:sz w:val="20"/>
          <w:szCs w:val="20"/>
        </w:rPr>
      </w:pPr>
      <w:r w:rsidRPr="00C27416">
        <w:rPr>
          <w:b/>
          <w:sz w:val="20"/>
          <w:szCs w:val="20"/>
          <w:u w:val="single"/>
        </w:rPr>
        <w:t>Background</w:t>
      </w:r>
    </w:p>
    <w:p w:rsidR="00831CA9" w:rsidRDefault="00831CA9" w:rsidP="00831CA9">
      <w:pPr>
        <w:tabs>
          <w:tab w:val="left" w:pos="-1440"/>
          <w:tab w:val="left" w:pos="-720"/>
        </w:tabs>
        <w:jc w:val="both"/>
        <w:rPr>
          <w:sz w:val="20"/>
          <w:szCs w:val="20"/>
        </w:rPr>
      </w:pPr>
    </w:p>
    <w:p w:rsidR="00C27416" w:rsidRPr="00C260C5" w:rsidRDefault="00C27416" w:rsidP="00C27416">
      <w:pPr>
        <w:contextualSpacing/>
        <w:jc w:val="both"/>
        <w:rPr>
          <w:sz w:val="20"/>
          <w:szCs w:val="20"/>
        </w:rPr>
      </w:pPr>
      <w:r w:rsidRPr="00C260C5">
        <w:rPr>
          <w:sz w:val="20"/>
          <w:szCs w:val="20"/>
        </w:rPr>
        <w:t xml:space="preserve">In this case, the Court allowed the appeal “with costs throughout”.   Régie des rentes du Québec was the sole appellant and the four respondents were as follows: Canada Bread Company Ltd., Sean Kelly, in his capacity as trustee of the Bakery and Confectionery Union and Industry Canadian Pension Fund, Multi-Marques Inc. and Multi-Marques Distribution Inc., and the Bakery, Confectionery, Tobacco Workers and Grain Millers International Union, Local 468 (“the Union”).  After leave to appeal was granted by the Court on March 29, 2012, the Union advised the Court by </w:t>
      </w:r>
      <w:r w:rsidRPr="00C260C5">
        <w:rPr>
          <w:sz w:val="20"/>
          <w:szCs w:val="20"/>
        </w:rPr>
        <w:lastRenderedPageBreak/>
        <w:t xml:space="preserve">correspondence from counsel dated July 16, 2012, that it would not participate in the appeal.  All other parties participated fully.  </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 xml:space="preserve">Two issues are raised on this taxation:  (i) whether the fees for an expert as claimed by the appellant can be allowed under Part 2 of the Schedule B </w:t>
      </w:r>
      <w:r w:rsidRPr="00C260C5">
        <w:rPr>
          <w:i/>
          <w:sz w:val="20"/>
          <w:szCs w:val="20"/>
        </w:rPr>
        <w:t>Tariff of Fees and Disbursements to be Taxed Between Parties in the Supreme Court of Canada</w:t>
      </w:r>
      <w:r w:rsidRPr="00C260C5">
        <w:rPr>
          <w:sz w:val="20"/>
          <w:szCs w:val="20"/>
        </w:rPr>
        <w:t>, and; (ii) whether the bill of costs should be taxed against the Union.</w:t>
      </w:r>
    </w:p>
    <w:p w:rsidR="00C27416" w:rsidRPr="00C260C5" w:rsidRDefault="00C27416" w:rsidP="00C27416">
      <w:pPr>
        <w:contextualSpacing/>
        <w:jc w:val="both"/>
        <w:rPr>
          <w:sz w:val="20"/>
          <w:szCs w:val="20"/>
        </w:rPr>
      </w:pPr>
    </w:p>
    <w:p w:rsidR="00C27416" w:rsidRPr="00C260C5" w:rsidRDefault="00C27416" w:rsidP="00C27416">
      <w:pPr>
        <w:contextualSpacing/>
        <w:jc w:val="both"/>
        <w:rPr>
          <w:b/>
          <w:sz w:val="20"/>
          <w:szCs w:val="20"/>
        </w:rPr>
      </w:pPr>
      <w:r w:rsidRPr="00C260C5">
        <w:rPr>
          <w:b/>
          <w:sz w:val="20"/>
          <w:szCs w:val="20"/>
        </w:rPr>
        <w:t>1.</w:t>
      </w:r>
      <w:r w:rsidRPr="00C260C5">
        <w:rPr>
          <w:b/>
          <w:sz w:val="20"/>
          <w:szCs w:val="20"/>
        </w:rPr>
        <w:tab/>
      </w:r>
      <w:r w:rsidRPr="00C260C5">
        <w:rPr>
          <w:b/>
          <w:i/>
          <w:sz w:val="20"/>
          <w:szCs w:val="20"/>
        </w:rPr>
        <w:t>The claim for expert’s fees</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 xml:space="preserve">Included in its bill of costs, the appellant Régie claims $20,450 for expert’s fees as a disbursement under Part 2 of the Schedule B Tariff.  The appellant submits it was necessary to retain an expert due to the complex issues related to the interpretation of laws that were raised in the appeal.  Those expert’s fees are contested by the respondent Sean Kelly as unnecessary and unreasonable.  </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 xml:space="preserve">In my view, the costs for an expert cannot be allowed as a disbursement on a taxation in circumstances such as this without an express order by the Court: see </w:t>
      </w:r>
      <w:r w:rsidRPr="00C260C5">
        <w:rPr>
          <w:i/>
          <w:sz w:val="20"/>
          <w:szCs w:val="20"/>
        </w:rPr>
        <w:t>Apotex Inc. v. Bayer Aktiengesellschaft</w:t>
      </w:r>
      <w:r w:rsidRPr="00C260C5">
        <w:rPr>
          <w:sz w:val="20"/>
          <w:szCs w:val="20"/>
        </w:rPr>
        <w:t xml:space="preserve">, [1999] 3 S.C.R. 857, [1999] S.C.J. No. 77 (QL).  In </w:t>
      </w:r>
      <w:r w:rsidRPr="00C260C5">
        <w:rPr>
          <w:i/>
          <w:sz w:val="20"/>
          <w:szCs w:val="20"/>
        </w:rPr>
        <w:t>Apotex</w:t>
      </w:r>
      <w:r w:rsidRPr="00C260C5">
        <w:rPr>
          <w:sz w:val="20"/>
          <w:szCs w:val="20"/>
        </w:rPr>
        <w:t xml:space="preserve">, the Court was asked to review a taxation decision of the Registrar, who refused to allow expert expenses claimed as a disbursement in respect of an application for leave to appeal which had been dismissed by a panel of the Court “with costs”.  The following excerpts of the reasons for judgment by Gonthier J. in </w:t>
      </w:r>
      <w:r w:rsidRPr="00C260C5">
        <w:rPr>
          <w:i/>
          <w:sz w:val="20"/>
          <w:szCs w:val="20"/>
        </w:rPr>
        <w:t>Apotex</w:t>
      </w:r>
      <w:r w:rsidRPr="00C260C5">
        <w:rPr>
          <w:sz w:val="20"/>
          <w:szCs w:val="20"/>
        </w:rPr>
        <w:t xml:space="preserve"> are dispositive of the issue in the instant taxation:</w:t>
      </w:r>
    </w:p>
    <w:p w:rsidR="00C27416" w:rsidRPr="00C260C5" w:rsidRDefault="00C27416" w:rsidP="00C27416">
      <w:pPr>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[9]   As there is no specific provision contained in the Rules granting jurisdiction to the Registrar to award costs for expert evidence, it is necessary to look to the residual category [“Reasonable amounts for other disbursements necessarily incurred in proceedings before the Court”: Section 3, Part 2 Disbursements, Schedule B Tariff]. In my view, the words "other disbursements" must be read in their entire context. This provision in the Rules dictates that the disbursements be "necessarily incurred" in the proceeding. The preceding section refers to disbursements relating to photocopying charges. In my view, read in its context, the words "other disbursements" do not suggest that fees for expert evidence can be included in Part II of a bill of costs. Rather, the types of expenses permitted by this section are those expenses which are demonstrably necessary in order to present written and oral submissions to the Court.</w:t>
      </w:r>
    </w:p>
    <w:p w:rsidR="00C27416" w:rsidRPr="00C260C5" w:rsidRDefault="00C27416" w:rsidP="00C27416">
      <w:pPr>
        <w:ind w:left="720" w:right="720"/>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[10]    This approach to allowable expenses has been consistently applied. The Registrar has, in the past, been vigilant to allow only those expenses absolutely necessary to conduct the proceeding in this Court. For example, when parties file excessive material in an application record which are not subsequently referred to, they cannot claim those excess photocopying costs: Coopérative de commerce "Des Mille-Îles" v. Société des alcools du Québec, S.C.C., No. 25703, October 27, 1997. See also Jaremko v. Metropolitan Toronto Condominium Corp. No. 875, S.C.C., No. 26714, June 8, 1999 (published in the Bulletin of Proceedings of the Supreme Court of Canada, 1999, at p. 995). Where the actual expenditure cannot be demonstrated to the Registrar that it is necessary for the presentation of the case, it cannot be claimed in a bill of costs.</w:t>
      </w:r>
    </w:p>
    <w:p w:rsidR="00C27416" w:rsidRPr="00C260C5" w:rsidRDefault="00C27416" w:rsidP="00C27416">
      <w:pPr>
        <w:ind w:left="720" w:right="720"/>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 xml:space="preserve">[11]     In my view, because of the special nature of new evidence before this Court, expenses relating to this type of evidence cannot be approved by the Registrar unless expressly authorized. </w:t>
      </w:r>
      <w:r w:rsidRPr="00C260C5">
        <w:rPr>
          <w:sz w:val="20"/>
          <w:szCs w:val="20"/>
          <w:u w:val="single"/>
        </w:rPr>
        <w:t>For this type of expenditure to be approved as a disbursement in a bill of costs, they must be authorized by the Court under Rule 58 [now Rule 83(1)] pursuant to a request for costs. Such expenditures may be appropriate in certain circumstances, such as where the issues are particularly complex and the information provided by the experts requires particularized skill and knowledge and is important for the Court's decision.</w:t>
      </w:r>
      <w:r w:rsidRPr="00C260C5">
        <w:rPr>
          <w:sz w:val="20"/>
          <w:szCs w:val="20"/>
        </w:rPr>
        <w:t xml:space="preserve"> [Emphasis added.]</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 xml:space="preserve">In this case, the Court allowed the appeal “with costs throughout”.  There was no mention of granting experts’ fees in the formal judgment of the Court and based on the principles found in </w:t>
      </w:r>
      <w:r w:rsidRPr="00C260C5">
        <w:rPr>
          <w:i/>
          <w:sz w:val="20"/>
          <w:szCs w:val="20"/>
        </w:rPr>
        <w:t>Apotex</w:t>
      </w:r>
      <w:r w:rsidRPr="00C260C5">
        <w:rPr>
          <w:sz w:val="20"/>
          <w:szCs w:val="20"/>
        </w:rPr>
        <w:t xml:space="preserve">, I have no jurisdiction to allow them under the residual category in the Tariff.  In addition, the Court in this case did not rely on the expert’s evidence, making no mention of that evidence in its reasons for judgment.  It should also be noted that the opposing parties were not aware that the appellant had retained the services of an expert until the bill of costs was submitted.  In such </w:t>
      </w:r>
      <w:r w:rsidRPr="00C260C5">
        <w:rPr>
          <w:sz w:val="20"/>
          <w:szCs w:val="20"/>
        </w:rPr>
        <w:lastRenderedPageBreak/>
        <w:t xml:space="preserve">circumstances, it cannot be said that the expert’s services were “necessarily incurred” to assist the Court or the parties.  As Gonthier J. noted in </w:t>
      </w:r>
      <w:r w:rsidRPr="00C260C5">
        <w:rPr>
          <w:i/>
          <w:sz w:val="20"/>
          <w:szCs w:val="20"/>
        </w:rPr>
        <w:t>Apotex</w:t>
      </w:r>
      <w:r w:rsidRPr="00C260C5">
        <w:rPr>
          <w:sz w:val="20"/>
          <w:szCs w:val="20"/>
        </w:rPr>
        <w:t>, it is only in very rare circumstances where it may be necessary for the Supreme Court of Canada to receive new evidence from an expert to determine an appeal or an application for leave, circumstances which are not present in this case:</w:t>
      </w:r>
    </w:p>
    <w:p w:rsidR="00C27416" w:rsidRPr="00C260C5" w:rsidRDefault="00C27416" w:rsidP="00C27416">
      <w:pPr>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 xml:space="preserve">[8]  In other courts, rules of court expressly provide that such expenditures [for experts] may form part of a bill of costs, so long as they were reasonable: see, e.g., </w:t>
      </w:r>
      <w:r w:rsidRPr="00C260C5">
        <w:rPr>
          <w:i/>
          <w:sz w:val="20"/>
          <w:szCs w:val="20"/>
        </w:rPr>
        <w:t>Federal Court Rules</w:t>
      </w:r>
      <w:r w:rsidRPr="00C260C5">
        <w:rPr>
          <w:sz w:val="20"/>
          <w:szCs w:val="20"/>
        </w:rPr>
        <w:t xml:space="preserve">, 1998, SOR/98-106, Tariff A, s. 3(2); Tariff B, s. 1(3); </w:t>
      </w:r>
      <w:r w:rsidRPr="00C260C5">
        <w:rPr>
          <w:i/>
          <w:sz w:val="20"/>
          <w:szCs w:val="20"/>
        </w:rPr>
        <w:t>Ontario Rules of Civil Procedure</w:t>
      </w:r>
      <w:r w:rsidRPr="00C260C5">
        <w:rPr>
          <w:sz w:val="20"/>
          <w:szCs w:val="20"/>
        </w:rPr>
        <w:t xml:space="preserve">, R.R.O. 1990, Reg. 194, Tariff A, item 28; </w:t>
      </w:r>
      <w:r w:rsidRPr="00C260C5">
        <w:rPr>
          <w:i/>
          <w:sz w:val="20"/>
          <w:szCs w:val="20"/>
        </w:rPr>
        <w:t>Tariff of judicial fees of advocates</w:t>
      </w:r>
      <w:r w:rsidRPr="00C260C5">
        <w:rPr>
          <w:sz w:val="20"/>
          <w:szCs w:val="20"/>
        </w:rPr>
        <w:t xml:space="preserve">, R.R.Q. 1981, c. B-1, r. 13, s. 12. </w:t>
      </w:r>
      <w:r w:rsidRPr="00C260C5">
        <w:rPr>
          <w:sz w:val="20"/>
          <w:szCs w:val="20"/>
          <w:u w:val="single"/>
        </w:rPr>
        <w:t>The notable absence from the Rules of this Court simply reflects the fact that this Court infrequently receives new evidence of this kind, either in the conduct of appeals or on applications for leave.</w:t>
      </w:r>
      <w:r w:rsidRPr="00C260C5">
        <w:rPr>
          <w:sz w:val="20"/>
          <w:szCs w:val="20"/>
        </w:rPr>
        <w:t xml:space="preserve"> [Emphasis added.]</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 xml:space="preserve">Finally, that </w:t>
      </w:r>
      <w:r w:rsidRPr="00C260C5">
        <w:rPr>
          <w:i/>
          <w:sz w:val="20"/>
          <w:szCs w:val="20"/>
        </w:rPr>
        <w:t>Apotex</w:t>
      </w:r>
      <w:r w:rsidRPr="00C260C5">
        <w:rPr>
          <w:sz w:val="20"/>
          <w:szCs w:val="20"/>
        </w:rPr>
        <w:t xml:space="preserve"> involved a taxation on an application for leave to appeal and the taxation at issue in this case involves an appeal is a distinction without a difference.  The principles as cited above in regard to claims for expert’s fees on a bill of costs are the same for both applications for leave to appeal and for appeals.  Neither the </w:t>
      </w:r>
      <w:r w:rsidRPr="00C260C5">
        <w:rPr>
          <w:i/>
          <w:sz w:val="20"/>
          <w:szCs w:val="20"/>
        </w:rPr>
        <w:t>Rules of the Supreme Court of Canada</w:t>
      </w:r>
      <w:r w:rsidRPr="00C260C5">
        <w:rPr>
          <w:sz w:val="20"/>
          <w:szCs w:val="20"/>
        </w:rPr>
        <w:t xml:space="preserve">, SOR/2002-156, nor the case law suggest otherwise.  </w:t>
      </w:r>
    </w:p>
    <w:p w:rsidR="00C27416" w:rsidRPr="00C260C5" w:rsidRDefault="00C27416" w:rsidP="00C27416">
      <w:pPr>
        <w:contextualSpacing/>
        <w:jc w:val="both"/>
        <w:rPr>
          <w:b/>
          <w:sz w:val="20"/>
          <w:szCs w:val="20"/>
        </w:rPr>
      </w:pPr>
    </w:p>
    <w:p w:rsidR="00C27416" w:rsidRPr="00C260C5" w:rsidRDefault="00C27416" w:rsidP="00C27416">
      <w:pPr>
        <w:contextualSpacing/>
        <w:jc w:val="both"/>
        <w:rPr>
          <w:b/>
          <w:sz w:val="20"/>
          <w:szCs w:val="20"/>
        </w:rPr>
      </w:pPr>
      <w:r w:rsidRPr="00C260C5">
        <w:rPr>
          <w:b/>
          <w:sz w:val="20"/>
          <w:szCs w:val="20"/>
        </w:rPr>
        <w:t>2.</w:t>
      </w:r>
      <w:r w:rsidRPr="00C260C5">
        <w:rPr>
          <w:b/>
          <w:sz w:val="20"/>
          <w:szCs w:val="20"/>
        </w:rPr>
        <w:tab/>
      </w:r>
      <w:r w:rsidRPr="00C260C5">
        <w:rPr>
          <w:b/>
          <w:i/>
          <w:sz w:val="20"/>
          <w:szCs w:val="20"/>
        </w:rPr>
        <w:t>Whether the bill of costs should be taxed against the Union:</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 xml:space="preserve">No distinction was made by the Court as to any disproportionate liability of the respective respondents to pay the appellant’s costs when it awarded “costs throughout”, and none was requested by the Union before or after judgment was rendered.  Relying on this Court’s decision in </w:t>
      </w:r>
      <w:r w:rsidRPr="00C260C5">
        <w:rPr>
          <w:i/>
          <w:sz w:val="20"/>
          <w:szCs w:val="20"/>
        </w:rPr>
        <w:t>Kuwait Airways Corp. v. Iraq</w:t>
      </w:r>
      <w:r w:rsidRPr="00C260C5">
        <w:rPr>
          <w:sz w:val="20"/>
          <w:szCs w:val="20"/>
        </w:rPr>
        <w:t xml:space="preserve">, 2011 SCC 41, [2011] 3 S.C.R. 42, the Union now submits that because it advised the Court that it would not be participating in the appeal the bill of costs should not be taxed against it.  I disagree.  The decision in </w:t>
      </w:r>
      <w:r w:rsidRPr="00C260C5">
        <w:rPr>
          <w:i/>
          <w:sz w:val="20"/>
          <w:szCs w:val="20"/>
        </w:rPr>
        <w:t>Westmount (City) v. Rossy</w:t>
      </w:r>
      <w:r w:rsidRPr="00C260C5">
        <w:rPr>
          <w:sz w:val="20"/>
          <w:szCs w:val="20"/>
        </w:rPr>
        <w:t xml:space="preserve"> (Court file no. 34060) on a taxation filed July 22, 2013, which engaged the same issue of a party contending it was not liable for costs because it did not participate in an appeal, is directly on point.  In that case, I wrote as follows:</w:t>
      </w:r>
    </w:p>
    <w:p w:rsidR="00C27416" w:rsidRPr="00C260C5" w:rsidRDefault="00C27416" w:rsidP="00C27416">
      <w:pPr>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 xml:space="preserve">“The SAAQ objects in part to the bill of costs on the ground that it was involved in the proceedings in the Court only as a "mis en cause" and that it did not participate actively in the appeal. It admits that costs related to the application for leave to appeal can be claimed from it, but submits that costs related to the appeal on the merits cannot, given that it did not participate in the appeal. It relies in support of this argument on the order of LeBel J. in </w:t>
      </w:r>
      <w:r w:rsidRPr="00C260C5">
        <w:rPr>
          <w:i/>
          <w:sz w:val="20"/>
          <w:szCs w:val="20"/>
        </w:rPr>
        <w:t>Kuwait Airways Corp. v. Iraq</w:t>
      </w:r>
      <w:r w:rsidRPr="00C260C5">
        <w:rPr>
          <w:sz w:val="20"/>
          <w:szCs w:val="20"/>
        </w:rPr>
        <w:t>, 2011 SCC 41, [2011] 3 S.C.R. 42 ("</w:t>
      </w:r>
      <w:r w:rsidRPr="00C260C5">
        <w:rPr>
          <w:i/>
          <w:sz w:val="20"/>
          <w:szCs w:val="20"/>
        </w:rPr>
        <w:t>Kuwait Airways</w:t>
      </w:r>
      <w:r w:rsidRPr="00C260C5">
        <w:rPr>
          <w:sz w:val="20"/>
          <w:szCs w:val="20"/>
        </w:rPr>
        <w:t>").</w:t>
      </w:r>
    </w:p>
    <w:p w:rsidR="00C27416" w:rsidRPr="00C260C5" w:rsidRDefault="00C27416" w:rsidP="00C27416">
      <w:pPr>
        <w:ind w:left="720" w:right="720"/>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 xml:space="preserve">In that case, the Court had allowed the appeal of the Kuwait Airways company "with costs throughout" and had drawn no distinctions between the two parties designated as respondents: the Republic of Iraq and the Bombardier Aerospace company ("Bombardier"). Bombardier objected to the costs claimed from it by making a motion for revision of the costs order and for an extension of time to serve and file (r. 47 of the </w:t>
      </w:r>
      <w:r w:rsidRPr="00C260C5">
        <w:rPr>
          <w:i/>
          <w:sz w:val="20"/>
          <w:szCs w:val="20"/>
        </w:rPr>
        <w:t>Rules of the Supreme Court of Canada</w:t>
      </w:r>
      <w:r w:rsidRPr="00C260C5">
        <w:rPr>
          <w:sz w:val="20"/>
          <w:szCs w:val="20"/>
        </w:rPr>
        <w:t>, SOR/2002-156). LeBel J. granted Bombardier's application on the basis that, even though Bombardier had been designated a respondent under the Rules, it had not participated in the proceedings before the Court, and that the award of costs should not be interpreted as applying to it in the circumstances of that case. Indeed, Bombardier had been joined to the proceedings because some airplanes it had sold to the Republic of Iraq that were still in its possession in Canada had been seized by Kuwait Airways as a precautionary measure in order to guarantee enforcement of a foreign judgment, if applicable (</w:t>
      </w:r>
      <w:r w:rsidRPr="00C260C5">
        <w:rPr>
          <w:i/>
          <w:sz w:val="20"/>
          <w:szCs w:val="20"/>
        </w:rPr>
        <w:t>Kuwait Airways Corp. v. Iraq</w:t>
      </w:r>
      <w:r w:rsidRPr="00C260C5">
        <w:rPr>
          <w:sz w:val="20"/>
          <w:szCs w:val="20"/>
        </w:rPr>
        <w:t>, 2010 SCC 40, [2010] 2 S.C.R. 571, at para. 3). LeBel J. accordingly held that the award of costs did not apply to Bombardier and that the bill of costs could not be taxed against it.</w:t>
      </w:r>
    </w:p>
    <w:p w:rsidR="00C27416" w:rsidRPr="00C260C5" w:rsidRDefault="00C27416" w:rsidP="00C27416">
      <w:pPr>
        <w:ind w:left="720" w:right="720"/>
        <w:contextualSpacing/>
        <w:jc w:val="both"/>
        <w:rPr>
          <w:sz w:val="20"/>
          <w:szCs w:val="20"/>
        </w:rPr>
      </w:pPr>
    </w:p>
    <w:p w:rsidR="00C27416" w:rsidRPr="00C260C5" w:rsidRDefault="00C27416" w:rsidP="00C27416">
      <w:pPr>
        <w:ind w:left="720" w:right="720"/>
        <w:contextualSpacing/>
        <w:jc w:val="both"/>
        <w:rPr>
          <w:sz w:val="20"/>
          <w:szCs w:val="20"/>
        </w:rPr>
      </w:pPr>
      <w:r w:rsidRPr="00C260C5">
        <w:rPr>
          <w:sz w:val="20"/>
          <w:szCs w:val="20"/>
        </w:rPr>
        <w:t>When the Court awards costs, the Registrar's jurisdiction is in my opinion limited to taxing them in accordance with the Rules and with the current tariff (</w:t>
      </w:r>
      <w:r w:rsidRPr="00C260C5">
        <w:rPr>
          <w:i/>
          <w:sz w:val="20"/>
          <w:szCs w:val="20"/>
        </w:rPr>
        <w:t>Richman v. Wheaton</w:t>
      </w:r>
      <w:r w:rsidRPr="00C260C5">
        <w:rPr>
          <w:sz w:val="20"/>
          <w:szCs w:val="20"/>
        </w:rPr>
        <w:t xml:space="preserve"> (October 19, 1990)). In the case at bar, the award of costs applied to all the respondents, including the SAAQ. Here, unlike in </w:t>
      </w:r>
      <w:r w:rsidRPr="00C260C5">
        <w:rPr>
          <w:i/>
          <w:sz w:val="20"/>
          <w:szCs w:val="20"/>
        </w:rPr>
        <w:t>Kuwait Airways</w:t>
      </w:r>
      <w:r w:rsidRPr="00C260C5">
        <w:rPr>
          <w:sz w:val="20"/>
          <w:szCs w:val="20"/>
        </w:rPr>
        <w:t xml:space="preserve">, the SAAQ did not apply for revision of the costs order, nor did it seek, before the judgment was rendered, clarification of its status as a party to the case or of the extent to which it might be obligated to pay costs. In my view, its request that the bill of costs not be taxed against it </w:t>
      </w:r>
      <w:r w:rsidRPr="00C260C5">
        <w:rPr>
          <w:sz w:val="20"/>
          <w:szCs w:val="20"/>
        </w:rPr>
        <w:lastRenderedPageBreak/>
        <w:t>exceeds the scope of the taxation procedure, and to grant this request would amount to modifying the disposition of the Court's judgment, which I do not have jurisdiction to do.”</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The same is true in the instant case.  While it advised the Court that it would not be participating in the appeal, the Union “did not apply for a revision of the costs order, nor did it seek, before the judgment was rendered, clarification of its status as a party to the case or of the extent to which it might be obligated to pay costs”.  It follows that, if I were to grant the Union’s request and not tax the bill of costs against it along with the other respondents, I would be modifying the Court’s judgment and thereby exceeding my jurisdiction.</w:t>
      </w:r>
    </w:p>
    <w:p w:rsidR="00C27416" w:rsidRPr="00C260C5" w:rsidRDefault="00C27416" w:rsidP="00C27416">
      <w:pPr>
        <w:contextualSpacing/>
        <w:jc w:val="both"/>
        <w:rPr>
          <w:b/>
          <w:sz w:val="20"/>
          <w:szCs w:val="20"/>
        </w:rPr>
      </w:pPr>
    </w:p>
    <w:p w:rsidR="00C27416" w:rsidRPr="00C260C5" w:rsidRDefault="00C27416" w:rsidP="00C27416">
      <w:pPr>
        <w:contextualSpacing/>
        <w:jc w:val="both"/>
        <w:rPr>
          <w:b/>
          <w:sz w:val="20"/>
          <w:szCs w:val="20"/>
        </w:rPr>
      </w:pPr>
      <w:r w:rsidRPr="00C260C5">
        <w:rPr>
          <w:b/>
          <w:sz w:val="20"/>
          <w:szCs w:val="20"/>
        </w:rPr>
        <w:t xml:space="preserve">Conclusion </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For the foregoing reasons, the Régie’s bill of costs will be taxed as filed against all respondents, except that the expert’s fees are disallowed and shall be deducted accordingly.</w:t>
      </w:r>
    </w:p>
    <w:p w:rsidR="00C27416" w:rsidRPr="00C260C5" w:rsidRDefault="00C27416" w:rsidP="00C27416">
      <w:pPr>
        <w:contextualSpacing/>
        <w:jc w:val="both"/>
        <w:rPr>
          <w:sz w:val="20"/>
          <w:szCs w:val="20"/>
        </w:rPr>
      </w:pPr>
    </w:p>
    <w:p w:rsidR="00C27416" w:rsidRPr="00C260C5" w:rsidRDefault="00C27416" w:rsidP="00C27416">
      <w:pPr>
        <w:contextualSpacing/>
        <w:jc w:val="both"/>
        <w:rPr>
          <w:sz w:val="20"/>
          <w:szCs w:val="20"/>
        </w:rPr>
      </w:pPr>
      <w:r w:rsidRPr="00C260C5">
        <w:rPr>
          <w:sz w:val="20"/>
          <w:szCs w:val="20"/>
        </w:rPr>
        <w:t>In conclusion, I wish to thank all counsel for their helpful submissions.</w:t>
      </w:r>
    </w:p>
    <w:p w:rsidR="00831CA9" w:rsidRPr="00C50A5C" w:rsidRDefault="00831CA9" w:rsidP="00831CA9">
      <w:pPr>
        <w:tabs>
          <w:tab w:val="left" w:pos="-1440"/>
          <w:tab w:val="left" w:pos="-720"/>
        </w:tabs>
        <w:jc w:val="both"/>
        <w:rPr>
          <w:sz w:val="20"/>
          <w:szCs w:val="20"/>
        </w:rPr>
      </w:pPr>
    </w:p>
    <w:p w:rsidR="00831CA9" w:rsidRDefault="00584E5B" w:rsidP="00831CA9">
      <w:pPr>
        <w:jc w:val="both"/>
        <w:rPr>
          <w:sz w:val="20"/>
          <w:szCs w:val="20"/>
          <w:lang w:val="fr-CA"/>
        </w:rPr>
      </w:pPr>
      <w:r>
        <w:rPr>
          <w:sz w:val="20"/>
          <w:szCs w:val="20"/>
          <w:lang w:val="fr-CA"/>
        </w:rPr>
        <w:pict>
          <v:rect id="_x0000_i1064" style="width:2in;height:1pt" o:hrpct="0" o:hralign="center" o:hrstd="t" o:hrnoshade="t" o:hr="t" fillcolor="black [3213]" stroked="f"/>
        </w:pict>
      </w:r>
    </w:p>
    <w:p w:rsidR="00D004FC" w:rsidRDefault="00D004FC" w:rsidP="00831CA9">
      <w:pPr>
        <w:jc w:val="both"/>
        <w:rPr>
          <w:sz w:val="20"/>
          <w:szCs w:val="20"/>
          <w:lang w:val="fr-CA"/>
        </w:rPr>
      </w:pPr>
    </w:p>
    <w:p w:rsidR="00C27416" w:rsidRDefault="00C27416" w:rsidP="00831CA9">
      <w:pPr>
        <w:jc w:val="both"/>
        <w:rPr>
          <w:sz w:val="20"/>
          <w:szCs w:val="20"/>
          <w:lang w:val="fr-CA"/>
        </w:rPr>
      </w:pPr>
    </w:p>
    <w:p w:rsidR="00C27416" w:rsidRPr="00C50A5C" w:rsidRDefault="00C27416" w:rsidP="00831CA9">
      <w:pPr>
        <w:jc w:val="both"/>
        <w:rPr>
          <w:sz w:val="20"/>
          <w:szCs w:val="20"/>
          <w:lang w:val="fr-CA"/>
        </w:rPr>
      </w:pPr>
    </w:p>
    <w:p w:rsidR="00831CA9" w:rsidRPr="00C50A5C" w:rsidRDefault="00831CA9" w:rsidP="00831CA9">
      <w:pPr>
        <w:tabs>
          <w:tab w:val="left" w:pos="-1440"/>
          <w:tab w:val="left" w:pos="-720"/>
        </w:tabs>
        <w:spacing w:line="0" w:lineRule="atLeast"/>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p w:rsidR="004B7B52" w:rsidRPr="002E0C7E" w:rsidRDefault="00477F7E" w:rsidP="004B7B52">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4B7B52"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4B7B52" w:rsidRPr="002E0C7E">
        <w:rPr>
          <w:rFonts w:asciiTheme="minorHAnsi" w:hAnsiTheme="minorHAnsi" w:cstheme="minorHAnsi"/>
          <w:b/>
          <w:szCs w:val="24"/>
        </w:rPr>
        <w:t>SUPREME COURT OF CANADA SCHEDULE / CALENDRIER DE LA COUR SUPREME</w:t>
      </w:r>
    </w:p>
    <w:p w:rsidR="004B7B52" w:rsidRPr="002E0C7E" w:rsidRDefault="004B7B52" w:rsidP="004B7B52">
      <w:pPr>
        <w:widowControl w:val="0"/>
        <w:spacing w:line="180" w:lineRule="auto"/>
        <w:rPr>
          <w:rFonts w:asciiTheme="minorHAnsi" w:hAnsiTheme="minorHAnsi" w:cstheme="minorHAnsi"/>
          <w:szCs w:val="24"/>
        </w:rPr>
      </w:pPr>
    </w:p>
    <w:p w:rsidR="004B7B52" w:rsidRPr="002E0C7E" w:rsidRDefault="004B7B52" w:rsidP="004B7B52">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4B7B52" w:rsidRPr="002E0C7E" w:rsidTr="00A2723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4B7B52" w:rsidRPr="002E0C7E" w:rsidRDefault="004B7B52" w:rsidP="00A2723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4B7B52" w:rsidRPr="002E0C7E" w:rsidRDefault="004B7B52" w:rsidP="00A2723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DECEMBER - DÉCEMBRE</w:t>
            </w:r>
          </w:p>
        </w:tc>
      </w:tr>
      <w:tr w:rsidR="004B7B52" w:rsidRPr="002E0C7E" w:rsidTr="00A272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r>
      <w:tr w:rsidR="004B7B52" w:rsidRPr="002E0C7E" w:rsidTr="00A272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4B7B52" w:rsidRPr="00035CC4" w:rsidRDefault="004B7B52" w:rsidP="00A27235">
            <w:pPr>
              <w:widowControl w:val="0"/>
              <w:jc w:val="center"/>
              <w:rPr>
                <w:rFonts w:ascii="Arial" w:hAnsi="Arial"/>
                <w:b/>
                <w:sz w:val="14"/>
              </w:rPr>
            </w:pPr>
            <w:r>
              <w:rPr>
                <w:rFonts w:ascii="Arial" w:hAnsi="Arial"/>
                <w:b/>
                <w:sz w:val="14"/>
              </w:rPr>
              <w:t>M</w:t>
            </w:r>
          </w:p>
          <w:p w:rsidR="004B7B52" w:rsidRPr="002E0C7E" w:rsidRDefault="004B7B52" w:rsidP="00A27235">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r>
      <w:tr w:rsidR="004B7B52" w:rsidRPr="002E0C7E" w:rsidTr="00A2723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4B7B52" w:rsidRPr="000C583B" w:rsidRDefault="004B7B52" w:rsidP="00A27235">
            <w:pPr>
              <w:widowControl w:val="0"/>
              <w:jc w:val="center"/>
              <w:rPr>
                <w:rFonts w:ascii="Arial" w:hAnsi="Arial"/>
                <w:b/>
                <w:sz w:val="14"/>
              </w:rPr>
            </w:pPr>
            <w:r>
              <w:rPr>
                <w:rFonts w:ascii="Arial" w:hAnsi="Arial"/>
                <w:b/>
                <w:sz w:val="14"/>
              </w:rPr>
              <w:t>M</w:t>
            </w:r>
          </w:p>
          <w:p w:rsidR="004B7B52" w:rsidRPr="002E0C7E" w:rsidRDefault="004B7B52" w:rsidP="00A27235">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0C583B"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M</w:t>
            </w:r>
          </w:p>
          <w:p w:rsidR="004B7B52" w:rsidRPr="002E0C7E" w:rsidRDefault="004B7B52" w:rsidP="00A2723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13</w:t>
            </w:r>
          </w:p>
        </w:tc>
      </w:tr>
      <w:tr w:rsidR="004B7B52" w:rsidRPr="002E0C7E" w:rsidTr="00A2723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4B7B52" w:rsidRPr="000C583B" w:rsidRDefault="004B7B52" w:rsidP="00A27235">
            <w:pPr>
              <w:widowControl w:val="0"/>
              <w:jc w:val="center"/>
              <w:rPr>
                <w:rFonts w:ascii="Arial" w:hAnsi="Arial"/>
                <w:b/>
                <w:sz w:val="14"/>
              </w:rPr>
            </w:pPr>
            <w:r>
              <w:rPr>
                <w:rFonts w:ascii="Arial" w:hAnsi="Arial"/>
                <w:b/>
                <w:sz w:val="14"/>
              </w:rPr>
              <w:t>H</w:t>
            </w: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0C583B"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4B7B52" w:rsidRPr="004030BA"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4B7B52" w:rsidRPr="004F066E" w:rsidRDefault="004B7B52" w:rsidP="00A27235">
            <w:pPr>
              <w:widowControl w:val="0"/>
              <w:jc w:val="center"/>
              <w:rPr>
                <w:rFonts w:ascii="Arial" w:hAnsi="Arial"/>
                <w:b/>
                <w:sz w:val="14"/>
              </w:rPr>
            </w:pPr>
            <w:r w:rsidRPr="004F066E">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20</w:t>
            </w:r>
          </w:p>
        </w:tc>
      </w:tr>
      <w:tr w:rsidR="004B7B52" w:rsidRPr="002E0C7E" w:rsidTr="00A272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4B7B52" w:rsidRPr="00D23ECF"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4B7B52" w:rsidRPr="00D23ECF" w:rsidRDefault="004B7B52" w:rsidP="00A27235">
            <w:pPr>
              <w:widowControl w:val="0"/>
              <w:jc w:val="center"/>
              <w:rPr>
                <w:rFonts w:ascii="Arial" w:hAnsi="Arial"/>
                <w:b/>
                <w:sz w:val="14"/>
              </w:rPr>
            </w:pPr>
            <w:r>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4B7B52" w:rsidRPr="00D23ECF" w:rsidRDefault="004B7B52" w:rsidP="00A27235">
            <w:pPr>
              <w:widowControl w:val="0"/>
              <w:jc w:val="center"/>
              <w:rPr>
                <w:rFonts w:ascii="Arial" w:hAnsi="Arial"/>
                <w:b/>
                <w:sz w:val="14"/>
              </w:rPr>
            </w:pPr>
            <w:r>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7</w:t>
            </w:r>
          </w:p>
        </w:tc>
      </w:tr>
      <w:tr w:rsidR="004B7B52" w:rsidRPr="002E0C7E" w:rsidTr="00A2723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4B7B52" w:rsidRPr="002E0C7E" w:rsidRDefault="004B7B52" w:rsidP="00A27235">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r>
    </w:tbl>
    <w:p w:rsidR="004B7B52" w:rsidRPr="002E0C7E" w:rsidRDefault="004B7B52" w:rsidP="004B7B52">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4B7B52" w:rsidRPr="002E0C7E" w:rsidTr="00A2723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4B7B52" w:rsidRPr="002E0C7E" w:rsidRDefault="004B7B52" w:rsidP="00A2723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4B7B52" w:rsidRPr="002E0C7E" w:rsidRDefault="004B7B52" w:rsidP="00A2723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MARCH - MARS</w:t>
            </w:r>
          </w:p>
        </w:tc>
      </w:tr>
      <w:tr w:rsidR="004B7B52" w:rsidRPr="002E0C7E" w:rsidTr="00A2723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4B7B52" w:rsidRPr="00317A69"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4B7B52" w:rsidRPr="00D23ECF"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4B7B52" w:rsidRPr="004F066E" w:rsidRDefault="004B7B52" w:rsidP="00A27235">
            <w:pPr>
              <w:widowControl w:val="0"/>
              <w:jc w:val="center"/>
              <w:rPr>
                <w:rFonts w:ascii="Arial" w:hAnsi="Arial"/>
                <w:b/>
                <w:sz w:val="14"/>
              </w:rPr>
            </w:pPr>
            <w:r w:rsidRPr="004F066E">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645AC1" w:rsidRDefault="004B7B52" w:rsidP="00A27235">
            <w:pPr>
              <w:widowControl w:val="0"/>
              <w:jc w:val="center"/>
              <w:rPr>
                <w:rFonts w:ascii="Arial" w:hAnsi="Arial"/>
                <w:b/>
                <w:sz w:val="14"/>
              </w:rPr>
            </w:pPr>
            <w:r>
              <w:rPr>
                <w:rFonts w:ascii="Arial" w:hAnsi="Arial"/>
                <w:b/>
                <w:sz w:val="14"/>
              </w:rPr>
              <w:t>M</w:t>
            </w: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14</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7255AD" w:rsidRDefault="004B7B52" w:rsidP="00A27235">
            <w:pPr>
              <w:widowControl w:val="0"/>
              <w:jc w:val="center"/>
              <w:rPr>
                <w:rFonts w:ascii="Arial" w:hAnsi="Arial"/>
                <w:b/>
                <w:sz w:val="14"/>
              </w:rPr>
            </w:pPr>
            <w:r>
              <w:rPr>
                <w:rFonts w:ascii="Arial" w:hAnsi="Arial"/>
                <w:b/>
                <w:sz w:val="14"/>
              </w:rPr>
              <w:t>M</w:t>
            </w: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0E2B85"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9900C5" w:rsidRDefault="004B7B52" w:rsidP="00A27235">
            <w:pPr>
              <w:widowControl w:val="0"/>
              <w:jc w:val="center"/>
              <w:rPr>
                <w:rFonts w:ascii="Arial" w:hAnsi="Arial"/>
                <w:b/>
                <w:sz w:val="14"/>
              </w:rPr>
            </w:pPr>
            <w:r w:rsidRPr="009900C5">
              <w:rPr>
                <w:rFonts w:ascii="Arial" w:hAnsi="Arial"/>
                <w:b/>
                <w:sz w:val="14"/>
              </w:rPr>
              <w:t>M</w:t>
            </w: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r w:rsidRPr="002E0C7E">
              <w:rPr>
                <w:rFonts w:ascii="Arial" w:hAnsi="Arial"/>
                <w:sz w:val="14"/>
              </w:rPr>
              <w:t>1</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D34238"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8</w:t>
            </w:r>
          </w:p>
        </w:tc>
      </w:tr>
      <w:tr w:rsidR="004B7B52" w:rsidRPr="002E0C7E" w:rsidTr="00A2723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4B7B52" w:rsidRPr="00261B35"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r>
    </w:tbl>
    <w:p w:rsidR="004B7B52" w:rsidRPr="002E0C7E" w:rsidRDefault="004B7B52" w:rsidP="004B7B52">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4B7B52" w:rsidRPr="002E0C7E" w:rsidTr="00A2723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4B7B52" w:rsidRPr="002E0C7E" w:rsidRDefault="004B7B52" w:rsidP="00A2723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4B7B52" w:rsidRPr="002E0C7E" w:rsidRDefault="004B7B52" w:rsidP="00A2723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4B7B52" w:rsidRPr="002E0C7E" w:rsidRDefault="004B7B52" w:rsidP="00A27235">
            <w:pPr>
              <w:widowControl w:val="0"/>
              <w:jc w:val="center"/>
              <w:rPr>
                <w:rFonts w:ascii="Arial" w:hAnsi="Arial"/>
                <w:sz w:val="14"/>
              </w:rPr>
            </w:pPr>
            <w:r w:rsidRPr="002E0C7E">
              <w:rPr>
                <w:rFonts w:ascii="Arial" w:hAnsi="Arial"/>
                <w:b/>
                <w:sz w:val="14"/>
              </w:rPr>
              <w:t>JUNE - JUIN</w:t>
            </w:r>
          </w:p>
        </w:tc>
      </w:tr>
      <w:tr w:rsidR="004B7B52" w:rsidRPr="002E0C7E" w:rsidTr="00A2723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S</w:t>
            </w:r>
          </w:p>
          <w:p w:rsidR="004B7B52" w:rsidRPr="002E0C7E" w:rsidRDefault="004B7B52" w:rsidP="00A272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M</w:t>
            </w:r>
          </w:p>
          <w:p w:rsidR="004B7B52" w:rsidRPr="002E0C7E" w:rsidRDefault="004B7B52" w:rsidP="00A272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W</w:t>
            </w:r>
          </w:p>
          <w:p w:rsidR="004B7B52" w:rsidRPr="002E0C7E" w:rsidRDefault="004B7B52" w:rsidP="00A272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T</w:t>
            </w:r>
          </w:p>
          <w:p w:rsidR="004B7B52" w:rsidRPr="002E0C7E" w:rsidRDefault="004B7B52" w:rsidP="00A272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sidRPr="002E0C7E">
              <w:rPr>
                <w:rFonts w:ascii="Arial" w:hAnsi="Arial"/>
                <w:sz w:val="14"/>
              </w:rPr>
              <w:t>F</w:t>
            </w:r>
          </w:p>
          <w:p w:rsidR="004B7B52" w:rsidRPr="002E0C7E" w:rsidRDefault="004B7B52" w:rsidP="00A2723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r>
              <w:rPr>
                <w:rFonts w:ascii="Arial" w:hAnsi="Arial"/>
                <w:sz w:val="14"/>
              </w:rPr>
              <w:t>S</w:t>
            </w:r>
          </w:p>
          <w:p w:rsidR="004B7B52" w:rsidRPr="002E0C7E" w:rsidRDefault="004B7B52" w:rsidP="00A27235">
            <w:pPr>
              <w:widowControl w:val="0"/>
              <w:jc w:val="center"/>
              <w:rPr>
                <w:rFonts w:ascii="Arial" w:hAnsi="Arial"/>
                <w:sz w:val="14"/>
              </w:rPr>
            </w:pPr>
            <w:r>
              <w:rPr>
                <w:rFonts w:ascii="Arial" w:hAnsi="Arial"/>
                <w:sz w:val="14"/>
              </w:rPr>
              <w:t>S</w:t>
            </w:r>
          </w:p>
        </w:tc>
      </w:tr>
      <w:tr w:rsidR="004B7B52" w:rsidRPr="002E0C7E" w:rsidTr="00A272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4B7B52" w:rsidRPr="00072FEE" w:rsidRDefault="004B7B52" w:rsidP="00A27235">
            <w:pPr>
              <w:widowControl w:val="0"/>
              <w:jc w:val="center"/>
              <w:rPr>
                <w:rFonts w:ascii="Arial" w:hAnsi="Arial"/>
                <w:b/>
                <w:sz w:val="14"/>
              </w:rPr>
            </w:pPr>
            <w:r>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4B7B52" w:rsidRPr="00710C8B" w:rsidRDefault="004B7B52" w:rsidP="00A27235">
            <w:pPr>
              <w:widowControl w:val="0"/>
              <w:jc w:val="center"/>
              <w:rPr>
                <w:rFonts w:ascii="Arial" w:hAnsi="Arial"/>
                <w:b/>
                <w:sz w:val="14"/>
              </w:rPr>
            </w:pPr>
            <w:r>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6D6F71" w:rsidRDefault="004B7B52" w:rsidP="00A27235">
            <w:pPr>
              <w:widowControl w:val="0"/>
              <w:jc w:val="center"/>
              <w:rPr>
                <w:rFonts w:ascii="Arial" w:hAnsi="Arial"/>
                <w:b/>
                <w:sz w:val="14"/>
              </w:rPr>
            </w:pPr>
            <w:r>
              <w:rPr>
                <w:rFonts w:ascii="Arial" w:hAnsi="Arial"/>
                <w:b/>
                <w:sz w:val="14"/>
              </w:rPr>
              <w:t>M</w:t>
            </w:r>
          </w:p>
          <w:p w:rsidR="004B7B52" w:rsidRPr="002E0C7E" w:rsidRDefault="004B7B52" w:rsidP="00A27235">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13</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DB5777" w:rsidRDefault="004B7B52" w:rsidP="00A27235">
            <w:pPr>
              <w:widowControl w:val="0"/>
              <w:jc w:val="center"/>
              <w:rPr>
                <w:rFonts w:ascii="Arial" w:hAnsi="Arial"/>
                <w:b/>
                <w:sz w:val="14"/>
              </w:rPr>
            </w:pPr>
            <w:r>
              <w:rPr>
                <w:rFonts w:ascii="Arial" w:hAnsi="Arial"/>
                <w:b/>
                <w:sz w:val="14"/>
              </w:rPr>
              <w:t>M</w:t>
            </w: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852172"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4B7B52" w:rsidRPr="002453E3" w:rsidRDefault="004B7B52" w:rsidP="00A27235">
            <w:pPr>
              <w:widowControl w:val="0"/>
              <w:jc w:val="center"/>
              <w:rPr>
                <w:rFonts w:ascii="Arial" w:hAnsi="Arial"/>
                <w:b/>
                <w:sz w:val="14"/>
              </w:rPr>
            </w:pPr>
            <w:r w:rsidRPr="002453E3">
              <w:rPr>
                <w:rFonts w:ascii="Arial" w:hAnsi="Arial"/>
                <w:b/>
                <w:sz w:val="14"/>
              </w:rPr>
              <w:t>M</w:t>
            </w: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20</w:t>
            </w:r>
          </w:p>
        </w:tc>
      </w:tr>
      <w:tr w:rsidR="004B7B52" w:rsidRPr="002E0C7E" w:rsidTr="00A272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4B7B52" w:rsidRPr="00CD57C3" w:rsidRDefault="004B7B52" w:rsidP="00A27235">
            <w:pPr>
              <w:widowControl w:val="0"/>
              <w:jc w:val="center"/>
              <w:rPr>
                <w:rFonts w:ascii="Arial" w:hAnsi="Arial"/>
                <w:b/>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4B7B52" w:rsidRPr="002453E3" w:rsidRDefault="004B7B52" w:rsidP="00A27235">
            <w:pPr>
              <w:widowControl w:val="0"/>
              <w:jc w:val="center"/>
              <w:rPr>
                <w:rFonts w:ascii="Arial" w:hAnsi="Arial"/>
                <w:b/>
                <w:sz w:val="14"/>
              </w:rPr>
            </w:pPr>
            <w:r>
              <w:rPr>
                <w:rFonts w:ascii="Arial" w:hAnsi="Arial"/>
                <w:b/>
                <w:sz w:val="14"/>
              </w:rPr>
              <w:t>H</w:t>
            </w:r>
          </w:p>
          <w:p w:rsidR="004B7B52" w:rsidRPr="002E0C7E" w:rsidRDefault="004B7B52" w:rsidP="00A2723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7</w:t>
            </w:r>
          </w:p>
        </w:tc>
      </w:tr>
      <w:tr w:rsidR="004B7B52" w:rsidRPr="002E0C7E" w:rsidTr="00A2723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Default="004B7B52" w:rsidP="00A2723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4B7B52" w:rsidRPr="002E0C7E" w:rsidRDefault="004B7B52" w:rsidP="00A27235">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4B7B52" w:rsidRPr="002E0C7E" w:rsidRDefault="004B7B52" w:rsidP="00A27235">
            <w:pPr>
              <w:widowControl w:val="0"/>
              <w:jc w:val="center"/>
              <w:rPr>
                <w:rFonts w:ascii="Arial" w:hAnsi="Arial"/>
                <w:sz w:val="14"/>
              </w:rPr>
            </w:pPr>
          </w:p>
          <w:p w:rsidR="004B7B52" w:rsidRPr="002E0C7E" w:rsidRDefault="004B7B52" w:rsidP="00A27235">
            <w:pPr>
              <w:widowControl w:val="0"/>
              <w:jc w:val="center"/>
              <w:rPr>
                <w:rFonts w:ascii="Arial" w:hAnsi="Arial"/>
                <w:sz w:val="14"/>
              </w:rPr>
            </w:pPr>
          </w:p>
        </w:tc>
      </w:tr>
    </w:tbl>
    <w:p w:rsidR="004B7B52" w:rsidRPr="002E0C7E" w:rsidRDefault="004B7B52" w:rsidP="004B7B52">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4B7B52" w:rsidRPr="002E0C7E" w:rsidTr="00A27235">
        <w:trPr>
          <w:cantSplit/>
        </w:trPr>
        <w:tc>
          <w:tcPr>
            <w:tcW w:w="1710" w:type="dxa"/>
            <w:tcBorders>
              <w:top w:val="nil"/>
              <w:left w:val="nil"/>
              <w:bottom w:val="nil"/>
              <w:right w:val="nil"/>
            </w:tcBorders>
            <w:tcMar>
              <w:top w:w="43" w:type="dxa"/>
              <w:left w:w="120" w:type="dxa"/>
              <w:bottom w:w="29" w:type="dxa"/>
              <w:right w:w="120" w:type="dxa"/>
            </w:tcMar>
          </w:tcPr>
          <w:p w:rsidR="004B7B52" w:rsidRPr="002E0C7E" w:rsidRDefault="004B7B52" w:rsidP="00A27235">
            <w:pPr>
              <w:widowControl w:val="0"/>
              <w:rPr>
                <w:rFonts w:ascii="Arial" w:hAnsi="Arial"/>
                <w:sz w:val="16"/>
              </w:rPr>
            </w:pPr>
            <w:r w:rsidRPr="002E0C7E">
              <w:rPr>
                <w:rFonts w:ascii="Arial" w:hAnsi="Arial"/>
                <w:sz w:val="16"/>
              </w:rPr>
              <w:t>Sittings of the court:</w:t>
            </w:r>
          </w:p>
          <w:p w:rsidR="004B7B52" w:rsidRPr="002E0C7E" w:rsidRDefault="004B7B52" w:rsidP="00A2723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4B7B52" w:rsidRPr="002E0C7E" w:rsidRDefault="004B7B52" w:rsidP="00A27235">
            <w:pPr>
              <w:widowControl w:val="0"/>
              <w:rPr>
                <w:rFonts w:ascii="Arial" w:hAnsi="Arial"/>
                <w:sz w:val="16"/>
              </w:rPr>
            </w:pPr>
          </w:p>
          <w:p w:rsidR="004B7B52" w:rsidRPr="002E0C7E" w:rsidRDefault="004B7B52" w:rsidP="00A2723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4B7B52" w:rsidRPr="00B058C3"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4B7B52" w:rsidRPr="00B058C3"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4B7B52" w:rsidRPr="00B058C3"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4B7B52" w:rsidRPr="002E0C7E" w:rsidTr="00A272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4B7B52" w:rsidRPr="002E0C7E" w:rsidTr="00A272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4B7B52" w:rsidRPr="002E0C7E" w:rsidRDefault="004B7B52" w:rsidP="00A2723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4B7B52" w:rsidRPr="002E0C7E" w:rsidRDefault="004B7B52" w:rsidP="00A27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4B7B52" w:rsidRPr="002E0C7E" w:rsidRDefault="004B7B52" w:rsidP="004B7B52">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52"/>
      <w:footerReference w:type="default" r:id="rId5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E0" w:rsidRDefault="00BD52E0" w:rsidP="00A87207">
      <w:r>
        <w:separator/>
      </w:r>
    </w:p>
  </w:endnote>
  <w:endnote w:type="continuationSeparator" w:id="0">
    <w:p w:rsidR="00BD52E0" w:rsidRDefault="00BD52E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pPr>
      <w:pStyle w:val="Footer"/>
      <w:rPr>
        <w:lang w:val="fr-CA"/>
      </w:rPr>
    </w:pPr>
    <w:r>
      <w:rPr>
        <w:lang w:val="fr-CA"/>
      </w:rPr>
      <w:pict>
        <v:rect id="_x0000_i1057" style="width:480.95pt;height:1pt" o:hralign="center" o:hrstd="t" o:hrnoshade="t" o:hr="t" fillcolor="black [3213]" stroked="f"/>
      </w:pict>
    </w:r>
  </w:p>
  <w:p w:rsidR="00BD52E0" w:rsidRDefault="00BD52E0" w:rsidP="00245129">
    <w:pPr>
      <w:tabs>
        <w:tab w:val="center" w:pos="4680"/>
      </w:tabs>
    </w:pPr>
    <w:r>
      <w:tab/>
    </w:r>
    <w:r w:rsidRPr="0009648D">
      <w:t xml:space="preserve">- </w:t>
    </w:r>
    <w:r w:rsidR="00584E5B">
      <w:fldChar w:fldCharType="begin"/>
    </w:r>
    <w:r w:rsidR="00584E5B">
      <w:instrText xml:space="preserve"> PAGE   \* MERGEFORMAT </w:instrText>
    </w:r>
    <w:r w:rsidR="00584E5B">
      <w:fldChar w:fldCharType="separate"/>
    </w:r>
    <w:r w:rsidR="00584E5B">
      <w:rPr>
        <w:noProof/>
      </w:rPr>
      <w:t>1107</w:t>
    </w:r>
    <w:r w:rsidR="00584E5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52E0" w:rsidRDefault="00BD52E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755F22">
    <w:pPr>
      <w:tabs>
        <w:tab w:val="left" w:pos="-1440"/>
        <w:tab w:val="left" w:pos="-720"/>
      </w:tabs>
    </w:pPr>
    <w:r>
      <w:pict>
        <v:rect id="_x0000_i1062" style="width:480.95pt;height:1pt" o:hralign="center" o:hrstd="t" o:hrnoshade="t" o:hr="t" fillcolor="black [3213]" stroked="f"/>
      </w:pict>
    </w:r>
  </w:p>
  <w:p w:rsidR="00BD52E0" w:rsidRDefault="00BD52E0" w:rsidP="00EB2B90">
    <w:pPr>
      <w:tabs>
        <w:tab w:val="center" w:pos="4680"/>
      </w:tabs>
    </w:pPr>
    <w:r>
      <w:tab/>
      <w:t xml:space="preserve">- </w:t>
    </w:r>
    <w:r w:rsidR="00584E5B">
      <w:fldChar w:fldCharType="begin"/>
    </w:r>
    <w:r w:rsidR="00584E5B">
      <w:instrText xml:space="preserve"> PAGE   \* MERGEFORMAT </w:instrText>
    </w:r>
    <w:r w:rsidR="00584E5B">
      <w:fldChar w:fldCharType="separate"/>
    </w:r>
    <w:r w:rsidR="00584E5B">
      <w:rPr>
        <w:noProof/>
      </w:rPr>
      <w:t>1121</w:t>
    </w:r>
    <w:r w:rsidR="00584E5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EB2B90">
    <w:pPr>
      <w:tabs>
        <w:tab w:val="center" w:pos="4680"/>
      </w:tabs>
    </w:pPr>
    <w:r>
      <w:pict>
        <v:rect id="_x0000_i1063" style="width:480.95pt;height:1pt" o:hralign="center" o:hrstd="t" o:hrnoshade="t" o:hr="t" fillcolor="black [3213]" stroked="f"/>
      </w:pict>
    </w:r>
  </w:p>
  <w:p w:rsidR="00BD52E0" w:rsidRPr="0031432F" w:rsidRDefault="00BD52E0" w:rsidP="00EB2B90">
    <w:pPr>
      <w:tabs>
        <w:tab w:val="center" w:pos="4680"/>
      </w:tabs>
    </w:pPr>
    <w:r>
      <w:tab/>
      <w:t xml:space="preserve">- </w:t>
    </w:r>
    <w:r w:rsidR="00584E5B">
      <w:fldChar w:fldCharType="begin"/>
    </w:r>
    <w:r w:rsidR="00584E5B">
      <w:instrText xml:space="preserve"> PAGE   \* MERGEFORMAT </w:instrText>
    </w:r>
    <w:r w:rsidR="00584E5B">
      <w:fldChar w:fldCharType="separate"/>
    </w:r>
    <w:r w:rsidR="00584E5B">
      <w:rPr>
        <w:noProof/>
      </w:rPr>
      <w:t>1119</w:t>
    </w:r>
    <w:r w:rsidR="00584E5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52E0" w:rsidRDefault="00BD52E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BD52E0" w:rsidRDefault="00BD52E0" w:rsidP="00EB2B90">
    <w:pPr>
      <w:tabs>
        <w:tab w:val="center" w:pos="4770"/>
      </w:tabs>
    </w:pPr>
    <w:r>
      <w:tab/>
      <w:t xml:space="preserve">- </w:t>
    </w:r>
    <w:r w:rsidR="00584E5B">
      <w:fldChar w:fldCharType="begin"/>
    </w:r>
    <w:r w:rsidR="00584E5B">
      <w:instrText xml:space="preserve"> PAGE   \* MERGEFORMAT </w:instrText>
    </w:r>
    <w:r w:rsidR="00584E5B">
      <w:fldChar w:fldCharType="separate"/>
    </w:r>
    <w:r w:rsidR="00584E5B">
      <w:rPr>
        <w:noProof/>
      </w:rPr>
      <w:t>1127</w:t>
    </w:r>
    <w:r w:rsidR="00584E5B">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EB2B90">
    <w:pPr>
      <w:tabs>
        <w:tab w:val="center" w:pos="4770"/>
      </w:tabs>
    </w:pPr>
    <w:r>
      <w:pict>
        <v:rect id="_x0000_i1066" style="width:480.95pt;height:1pt" o:hralign="center" o:hrstd="t" o:hrnoshade="t" o:hr="t" fillcolor="black [3213]" stroked="f"/>
      </w:pict>
    </w:r>
  </w:p>
  <w:p w:rsidR="00BD52E0" w:rsidRPr="00041AAB" w:rsidRDefault="00BD52E0" w:rsidP="00EB2B90">
    <w:pPr>
      <w:tabs>
        <w:tab w:val="center" w:pos="4770"/>
      </w:tabs>
    </w:pPr>
    <w:r>
      <w:tab/>
      <w:t xml:space="preserve">- </w:t>
    </w:r>
    <w:r w:rsidR="00584E5B">
      <w:fldChar w:fldCharType="begin"/>
    </w:r>
    <w:r w:rsidR="00584E5B">
      <w:instrText xml:space="preserve"> PAGE   \* MERGEFORMAT </w:instrText>
    </w:r>
    <w:r w:rsidR="00584E5B">
      <w:fldChar w:fldCharType="separate"/>
    </w:r>
    <w:r w:rsidR="00584E5B">
      <w:rPr>
        <w:noProof/>
      </w:rPr>
      <w:t>1122</w:t>
    </w:r>
    <w:r w:rsidR="00584E5B">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Pr="00924065" w:rsidRDefault="00BD52E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A87207">
    <w:pPr>
      <w:pStyle w:val="Footer"/>
    </w:pPr>
    <w:r>
      <w:pict>
        <v:rect id="_x0000_i1037" style="width:480.95pt;height:1pt" o:hralign="center" o:hrstd="t" o:hrnoshade="t" o:hr="t" fillcolor="black [3213]" stroked="f"/>
      </w:pict>
    </w:r>
  </w:p>
  <w:p w:rsidR="00BD52E0" w:rsidRPr="00B7374B" w:rsidRDefault="00BD52E0" w:rsidP="00B7374B">
    <w:pPr>
      <w:tabs>
        <w:tab w:val="center" w:pos="4680"/>
      </w:tabs>
      <w:rPr>
        <w:szCs w:val="24"/>
      </w:rPr>
    </w:pPr>
    <w:r w:rsidRPr="00954D22">
      <w:rPr>
        <w:szCs w:val="24"/>
      </w:rPr>
      <w:tab/>
      <w:t xml:space="preserve">- </w:t>
    </w:r>
    <w:r w:rsidR="00477F7E" w:rsidRPr="00954D22">
      <w:rPr>
        <w:szCs w:val="24"/>
      </w:rPr>
      <w:fldChar w:fldCharType="begin"/>
    </w:r>
    <w:r w:rsidRPr="00954D22">
      <w:rPr>
        <w:szCs w:val="24"/>
      </w:rPr>
      <w:instrText xml:space="preserve"> PAGE   \* MERGEFORMAT </w:instrText>
    </w:r>
    <w:r w:rsidR="00477F7E" w:rsidRPr="00954D22">
      <w:rPr>
        <w:szCs w:val="24"/>
      </w:rPr>
      <w:fldChar w:fldCharType="separate"/>
    </w:r>
    <w:r w:rsidR="00584E5B">
      <w:rPr>
        <w:noProof/>
        <w:szCs w:val="24"/>
      </w:rPr>
      <w:t>1105</w:t>
    </w:r>
    <w:r w:rsidR="00477F7E"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755F22">
    <w:pPr>
      <w:tabs>
        <w:tab w:val="left" w:pos="-1440"/>
        <w:tab w:val="left" w:pos="-720"/>
      </w:tabs>
    </w:pPr>
    <w:r>
      <w:pict>
        <v:rect id="_x0000_i1038" style="width:480.95pt;height:1pt" o:hralign="center" o:hrstd="t" o:hrnoshade="t" o:hr="t" fillcolor="black [3213]" stroked="f"/>
      </w:pict>
    </w:r>
  </w:p>
  <w:p w:rsidR="00BD52E0" w:rsidRPr="00954D22" w:rsidRDefault="00BD52E0" w:rsidP="00B7374B">
    <w:pPr>
      <w:tabs>
        <w:tab w:val="center" w:pos="4680"/>
      </w:tabs>
      <w:rPr>
        <w:szCs w:val="24"/>
      </w:rPr>
    </w:pPr>
    <w:r w:rsidRPr="00954D22">
      <w:rPr>
        <w:szCs w:val="24"/>
      </w:rPr>
      <w:tab/>
      <w:t xml:space="preserve">- </w:t>
    </w:r>
    <w:r w:rsidR="00477F7E">
      <w:rPr>
        <w:szCs w:val="24"/>
      </w:rPr>
      <w:fldChar w:fldCharType="begin"/>
    </w:r>
    <w:r>
      <w:rPr>
        <w:szCs w:val="24"/>
      </w:rPr>
      <w:instrText xml:space="preserve"> PAGE   \* MERGEFORMAT </w:instrText>
    </w:r>
    <w:r w:rsidR="00477F7E">
      <w:rPr>
        <w:szCs w:val="24"/>
      </w:rPr>
      <w:fldChar w:fldCharType="separate"/>
    </w:r>
    <w:r w:rsidR="00584E5B">
      <w:rPr>
        <w:noProof/>
        <w:szCs w:val="24"/>
      </w:rPr>
      <w:t>1104</w:t>
    </w:r>
    <w:r w:rsidR="00477F7E">
      <w:rPr>
        <w:szCs w:val="24"/>
      </w:rPr>
      <w:fldChar w:fldCharType="end"/>
    </w:r>
    <w:r w:rsidRPr="00954D22">
      <w:rPr>
        <w:szCs w:val="24"/>
      </w:rPr>
      <w:t xml:space="preserve"> -</w:t>
    </w:r>
  </w:p>
  <w:p w:rsidR="00BD52E0" w:rsidRDefault="00BD52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A87207">
    <w:pPr>
      <w:pStyle w:val="Footer"/>
    </w:pPr>
    <w:r>
      <w:pict>
        <v:rect id="_x0000_i1040" style="width:480.95pt;height:1pt" o:hralign="center" o:hrstd="t" o:hrnoshade="t" o:hr="t" fillcolor="black [3213]" stroked="f"/>
      </w:pict>
    </w:r>
  </w:p>
  <w:p w:rsidR="00BD52E0" w:rsidRPr="00B7374B" w:rsidRDefault="00BD52E0" w:rsidP="00B7374B">
    <w:pPr>
      <w:tabs>
        <w:tab w:val="center" w:pos="4680"/>
      </w:tabs>
      <w:rPr>
        <w:szCs w:val="24"/>
      </w:rPr>
    </w:pPr>
    <w:r w:rsidRPr="00954D22">
      <w:rPr>
        <w:szCs w:val="24"/>
      </w:rPr>
      <w:tab/>
      <w:t xml:space="preserve">- </w:t>
    </w:r>
    <w:r w:rsidR="00477F7E" w:rsidRPr="00954D22">
      <w:rPr>
        <w:szCs w:val="24"/>
      </w:rPr>
      <w:fldChar w:fldCharType="begin"/>
    </w:r>
    <w:r w:rsidRPr="00954D22">
      <w:rPr>
        <w:szCs w:val="24"/>
      </w:rPr>
      <w:instrText xml:space="preserve"> PAGE   \* MERGEFORMAT </w:instrText>
    </w:r>
    <w:r w:rsidR="00477F7E" w:rsidRPr="00954D22">
      <w:rPr>
        <w:szCs w:val="24"/>
      </w:rPr>
      <w:fldChar w:fldCharType="separate"/>
    </w:r>
    <w:r>
      <w:rPr>
        <w:noProof/>
        <w:szCs w:val="24"/>
      </w:rPr>
      <w:t>1107</w:t>
    </w:r>
    <w:r w:rsidR="00477F7E"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BD52E0" w:rsidRPr="00954D22" w:rsidRDefault="00BD52E0" w:rsidP="00B7374B">
    <w:pPr>
      <w:tabs>
        <w:tab w:val="center" w:pos="4680"/>
      </w:tabs>
      <w:rPr>
        <w:szCs w:val="24"/>
      </w:rPr>
    </w:pPr>
    <w:r w:rsidRPr="00954D22">
      <w:rPr>
        <w:szCs w:val="24"/>
      </w:rPr>
      <w:tab/>
      <w:t xml:space="preserve">- </w:t>
    </w:r>
    <w:r w:rsidR="00477F7E" w:rsidRPr="00954D22">
      <w:rPr>
        <w:szCs w:val="24"/>
      </w:rPr>
      <w:fldChar w:fldCharType="begin"/>
    </w:r>
    <w:r w:rsidRPr="00954D22">
      <w:rPr>
        <w:szCs w:val="24"/>
      </w:rPr>
      <w:instrText xml:space="preserve"> PAGE   \* MERGEFORMAT </w:instrText>
    </w:r>
    <w:r w:rsidR="00477F7E" w:rsidRPr="00954D22">
      <w:rPr>
        <w:szCs w:val="24"/>
      </w:rPr>
      <w:fldChar w:fldCharType="separate"/>
    </w:r>
    <w:r w:rsidR="00584E5B">
      <w:rPr>
        <w:noProof/>
        <w:szCs w:val="24"/>
      </w:rPr>
      <w:t>1106</w:t>
    </w:r>
    <w:r w:rsidR="00477F7E"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D52E0" w:rsidRDefault="00BD52E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584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BD52E0" w:rsidRPr="0009648D" w:rsidRDefault="00BD52E0" w:rsidP="00ED7E83">
    <w:pPr>
      <w:tabs>
        <w:tab w:val="center" w:pos="4680"/>
      </w:tabs>
    </w:pPr>
    <w:r>
      <w:tab/>
    </w:r>
    <w:r w:rsidRPr="0009648D">
      <w:t xml:space="preserve">- </w:t>
    </w:r>
    <w:r w:rsidR="00584E5B">
      <w:fldChar w:fldCharType="begin"/>
    </w:r>
    <w:r w:rsidR="00584E5B">
      <w:instrText xml:space="preserve"> PAGE   \* MERGEFORMAT </w:instrText>
    </w:r>
    <w:r w:rsidR="00584E5B">
      <w:fldChar w:fldCharType="separate"/>
    </w:r>
    <w:r w:rsidR="00584E5B">
      <w:rPr>
        <w:noProof/>
      </w:rPr>
      <w:t>1118</w:t>
    </w:r>
    <w:r w:rsidR="00584E5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E0" w:rsidRDefault="00BD52E0" w:rsidP="00A87207">
      <w:r>
        <w:separator/>
      </w:r>
    </w:p>
  </w:footnote>
  <w:footnote w:type="continuationSeparator" w:id="0">
    <w:p w:rsidR="00BD52E0" w:rsidRDefault="00BD52E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D52E0">
      <w:tc>
        <w:tcPr>
          <w:tcW w:w="4230" w:type="dxa"/>
          <w:tcMar>
            <w:left w:w="0" w:type="dxa"/>
            <w:right w:w="0" w:type="dxa"/>
          </w:tcMar>
        </w:tcPr>
        <w:p w:rsidR="00BD52E0" w:rsidRDefault="00BD5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D52E0"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52E0"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D52E0">
      <w:trPr>
        <w:gridAfter w:val="2"/>
        <w:wAfter w:w="5250" w:type="dxa"/>
      </w:trPr>
      <w:tc>
        <w:tcPr>
          <w:tcW w:w="4230" w:type="dxa"/>
          <w:tcMar>
            <w:left w:w="0" w:type="dxa"/>
            <w:right w:w="0" w:type="dxa"/>
          </w:tcMar>
        </w:tcPr>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D52E0" w:rsidRPr="00755F22" w:rsidTr="00245129">
      <w:tc>
        <w:tcPr>
          <w:tcW w:w="4230" w:type="dxa"/>
          <w:tcMar>
            <w:left w:w="0" w:type="dxa"/>
            <w:right w:w="0" w:type="dxa"/>
          </w:tcMar>
        </w:tcPr>
        <w:p w:rsidR="00BD52E0" w:rsidRPr="00755F22" w:rsidRDefault="00BD52E0" w:rsidP="00831CA9">
          <w:pPr>
            <w:keepNext/>
            <w:keepLines/>
            <w:rPr>
              <w:sz w:val="20"/>
              <w:szCs w:val="20"/>
            </w:rPr>
          </w:pPr>
          <w:r w:rsidRPr="00755F22">
            <w:rPr>
              <w:sz w:val="20"/>
              <w:szCs w:val="20"/>
            </w:rPr>
            <w:t>MOTIONS</w:t>
          </w:r>
        </w:p>
      </w:tc>
      <w:tc>
        <w:tcPr>
          <w:tcW w:w="1170" w:type="dxa"/>
          <w:tcMar>
            <w:left w:w="0" w:type="dxa"/>
            <w:right w:w="0" w:type="dxa"/>
          </w:tcMar>
        </w:tcPr>
        <w:p w:rsidR="00BD52E0" w:rsidRPr="00755F22" w:rsidRDefault="00BD52E0" w:rsidP="00831CA9">
          <w:pPr>
            <w:keepLines/>
            <w:jc w:val="center"/>
            <w:rPr>
              <w:sz w:val="20"/>
              <w:szCs w:val="20"/>
            </w:rPr>
          </w:pPr>
        </w:p>
        <w:p w:rsidR="00BD52E0" w:rsidRPr="00755F22" w:rsidRDefault="00BD52E0" w:rsidP="00831CA9">
          <w:pPr>
            <w:keepLines/>
            <w:tabs>
              <w:tab w:val="left" w:pos="-1440"/>
              <w:tab w:val="left" w:pos="-720"/>
            </w:tabs>
            <w:jc w:val="center"/>
            <w:rPr>
              <w:sz w:val="20"/>
              <w:szCs w:val="20"/>
            </w:rPr>
          </w:pPr>
        </w:p>
      </w:tc>
      <w:tc>
        <w:tcPr>
          <w:tcW w:w="4080" w:type="dxa"/>
          <w:tcMar>
            <w:left w:w="0" w:type="dxa"/>
            <w:right w:w="0" w:type="dxa"/>
          </w:tcMar>
        </w:tcPr>
        <w:p w:rsidR="00BD52E0" w:rsidRPr="00BA6468" w:rsidRDefault="00BD52E0" w:rsidP="00BA6468">
          <w:pPr>
            <w:keepLines/>
            <w:rPr>
              <w:sz w:val="20"/>
              <w:szCs w:val="20"/>
              <w:lang w:val="fr-CA"/>
            </w:rPr>
          </w:pPr>
          <w:r w:rsidRPr="00BA6468">
            <w:rPr>
              <w:sz w:val="20"/>
              <w:szCs w:val="20"/>
              <w:lang w:val="fr-CA"/>
            </w:rPr>
            <w:t>REQUÊTES</w:t>
          </w:r>
        </w:p>
      </w:tc>
    </w:tr>
  </w:tbl>
  <w:p w:rsidR="00BD52E0" w:rsidRDefault="00BD52E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D52E0">
      <w:tc>
        <w:tcPr>
          <w:tcW w:w="4230" w:type="dxa"/>
          <w:tcMar>
            <w:left w:w="0" w:type="dxa"/>
            <w:right w:w="0" w:type="dxa"/>
          </w:tcMar>
        </w:tcPr>
        <w:p w:rsidR="00BD52E0" w:rsidRDefault="00BD5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BD52E0"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52E0"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BD52E0">
      <w:trPr>
        <w:gridAfter w:val="2"/>
        <w:wAfter w:w="5250" w:type="dxa"/>
      </w:trPr>
      <w:tc>
        <w:tcPr>
          <w:tcW w:w="4230" w:type="dxa"/>
          <w:tcMar>
            <w:left w:w="0" w:type="dxa"/>
            <w:right w:w="0" w:type="dxa"/>
          </w:tcMar>
        </w:tcPr>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D52E0"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BD52E0" w:rsidRPr="00755F22" w:rsidTr="00245129">
      <w:tc>
        <w:tcPr>
          <w:tcW w:w="4230" w:type="dxa"/>
          <w:tcMar>
            <w:left w:w="0" w:type="dxa"/>
            <w:right w:w="0" w:type="dxa"/>
          </w:tcMar>
        </w:tcPr>
        <w:p w:rsidR="00BD52E0" w:rsidRPr="00755F22" w:rsidRDefault="00BD52E0" w:rsidP="00EB2B90">
          <w:pPr>
            <w:keepNext/>
            <w:keepLines/>
            <w:rPr>
              <w:sz w:val="22"/>
            </w:rPr>
          </w:pPr>
          <w:r w:rsidRPr="00755F22">
            <w:rPr>
              <w:sz w:val="22"/>
            </w:rPr>
            <w:t>TAXATION OF COSTS</w:t>
          </w:r>
        </w:p>
      </w:tc>
      <w:tc>
        <w:tcPr>
          <w:tcW w:w="1170" w:type="dxa"/>
          <w:tcMar>
            <w:left w:w="0" w:type="dxa"/>
            <w:right w:w="0" w:type="dxa"/>
          </w:tcMar>
        </w:tcPr>
        <w:p w:rsidR="00BD52E0" w:rsidRPr="00755F22" w:rsidRDefault="00BD52E0" w:rsidP="00831CA9">
          <w:pPr>
            <w:keepLines/>
            <w:jc w:val="center"/>
            <w:rPr>
              <w:sz w:val="22"/>
            </w:rPr>
          </w:pPr>
        </w:p>
        <w:p w:rsidR="00BD52E0" w:rsidRPr="00755F22" w:rsidRDefault="00BD52E0" w:rsidP="00831CA9">
          <w:pPr>
            <w:keepLines/>
            <w:jc w:val="center"/>
            <w:rPr>
              <w:sz w:val="22"/>
            </w:rPr>
          </w:pPr>
        </w:p>
      </w:tc>
      <w:tc>
        <w:tcPr>
          <w:tcW w:w="4230" w:type="dxa"/>
          <w:tcMar>
            <w:left w:w="0" w:type="dxa"/>
            <w:right w:w="0" w:type="dxa"/>
          </w:tcMar>
        </w:tcPr>
        <w:p w:rsidR="00BD52E0" w:rsidRPr="00755F22" w:rsidRDefault="00BD52E0" w:rsidP="00831CA9">
          <w:pPr>
            <w:keepLines/>
            <w:rPr>
              <w:sz w:val="22"/>
              <w:lang w:val="fr-CA"/>
            </w:rPr>
          </w:pPr>
          <w:r w:rsidRPr="00755F22">
            <w:rPr>
              <w:sz w:val="22"/>
              <w:lang w:val="fr-CA"/>
            </w:rPr>
            <w:t>TAXATION DES DÉPENS</w:t>
          </w:r>
        </w:p>
      </w:tc>
    </w:tr>
  </w:tbl>
  <w:p w:rsidR="00BD52E0" w:rsidRDefault="00BD52E0" w:rsidP="00EB2B90">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D52E0" w:rsidRPr="0044776A" w:rsidTr="00245129">
      <w:tc>
        <w:tcPr>
          <w:tcW w:w="4290" w:type="dxa"/>
          <w:tcMar>
            <w:left w:w="0" w:type="dxa"/>
            <w:right w:w="0" w:type="dxa"/>
          </w:tcMar>
        </w:tcPr>
        <w:p w:rsidR="00BD52E0" w:rsidRPr="0044776A" w:rsidRDefault="00BD52E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D52E0" w:rsidRPr="0044776A" w:rsidRDefault="00BD52E0" w:rsidP="002E2327">
          <w:pPr>
            <w:keepNext/>
            <w:keepLines/>
            <w:tabs>
              <w:tab w:val="left" w:pos="-1440"/>
              <w:tab w:val="left" w:pos="-720"/>
            </w:tabs>
            <w:jc w:val="center"/>
            <w:rPr>
              <w:sz w:val="20"/>
              <w:szCs w:val="20"/>
            </w:rPr>
          </w:pPr>
        </w:p>
        <w:p w:rsidR="00BD52E0" w:rsidRPr="0044776A" w:rsidRDefault="00BD52E0" w:rsidP="002E2327">
          <w:pPr>
            <w:keepNext/>
            <w:keepLines/>
            <w:tabs>
              <w:tab w:val="left" w:pos="-1440"/>
              <w:tab w:val="left" w:pos="-720"/>
            </w:tabs>
            <w:jc w:val="center"/>
            <w:rPr>
              <w:sz w:val="20"/>
              <w:szCs w:val="20"/>
            </w:rPr>
          </w:pPr>
        </w:p>
        <w:p w:rsidR="00BD52E0" w:rsidRPr="0044776A" w:rsidRDefault="00BD52E0" w:rsidP="002E2327">
          <w:pPr>
            <w:keepNext/>
            <w:keepLines/>
            <w:tabs>
              <w:tab w:val="left" w:pos="-1440"/>
              <w:tab w:val="left" w:pos="-720"/>
            </w:tabs>
            <w:jc w:val="center"/>
            <w:rPr>
              <w:sz w:val="20"/>
              <w:szCs w:val="20"/>
            </w:rPr>
          </w:pPr>
        </w:p>
      </w:tc>
      <w:tc>
        <w:tcPr>
          <w:tcW w:w="4320" w:type="dxa"/>
          <w:tcMar>
            <w:left w:w="0" w:type="dxa"/>
            <w:right w:w="0" w:type="dxa"/>
          </w:tcMar>
        </w:tcPr>
        <w:p w:rsidR="00BD52E0" w:rsidRPr="0044776A" w:rsidRDefault="00BD52E0" w:rsidP="002E2327">
          <w:pPr>
            <w:keepLines/>
            <w:rPr>
              <w:sz w:val="20"/>
              <w:szCs w:val="20"/>
              <w:lang w:val="fr-CA"/>
            </w:rPr>
          </w:pPr>
          <w:r w:rsidRPr="0044776A">
            <w:rPr>
              <w:sz w:val="20"/>
              <w:szCs w:val="20"/>
              <w:lang w:val="fr-CA"/>
            </w:rPr>
            <w:t>DEMANDES D'AUTORISATION D'APPEL DÉPOSÉES</w:t>
          </w:r>
        </w:p>
      </w:tc>
    </w:tr>
  </w:tbl>
  <w:p w:rsidR="00BD52E0" w:rsidRDefault="00BD52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D52E0" w:rsidRPr="00C163A8" w:rsidTr="00245129">
      <w:tc>
        <w:tcPr>
          <w:tcW w:w="4200" w:type="dxa"/>
          <w:tcMar>
            <w:left w:w="0" w:type="dxa"/>
            <w:right w:w="0" w:type="dxa"/>
          </w:tcMar>
        </w:tcPr>
        <w:p w:rsidR="00BD52E0" w:rsidRPr="0044776A" w:rsidRDefault="00BD52E0" w:rsidP="0044776A">
          <w:pPr>
            <w:keepNext/>
            <w:keepLines/>
            <w:widowControl w:val="0"/>
            <w:rPr>
              <w:sz w:val="20"/>
              <w:szCs w:val="20"/>
            </w:rPr>
          </w:pPr>
          <w:r>
            <w:rPr>
              <w:sz w:val="20"/>
              <w:szCs w:val="20"/>
            </w:rPr>
            <w:t>APPLICATIONS FOR LEAVE</w:t>
          </w:r>
        </w:p>
        <w:p w:rsidR="00BD52E0" w:rsidRPr="0044776A" w:rsidRDefault="00BD52E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D52E0" w:rsidRPr="0044776A" w:rsidRDefault="00BD52E0" w:rsidP="0044776A">
          <w:pPr>
            <w:keepNext/>
            <w:keepLines/>
            <w:widowControl w:val="0"/>
            <w:jc w:val="center"/>
            <w:rPr>
              <w:sz w:val="20"/>
              <w:szCs w:val="20"/>
            </w:rPr>
          </w:pPr>
        </w:p>
        <w:p w:rsidR="00BD52E0" w:rsidRPr="0044776A" w:rsidRDefault="00BD52E0" w:rsidP="0044776A">
          <w:pPr>
            <w:keepNext/>
            <w:keepLines/>
            <w:widowControl w:val="0"/>
            <w:jc w:val="center"/>
            <w:rPr>
              <w:sz w:val="20"/>
              <w:szCs w:val="20"/>
            </w:rPr>
          </w:pPr>
        </w:p>
        <w:p w:rsidR="00BD52E0" w:rsidRPr="0044776A" w:rsidRDefault="00BD52E0" w:rsidP="0044776A">
          <w:pPr>
            <w:keepNext/>
            <w:keepLines/>
            <w:widowControl w:val="0"/>
            <w:jc w:val="center"/>
            <w:rPr>
              <w:sz w:val="20"/>
              <w:szCs w:val="20"/>
            </w:rPr>
          </w:pPr>
        </w:p>
      </w:tc>
      <w:tc>
        <w:tcPr>
          <w:tcW w:w="4080" w:type="dxa"/>
          <w:tcMar>
            <w:left w:w="0" w:type="dxa"/>
            <w:right w:w="0" w:type="dxa"/>
          </w:tcMar>
        </w:tcPr>
        <w:p w:rsidR="00BD52E0" w:rsidRPr="0044776A" w:rsidRDefault="00BD52E0" w:rsidP="0044776A">
          <w:pPr>
            <w:keepLines/>
            <w:widowControl w:val="0"/>
            <w:rPr>
              <w:sz w:val="20"/>
              <w:szCs w:val="20"/>
              <w:lang w:val="fr-CA"/>
            </w:rPr>
          </w:pPr>
          <w:r w:rsidRPr="0044776A">
            <w:rPr>
              <w:sz w:val="20"/>
              <w:szCs w:val="20"/>
              <w:lang w:val="fr-CA"/>
            </w:rPr>
            <w:t>DEMANDES SOUMISES À LA COUR DEPUIS LA DERNIÈRE PARUTION</w:t>
          </w:r>
        </w:p>
        <w:p w:rsidR="00BD52E0" w:rsidRPr="0044776A" w:rsidRDefault="00BD52E0" w:rsidP="0044776A">
          <w:pPr>
            <w:widowControl w:val="0"/>
            <w:rPr>
              <w:sz w:val="20"/>
              <w:szCs w:val="20"/>
              <w:lang w:val="fr-CA"/>
            </w:rPr>
          </w:pPr>
        </w:p>
      </w:tc>
    </w:tr>
  </w:tbl>
  <w:p w:rsidR="00BD52E0" w:rsidRPr="002E2327" w:rsidRDefault="00BD52E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E0" w:rsidRDefault="00BD52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D52E0" w:rsidRPr="00C163A8">
      <w:tc>
        <w:tcPr>
          <w:tcW w:w="4200" w:type="dxa"/>
          <w:tcMar>
            <w:left w:w="0" w:type="dxa"/>
            <w:right w:w="0" w:type="dxa"/>
          </w:tcMar>
        </w:tcPr>
        <w:p w:rsidR="00BD52E0" w:rsidRDefault="00BD5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D52E0" w:rsidRDefault="00BD5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D52E0"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D52E0" w:rsidRPr="00FF6BA5"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D52E0" w:rsidRPr="00FF6BA5"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D52E0" w:rsidRPr="00FF6BA5"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D52E0" w:rsidRPr="00FF6BA5" w:rsidRDefault="00BD5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D52E0" w:rsidRPr="00C163A8" w:rsidTr="00245129">
      <w:tc>
        <w:tcPr>
          <w:tcW w:w="4200" w:type="dxa"/>
          <w:tcMar>
            <w:left w:w="0" w:type="dxa"/>
            <w:right w:w="0" w:type="dxa"/>
          </w:tcMar>
        </w:tcPr>
        <w:p w:rsidR="00BD52E0" w:rsidRPr="00755F22" w:rsidRDefault="00BD5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D52E0" w:rsidRPr="00755F22" w:rsidRDefault="00BD5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D52E0" w:rsidRPr="00755F22" w:rsidRDefault="00BD52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D52E0" w:rsidRPr="00755F22" w:rsidRDefault="00BD52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D52E0" w:rsidRPr="00755F22" w:rsidRDefault="00BD52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D52E0" w:rsidRPr="00755F22" w:rsidRDefault="00BD52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D52E0" w:rsidRPr="00FF6BA5" w:rsidRDefault="00BD52E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5547"/>
  </w:hdrShapeDefaults>
  <w:footnotePr>
    <w:footnote w:id="-1"/>
    <w:footnote w:id="0"/>
  </w:footnotePr>
  <w:endnotePr>
    <w:endnote w:id="-1"/>
    <w:endnote w:id="0"/>
  </w:endnotePr>
  <w:compat>
    <w:compatSetting w:name="compatibilityMode" w:uri="http://schemas.microsoft.com/office/word" w:val="12"/>
  </w:compat>
  <w:rsids>
    <w:rsidRoot w:val="003910AB"/>
    <w:rsid w:val="000170F8"/>
    <w:rsid w:val="0003223B"/>
    <w:rsid w:val="000327B2"/>
    <w:rsid w:val="0004528B"/>
    <w:rsid w:val="0007047B"/>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83454"/>
    <w:rsid w:val="001B157C"/>
    <w:rsid w:val="001B4006"/>
    <w:rsid w:val="001B5C23"/>
    <w:rsid w:val="001D0D5F"/>
    <w:rsid w:val="001D6B8C"/>
    <w:rsid w:val="001F1F83"/>
    <w:rsid w:val="001F40DF"/>
    <w:rsid w:val="00201407"/>
    <w:rsid w:val="002021A9"/>
    <w:rsid w:val="002129D7"/>
    <w:rsid w:val="002139A7"/>
    <w:rsid w:val="00215F7C"/>
    <w:rsid w:val="0022323B"/>
    <w:rsid w:val="00227FFE"/>
    <w:rsid w:val="002410B8"/>
    <w:rsid w:val="00242AEE"/>
    <w:rsid w:val="00245129"/>
    <w:rsid w:val="00245879"/>
    <w:rsid w:val="00267FD5"/>
    <w:rsid w:val="00274D34"/>
    <w:rsid w:val="00283ED8"/>
    <w:rsid w:val="0028466F"/>
    <w:rsid w:val="002868D0"/>
    <w:rsid w:val="002A008C"/>
    <w:rsid w:val="002A27D1"/>
    <w:rsid w:val="002A4AFA"/>
    <w:rsid w:val="002B516C"/>
    <w:rsid w:val="002D72EB"/>
    <w:rsid w:val="002E2327"/>
    <w:rsid w:val="002E3583"/>
    <w:rsid w:val="002E5576"/>
    <w:rsid w:val="002F385F"/>
    <w:rsid w:val="00306E0B"/>
    <w:rsid w:val="0031072F"/>
    <w:rsid w:val="00331B52"/>
    <w:rsid w:val="003359D3"/>
    <w:rsid w:val="00355967"/>
    <w:rsid w:val="00365225"/>
    <w:rsid w:val="00382C47"/>
    <w:rsid w:val="00384384"/>
    <w:rsid w:val="003866AE"/>
    <w:rsid w:val="003910AB"/>
    <w:rsid w:val="003B3977"/>
    <w:rsid w:val="003E1D4C"/>
    <w:rsid w:val="00403744"/>
    <w:rsid w:val="00405087"/>
    <w:rsid w:val="00415405"/>
    <w:rsid w:val="00432989"/>
    <w:rsid w:val="00440E24"/>
    <w:rsid w:val="0044776A"/>
    <w:rsid w:val="00460AFC"/>
    <w:rsid w:val="0047471F"/>
    <w:rsid w:val="00477F7E"/>
    <w:rsid w:val="004B195E"/>
    <w:rsid w:val="004B66B4"/>
    <w:rsid w:val="004B7B52"/>
    <w:rsid w:val="004B7F60"/>
    <w:rsid w:val="004C1AAC"/>
    <w:rsid w:val="004E1E0A"/>
    <w:rsid w:val="004F090E"/>
    <w:rsid w:val="00501F3C"/>
    <w:rsid w:val="0052229C"/>
    <w:rsid w:val="00527CC7"/>
    <w:rsid w:val="00571CA4"/>
    <w:rsid w:val="00582136"/>
    <w:rsid w:val="00583023"/>
    <w:rsid w:val="00584E5B"/>
    <w:rsid w:val="005A7100"/>
    <w:rsid w:val="005C6840"/>
    <w:rsid w:val="005F1ED8"/>
    <w:rsid w:val="005F263E"/>
    <w:rsid w:val="00600252"/>
    <w:rsid w:val="00612A40"/>
    <w:rsid w:val="0062714A"/>
    <w:rsid w:val="00675479"/>
    <w:rsid w:val="00680709"/>
    <w:rsid w:val="00682D1A"/>
    <w:rsid w:val="00696BF9"/>
    <w:rsid w:val="00697C62"/>
    <w:rsid w:val="006A2066"/>
    <w:rsid w:val="006A329B"/>
    <w:rsid w:val="006A7EB8"/>
    <w:rsid w:val="006B6926"/>
    <w:rsid w:val="006C3F47"/>
    <w:rsid w:val="006C5F7A"/>
    <w:rsid w:val="006E06AF"/>
    <w:rsid w:val="006F350F"/>
    <w:rsid w:val="006F6BA0"/>
    <w:rsid w:val="00732DB7"/>
    <w:rsid w:val="0074238B"/>
    <w:rsid w:val="00745EF7"/>
    <w:rsid w:val="00755F22"/>
    <w:rsid w:val="00766E4A"/>
    <w:rsid w:val="007820CE"/>
    <w:rsid w:val="00782AE4"/>
    <w:rsid w:val="0079380A"/>
    <w:rsid w:val="0079724F"/>
    <w:rsid w:val="007A3EAE"/>
    <w:rsid w:val="007C04FC"/>
    <w:rsid w:val="007C47C2"/>
    <w:rsid w:val="007D3E0F"/>
    <w:rsid w:val="007E4282"/>
    <w:rsid w:val="007F387B"/>
    <w:rsid w:val="00802863"/>
    <w:rsid w:val="00815B3C"/>
    <w:rsid w:val="0081610A"/>
    <w:rsid w:val="0082783A"/>
    <w:rsid w:val="00831CA9"/>
    <w:rsid w:val="00850E1F"/>
    <w:rsid w:val="0085476B"/>
    <w:rsid w:val="0086340B"/>
    <w:rsid w:val="00890FEB"/>
    <w:rsid w:val="00895E7E"/>
    <w:rsid w:val="008A5C1A"/>
    <w:rsid w:val="008B5DBE"/>
    <w:rsid w:val="008D292F"/>
    <w:rsid w:val="008E03DC"/>
    <w:rsid w:val="008E4E88"/>
    <w:rsid w:val="008F72E8"/>
    <w:rsid w:val="00902E51"/>
    <w:rsid w:val="00924065"/>
    <w:rsid w:val="00930D68"/>
    <w:rsid w:val="00932DB4"/>
    <w:rsid w:val="00941A4B"/>
    <w:rsid w:val="00946242"/>
    <w:rsid w:val="0095096B"/>
    <w:rsid w:val="00970CD3"/>
    <w:rsid w:val="009723FA"/>
    <w:rsid w:val="009831B9"/>
    <w:rsid w:val="00984546"/>
    <w:rsid w:val="00996510"/>
    <w:rsid w:val="009D1F15"/>
    <w:rsid w:val="009D555E"/>
    <w:rsid w:val="009F3024"/>
    <w:rsid w:val="00A0355E"/>
    <w:rsid w:val="00A375D1"/>
    <w:rsid w:val="00A51D10"/>
    <w:rsid w:val="00A52A83"/>
    <w:rsid w:val="00A6552C"/>
    <w:rsid w:val="00A809A9"/>
    <w:rsid w:val="00A87207"/>
    <w:rsid w:val="00A935AA"/>
    <w:rsid w:val="00A9484F"/>
    <w:rsid w:val="00A956D3"/>
    <w:rsid w:val="00A96BD2"/>
    <w:rsid w:val="00AB2201"/>
    <w:rsid w:val="00AC7F6B"/>
    <w:rsid w:val="00AD3259"/>
    <w:rsid w:val="00AF1715"/>
    <w:rsid w:val="00AF3904"/>
    <w:rsid w:val="00B010C0"/>
    <w:rsid w:val="00B10C8D"/>
    <w:rsid w:val="00B34F87"/>
    <w:rsid w:val="00B40890"/>
    <w:rsid w:val="00B4740D"/>
    <w:rsid w:val="00B61629"/>
    <w:rsid w:val="00B7374B"/>
    <w:rsid w:val="00B90DC0"/>
    <w:rsid w:val="00B93BB8"/>
    <w:rsid w:val="00BA116A"/>
    <w:rsid w:val="00BA5582"/>
    <w:rsid w:val="00BA6468"/>
    <w:rsid w:val="00BB1D44"/>
    <w:rsid w:val="00BD06DA"/>
    <w:rsid w:val="00BD4217"/>
    <w:rsid w:val="00BD52E0"/>
    <w:rsid w:val="00BF25F3"/>
    <w:rsid w:val="00BF55DC"/>
    <w:rsid w:val="00C163A8"/>
    <w:rsid w:val="00C1697B"/>
    <w:rsid w:val="00C21644"/>
    <w:rsid w:val="00C21CB5"/>
    <w:rsid w:val="00C27416"/>
    <w:rsid w:val="00C50A5C"/>
    <w:rsid w:val="00C50FDF"/>
    <w:rsid w:val="00C5198D"/>
    <w:rsid w:val="00C63381"/>
    <w:rsid w:val="00C73D06"/>
    <w:rsid w:val="00C73E1B"/>
    <w:rsid w:val="00C759B4"/>
    <w:rsid w:val="00C77713"/>
    <w:rsid w:val="00C85BB7"/>
    <w:rsid w:val="00C905B9"/>
    <w:rsid w:val="00CA12C8"/>
    <w:rsid w:val="00CA2DEA"/>
    <w:rsid w:val="00CB3520"/>
    <w:rsid w:val="00CB43D5"/>
    <w:rsid w:val="00CC4D84"/>
    <w:rsid w:val="00CE197F"/>
    <w:rsid w:val="00CE198A"/>
    <w:rsid w:val="00CF08C8"/>
    <w:rsid w:val="00D004FC"/>
    <w:rsid w:val="00D64901"/>
    <w:rsid w:val="00D76BDF"/>
    <w:rsid w:val="00D862C1"/>
    <w:rsid w:val="00D93B50"/>
    <w:rsid w:val="00D94028"/>
    <w:rsid w:val="00D94670"/>
    <w:rsid w:val="00DA1E9C"/>
    <w:rsid w:val="00DA46F6"/>
    <w:rsid w:val="00DD0B49"/>
    <w:rsid w:val="00DE0502"/>
    <w:rsid w:val="00DE349D"/>
    <w:rsid w:val="00E06DFA"/>
    <w:rsid w:val="00E20A0A"/>
    <w:rsid w:val="00E356C7"/>
    <w:rsid w:val="00E41A5A"/>
    <w:rsid w:val="00E45FE4"/>
    <w:rsid w:val="00E64FA7"/>
    <w:rsid w:val="00E770CB"/>
    <w:rsid w:val="00E77667"/>
    <w:rsid w:val="00E903A1"/>
    <w:rsid w:val="00E940EB"/>
    <w:rsid w:val="00E9703F"/>
    <w:rsid w:val="00EB2B90"/>
    <w:rsid w:val="00ED7E83"/>
    <w:rsid w:val="00EE091F"/>
    <w:rsid w:val="00EE5548"/>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59EF"/>
    <w:rsid w:val="00FA5B55"/>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1">
    <w:name w:val="scclsocparty1"/>
    <w:basedOn w:val="Normal"/>
    <w:rsid w:val="00C27416"/>
    <w:pPr>
      <w:jc w:val="both"/>
    </w:pPr>
    <w:rPr>
      <w:rFonts w:eastAsia="Times New Roman" w:cs="Times New Roman"/>
      <w:b/>
      <w:bCs/>
      <w:szCs w:val="24"/>
      <w:lang w:val="fr-CA" w:eastAsia="fr-CA"/>
    </w:rPr>
  </w:style>
  <w:style w:type="paragraph" w:customStyle="1" w:styleId="SCCLsocParty">
    <w:name w:val="SCC.Lsoc.Party"/>
    <w:basedOn w:val="Normal"/>
    <w:next w:val="Normal"/>
    <w:link w:val="SCCLsocPartyChar"/>
    <w:rsid w:val="00A9484F"/>
    <w:pPr>
      <w:jc w:val="center"/>
    </w:pPr>
    <w:rPr>
      <w:rFonts w:eastAsia="Calibri" w:cs="Times New Roman"/>
      <w:lang w:val="fr-CA"/>
    </w:rPr>
  </w:style>
  <w:style w:type="character" w:customStyle="1" w:styleId="SCCLsocPartyChar">
    <w:name w:val="SCC.Lsoc.Party Char"/>
    <w:basedOn w:val="DefaultParagraphFont"/>
    <w:link w:val="SCCLsocParty"/>
    <w:rsid w:val="00A9484F"/>
    <w:rPr>
      <w:rFonts w:eastAsia="Calibri" w:cs="Times New Roman"/>
      <w:lang w:val="fr-CA"/>
    </w:rPr>
  </w:style>
  <w:style w:type="character" w:customStyle="1" w:styleId="documentstaticurl">
    <w:name w:val="documentstaticurl"/>
    <w:basedOn w:val="DefaultParagraphFont"/>
    <w:rsid w:val="00583023"/>
  </w:style>
  <w:style w:type="table" w:customStyle="1" w:styleId="TableGrid2">
    <w:name w:val="Table Grid2"/>
    <w:basedOn w:val="TableNormal"/>
    <w:next w:val="TableGrid"/>
    <w:uiPriority w:val="59"/>
    <w:rsid w:val="00FA5B55"/>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t/fqv37" TargetMode="External"/><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2xch" TargetMode="External"/><Relationship Id="rId33" Type="http://schemas.openxmlformats.org/officeDocument/2006/relationships/hyperlink" Target="http://canlii.ca/t/g476t" TargetMode="External"/><Relationship Id="rId38" Type="http://schemas.openxmlformats.org/officeDocument/2006/relationships/header" Target="header10.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canlii.ca/t/g65s6" TargetMode="Externa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canlii.ca/t/fqv37" TargetMode="External"/><Relationship Id="rId32" Type="http://schemas.openxmlformats.org/officeDocument/2006/relationships/hyperlink" Target="http://canlii.ca/t/g476t" TargetMode="Externa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65s6" TargetMode="External"/><Relationship Id="rId36" Type="http://schemas.openxmlformats.org/officeDocument/2006/relationships/footer" Target="footer8.xml"/><Relationship Id="rId49"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on/onca/doc/2014/2014onca108/2014onca108.html?searchUrlHash=AAAAAQAaU2VndWluIChUb3duc2hpcCkgdi4gSGFtZXIAAAAAAQ" TargetMode="External"/><Relationship Id="rId44" Type="http://schemas.openxmlformats.org/officeDocument/2006/relationships/header" Target="header13.xml"/><Relationship Id="rId52"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g2xch" TargetMode="External"/><Relationship Id="rId30" Type="http://schemas.openxmlformats.org/officeDocument/2006/relationships/hyperlink" Target="http://www.canlii.org/en/on/onca/doc/2014/2014onca108/2014onca108.html?searchUrlHash=AAAAAQAaU2VndWluIChUb3duc2hpcCkgdi4gSGFtZXIAAAAAAQ" TargetMode="External"/><Relationship Id="rId35" Type="http://schemas.openxmlformats.org/officeDocument/2006/relationships/header" Target="header9.xml"/><Relationship Id="rId43" Type="http://schemas.openxmlformats.org/officeDocument/2006/relationships/footer" Target="footer12.xml"/><Relationship Id="rId48" Type="http://schemas.openxmlformats.org/officeDocument/2006/relationships/footer" Target="footer14.xml"/><Relationship Id="rId8" Type="http://schemas.openxmlformats.org/officeDocument/2006/relationships/hyperlink" Target="http://www.scc-csc.ca" TargetMode="External"/><Relationship Id="rId51" Type="http://schemas.openxmlformats.org/officeDocument/2006/relationships/footer" Target="footer16.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9942</Words>
  <Characters>56675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2014-06-27T20:25:00Z</dcterms:created>
  <dcterms:modified xsi:type="dcterms:W3CDTF">2015-12-04T16:15:00Z</dcterms:modified>
</cp:coreProperties>
</file>