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944C2E"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44C2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44C2E"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944C2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44C2E" w:rsidTr="002E5576">
        <w:tc>
          <w:tcPr>
            <w:tcW w:w="4518" w:type="dxa"/>
          </w:tcPr>
          <w:p w:rsidR="00BF25F3" w:rsidRPr="002E2327" w:rsidRDefault="00935682"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935682"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44C2E"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944C2E"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944C2E">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944C2E">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Ju</w:t>
      </w:r>
      <w:r w:rsidR="00CD7089">
        <w:rPr>
          <w:lang w:val="fr-CA"/>
        </w:rPr>
        <w:t>ly</w:t>
      </w:r>
      <w:r w:rsidR="00440E24" w:rsidRPr="00675479">
        <w:rPr>
          <w:lang w:val="fr-CA"/>
        </w:rPr>
        <w:t xml:space="preserve"> </w:t>
      </w:r>
      <w:r w:rsidR="00CD7089">
        <w:rPr>
          <w:lang w:val="fr-CA"/>
        </w:rPr>
        <w:t>18</w:t>
      </w:r>
      <w:r w:rsidR="00440E24" w:rsidRPr="00675479">
        <w:rPr>
          <w:lang w:val="fr-CA"/>
        </w:rPr>
        <w:t>, 201</w:t>
      </w:r>
      <w:r w:rsidR="00501F3C">
        <w:rPr>
          <w:lang w:val="fr-CA"/>
        </w:rPr>
        <w:t>4</w:t>
      </w:r>
      <w:r w:rsidR="00F0068D" w:rsidRPr="00675479">
        <w:rPr>
          <w:lang w:val="fr-CA"/>
        </w:rPr>
        <w:tab/>
        <w:t>1</w:t>
      </w:r>
      <w:r w:rsidR="007622FA">
        <w:rPr>
          <w:lang w:val="fr-CA"/>
        </w:rPr>
        <w:t>151</w:t>
      </w:r>
      <w:r w:rsidR="00F0068D" w:rsidRPr="00675479">
        <w:rPr>
          <w:lang w:val="fr-CA"/>
        </w:rPr>
        <w:t xml:space="preserve"> - </w:t>
      </w:r>
      <w:r w:rsidR="00822B8B">
        <w:rPr>
          <w:lang w:val="fr-CA"/>
        </w:rPr>
        <w:t>1186</w:t>
      </w:r>
      <w:r w:rsidR="00440E24" w:rsidRPr="00675479">
        <w:rPr>
          <w:lang w:val="fr-CA"/>
        </w:rPr>
        <w:tab/>
      </w:r>
      <w:r w:rsidR="00440E24" w:rsidRPr="002E2327">
        <w:rPr>
          <w:lang w:val="fr-CA"/>
        </w:rPr>
        <w:t>Le</w:t>
      </w:r>
      <w:r>
        <w:rPr>
          <w:lang w:val="fr-CA"/>
        </w:rPr>
        <w:t xml:space="preserve"> </w:t>
      </w:r>
      <w:r w:rsidR="00CD7089">
        <w:rPr>
          <w:lang w:val="fr-CA"/>
        </w:rPr>
        <w:t>18</w:t>
      </w:r>
      <w:r>
        <w:rPr>
          <w:lang w:val="fr-CA"/>
        </w:rPr>
        <w:t xml:space="preserve"> j</w:t>
      </w:r>
      <w:r w:rsidR="00CD7089">
        <w:rPr>
          <w:lang w:val="fr-CA"/>
        </w:rPr>
        <w:t>u</w:t>
      </w:r>
      <w:r w:rsidR="00440E24" w:rsidRPr="002E2327">
        <w:rPr>
          <w:lang w:val="fr-CA"/>
        </w:rPr>
        <w:t>i</w:t>
      </w:r>
      <w:r w:rsidR="00CD7089">
        <w:rPr>
          <w:lang w:val="fr-CA"/>
        </w:rPr>
        <w:t>ll</w:t>
      </w:r>
      <w:r>
        <w:rPr>
          <w:lang w:val="fr-CA"/>
        </w:rPr>
        <w:t>e</w:t>
      </w:r>
      <w:r w:rsidR="00CD7089">
        <w:rPr>
          <w:lang w:val="fr-CA"/>
        </w:rPr>
        <w:t>t</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8868E4"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DA7B3D">
            <w:pPr>
              <w:tabs>
                <w:tab w:val="right" w:pos="9360"/>
              </w:tabs>
              <w:rPr>
                <w:rFonts w:cs="Times New Roman"/>
                <w:sz w:val="20"/>
                <w:szCs w:val="20"/>
              </w:rPr>
            </w:pPr>
          </w:p>
        </w:tc>
        <w:tc>
          <w:tcPr>
            <w:tcW w:w="1980" w:type="dxa"/>
          </w:tcPr>
          <w:p w:rsidR="0095096B" w:rsidRPr="002E2327" w:rsidRDefault="00DA7B3D" w:rsidP="0095096B">
            <w:pPr>
              <w:jc w:val="center"/>
              <w:rPr>
                <w:rFonts w:cs="Times New Roman"/>
                <w:sz w:val="20"/>
                <w:szCs w:val="20"/>
              </w:rPr>
            </w:pPr>
            <w:r>
              <w:rPr>
                <w:rFonts w:cs="Times New Roman"/>
                <w:sz w:val="20"/>
                <w:szCs w:val="20"/>
              </w:rPr>
              <w:t xml:space="preserve">1151 </w:t>
            </w:r>
            <w:r w:rsidR="00935682" w:rsidRPr="002E2327">
              <w:rPr>
                <w:rFonts w:cs="Times New Roman"/>
                <w:sz w:val="20"/>
                <w:szCs w:val="20"/>
              </w:rPr>
              <w:fldChar w:fldCharType="begin"/>
            </w:r>
            <w:r w:rsidR="0095096B" w:rsidRPr="002E2327">
              <w:rPr>
                <w:rFonts w:cs="Times New Roman"/>
                <w:sz w:val="20"/>
                <w:szCs w:val="20"/>
              </w:rPr>
              <w:instrText xml:space="preserve"> SEQ CHAPTER \h \r 1</w:instrText>
            </w:r>
            <w:r w:rsidR="00935682"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1152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A7B3D" w:rsidP="0095096B">
            <w:pPr>
              <w:jc w:val="center"/>
              <w:rPr>
                <w:rFonts w:cs="Times New Roman"/>
                <w:sz w:val="20"/>
                <w:szCs w:val="20"/>
              </w:rPr>
            </w:pPr>
            <w:r>
              <w:rPr>
                <w:rFonts w:cs="Times New Roman"/>
                <w:sz w:val="20"/>
                <w:szCs w:val="20"/>
              </w:rPr>
              <w:t>1153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A7B3D" w:rsidP="0095096B">
            <w:pPr>
              <w:jc w:val="center"/>
              <w:rPr>
                <w:rFonts w:cs="Times New Roman"/>
                <w:sz w:val="20"/>
                <w:szCs w:val="20"/>
              </w:rPr>
            </w:pPr>
            <w:r>
              <w:rPr>
                <w:rFonts w:cs="Times New Roman"/>
                <w:sz w:val="20"/>
                <w:szCs w:val="20"/>
              </w:rPr>
              <w:t xml:space="preserve">1154 </w:t>
            </w:r>
            <w:r w:rsidR="0095096B" w:rsidRPr="002E2327">
              <w:rPr>
                <w:rFonts w:cs="Times New Roman"/>
                <w:sz w:val="20"/>
                <w:szCs w:val="20"/>
              </w:rPr>
              <w:t>-</w:t>
            </w:r>
            <w:r w:rsidR="00A0198D">
              <w:rPr>
                <w:rFonts w:cs="Times New Roman"/>
                <w:sz w:val="20"/>
                <w:szCs w:val="20"/>
              </w:rPr>
              <w:t xml:space="preserve"> 1172</w:t>
            </w:r>
          </w:p>
          <w:p w:rsidR="0095096B" w:rsidRDefault="0095096B" w:rsidP="0095096B">
            <w:pPr>
              <w:jc w:val="center"/>
              <w:rPr>
                <w:rFonts w:cs="Times New Roman"/>
                <w:sz w:val="20"/>
                <w:szCs w:val="20"/>
              </w:rPr>
            </w:pPr>
          </w:p>
          <w:p w:rsidR="00DA7B3D" w:rsidRPr="002E2327" w:rsidRDefault="00DA7B3D" w:rsidP="0095096B">
            <w:pPr>
              <w:jc w:val="center"/>
              <w:rPr>
                <w:rFonts w:cs="Times New Roman"/>
                <w:sz w:val="20"/>
                <w:szCs w:val="20"/>
              </w:rPr>
            </w:pPr>
          </w:p>
          <w:p w:rsidR="0095096B" w:rsidRPr="002E2327" w:rsidRDefault="00A0198D" w:rsidP="0095096B">
            <w:pPr>
              <w:jc w:val="center"/>
              <w:rPr>
                <w:rFonts w:cs="Times New Roman"/>
                <w:sz w:val="20"/>
                <w:szCs w:val="20"/>
              </w:rPr>
            </w:pPr>
            <w:r>
              <w:rPr>
                <w:rFonts w:cs="Times New Roman"/>
                <w:sz w:val="20"/>
                <w:szCs w:val="20"/>
              </w:rPr>
              <w:t xml:space="preserve">1173 </w:t>
            </w:r>
            <w:r w:rsidR="0095096B" w:rsidRPr="002E2327">
              <w:rPr>
                <w:rFonts w:cs="Times New Roman"/>
                <w:sz w:val="20"/>
                <w:szCs w:val="20"/>
              </w:rPr>
              <w:t>-</w:t>
            </w:r>
            <w:r>
              <w:rPr>
                <w:rFonts w:cs="Times New Roman"/>
                <w:sz w:val="20"/>
                <w:szCs w:val="20"/>
              </w:rPr>
              <w:t xml:space="preserve"> 1177</w:t>
            </w:r>
          </w:p>
          <w:p w:rsidR="0095096B" w:rsidRPr="002E2327" w:rsidRDefault="0095096B" w:rsidP="0095096B">
            <w:pPr>
              <w:jc w:val="center"/>
              <w:rPr>
                <w:rFonts w:cs="Times New Roman"/>
                <w:sz w:val="20"/>
                <w:szCs w:val="20"/>
              </w:rPr>
            </w:pPr>
          </w:p>
          <w:p w:rsidR="0095096B" w:rsidRDefault="00A0198D" w:rsidP="0095096B">
            <w:pPr>
              <w:jc w:val="center"/>
              <w:rPr>
                <w:rFonts w:cs="Times New Roman"/>
                <w:sz w:val="20"/>
                <w:szCs w:val="20"/>
              </w:rPr>
            </w:pPr>
            <w:r>
              <w:rPr>
                <w:rFonts w:cs="Times New Roman"/>
                <w:sz w:val="20"/>
                <w:szCs w:val="20"/>
              </w:rPr>
              <w:t>1178</w:t>
            </w:r>
          </w:p>
          <w:p w:rsidR="00DA7B3D" w:rsidRDefault="00DA7B3D" w:rsidP="0095096B">
            <w:pPr>
              <w:jc w:val="center"/>
              <w:rPr>
                <w:rFonts w:cs="Times New Roman"/>
                <w:sz w:val="20"/>
                <w:szCs w:val="20"/>
              </w:rPr>
            </w:pPr>
          </w:p>
          <w:p w:rsidR="00DA7B3D" w:rsidRPr="002E2327" w:rsidRDefault="00DA7B3D" w:rsidP="0095096B">
            <w:pPr>
              <w:jc w:val="center"/>
              <w:rPr>
                <w:rFonts w:cs="Times New Roman"/>
                <w:sz w:val="20"/>
                <w:szCs w:val="20"/>
              </w:rPr>
            </w:pPr>
          </w:p>
          <w:p w:rsidR="0095096B" w:rsidRPr="002E2327" w:rsidRDefault="00A0198D" w:rsidP="0095096B">
            <w:pPr>
              <w:jc w:val="center"/>
              <w:rPr>
                <w:rFonts w:cs="Times New Roman"/>
                <w:sz w:val="20"/>
                <w:szCs w:val="20"/>
              </w:rPr>
            </w:pPr>
            <w:r>
              <w:rPr>
                <w:rFonts w:cs="Times New Roman"/>
                <w:sz w:val="20"/>
                <w:szCs w:val="20"/>
              </w:rPr>
              <w:t>1179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0198D" w:rsidP="0095096B">
            <w:pPr>
              <w:jc w:val="center"/>
              <w:rPr>
                <w:rFonts w:cs="Times New Roman"/>
                <w:sz w:val="20"/>
                <w:szCs w:val="20"/>
              </w:rPr>
            </w:pPr>
            <w:r>
              <w:rPr>
                <w:rFonts w:cs="Times New Roman"/>
                <w:sz w:val="20"/>
                <w:szCs w:val="20"/>
              </w:rPr>
              <w:t xml:space="preserve">1180 </w:t>
            </w:r>
            <w:r w:rsidR="0095096B" w:rsidRPr="002E2327">
              <w:rPr>
                <w:rFonts w:cs="Times New Roman"/>
                <w:sz w:val="20"/>
                <w:szCs w:val="20"/>
              </w:rPr>
              <w:t>-</w:t>
            </w:r>
            <w:r w:rsidR="00822B8B">
              <w:rPr>
                <w:rFonts w:cs="Times New Roman"/>
                <w:sz w:val="20"/>
                <w:szCs w:val="20"/>
              </w:rPr>
              <w:t xml:space="preserve"> 1186</w:t>
            </w:r>
          </w:p>
          <w:p w:rsidR="00A87207" w:rsidRPr="002E2327" w:rsidRDefault="00A87207" w:rsidP="00DA7B3D">
            <w:pPr>
              <w:jc w:val="center"/>
              <w:rPr>
                <w:rFonts w:cs="Times New Roman"/>
                <w:sz w:val="20"/>
                <w:szCs w:val="20"/>
              </w:rPr>
            </w:pPr>
          </w:p>
        </w:tc>
        <w:tc>
          <w:tcPr>
            <w:tcW w:w="3888" w:type="dxa"/>
          </w:tcPr>
          <w:p w:rsidR="0095096B" w:rsidRPr="002E2327" w:rsidRDefault="00935682"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186320">
              <w:rPr>
                <w:rFonts w:cs="Times New Roman"/>
                <w:sz w:val="20"/>
                <w:szCs w:val="20"/>
                <w:lang w:val="fr-CA"/>
              </w:rPr>
              <w:t>’</w:t>
            </w:r>
            <w:r w:rsidR="0095096B" w:rsidRPr="002E2327">
              <w:rPr>
                <w:rFonts w:cs="Times New Roman"/>
                <w:sz w:val="20"/>
                <w:szCs w:val="20"/>
                <w:lang w:val="fr-CA"/>
              </w:rPr>
              <w:t>autorisation d</w:t>
            </w:r>
            <w:r w:rsidR="0018632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18632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18632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DA7B3D">
            <w:pPr>
              <w:rPr>
                <w:rFonts w:cs="Times New Roman"/>
                <w:sz w:val="20"/>
                <w:szCs w:val="20"/>
                <w:lang w:val="fr-CA"/>
              </w:rPr>
            </w:pPr>
          </w:p>
        </w:tc>
      </w:tr>
    </w:tbl>
    <w:p w:rsidR="0095096B" w:rsidRPr="008868E4" w:rsidRDefault="0095096B" w:rsidP="0095096B">
      <w:pPr>
        <w:tabs>
          <w:tab w:val="right" w:pos="9360"/>
        </w:tabs>
        <w:rPr>
          <w:lang w:val="fr-CA"/>
        </w:rPr>
      </w:pPr>
    </w:p>
    <w:p w:rsidR="00E2016D" w:rsidRPr="008868E4" w:rsidRDefault="00E2016D" w:rsidP="0095096B">
      <w:pPr>
        <w:tabs>
          <w:tab w:val="right" w:pos="9360"/>
        </w:tabs>
        <w:rPr>
          <w:lang w:val="fr-CA"/>
        </w:rPr>
      </w:pPr>
    </w:p>
    <w:p w:rsidR="00E2016D" w:rsidRPr="008868E4" w:rsidRDefault="00E2016D" w:rsidP="0095096B">
      <w:pPr>
        <w:tabs>
          <w:tab w:val="right" w:pos="9360"/>
        </w:tabs>
        <w:rPr>
          <w:lang w:val="fr-CA"/>
        </w:rPr>
      </w:pPr>
    </w:p>
    <w:p w:rsidR="00E2016D" w:rsidRPr="008868E4" w:rsidRDefault="00E2016D" w:rsidP="0095096B">
      <w:pPr>
        <w:tabs>
          <w:tab w:val="right" w:pos="9360"/>
        </w:tabs>
        <w:rPr>
          <w:lang w:val="fr-CA"/>
        </w:rPr>
      </w:pPr>
    </w:p>
    <w:p w:rsidR="00E2016D" w:rsidRPr="008868E4" w:rsidRDefault="00E2016D"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944C2E"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97756E" w:rsidRPr="00C21644" w:rsidTr="003B3977">
        <w:tc>
          <w:tcPr>
            <w:tcW w:w="4320" w:type="dxa"/>
            <w:shd w:val="clear" w:color="auto" w:fill="auto"/>
          </w:tcPr>
          <w:p w:rsidR="0097756E" w:rsidRPr="00A935AA" w:rsidRDefault="0097756E" w:rsidP="005F1ED8">
            <w:pPr>
              <w:rPr>
                <w:b/>
                <w:sz w:val="20"/>
                <w:szCs w:val="20"/>
              </w:rPr>
            </w:pPr>
            <w:r>
              <w:rPr>
                <w:b/>
                <w:sz w:val="20"/>
                <w:szCs w:val="20"/>
              </w:rPr>
              <w:t>Chibuike Nwagwu</w:t>
            </w:r>
          </w:p>
          <w:p w:rsidR="0097756E" w:rsidRPr="00A935AA" w:rsidRDefault="0097756E" w:rsidP="005F1ED8">
            <w:pPr>
              <w:tabs>
                <w:tab w:val="left" w:pos="-1440"/>
                <w:tab w:val="left" w:pos="-720"/>
              </w:tabs>
              <w:rPr>
                <w:sz w:val="20"/>
                <w:szCs w:val="20"/>
              </w:rPr>
            </w:pPr>
            <w:r w:rsidRPr="00A935AA">
              <w:rPr>
                <w:sz w:val="20"/>
                <w:szCs w:val="20"/>
              </w:rPr>
              <w:tab/>
            </w:r>
            <w:r>
              <w:rPr>
                <w:sz w:val="20"/>
                <w:szCs w:val="20"/>
              </w:rPr>
              <w:t xml:space="preserve">Chibuike Nwagwu </w:t>
            </w:r>
          </w:p>
          <w:p w:rsidR="0097756E" w:rsidRPr="00E2016D" w:rsidRDefault="0097756E" w:rsidP="005F1ED8">
            <w:pPr>
              <w:tabs>
                <w:tab w:val="left" w:pos="-1440"/>
                <w:tab w:val="left" w:pos="-720"/>
              </w:tabs>
              <w:rPr>
                <w:sz w:val="20"/>
                <w:szCs w:val="20"/>
              </w:rPr>
            </w:pPr>
          </w:p>
          <w:p w:rsidR="0097756E" w:rsidRPr="0097756E" w:rsidRDefault="0097756E" w:rsidP="005F1ED8">
            <w:pPr>
              <w:tabs>
                <w:tab w:val="left" w:pos="-1440"/>
                <w:tab w:val="left" w:pos="-720"/>
              </w:tabs>
              <w:rPr>
                <w:sz w:val="20"/>
                <w:szCs w:val="20"/>
              </w:rPr>
            </w:pPr>
            <w:r w:rsidRPr="00E2016D">
              <w:rPr>
                <w:sz w:val="20"/>
                <w:szCs w:val="20"/>
              </w:rPr>
              <w:tab/>
            </w:r>
            <w:r w:rsidRPr="0097756E">
              <w:rPr>
                <w:sz w:val="20"/>
                <w:szCs w:val="20"/>
              </w:rPr>
              <w:t>v. (35956)</w:t>
            </w:r>
          </w:p>
          <w:p w:rsidR="0097756E" w:rsidRPr="0097756E" w:rsidRDefault="0097756E" w:rsidP="005F1ED8">
            <w:pPr>
              <w:tabs>
                <w:tab w:val="left" w:pos="-1440"/>
                <w:tab w:val="left" w:pos="-720"/>
              </w:tabs>
              <w:rPr>
                <w:sz w:val="20"/>
                <w:szCs w:val="20"/>
              </w:rPr>
            </w:pPr>
          </w:p>
          <w:p w:rsidR="0097756E" w:rsidRPr="00A935AA" w:rsidRDefault="0097756E" w:rsidP="005F1ED8">
            <w:pPr>
              <w:tabs>
                <w:tab w:val="left" w:pos="-1440"/>
                <w:tab w:val="left" w:pos="-720"/>
              </w:tabs>
              <w:rPr>
                <w:b/>
                <w:sz w:val="20"/>
                <w:szCs w:val="20"/>
              </w:rPr>
            </w:pPr>
            <w:r w:rsidRPr="0097756E">
              <w:rPr>
                <w:b/>
                <w:sz w:val="20"/>
                <w:szCs w:val="20"/>
              </w:rPr>
              <w:t>Her Majesty the Queen (</w:t>
            </w:r>
            <w:r>
              <w:rPr>
                <w:b/>
                <w:sz w:val="20"/>
                <w:szCs w:val="20"/>
              </w:rPr>
              <w:t>Ont</w:t>
            </w:r>
            <w:r w:rsidRPr="00A935AA">
              <w:rPr>
                <w:b/>
                <w:sz w:val="20"/>
                <w:szCs w:val="20"/>
              </w:rPr>
              <w:t>.)</w:t>
            </w:r>
          </w:p>
          <w:p w:rsidR="0097756E" w:rsidRPr="00A935AA" w:rsidRDefault="0097756E" w:rsidP="005F1ED8">
            <w:pPr>
              <w:tabs>
                <w:tab w:val="left" w:pos="-1440"/>
                <w:tab w:val="left" w:pos="-720"/>
              </w:tabs>
              <w:rPr>
                <w:sz w:val="20"/>
                <w:szCs w:val="20"/>
              </w:rPr>
            </w:pPr>
            <w:r w:rsidRPr="00A935AA">
              <w:rPr>
                <w:sz w:val="20"/>
                <w:szCs w:val="20"/>
              </w:rPr>
              <w:tab/>
            </w:r>
            <w:r>
              <w:rPr>
                <w:sz w:val="20"/>
                <w:szCs w:val="20"/>
              </w:rPr>
              <w:t>John R. Patton</w:t>
            </w:r>
          </w:p>
          <w:p w:rsidR="0097756E" w:rsidRPr="00A935AA" w:rsidRDefault="0097756E" w:rsidP="005F1ED8">
            <w:pPr>
              <w:tabs>
                <w:tab w:val="left" w:pos="-1440"/>
                <w:tab w:val="left" w:pos="-720"/>
              </w:tabs>
              <w:rPr>
                <w:sz w:val="20"/>
                <w:szCs w:val="20"/>
              </w:rPr>
            </w:pPr>
            <w:r w:rsidRPr="00A935AA">
              <w:rPr>
                <w:sz w:val="20"/>
                <w:szCs w:val="20"/>
              </w:rPr>
              <w:tab/>
            </w:r>
            <w:r>
              <w:rPr>
                <w:sz w:val="20"/>
                <w:szCs w:val="20"/>
              </w:rPr>
              <w:t>A.G. of Ontario</w:t>
            </w:r>
          </w:p>
          <w:p w:rsidR="0097756E" w:rsidRPr="00A935AA" w:rsidRDefault="0097756E" w:rsidP="005F1ED8">
            <w:pPr>
              <w:tabs>
                <w:tab w:val="left" w:pos="-1440"/>
                <w:tab w:val="left" w:pos="-720"/>
              </w:tabs>
              <w:rPr>
                <w:sz w:val="20"/>
                <w:szCs w:val="20"/>
              </w:rPr>
            </w:pPr>
          </w:p>
          <w:p w:rsidR="0097756E" w:rsidRPr="00A935AA" w:rsidRDefault="0097756E" w:rsidP="005F1ED8">
            <w:pPr>
              <w:rPr>
                <w:sz w:val="20"/>
                <w:szCs w:val="20"/>
              </w:rPr>
            </w:pPr>
            <w:r w:rsidRPr="00A935AA">
              <w:rPr>
                <w:sz w:val="20"/>
                <w:szCs w:val="20"/>
              </w:rPr>
              <w:t xml:space="preserve">FILING DATE: </w:t>
            </w:r>
            <w:r>
              <w:rPr>
                <w:sz w:val="20"/>
                <w:szCs w:val="20"/>
              </w:rPr>
              <w:t>22</w:t>
            </w:r>
            <w:r w:rsidRPr="00A935AA">
              <w:rPr>
                <w:sz w:val="20"/>
                <w:szCs w:val="20"/>
              </w:rPr>
              <w:t>.</w:t>
            </w:r>
            <w:r>
              <w:rPr>
                <w:sz w:val="20"/>
                <w:szCs w:val="20"/>
              </w:rPr>
              <w:t>04</w:t>
            </w:r>
            <w:r w:rsidRPr="00A935AA">
              <w:rPr>
                <w:sz w:val="20"/>
                <w:szCs w:val="20"/>
              </w:rPr>
              <w:t>.201</w:t>
            </w:r>
            <w:r>
              <w:rPr>
                <w:sz w:val="20"/>
                <w:szCs w:val="20"/>
              </w:rPr>
              <w:t>4</w:t>
            </w:r>
          </w:p>
          <w:p w:rsidR="0097756E" w:rsidRPr="00A935AA" w:rsidRDefault="00944C2E"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97756E" w:rsidRPr="00A935AA" w:rsidRDefault="0097756E" w:rsidP="00242AEE">
            <w:pPr>
              <w:jc w:val="center"/>
              <w:rPr>
                <w:sz w:val="20"/>
                <w:szCs w:val="20"/>
              </w:rPr>
            </w:pPr>
          </w:p>
          <w:p w:rsidR="0097756E" w:rsidRPr="00A935AA" w:rsidRDefault="0097756E" w:rsidP="00242AEE">
            <w:pPr>
              <w:jc w:val="center"/>
              <w:rPr>
                <w:sz w:val="20"/>
                <w:szCs w:val="20"/>
              </w:rPr>
            </w:pPr>
          </w:p>
          <w:p w:rsidR="0097756E" w:rsidRPr="00A935AA" w:rsidRDefault="0097756E" w:rsidP="00242AEE">
            <w:pPr>
              <w:jc w:val="center"/>
              <w:rPr>
                <w:sz w:val="20"/>
                <w:szCs w:val="20"/>
              </w:rPr>
            </w:pPr>
          </w:p>
          <w:p w:rsidR="0097756E" w:rsidRPr="00A935AA" w:rsidRDefault="0097756E" w:rsidP="00242AEE">
            <w:pPr>
              <w:jc w:val="center"/>
              <w:rPr>
                <w:sz w:val="20"/>
                <w:szCs w:val="20"/>
              </w:rPr>
            </w:pPr>
          </w:p>
          <w:p w:rsidR="0097756E" w:rsidRPr="00A935AA" w:rsidRDefault="0097756E" w:rsidP="00242AEE">
            <w:pPr>
              <w:jc w:val="center"/>
              <w:rPr>
                <w:sz w:val="20"/>
                <w:szCs w:val="20"/>
              </w:rPr>
            </w:pPr>
          </w:p>
          <w:p w:rsidR="0097756E" w:rsidRPr="00A935AA" w:rsidRDefault="0097756E" w:rsidP="00242AEE">
            <w:pPr>
              <w:jc w:val="center"/>
              <w:rPr>
                <w:sz w:val="20"/>
                <w:szCs w:val="20"/>
              </w:rPr>
            </w:pPr>
          </w:p>
          <w:p w:rsidR="0097756E" w:rsidRPr="00A935AA" w:rsidRDefault="0097756E" w:rsidP="00242AEE">
            <w:pPr>
              <w:jc w:val="center"/>
              <w:rPr>
                <w:sz w:val="20"/>
                <w:szCs w:val="20"/>
              </w:rPr>
            </w:pPr>
          </w:p>
          <w:p w:rsidR="0097756E" w:rsidRPr="00A935AA" w:rsidRDefault="0097756E" w:rsidP="00242AEE">
            <w:pPr>
              <w:jc w:val="center"/>
              <w:rPr>
                <w:sz w:val="20"/>
                <w:szCs w:val="20"/>
              </w:rPr>
            </w:pPr>
          </w:p>
          <w:p w:rsidR="0097756E" w:rsidRPr="00A935AA" w:rsidRDefault="0097756E" w:rsidP="00242AEE">
            <w:pPr>
              <w:jc w:val="center"/>
              <w:rPr>
                <w:sz w:val="20"/>
                <w:szCs w:val="20"/>
              </w:rPr>
            </w:pPr>
          </w:p>
          <w:p w:rsidR="0097756E" w:rsidRPr="00A935AA" w:rsidRDefault="0097756E" w:rsidP="00242AEE">
            <w:pPr>
              <w:jc w:val="center"/>
              <w:rPr>
                <w:sz w:val="20"/>
                <w:szCs w:val="20"/>
              </w:rPr>
            </w:pPr>
          </w:p>
          <w:p w:rsidR="0097756E" w:rsidRPr="00A935AA" w:rsidRDefault="0097756E" w:rsidP="00242AEE">
            <w:pPr>
              <w:jc w:val="center"/>
              <w:rPr>
                <w:sz w:val="20"/>
                <w:szCs w:val="20"/>
              </w:rPr>
            </w:pPr>
          </w:p>
          <w:p w:rsidR="0097756E" w:rsidRPr="00A935AA" w:rsidRDefault="0097756E" w:rsidP="00242AEE">
            <w:pPr>
              <w:jc w:val="center"/>
              <w:rPr>
                <w:sz w:val="20"/>
                <w:szCs w:val="20"/>
              </w:rPr>
            </w:pPr>
          </w:p>
        </w:tc>
        <w:tc>
          <w:tcPr>
            <w:tcW w:w="4320" w:type="dxa"/>
            <w:shd w:val="clear" w:color="auto" w:fill="auto"/>
          </w:tcPr>
          <w:p w:rsidR="0097756E" w:rsidRPr="00A935AA" w:rsidRDefault="0097756E" w:rsidP="0097756E">
            <w:pPr>
              <w:keepNext/>
              <w:keepLines/>
              <w:tabs>
                <w:tab w:val="left" w:pos="-1440"/>
                <w:tab w:val="left" w:pos="-720"/>
              </w:tabs>
              <w:rPr>
                <w:b/>
                <w:sz w:val="20"/>
                <w:szCs w:val="20"/>
                <w:lang w:val="fr-CA"/>
              </w:rPr>
            </w:pPr>
            <w:r>
              <w:rPr>
                <w:b/>
                <w:sz w:val="20"/>
                <w:szCs w:val="20"/>
                <w:lang w:val="fr-CA"/>
              </w:rPr>
              <w:t>Noël Ayangma</w:t>
            </w:r>
          </w:p>
          <w:p w:rsidR="0097756E" w:rsidRPr="00A935AA" w:rsidRDefault="0097756E" w:rsidP="0097756E">
            <w:pPr>
              <w:keepNext/>
              <w:keepLines/>
              <w:tabs>
                <w:tab w:val="left" w:pos="-1440"/>
                <w:tab w:val="left" w:pos="-720"/>
              </w:tabs>
              <w:rPr>
                <w:sz w:val="20"/>
                <w:szCs w:val="20"/>
                <w:lang w:val="fr-CA"/>
              </w:rPr>
            </w:pPr>
            <w:r w:rsidRPr="00A935AA">
              <w:rPr>
                <w:sz w:val="20"/>
                <w:szCs w:val="20"/>
                <w:lang w:val="fr-CA"/>
              </w:rPr>
              <w:tab/>
            </w:r>
            <w:r>
              <w:rPr>
                <w:sz w:val="20"/>
                <w:szCs w:val="20"/>
                <w:lang w:val="fr-CA"/>
              </w:rPr>
              <w:t>Noël Ayangma</w:t>
            </w:r>
          </w:p>
          <w:p w:rsidR="0097756E" w:rsidRPr="00E2016D" w:rsidRDefault="0097756E" w:rsidP="0097756E">
            <w:pPr>
              <w:keepNext/>
              <w:keepLines/>
              <w:tabs>
                <w:tab w:val="left" w:pos="-1440"/>
                <w:tab w:val="left" w:pos="-720"/>
              </w:tabs>
              <w:rPr>
                <w:sz w:val="20"/>
                <w:szCs w:val="20"/>
                <w:lang w:val="fr-CA"/>
              </w:rPr>
            </w:pPr>
          </w:p>
          <w:p w:rsidR="0097756E" w:rsidRPr="00E2016D" w:rsidRDefault="0097756E" w:rsidP="0097756E">
            <w:pPr>
              <w:keepNext/>
              <w:keepLines/>
              <w:tabs>
                <w:tab w:val="left" w:pos="-1440"/>
                <w:tab w:val="left" w:pos="-720"/>
              </w:tabs>
              <w:rPr>
                <w:sz w:val="20"/>
                <w:szCs w:val="20"/>
                <w:lang w:val="fr-CA"/>
              </w:rPr>
            </w:pPr>
            <w:r w:rsidRPr="00E2016D">
              <w:rPr>
                <w:sz w:val="20"/>
                <w:szCs w:val="20"/>
                <w:lang w:val="fr-CA"/>
              </w:rPr>
              <w:tab/>
              <w:t>v. (35965)</w:t>
            </w:r>
          </w:p>
          <w:p w:rsidR="0097756E" w:rsidRPr="00E2016D" w:rsidRDefault="0097756E" w:rsidP="0097756E">
            <w:pPr>
              <w:keepNext/>
              <w:keepLines/>
              <w:tabs>
                <w:tab w:val="left" w:pos="-1440"/>
                <w:tab w:val="left" w:pos="-720"/>
              </w:tabs>
              <w:rPr>
                <w:sz w:val="20"/>
                <w:szCs w:val="20"/>
                <w:lang w:val="fr-CA"/>
              </w:rPr>
            </w:pPr>
          </w:p>
          <w:p w:rsidR="0097756E" w:rsidRPr="00A935AA" w:rsidRDefault="0097756E" w:rsidP="0097756E">
            <w:pPr>
              <w:keepNext/>
              <w:keepLines/>
              <w:tabs>
                <w:tab w:val="left" w:pos="-1440"/>
                <w:tab w:val="left" w:pos="-720"/>
              </w:tabs>
              <w:rPr>
                <w:b/>
                <w:sz w:val="20"/>
                <w:szCs w:val="20"/>
              </w:rPr>
            </w:pPr>
            <w:r>
              <w:rPr>
                <w:b/>
                <w:sz w:val="20"/>
                <w:szCs w:val="20"/>
              </w:rPr>
              <w:t xml:space="preserve">Prince Edward Island Teachers’ Federation </w:t>
            </w:r>
            <w:r w:rsidRPr="00A935AA">
              <w:rPr>
                <w:b/>
                <w:sz w:val="20"/>
                <w:szCs w:val="20"/>
              </w:rPr>
              <w:t>(</w:t>
            </w:r>
            <w:r>
              <w:rPr>
                <w:b/>
                <w:sz w:val="20"/>
                <w:szCs w:val="20"/>
              </w:rPr>
              <w:t>P.E.I</w:t>
            </w:r>
            <w:r w:rsidRPr="00A935AA">
              <w:rPr>
                <w:b/>
                <w:sz w:val="20"/>
                <w:szCs w:val="20"/>
              </w:rPr>
              <w:t>.)</w:t>
            </w:r>
          </w:p>
          <w:p w:rsidR="0097756E" w:rsidRPr="00A935AA" w:rsidRDefault="0097756E" w:rsidP="0097756E">
            <w:pPr>
              <w:keepNext/>
              <w:keepLines/>
              <w:tabs>
                <w:tab w:val="left" w:pos="-1440"/>
                <w:tab w:val="left" w:pos="-720"/>
              </w:tabs>
              <w:rPr>
                <w:sz w:val="20"/>
                <w:szCs w:val="20"/>
              </w:rPr>
            </w:pPr>
            <w:r w:rsidRPr="00A935AA">
              <w:rPr>
                <w:sz w:val="20"/>
                <w:szCs w:val="20"/>
              </w:rPr>
              <w:tab/>
            </w:r>
            <w:r>
              <w:rPr>
                <w:sz w:val="20"/>
                <w:szCs w:val="20"/>
              </w:rPr>
              <w:t>David C. Wallbridge</w:t>
            </w:r>
          </w:p>
          <w:p w:rsidR="0097756E" w:rsidRPr="00A935AA" w:rsidRDefault="0097756E" w:rsidP="0097756E">
            <w:pPr>
              <w:keepNext/>
              <w:keepLines/>
              <w:tabs>
                <w:tab w:val="left" w:pos="-1440"/>
                <w:tab w:val="left" w:pos="-720"/>
              </w:tabs>
              <w:rPr>
                <w:sz w:val="20"/>
                <w:szCs w:val="20"/>
              </w:rPr>
            </w:pPr>
            <w:r w:rsidRPr="00A935AA">
              <w:rPr>
                <w:sz w:val="20"/>
                <w:szCs w:val="20"/>
              </w:rPr>
              <w:tab/>
            </w:r>
            <w:r>
              <w:rPr>
                <w:sz w:val="20"/>
                <w:szCs w:val="20"/>
              </w:rPr>
              <w:t>Pink Larkin</w:t>
            </w:r>
          </w:p>
          <w:p w:rsidR="0097756E" w:rsidRPr="00A935AA" w:rsidRDefault="0097756E" w:rsidP="0097756E">
            <w:pPr>
              <w:keepNext/>
              <w:keepLines/>
              <w:tabs>
                <w:tab w:val="left" w:pos="-1440"/>
                <w:tab w:val="left" w:pos="-720"/>
              </w:tabs>
              <w:rPr>
                <w:sz w:val="20"/>
                <w:szCs w:val="20"/>
              </w:rPr>
            </w:pPr>
          </w:p>
          <w:p w:rsidR="0097756E" w:rsidRPr="00A935AA" w:rsidRDefault="0097756E" w:rsidP="0097756E">
            <w:pPr>
              <w:rPr>
                <w:sz w:val="20"/>
                <w:szCs w:val="20"/>
              </w:rPr>
            </w:pPr>
            <w:r w:rsidRPr="00A935AA">
              <w:rPr>
                <w:sz w:val="20"/>
                <w:szCs w:val="20"/>
              </w:rPr>
              <w:t xml:space="preserve">FILING DATE: </w:t>
            </w:r>
            <w:r>
              <w:rPr>
                <w:sz w:val="20"/>
                <w:szCs w:val="20"/>
              </w:rPr>
              <w:t>19</w:t>
            </w:r>
            <w:r w:rsidRPr="00A935AA">
              <w:rPr>
                <w:sz w:val="20"/>
                <w:szCs w:val="20"/>
              </w:rPr>
              <w:t>.0</w:t>
            </w:r>
            <w:r>
              <w:rPr>
                <w:sz w:val="20"/>
                <w:szCs w:val="20"/>
              </w:rPr>
              <w:t>6</w:t>
            </w:r>
            <w:r w:rsidRPr="00A935AA">
              <w:rPr>
                <w:sz w:val="20"/>
                <w:szCs w:val="20"/>
              </w:rPr>
              <w:t>.201</w:t>
            </w:r>
            <w:r>
              <w:rPr>
                <w:sz w:val="20"/>
                <w:szCs w:val="20"/>
              </w:rPr>
              <w:t>4</w:t>
            </w:r>
            <w:r w:rsidR="00944C2E">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97756E" w:rsidRDefault="0097756E" w:rsidP="003B3977">
            <w:pPr>
              <w:rPr>
                <w:b/>
                <w:sz w:val="20"/>
                <w:szCs w:val="20"/>
                <w:lang w:val="fr-CA"/>
              </w:rPr>
            </w:pPr>
            <w:r>
              <w:rPr>
                <w:b/>
                <w:sz w:val="20"/>
                <w:szCs w:val="20"/>
                <w:lang w:val="fr-CA"/>
              </w:rPr>
              <w:t>V</w:t>
            </w:r>
            <w:r w:rsidRPr="0097756E">
              <w:rPr>
                <w:b/>
                <w:sz w:val="20"/>
                <w:szCs w:val="20"/>
                <w:lang w:val="fr-CA"/>
              </w:rPr>
              <w:t>i</w:t>
            </w:r>
            <w:r>
              <w:rPr>
                <w:b/>
                <w:sz w:val="20"/>
                <w:szCs w:val="20"/>
                <w:lang w:val="fr-CA"/>
              </w:rPr>
              <w:t>oleta D</w:t>
            </w:r>
            <w:r w:rsidRPr="0097756E">
              <w:rPr>
                <w:b/>
                <w:sz w:val="20"/>
                <w:szCs w:val="20"/>
                <w:lang w:val="fr-CA"/>
              </w:rPr>
              <w:t>un</w:t>
            </w:r>
            <w:r>
              <w:rPr>
                <w:b/>
                <w:sz w:val="20"/>
                <w:szCs w:val="20"/>
                <w:lang w:val="fr-CA"/>
              </w:rPr>
              <w:t>i</w:t>
            </w:r>
          </w:p>
          <w:p w:rsidR="00C21644" w:rsidRPr="0097756E" w:rsidRDefault="00C21644" w:rsidP="003B3977">
            <w:pPr>
              <w:tabs>
                <w:tab w:val="left" w:pos="-1440"/>
                <w:tab w:val="left" w:pos="-720"/>
              </w:tabs>
              <w:rPr>
                <w:sz w:val="20"/>
                <w:szCs w:val="20"/>
                <w:lang w:val="fr-CA"/>
              </w:rPr>
            </w:pPr>
            <w:r w:rsidRPr="0097756E">
              <w:rPr>
                <w:sz w:val="20"/>
                <w:szCs w:val="20"/>
                <w:lang w:val="fr-CA"/>
              </w:rPr>
              <w:tab/>
            </w:r>
            <w:r w:rsidR="0097756E">
              <w:rPr>
                <w:sz w:val="20"/>
                <w:szCs w:val="20"/>
                <w:lang w:val="fr-CA"/>
              </w:rPr>
              <w:t>Violeta Duni</w:t>
            </w:r>
          </w:p>
          <w:p w:rsidR="00C21644" w:rsidRPr="0097756E" w:rsidRDefault="00C21644" w:rsidP="003B3977">
            <w:pPr>
              <w:tabs>
                <w:tab w:val="left" w:pos="-1440"/>
                <w:tab w:val="left" w:pos="-720"/>
              </w:tabs>
              <w:rPr>
                <w:sz w:val="20"/>
                <w:szCs w:val="20"/>
                <w:lang w:val="fr-CA"/>
              </w:rPr>
            </w:pPr>
          </w:p>
          <w:p w:rsidR="00C21644" w:rsidRPr="0097756E" w:rsidRDefault="00C21644" w:rsidP="003B3977">
            <w:pPr>
              <w:tabs>
                <w:tab w:val="left" w:pos="-1440"/>
                <w:tab w:val="left" w:pos="-720"/>
              </w:tabs>
              <w:rPr>
                <w:sz w:val="20"/>
                <w:szCs w:val="20"/>
                <w:lang w:val="fr-CA"/>
              </w:rPr>
            </w:pPr>
            <w:r w:rsidRPr="0097756E">
              <w:rPr>
                <w:sz w:val="20"/>
                <w:szCs w:val="20"/>
                <w:lang w:val="fr-CA"/>
              </w:rPr>
              <w:tab/>
            </w:r>
            <w:r w:rsidR="0097756E">
              <w:rPr>
                <w:sz w:val="20"/>
                <w:szCs w:val="20"/>
                <w:lang w:val="fr-CA"/>
              </w:rPr>
              <w:t>c</w:t>
            </w:r>
            <w:r w:rsidRPr="0097756E">
              <w:rPr>
                <w:sz w:val="20"/>
                <w:szCs w:val="20"/>
                <w:lang w:val="fr-CA"/>
              </w:rPr>
              <w:t>. (35</w:t>
            </w:r>
            <w:r w:rsidR="0097756E" w:rsidRPr="0097756E">
              <w:rPr>
                <w:sz w:val="20"/>
                <w:szCs w:val="20"/>
                <w:lang w:val="fr-CA"/>
              </w:rPr>
              <w:t>968</w:t>
            </w:r>
            <w:r w:rsidRPr="0097756E">
              <w:rPr>
                <w:sz w:val="20"/>
                <w:szCs w:val="20"/>
                <w:lang w:val="fr-CA"/>
              </w:rPr>
              <w:t>)</w:t>
            </w:r>
          </w:p>
          <w:p w:rsidR="00C21644" w:rsidRPr="0097756E" w:rsidRDefault="00C21644" w:rsidP="003B3977">
            <w:pPr>
              <w:tabs>
                <w:tab w:val="left" w:pos="-1440"/>
                <w:tab w:val="left" w:pos="-720"/>
              </w:tabs>
              <w:rPr>
                <w:sz w:val="20"/>
                <w:szCs w:val="20"/>
                <w:lang w:val="fr-CA"/>
              </w:rPr>
            </w:pPr>
          </w:p>
          <w:p w:rsidR="00C21644" w:rsidRPr="003F4694" w:rsidRDefault="0097756E" w:rsidP="003B3977">
            <w:pPr>
              <w:tabs>
                <w:tab w:val="left" w:pos="-1440"/>
                <w:tab w:val="left" w:pos="-720"/>
              </w:tabs>
              <w:rPr>
                <w:b/>
                <w:sz w:val="20"/>
                <w:szCs w:val="20"/>
                <w:lang w:val="fr-CA"/>
              </w:rPr>
            </w:pPr>
            <w:r w:rsidRPr="003F4694">
              <w:rPr>
                <w:b/>
                <w:sz w:val="20"/>
                <w:szCs w:val="20"/>
                <w:lang w:val="fr-CA"/>
              </w:rPr>
              <w:t xml:space="preserve">Edward J. Druker et autre </w:t>
            </w:r>
            <w:r w:rsidR="00C21644" w:rsidRPr="003F4694">
              <w:rPr>
                <w:b/>
                <w:sz w:val="20"/>
                <w:szCs w:val="20"/>
                <w:lang w:val="fr-CA"/>
              </w:rPr>
              <w:t>(</w:t>
            </w:r>
            <w:r w:rsidR="003F4694" w:rsidRPr="003F4694">
              <w:rPr>
                <w:b/>
                <w:sz w:val="20"/>
                <w:szCs w:val="20"/>
                <w:lang w:val="fr-CA"/>
              </w:rPr>
              <w:t>Qc</w:t>
            </w:r>
            <w:r w:rsidR="00C21644" w:rsidRPr="003F4694">
              <w:rPr>
                <w:b/>
                <w:sz w:val="20"/>
                <w:szCs w:val="20"/>
                <w:lang w:val="fr-CA"/>
              </w:rPr>
              <w:t>)</w:t>
            </w:r>
          </w:p>
          <w:p w:rsidR="003F4694" w:rsidRPr="00E2016D" w:rsidRDefault="00C21644" w:rsidP="003B3977">
            <w:pPr>
              <w:tabs>
                <w:tab w:val="left" w:pos="-1440"/>
                <w:tab w:val="left" w:pos="-720"/>
              </w:tabs>
              <w:rPr>
                <w:sz w:val="20"/>
                <w:szCs w:val="20"/>
                <w:lang w:val="fr-CA"/>
              </w:rPr>
            </w:pPr>
            <w:r w:rsidRPr="003F4694">
              <w:rPr>
                <w:sz w:val="20"/>
                <w:szCs w:val="20"/>
                <w:lang w:val="fr-CA"/>
              </w:rPr>
              <w:tab/>
            </w:r>
            <w:r w:rsidR="003F4694">
              <w:rPr>
                <w:sz w:val="20"/>
                <w:szCs w:val="20"/>
                <w:lang w:val="fr-CA"/>
              </w:rPr>
              <w:t>Jean-Fr</w:t>
            </w:r>
            <w:r w:rsidR="0097756E" w:rsidRPr="00E2016D">
              <w:rPr>
                <w:sz w:val="20"/>
                <w:szCs w:val="20"/>
                <w:lang w:val="fr-CA"/>
              </w:rPr>
              <w:t>a</w:t>
            </w:r>
            <w:r w:rsidR="003F4694" w:rsidRPr="00E2016D">
              <w:rPr>
                <w:sz w:val="20"/>
                <w:szCs w:val="20"/>
                <w:lang w:val="fr-CA"/>
              </w:rPr>
              <w:t>nçois Carp</w:t>
            </w:r>
            <w:r w:rsidR="0097756E" w:rsidRPr="00E2016D">
              <w:rPr>
                <w:sz w:val="20"/>
                <w:szCs w:val="20"/>
                <w:lang w:val="fr-CA"/>
              </w:rPr>
              <w:t>e</w:t>
            </w:r>
            <w:r w:rsidR="003F4694" w:rsidRPr="00E2016D">
              <w:rPr>
                <w:sz w:val="20"/>
                <w:szCs w:val="20"/>
                <w:lang w:val="fr-CA"/>
              </w:rPr>
              <w:t>ntier</w:t>
            </w:r>
          </w:p>
          <w:p w:rsidR="00C21644" w:rsidRPr="003F4694" w:rsidRDefault="00C21644" w:rsidP="003B3977">
            <w:pPr>
              <w:tabs>
                <w:tab w:val="left" w:pos="-1440"/>
                <w:tab w:val="left" w:pos="-720"/>
              </w:tabs>
              <w:rPr>
                <w:sz w:val="20"/>
                <w:szCs w:val="20"/>
                <w:lang w:val="fr-CA"/>
              </w:rPr>
            </w:pPr>
            <w:r w:rsidRPr="00E2016D">
              <w:rPr>
                <w:sz w:val="20"/>
                <w:szCs w:val="20"/>
                <w:lang w:val="fr-CA"/>
              </w:rPr>
              <w:tab/>
            </w:r>
            <w:r w:rsidR="003F4694" w:rsidRPr="003F4694">
              <w:rPr>
                <w:sz w:val="20"/>
                <w:szCs w:val="20"/>
                <w:lang w:val="fr-CA"/>
              </w:rPr>
              <w:t>K</w:t>
            </w:r>
            <w:r w:rsidR="0097756E" w:rsidRPr="003F4694">
              <w:rPr>
                <w:sz w:val="20"/>
                <w:szCs w:val="20"/>
                <w:lang w:val="fr-CA"/>
              </w:rPr>
              <w:t>u</w:t>
            </w:r>
            <w:r w:rsidR="003F4694" w:rsidRPr="003F4694">
              <w:rPr>
                <w:sz w:val="20"/>
                <w:szCs w:val="20"/>
                <w:lang w:val="fr-CA"/>
              </w:rPr>
              <w:t>g</w:t>
            </w:r>
            <w:r w:rsidR="0097756E" w:rsidRPr="003F4694">
              <w:rPr>
                <w:sz w:val="20"/>
                <w:szCs w:val="20"/>
                <w:lang w:val="fr-CA"/>
              </w:rPr>
              <w:t>le</w:t>
            </w:r>
            <w:r w:rsidR="003F4694" w:rsidRPr="003F4694">
              <w:rPr>
                <w:sz w:val="20"/>
                <w:szCs w:val="20"/>
                <w:lang w:val="fr-CA"/>
              </w:rPr>
              <w:t>r Ka</w:t>
            </w:r>
            <w:r w:rsidR="0097756E" w:rsidRPr="003F4694">
              <w:rPr>
                <w:sz w:val="20"/>
                <w:szCs w:val="20"/>
                <w:lang w:val="fr-CA"/>
              </w:rPr>
              <w:t>n</w:t>
            </w:r>
            <w:r w:rsidR="003F4694" w:rsidRPr="003F4694">
              <w:rPr>
                <w:sz w:val="20"/>
                <w:szCs w:val="20"/>
                <w:lang w:val="fr-CA"/>
              </w:rPr>
              <w:t>d</w:t>
            </w:r>
            <w:r w:rsidR="0097756E" w:rsidRPr="003F4694">
              <w:rPr>
                <w:sz w:val="20"/>
                <w:szCs w:val="20"/>
                <w:lang w:val="fr-CA"/>
              </w:rPr>
              <w:t>e</w:t>
            </w:r>
            <w:r w:rsidR="003F4694" w:rsidRPr="003F4694">
              <w:rPr>
                <w:sz w:val="20"/>
                <w:szCs w:val="20"/>
                <w:lang w:val="fr-CA"/>
              </w:rPr>
              <w:t>st</w:t>
            </w:r>
            <w:r w:rsidR="0097756E" w:rsidRPr="003F4694">
              <w:rPr>
                <w:sz w:val="20"/>
                <w:szCs w:val="20"/>
                <w:lang w:val="fr-CA"/>
              </w:rPr>
              <w:t>i</w:t>
            </w:r>
            <w:r w:rsidR="003F4694" w:rsidRPr="003F4694">
              <w:rPr>
                <w:sz w:val="20"/>
                <w:szCs w:val="20"/>
                <w:lang w:val="fr-CA"/>
              </w:rPr>
              <w:t>n, s.</w:t>
            </w:r>
            <w:r w:rsidR="0097756E" w:rsidRPr="003F4694">
              <w:rPr>
                <w:sz w:val="20"/>
                <w:szCs w:val="20"/>
                <w:lang w:val="fr-CA"/>
              </w:rPr>
              <w:t>e</w:t>
            </w:r>
            <w:r w:rsidR="003F4694" w:rsidRPr="003F4694">
              <w:rPr>
                <w:sz w:val="20"/>
                <w:szCs w:val="20"/>
                <w:lang w:val="fr-CA"/>
              </w:rPr>
              <w:t>.</w:t>
            </w:r>
            <w:r w:rsidR="0097756E" w:rsidRPr="003F4694">
              <w:rPr>
                <w:sz w:val="20"/>
                <w:szCs w:val="20"/>
                <w:lang w:val="fr-CA"/>
              </w:rPr>
              <w:t>n</w:t>
            </w:r>
            <w:r w:rsidR="003F4694" w:rsidRPr="003F4694">
              <w:rPr>
                <w:sz w:val="20"/>
                <w:szCs w:val="20"/>
                <w:lang w:val="fr-CA"/>
              </w:rPr>
              <w:t>.c.r.l.</w:t>
            </w:r>
          </w:p>
          <w:p w:rsidR="00C21644" w:rsidRPr="003F4694" w:rsidRDefault="00C21644" w:rsidP="003B3977">
            <w:pPr>
              <w:tabs>
                <w:tab w:val="left" w:pos="-1440"/>
                <w:tab w:val="left" w:pos="-720"/>
              </w:tabs>
              <w:rPr>
                <w:sz w:val="20"/>
                <w:szCs w:val="20"/>
                <w:lang w:val="fr-CA"/>
              </w:rPr>
            </w:pPr>
          </w:p>
          <w:p w:rsidR="00C21644" w:rsidRPr="00A935AA" w:rsidRDefault="0097756E" w:rsidP="003B3977">
            <w:pPr>
              <w:rPr>
                <w:sz w:val="20"/>
                <w:szCs w:val="20"/>
              </w:rPr>
            </w:pPr>
            <w:r w:rsidRPr="003F4694">
              <w:rPr>
                <w:sz w:val="20"/>
                <w:szCs w:val="20"/>
              </w:rPr>
              <w:t>DATE DE PRODUCTION : 26.06.2014</w:t>
            </w:r>
          </w:p>
          <w:p w:rsidR="00C21644" w:rsidRPr="00A935AA" w:rsidRDefault="00944C2E"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3F4694" w:rsidRDefault="00C21644" w:rsidP="003B3977">
            <w:pPr>
              <w:keepNext/>
              <w:keepLines/>
              <w:tabs>
                <w:tab w:val="left" w:pos="-1440"/>
                <w:tab w:val="left" w:pos="-720"/>
              </w:tabs>
              <w:rPr>
                <w:b/>
                <w:sz w:val="20"/>
                <w:szCs w:val="20"/>
              </w:rPr>
            </w:pPr>
          </w:p>
          <w:p w:rsidR="0097756E" w:rsidRPr="00E2016D" w:rsidRDefault="0097756E" w:rsidP="003B3977">
            <w:pPr>
              <w:keepNext/>
              <w:keepLines/>
              <w:tabs>
                <w:tab w:val="left" w:pos="-1440"/>
                <w:tab w:val="left" w:pos="-720"/>
              </w:tabs>
              <w:rPr>
                <w:b/>
                <w:sz w:val="20"/>
                <w:szCs w:val="20"/>
                <w:lang w:val="fr-CA"/>
              </w:rPr>
            </w:pPr>
            <w:r w:rsidRPr="00E2016D">
              <w:rPr>
                <w:b/>
                <w:sz w:val="20"/>
                <w:szCs w:val="20"/>
                <w:lang w:val="fr-CA"/>
              </w:rPr>
              <w:t>Francis Anthonimuthu Appulonappa et al.</w:t>
            </w:r>
          </w:p>
          <w:p w:rsidR="00C21644" w:rsidRPr="003F4694" w:rsidRDefault="00C21644" w:rsidP="003B3977">
            <w:pPr>
              <w:keepNext/>
              <w:keepLines/>
              <w:tabs>
                <w:tab w:val="left" w:pos="-1440"/>
                <w:tab w:val="left" w:pos="-720"/>
              </w:tabs>
              <w:rPr>
                <w:sz w:val="20"/>
                <w:szCs w:val="20"/>
              </w:rPr>
            </w:pPr>
            <w:r w:rsidRPr="00E2016D">
              <w:rPr>
                <w:sz w:val="20"/>
                <w:szCs w:val="20"/>
                <w:lang w:val="fr-CA"/>
              </w:rPr>
              <w:tab/>
            </w:r>
            <w:r w:rsidR="0097756E" w:rsidRPr="003F4694">
              <w:rPr>
                <w:sz w:val="20"/>
                <w:szCs w:val="20"/>
              </w:rPr>
              <w:t>Fiona Begg</w:t>
            </w:r>
          </w:p>
          <w:p w:rsidR="00C21644" w:rsidRPr="003F4694" w:rsidRDefault="00C21644" w:rsidP="003B3977">
            <w:pPr>
              <w:keepNext/>
              <w:keepLines/>
              <w:tabs>
                <w:tab w:val="left" w:pos="-1440"/>
                <w:tab w:val="left" w:pos="-720"/>
              </w:tabs>
              <w:rPr>
                <w:sz w:val="20"/>
                <w:szCs w:val="20"/>
              </w:rPr>
            </w:pPr>
          </w:p>
          <w:p w:rsidR="0097756E" w:rsidRPr="00A935AA" w:rsidRDefault="0097756E" w:rsidP="0097756E">
            <w:pPr>
              <w:tabs>
                <w:tab w:val="left" w:pos="-1440"/>
                <w:tab w:val="left" w:pos="-720"/>
              </w:tabs>
              <w:rPr>
                <w:sz w:val="20"/>
                <w:szCs w:val="20"/>
              </w:rPr>
            </w:pPr>
            <w:r w:rsidRPr="003F4694">
              <w:rPr>
                <w:sz w:val="20"/>
                <w:szCs w:val="20"/>
              </w:rPr>
              <w:tab/>
            </w:r>
            <w:r w:rsidRPr="00A935AA">
              <w:rPr>
                <w:sz w:val="20"/>
                <w:szCs w:val="20"/>
              </w:rPr>
              <w:t>v. (3</w:t>
            </w:r>
            <w:r>
              <w:rPr>
                <w:sz w:val="20"/>
                <w:szCs w:val="20"/>
              </w:rPr>
              <w:t>5958</w:t>
            </w:r>
            <w:r w:rsidRPr="00A935AA">
              <w:rPr>
                <w:sz w:val="20"/>
                <w:szCs w:val="20"/>
              </w:rPr>
              <w:t>)</w:t>
            </w:r>
          </w:p>
          <w:p w:rsidR="0097756E" w:rsidRPr="00A935AA" w:rsidRDefault="0097756E" w:rsidP="0097756E">
            <w:pPr>
              <w:tabs>
                <w:tab w:val="left" w:pos="-1440"/>
                <w:tab w:val="left" w:pos="-720"/>
              </w:tabs>
              <w:rPr>
                <w:sz w:val="20"/>
                <w:szCs w:val="20"/>
              </w:rPr>
            </w:pPr>
          </w:p>
          <w:p w:rsidR="0097756E" w:rsidRPr="00A935AA" w:rsidRDefault="0097756E" w:rsidP="0097756E">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B.C</w:t>
            </w:r>
            <w:r w:rsidRPr="00A935AA">
              <w:rPr>
                <w:b/>
                <w:sz w:val="20"/>
                <w:szCs w:val="20"/>
              </w:rPr>
              <w:t>.)</w:t>
            </w:r>
          </w:p>
          <w:p w:rsidR="0097756E" w:rsidRPr="00A935AA" w:rsidRDefault="0097756E" w:rsidP="0097756E">
            <w:pPr>
              <w:tabs>
                <w:tab w:val="left" w:pos="-1440"/>
                <w:tab w:val="left" w:pos="-720"/>
              </w:tabs>
              <w:rPr>
                <w:sz w:val="20"/>
                <w:szCs w:val="20"/>
              </w:rPr>
            </w:pPr>
            <w:r w:rsidRPr="00A935AA">
              <w:rPr>
                <w:sz w:val="20"/>
                <w:szCs w:val="20"/>
              </w:rPr>
              <w:tab/>
            </w:r>
            <w:r>
              <w:rPr>
                <w:sz w:val="20"/>
                <w:szCs w:val="20"/>
              </w:rPr>
              <w:t>W. Paul Riley</w:t>
            </w:r>
          </w:p>
          <w:p w:rsidR="0097756E" w:rsidRPr="00A935AA" w:rsidRDefault="0097756E" w:rsidP="0097756E">
            <w:pPr>
              <w:tabs>
                <w:tab w:val="left" w:pos="-1440"/>
                <w:tab w:val="left" w:pos="-720"/>
              </w:tabs>
              <w:rPr>
                <w:sz w:val="20"/>
                <w:szCs w:val="20"/>
              </w:rPr>
            </w:pPr>
            <w:r w:rsidRPr="00A935AA">
              <w:rPr>
                <w:sz w:val="20"/>
                <w:szCs w:val="20"/>
              </w:rPr>
              <w:tab/>
            </w:r>
            <w:r>
              <w:rPr>
                <w:sz w:val="20"/>
                <w:szCs w:val="20"/>
              </w:rPr>
              <w:t>Public Prosecution Service of Canada</w:t>
            </w:r>
          </w:p>
          <w:p w:rsidR="0097756E" w:rsidRPr="00A935AA" w:rsidRDefault="0097756E" w:rsidP="0097756E">
            <w:pPr>
              <w:tabs>
                <w:tab w:val="left" w:pos="-1440"/>
                <w:tab w:val="left" w:pos="-720"/>
              </w:tabs>
              <w:rPr>
                <w:sz w:val="20"/>
                <w:szCs w:val="20"/>
              </w:rPr>
            </w:pPr>
          </w:p>
          <w:p w:rsidR="0097756E" w:rsidRPr="00A935AA" w:rsidRDefault="0097756E" w:rsidP="0097756E">
            <w:pPr>
              <w:rPr>
                <w:sz w:val="20"/>
                <w:szCs w:val="20"/>
              </w:rPr>
            </w:pPr>
            <w:r w:rsidRPr="00A935AA">
              <w:rPr>
                <w:sz w:val="20"/>
                <w:szCs w:val="20"/>
              </w:rPr>
              <w:t>FILING DATE: 2</w:t>
            </w:r>
            <w:r>
              <w:rPr>
                <w:sz w:val="20"/>
                <w:szCs w:val="20"/>
              </w:rPr>
              <w:t>7</w:t>
            </w:r>
            <w:r w:rsidRPr="00A935AA">
              <w:rPr>
                <w:sz w:val="20"/>
                <w:szCs w:val="20"/>
              </w:rPr>
              <w:t>.0</w:t>
            </w:r>
            <w:r>
              <w:rPr>
                <w:sz w:val="20"/>
                <w:szCs w:val="20"/>
              </w:rPr>
              <w:t>6</w:t>
            </w:r>
            <w:r w:rsidRPr="00A935AA">
              <w:rPr>
                <w:sz w:val="20"/>
                <w:szCs w:val="20"/>
              </w:rPr>
              <w:t>.201</w:t>
            </w:r>
            <w:r>
              <w:rPr>
                <w:sz w:val="20"/>
                <w:szCs w:val="20"/>
              </w:rPr>
              <w:t>4</w:t>
            </w:r>
          </w:p>
          <w:p w:rsidR="00C21644" w:rsidRPr="00A935AA" w:rsidRDefault="00944C2E" w:rsidP="00E41A5A">
            <w:pPr>
              <w:rPr>
                <w:sz w:val="20"/>
                <w:szCs w:val="20"/>
              </w:rPr>
            </w:pPr>
            <w:r>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Pr="00A935AA" w:rsidRDefault="00B93670" w:rsidP="005F1ED8">
            <w:pPr>
              <w:rPr>
                <w:b/>
                <w:sz w:val="20"/>
                <w:szCs w:val="20"/>
              </w:rPr>
            </w:pPr>
            <w:r>
              <w:rPr>
                <w:b/>
                <w:sz w:val="20"/>
                <w:szCs w:val="20"/>
              </w:rPr>
              <w:t>Lee Michael Wilson</w:t>
            </w:r>
          </w:p>
          <w:p w:rsidR="00C21644" w:rsidRPr="00A935AA" w:rsidRDefault="00C21644" w:rsidP="005F1ED8">
            <w:pPr>
              <w:tabs>
                <w:tab w:val="left" w:pos="-1440"/>
                <w:tab w:val="left" w:pos="-720"/>
              </w:tabs>
              <w:rPr>
                <w:sz w:val="20"/>
                <w:szCs w:val="20"/>
              </w:rPr>
            </w:pPr>
            <w:r w:rsidRPr="00A935AA">
              <w:rPr>
                <w:sz w:val="20"/>
                <w:szCs w:val="20"/>
              </w:rPr>
              <w:tab/>
            </w:r>
            <w:r w:rsidR="00B93670">
              <w:rPr>
                <w:sz w:val="20"/>
                <w:szCs w:val="20"/>
              </w:rPr>
              <w:t>Kyla Lee</w:t>
            </w:r>
          </w:p>
          <w:p w:rsidR="00C21644" w:rsidRPr="00A935AA" w:rsidRDefault="00C21644" w:rsidP="005F1ED8">
            <w:pPr>
              <w:tabs>
                <w:tab w:val="left" w:pos="-1440"/>
                <w:tab w:val="left" w:pos="-720"/>
              </w:tabs>
              <w:rPr>
                <w:sz w:val="20"/>
                <w:szCs w:val="20"/>
              </w:rPr>
            </w:pPr>
            <w:r w:rsidRPr="00A935AA">
              <w:rPr>
                <w:sz w:val="20"/>
                <w:szCs w:val="20"/>
              </w:rPr>
              <w:tab/>
            </w:r>
            <w:r w:rsidR="00B93670">
              <w:rPr>
                <w:sz w:val="20"/>
                <w:szCs w:val="20"/>
              </w:rPr>
              <w:t>Acumen Law Corporation</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Pr>
                <w:sz w:val="20"/>
                <w:szCs w:val="20"/>
              </w:rPr>
              <w:t>5</w:t>
            </w:r>
            <w:r w:rsidR="00B93670">
              <w:rPr>
                <w:sz w:val="20"/>
                <w:szCs w:val="20"/>
              </w:rPr>
              <w:t>959</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B93670" w:rsidP="005F1ED8">
            <w:pPr>
              <w:tabs>
                <w:tab w:val="left" w:pos="-1440"/>
                <w:tab w:val="left" w:pos="-720"/>
              </w:tabs>
              <w:rPr>
                <w:b/>
                <w:sz w:val="20"/>
                <w:szCs w:val="20"/>
              </w:rPr>
            </w:pPr>
            <w:r>
              <w:rPr>
                <w:b/>
                <w:sz w:val="20"/>
                <w:szCs w:val="20"/>
              </w:rPr>
              <w:t xml:space="preserve">Superintendent of Motor Vehicles et al. </w:t>
            </w:r>
            <w:r w:rsidR="00C21644" w:rsidRPr="00A935AA">
              <w:rPr>
                <w:b/>
                <w:sz w:val="20"/>
                <w:szCs w:val="20"/>
              </w:rPr>
              <w:t>(</w:t>
            </w:r>
            <w:r>
              <w:rPr>
                <w:b/>
                <w:sz w:val="20"/>
                <w:szCs w:val="20"/>
              </w:rPr>
              <w:t>B.C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B93670">
              <w:rPr>
                <w:sz w:val="20"/>
                <w:szCs w:val="20"/>
              </w:rPr>
              <w:t>Robert Mullet</w:t>
            </w:r>
          </w:p>
          <w:p w:rsidR="00C21644" w:rsidRPr="00A935AA" w:rsidRDefault="00C21644" w:rsidP="005F1ED8">
            <w:pPr>
              <w:tabs>
                <w:tab w:val="left" w:pos="-1440"/>
                <w:tab w:val="left" w:pos="-720"/>
              </w:tabs>
              <w:rPr>
                <w:sz w:val="20"/>
                <w:szCs w:val="20"/>
              </w:rPr>
            </w:pPr>
            <w:r w:rsidRPr="00A935AA">
              <w:rPr>
                <w:sz w:val="20"/>
                <w:szCs w:val="20"/>
              </w:rPr>
              <w:tab/>
            </w:r>
            <w:r w:rsidR="00B93670">
              <w:rPr>
                <w:sz w:val="20"/>
                <w:szCs w:val="20"/>
              </w:rPr>
              <w:t>A.G. of British Columbia</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FILING DATE: 2</w:t>
            </w:r>
            <w:r w:rsidR="00B93670">
              <w:rPr>
                <w:sz w:val="20"/>
                <w:szCs w:val="20"/>
              </w:rPr>
              <w:t>7</w:t>
            </w:r>
            <w:r w:rsidRPr="00A935AA">
              <w:rPr>
                <w:sz w:val="20"/>
                <w:szCs w:val="20"/>
              </w:rPr>
              <w:t>.0</w:t>
            </w:r>
            <w:r w:rsidR="00B93670">
              <w:rPr>
                <w:sz w:val="20"/>
                <w:szCs w:val="20"/>
              </w:rPr>
              <w:t>6</w:t>
            </w:r>
            <w:r w:rsidRPr="00A935AA">
              <w:rPr>
                <w:sz w:val="20"/>
                <w:szCs w:val="20"/>
              </w:rPr>
              <w:t>.201</w:t>
            </w:r>
            <w:r>
              <w:rPr>
                <w:sz w:val="20"/>
                <w:szCs w:val="20"/>
              </w:rPr>
              <w:t>4</w:t>
            </w:r>
          </w:p>
          <w:p w:rsidR="00C21644" w:rsidRPr="00A935AA" w:rsidRDefault="00944C2E"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Default="00C21644" w:rsidP="005F1ED8">
            <w:pPr>
              <w:rPr>
                <w:b/>
                <w:sz w:val="20"/>
                <w:szCs w:val="20"/>
              </w:rPr>
            </w:pPr>
          </w:p>
          <w:p w:rsidR="00B93670" w:rsidRPr="00A935AA" w:rsidRDefault="00B93670" w:rsidP="005F1ED8">
            <w:pPr>
              <w:rPr>
                <w:b/>
                <w:sz w:val="20"/>
                <w:szCs w:val="20"/>
              </w:rPr>
            </w:pPr>
            <w:r>
              <w:rPr>
                <w:b/>
                <w:sz w:val="20"/>
                <w:szCs w:val="20"/>
              </w:rPr>
              <w:t xml:space="preserve">William Charlton et al. </w:t>
            </w:r>
          </w:p>
          <w:p w:rsidR="00C21644" w:rsidRPr="00A935AA" w:rsidRDefault="00C21644" w:rsidP="005F1ED8">
            <w:pPr>
              <w:tabs>
                <w:tab w:val="left" w:pos="-1440"/>
                <w:tab w:val="left" w:pos="-720"/>
              </w:tabs>
              <w:rPr>
                <w:sz w:val="20"/>
                <w:szCs w:val="20"/>
              </w:rPr>
            </w:pPr>
            <w:r w:rsidRPr="00A935AA">
              <w:rPr>
                <w:sz w:val="20"/>
                <w:szCs w:val="20"/>
              </w:rPr>
              <w:tab/>
            </w:r>
            <w:r w:rsidR="00B93670">
              <w:rPr>
                <w:sz w:val="20"/>
                <w:szCs w:val="20"/>
              </w:rPr>
              <w:t>Robert C. Brun</w:t>
            </w:r>
            <w:r w:rsidR="00C46B17">
              <w:rPr>
                <w:sz w:val="20"/>
                <w:szCs w:val="20"/>
              </w:rPr>
              <w:t>, Q.C.</w:t>
            </w:r>
          </w:p>
          <w:p w:rsidR="00C21644" w:rsidRPr="00A935AA" w:rsidRDefault="00C21644" w:rsidP="005F1ED8">
            <w:pPr>
              <w:tabs>
                <w:tab w:val="left" w:pos="-1440"/>
                <w:tab w:val="left" w:pos="-720"/>
              </w:tabs>
              <w:rPr>
                <w:sz w:val="20"/>
                <w:szCs w:val="20"/>
              </w:rPr>
            </w:pPr>
            <w:r w:rsidRPr="00A935AA">
              <w:rPr>
                <w:sz w:val="20"/>
                <w:szCs w:val="20"/>
              </w:rPr>
              <w:tab/>
            </w:r>
            <w:r w:rsidR="00B93670">
              <w:rPr>
                <w:sz w:val="20"/>
                <w:szCs w:val="20"/>
              </w:rPr>
              <w:t>Harris &amp; Brun</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Pr>
                <w:sz w:val="20"/>
                <w:szCs w:val="20"/>
              </w:rPr>
              <w:t>5</w:t>
            </w:r>
            <w:r w:rsidR="00B93670">
              <w:rPr>
                <w:sz w:val="20"/>
                <w:szCs w:val="20"/>
              </w:rPr>
              <w:t>960</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B93670" w:rsidP="005F1ED8">
            <w:pPr>
              <w:tabs>
                <w:tab w:val="left" w:pos="-1440"/>
                <w:tab w:val="left" w:pos="-720"/>
              </w:tabs>
              <w:rPr>
                <w:b/>
                <w:sz w:val="20"/>
                <w:szCs w:val="20"/>
              </w:rPr>
            </w:pPr>
            <w:r>
              <w:rPr>
                <w:b/>
                <w:sz w:val="20"/>
                <w:szCs w:val="20"/>
              </w:rPr>
              <w:t xml:space="preserve">Karen Niedermeyer </w:t>
            </w:r>
            <w:r w:rsidR="00C21644" w:rsidRPr="00A935AA">
              <w:rPr>
                <w:b/>
                <w:sz w:val="20"/>
                <w:szCs w:val="20"/>
              </w:rPr>
              <w:t>(</w:t>
            </w:r>
            <w:r>
              <w:rPr>
                <w:b/>
                <w:sz w:val="20"/>
                <w:szCs w:val="20"/>
              </w:rPr>
              <w:t>B.C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B93670">
              <w:rPr>
                <w:sz w:val="20"/>
                <w:szCs w:val="20"/>
              </w:rPr>
              <w:t>Wesley D. Mussio</w:t>
            </w:r>
          </w:p>
          <w:p w:rsidR="00C21644" w:rsidRPr="00A935AA" w:rsidRDefault="00C21644" w:rsidP="005F1ED8">
            <w:pPr>
              <w:tabs>
                <w:tab w:val="left" w:pos="-1440"/>
                <w:tab w:val="left" w:pos="-720"/>
              </w:tabs>
              <w:rPr>
                <w:sz w:val="20"/>
                <w:szCs w:val="20"/>
              </w:rPr>
            </w:pPr>
            <w:r w:rsidRPr="00A935AA">
              <w:rPr>
                <w:sz w:val="20"/>
                <w:szCs w:val="20"/>
              </w:rPr>
              <w:tab/>
            </w:r>
            <w:r w:rsidR="00B93670">
              <w:rPr>
                <w:sz w:val="20"/>
                <w:szCs w:val="20"/>
              </w:rPr>
              <w:t>Mussio Law Group</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FILING DATE: 2</w:t>
            </w:r>
            <w:r w:rsidR="00B93670">
              <w:rPr>
                <w:sz w:val="20"/>
                <w:szCs w:val="20"/>
              </w:rPr>
              <w:t>7</w:t>
            </w:r>
            <w:r w:rsidRPr="00A935AA">
              <w:rPr>
                <w:sz w:val="20"/>
                <w:szCs w:val="20"/>
              </w:rPr>
              <w:t>.0</w:t>
            </w:r>
            <w:r w:rsidR="00B93670">
              <w:rPr>
                <w:sz w:val="20"/>
                <w:szCs w:val="20"/>
              </w:rPr>
              <w:t>6</w:t>
            </w:r>
            <w:r w:rsidRPr="00A935AA">
              <w:rPr>
                <w:sz w:val="20"/>
                <w:szCs w:val="20"/>
              </w:rPr>
              <w:t>.201</w:t>
            </w:r>
            <w:r>
              <w:rPr>
                <w:sz w:val="20"/>
                <w:szCs w:val="20"/>
              </w:rPr>
              <w:t>4</w:t>
            </w:r>
          </w:p>
          <w:p w:rsidR="00C21644" w:rsidRPr="00A935AA" w:rsidRDefault="00944C2E" w:rsidP="005F1ED8">
            <w:pPr>
              <w:rPr>
                <w:sz w:val="20"/>
                <w:szCs w:val="20"/>
              </w:rPr>
            </w:pPr>
            <w:r>
              <w:rPr>
                <w:sz w:val="20"/>
                <w:szCs w:val="20"/>
                <w:lang w:val="fr-CA"/>
              </w:rPr>
              <w:pict>
                <v:rect id="_x0000_i1030" style="width:108pt;height:1pt" o:hrpct="0" o:hralign="center" o:hrstd="t" o:hrnoshade="t" o:hr="t" fillcolor="black [3213]" stroked="f"/>
              </w:pict>
            </w:r>
          </w:p>
        </w:tc>
      </w:tr>
      <w:tr w:rsidR="0097756E" w:rsidRPr="00A935AA" w:rsidTr="003B3977">
        <w:trPr>
          <w:cantSplit/>
        </w:trPr>
        <w:tc>
          <w:tcPr>
            <w:tcW w:w="4320" w:type="dxa"/>
            <w:shd w:val="clear" w:color="auto" w:fill="auto"/>
          </w:tcPr>
          <w:p w:rsidR="0097756E" w:rsidRPr="00A935AA" w:rsidRDefault="00B93670" w:rsidP="005F1ED8">
            <w:pPr>
              <w:rPr>
                <w:b/>
                <w:sz w:val="20"/>
                <w:szCs w:val="20"/>
              </w:rPr>
            </w:pPr>
            <w:r>
              <w:rPr>
                <w:b/>
                <w:sz w:val="20"/>
                <w:szCs w:val="20"/>
              </w:rPr>
              <w:t>London Life Insurance Company</w:t>
            </w:r>
          </w:p>
          <w:p w:rsidR="0097756E" w:rsidRPr="00A935AA" w:rsidRDefault="0097756E" w:rsidP="005F1ED8">
            <w:pPr>
              <w:tabs>
                <w:tab w:val="left" w:pos="-1440"/>
                <w:tab w:val="left" w:pos="-720"/>
              </w:tabs>
              <w:rPr>
                <w:sz w:val="20"/>
                <w:szCs w:val="20"/>
              </w:rPr>
            </w:pPr>
            <w:r w:rsidRPr="00A935AA">
              <w:rPr>
                <w:sz w:val="20"/>
                <w:szCs w:val="20"/>
              </w:rPr>
              <w:tab/>
            </w:r>
            <w:r w:rsidR="00B93670">
              <w:rPr>
                <w:sz w:val="20"/>
                <w:szCs w:val="20"/>
              </w:rPr>
              <w:t>Sébastian Grammond</w:t>
            </w:r>
          </w:p>
          <w:p w:rsidR="0097756E" w:rsidRPr="00A935AA" w:rsidRDefault="0097756E" w:rsidP="005F1ED8">
            <w:pPr>
              <w:tabs>
                <w:tab w:val="left" w:pos="-1440"/>
                <w:tab w:val="left" w:pos="-720"/>
              </w:tabs>
              <w:rPr>
                <w:sz w:val="20"/>
                <w:szCs w:val="20"/>
              </w:rPr>
            </w:pPr>
            <w:r w:rsidRPr="00A935AA">
              <w:rPr>
                <w:sz w:val="20"/>
                <w:szCs w:val="20"/>
              </w:rPr>
              <w:tab/>
            </w:r>
            <w:r w:rsidR="00B93670">
              <w:rPr>
                <w:sz w:val="20"/>
                <w:szCs w:val="20"/>
              </w:rPr>
              <w:t>Dentons Canada LLP</w:t>
            </w:r>
          </w:p>
          <w:p w:rsidR="0097756E" w:rsidRPr="00A935AA" w:rsidRDefault="0097756E" w:rsidP="005F1ED8">
            <w:pPr>
              <w:tabs>
                <w:tab w:val="left" w:pos="-1440"/>
                <w:tab w:val="left" w:pos="-720"/>
              </w:tabs>
              <w:rPr>
                <w:sz w:val="20"/>
                <w:szCs w:val="20"/>
              </w:rPr>
            </w:pPr>
          </w:p>
          <w:p w:rsidR="0097756E" w:rsidRPr="00A935AA" w:rsidRDefault="0097756E" w:rsidP="005F1ED8">
            <w:pPr>
              <w:tabs>
                <w:tab w:val="left" w:pos="-1440"/>
                <w:tab w:val="left" w:pos="-720"/>
              </w:tabs>
              <w:rPr>
                <w:sz w:val="20"/>
                <w:szCs w:val="20"/>
              </w:rPr>
            </w:pPr>
            <w:r w:rsidRPr="00A935AA">
              <w:rPr>
                <w:sz w:val="20"/>
                <w:szCs w:val="20"/>
              </w:rPr>
              <w:tab/>
              <w:t>v. (3</w:t>
            </w:r>
            <w:r>
              <w:rPr>
                <w:sz w:val="20"/>
                <w:szCs w:val="20"/>
              </w:rPr>
              <w:t>5</w:t>
            </w:r>
            <w:r w:rsidR="00B93670">
              <w:rPr>
                <w:sz w:val="20"/>
                <w:szCs w:val="20"/>
              </w:rPr>
              <w:t>961</w:t>
            </w:r>
            <w:r w:rsidRPr="00A935AA">
              <w:rPr>
                <w:sz w:val="20"/>
                <w:szCs w:val="20"/>
              </w:rPr>
              <w:t>)</w:t>
            </w:r>
          </w:p>
          <w:p w:rsidR="0097756E" w:rsidRPr="00A935AA" w:rsidRDefault="0097756E" w:rsidP="005F1ED8">
            <w:pPr>
              <w:tabs>
                <w:tab w:val="left" w:pos="-1440"/>
                <w:tab w:val="left" w:pos="-720"/>
              </w:tabs>
              <w:rPr>
                <w:sz w:val="20"/>
                <w:szCs w:val="20"/>
              </w:rPr>
            </w:pPr>
          </w:p>
          <w:p w:rsidR="0097756E" w:rsidRPr="00A935AA" w:rsidRDefault="00B93670" w:rsidP="005F1ED8">
            <w:pPr>
              <w:tabs>
                <w:tab w:val="left" w:pos="-1440"/>
                <w:tab w:val="left" w:pos="-720"/>
              </w:tabs>
              <w:rPr>
                <w:b/>
                <w:sz w:val="20"/>
                <w:szCs w:val="20"/>
              </w:rPr>
            </w:pPr>
            <w:r>
              <w:rPr>
                <w:b/>
                <w:sz w:val="20"/>
                <w:szCs w:val="20"/>
              </w:rPr>
              <w:t xml:space="preserve">Her Majesty the Queen </w:t>
            </w:r>
            <w:r w:rsidR="0097756E" w:rsidRPr="00A935AA">
              <w:rPr>
                <w:b/>
                <w:sz w:val="20"/>
                <w:szCs w:val="20"/>
              </w:rPr>
              <w:t>(</w:t>
            </w:r>
            <w:r>
              <w:rPr>
                <w:b/>
                <w:sz w:val="20"/>
                <w:szCs w:val="20"/>
              </w:rPr>
              <w:t>F.C</w:t>
            </w:r>
            <w:r w:rsidR="0097756E" w:rsidRPr="00A935AA">
              <w:rPr>
                <w:b/>
                <w:sz w:val="20"/>
                <w:szCs w:val="20"/>
              </w:rPr>
              <w:t>.)</w:t>
            </w:r>
          </w:p>
          <w:p w:rsidR="0097756E" w:rsidRPr="00A935AA" w:rsidRDefault="0097756E" w:rsidP="005F1ED8">
            <w:pPr>
              <w:tabs>
                <w:tab w:val="left" w:pos="-1440"/>
                <w:tab w:val="left" w:pos="-720"/>
              </w:tabs>
              <w:rPr>
                <w:sz w:val="20"/>
                <w:szCs w:val="20"/>
              </w:rPr>
            </w:pPr>
            <w:r w:rsidRPr="00A935AA">
              <w:rPr>
                <w:sz w:val="20"/>
                <w:szCs w:val="20"/>
              </w:rPr>
              <w:tab/>
            </w:r>
            <w:r w:rsidR="00C51E34">
              <w:rPr>
                <w:sz w:val="20"/>
                <w:szCs w:val="20"/>
              </w:rPr>
              <w:t>Louis Sébastien</w:t>
            </w:r>
          </w:p>
          <w:p w:rsidR="0097756E" w:rsidRPr="00A935AA" w:rsidRDefault="0097756E" w:rsidP="005F1ED8">
            <w:pPr>
              <w:tabs>
                <w:tab w:val="left" w:pos="-1440"/>
                <w:tab w:val="left" w:pos="-720"/>
              </w:tabs>
              <w:rPr>
                <w:sz w:val="20"/>
                <w:szCs w:val="20"/>
              </w:rPr>
            </w:pPr>
            <w:r w:rsidRPr="00A935AA">
              <w:rPr>
                <w:sz w:val="20"/>
                <w:szCs w:val="20"/>
              </w:rPr>
              <w:tab/>
            </w:r>
            <w:r w:rsidR="00C51E34">
              <w:rPr>
                <w:sz w:val="20"/>
                <w:szCs w:val="20"/>
              </w:rPr>
              <w:t>A.G. of Canada</w:t>
            </w:r>
          </w:p>
          <w:p w:rsidR="0097756E" w:rsidRPr="00A935AA" w:rsidRDefault="0097756E" w:rsidP="005F1ED8">
            <w:pPr>
              <w:tabs>
                <w:tab w:val="left" w:pos="-1440"/>
                <w:tab w:val="left" w:pos="-720"/>
              </w:tabs>
              <w:rPr>
                <w:sz w:val="20"/>
                <w:szCs w:val="20"/>
              </w:rPr>
            </w:pPr>
          </w:p>
          <w:p w:rsidR="0097756E" w:rsidRPr="00A935AA" w:rsidRDefault="00C51E34" w:rsidP="005F1ED8">
            <w:pPr>
              <w:rPr>
                <w:sz w:val="20"/>
                <w:szCs w:val="20"/>
              </w:rPr>
            </w:pPr>
            <w:r>
              <w:rPr>
                <w:sz w:val="20"/>
                <w:szCs w:val="20"/>
              </w:rPr>
              <w:t>FILING DATE: 30</w:t>
            </w:r>
            <w:r w:rsidR="0097756E" w:rsidRPr="00A935AA">
              <w:rPr>
                <w:sz w:val="20"/>
                <w:szCs w:val="20"/>
              </w:rPr>
              <w:t>.0</w:t>
            </w:r>
            <w:r>
              <w:rPr>
                <w:sz w:val="20"/>
                <w:szCs w:val="20"/>
              </w:rPr>
              <w:t>6</w:t>
            </w:r>
            <w:r w:rsidR="0097756E" w:rsidRPr="00A935AA">
              <w:rPr>
                <w:sz w:val="20"/>
                <w:szCs w:val="20"/>
              </w:rPr>
              <w:t>.201</w:t>
            </w:r>
            <w:r w:rsidR="0097756E">
              <w:rPr>
                <w:sz w:val="20"/>
                <w:szCs w:val="20"/>
              </w:rPr>
              <w:t>4</w:t>
            </w:r>
          </w:p>
          <w:p w:rsidR="0097756E" w:rsidRPr="00A935AA" w:rsidRDefault="00944C2E" w:rsidP="005F1ED8">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97756E" w:rsidRPr="00A935AA" w:rsidRDefault="0097756E" w:rsidP="00242AEE">
            <w:pPr>
              <w:jc w:val="center"/>
              <w:rPr>
                <w:sz w:val="20"/>
                <w:szCs w:val="20"/>
              </w:rPr>
            </w:pPr>
          </w:p>
          <w:p w:rsidR="0097756E" w:rsidRPr="00A935AA" w:rsidRDefault="0097756E" w:rsidP="00242AEE">
            <w:pPr>
              <w:jc w:val="center"/>
              <w:rPr>
                <w:sz w:val="20"/>
                <w:szCs w:val="20"/>
              </w:rPr>
            </w:pPr>
          </w:p>
          <w:p w:rsidR="0097756E" w:rsidRPr="00A935AA" w:rsidRDefault="0097756E" w:rsidP="00242AEE">
            <w:pPr>
              <w:jc w:val="center"/>
              <w:rPr>
                <w:sz w:val="20"/>
                <w:szCs w:val="20"/>
              </w:rPr>
            </w:pPr>
          </w:p>
          <w:p w:rsidR="0097756E" w:rsidRPr="00A935AA" w:rsidRDefault="0097756E" w:rsidP="00242AEE">
            <w:pPr>
              <w:jc w:val="center"/>
              <w:rPr>
                <w:sz w:val="20"/>
                <w:szCs w:val="20"/>
              </w:rPr>
            </w:pPr>
          </w:p>
          <w:p w:rsidR="0097756E" w:rsidRPr="00A935AA" w:rsidRDefault="0097756E" w:rsidP="00242AEE">
            <w:pPr>
              <w:jc w:val="center"/>
              <w:rPr>
                <w:sz w:val="20"/>
                <w:szCs w:val="20"/>
              </w:rPr>
            </w:pPr>
          </w:p>
          <w:p w:rsidR="0097756E" w:rsidRPr="00A935AA" w:rsidRDefault="0097756E" w:rsidP="00242AEE">
            <w:pPr>
              <w:jc w:val="center"/>
              <w:rPr>
                <w:sz w:val="20"/>
                <w:szCs w:val="20"/>
              </w:rPr>
            </w:pPr>
          </w:p>
          <w:p w:rsidR="0097756E" w:rsidRPr="00A935AA" w:rsidRDefault="0097756E" w:rsidP="00242AEE">
            <w:pPr>
              <w:jc w:val="center"/>
              <w:rPr>
                <w:sz w:val="20"/>
                <w:szCs w:val="20"/>
              </w:rPr>
            </w:pPr>
          </w:p>
          <w:p w:rsidR="0097756E" w:rsidRPr="00A935AA" w:rsidRDefault="0097756E" w:rsidP="00242AEE">
            <w:pPr>
              <w:jc w:val="center"/>
              <w:rPr>
                <w:sz w:val="20"/>
                <w:szCs w:val="20"/>
              </w:rPr>
            </w:pPr>
          </w:p>
          <w:p w:rsidR="0097756E" w:rsidRPr="00A935AA" w:rsidRDefault="0097756E" w:rsidP="00242AEE">
            <w:pPr>
              <w:jc w:val="center"/>
              <w:rPr>
                <w:sz w:val="20"/>
                <w:szCs w:val="20"/>
              </w:rPr>
            </w:pPr>
          </w:p>
          <w:p w:rsidR="0097756E" w:rsidRPr="00A935AA" w:rsidRDefault="0097756E" w:rsidP="00242AEE">
            <w:pPr>
              <w:jc w:val="center"/>
              <w:rPr>
                <w:sz w:val="20"/>
                <w:szCs w:val="20"/>
              </w:rPr>
            </w:pPr>
          </w:p>
          <w:p w:rsidR="0097756E" w:rsidRPr="00A935AA" w:rsidRDefault="0097756E" w:rsidP="00242AEE">
            <w:pPr>
              <w:jc w:val="center"/>
              <w:rPr>
                <w:sz w:val="20"/>
                <w:szCs w:val="20"/>
              </w:rPr>
            </w:pPr>
          </w:p>
          <w:p w:rsidR="0097756E" w:rsidRPr="00A935AA" w:rsidRDefault="0097756E" w:rsidP="00242AEE">
            <w:pPr>
              <w:jc w:val="center"/>
              <w:rPr>
                <w:sz w:val="20"/>
                <w:szCs w:val="20"/>
              </w:rPr>
            </w:pPr>
          </w:p>
          <w:p w:rsidR="0097756E" w:rsidRPr="00A935AA" w:rsidRDefault="0097756E" w:rsidP="00242AEE">
            <w:pPr>
              <w:jc w:val="center"/>
              <w:rPr>
                <w:sz w:val="20"/>
                <w:szCs w:val="20"/>
              </w:rPr>
            </w:pPr>
          </w:p>
        </w:tc>
        <w:tc>
          <w:tcPr>
            <w:tcW w:w="4320" w:type="dxa"/>
            <w:shd w:val="clear" w:color="auto" w:fill="auto"/>
          </w:tcPr>
          <w:p w:rsidR="00C51E34" w:rsidRDefault="00C51E34" w:rsidP="0097756E">
            <w:pPr>
              <w:keepNext/>
              <w:keepLines/>
              <w:tabs>
                <w:tab w:val="left" w:pos="-1440"/>
                <w:tab w:val="left" w:pos="-720"/>
              </w:tabs>
              <w:rPr>
                <w:b/>
                <w:sz w:val="20"/>
                <w:szCs w:val="20"/>
              </w:rPr>
            </w:pPr>
          </w:p>
          <w:p w:rsidR="0097756E" w:rsidRPr="00E2016D" w:rsidRDefault="00C51E34" w:rsidP="0097756E">
            <w:pPr>
              <w:keepNext/>
              <w:keepLines/>
              <w:tabs>
                <w:tab w:val="left" w:pos="-1440"/>
                <w:tab w:val="left" w:pos="-720"/>
              </w:tabs>
              <w:rPr>
                <w:b/>
                <w:sz w:val="20"/>
                <w:szCs w:val="20"/>
                <w:lang w:val="fr-CA"/>
              </w:rPr>
            </w:pPr>
            <w:r w:rsidRPr="00E2016D">
              <w:rPr>
                <w:b/>
                <w:sz w:val="20"/>
                <w:szCs w:val="20"/>
                <w:lang w:val="fr-CA"/>
              </w:rPr>
              <w:t>Clarence Pa</w:t>
            </w:r>
            <w:r w:rsidR="0097756E" w:rsidRPr="00E2016D">
              <w:rPr>
                <w:b/>
                <w:sz w:val="20"/>
                <w:szCs w:val="20"/>
                <w:lang w:val="fr-CA"/>
              </w:rPr>
              <w:t>r</w:t>
            </w:r>
            <w:r w:rsidRPr="00E2016D">
              <w:rPr>
                <w:b/>
                <w:sz w:val="20"/>
                <w:szCs w:val="20"/>
                <w:lang w:val="fr-CA"/>
              </w:rPr>
              <w:t>adis</w:t>
            </w:r>
          </w:p>
          <w:p w:rsidR="0097756E" w:rsidRPr="00E2016D" w:rsidRDefault="0097756E" w:rsidP="0097756E">
            <w:pPr>
              <w:keepNext/>
              <w:keepLines/>
              <w:tabs>
                <w:tab w:val="left" w:pos="-1440"/>
                <w:tab w:val="left" w:pos="-720"/>
              </w:tabs>
              <w:rPr>
                <w:sz w:val="20"/>
                <w:szCs w:val="20"/>
                <w:lang w:val="fr-CA"/>
              </w:rPr>
            </w:pPr>
            <w:r w:rsidRPr="00E2016D">
              <w:rPr>
                <w:sz w:val="20"/>
                <w:szCs w:val="20"/>
                <w:lang w:val="fr-CA"/>
              </w:rPr>
              <w:tab/>
            </w:r>
            <w:r w:rsidR="00C51E34" w:rsidRPr="00E2016D">
              <w:rPr>
                <w:sz w:val="20"/>
                <w:szCs w:val="20"/>
                <w:lang w:val="fr-CA"/>
              </w:rPr>
              <w:t>Cla</w:t>
            </w:r>
            <w:r w:rsidRPr="00E2016D">
              <w:rPr>
                <w:sz w:val="20"/>
                <w:szCs w:val="20"/>
                <w:lang w:val="fr-CA"/>
              </w:rPr>
              <w:t>re</w:t>
            </w:r>
            <w:r w:rsidR="00C51E34" w:rsidRPr="00E2016D">
              <w:rPr>
                <w:sz w:val="20"/>
                <w:szCs w:val="20"/>
                <w:lang w:val="fr-CA"/>
              </w:rPr>
              <w:t xml:space="preserve">nce </w:t>
            </w:r>
            <w:r w:rsidRPr="00E2016D">
              <w:rPr>
                <w:sz w:val="20"/>
                <w:szCs w:val="20"/>
                <w:lang w:val="fr-CA"/>
              </w:rPr>
              <w:t>Par</w:t>
            </w:r>
            <w:r w:rsidR="00C51E34" w:rsidRPr="00E2016D">
              <w:rPr>
                <w:sz w:val="20"/>
                <w:szCs w:val="20"/>
                <w:lang w:val="fr-CA"/>
              </w:rPr>
              <w:t>adis</w:t>
            </w:r>
          </w:p>
          <w:p w:rsidR="0097756E" w:rsidRPr="00806A5B" w:rsidRDefault="0097756E" w:rsidP="0097756E">
            <w:pPr>
              <w:keepNext/>
              <w:keepLines/>
              <w:tabs>
                <w:tab w:val="left" w:pos="-1440"/>
                <w:tab w:val="left" w:pos="-720"/>
              </w:tabs>
              <w:rPr>
                <w:sz w:val="20"/>
                <w:szCs w:val="20"/>
                <w:lang w:val="fr-CA"/>
              </w:rPr>
            </w:pPr>
          </w:p>
          <w:p w:rsidR="0097756E" w:rsidRPr="00806A5B" w:rsidRDefault="0097756E" w:rsidP="0097756E">
            <w:pPr>
              <w:keepNext/>
              <w:keepLines/>
              <w:tabs>
                <w:tab w:val="left" w:pos="-1440"/>
                <w:tab w:val="left" w:pos="-720"/>
              </w:tabs>
              <w:rPr>
                <w:sz w:val="20"/>
                <w:szCs w:val="20"/>
                <w:lang w:val="fr-CA"/>
              </w:rPr>
            </w:pPr>
            <w:r w:rsidRPr="00806A5B">
              <w:rPr>
                <w:sz w:val="20"/>
                <w:szCs w:val="20"/>
                <w:lang w:val="fr-CA"/>
              </w:rPr>
              <w:tab/>
              <w:t>c. (35</w:t>
            </w:r>
            <w:r w:rsidR="00C51E34">
              <w:rPr>
                <w:sz w:val="20"/>
                <w:szCs w:val="20"/>
                <w:lang w:val="fr-CA"/>
              </w:rPr>
              <w:t>9</w:t>
            </w:r>
            <w:r w:rsidRPr="00806A5B">
              <w:rPr>
                <w:sz w:val="20"/>
                <w:szCs w:val="20"/>
                <w:lang w:val="fr-CA"/>
              </w:rPr>
              <w:t>67)</w:t>
            </w:r>
          </w:p>
          <w:p w:rsidR="0097756E" w:rsidRPr="00806A5B" w:rsidRDefault="0097756E" w:rsidP="0097756E">
            <w:pPr>
              <w:keepNext/>
              <w:keepLines/>
              <w:tabs>
                <w:tab w:val="left" w:pos="-1440"/>
                <w:tab w:val="left" w:pos="-720"/>
              </w:tabs>
              <w:rPr>
                <w:sz w:val="20"/>
                <w:szCs w:val="20"/>
                <w:lang w:val="fr-CA"/>
              </w:rPr>
            </w:pPr>
          </w:p>
          <w:p w:rsidR="0097756E" w:rsidRPr="00806A5B" w:rsidRDefault="00C51E34" w:rsidP="0097756E">
            <w:pPr>
              <w:keepNext/>
              <w:keepLines/>
              <w:tabs>
                <w:tab w:val="left" w:pos="-1440"/>
                <w:tab w:val="left" w:pos="-720"/>
              </w:tabs>
              <w:rPr>
                <w:b/>
                <w:sz w:val="20"/>
                <w:szCs w:val="20"/>
                <w:lang w:val="fr-CA"/>
              </w:rPr>
            </w:pPr>
            <w:r>
              <w:rPr>
                <w:b/>
                <w:sz w:val="20"/>
                <w:szCs w:val="20"/>
                <w:lang w:val="fr-CA"/>
              </w:rPr>
              <w:t>TD A</w:t>
            </w:r>
            <w:r w:rsidR="0097756E" w:rsidRPr="00806A5B">
              <w:rPr>
                <w:b/>
                <w:sz w:val="20"/>
                <w:szCs w:val="20"/>
                <w:lang w:val="fr-CA"/>
              </w:rPr>
              <w:t>s</w:t>
            </w:r>
            <w:r>
              <w:rPr>
                <w:b/>
                <w:sz w:val="20"/>
                <w:szCs w:val="20"/>
                <w:lang w:val="fr-CA"/>
              </w:rPr>
              <w:t>sur</w:t>
            </w:r>
            <w:r w:rsidR="0097756E" w:rsidRPr="00806A5B">
              <w:rPr>
                <w:b/>
                <w:sz w:val="20"/>
                <w:szCs w:val="20"/>
                <w:lang w:val="fr-CA"/>
              </w:rPr>
              <w:t>an</w:t>
            </w:r>
            <w:r>
              <w:rPr>
                <w:b/>
                <w:sz w:val="20"/>
                <w:szCs w:val="20"/>
                <w:lang w:val="fr-CA"/>
              </w:rPr>
              <w:t>c</w:t>
            </w:r>
            <w:r w:rsidR="0097756E" w:rsidRPr="00806A5B">
              <w:rPr>
                <w:b/>
                <w:sz w:val="20"/>
                <w:szCs w:val="20"/>
                <w:lang w:val="fr-CA"/>
              </w:rPr>
              <w:t>e (Qc)</w:t>
            </w:r>
          </w:p>
          <w:p w:rsidR="0097756E" w:rsidRPr="00806A5B" w:rsidRDefault="0097756E" w:rsidP="0097756E">
            <w:pPr>
              <w:keepNext/>
              <w:keepLines/>
              <w:tabs>
                <w:tab w:val="left" w:pos="-1440"/>
                <w:tab w:val="left" w:pos="-720"/>
              </w:tabs>
              <w:rPr>
                <w:sz w:val="20"/>
                <w:szCs w:val="20"/>
                <w:lang w:val="fr-CA"/>
              </w:rPr>
            </w:pPr>
            <w:r w:rsidRPr="00806A5B">
              <w:rPr>
                <w:sz w:val="20"/>
                <w:szCs w:val="20"/>
                <w:lang w:val="fr-CA"/>
              </w:rPr>
              <w:tab/>
            </w:r>
            <w:r w:rsidR="00C51E34">
              <w:rPr>
                <w:sz w:val="20"/>
                <w:szCs w:val="20"/>
                <w:lang w:val="fr-CA"/>
              </w:rPr>
              <w:t>S</w:t>
            </w:r>
            <w:r>
              <w:rPr>
                <w:sz w:val="20"/>
                <w:szCs w:val="20"/>
                <w:lang w:val="fr-CA"/>
              </w:rPr>
              <w:t>el</w:t>
            </w:r>
            <w:r w:rsidR="00C51E34">
              <w:rPr>
                <w:sz w:val="20"/>
                <w:szCs w:val="20"/>
                <w:lang w:val="fr-CA"/>
              </w:rPr>
              <w:t>e</w:t>
            </w:r>
            <w:r>
              <w:rPr>
                <w:sz w:val="20"/>
                <w:szCs w:val="20"/>
                <w:lang w:val="fr-CA"/>
              </w:rPr>
              <w:t>n</w:t>
            </w:r>
            <w:r w:rsidR="00C51E34">
              <w:rPr>
                <w:sz w:val="20"/>
                <w:szCs w:val="20"/>
                <w:lang w:val="fr-CA"/>
              </w:rPr>
              <w:t>a L</w:t>
            </w:r>
            <w:r>
              <w:rPr>
                <w:sz w:val="20"/>
                <w:szCs w:val="20"/>
                <w:lang w:val="fr-CA"/>
              </w:rPr>
              <w:t>u</w:t>
            </w:r>
          </w:p>
          <w:p w:rsidR="0097756E" w:rsidRDefault="0097756E" w:rsidP="0097756E">
            <w:pPr>
              <w:keepNext/>
              <w:keepLines/>
              <w:tabs>
                <w:tab w:val="left" w:pos="-1440"/>
                <w:tab w:val="left" w:pos="-720"/>
              </w:tabs>
              <w:rPr>
                <w:sz w:val="20"/>
                <w:szCs w:val="20"/>
                <w:lang w:val="fr-CA"/>
              </w:rPr>
            </w:pPr>
            <w:r w:rsidRPr="00806A5B">
              <w:rPr>
                <w:sz w:val="20"/>
                <w:szCs w:val="20"/>
                <w:lang w:val="fr-CA"/>
              </w:rPr>
              <w:tab/>
            </w:r>
            <w:r w:rsidR="00C51E34">
              <w:rPr>
                <w:sz w:val="20"/>
                <w:szCs w:val="20"/>
                <w:lang w:val="fr-CA"/>
              </w:rPr>
              <w:t>Lapointe Ro</w:t>
            </w:r>
            <w:r>
              <w:rPr>
                <w:sz w:val="20"/>
                <w:szCs w:val="20"/>
                <w:lang w:val="fr-CA"/>
              </w:rPr>
              <w:t>se</w:t>
            </w:r>
            <w:r w:rsidR="00C51E34">
              <w:rPr>
                <w:sz w:val="20"/>
                <w:szCs w:val="20"/>
                <w:lang w:val="fr-CA"/>
              </w:rPr>
              <w:t>n</w:t>
            </w:r>
            <w:r>
              <w:rPr>
                <w:sz w:val="20"/>
                <w:szCs w:val="20"/>
                <w:lang w:val="fr-CA"/>
              </w:rPr>
              <w:t>s</w:t>
            </w:r>
            <w:r w:rsidR="00C51E34">
              <w:rPr>
                <w:sz w:val="20"/>
                <w:szCs w:val="20"/>
                <w:lang w:val="fr-CA"/>
              </w:rPr>
              <w:t>t</w:t>
            </w:r>
            <w:r>
              <w:rPr>
                <w:sz w:val="20"/>
                <w:szCs w:val="20"/>
                <w:lang w:val="fr-CA"/>
              </w:rPr>
              <w:t>e</w:t>
            </w:r>
            <w:r w:rsidR="00C51E34">
              <w:rPr>
                <w:sz w:val="20"/>
                <w:szCs w:val="20"/>
                <w:lang w:val="fr-CA"/>
              </w:rPr>
              <w:t>in Marchand Me</w:t>
            </w:r>
            <w:r>
              <w:rPr>
                <w:sz w:val="20"/>
                <w:szCs w:val="20"/>
                <w:lang w:val="fr-CA"/>
              </w:rPr>
              <w:t>la</w:t>
            </w:r>
            <w:r w:rsidR="00C51E34">
              <w:rPr>
                <w:sz w:val="20"/>
                <w:szCs w:val="20"/>
                <w:lang w:val="fr-CA"/>
              </w:rPr>
              <w:t>nçon</w:t>
            </w:r>
          </w:p>
          <w:p w:rsidR="00C51E34" w:rsidRPr="00806A5B" w:rsidRDefault="00C51E34" w:rsidP="0097756E">
            <w:pPr>
              <w:keepNext/>
              <w:keepLines/>
              <w:tabs>
                <w:tab w:val="left" w:pos="-1440"/>
                <w:tab w:val="left" w:pos="-720"/>
              </w:tabs>
              <w:rPr>
                <w:sz w:val="20"/>
                <w:szCs w:val="20"/>
                <w:lang w:val="fr-CA"/>
              </w:rPr>
            </w:pPr>
          </w:p>
          <w:p w:rsidR="0097756E" w:rsidRPr="00806A5B" w:rsidRDefault="0097756E" w:rsidP="00CE73E0">
            <w:pPr>
              <w:rPr>
                <w:sz w:val="20"/>
                <w:szCs w:val="20"/>
                <w:lang w:val="fr-CA"/>
              </w:rPr>
            </w:pPr>
            <w:r w:rsidRPr="00806A5B">
              <w:rPr>
                <w:sz w:val="20"/>
                <w:szCs w:val="20"/>
                <w:lang w:val="fr-CA"/>
              </w:rPr>
              <w:t xml:space="preserve">DATE DE PRODUCTION: </w:t>
            </w:r>
            <w:r>
              <w:rPr>
                <w:sz w:val="20"/>
                <w:szCs w:val="20"/>
                <w:lang w:val="fr-CA"/>
              </w:rPr>
              <w:t>0</w:t>
            </w:r>
            <w:r w:rsidR="00CE73E0">
              <w:rPr>
                <w:sz w:val="20"/>
                <w:szCs w:val="20"/>
                <w:lang w:val="fr-CA"/>
              </w:rPr>
              <w:t>2</w:t>
            </w:r>
            <w:r w:rsidRPr="00806A5B">
              <w:rPr>
                <w:sz w:val="20"/>
                <w:szCs w:val="20"/>
                <w:lang w:val="fr-CA"/>
              </w:rPr>
              <w:t>.0</w:t>
            </w:r>
            <w:r w:rsidR="00CE73E0">
              <w:rPr>
                <w:sz w:val="20"/>
                <w:szCs w:val="20"/>
                <w:lang w:val="fr-CA"/>
              </w:rPr>
              <w:t>7</w:t>
            </w:r>
            <w:r w:rsidRPr="00806A5B">
              <w:rPr>
                <w:sz w:val="20"/>
                <w:szCs w:val="20"/>
                <w:lang w:val="fr-CA"/>
              </w:rPr>
              <w:t>.2014</w:t>
            </w:r>
            <w:r w:rsidR="00944C2E">
              <w:rPr>
                <w:sz w:val="20"/>
                <w:szCs w:val="20"/>
                <w:lang w:val="fr-CA"/>
              </w:rPr>
              <w:pict>
                <v:rect id="_x0000_i1032"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935AA" w:rsidRDefault="00C57032" w:rsidP="005F1ED8">
            <w:pPr>
              <w:rPr>
                <w:b/>
                <w:sz w:val="20"/>
                <w:szCs w:val="20"/>
              </w:rPr>
            </w:pPr>
            <w:r>
              <w:rPr>
                <w:b/>
                <w:sz w:val="20"/>
                <w:szCs w:val="20"/>
              </w:rPr>
              <w:lastRenderedPageBreak/>
              <w:t>Kenneth George Verch et al.</w:t>
            </w:r>
          </w:p>
          <w:p w:rsidR="00C21644" w:rsidRPr="00A935AA" w:rsidRDefault="00C21644" w:rsidP="005F1ED8">
            <w:pPr>
              <w:tabs>
                <w:tab w:val="left" w:pos="-1440"/>
                <w:tab w:val="left" w:pos="-720"/>
              </w:tabs>
              <w:rPr>
                <w:sz w:val="20"/>
                <w:szCs w:val="20"/>
              </w:rPr>
            </w:pPr>
            <w:r w:rsidRPr="00A935AA">
              <w:rPr>
                <w:sz w:val="20"/>
                <w:szCs w:val="20"/>
              </w:rPr>
              <w:tab/>
            </w:r>
            <w:r w:rsidR="00C57032">
              <w:rPr>
                <w:sz w:val="20"/>
                <w:szCs w:val="20"/>
              </w:rPr>
              <w:t>Leonard Levencrown</w:t>
            </w:r>
          </w:p>
          <w:p w:rsidR="00C21644" w:rsidRPr="00A935AA" w:rsidRDefault="00C21644" w:rsidP="005F1ED8">
            <w:pPr>
              <w:tabs>
                <w:tab w:val="left" w:pos="-1440"/>
                <w:tab w:val="left" w:pos="-720"/>
              </w:tabs>
              <w:rPr>
                <w:sz w:val="20"/>
                <w:szCs w:val="20"/>
              </w:rPr>
            </w:pPr>
            <w:r w:rsidRPr="00A935AA">
              <w:rPr>
                <w:sz w:val="20"/>
                <w:szCs w:val="20"/>
              </w:rPr>
              <w:tab/>
            </w:r>
            <w:r w:rsidR="00C57032">
              <w:rPr>
                <w:sz w:val="20"/>
                <w:szCs w:val="20"/>
              </w:rPr>
              <w:t>Levencrown Family Law Counsel</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Pr>
                <w:sz w:val="20"/>
                <w:szCs w:val="20"/>
              </w:rPr>
              <w:t>5</w:t>
            </w:r>
            <w:r w:rsidR="00C57032">
              <w:rPr>
                <w:sz w:val="20"/>
                <w:szCs w:val="20"/>
              </w:rPr>
              <w:t>963</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C57032" w:rsidP="005F1ED8">
            <w:pPr>
              <w:tabs>
                <w:tab w:val="left" w:pos="-1440"/>
                <w:tab w:val="left" w:pos="-720"/>
              </w:tabs>
              <w:rPr>
                <w:b/>
                <w:sz w:val="20"/>
                <w:szCs w:val="20"/>
              </w:rPr>
            </w:pPr>
            <w:r>
              <w:rPr>
                <w:b/>
                <w:sz w:val="20"/>
                <w:szCs w:val="20"/>
              </w:rPr>
              <w:t xml:space="preserve">Brian Weckworth et al.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C57032">
              <w:rPr>
                <w:sz w:val="20"/>
                <w:szCs w:val="20"/>
              </w:rPr>
              <w:t>Mary A. Fraser</w:t>
            </w:r>
          </w:p>
          <w:p w:rsidR="00C21644" w:rsidRPr="00A935AA" w:rsidRDefault="00C21644" w:rsidP="005F1ED8">
            <w:pPr>
              <w:tabs>
                <w:tab w:val="left" w:pos="-1440"/>
                <w:tab w:val="left" w:pos="-720"/>
              </w:tabs>
              <w:rPr>
                <w:sz w:val="20"/>
                <w:szCs w:val="20"/>
              </w:rPr>
            </w:pPr>
            <w:r w:rsidRPr="00A935AA">
              <w:rPr>
                <w:sz w:val="20"/>
                <w:szCs w:val="20"/>
              </w:rPr>
              <w:tab/>
            </w:r>
            <w:r w:rsidR="00C57032">
              <w:rPr>
                <w:sz w:val="20"/>
                <w:szCs w:val="20"/>
              </w:rPr>
              <w:t>Johnson, Fraser &amp; March</w:t>
            </w:r>
          </w:p>
          <w:p w:rsidR="00C21644" w:rsidRPr="00A935AA" w:rsidRDefault="00C21644" w:rsidP="005F1ED8">
            <w:pPr>
              <w:tabs>
                <w:tab w:val="left" w:pos="-1440"/>
                <w:tab w:val="left" w:pos="-720"/>
              </w:tabs>
              <w:rPr>
                <w:sz w:val="20"/>
                <w:szCs w:val="20"/>
              </w:rPr>
            </w:pPr>
          </w:p>
          <w:p w:rsidR="00C21644" w:rsidRPr="00A935AA" w:rsidRDefault="00C57032" w:rsidP="005F1ED8">
            <w:pPr>
              <w:rPr>
                <w:sz w:val="20"/>
                <w:szCs w:val="20"/>
              </w:rPr>
            </w:pPr>
            <w:r>
              <w:rPr>
                <w:sz w:val="20"/>
                <w:szCs w:val="20"/>
              </w:rPr>
              <w:t>FILING DATE: 30</w:t>
            </w:r>
            <w:r w:rsidR="00C21644" w:rsidRPr="00A935AA">
              <w:rPr>
                <w:sz w:val="20"/>
                <w:szCs w:val="20"/>
              </w:rPr>
              <w:t>.0</w:t>
            </w:r>
            <w:r>
              <w:rPr>
                <w:sz w:val="20"/>
                <w:szCs w:val="20"/>
              </w:rPr>
              <w:t>6</w:t>
            </w:r>
            <w:r w:rsidR="00C21644" w:rsidRPr="00A935AA">
              <w:rPr>
                <w:sz w:val="20"/>
                <w:szCs w:val="20"/>
              </w:rPr>
              <w:t>.201</w:t>
            </w:r>
            <w:r w:rsidR="00C21644">
              <w:rPr>
                <w:sz w:val="20"/>
                <w:szCs w:val="20"/>
              </w:rPr>
              <w:t>4</w:t>
            </w:r>
          </w:p>
          <w:p w:rsidR="00C21644" w:rsidRPr="00A935AA" w:rsidRDefault="00944C2E" w:rsidP="005F1ED8">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C57032" w:rsidP="005F1ED8">
            <w:pPr>
              <w:rPr>
                <w:b/>
                <w:sz w:val="20"/>
                <w:szCs w:val="20"/>
              </w:rPr>
            </w:pPr>
            <w:r>
              <w:rPr>
                <w:b/>
                <w:sz w:val="20"/>
                <w:szCs w:val="20"/>
              </w:rPr>
              <w:t>John Bennett</w:t>
            </w:r>
          </w:p>
          <w:p w:rsidR="00C21644" w:rsidRPr="00A935AA" w:rsidRDefault="00C21644" w:rsidP="005F1ED8">
            <w:pPr>
              <w:tabs>
                <w:tab w:val="left" w:pos="-1440"/>
                <w:tab w:val="left" w:pos="-720"/>
              </w:tabs>
              <w:rPr>
                <w:sz w:val="20"/>
                <w:szCs w:val="20"/>
              </w:rPr>
            </w:pPr>
            <w:r w:rsidRPr="00A935AA">
              <w:rPr>
                <w:sz w:val="20"/>
                <w:szCs w:val="20"/>
              </w:rPr>
              <w:tab/>
            </w:r>
            <w:r w:rsidR="00C57032">
              <w:rPr>
                <w:sz w:val="20"/>
                <w:szCs w:val="20"/>
              </w:rPr>
              <w:t>Gregory Delbigio</w:t>
            </w:r>
          </w:p>
          <w:p w:rsidR="00C21644" w:rsidRPr="00A935AA" w:rsidRDefault="00C21644" w:rsidP="005F1ED8">
            <w:pPr>
              <w:tabs>
                <w:tab w:val="left" w:pos="-1440"/>
                <w:tab w:val="left" w:pos="-720"/>
              </w:tabs>
              <w:rPr>
                <w:sz w:val="20"/>
                <w:szCs w:val="20"/>
              </w:rPr>
            </w:pPr>
            <w:r w:rsidRPr="00A935AA">
              <w:rPr>
                <w:sz w:val="20"/>
                <w:szCs w:val="20"/>
              </w:rPr>
              <w:tab/>
            </w:r>
            <w:r w:rsidR="00C57032">
              <w:rPr>
                <w:sz w:val="20"/>
                <w:szCs w:val="20"/>
              </w:rPr>
              <w:t>Thorsteinssons</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Pr>
                <w:sz w:val="20"/>
                <w:szCs w:val="20"/>
              </w:rPr>
              <w:t>5</w:t>
            </w:r>
            <w:r w:rsidR="00C57032">
              <w:rPr>
                <w:sz w:val="20"/>
                <w:szCs w:val="20"/>
              </w:rPr>
              <w:t>839</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C57032" w:rsidP="005F1ED8">
            <w:pPr>
              <w:tabs>
                <w:tab w:val="left" w:pos="-1440"/>
                <w:tab w:val="left" w:pos="-720"/>
              </w:tabs>
              <w:rPr>
                <w:b/>
                <w:sz w:val="20"/>
                <w:szCs w:val="20"/>
              </w:rPr>
            </w:pPr>
            <w:r>
              <w:rPr>
                <w:b/>
                <w:sz w:val="20"/>
                <w:szCs w:val="20"/>
              </w:rPr>
              <w:t xml:space="preserve">Attorney General of Canada on behalf of the United States of America </w:t>
            </w:r>
            <w:r w:rsidR="00C21644" w:rsidRPr="00A935AA">
              <w:rPr>
                <w:b/>
                <w:sz w:val="20"/>
                <w:szCs w:val="20"/>
              </w:rPr>
              <w:t>(</w:t>
            </w:r>
            <w:r>
              <w:rPr>
                <w:b/>
                <w:sz w:val="20"/>
                <w:szCs w:val="20"/>
              </w:rPr>
              <w:t>B.C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C57032">
              <w:rPr>
                <w:sz w:val="20"/>
                <w:szCs w:val="20"/>
              </w:rPr>
              <w:t>Stacey M. Repas</w:t>
            </w:r>
          </w:p>
          <w:p w:rsidR="00C21644" w:rsidRPr="00A935AA" w:rsidRDefault="00C21644" w:rsidP="005F1ED8">
            <w:pPr>
              <w:tabs>
                <w:tab w:val="left" w:pos="-1440"/>
                <w:tab w:val="left" w:pos="-720"/>
              </w:tabs>
              <w:rPr>
                <w:sz w:val="20"/>
                <w:szCs w:val="20"/>
              </w:rPr>
            </w:pPr>
            <w:r w:rsidRPr="00A935AA">
              <w:rPr>
                <w:sz w:val="20"/>
                <w:szCs w:val="20"/>
              </w:rPr>
              <w:tab/>
            </w:r>
            <w:r w:rsidR="00C57032">
              <w:rPr>
                <w:sz w:val="20"/>
                <w:szCs w:val="20"/>
              </w:rPr>
              <w:t>A.G. of Canada</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C57032">
              <w:rPr>
                <w:sz w:val="20"/>
                <w:szCs w:val="20"/>
              </w:rPr>
              <w:t>04</w:t>
            </w:r>
            <w:r w:rsidRPr="00A935AA">
              <w:rPr>
                <w:sz w:val="20"/>
                <w:szCs w:val="20"/>
              </w:rPr>
              <w:t>.0</w:t>
            </w:r>
            <w:r w:rsidR="00C57032">
              <w:rPr>
                <w:sz w:val="20"/>
                <w:szCs w:val="20"/>
              </w:rPr>
              <w:t>7</w:t>
            </w:r>
            <w:r w:rsidRPr="00A935AA">
              <w:rPr>
                <w:sz w:val="20"/>
                <w:szCs w:val="20"/>
              </w:rPr>
              <w:t>.201</w:t>
            </w:r>
            <w:r>
              <w:rPr>
                <w:sz w:val="20"/>
                <w:szCs w:val="20"/>
              </w:rPr>
              <w:t>4</w:t>
            </w:r>
          </w:p>
          <w:p w:rsidR="00C21644" w:rsidRPr="00A935AA" w:rsidRDefault="00944C2E" w:rsidP="005F1ED8">
            <w:pPr>
              <w:rPr>
                <w:sz w:val="20"/>
                <w:szCs w:val="20"/>
              </w:rPr>
            </w:pPr>
            <w:r>
              <w:rPr>
                <w:sz w:val="20"/>
                <w:szCs w:val="20"/>
                <w:lang w:val="fr-CA"/>
              </w:rPr>
              <w:pict>
                <v:rect id="_x0000_i1034" style="width:108pt;height:1pt" o:hrpct="0" o:hralign="center" o:hrstd="t" o:hrnoshade="t" o:hr="t" fillcolor="black [3213]" stroked="f"/>
              </w:pict>
            </w:r>
          </w:p>
        </w:tc>
      </w:tr>
      <w:tr w:rsidR="00CD7089" w:rsidRPr="00A935AA" w:rsidTr="003B3977">
        <w:trPr>
          <w:cantSplit/>
        </w:trPr>
        <w:tc>
          <w:tcPr>
            <w:tcW w:w="4320" w:type="dxa"/>
            <w:shd w:val="clear" w:color="auto" w:fill="auto"/>
          </w:tcPr>
          <w:p w:rsidR="00CD7089" w:rsidRPr="00E2016D" w:rsidRDefault="00C57032" w:rsidP="005F1ED8">
            <w:pPr>
              <w:rPr>
                <w:b/>
                <w:sz w:val="20"/>
                <w:szCs w:val="20"/>
              </w:rPr>
            </w:pPr>
            <w:r w:rsidRPr="00E2016D">
              <w:rPr>
                <w:b/>
                <w:sz w:val="20"/>
                <w:szCs w:val="20"/>
              </w:rPr>
              <w:t>Anthony Accurso</w:t>
            </w:r>
          </w:p>
          <w:p w:rsidR="00CD7089" w:rsidRPr="00E2016D" w:rsidRDefault="00CD7089" w:rsidP="005F1ED8">
            <w:pPr>
              <w:tabs>
                <w:tab w:val="left" w:pos="-1440"/>
                <w:tab w:val="left" w:pos="-720"/>
              </w:tabs>
              <w:rPr>
                <w:sz w:val="20"/>
                <w:szCs w:val="20"/>
              </w:rPr>
            </w:pPr>
            <w:r w:rsidRPr="00E2016D">
              <w:rPr>
                <w:sz w:val="20"/>
                <w:szCs w:val="20"/>
              </w:rPr>
              <w:tab/>
            </w:r>
            <w:r w:rsidR="00C57032" w:rsidRPr="00E2016D">
              <w:rPr>
                <w:sz w:val="20"/>
                <w:szCs w:val="20"/>
              </w:rPr>
              <w:t>Louis Belleau, Ad. E.</w:t>
            </w:r>
          </w:p>
          <w:p w:rsidR="00CD7089" w:rsidRPr="00E2016D" w:rsidRDefault="00CD7089" w:rsidP="005F1ED8">
            <w:pPr>
              <w:tabs>
                <w:tab w:val="left" w:pos="-1440"/>
                <w:tab w:val="left" w:pos="-720"/>
              </w:tabs>
              <w:rPr>
                <w:sz w:val="20"/>
                <w:szCs w:val="20"/>
              </w:rPr>
            </w:pPr>
          </w:p>
          <w:p w:rsidR="00CD7089" w:rsidRPr="00C57032" w:rsidRDefault="00CD7089" w:rsidP="005F1ED8">
            <w:pPr>
              <w:tabs>
                <w:tab w:val="left" w:pos="-1440"/>
                <w:tab w:val="left" w:pos="-720"/>
              </w:tabs>
              <w:rPr>
                <w:sz w:val="20"/>
                <w:szCs w:val="20"/>
                <w:lang w:val="fr-CA"/>
              </w:rPr>
            </w:pPr>
            <w:r w:rsidRPr="00E2016D">
              <w:rPr>
                <w:sz w:val="20"/>
                <w:szCs w:val="20"/>
              </w:rPr>
              <w:tab/>
            </w:r>
            <w:r w:rsidR="00C57032">
              <w:rPr>
                <w:sz w:val="20"/>
                <w:szCs w:val="20"/>
                <w:lang w:val="fr-CA"/>
              </w:rPr>
              <w:t>c.</w:t>
            </w:r>
            <w:r w:rsidRPr="00C57032">
              <w:rPr>
                <w:sz w:val="20"/>
                <w:szCs w:val="20"/>
                <w:lang w:val="fr-CA"/>
              </w:rPr>
              <w:t xml:space="preserve"> (35</w:t>
            </w:r>
            <w:r w:rsidR="00C57032">
              <w:rPr>
                <w:sz w:val="20"/>
                <w:szCs w:val="20"/>
                <w:lang w:val="fr-CA"/>
              </w:rPr>
              <w:t>964</w:t>
            </w:r>
            <w:r w:rsidRPr="00C57032">
              <w:rPr>
                <w:sz w:val="20"/>
                <w:szCs w:val="20"/>
                <w:lang w:val="fr-CA"/>
              </w:rPr>
              <w:t>)</w:t>
            </w:r>
          </w:p>
          <w:p w:rsidR="00CD7089" w:rsidRPr="00C57032" w:rsidRDefault="00CD7089" w:rsidP="005F1ED8">
            <w:pPr>
              <w:tabs>
                <w:tab w:val="left" w:pos="-1440"/>
                <w:tab w:val="left" w:pos="-720"/>
              </w:tabs>
              <w:rPr>
                <w:sz w:val="20"/>
                <w:szCs w:val="20"/>
                <w:lang w:val="fr-CA"/>
              </w:rPr>
            </w:pPr>
          </w:p>
          <w:p w:rsidR="00CD7089" w:rsidRPr="00C57032" w:rsidRDefault="00C57032" w:rsidP="005F1ED8">
            <w:pPr>
              <w:tabs>
                <w:tab w:val="left" w:pos="-1440"/>
                <w:tab w:val="left" w:pos="-720"/>
              </w:tabs>
              <w:rPr>
                <w:b/>
                <w:sz w:val="20"/>
                <w:szCs w:val="20"/>
                <w:lang w:val="fr-CA"/>
              </w:rPr>
            </w:pPr>
            <w:r>
              <w:rPr>
                <w:b/>
                <w:sz w:val="20"/>
                <w:szCs w:val="20"/>
                <w:lang w:val="fr-CA"/>
              </w:rPr>
              <w:t xml:space="preserve">France Charbonneau, ès qualités de commissaire et présidente de la Commission d’enquête sur l’octroi et la gestion des contrats publics dans l’industrie de la construction et autre </w:t>
            </w:r>
            <w:r w:rsidR="00CD7089" w:rsidRPr="00C57032">
              <w:rPr>
                <w:b/>
                <w:sz w:val="20"/>
                <w:szCs w:val="20"/>
                <w:lang w:val="fr-CA"/>
              </w:rPr>
              <w:t>(</w:t>
            </w:r>
            <w:r>
              <w:rPr>
                <w:b/>
                <w:sz w:val="20"/>
                <w:szCs w:val="20"/>
                <w:lang w:val="fr-CA"/>
              </w:rPr>
              <w:t>Qc</w:t>
            </w:r>
            <w:r w:rsidR="00CD7089" w:rsidRPr="00C57032">
              <w:rPr>
                <w:b/>
                <w:sz w:val="20"/>
                <w:szCs w:val="20"/>
                <w:lang w:val="fr-CA"/>
              </w:rPr>
              <w:t>)</w:t>
            </w:r>
          </w:p>
          <w:p w:rsidR="00CD7089" w:rsidRPr="00C57032" w:rsidRDefault="00CD7089" w:rsidP="005F1ED8">
            <w:pPr>
              <w:tabs>
                <w:tab w:val="left" w:pos="-1440"/>
                <w:tab w:val="left" w:pos="-720"/>
              </w:tabs>
              <w:rPr>
                <w:sz w:val="20"/>
                <w:szCs w:val="20"/>
                <w:lang w:val="fr-CA"/>
              </w:rPr>
            </w:pPr>
            <w:r w:rsidRPr="00C57032">
              <w:rPr>
                <w:sz w:val="20"/>
                <w:szCs w:val="20"/>
                <w:lang w:val="fr-CA"/>
              </w:rPr>
              <w:tab/>
            </w:r>
            <w:r w:rsidR="00C57032">
              <w:rPr>
                <w:sz w:val="20"/>
                <w:szCs w:val="20"/>
                <w:lang w:val="fr-CA"/>
              </w:rPr>
              <w:t>Michel Déom</w:t>
            </w:r>
          </w:p>
          <w:p w:rsidR="00CD7089" w:rsidRPr="00C57032" w:rsidRDefault="00CD7089" w:rsidP="005F1ED8">
            <w:pPr>
              <w:tabs>
                <w:tab w:val="left" w:pos="-1440"/>
                <w:tab w:val="left" w:pos="-720"/>
              </w:tabs>
              <w:rPr>
                <w:sz w:val="20"/>
                <w:szCs w:val="20"/>
                <w:lang w:val="fr-CA"/>
              </w:rPr>
            </w:pPr>
            <w:r w:rsidRPr="00C57032">
              <w:rPr>
                <w:sz w:val="20"/>
                <w:szCs w:val="20"/>
                <w:lang w:val="fr-CA"/>
              </w:rPr>
              <w:tab/>
            </w:r>
            <w:r w:rsidR="00C57032">
              <w:rPr>
                <w:sz w:val="20"/>
                <w:szCs w:val="20"/>
                <w:lang w:val="fr-CA"/>
              </w:rPr>
              <w:t>P.G. du Québec</w:t>
            </w:r>
          </w:p>
          <w:p w:rsidR="00CD7089" w:rsidRPr="00C57032" w:rsidRDefault="00CD7089" w:rsidP="005F1ED8">
            <w:pPr>
              <w:tabs>
                <w:tab w:val="left" w:pos="-1440"/>
                <w:tab w:val="left" w:pos="-720"/>
              </w:tabs>
              <w:rPr>
                <w:sz w:val="20"/>
                <w:szCs w:val="20"/>
                <w:lang w:val="fr-CA"/>
              </w:rPr>
            </w:pPr>
          </w:p>
          <w:p w:rsidR="00CD7089" w:rsidRPr="00C57032" w:rsidRDefault="00C57032" w:rsidP="005F1ED8">
            <w:pPr>
              <w:rPr>
                <w:sz w:val="20"/>
                <w:szCs w:val="20"/>
                <w:lang w:val="fr-CA"/>
              </w:rPr>
            </w:pPr>
            <w:r w:rsidRPr="00806A5B">
              <w:rPr>
                <w:sz w:val="20"/>
                <w:szCs w:val="20"/>
                <w:lang w:val="fr-CA"/>
              </w:rPr>
              <w:t>DATE DE PRODUCTION</w:t>
            </w:r>
            <w:r>
              <w:rPr>
                <w:sz w:val="20"/>
                <w:szCs w:val="20"/>
                <w:lang w:val="fr-CA"/>
              </w:rPr>
              <w:t xml:space="preserve"> </w:t>
            </w:r>
            <w:r w:rsidR="00CD7089" w:rsidRPr="00C57032">
              <w:rPr>
                <w:sz w:val="20"/>
                <w:szCs w:val="20"/>
                <w:lang w:val="fr-CA"/>
              </w:rPr>
              <w:t xml:space="preserve">: </w:t>
            </w:r>
            <w:r>
              <w:rPr>
                <w:sz w:val="20"/>
                <w:szCs w:val="20"/>
                <w:lang w:val="fr-CA"/>
              </w:rPr>
              <w:t>0</w:t>
            </w:r>
            <w:r w:rsidR="00CD7089" w:rsidRPr="00C57032">
              <w:rPr>
                <w:sz w:val="20"/>
                <w:szCs w:val="20"/>
                <w:lang w:val="fr-CA"/>
              </w:rPr>
              <w:t>8.0</w:t>
            </w:r>
            <w:r>
              <w:rPr>
                <w:sz w:val="20"/>
                <w:szCs w:val="20"/>
                <w:lang w:val="fr-CA"/>
              </w:rPr>
              <w:t>7</w:t>
            </w:r>
            <w:r w:rsidR="00CD7089" w:rsidRPr="00C57032">
              <w:rPr>
                <w:sz w:val="20"/>
                <w:szCs w:val="20"/>
                <w:lang w:val="fr-CA"/>
              </w:rPr>
              <w:t>.2014</w:t>
            </w:r>
          </w:p>
          <w:p w:rsidR="00CD7089" w:rsidRPr="00C57032" w:rsidRDefault="00944C2E" w:rsidP="005F1ED8">
            <w:pPr>
              <w:rPr>
                <w:sz w:val="20"/>
                <w:szCs w:val="20"/>
                <w:lang w:val="fr-CA"/>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D7089" w:rsidRPr="00C57032" w:rsidRDefault="00CD7089" w:rsidP="00242AEE">
            <w:pPr>
              <w:jc w:val="center"/>
              <w:rPr>
                <w:sz w:val="20"/>
                <w:szCs w:val="20"/>
                <w:lang w:val="fr-CA"/>
              </w:rPr>
            </w:pPr>
          </w:p>
          <w:p w:rsidR="00CD7089" w:rsidRPr="00C57032" w:rsidRDefault="00CD7089" w:rsidP="00242AEE">
            <w:pPr>
              <w:jc w:val="center"/>
              <w:rPr>
                <w:sz w:val="20"/>
                <w:szCs w:val="20"/>
                <w:lang w:val="fr-CA"/>
              </w:rPr>
            </w:pPr>
          </w:p>
          <w:p w:rsidR="00CD7089" w:rsidRPr="00C57032" w:rsidRDefault="00CD7089" w:rsidP="00242AEE">
            <w:pPr>
              <w:jc w:val="center"/>
              <w:rPr>
                <w:sz w:val="20"/>
                <w:szCs w:val="20"/>
                <w:lang w:val="fr-CA"/>
              </w:rPr>
            </w:pPr>
          </w:p>
          <w:p w:rsidR="00CD7089" w:rsidRPr="00C57032" w:rsidRDefault="00CD7089" w:rsidP="00242AEE">
            <w:pPr>
              <w:jc w:val="center"/>
              <w:rPr>
                <w:sz w:val="20"/>
                <w:szCs w:val="20"/>
                <w:lang w:val="fr-CA"/>
              </w:rPr>
            </w:pPr>
          </w:p>
          <w:p w:rsidR="00CD7089" w:rsidRPr="00C57032" w:rsidRDefault="00CD7089" w:rsidP="00242AEE">
            <w:pPr>
              <w:jc w:val="center"/>
              <w:rPr>
                <w:sz w:val="20"/>
                <w:szCs w:val="20"/>
                <w:lang w:val="fr-CA"/>
              </w:rPr>
            </w:pPr>
          </w:p>
          <w:p w:rsidR="00CD7089" w:rsidRPr="00C57032" w:rsidRDefault="00CD7089" w:rsidP="00242AEE">
            <w:pPr>
              <w:jc w:val="center"/>
              <w:rPr>
                <w:sz w:val="20"/>
                <w:szCs w:val="20"/>
                <w:lang w:val="fr-CA"/>
              </w:rPr>
            </w:pPr>
          </w:p>
          <w:p w:rsidR="00CD7089" w:rsidRPr="00C57032" w:rsidRDefault="00CD7089" w:rsidP="00242AEE">
            <w:pPr>
              <w:jc w:val="center"/>
              <w:rPr>
                <w:sz w:val="20"/>
                <w:szCs w:val="20"/>
                <w:lang w:val="fr-CA"/>
              </w:rPr>
            </w:pPr>
          </w:p>
          <w:p w:rsidR="00CD7089" w:rsidRPr="00C57032" w:rsidRDefault="00CD7089" w:rsidP="00242AEE">
            <w:pPr>
              <w:jc w:val="center"/>
              <w:rPr>
                <w:sz w:val="20"/>
                <w:szCs w:val="20"/>
                <w:lang w:val="fr-CA"/>
              </w:rPr>
            </w:pPr>
          </w:p>
          <w:p w:rsidR="00CD7089" w:rsidRPr="00C57032" w:rsidRDefault="00CD7089" w:rsidP="00242AEE">
            <w:pPr>
              <w:jc w:val="center"/>
              <w:rPr>
                <w:sz w:val="20"/>
                <w:szCs w:val="20"/>
                <w:lang w:val="fr-CA"/>
              </w:rPr>
            </w:pPr>
          </w:p>
          <w:p w:rsidR="00CD7089" w:rsidRPr="00C57032" w:rsidRDefault="00CD7089" w:rsidP="00242AEE">
            <w:pPr>
              <w:jc w:val="center"/>
              <w:rPr>
                <w:sz w:val="20"/>
                <w:szCs w:val="20"/>
                <w:lang w:val="fr-CA"/>
              </w:rPr>
            </w:pPr>
          </w:p>
          <w:p w:rsidR="00CD7089" w:rsidRPr="00C57032" w:rsidRDefault="00CD7089" w:rsidP="00242AEE">
            <w:pPr>
              <w:jc w:val="center"/>
              <w:rPr>
                <w:sz w:val="20"/>
                <w:szCs w:val="20"/>
                <w:lang w:val="fr-CA"/>
              </w:rPr>
            </w:pPr>
          </w:p>
          <w:p w:rsidR="00CD7089" w:rsidRDefault="00CD7089" w:rsidP="00242AEE">
            <w:pPr>
              <w:jc w:val="center"/>
              <w:rPr>
                <w:sz w:val="20"/>
                <w:szCs w:val="20"/>
                <w:lang w:val="fr-CA"/>
              </w:rPr>
            </w:pPr>
          </w:p>
          <w:p w:rsidR="00C57032" w:rsidRDefault="00C57032" w:rsidP="00242AEE">
            <w:pPr>
              <w:jc w:val="center"/>
              <w:rPr>
                <w:sz w:val="20"/>
                <w:szCs w:val="20"/>
                <w:lang w:val="fr-CA"/>
              </w:rPr>
            </w:pPr>
          </w:p>
          <w:p w:rsidR="00C57032" w:rsidRPr="00C57032" w:rsidRDefault="00C57032" w:rsidP="00242AEE">
            <w:pPr>
              <w:jc w:val="center"/>
              <w:rPr>
                <w:sz w:val="20"/>
                <w:szCs w:val="20"/>
                <w:lang w:val="fr-CA"/>
              </w:rPr>
            </w:pPr>
          </w:p>
          <w:p w:rsidR="00CD7089" w:rsidRPr="00C57032" w:rsidRDefault="00CD7089" w:rsidP="00242AEE">
            <w:pPr>
              <w:jc w:val="center"/>
              <w:rPr>
                <w:sz w:val="20"/>
                <w:szCs w:val="20"/>
                <w:lang w:val="fr-CA"/>
              </w:rPr>
            </w:pPr>
          </w:p>
        </w:tc>
        <w:tc>
          <w:tcPr>
            <w:tcW w:w="4320" w:type="dxa"/>
            <w:shd w:val="clear" w:color="auto" w:fill="auto"/>
          </w:tcPr>
          <w:p w:rsidR="00CD7089" w:rsidRPr="00806A5B" w:rsidRDefault="00CD7089" w:rsidP="0097756E">
            <w:pPr>
              <w:rPr>
                <w:sz w:val="20"/>
                <w:szCs w:val="20"/>
                <w:lang w:val="fr-CA"/>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7622FA">
          <w:headerReference w:type="default" r:id="rId16"/>
          <w:footerReference w:type="default" r:id="rId17"/>
          <w:headerReference w:type="first" r:id="rId18"/>
          <w:footerReference w:type="first" r:id="rId19"/>
          <w:pgSz w:w="12240" w:h="15840"/>
          <w:pgMar w:top="720" w:right="965" w:bottom="1080" w:left="1656" w:header="706" w:footer="706" w:gutter="0"/>
          <w:pgNumType w:start="1151"/>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944C2E"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JU</w:t>
      </w:r>
      <w:r w:rsidR="00CD7089">
        <w:rPr>
          <w:b/>
          <w:sz w:val="20"/>
          <w:szCs w:val="20"/>
        </w:rPr>
        <w:t>LY</w:t>
      </w:r>
      <w:r>
        <w:rPr>
          <w:b/>
          <w:sz w:val="20"/>
          <w:szCs w:val="20"/>
        </w:rPr>
        <w:t xml:space="preserve"> </w:t>
      </w:r>
      <w:r w:rsidR="00CD7089">
        <w:rPr>
          <w:b/>
          <w:sz w:val="20"/>
          <w:szCs w:val="20"/>
        </w:rPr>
        <w:t>14</w:t>
      </w:r>
      <w:r w:rsidRPr="00C50A5C">
        <w:rPr>
          <w:b/>
          <w:sz w:val="20"/>
          <w:szCs w:val="20"/>
        </w:rPr>
        <w:t>, 201</w:t>
      </w:r>
      <w:r>
        <w:rPr>
          <w:b/>
          <w:sz w:val="20"/>
          <w:szCs w:val="20"/>
        </w:rPr>
        <w:t>4</w:t>
      </w:r>
      <w:r w:rsidRPr="00C50A5C">
        <w:rPr>
          <w:b/>
          <w:sz w:val="20"/>
          <w:szCs w:val="20"/>
        </w:rPr>
        <w:t xml:space="preserve"> / LE </w:t>
      </w:r>
      <w:r w:rsidR="00CD7089">
        <w:rPr>
          <w:b/>
          <w:sz w:val="20"/>
          <w:szCs w:val="20"/>
        </w:rPr>
        <w:t>14</w:t>
      </w:r>
      <w:r>
        <w:rPr>
          <w:b/>
          <w:sz w:val="20"/>
          <w:szCs w:val="20"/>
        </w:rPr>
        <w:t xml:space="preserve"> J</w:t>
      </w:r>
      <w:r w:rsidR="00CD7089">
        <w:rPr>
          <w:b/>
          <w:sz w:val="20"/>
          <w:szCs w:val="20"/>
        </w:rPr>
        <w:t>U</w:t>
      </w:r>
      <w:r>
        <w:rPr>
          <w:b/>
          <w:sz w:val="20"/>
          <w:szCs w:val="20"/>
        </w:rPr>
        <w:t>I</w:t>
      </w:r>
      <w:r w:rsidR="00CD7089">
        <w:rPr>
          <w:b/>
          <w:sz w:val="20"/>
          <w:szCs w:val="20"/>
        </w:rPr>
        <w:t>LL</w:t>
      </w:r>
      <w:r>
        <w:rPr>
          <w:b/>
          <w:sz w:val="20"/>
          <w:szCs w:val="20"/>
        </w:rPr>
        <w:t>E</w:t>
      </w:r>
      <w:r w:rsidR="00CD7089">
        <w:rPr>
          <w:b/>
          <w:sz w:val="20"/>
          <w:szCs w:val="20"/>
        </w:rPr>
        <w:t>T</w:t>
      </w:r>
      <w:r w:rsidRPr="00C50A5C">
        <w:rPr>
          <w:b/>
          <w:sz w:val="20"/>
          <w:szCs w:val="20"/>
        </w:rPr>
        <w:t xml:space="preserve"> 201</w:t>
      </w:r>
      <w:r>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CB3520" w:rsidRPr="00C50A5C" w:rsidRDefault="00CB3520" w:rsidP="00CB3520">
      <w:pPr>
        <w:widowControl w:val="0"/>
        <w:rPr>
          <w:sz w:val="20"/>
          <w:szCs w:val="20"/>
          <w:lang w:val="fr-CA"/>
        </w:rPr>
      </w:pPr>
    </w:p>
    <w:p w:rsidR="00CB3520" w:rsidRPr="00C50A5C" w:rsidRDefault="0097756E" w:rsidP="00CB3520">
      <w:pPr>
        <w:pStyle w:val="ListParagraph"/>
        <w:widowControl w:val="0"/>
        <w:numPr>
          <w:ilvl w:val="0"/>
          <w:numId w:val="1"/>
        </w:numPr>
        <w:ind w:hanging="720"/>
        <w:jc w:val="both"/>
        <w:rPr>
          <w:sz w:val="20"/>
          <w:szCs w:val="20"/>
        </w:rPr>
      </w:pPr>
      <w:r w:rsidRPr="0097756E">
        <w:rPr>
          <w:i/>
          <w:sz w:val="20"/>
          <w:szCs w:val="20"/>
        </w:rPr>
        <w:t>Melody Lynn Sanford v. Her Majesty the Queen</w:t>
      </w:r>
      <w:r w:rsidRPr="0097756E">
        <w:rPr>
          <w:sz w:val="20"/>
          <w:szCs w:val="20"/>
        </w:rPr>
        <w:t xml:space="preserve"> (Man.) (Crim.) (By Leave)</w:t>
      </w:r>
      <w:r w:rsidRPr="00C50A5C">
        <w:rPr>
          <w:sz w:val="20"/>
          <w:szCs w:val="20"/>
        </w:rPr>
        <w:t xml:space="preserve"> </w:t>
      </w:r>
      <w:r w:rsidR="00CB3520" w:rsidRPr="00C50A5C">
        <w:rPr>
          <w:sz w:val="20"/>
          <w:szCs w:val="20"/>
        </w:rPr>
        <w:t>(3</w:t>
      </w:r>
      <w:r w:rsidR="00CB3520">
        <w:rPr>
          <w:sz w:val="20"/>
          <w:szCs w:val="20"/>
        </w:rPr>
        <w:t>5</w:t>
      </w:r>
      <w:r>
        <w:rPr>
          <w:sz w:val="20"/>
          <w:szCs w:val="20"/>
        </w:rPr>
        <w:t>705</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97756E" w:rsidP="00CB3520">
      <w:pPr>
        <w:pStyle w:val="ListParagraph"/>
        <w:widowControl w:val="0"/>
        <w:numPr>
          <w:ilvl w:val="0"/>
          <w:numId w:val="1"/>
        </w:numPr>
        <w:ind w:hanging="720"/>
        <w:jc w:val="both"/>
        <w:rPr>
          <w:sz w:val="20"/>
          <w:szCs w:val="20"/>
        </w:rPr>
      </w:pPr>
      <w:r w:rsidRPr="0097756E">
        <w:rPr>
          <w:i/>
          <w:sz w:val="20"/>
          <w:szCs w:val="20"/>
        </w:rPr>
        <w:t>N.D. v. K.D.</w:t>
      </w:r>
      <w:r w:rsidRPr="0097756E">
        <w:rPr>
          <w:sz w:val="20"/>
          <w:szCs w:val="20"/>
        </w:rPr>
        <w:t xml:space="preserve"> (B.C.) (Civil) (By Leave)</w:t>
      </w:r>
      <w:r w:rsidRPr="00C612D0">
        <w:rPr>
          <w:sz w:val="20"/>
          <w:szCs w:val="20"/>
        </w:rPr>
        <w:t xml:space="preserve"> </w:t>
      </w:r>
      <w:r w:rsidR="00CB3520" w:rsidRPr="00C612D0">
        <w:rPr>
          <w:sz w:val="20"/>
          <w:szCs w:val="20"/>
        </w:rPr>
        <w:t>(3</w:t>
      </w:r>
      <w:r w:rsidR="00CB3520">
        <w:rPr>
          <w:sz w:val="20"/>
          <w:szCs w:val="20"/>
        </w:rPr>
        <w:t>58</w:t>
      </w:r>
      <w:r>
        <w:rPr>
          <w:sz w:val="20"/>
          <w:szCs w:val="20"/>
        </w:rPr>
        <w:t>57</w:t>
      </w:r>
      <w:r w:rsidR="00CB3520" w:rsidRPr="00C612D0">
        <w:rPr>
          <w:sz w:val="20"/>
          <w:szCs w:val="20"/>
        </w:rPr>
        <w:t>)</w:t>
      </w:r>
    </w:p>
    <w:p w:rsidR="00CB3520" w:rsidRDefault="00CB3520" w:rsidP="00CB3520">
      <w:pPr>
        <w:widowControl w:val="0"/>
        <w:jc w:val="both"/>
        <w:rPr>
          <w:sz w:val="20"/>
          <w:szCs w:val="20"/>
        </w:rPr>
      </w:pPr>
    </w:p>
    <w:p w:rsidR="007B1227" w:rsidRDefault="007B1227" w:rsidP="00CB3520">
      <w:pPr>
        <w:widowControl w:val="0"/>
        <w:jc w:val="both"/>
        <w:rPr>
          <w:sz w:val="20"/>
          <w:szCs w:val="20"/>
        </w:rPr>
      </w:pPr>
    </w:p>
    <w:p w:rsidR="007B1227" w:rsidRPr="00C50A5C" w:rsidRDefault="007B1227" w:rsidP="007B1227">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Gascon</w:t>
      </w:r>
      <w:r w:rsidRPr="00C50A5C">
        <w:rPr>
          <w:b/>
          <w:sz w:val="20"/>
          <w:szCs w:val="20"/>
        </w:rPr>
        <w:t xml:space="preserve"> JJ.</w:t>
      </w:r>
    </w:p>
    <w:p w:rsidR="007B1227" w:rsidRPr="00C50A5C" w:rsidRDefault="007B1227" w:rsidP="007B1227">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Gascon</w:t>
      </w:r>
    </w:p>
    <w:p w:rsidR="007B1227" w:rsidRPr="007B1227" w:rsidRDefault="007B1227" w:rsidP="00CB3520">
      <w:pPr>
        <w:widowControl w:val="0"/>
        <w:jc w:val="both"/>
        <w:rPr>
          <w:sz w:val="20"/>
          <w:szCs w:val="20"/>
          <w:lang w:val="fr-CA"/>
        </w:rPr>
      </w:pPr>
    </w:p>
    <w:p w:rsidR="00CB3520" w:rsidRPr="0097756E" w:rsidRDefault="0097756E" w:rsidP="00CB3520">
      <w:pPr>
        <w:pStyle w:val="ListParagraph"/>
        <w:widowControl w:val="0"/>
        <w:numPr>
          <w:ilvl w:val="0"/>
          <w:numId w:val="1"/>
        </w:numPr>
        <w:ind w:hanging="720"/>
        <w:jc w:val="both"/>
        <w:rPr>
          <w:sz w:val="20"/>
          <w:szCs w:val="20"/>
          <w:lang w:val="fr-CA"/>
        </w:rPr>
      </w:pPr>
      <w:r w:rsidRPr="0097756E">
        <w:rPr>
          <w:i/>
          <w:sz w:val="20"/>
          <w:szCs w:val="20"/>
          <w:lang w:val="fr-CA"/>
        </w:rPr>
        <w:t xml:space="preserve">Rita Congiu c. L'Agence du revenu du Québec </w:t>
      </w:r>
      <w:r w:rsidRPr="0097756E">
        <w:rPr>
          <w:sz w:val="20"/>
          <w:szCs w:val="20"/>
          <w:lang w:val="fr-CA"/>
        </w:rPr>
        <w:t xml:space="preserve">(Qc) (Civile) (Autorisation) </w:t>
      </w:r>
      <w:r w:rsidR="00CB3520" w:rsidRPr="0097756E">
        <w:rPr>
          <w:sz w:val="20"/>
          <w:szCs w:val="20"/>
          <w:lang w:val="fr-CA"/>
        </w:rPr>
        <w:t>(35</w:t>
      </w:r>
      <w:r w:rsidRPr="0097756E">
        <w:rPr>
          <w:sz w:val="20"/>
          <w:szCs w:val="20"/>
          <w:lang w:val="fr-CA"/>
        </w:rPr>
        <w:t>83</w:t>
      </w:r>
      <w:r w:rsidR="00CB3520" w:rsidRPr="0097756E">
        <w:rPr>
          <w:sz w:val="20"/>
          <w:szCs w:val="20"/>
          <w:lang w:val="fr-CA"/>
        </w:rPr>
        <w:t>0)</w:t>
      </w:r>
    </w:p>
    <w:p w:rsidR="00CB3520" w:rsidRPr="0097756E" w:rsidRDefault="00CB3520" w:rsidP="00CB3520">
      <w:pPr>
        <w:widowControl w:val="0"/>
        <w:rPr>
          <w:sz w:val="20"/>
          <w:szCs w:val="20"/>
          <w:lang w:val="fr-CA"/>
        </w:rPr>
      </w:pPr>
    </w:p>
    <w:p w:rsidR="00CB3520" w:rsidRPr="0097756E" w:rsidRDefault="0097756E" w:rsidP="00CB3520">
      <w:pPr>
        <w:pStyle w:val="ListParagraph"/>
        <w:widowControl w:val="0"/>
        <w:numPr>
          <w:ilvl w:val="0"/>
          <w:numId w:val="1"/>
        </w:numPr>
        <w:ind w:hanging="720"/>
        <w:jc w:val="both"/>
        <w:rPr>
          <w:sz w:val="20"/>
          <w:szCs w:val="20"/>
          <w:lang w:val="fr-CA"/>
        </w:rPr>
      </w:pPr>
      <w:r w:rsidRPr="0097756E">
        <w:rPr>
          <w:i/>
          <w:sz w:val="20"/>
          <w:szCs w:val="20"/>
          <w:lang w:val="fr-CA"/>
        </w:rPr>
        <w:t>Rita Congiu et a</w:t>
      </w:r>
      <w:r w:rsidR="00F34F2D">
        <w:rPr>
          <w:i/>
          <w:sz w:val="20"/>
          <w:szCs w:val="20"/>
          <w:lang w:val="fr-CA"/>
        </w:rPr>
        <w:t>utre</w:t>
      </w:r>
      <w:r w:rsidRPr="0097756E">
        <w:rPr>
          <w:i/>
          <w:sz w:val="20"/>
          <w:szCs w:val="20"/>
          <w:lang w:val="fr-CA"/>
        </w:rPr>
        <w:t xml:space="preserve"> c. Sa Majesté la Reine</w:t>
      </w:r>
      <w:r w:rsidRPr="0097756E">
        <w:rPr>
          <w:sz w:val="20"/>
          <w:szCs w:val="20"/>
          <w:lang w:val="fr-CA"/>
        </w:rPr>
        <w:t xml:space="preserve"> (C.F.) (Civile) (Autorisation) </w:t>
      </w:r>
      <w:r w:rsidR="00CB3520" w:rsidRPr="0097756E">
        <w:rPr>
          <w:sz w:val="20"/>
          <w:szCs w:val="20"/>
          <w:lang w:val="fr-CA"/>
        </w:rPr>
        <w:t>(35</w:t>
      </w:r>
      <w:r w:rsidRPr="0097756E">
        <w:rPr>
          <w:sz w:val="20"/>
          <w:szCs w:val="20"/>
          <w:lang w:val="fr-CA"/>
        </w:rPr>
        <w:t>833</w:t>
      </w:r>
      <w:r w:rsidR="00CB3520" w:rsidRPr="0097756E">
        <w:rPr>
          <w:sz w:val="20"/>
          <w:szCs w:val="20"/>
          <w:lang w:val="fr-CA"/>
        </w:rPr>
        <w:t>)</w:t>
      </w:r>
    </w:p>
    <w:p w:rsidR="00CB3520" w:rsidRPr="0097756E" w:rsidRDefault="00CB3520" w:rsidP="00CB3520">
      <w:pPr>
        <w:widowControl w:val="0"/>
        <w:jc w:val="both"/>
        <w:rPr>
          <w:sz w:val="20"/>
          <w:szCs w:val="20"/>
          <w:lang w:val="fr-CA"/>
        </w:rPr>
      </w:pPr>
    </w:p>
    <w:p w:rsidR="007B1227" w:rsidRPr="0097756E" w:rsidRDefault="007B1227" w:rsidP="00CB3520">
      <w:pPr>
        <w:widowControl w:val="0"/>
        <w:jc w:val="both"/>
        <w:rPr>
          <w:sz w:val="20"/>
          <w:szCs w:val="20"/>
          <w:lang w:val="fr-CA"/>
        </w:rPr>
      </w:pPr>
    </w:p>
    <w:p w:rsidR="007B1227" w:rsidRPr="00C50A5C" w:rsidRDefault="007B1227" w:rsidP="007B1227">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7B1227" w:rsidRPr="00C50A5C" w:rsidRDefault="007B1227" w:rsidP="007B1227">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7B1227" w:rsidRPr="00A8251C" w:rsidRDefault="007B1227" w:rsidP="007B1227">
      <w:pPr>
        <w:widowControl w:val="0"/>
        <w:jc w:val="both"/>
        <w:rPr>
          <w:sz w:val="20"/>
          <w:szCs w:val="20"/>
          <w:lang w:val="fr-CA"/>
        </w:rPr>
      </w:pPr>
    </w:p>
    <w:p w:rsidR="00CB3520" w:rsidRPr="009C5D38" w:rsidRDefault="0097756E" w:rsidP="00CB3520">
      <w:pPr>
        <w:pStyle w:val="ListParagraph"/>
        <w:widowControl w:val="0"/>
        <w:numPr>
          <w:ilvl w:val="0"/>
          <w:numId w:val="1"/>
        </w:numPr>
        <w:ind w:hanging="720"/>
        <w:jc w:val="both"/>
        <w:rPr>
          <w:sz w:val="20"/>
          <w:szCs w:val="20"/>
        </w:rPr>
      </w:pPr>
      <w:r w:rsidRPr="0097756E">
        <w:rPr>
          <w:i/>
          <w:sz w:val="20"/>
          <w:szCs w:val="20"/>
        </w:rPr>
        <w:t>Shane Claude Ward v. Her Majesty the Queen</w:t>
      </w:r>
      <w:r w:rsidRPr="0097756E">
        <w:rPr>
          <w:sz w:val="20"/>
          <w:szCs w:val="20"/>
        </w:rPr>
        <w:t xml:space="preserve"> (N.S.) (Crim.) (By Leave)</w:t>
      </w:r>
      <w:r w:rsidRPr="009C5D38">
        <w:rPr>
          <w:sz w:val="20"/>
          <w:szCs w:val="20"/>
        </w:rPr>
        <w:t xml:space="preserve"> </w:t>
      </w:r>
      <w:r w:rsidR="00CB3520" w:rsidRPr="009C5D38">
        <w:rPr>
          <w:sz w:val="20"/>
          <w:szCs w:val="20"/>
        </w:rPr>
        <w:t>(35</w:t>
      </w:r>
      <w:r>
        <w:rPr>
          <w:sz w:val="20"/>
          <w:szCs w:val="20"/>
        </w:rPr>
        <w:t>902</w:t>
      </w:r>
      <w:r w:rsidR="00CB3520" w:rsidRPr="009C5D38">
        <w:rPr>
          <w:sz w:val="20"/>
          <w:szCs w:val="20"/>
        </w:rPr>
        <w:t>)</w:t>
      </w:r>
    </w:p>
    <w:p w:rsidR="00CB3520" w:rsidRPr="009C5D38" w:rsidRDefault="00CB3520" w:rsidP="00CB3520">
      <w:pPr>
        <w:widowControl w:val="0"/>
        <w:rPr>
          <w:sz w:val="20"/>
          <w:szCs w:val="20"/>
        </w:rPr>
      </w:pPr>
    </w:p>
    <w:p w:rsidR="00CB3520" w:rsidRPr="0097756E" w:rsidRDefault="0097756E" w:rsidP="00CB3520">
      <w:pPr>
        <w:pStyle w:val="ListParagraph"/>
        <w:widowControl w:val="0"/>
        <w:numPr>
          <w:ilvl w:val="0"/>
          <w:numId w:val="1"/>
        </w:numPr>
        <w:ind w:hanging="720"/>
        <w:jc w:val="both"/>
        <w:rPr>
          <w:sz w:val="20"/>
          <w:szCs w:val="20"/>
        </w:rPr>
      </w:pPr>
      <w:r w:rsidRPr="0097756E">
        <w:rPr>
          <w:i/>
          <w:sz w:val="20"/>
          <w:szCs w:val="20"/>
        </w:rPr>
        <w:t>Michael Schmidt v. Her Majesty the Queen</w:t>
      </w:r>
      <w:r w:rsidRPr="0097756E">
        <w:rPr>
          <w:sz w:val="20"/>
          <w:szCs w:val="20"/>
        </w:rPr>
        <w:t xml:space="preserve"> (Ont.) (Civil) (By Leave) </w:t>
      </w:r>
      <w:r w:rsidR="00CB3520" w:rsidRPr="0097756E">
        <w:rPr>
          <w:sz w:val="20"/>
          <w:szCs w:val="20"/>
        </w:rPr>
        <w:t>(35</w:t>
      </w:r>
      <w:r w:rsidRPr="0097756E">
        <w:rPr>
          <w:sz w:val="20"/>
          <w:szCs w:val="20"/>
        </w:rPr>
        <w:t>890</w:t>
      </w:r>
      <w:r w:rsidR="00CB3520" w:rsidRPr="0097756E">
        <w:rPr>
          <w:sz w:val="20"/>
          <w:szCs w:val="20"/>
        </w:rPr>
        <w:t>)</w:t>
      </w:r>
    </w:p>
    <w:p w:rsidR="00CB3520" w:rsidRPr="0097756E" w:rsidRDefault="00CB3520" w:rsidP="00CB3520">
      <w:pPr>
        <w:widowControl w:val="0"/>
        <w:jc w:val="both"/>
        <w:rPr>
          <w:sz w:val="20"/>
          <w:szCs w:val="20"/>
        </w:rPr>
      </w:pPr>
    </w:p>
    <w:p w:rsidR="00CB3520" w:rsidRPr="009C5D38" w:rsidRDefault="0097756E" w:rsidP="00CB3520">
      <w:pPr>
        <w:pStyle w:val="ListParagraph"/>
        <w:widowControl w:val="0"/>
        <w:numPr>
          <w:ilvl w:val="0"/>
          <w:numId w:val="1"/>
        </w:numPr>
        <w:ind w:hanging="720"/>
        <w:jc w:val="both"/>
        <w:rPr>
          <w:sz w:val="20"/>
          <w:szCs w:val="20"/>
        </w:rPr>
      </w:pPr>
      <w:r w:rsidRPr="0097756E">
        <w:rPr>
          <w:i/>
          <w:sz w:val="20"/>
          <w:szCs w:val="20"/>
        </w:rPr>
        <w:t>Hugo Michel Nicolas Kotar v. Elizabeth Jane Lightle</w:t>
      </w:r>
      <w:r w:rsidRPr="0097756E">
        <w:rPr>
          <w:sz w:val="20"/>
          <w:szCs w:val="20"/>
        </w:rPr>
        <w:t xml:space="preserve"> (B.C.) (Civil) (By Leave)</w:t>
      </w:r>
      <w:r w:rsidRPr="009C5D38">
        <w:rPr>
          <w:sz w:val="20"/>
          <w:szCs w:val="20"/>
        </w:rPr>
        <w:t xml:space="preserve"> </w:t>
      </w:r>
      <w:r w:rsidR="00CB3520" w:rsidRPr="009C5D38">
        <w:rPr>
          <w:sz w:val="20"/>
          <w:szCs w:val="20"/>
        </w:rPr>
        <w:t>(35</w:t>
      </w:r>
      <w:r>
        <w:rPr>
          <w:sz w:val="20"/>
          <w:szCs w:val="20"/>
        </w:rPr>
        <w:t>841</w:t>
      </w:r>
      <w:r w:rsidR="00CB3520" w:rsidRPr="009C5D38">
        <w:rPr>
          <w:sz w:val="20"/>
          <w:szCs w:val="20"/>
        </w:rPr>
        <w:t>)</w:t>
      </w:r>
    </w:p>
    <w:p w:rsidR="002E2327" w:rsidRPr="00CB3520" w:rsidRDefault="002E2327" w:rsidP="002E2327">
      <w:pPr>
        <w:widowControl w:val="0"/>
        <w:rPr>
          <w:sz w:val="20"/>
          <w:szCs w:val="20"/>
        </w:rPr>
      </w:pPr>
    </w:p>
    <w:p w:rsidR="002E2327" w:rsidRDefault="00944C2E" w:rsidP="002E2327">
      <w:pPr>
        <w:widowControl w:val="0"/>
        <w:rPr>
          <w:sz w:val="20"/>
          <w:szCs w:val="20"/>
        </w:rPr>
      </w:pPr>
      <w:r>
        <w:rPr>
          <w:sz w:val="20"/>
          <w:szCs w:val="20"/>
        </w:rPr>
        <w:pict>
          <v:rect id="_x0000_i1038"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944C2E"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965AE9" w:rsidP="000E2959">
      <w:pPr>
        <w:rPr>
          <w:b/>
          <w:sz w:val="20"/>
          <w:szCs w:val="20"/>
        </w:rPr>
      </w:pPr>
      <w:r>
        <w:rPr>
          <w:b/>
          <w:sz w:val="20"/>
          <w:szCs w:val="20"/>
        </w:rPr>
        <w:t>JUL</w:t>
      </w:r>
      <w:r w:rsidR="000E2959">
        <w:rPr>
          <w:b/>
          <w:sz w:val="20"/>
          <w:szCs w:val="20"/>
        </w:rPr>
        <w:t>Y</w:t>
      </w:r>
      <w:r w:rsidR="000E2959" w:rsidRPr="00C50A5C">
        <w:rPr>
          <w:b/>
          <w:sz w:val="20"/>
          <w:szCs w:val="20"/>
        </w:rPr>
        <w:t xml:space="preserve"> </w:t>
      </w:r>
      <w:r>
        <w:rPr>
          <w:b/>
          <w:sz w:val="20"/>
          <w:szCs w:val="20"/>
        </w:rPr>
        <w:t>17</w:t>
      </w:r>
      <w:r w:rsidR="000E2959" w:rsidRPr="00C50A5C">
        <w:rPr>
          <w:b/>
          <w:sz w:val="20"/>
          <w:szCs w:val="20"/>
        </w:rPr>
        <w:t>, 201</w:t>
      </w:r>
      <w:r>
        <w:rPr>
          <w:b/>
          <w:sz w:val="20"/>
          <w:szCs w:val="20"/>
        </w:rPr>
        <w:t>4</w:t>
      </w:r>
      <w:r w:rsidR="000E2959" w:rsidRPr="00C50A5C">
        <w:rPr>
          <w:b/>
          <w:sz w:val="20"/>
          <w:szCs w:val="20"/>
        </w:rPr>
        <w:t xml:space="preserve"> / LE </w:t>
      </w:r>
      <w:r>
        <w:rPr>
          <w:b/>
          <w:sz w:val="20"/>
          <w:szCs w:val="20"/>
        </w:rPr>
        <w:t>17</w:t>
      </w:r>
      <w:r w:rsidR="000E2959" w:rsidRPr="00C50A5C">
        <w:rPr>
          <w:b/>
          <w:sz w:val="20"/>
          <w:szCs w:val="20"/>
        </w:rPr>
        <w:t xml:space="preserve"> </w:t>
      </w:r>
      <w:r>
        <w:rPr>
          <w:b/>
          <w:sz w:val="20"/>
          <w:szCs w:val="20"/>
        </w:rPr>
        <w:t>JU</w:t>
      </w:r>
      <w:r w:rsidR="000E2959" w:rsidRPr="00C50A5C">
        <w:rPr>
          <w:b/>
          <w:sz w:val="20"/>
          <w:szCs w:val="20"/>
        </w:rPr>
        <w:t>I</w:t>
      </w:r>
      <w:r>
        <w:rPr>
          <w:b/>
          <w:sz w:val="20"/>
          <w:szCs w:val="20"/>
        </w:rPr>
        <w:t>LLET</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15B40" w:rsidRPr="00015B40" w:rsidTr="00015B40">
        <w:trPr>
          <w:cantSplit/>
        </w:trPr>
        <w:tc>
          <w:tcPr>
            <w:tcW w:w="1458" w:type="dxa"/>
          </w:tcPr>
          <w:p w:rsidR="00015B40" w:rsidRPr="00015B40" w:rsidRDefault="00015B40" w:rsidP="00015B40">
            <w:pPr>
              <w:rPr>
                <w:sz w:val="20"/>
                <w:szCs w:val="20"/>
              </w:rPr>
            </w:pPr>
            <w:r w:rsidRPr="00015B40">
              <w:rPr>
                <w:b/>
                <w:sz w:val="20"/>
                <w:szCs w:val="20"/>
                <w:lang w:val="fr-CA"/>
              </w:rPr>
              <w:t>35388</w:t>
            </w:r>
          </w:p>
          <w:p w:rsidR="00015B40" w:rsidRPr="00015B40" w:rsidRDefault="00015B40" w:rsidP="00015B40">
            <w:pPr>
              <w:rPr>
                <w:b/>
                <w:sz w:val="20"/>
                <w:szCs w:val="20"/>
                <w:lang w:val="fr-CA"/>
              </w:rPr>
            </w:pPr>
          </w:p>
        </w:tc>
        <w:tc>
          <w:tcPr>
            <w:tcW w:w="8118" w:type="dxa"/>
          </w:tcPr>
          <w:p w:rsidR="00015B40" w:rsidRPr="00015B40" w:rsidRDefault="00015B40" w:rsidP="00015B40">
            <w:pPr>
              <w:rPr>
                <w:sz w:val="20"/>
                <w:szCs w:val="20"/>
              </w:rPr>
            </w:pPr>
            <w:r w:rsidRPr="00015B40">
              <w:rPr>
                <w:b/>
                <w:sz w:val="20"/>
                <w:szCs w:val="20"/>
                <w:u w:val="single"/>
              </w:rPr>
              <w:t>B010 v. Minister of Citizenship and Immigration</w:t>
            </w:r>
            <w:r w:rsidRPr="00015B40">
              <w:rPr>
                <w:sz w:val="20"/>
                <w:szCs w:val="20"/>
              </w:rPr>
              <w:t xml:space="preserve"> (F.C.) (Civil) (By Leave)</w:t>
            </w:r>
          </w:p>
          <w:p w:rsidR="00015B40" w:rsidRPr="00015B40" w:rsidRDefault="00015B40" w:rsidP="00015B40">
            <w:pPr>
              <w:rPr>
                <w:sz w:val="20"/>
                <w:szCs w:val="20"/>
              </w:rPr>
            </w:pPr>
          </w:p>
        </w:tc>
      </w:tr>
      <w:tr w:rsidR="00015B40" w:rsidRPr="00015B40" w:rsidTr="00015B40">
        <w:trPr>
          <w:cantSplit/>
        </w:trPr>
        <w:tc>
          <w:tcPr>
            <w:tcW w:w="1458" w:type="dxa"/>
          </w:tcPr>
          <w:p w:rsidR="00015B40" w:rsidRPr="00015B40" w:rsidRDefault="00015B40" w:rsidP="00015B40">
            <w:pPr>
              <w:rPr>
                <w:sz w:val="20"/>
                <w:szCs w:val="20"/>
              </w:rPr>
            </w:pPr>
            <w:r w:rsidRPr="00015B40">
              <w:rPr>
                <w:sz w:val="20"/>
                <w:szCs w:val="20"/>
              </w:rPr>
              <w:t>Coram :</w:t>
            </w:r>
          </w:p>
        </w:tc>
        <w:tc>
          <w:tcPr>
            <w:tcW w:w="8118" w:type="dxa"/>
          </w:tcPr>
          <w:p w:rsidR="00015B40" w:rsidRPr="00015B40" w:rsidRDefault="00015B40" w:rsidP="00015B40">
            <w:pPr>
              <w:rPr>
                <w:sz w:val="20"/>
                <w:szCs w:val="20"/>
              </w:rPr>
            </w:pPr>
            <w:r w:rsidRPr="00015B40">
              <w:rPr>
                <w:sz w:val="20"/>
                <w:szCs w:val="20"/>
                <w:u w:val="single"/>
              </w:rPr>
              <w:t>Abella, Rothstein and Moldaver JJ.</w:t>
            </w:r>
          </w:p>
          <w:p w:rsidR="00015B40" w:rsidRPr="00015B40" w:rsidRDefault="00015B40" w:rsidP="00015B40">
            <w:pPr>
              <w:rPr>
                <w:sz w:val="20"/>
                <w:szCs w:val="20"/>
                <w:u w:val="single"/>
              </w:rPr>
            </w:pPr>
          </w:p>
        </w:tc>
      </w:tr>
      <w:tr w:rsidR="00015B40" w:rsidRPr="00944C2E" w:rsidTr="00015B40">
        <w:trPr>
          <w:cantSplit/>
        </w:trPr>
        <w:tc>
          <w:tcPr>
            <w:tcW w:w="9576" w:type="dxa"/>
            <w:gridSpan w:val="2"/>
          </w:tcPr>
          <w:p w:rsidR="00015B40" w:rsidRPr="00015B40" w:rsidRDefault="00015B40" w:rsidP="00015B40">
            <w:pPr>
              <w:ind w:firstLine="720"/>
              <w:jc w:val="both"/>
              <w:rPr>
                <w:sz w:val="20"/>
                <w:szCs w:val="20"/>
              </w:rPr>
            </w:pPr>
            <w:r w:rsidRPr="00015B40">
              <w:rPr>
                <w:sz w:val="20"/>
                <w:szCs w:val="20"/>
              </w:rPr>
              <w:t xml:space="preserve">The motion for an extension of time to serve and file the motion for reconsideration is granted. The motion for reconsideration and the application for leave to appeal from the judgment of the Federal Court of Appeal, Number A-195-12, 2013 FCA 87, dated March 22, 2013, are granted. This case is to be heard with </w:t>
            </w:r>
            <w:r w:rsidRPr="00434F44">
              <w:rPr>
                <w:i/>
                <w:sz w:val="20"/>
                <w:szCs w:val="20"/>
              </w:rPr>
              <w:t>J.P. et al. v. Minister of Public Safety and Emergency Preparedness</w:t>
            </w:r>
            <w:r w:rsidRPr="00015B40">
              <w:rPr>
                <w:sz w:val="20"/>
                <w:szCs w:val="20"/>
              </w:rPr>
              <w:t xml:space="preserve"> (No. 35688), B306 v. </w:t>
            </w:r>
            <w:r w:rsidRPr="00434F44">
              <w:rPr>
                <w:i/>
                <w:sz w:val="20"/>
                <w:szCs w:val="20"/>
              </w:rPr>
              <w:t>Minister of Public Safety and Emergency Preparedness</w:t>
            </w:r>
            <w:r w:rsidRPr="00015B40">
              <w:rPr>
                <w:sz w:val="20"/>
                <w:szCs w:val="20"/>
              </w:rPr>
              <w:t xml:space="preserve"> (No. 35685) and </w:t>
            </w:r>
            <w:r w:rsidRPr="00434F44">
              <w:rPr>
                <w:i/>
                <w:sz w:val="20"/>
                <w:szCs w:val="20"/>
              </w:rPr>
              <w:t>Jesus Rodriguez Hernandez v. Minister of Public Safety and Emergency Preparedness</w:t>
            </w:r>
            <w:r w:rsidRPr="00015B40">
              <w:rPr>
                <w:sz w:val="20"/>
                <w:szCs w:val="20"/>
              </w:rPr>
              <w:t xml:space="preserve"> (No. 35677).</w:t>
            </w:r>
          </w:p>
          <w:p w:rsidR="00015B40" w:rsidRPr="00015B40" w:rsidRDefault="00015B40" w:rsidP="00015B40">
            <w:pPr>
              <w:jc w:val="both"/>
              <w:rPr>
                <w:sz w:val="20"/>
                <w:szCs w:val="20"/>
              </w:rPr>
            </w:pPr>
          </w:p>
          <w:p w:rsidR="00015B40" w:rsidRPr="00015B40" w:rsidRDefault="00015B40" w:rsidP="00434F44">
            <w:pPr>
              <w:ind w:firstLine="720"/>
              <w:jc w:val="both"/>
              <w:rPr>
                <w:sz w:val="20"/>
                <w:szCs w:val="20"/>
                <w:lang w:val="fr-CA"/>
              </w:rPr>
            </w:pPr>
            <w:r w:rsidRPr="00015B40">
              <w:rPr>
                <w:sz w:val="20"/>
                <w:szCs w:val="20"/>
                <w:lang w:val="fr-CA"/>
              </w:rPr>
              <w:t xml:space="preserve">La requête en prorogation du délai de signification et de dépôt de la requête en réexamen est accueillie. La requête en réexamen et la demande d’autorisation d’appel de l’arrêt de la Cour d’appel fédérale, numéro A-195-12, 2013 CAF 87, daté du 22 mars 2013, sont accueillies. La présente cause sera entendue conjointement avec </w:t>
            </w:r>
            <w:r w:rsidRPr="00434F44">
              <w:rPr>
                <w:i/>
                <w:sz w:val="20"/>
                <w:szCs w:val="20"/>
                <w:lang w:val="fr-CA"/>
              </w:rPr>
              <w:t>J.P. et autre c. Ministre de la Sécurité publique et de la Protection civile</w:t>
            </w:r>
            <w:r w:rsidRPr="00015B40">
              <w:rPr>
                <w:sz w:val="20"/>
                <w:szCs w:val="20"/>
                <w:lang w:val="fr-CA"/>
              </w:rPr>
              <w:t xml:space="preserve"> (No. 35688), </w:t>
            </w:r>
            <w:r w:rsidRPr="00434F44">
              <w:rPr>
                <w:i/>
                <w:sz w:val="20"/>
                <w:szCs w:val="20"/>
                <w:lang w:val="fr-CA"/>
              </w:rPr>
              <w:t>B306 c. Ministre de la Sécurité publique et de la Protection civile</w:t>
            </w:r>
            <w:r w:rsidRPr="00015B40">
              <w:rPr>
                <w:sz w:val="20"/>
                <w:szCs w:val="20"/>
                <w:lang w:val="fr-CA"/>
              </w:rPr>
              <w:t xml:space="preserve"> (No. 35685) </w:t>
            </w:r>
            <w:r w:rsidR="00434F44">
              <w:rPr>
                <w:sz w:val="20"/>
                <w:szCs w:val="20"/>
                <w:lang w:val="fr-CA"/>
              </w:rPr>
              <w:t>et</w:t>
            </w:r>
            <w:r w:rsidRPr="00015B40">
              <w:rPr>
                <w:sz w:val="20"/>
                <w:szCs w:val="20"/>
                <w:lang w:val="fr-CA"/>
              </w:rPr>
              <w:t xml:space="preserve"> </w:t>
            </w:r>
            <w:r w:rsidRPr="00434F44">
              <w:rPr>
                <w:i/>
                <w:sz w:val="20"/>
                <w:szCs w:val="20"/>
                <w:lang w:val="fr-CA"/>
              </w:rPr>
              <w:t>Jesus Rodriguez Hernandez c. Ministre de la Sécurité publique et de la Protection civile</w:t>
            </w:r>
            <w:r w:rsidRPr="00015B40">
              <w:rPr>
                <w:sz w:val="20"/>
                <w:szCs w:val="20"/>
                <w:lang w:val="fr-CA"/>
              </w:rPr>
              <w:t xml:space="preserve"> (No. 35677).</w:t>
            </w:r>
          </w:p>
        </w:tc>
      </w:tr>
    </w:tbl>
    <w:p w:rsidR="00965AE9" w:rsidRPr="00965AE9" w:rsidRDefault="00965AE9" w:rsidP="000E2959">
      <w:pPr>
        <w:rPr>
          <w:sz w:val="20"/>
          <w:szCs w:val="20"/>
          <w:lang w:val="fr-CA"/>
        </w:rPr>
      </w:pPr>
    </w:p>
    <w:p w:rsidR="00965AE9" w:rsidRPr="001B157C" w:rsidRDefault="00965AE9" w:rsidP="00965AE9">
      <w:pPr>
        <w:rPr>
          <w:sz w:val="20"/>
          <w:szCs w:val="20"/>
          <w:u w:val="single"/>
        </w:rPr>
      </w:pPr>
      <w:r w:rsidRPr="001B157C">
        <w:rPr>
          <w:sz w:val="20"/>
          <w:szCs w:val="20"/>
          <w:u w:val="single"/>
        </w:rPr>
        <w:t>CASE SUMMARY</w:t>
      </w:r>
    </w:p>
    <w:p w:rsidR="00965AE9" w:rsidRDefault="00965AE9" w:rsidP="000E2959">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278E7" w:rsidRPr="00163264" w:rsidTr="00E2016D">
        <w:tc>
          <w:tcPr>
            <w:tcW w:w="5000" w:type="pct"/>
            <w:gridSpan w:val="3"/>
          </w:tcPr>
          <w:p w:rsidR="007278E7" w:rsidRPr="00163264" w:rsidRDefault="007278E7" w:rsidP="00E2016D">
            <w:pPr>
              <w:jc w:val="both"/>
              <w:rPr>
                <w:rFonts w:eastAsia="Calibri"/>
                <w:sz w:val="20"/>
              </w:rPr>
            </w:pPr>
            <w:r w:rsidRPr="00163264">
              <w:rPr>
                <w:rFonts w:eastAsia="Calibri"/>
                <w:sz w:val="20"/>
              </w:rPr>
              <w:t xml:space="preserve">Immigration – Inadmissibility and removal – Whether Federal Court of Appeal erred in ruling that “people smuggling” under s. 37(1) of the </w:t>
            </w:r>
            <w:r w:rsidRPr="00163264">
              <w:rPr>
                <w:rFonts w:eastAsia="Calibri"/>
                <w:i/>
                <w:sz w:val="20"/>
              </w:rPr>
              <w:t>Immigration and Refugee Protection Act</w:t>
            </w:r>
            <w:r w:rsidRPr="00163264">
              <w:rPr>
                <w:rFonts w:eastAsia="Calibri"/>
                <w:sz w:val="20"/>
              </w:rPr>
              <w:t>, S.C. 2001, c. 27, required only proof that the smuggler knowingly assisted someone to enter Canada without the required documents and did not require proof that he did so in order to obtain a material benefit – Whether Federal Court of Appeal erred in finding that the principle of non</w:t>
            </w:r>
            <w:r w:rsidRPr="00163264">
              <w:rPr>
                <w:rFonts w:eastAsia="Calibri"/>
                <w:sz w:val="20"/>
              </w:rPr>
              <w:noBreakHyphen/>
              <w:t>refoulement did not require a definition of people smuggling that ensured a refugee’s access to Canada’s refugee determination procedure</w:t>
            </w:r>
          </w:p>
        </w:tc>
      </w:tr>
      <w:tr w:rsidR="007278E7" w:rsidRPr="00163264" w:rsidTr="00E2016D">
        <w:tc>
          <w:tcPr>
            <w:tcW w:w="5000" w:type="pct"/>
            <w:gridSpan w:val="3"/>
          </w:tcPr>
          <w:p w:rsidR="007278E7" w:rsidRPr="00163264" w:rsidRDefault="007278E7" w:rsidP="00E2016D">
            <w:pPr>
              <w:jc w:val="both"/>
              <w:rPr>
                <w:rFonts w:eastAsia="Calibri"/>
                <w:sz w:val="20"/>
              </w:rPr>
            </w:pPr>
          </w:p>
        </w:tc>
      </w:tr>
      <w:tr w:rsidR="007278E7" w:rsidRPr="00163264" w:rsidTr="00E2016D">
        <w:tc>
          <w:tcPr>
            <w:tcW w:w="5000" w:type="pct"/>
            <w:gridSpan w:val="3"/>
          </w:tcPr>
          <w:p w:rsidR="007278E7" w:rsidRPr="00163264" w:rsidRDefault="007278E7" w:rsidP="00E2016D">
            <w:pPr>
              <w:jc w:val="both"/>
              <w:rPr>
                <w:rFonts w:eastAsia="Calibri"/>
                <w:sz w:val="20"/>
              </w:rPr>
            </w:pPr>
            <w:r w:rsidRPr="00163264">
              <w:rPr>
                <w:rFonts w:eastAsia="Calibri"/>
                <w:sz w:val="20"/>
              </w:rPr>
              <w:t xml:space="preserve">B010 is a Tamil from Sri Lanka, who arrived in Canadian waters on August 13, 2010 aboard the </w:t>
            </w:r>
            <w:r w:rsidRPr="00163264">
              <w:rPr>
                <w:rFonts w:eastAsia="Calibri"/>
                <w:i/>
                <w:sz w:val="20"/>
              </w:rPr>
              <w:t>MV Sun Sea</w:t>
            </w:r>
            <w:r w:rsidRPr="00163264">
              <w:rPr>
                <w:rFonts w:eastAsia="Calibri"/>
                <w:sz w:val="20"/>
              </w:rPr>
              <w:t xml:space="preserve">, an unregistered ship with 492 migrants on board also seeking refuge.  Until 2009, B010 had lived in an area of Sri Lanka controlled by the Liberation Tigers of Tamil Eelam (“LTTE”), where he worked as a mechanic and fisherman.  When the Sri Lankan government regained control of the area, B010 was detained and interrogated on several occasions by government forces for suspected involvement in the LTTE.  Upon learning he was to be taken to a detention camp, B010 fled to Thailand where he eventually was offered a spot on the </w:t>
            </w:r>
            <w:r w:rsidRPr="00163264">
              <w:rPr>
                <w:rFonts w:eastAsia="Calibri"/>
                <w:i/>
                <w:sz w:val="20"/>
              </w:rPr>
              <w:t>MV Sun Sea</w:t>
            </w:r>
            <w:r w:rsidRPr="00163264">
              <w:rPr>
                <w:rFonts w:eastAsia="Calibri"/>
                <w:sz w:val="20"/>
              </w:rPr>
              <w:t xml:space="preserve"> that was bound for Canada.  The vessel was abandoned by the Thai crew and the passengers decided to continue with the voyage.  B010 agreed to work six hours a day in the engine room, monitoring the engine equipment.  After the ship arrived in Canadian waters, the Canadian Border Services Agency conducted an investigation that revealed that the ship had been a part of a for-profit scheme to bring migrants to Canada.  It also determined that B010 was one of 12 on board who served as the ship’s crew during the three-month voyage.  An immigration officer reported him as inadmissible to Canada for people smuggling pursuant to s. 37(1)(b) of the </w:t>
            </w:r>
            <w:r w:rsidRPr="00163264">
              <w:rPr>
                <w:rFonts w:eastAsia="Calibri"/>
                <w:i/>
                <w:sz w:val="20"/>
              </w:rPr>
              <w:t>Immigration and Refugee Protection Act</w:t>
            </w:r>
            <w:r w:rsidRPr="00163264">
              <w:rPr>
                <w:rFonts w:eastAsia="Calibri"/>
                <w:sz w:val="20"/>
              </w:rPr>
              <w:t>.</w:t>
            </w:r>
          </w:p>
          <w:p w:rsidR="007278E7" w:rsidRPr="00163264" w:rsidRDefault="007278E7" w:rsidP="00E2016D">
            <w:pPr>
              <w:jc w:val="both"/>
              <w:rPr>
                <w:rFonts w:eastAsia="Calibri"/>
                <w:sz w:val="20"/>
              </w:rPr>
            </w:pPr>
          </w:p>
        </w:tc>
      </w:tr>
      <w:tr w:rsidR="007278E7" w:rsidRPr="00163264" w:rsidTr="00E2016D">
        <w:tc>
          <w:tcPr>
            <w:tcW w:w="2427" w:type="pct"/>
          </w:tcPr>
          <w:p w:rsidR="007278E7" w:rsidRPr="00163264" w:rsidRDefault="007278E7" w:rsidP="00E2016D">
            <w:pPr>
              <w:jc w:val="both"/>
              <w:rPr>
                <w:rFonts w:eastAsia="Calibri"/>
                <w:sz w:val="20"/>
              </w:rPr>
            </w:pPr>
            <w:r w:rsidRPr="00163264">
              <w:rPr>
                <w:rFonts w:eastAsia="Calibri"/>
                <w:sz w:val="20"/>
              </w:rPr>
              <w:t>July 6, 2011</w:t>
            </w:r>
          </w:p>
          <w:p w:rsidR="007278E7" w:rsidRPr="00163264" w:rsidRDefault="007278E7" w:rsidP="00E2016D">
            <w:pPr>
              <w:jc w:val="both"/>
              <w:rPr>
                <w:rFonts w:eastAsia="Calibri"/>
                <w:sz w:val="20"/>
              </w:rPr>
            </w:pPr>
            <w:r w:rsidRPr="00163264">
              <w:rPr>
                <w:rFonts w:eastAsia="Calibri"/>
                <w:sz w:val="20"/>
              </w:rPr>
              <w:t>Immigration and Refugee Board of Canada</w:t>
            </w:r>
          </w:p>
          <w:p w:rsidR="007278E7" w:rsidRPr="00163264" w:rsidRDefault="007278E7" w:rsidP="00E2016D">
            <w:pPr>
              <w:jc w:val="both"/>
              <w:rPr>
                <w:rFonts w:eastAsia="Calibri"/>
                <w:sz w:val="20"/>
              </w:rPr>
            </w:pPr>
            <w:r w:rsidRPr="00163264">
              <w:rPr>
                <w:rFonts w:eastAsia="Calibri"/>
                <w:sz w:val="20"/>
              </w:rPr>
              <w:t>(McPhalen, Tribunal member)</w:t>
            </w:r>
          </w:p>
          <w:p w:rsidR="007278E7" w:rsidRPr="00163264" w:rsidRDefault="007278E7" w:rsidP="00E2016D">
            <w:pPr>
              <w:jc w:val="both"/>
              <w:rPr>
                <w:rFonts w:eastAsia="Calibri"/>
                <w:sz w:val="20"/>
              </w:rPr>
            </w:pPr>
            <w:r w:rsidRPr="00163264">
              <w:rPr>
                <w:rFonts w:eastAsia="Calibri"/>
                <w:sz w:val="20"/>
              </w:rPr>
              <w:t>Unreported</w:t>
            </w:r>
          </w:p>
          <w:p w:rsidR="007278E7" w:rsidRPr="00163264" w:rsidRDefault="007278E7" w:rsidP="00E2016D">
            <w:pPr>
              <w:jc w:val="both"/>
              <w:rPr>
                <w:rFonts w:eastAsia="Calibri"/>
                <w:sz w:val="20"/>
              </w:rPr>
            </w:pPr>
          </w:p>
        </w:tc>
        <w:tc>
          <w:tcPr>
            <w:tcW w:w="243" w:type="pct"/>
          </w:tcPr>
          <w:p w:rsidR="007278E7" w:rsidRPr="00163264" w:rsidRDefault="007278E7" w:rsidP="00E2016D">
            <w:pPr>
              <w:jc w:val="both"/>
              <w:rPr>
                <w:rFonts w:eastAsia="Calibri"/>
                <w:sz w:val="20"/>
              </w:rPr>
            </w:pPr>
          </w:p>
        </w:tc>
        <w:tc>
          <w:tcPr>
            <w:tcW w:w="2330" w:type="pct"/>
          </w:tcPr>
          <w:p w:rsidR="007278E7" w:rsidRPr="00163264" w:rsidRDefault="007278E7" w:rsidP="00E2016D">
            <w:pPr>
              <w:jc w:val="both"/>
              <w:rPr>
                <w:rFonts w:eastAsia="Calibri"/>
                <w:sz w:val="20"/>
              </w:rPr>
            </w:pPr>
            <w:r w:rsidRPr="00163264">
              <w:rPr>
                <w:rFonts w:eastAsia="Calibri"/>
                <w:sz w:val="20"/>
              </w:rPr>
              <w:t xml:space="preserve">Applicant declared foreign national who was inadmissible under s. 37(1)(b) of the </w:t>
            </w:r>
            <w:r w:rsidRPr="00163264">
              <w:rPr>
                <w:rFonts w:eastAsia="Calibri"/>
                <w:i/>
                <w:sz w:val="20"/>
              </w:rPr>
              <w:t>IRPA</w:t>
            </w:r>
            <w:r w:rsidRPr="00163264">
              <w:rPr>
                <w:rFonts w:eastAsia="Calibri"/>
                <w:sz w:val="20"/>
              </w:rPr>
              <w:t>; Deportation order issued against him</w:t>
            </w:r>
          </w:p>
          <w:p w:rsidR="007278E7" w:rsidRPr="00163264" w:rsidRDefault="007278E7" w:rsidP="00E2016D">
            <w:pPr>
              <w:jc w:val="both"/>
              <w:rPr>
                <w:rFonts w:eastAsia="Calibri"/>
                <w:sz w:val="20"/>
              </w:rPr>
            </w:pPr>
          </w:p>
        </w:tc>
      </w:tr>
      <w:tr w:rsidR="007278E7" w:rsidRPr="00163264" w:rsidTr="00434F44">
        <w:trPr>
          <w:cantSplit/>
        </w:trPr>
        <w:tc>
          <w:tcPr>
            <w:tcW w:w="2427" w:type="pct"/>
          </w:tcPr>
          <w:p w:rsidR="007278E7" w:rsidRPr="00163264" w:rsidRDefault="007278E7" w:rsidP="00E2016D">
            <w:pPr>
              <w:jc w:val="both"/>
              <w:rPr>
                <w:rFonts w:eastAsia="Calibri"/>
                <w:sz w:val="20"/>
              </w:rPr>
            </w:pPr>
            <w:r w:rsidRPr="00163264">
              <w:rPr>
                <w:rFonts w:eastAsia="Calibri"/>
                <w:sz w:val="20"/>
              </w:rPr>
              <w:lastRenderedPageBreak/>
              <w:t>May 15, 2012</w:t>
            </w:r>
          </w:p>
          <w:p w:rsidR="007278E7" w:rsidRPr="00163264" w:rsidRDefault="007278E7" w:rsidP="00E2016D">
            <w:pPr>
              <w:jc w:val="both"/>
              <w:rPr>
                <w:rFonts w:eastAsia="Calibri"/>
                <w:sz w:val="20"/>
              </w:rPr>
            </w:pPr>
            <w:r w:rsidRPr="00163264">
              <w:rPr>
                <w:rFonts w:eastAsia="Calibri"/>
                <w:sz w:val="20"/>
              </w:rPr>
              <w:t>Federal Court</w:t>
            </w:r>
          </w:p>
          <w:p w:rsidR="007278E7" w:rsidRPr="00163264" w:rsidRDefault="007278E7" w:rsidP="00E2016D">
            <w:pPr>
              <w:jc w:val="both"/>
              <w:rPr>
                <w:rFonts w:eastAsia="Calibri"/>
                <w:sz w:val="20"/>
              </w:rPr>
            </w:pPr>
            <w:r w:rsidRPr="00163264">
              <w:rPr>
                <w:rFonts w:eastAsia="Calibri"/>
                <w:sz w:val="20"/>
              </w:rPr>
              <w:t>(Noël J.)</w:t>
            </w:r>
          </w:p>
          <w:p w:rsidR="007278E7" w:rsidRPr="00163264" w:rsidRDefault="007278E7" w:rsidP="00E2016D">
            <w:pPr>
              <w:jc w:val="both"/>
              <w:rPr>
                <w:rFonts w:eastAsia="Calibri"/>
                <w:sz w:val="20"/>
              </w:rPr>
            </w:pPr>
            <w:r w:rsidRPr="00163264">
              <w:rPr>
                <w:rFonts w:eastAsia="Calibri"/>
                <w:sz w:val="20"/>
              </w:rPr>
              <w:t>2012 FC 569</w:t>
            </w:r>
          </w:p>
          <w:p w:rsidR="007278E7" w:rsidRPr="00163264" w:rsidRDefault="007278E7" w:rsidP="00E2016D">
            <w:pPr>
              <w:jc w:val="both"/>
              <w:rPr>
                <w:rFonts w:eastAsia="Calibri"/>
                <w:sz w:val="20"/>
              </w:rPr>
            </w:pPr>
          </w:p>
        </w:tc>
        <w:tc>
          <w:tcPr>
            <w:tcW w:w="243" w:type="pct"/>
          </w:tcPr>
          <w:p w:rsidR="007278E7" w:rsidRPr="00163264" w:rsidRDefault="007278E7" w:rsidP="00E2016D">
            <w:pPr>
              <w:jc w:val="both"/>
              <w:rPr>
                <w:rFonts w:eastAsia="Calibri"/>
                <w:sz w:val="20"/>
              </w:rPr>
            </w:pPr>
          </w:p>
        </w:tc>
        <w:tc>
          <w:tcPr>
            <w:tcW w:w="2330" w:type="pct"/>
          </w:tcPr>
          <w:p w:rsidR="007278E7" w:rsidRPr="00163264" w:rsidRDefault="007278E7" w:rsidP="00E2016D">
            <w:pPr>
              <w:jc w:val="both"/>
              <w:rPr>
                <w:rFonts w:eastAsia="Calibri"/>
                <w:sz w:val="20"/>
              </w:rPr>
            </w:pPr>
            <w:r w:rsidRPr="00163264">
              <w:rPr>
                <w:rFonts w:eastAsia="Calibri"/>
                <w:sz w:val="20"/>
              </w:rPr>
              <w:t>Application for judicial review dismissed</w:t>
            </w:r>
          </w:p>
          <w:p w:rsidR="007278E7" w:rsidRPr="00163264" w:rsidRDefault="007278E7" w:rsidP="00E2016D">
            <w:pPr>
              <w:jc w:val="both"/>
              <w:rPr>
                <w:rFonts w:eastAsia="Calibri"/>
                <w:sz w:val="20"/>
              </w:rPr>
            </w:pPr>
          </w:p>
          <w:p w:rsidR="007278E7" w:rsidRPr="00163264" w:rsidRDefault="007278E7" w:rsidP="00E2016D">
            <w:pPr>
              <w:jc w:val="both"/>
              <w:rPr>
                <w:rFonts w:eastAsia="Calibri"/>
                <w:sz w:val="20"/>
              </w:rPr>
            </w:pPr>
          </w:p>
        </w:tc>
      </w:tr>
      <w:tr w:rsidR="007278E7" w:rsidRPr="00163264" w:rsidTr="00434F44">
        <w:trPr>
          <w:cantSplit/>
        </w:trPr>
        <w:tc>
          <w:tcPr>
            <w:tcW w:w="2427" w:type="pct"/>
          </w:tcPr>
          <w:p w:rsidR="007278E7" w:rsidRPr="00163264" w:rsidRDefault="007278E7" w:rsidP="00E2016D">
            <w:pPr>
              <w:jc w:val="both"/>
              <w:rPr>
                <w:rFonts w:eastAsia="Calibri"/>
                <w:sz w:val="20"/>
              </w:rPr>
            </w:pPr>
            <w:r w:rsidRPr="00163264">
              <w:rPr>
                <w:rFonts w:eastAsia="Calibri"/>
                <w:sz w:val="20"/>
              </w:rPr>
              <w:t>March 22, 2013</w:t>
            </w:r>
          </w:p>
          <w:p w:rsidR="007278E7" w:rsidRPr="00163264" w:rsidRDefault="007278E7" w:rsidP="00E2016D">
            <w:pPr>
              <w:jc w:val="both"/>
              <w:rPr>
                <w:rFonts w:eastAsia="Calibri"/>
                <w:sz w:val="20"/>
              </w:rPr>
            </w:pPr>
            <w:r w:rsidRPr="00163264">
              <w:rPr>
                <w:rFonts w:eastAsia="Calibri"/>
                <w:sz w:val="20"/>
              </w:rPr>
              <w:t>Federal Court of Appeal</w:t>
            </w:r>
          </w:p>
          <w:p w:rsidR="007278E7" w:rsidRPr="00163264" w:rsidRDefault="007278E7" w:rsidP="00E2016D">
            <w:pPr>
              <w:jc w:val="both"/>
              <w:rPr>
                <w:rFonts w:eastAsia="Calibri"/>
                <w:sz w:val="20"/>
              </w:rPr>
            </w:pPr>
            <w:r w:rsidRPr="00163264">
              <w:rPr>
                <w:rFonts w:eastAsia="Calibri"/>
                <w:sz w:val="20"/>
              </w:rPr>
              <w:t>(Evans, Dawson and Stratas JJ.A.)</w:t>
            </w:r>
          </w:p>
          <w:p w:rsidR="007278E7" w:rsidRPr="00163264" w:rsidRDefault="007278E7" w:rsidP="00E2016D">
            <w:pPr>
              <w:jc w:val="both"/>
              <w:rPr>
                <w:rFonts w:eastAsia="Calibri"/>
                <w:sz w:val="20"/>
              </w:rPr>
            </w:pPr>
            <w:r w:rsidRPr="00163264">
              <w:rPr>
                <w:rFonts w:eastAsia="Calibri"/>
                <w:sz w:val="20"/>
              </w:rPr>
              <w:t>2013 FCA 87</w:t>
            </w:r>
          </w:p>
          <w:p w:rsidR="007278E7" w:rsidRPr="00163264" w:rsidRDefault="007278E7" w:rsidP="00E2016D">
            <w:pPr>
              <w:jc w:val="both"/>
              <w:rPr>
                <w:rFonts w:eastAsia="Calibri"/>
                <w:sz w:val="20"/>
              </w:rPr>
            </w:pPr>
          </w:p>
        </w:tc>
        <w:tc>
          <w:tcPr>
            <w:tcW w:w="243" w:type="pct"/>
          </w:tcPr>
          <w:p w:rsidR="007278E7" w:rsidRPr="00163264" w:rsidRDefault="007278E7" w:rsidP="00E2016D">
            <w:pPr>
              <w:jc w:val="both"/>
              <w:rPr>
                <w:rFonts w:eastAsia="Calibri"/>
                <w:sz w:val="20"/>
              </w:rPr>
            </w:pPr>
          </w:p>
        </w:tc>
        <w:tc>
          <w:tcPr>
            <w:tcW w:w="2330" w:type="pct"/>
          </w:tcPr>
          <w:p w:rsidR="007278E7" w:rsidRPr="00163264" w:rsidRDefault="007278E7" w:rsidP="00E2016D">
            <w:pPr>
              <w:jc w:val="both"/>
              <w:rPr>
                <w:rFonts w:eastAsia="Calibri"/>
                <w:sz w:val="20"/>
              </w:rPr>
            </w:pPr>
            <w:r w:rsidRPr="00163264">
              <w:rPr>
                <w:rFonts w:eastAsia="Calibri"/>
                <w:sz w:val="20"/>
              </w:rPr>
              <w:t>Appeal dismissed</w:t>
            </w:r>
          </w:p>
          <w:p w:rsidR="007278E7" w:rsidRPr="00163264" w:rsidRDefault="007278E7" w:rsidP="00E2016D">
            <w:pPr>
              <w:jc w:val="both"/>
              <w:rPr>
                <w:rFonts w:eastAsia="Calibri"/>
                <w:sz w:val="20"/>
              </w:rPr>
            </w:pPr>
          </w:p>
        </w:tc>
      </w:tr>
      <w:tr w:rsidR="007278E7" w:rsidRPr="00163264" w:rsidTr="00434F44">
        <w:trPr>
          <w:cantSplit/>
        </w:trPr>
        <w:tc>
          <w:tcPr>
            <w:tcW w:w="2427" w:type="pct"/>
          </w:tcPr>
          <w:p w:rsidR="007278E7" w:rsidRPr="00163264" w:rsidRDefault="007278E7" w:rsidP="00E2016D">
            <w:pPr>
              <w:jc w:val="both"/>
              <w:rPr>
                <w:rFonts w:eastAsia="Calibri"/>
                <w:sz w:val="20"/>
              </w:rPr>
            </w:pPr>
            <w:r w:rsidRPr="00163264">
              <w:rPr>
                <w:rFonts w:eastAsia="Calibri"/>
                <w:sz w:val="20"/>
              </w:rPr>
              <w:t>May 17, 2013</w:t>
            </w:r>
          </w:p>
          <w:p w:rsidR="007278E7" w:rsidRPr="00163264" w:rsidRDefault="007278E7" w:rsidP="00E2016D">
            <w:pPr>
              <w:jc w:val="both"/>
              <w:rPr>
                <w:rFonts w:eastAsia="Calibri"/>
                <w:sz w:val="20"/>
              </w:rPr>
            </w:pPr>
            <w:r w:rsidRPr="00163264">
              <w:rPr>
                <w:rFonts w:eastAsia="Calibri"/>
                <w:sz w:val="20"/>
              </w:rPr>
              <w:t>Supreme Court of Canada</w:t>
            </w:r>
          </w:p>
        </w:tc>
        <w:tc>
          <w:tcPr>
            <w:tcW w:w="243" w:type="pct"/>
          </w:tcPr>
          <w:p w:rsidR="007278E7" w:rsidRPr="00163264" w:rsidRDefault="007278E7" w:rsidP="00E2016D">
            <w:pPr>
              <w:jc w:val="both"/>
              <w:rPr>
                <w:rFonts w:eastAsia="Calibri"/>
                <w:sz w:val="20"/>
              </w:rPr>
            </w:pPr>
          </w:p>
        </w:tc>
        <w:tc>
          <w:tcPr>
            <w:tcW w:w="2330" w:type="pct"/>
          </w:tcPr>
          <w:p w:rsidR="007278E7" w:rsidRPr="00163264" w:rsidRDefault="007278E7" w:rsidP="00E2016D">
            <w:pPr>
              <w:jc w:val="both"/>
              <w:rPr>
                <w:rFonts w:eastAsia="Calibri"/>
                <w:sz w:val="20"/>
              </w:rPr>
            </w:pPr>
            <w:r w:rsidRPr="00163264">
              <w:rPr>
                <w:rFonts w:eastAsia="Calibri"/>
                <w:sz w:val="20"/>
              </w:rPr>
              <w:t>Application for leave to appeal filed</w:t>
            </w:r>
          </w:p>
        </w:tc>
      </w:tr>
    </w:tbl>
    <w:p w:rsidR="00965AE9" w:rsidRDefault="00965AE9" w:rsidP="00965AE9">
      <w:pPr>
        <w:rPr>
          <w:sz w:val="20"/>
          <w:szCs w:val="20"/>
        </w:rPr>
      </w:pPr>
    </w:p>
    <w:p w:rsidR="00965AE9" w:rsidRPr="00C50A5C" w:rsidRDefault="00944C2E" w:rsidP="00965AE9">
      <w:pPr>
        <w:rPr>
          <w:sz w:val="20"/>
          <w:szCs w:val="20"/>
        </w:rPr>
      </w:pPr>
      <w:r>
        <w:rPr>
          <w:sz w:val="20"/>
          <w:szCs w:val="20"/>
          <w:lang w:val="fr-CA"/>
        </w:rPr>
        <w:pict>
          <v:rect id="_x0000_i1041" style="width:2in;height:1pt" o:hrpct="0" o:hralign="center" o:hrstd="t" o:hrnoshade="t" o:hr="t" fillcolor="black [3213]" stroked="f"/>
        </w:pict>
      </w:r>
    </w:p>
    <w:p w:rsidR="00965AE9" w:rsidRDefault="00965AE9" w:rsidP="00965AE9">
      <w:pPr>
        <w:rPr>
          <w:sz w:val="20"/>
          <w:szCs w:val="20"/>
        </w:rPr>
      </w:pPr>
    </w:p>
    <w:p w:rsidR="00965AE9" w:rsidRPr="001B157C" w:rsidRDefault="00965AE9" w:rsidP="00965AE9">
      <w:pPr>
        <w:rPr>
          <w:sz w:val="20"/>
          <w:szCs w:val="20"/>
          <w:u w:val="single"/>
          <w:lang w:val="fr-CA"/>
        </w:rPr>
      </w:pPr>
      <w:r w:rsidRPr="001B157C">
        <w:rPr>
          <w:sz w:val="20"/>
          <w:szCs w:val="20"/>
          <w:u w:val="single"/>
          <w:lang w:val="fr-CA"/>
        </w:rPr>
        <w:t>RÉSUMÉ DE L’AFFAIRE</w:t>
      </w:r>
    </w:p>
    <w:p w:rsidR="00965AE9" w:rsidRDefault="00965AE9" w:rsidP="000E2959">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278E7" w:rsidRPr="00944C2E" w:rsidTr="00E2016D">
        <w:tc>
          <w:tcPr>
            <w:tcW w:w="5000" w:type="pct"/>
            <w:gridSpan w:val="3"/>
          </w:tcPr>
          <w:p w:rsidR="007278E7" w:rsidRPr="00163264" w:rsidRDefault="007278E7" w:rsidP="00E2016D">
            <w:pPr>
              <w:jc w:val="both"/>
              <w:rPr>
                <w:rFonts w:eastAsia="Calibri"/>
                <w:sz w:val="20"/>
                <w:lang w:val="fr-CA"/>
              </w:rPr>
            </w:pPr>
            <w:r w:rsidRPr="00163264">
              <w:rPr>
                <w:rFonts w:eastAsia="Calibri"/>
                <w:sz w:val="20"/>
                <w:lang w:val="fr-CA"/>
              </w:rPr>
              <w:t>Immigration – Interdiction de territoire et renvoi – La Cour d'appel fédérale a</w:t>
            </w:r>
            <w:r w:rsidRPr="00163264">
              <w:rPr>
                <w:rFonts w:eastAsia="Calibri"/>
                <w:sz w:val="20"/>
                <w:lang w:val="fr-CA"/>
              </w:rPr>
              <w:noBreakHyphen/>
              <w:t>t</w:t>
            </w:r>
            <w:r w:rsidRPr="00163264">
              <w:rPr>
                <w:rFonts w:eastAsia="Calibri"/>
                <w:sz w:val="20"/>
                <w:lang w:val="fr-CA"/>
              </w:rPr>
              <w:noBreakHyphen/>
              <w:t>elle eu tort de statuer que pour établir le « passage de clandestin » visé au par. 37(1) de la</w:t>
            </w:r>
            <w:r w:rsidRPr="00163264">
              <w:rPr>
                <w:rFonts w:eastAsia="Calibri"/>
                <w:i/>
                <w:sz w:val="20"/>
                <w:lang w:val="fr-CA"/>
              </w:rPr>
              <w:t xml:space="preserve"> Loi sur l'immigration et la protection des réfugiés</w:t>
            </w:r>
            <w:r w:rsidRPr="00163264">
              <w:rPr>
                <w:rFonts w:eastAsia="Calibri"/>
                <w:sz w:val="20"/>
                <w:lang w:val="fr-CA"/>
              </w:rPr>
              <w:t>, L.C. 2001, ch. 27, il suffisait de prouver que le passeur avait sciemment aidé quelqu’un à entrer au Canada sans les documents nécessaires et qu'il n'était pas nécessaire de prouver qu'il l’avait fait pour obtenir un avantage matériel? – La Cour d'appel fédérale a</w:t>
            </w:r>
            <w:r w:rsidRPr="00163264">
              <w:rPr>
                <w:rFonts w:eastAsia="Calibri"/>
                <w:sz w:val="20"/>
                <w:lang w:val="fr-CA"/>
              </w:rPr>
              <w:noBreakHyphen/>
              <w:t>t</w:t>
            </w:r>
            <w:r w:rsidRPr="00163264">
              <w:rPr>
                <w:rFonts w:eastAsia="Calibri"/>
                <w:sz w:val="20"/>
                <w:lang w:val="fr-CA"/>
              </w:rPr>
              <w:noBreakHyphen/>
              <w:t>elle eu tort de conclure que le principe de non</w:t>
            </w:r>
            <w:r w:rsidRPr="00163264">
              <w:rPr>
                <w:rFonts w:eastAsia="Calibri"/>
                <w:sz w:val="20"/>
                <w:lang w:val="fr-CA"/>
              </w:rPr>
              <w:noBreakHyphen/>
              <w:t>refoulement n'obligeait pas l’adoption d’une définition de passage de clandestin qui garantissait à un réfugié l'accès à la procédure de détermination du statut de réfugié?</w:t>
            </w:r>
          </w:p>
        </w:tc>
      </w:tr>
      <w:tr w:rsidR="007278E7" w:rsidRPr="00944C2E" w:rsidTr="00E2016D">
        <w:tc>
          <w:tcPr>
            <w:tcW w:w="5000" w:type="pct"/>
            <w:gridSpan w:val="3"/>
          </w:tcPr>
          <w:p w:rsidR="007278E7" w:rsidRPr="00163264" w:rsidRDefault="007278E7" w:rsidP="00E2016D">
            <w:pPr>
              <w:jc w:val="both"/>
              <w:rPr>
                <w:rFonts w:eastAsia="Calibri"/>
                <w:sz w:val="20"/>
                <w:lang w:val="fr-CA"/>
              </w:rPr>
            </w:pPr>
          </w:p>
        </w:tc>
      </w:tr>
      <w:tr w:rsidR="007278E7" w:rsidRPr="00944C2E" w:rsidTr="00E2016D">
        <w:tc>
          <w:tcPr>
            <w:tcW w:w="5000" w:type="pct"/>
            <w:gridSpan w:val="3"/>
          </w:tcPr>
          <w:p w:rsidR="007278E7" w:rsidRPr="00163264" w:rsidRDefault="007278E7" w:rsidP="00E2016D">
            <w:pPr>
              <w:jc w:val="both"/>
              <w:rPr>
                <w:rFonts w:eastAsia="Calibri"/>
                <w:sz w:val="20"/>
                <w:lang w:val="fr-CA"/>
              </w:rPr>
            </w:pPr>
            <w:r w:rsidRPr="00163264">
              <w:rPr>
                <w:rFonts w:eastAsia="Calibri"/>
                <w:sz w:val="20"/>
                <w:lang w:val="fr-CA"/>
              </w:rPr>
              <w:t xml:space="preserve">B010 un Tamoul du Sri Lanka, est arrivé dans les eaux canadiennes le 13 août 2010 à bord du </w:t>
            </w:r>
            <w:r w:rsidRPr="00163264">
              <w:rPr>
                <w:rFonts w:eastAsia="Calibri"/>
                <w:i/>
                <w:sz w:val="20"/>
                <w:lang w:val="fr-CA"/>
              </w:rPr>
              <w:t>MV Sun Sea</w:t>
            </w:r>
            <w:r w:rsidRPr="00163264">
              <w:rPr>
                <w:rFonts w:eastAsia="Calibri"/>
                <w:sz w:val="20"/>
                <w:lang w:val="fr-CA"/>
              </w:rPr>
              <w:t>, un navire non immatriculé ayant à son bord 492 migrants, demandeurs d'asile eux</w:t>
            </w:r>
            <w:r w:rsidRPr="00163264">
              <w:rPr>
                <w:rFonts w:eastAsia="Calibri"/>
                <w:sz w:val="20"/>
                <w:lang w:val="fr-CA"/>
              </w:rPr>
              <w:noBreakHyphen/>
              <w:t xml:space="preserve">aussi.  Jusqu'en 2009, B010 avait vécu dans une région du Sri Lanka contrôlée par les Tigres de libération de l’Eelam tamoul [les LTTE], où il travaillait comme mécanicien et pêcheur. Lorsque que le gouvernement sri lankais a repris le contrôle de la région, B010 a été détenu et interrogé à plusieurs occasions par des forces gouvernementales en raison de sa présumée implication dans les LTTE. Lorsqu'il a appris qu'on allait l’emmener dans un camp de détention, B010 s’est enfui en Thaïlande ou il a fini par se voir offrir un poste sur le </w:t>
            </w:r>
            <w:r w:rsidRPr="00163264">
              <w:rPr>
                <w:rFonts w:eastAsia="Calibri"/>
                <w:i/>
                <w:sz w:val="20"/>
                <w:lang w:val="fr-CA"/>
              </w:rPr>
              <w:t>MV Sun Sea</w:t>
            </w:r>
            <w:r w:rsidRPr="00163264">
              <w:rPr>
                <w:rFonts w:eastAsia="Calibri"/>
                <w:sz w:val="20"/>
                <w:lang w:val="fr-CA"/>
              </w:rPr>
              <w:t xml:space="preserve"> à destination du Canada.  Le navire a été abandonné par l'équipage thaïlandais et les passagers ont décidé de poursuivre le voyage.  B010 a accepté de travailler six heures par jour dans la salle des machines où il surveillait le matériel du moteur. Après l'arrivée du navire dans les eaux canadiennes, l'Agence des services frontaliers du Canada a mené une enquête qui a révélé que le navire faisait partie d’un stratagème lucratif visant à amener des migrants au Canada.  L'Agence a également conclu que B010 était au nombre des douze personnes à bord qui faisaient partie de l'équipage du navire pendant le voyage de trois mois.  Un agent d'immigration s’est dit d’avis que le demandeur devait être interdit de territoire au Canada pour s’être livré au passage de clandestins aux termes de l'al. 37(1)</w:t>
            </w:r>
            <w:r w:rsidRPr="00163264">
              <w:rPr>
                <w:rFonts w:eastAsia="Calibri"/>
                <w:i/>
                <w:sz w:val="20"/>
                <w:lang w:val="fr-CA"/>
              </w:rPr>
              <w:t>b)</w:t>
            </w:r>
            <w:r w:rsidRPr="00163264">
              <w:rPr>
                <w:rFonts w:eastAsia="Calibri"/>
                <w:sz w:val="20"/>
                <w:lang w:val="fr-CA"/>
              </w:rPr>
              <w:t xml:space="preserve"> de la</w:t>
            </w:r>
            <w:r w:rsidRPr="00163264">
              <w:rPr>
                <w:rFonts w:eastAsia="Calibri"/>
                <w:i/>
                <w:sz w:val="20"/>
                <w:lang w:val="fr-CA"/>
              </w:rPr>
              <w:t xml:space="preserve"> Loi sur l'immigration et la protection des réfugiés</w:t>
            </w:r>
            <w:r w:rsidRPr="00163264">
              <w:rPr>
                <w:rFonts w:eastAsia="Calibri"/>
                <w:sz w:val="20"/>
                <w:lang w:val="fr-CA"/>
              </w:rPr>
              <w:t>.</w:t>
            </w:r>
          </w:p>
          <w:p w:rsidR="007278E7" w:rsidRPr="00163264" w:rsidRDefault="007278E7" w:rsidP="00E2016D">
            <w:pPr>
              <w:jc w:val="both"/>
              <w:rPr>
                <w:rFonts w:eastAsia="Calibri"/>
                <w:sz w:val="20"/>
                <w:lang w:val="fr-CA"/>
              </w:rPr>
            </w:pPr>
          </w:p>
        </w:tc>
      </w:tr>
      <w:tr w:rsidR="007278E7" w:rsidRPr="00163264" w:rsidTr="00E2016D">
        <w:tc>
          <w:tcPr>
            <w:tcW w:w="2427" w:type="pct"/>
          </w:tcPr>
          <w:p w:rsidR="007278E7" w:rsidRPr="00163264" w:rsidRDefault="007278E7" w:rsidP="00E2016D">
            <w:pPr>
              <w:jc w:val="both"/>
              <w:rPr>
                <w:rFonts w:eastAsia="Calibri"/>
                <w:sz w:val="20"/>
                <w:lang w:val="fr-CA"/>
              </w:rPr>
            </w:pPr>
            <w:r w:rsidRPr="00163264">
              <w:rPr>
                <w:rFonts w:eastAsia="Calibri"/>
                <w:sz w:val="20"/>
                <w:lang w:val="fr-CA"/>
              </w:rPr>
              <w:t>6 juillet 2011</w:t>
            </w:r>
          </w:p>
          <w:p w:rsidR="007278E7" w:rsidRPr="00163264" w:rsidRDefault="007278E7" w:rsidP="00E2016D">
            <w:pPr>
              <w:jc w:val="both"/>
              <w:rPr>
                <w:rFonts w:eastAsia="Calibri"/>
                <w:sz w:val="20"/>
                <w:lang w:val="fr-CA"/>
              </w:rPr>
            </w:pPr>
            <w:r w:rsidRPr="00163264">
              <w:rPr>
                <w:rFonts w:eastAsia="Calibri"/>
                <w:sz w:val="20"/>
                <w:lang w:val="fr-CA"/>
              </w:rPr>
              <w:t>Commission de l'immigration et du statut de réfugié du Canada</w:t>
            </w:r>
          </w:p>
          <w:p w:rsidR="007278E7" w:rsidRPr="00163264" w:rsidRDefault="007278E7" w:rsidP="00E2016D">
            <w:pPr>
              <w:jc w:val="both"/>
              <w:rPr>
                <w:rFonts w:eastAsia="Calibri"/>
                <w:sz w:val="20"/>
                <w:lang w:val="fr-CA"/>
              </w:rPr>
            </w:pPr>
            <w:r w:rsidRPr="00163264">
              <w:rPr>
                <w:rFonts w:eastAsia="Calibri"/>
                <w:sz w:val="20"/>
                <w:lang w:val="fr-CA"/>
              </w:rPr>
              <w:t>(Commissaire McPhalen)</w:t>
            </w:r>
          </w:p>
          <w:p w:rsidR="007278E7" w:rsidRPr="00163264" w:rsidRDefault="007278E7" w:rsidP="00E2016D">
            <w:pPr>
              <w:jc w:val="both"/>
              <w:rPr>
                <w:rFonts w:eastAsia="Calibri"/>
                <w:sz w:val="20"/>
                <w:lang w:val="fr-CA"/>
              </w:rPr>
            </w:pPr>
            <w:r w:rsidRPr="00163264">
              <w:rPr>
                <w:rFonts w:eastAsia="Calibri"/>
                <w:sz w:val="20"/>
                <w:lang w:val="fr-CA"/>
              </w:rPr>
              <w:t>Non publié</w:t>
            </w:r>
          </w:p>
          <w:p w:rsidR="007278E7" w:rsidRPr="00163264" w:rsidRDefault="007278E7" w:rsidP="00E2016D">
            <w:pPr>
              <w:jc w:val="both"/>
              <w:rPr>
                <w:rFonts w:eastAsia="Calibri"/>
                <w:sz w:val="20"/>
                <w:lang w:val="fr-CA"/>
              </w:rPr>
            </w:pPr>
          </w:p>
        </w:tc>
        <w:tc>
          <w:tcPr>
            <w:tcW w:w="243" w:type="pct"/>
          </w:tcPr>
          <w:p w:rsidR="007278E7" w:rsidRPr="00163264" w:rsidRDefault="007278E7" w:rsidP="00E2016D">
            <w:pPr>
              <w:jc w:val="both"/>
              <w:rPr>
                <w:rFonts w:eastAsia="Calibri"/>
                <w:sz w:val="20"/>
                <w:lang w:val="fr-CA"/>
              </w:rPr>
            </w:pPr>
          </w:p>
        </w:tc>
        <w:tc>
          <w:tcPr>
            <w:tcW w:w="2330" w:type="pct"/>
          </w:tcPr>
          <w:p w:rsidR="007278E7" w:rsidRPr="00163264" w:rsidRDefault="007278E7" w:rsidP="00E2016D">
            <w:pPr>
              <w:jc w:val="both"/>
              <w:rPr>
                <w:rFonts w:eastAsia="Calibri"/>
                <w:sz w:val="20"/>
                <w:lang w:val="fr-CA"/>
              </w:rPr>
            </w:pPr>
            <w:r w:rsidRPr="00163264">
              <w:rPr>
                <w:rFonts w:eastAsia="Calibri"/>
                <w:sz w:val="20"/>
                <w:lang w:val="fr-CA"/>
              </w:rPr>
              <w:t>Demandeur déclaré étranger interdit de territoire en application de l'al. 37(1)</w:t>
            </w:r>
            <w:r w:rsidRPr="00163264">
              <w:rPr>
                <w:rFonts w:eastAsia="Calibri"/>
                <w:i/>
                <w:sz w:val="20"/>
                <w:lang w:val="fr-CA"/>
              </w:rPr>
              <w:t>b)</w:t>
            </w:r>
            <w:r w:rsidRPr="00163264">
              <w:rPr>
                <w:rFonts w:eastAsia="Calibri"/>
                <w:sz w:val="20"/>
                <w:lang w:val="fr-CA"/>
              </w:rPr>
              <w:t xml:space="preserve"> de la </w:t>
            </w:r>
            <w:r w:rsidRPr="00163264">
              <w:rPr>
                <w:rFonts w:eastAsia="Calibri"/>
                <w:i/>
                <w:sz w:val="20"/>
                <w:lang w:val="fr-CA"/>
              </w:rPr>
              <w:t>LIPR</w:t>
            </w:r>
            <w:r w:rsidRPr="00163264">
              <w:rPr>
                <w:rFonts w:eastAsia="Calibri"/>
                <w:sz w:val="20"/>
                <w:lang w:val="fr-CA"/>
              </w:rPr>
              <w:t>; mesure d’expulsion prise contre lui</w:t>
            </w:r>
          </w:p>
          <w:p w:rsidR="007278E7" w:rsidRPr="00163264" w:rsidRDefault="007278E7" w:rsidP="00E2016D">
            <w:pPr>
              <w:jc w:val="both"/>
              <w:rPr>
                <w:rFonts w:eastAsia="Calibri"/>
                <w:sz w:val="20"/>
                <w:lang w:val="fr-CA"/>
              </w:rPr>
            </w:pPr>
          </w:p>
          <w:p w:rsidR="007278E7" w:rsidRPr="00163264" w:rsidRDefault="007278E7" w:rsidP="00E2016D">
            <w:pPr>
              <w:jc w:val="both"/>
              <w:rPr>
                <w:rFonts w:eastAsia="Calibri"/>
                <w:sz w:val="20"/>
                <w:lang w:val="fr-CA"/>
              </w:rPr>
            </w:pPr>
          </w:p>
        </w:tc>
      </w:tr>
      <w:tr w:rsidR="007278E7" w:rsidRPr="00163264" w:rsidTr="00E2016D">
        <w:tc>
          <w:tcPr>
            <w:tcW w:w="2427" w:type="pct"/>
          </w:tcPr>
          <w:p w:rsidR="007278E7" w:rsidRPr="00163264" w:rsidRDefault="007278E7" w:rsidP="00E2016D">
            <w:pPr>
              <w:jc w:val="both"/>
              <w:rPr>
                <w:rFonts w:eastAsia="Calibri"/>
                <w:sz w:val="20"/>
                <w:lang w:val="fr-CA"/>
              </w:rPr>
            </w:pPr>
            <w:r w:rsidRPr="00163264">
              <w:rPr>
                <w:rFonts w:eastAsia="Calibri"/>
                <w:sz w:val="20"/>
                <w:lang w:val="fr-CA"/>
              </w:rPr>
              <w:t>15 mai 2012</w:t>
            </w:r>
          </w:p>
          <w:p w:rsidR="007278E7" w:rsidRPr="00163264" w:rsidRDefault="007278E7" w:rsidP="00E2016D">
            <w:pPr>
              <w:jc w:val="both"/>
              <w:rPr>
                <w:rFonts w:eastAsia="Calibri"/>
                <w:sz w:val="20"/>
                <w:lang w:val="fr-CA"/>
              </w:rPr>
            </w:pPr>
            <w:r w:rsidRPr="00163264">
              <w:rPr>
                <w:rFonts w:eastAsia="Calibri"/>
                <w:sz w:val="20"/>
                <w:lang w:val="fr-CA"/>
              </w:rPr>
              <w:t xml:space="preserve">Cour fédérale </w:t>
            </w:r>
          </w:p>
          <w:p w:rsidR="007278E7" w:rsidRPr="00163264" w:rsidRDefault="007278E7" w:rsidP="00E2016D">
            <w:pPr>
              <w:jc w:val="both"/>
              <w:rPr>
                <w:rFonts w:eastAsia="Calibri"/>
                <w:sz w:val="20"/>
                <w:lang w:val="fr-CA"/>
              </w:rPr>
            </w:pPr>
            <w:r w:rsidRPr="00163264">
              <w:rPr>
                <w:rFonts w:eastAsia="Calibri"/>
                <w:sz w:val="20"/>
                <w:lang w:val="fr-CA"/>
              </w:rPr>
              <w:t>(Juge Noël)</w:t>
            </w:r>
          </w:p>
          <w:p w:rsidR="007278E7" w:rsidRPr="00163264" w:rsidRDefault="007278E7" w:rsidP="00E2016D">
            <w:pPr>
              <w:jc w:val="both"/>
              <w:rPr>
                <w:rFonts w:eastAsia="Calibri"/>
                <w:sz w:val="20"/>
                <w:lang w:val="fr-CA"/>
              </w:rPr>
            </w:pPr>
            <w:r w:rsidRPr="00163264">
              <w:rPr>
                <w:rFonts w:eastAsia="Calibri"/>
                <w:sz w:val="20"/>
                <w:lang w:val="fr-CA"/>
              </w:rPr>
              <w:t>2012 FC 569</w:t>
            </w:r>
          </w:p>
          <w:p w:rsidR="007278E7" w:rsidRPr="00163264" w:rsidRDefault="007278E7" w:rsidP="00E2016D">
            <w:pPr>
              <w:jc w:val="both"/>
              <w:rPr>
                <w:rFonts w:eastAsia="Calibri"/>
                <w:sz w:val="20"/>
                <w:lang w:val="fr-CA"/>
              </w:rPr>
            </w:pPr>
          </w:p>
        </w:tc>
        <w:tc>
          <w:tcPr>
            <w:tcW w:w="243" w:type="pct"/>
          </w:tcPr>
          <w:p w:rsidR="007278E7" w:rsidRPr="00163264" w:rsidRDefault="007278E7" w:rsidP="00E2016D">
            <w:pPr>
              <w:jc w:val="both"/>
              <w:rPr>
                <w:rFonts w:eastAsia="Calibri"/>
                <w:sz w:val="20"/>
                <w:lang w:val="fr-CA"/>
              </w:rPr>
            </w:pPr>
          </w:p>
        </w:tc>
        <w:tc>
          <w:tcPr>
            <w:tcW w:w="2330" w:type="pct"/>
          </w:tcPr>
          <w:p w:rsidR="007278E7" w:rsidRPr="00163264" w:rsidRDefault="007278E7" w:rsidP="00E2016D">
            <w:pPr>
              <w:jc w:val="both"/>
              <w:rPr>
                <w:rFonts w:eastAsia="Calibri"/>
                <w:sz w:val="20"/>
                <w:lang w:val="fr-CA"/>
              </w:rPr>
            </w:pPr>
            <w:r w:rsidRPr="00163264">
              <w:rPr>
                <w:rFonts w:eastAsia="Calibri"/>
                <w:sz w:val="20"/>
                <w:lang w:val="fr-CA"/>
              </w:rPr>
              <w:t>Demande de contrôle judiciaire, rejetée</w:t>
            </w:r>
          </w:p>
          <w:p w:rsidR="007278E7" w:rsidRPr="00163264" w:rsidRDefault="007278E7" w:rsidP="00E2016D">
            <w:pPr>
              <w:jc w:val="both"/>
              <w:rPr>
                <w:rFonts w:eastAsia="Calibri"/>
                <w:sz w:val="20"/>
                <w:lang w:val="fr-CA"/>
              </w:rPr>
            </w:pPr>
          </w:p>
          <w:p w:rsidR="007278E7" w:rsidRPr="00163264" w:rsidRDefault="007278E7" w:rsidP="00E2016D">
            <w:pPr>
              <w:jc w:val="both"/>
              <w:rPr>
                <w:rFonts w:eastAsia="Calibri"/>
                <w:sz w:val="20"/>
                <w:lang w:val="fr-CA"/>
              </w:rPr>
            </w:pPr>
          </w:p>
        </w:tc>
      </w:tr>
      <w:tr w:rsidR="007278E7" w:rsidRPr="00163264" w:rsidTr="00E2016D">
        <w:tc>
          <w:tcPr>
            <w:tcW w:w="2427" w:type="pct"/>
          </w:tcPr>
          <w:p w:rsidR="007278E7" w:rsidRPr="00163264" w:rsidRDefault="007278E7" w:rsidP="00E2016D">
            <w:pPr>
              <w:jc w:val="both"/>
              <w:rPr>
                <w:rFonts w:eastAsia="Calibri"/>
                <w:sz w:val="20"/>
                <w:lang w:val="fr-CA"/>
              </w:rPr>
            </w:pPr>
            <w:r w:rsidRPr="00163264">
              <w:rPr>
                <w:rFonts w:eastAsia="Calibri"/>
                <w:sz w:val="20"/>
                <w:lang w:val="fr-CA"/>
              </w:rPr>
              <w:lastRenderedPageBreak/>
              <w:t>22 mars 2013</w:t>
            </w:r>
          </w:p>
          <w:p w:rsidR="007278E7" w:rsidRPr="00163264" w:rsidRDefault="007278E7" w:rsidP="00E2016D">
            <w:pPr>
              <w:jc w:val="both"/>
              <w:rPr>
                <w:rFonts w:eastAsia="Calibri"/>
                <w:sz w:val="20"/>
                <w:lang w:val="fr-CA"/>
              </w:rPr>
            </w:pPr>
            <w:r w:rsidRPr="00163264">
              <w:rPr>
                <w:rFonts w:eastAsia="Calibri"/>
                <w:sz w:val="20"/>
                <w:lang w:val="fr-CA"/>
              </w:rPr>
              <w:t xml:space="preserve">Cour d'appel fédérale </w:t>
            </w:r>
          </w:p>
          <w:p w:rsidR="007278E7" w:rsidRPr="00163264" w:rsidRDefault="007278E7" w:rsidP="00E2016D">
            <w:pPr>
              <w:jc w:val="both"/>
              <w:rPr>
                <w:rFonts w:eastAsia="Calibri"/>
                <w:sz w:val="20"/>
                <w:lang w:val="fr-CA"/>
              </w:rPr>
            </w:pPr>
            <w:r w:rsidRPr="00163264">
              <w:rPr>
                <w:rFonts w:eastAsia="Calibri"/>
                <w:sz w:val="20"/>
                <w:lang w:val="fr-CA"/>
              </w:rPr>
              <w:t>(Juges Evans, Dawson et Stratas)</w:t>
            </w:r>
          </w:p>
          <w:p w:rsidR="007278E7" w:rsidRPr="00163264" w:rsidRDefault="007278E7" w:rsidP="00E2016D">
            <w:pPr>
              <w:jc w:val="both"/>
              <w:rPr>
                <w:rFonts w:eastAsia="Calibri"/>
                <w:sz w:val="20"/>
                <w:lang w:val="fr-CA"/>
              </w:rPr>
            </w:pPr>
            <w:r w:rsidRPr="00163264">
              <w:rPr>
                <w:rFonts w:eastAsia="Calibri"/>
                <w:sz w:val="20"/>
                <w:lang w:val="fr-CA"/>
              </w:rPr>
              <w:t>2013 FCA 87</w:t>
            </w:r>
          </w:p>
          <w:p w:rsidR="007278E7" w:rsidRPr="00163264" w:rsidRDefault="007278E7" w:rsidP="00E2016D">
            <w:pPr>
              <w:jc w:val="both"/>
              <w:rPr>
                <w:rFonts w:eastAsia="Calibri"/>
                <w:sz w:val="20"/>
                <w:lang w:val="fr-CA"/>
              </w:rPr>
            </w:pPr>
          </w:p>
        </w:tc>
        <w:tc>
          <w:tcPr>
            <w:tcW w:w="243" w:type="pct"/>
          </w:tcPr>
          <w:p w:rsidR="007278E7" w:rsidRPr="00163264" w:rsidRDefault="007278E7" w:rsidP="00E2016D">
            <w:pPr>
              <w:jc w:val="both"/>
              <w:rPr>
                <w:rFonts w:eastAsia="Calibri"/>
                <w:sz w:val="20"/>
                <w:lang w:val="fr-CA"/>
              </w:rPr>
            </w:pPr>
          </w:p>
        </w:tc>
        <w:tc>
          <w:tcPr>
            <w:tcW w:w="2330" w:type="pct"/>
          </w:tcPr>
          <w:p w:rsidR="007278E7" w:rsidRPr="00163264" w:rsidRDefault="007278E7" w:rsidP="00E2016D">
            <w:pPr>
              <w:jc w:val="both"/>
              <w:rPr>
                <w:rFonts w:eastAsia="Calibri"/>
                <w:sz w:val="20"/>
                <w:lang w:val="fr-CA"/>
              </w:rPr>
            </w:pPr>
            <w:r w:rsidRPr="00163264">
              <w:rPr>
                <w:rFonts w:eastAsia="Calibri"/>
                <w:sz w:val="20"/>
                <w:lang w:val="fr-CA"/>
              </w:rPr>
              <w:t>Appel rejeté</w:t>
            </w:r>
          </w:p>
          <w:p w:rsidR="007278E7" w:rsidRPr="00163264" w:rsidRDefault="007278E7" w:rsidP="00E2016D">
            <w:pPr>
              <w:jc w:val="both"/>
              <w:rPr>
                <w:rFonts w:eastAsia="Calibri"/>
                <w:sz w:val="20"/>
                <w:lang w:val="fr-CA"/>
              </w:rPr>
            </w:pPr>
          </w:p>
        </w:tc>
      </w:tr>
      <w:tr w:rsidR="007278E7" w:rsidRPr="00163264" w:rsidTr="00E2016D">
        <w:tc>
          <w:tcPr>
            <w:tcW w:w="2427" w:type="pct"/>
          </w:tcPr>
          <w:p w:rsidR="007278E7" w:rsidRPr="00163264" w:rsidRDefault="007278E7" w:rsidP="00E2016D">
            <w:pPr>
              <w:jc w:val="both"/>
              <w:rPr>
                <w:rFonts w:eastAsia="Calibri"/>
                <w:sz w:val="20"/>
                <w:lang w:val="fr-CA"/>
              </w:rPr>
            </w:pPr>
            <w:r w:rsidRPr="00163264">
              <w:rPr>
                <w:rFonts w:eastAsia="Calibri"/>
                <w:sz w:val="20"/>
                <w:lang w:val="fr-CA"/>
              </w:rPr>
              <w:t>17 mai 2013</w:t>
            </w:r>
          </w:p>
          <w:p w:rsidR="007278E7" w:rsidRPr="00163264" w:rsidRDefault="007278E7" w:rsidP="00E2016D">
            <w:pPr>
              <w:jc w:val="both"/>
              <w:rPr>
                <w:rFonts w:eastAsia="Calibri"/>
                <w:sz w:val="20"/>
                <w:lang w:val="fr-CA"/>
              </w:rPr>
            </w:pPr>
            <w:r w:rsidRPr="00163264">
              <w:rPr>
                <w:rFonts w:eastAsia="Calibri"/>
                <w:sz w:val="20"/>
                <w:lang w:val="fr-CA"/>
              </w:rPr>
              <w:t>Cour suprême du Canada</w:t>
            </w:r>
          </w:p>
        </w:tc>
        <w:tc>
          <w:tcPr>
            <w:tcW w:w="243" w:type="pct"/>
          </w:tcPr>
          <w:p w:rsidR="007278E7" w:rsidRPr="00163264" w:rsidRDefault="007278E7" w:rsidP="00E2016D">
            <w:pPr>
              <w:jc w:val="both"/>
              <w:rPr>
                <w:rFonts w:eastAsia="Calibri"/>
                <w:sz w:val="20"/>
                <w:lang w:val="fr-CA"/>
              </w:rPr>
            </w:pPr>
          </w:p>
        </w:tc>
        <w:tc>
          <w:tcPr>
            <w:tcW w:w="2330" w:type="pct"/>
          </w:tcPr>
          <w:p w:rsidR="007278E7" w:rsidRPr="00163264" w:rsidRDefault="007278E7" w:rsidP="00E2016D">
            <w:pPr>
              <w:jc w:val="both"/>
              <w:rPr>
                <w:rFonts w:eastAsia="Calibri"/>
                <w:sz w:val="20"/>
                <w:lang w:val="fr-CA"/>
              </w:rPr>
            </w:pPr>
            <w:r w:rsidRPr="00163264">
              <w:rPr>
                <w:rFonts w:eastAsia="Calibri"/>
                <w:sz w:val="20"/>
                <w:lang w:val="fr-CA"/>
              </w:rPr>
              <w:t>Demande d'autorisation d'appel, déposée</w:t>
            </w:r>
          </w:p>
          <w:p w:rsidR="007278E7" w:rsidRPr="00163264" w:rsidRDefault="007278E7" w:rsidP="00E2016D">
            <w:pPr>
              <w:jc w:val="both"/>
              <w:rPr>
                <w:rFonts w:eastAsia="Calibri"/>
                <w:sz w:val="20"/>
                <w:lang w:val="fr-CA"/>
              </w:rPr>
            </w:pPr>
          </w:p>
        </w:tc>
      </w:tr>
    </w:tbl>
    <w:p w:rsidR="00965AE9" w:rsidRPr="00965AE9" w:rsidRDefault="00965AE9" w:rsidP="000E2959">
      <w:pPr>
        <w:rPr>
          <w:sz w:val="20"/>
          <w:szCs w:val="20"/>
          <w:lang w:val="fr-CA"/>
        </w:rPr>
      </w:pPr>
    </w:p>
    <w:p w:rsidR="00965AE9" w:rsidRDefault="00944C2E" w:rsidP="000E2959">
      <w:pPr>
        <w:rPr>
          <w:sz w:val="20"/>
          <w:szCs w:val="20"/>
          <w:lang w:val="fr-CA"/>
        </w:rPr>
      </w:pPr>
      <w:r>
        <w:rPr>
          <w:sz w:val="20"/>
          <w:szCs w:val="20"/>
          <w:lang w:val="fr-CA"/>
        </w:rPr>
        <w:pict>
          <v:rect id="_x0000_i1042" style="width:2in;height:1pt" o:hrpct="0" o:hralign="center" o:hrstd="t" o:hrnoshade="t" o:hr="t" fillcolor="black [3213]" stroked="f"/>
        </w:pict>
      </w:r>
    </w:p>
    <w:p w:rsidR="00965AE9" w:rsidRDefault="00965AE9" w:rsidP="000E2959">
      <w:pPr>
        <w:rPr>
          <w:sz w:val="20"/>
          <w:szCs w:val="20"/>
          <w:lang w:val="fr-CA"/>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74128" w:rsidRPr="00474128" w:rsidTr="00015B40">
        <w:trPr>
          <w:cantSplit/>
        </w:trPr>
        <w:tc>
          <w:tcPr>
            <w:tcW w:w="1458" w:type="dxa"/>
          </w:tcPr>
          <w:p w:rsidR="00474128" w:rsidRPr="00474128" w:rsidRDefault="00474128" w:rsidP="00474128">
            <w:pPr>
              <w:rPr>
                <w:sz w:val="20"/>
              </w:rPr>
            </w:pPr>
            <w:r w:rsidRPr="00474128">
              <w:rPr>
                <w:b/>
                <w:sz w:val="20"/>
                <w:lang w:val="fr-CA"/>
              </w:rPr>
              <w:t>35768</w:t>
            </w:r>
          </w:p>
          <w:p w:rsidR="00474128" w:rsidRPr="00474128" w:rsidRDefault="00474128" w:rsidP="00474128">
            <w:pPr>
              <w:rPr>
                <w:b/>
                <w:sz w:val="20"/>
                <w:lang w:val="fr-CA"/>
              </w:rPr>
            </w:pPr>
          </w:p>
        </w:tc>
        <w:tc>
          <w:tcPr>
            <w:tcW w:w="8118" w:type="dxa"/>
          </w:tcPr>
          <w:p w:rsidR="00474128" w:rsidRPr="00474128" w:rsidRDefault="00474128" w:rsidP="00434F44">
            <w:pPr>
              <w:jc w:val="both"/>
              <w:rPr>
                <w:sz w:val="20"/>
              </w:rPr>
            </w:pPr>
            <w:r w:rsidRPr="00474128">
              <w:rPr>
                <w:b/>
                <w:sz w:val="20"/>
                <w:u w:val="single"/>
              </w:rPr>
              <w:t>Jasvir Kaur Sahota v. Canada Border Services Agency</w:t>
            </w:r>
            <w:r w:rsidR="00434F44">
              <w:rPr>
                <w:b/>
                <w:sz w:val="20"/>
                <w:u w:val="single"/>
              </w:rPr>
              <w:t xml:space="preserve"> and</w:t>
            </w:r>
            <w:r w:rsidRPr="00474128">
              <w:rPr>
                <w:b/>
                <w:sz w:val="20"/>
                <w:u w:val="single"/>
              </w:rPr>
              <w:t xml:space="preserve"> Attorney General of Canada</w:t>
            </w:r>
            <w:r w:rsidRPr="00474128">
              <w:rPr>
                <w:sz w:val="20"/>
              </w:rPr>
              <w:t xml:space="preserve"> (F</w:t>
            </w:r>
            <w:r w:rsidR="00434F44">
              <w:rPr>
                <w:sz w:val="20"/>
              </w:rPr>
              <w:t>.</w:t>
            </w:r>
            <w:r w:rsidRPr="00474128">
              <w:rPr>
                <w:sz w:val="20"/>
              </w:rPr>
              <w:t>C</w:t>
            </w:r>
            <w:r w:rsidR="00434F44">
              <w:rPr>
                <w:sz w:val="20"/>
              </w:rPr>
              <w:t>.</w:t>
            </w:r>
            <w:r w:rsidRPr="00474128">
              <w:rPr>
                <w:sz w:val="20"/>
              </w:rPr>
              <w:t>) (Civil) (By Leave)</w:t>
            </w:r>
          </w:p>
          <w:p w:rsidR="00474128" w:rsidRPr="00474128" w:rsidRDefault="00474128" w:rsidP="00434F44">
            <w:pPr>
              <w:jc w:val="both"/>
              <w:rPr>
                <w:sz w:val="20"/>
              </w:rPr>
            </w:pPr>
          </w:p>
        </w:tc>
      </w:tr>
      <w:tr w:rsidR="00474128" w:rsidRPr="00474128" w:rsidTr="00015B40">
        <w:trPr>
          <w:cantSplit/>
        </w:trPr>
        <w:tc>
          <w:tcPr>
            <w:tcW w:w="1458" w:type="dxa"/>
          </w:tcPr>
          <w:p w:rsidR="00474128" w:rsidRPr="00474128" w:rsidRDefault="00474128" w:rsidP="00474128">
            <w:pPr>
              <w:rPr>
                <w:sz w:val="20"/>
              </w:rPr>
            </w:pPr>
            <w:r w:rsidRPr="00474128">
              <w:rPr>
                <w:sz w:val="20"/>
              </w:rPr>
              <w:t>Coram :</w:t>
            </w:r>
          </w:p>
        </w:tc>
        <w:tc>
          <w:tcPr>
            <w:tcW w:w="8118" w:type="dxa"/>
          </w:tcPr>
          <w:p w:rsidR="00474128" w:rsidRPr="00474128" w:rsidRDefault="00474128" w:rsidP="00474128">
            <w:pPr>
              <w:rPr>
                <w:sz w:val="20"/>
              </w:rPr>
            </w:pPr>
            <w:r w:rsidRPr="00474128">
              <w:rPr>
                <w:sz w:val="20"/>
                <w:u w:val="single"/>
              </w:rPr>
              <w:t>Abella, Rothstein and Moldaver JJ.</w:t>
            </w:r>
          </w:p>
          <w:p w:rsidR="00474128" w:rsidRPr="00474128" w:rsidRDefault="00474128" w:rsidP="00474128">
            <w:pPr>
              <w:rPr>
                <w:sz w:val="20"/>
                <w:u w:val="single"/>
              </w:rPr>
            </w:pPr>
          </w:p>
        </w:tc>
      </w:tr>
      <w:tr w:rsidR="00474128" w:rsidRPr="00944C2E" w:rsidTr="00015B40">
        <w:trPr>
          <w:cantSplit/>
        </w:trPr>
        <w:tc>
          <w:tcPr>
            <w:tcW w:w="9576" w:type="dxa"/>
            <w:gridSpan w:val="2"/>
          </w:tcPr>
          <w:p w:rsidR="00474128" w:rsidRPr="00474128" w:rsidRDefault="00474128" w:rsidP="00474128">
            <w:pPr>
              <w:ind w:firstLine="720"/>
              <w:jc w:val="both"/>
              <w:rPr>
                <w:sz w:val="20"/>
              </w:rPr>
            </w:pPr>
            <w:r w:rsidRPr="00474128">
              <w:rPr>
                <w:sz w:val="20"/>
              </w:rPr>
              <w:t>The application for leave to appeal from the judgment of the Federal Court of Appeal, Number A-70-13, 2014 FCA 39, dated February 11, 2014, is dismissed with costs.</w:t>
            </w:r>
          </w:p>
          <w:p w:rsidR="00474128" w:rsidRPr="00474128" w:rsidRDefault="00474128" w:rsidP="00474128">
            <w:pPr>
              <w:jc w:val="both"/>
              <w:rPr>
                <w:sz w:val="20"/>
              </w:rPr>
            </w:pPr>
          </w:p>
          <w:p w:rsidR="00474128" w:rsidRPr="00474128" w:rsidRDefault="00474128" w:rsidP="00474128">
            <w:pPr>
              <w:ind w:firstLine="720"/>
              <w:jc w:val="both"/>
              <w:rPr>
                <w:sz w:val="20"/>
                <w:lang w:val="fr-CA"/>
              </w:rPr>
            </w:pPr>
            <w:r w:rsidRPr="00474128">
              <w:rPr>
                <w:sz w:val="20"/>
                <w:lang w:val="fr-CA"/>
              </w:rPr>
              <w:t>La demande d’autorisation d’appel de l’arrêt de la Cour d’appel fédérale, numéro A-70-13, 2014 CAF 39, daté du 11 février 2014, est rejetée avec dépens.</w:t>
            </w:r>
          </w:p>
        </w:tc>
      </w:tr>
    </w:tbl>
    <w:p w:rsidR="00965AE9" w:rsidRPr="00965AE9" w:rsidRDefault="00965AE9" w:rsidP="00965AE9">
      <w:pPr>
        <w:rPr>
          <w:sz w:val="20"/>
          <w:szCs w:val="20"/>
          <w:lang w:val="fr-CA"/>
        </w:rPr>
      </w:pPr>
    </w:p>
    <w:p w:rsidR="00965AE9" w:rsidRPr="001B157C" w:rsidRDefault="00965AE9" w:rsidP="00965AE9">
      <w:pPr>
        <w:rPr>
          <w:sz w:val="20"/>
          <w:szCs w:val="20"/>
          <w:u w:val="single"/>
        </w:rPr>
      </w:pPr>
      <w:r w:rsidRPr="001B157C">
        <w:rPr>
          <w:sz w:val="20"/>
          <w:szCs w:val="20"/>
          <w:u w:val="single"/>
        </w:rPr>
        <w:t>CASE SUMMARY</w:t>
      </w:r>
    </w:p>
    <w:p w:rsidR="00965AE9" w:rsidRDefault="00965AE9" w:rsidP="00965AE9">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278E7" w:rsidRPr="00163264" w:rsidTr="00E2016D">
        <w:tc>
          <w:tcPr>
            <w:tcW w:w="5000" w:type="pct"/>
            <w:gridSpan w:val="3"/>
          </w:tcPr>
          <w:p w:rsidR="007278E7" w:rsidRPr="00163264" w:rsidRDefault="007278E7" w:rsidP="00E2016D">
            <w:pPr>
              <w:jc w:val="both"/>
              <w:rPr>
                <w:rFonts w:eastAsia="Calibri"/>
                <w:sz w:val="20"/>
              </w:rPr>
            </w:pPr>
            <w:r w:rsidRPr="00163264">
              <w:rPr>
                <w:rFonts w:eastAsia="Calibri"/>
                <w:sz w:val="20"/>
              </w:rPr>
              <w:t xml:space="preserve">Legislation – Interpretation – Customs – Shipping – Whether a shipping container was improperly examined by the respondent Canada Boarder Services Agency (“CBSA”) after it had been released to the importer – Whether the container had been released – Whether the Federal Court considered irrelevant factors or failed to consider relevant factors – Proper interpretation of “suspects on reasonable grounds” under paragraph 99(1)(f) of the </w:t>
            </w:r>
            <w:r w:rsidRPr="00163264">
              <w:rPr>
                <w:rFonts w:eastAsia="Calibri"/>
                <w:i/>
                <w:sz w:val="20"/>
              </w:rPr>
              <w:t>Customs Act</w:t>
            </w:r>
            <w:r w:rsidRPr="00163264">
              <w:rPr>
                <w:rFonts w:eastAsia="Calibri"/>
                <w:sz w:val="20"/>
              </w:rPr>
              <w:t>, R.S.C. 1985, c. 1.</w:t>
            </w:r>
          </w:p>
        </w:tc>
      </w:tr>
      <w:tr w:rsidR="007278E7" w:rsidRPr="00163264" w:rsidTr="00E2016D">
        <w:tc>
          <w:tcPr>
            <w:tcW w:w="5000" w:type="pct"/>
            <w:gridSpan w:val="3"/>
          </w:tcPr>
          <w:p w:rsidR="007278E7" w:rsidRPr="00163264" w:rsidRDefault="007278E7" w:rsidP="00E2016D">
            <w:pPr>
              <w:jc w:val="both"/>
              <w:rPr>
                <w:rFonts w:eastAsia="Calibri"/>
                <w:sz w:val="20"/>
              </w:rPr>
            </w:pPr>
          </w:p>
        </w:tc>
      </w:tr>
      <w:tr w:rsidR="007278E7" w:rsidRPr="00163264" w:rsidTr="00E2016D">
        <w:tc>
          <w:tcPr>
            <w:tcW w:w="5000" w:type="pct"/>
            <w:gridSpan w:val="3"/>
          </w:tcPr>
          <w:p w:rsidR="007278E7" w:rsidRPr="00163264" w:rsidRDefault="007278E7" w:rsidP="00E2016D">
            <w:pPr>
              <w:jc w:val="both"/>
              <w:rPr>
                <w:rFonts w:eastAsia="Calibri"/>
                <w:sz w:val="20"/>
              </w:rPr>
            </w:pPr>
            <w:r w:rsidRPr="00163264">
              <w:rPr>
                <w:rFonts w:eastAsia="Calibri"/>
                <w:sz w:val="20"/>
              </w:rPr>
              <w:t xml:space="preserve">The applicant purchased granite floor tiles from an exporter in India. Before the container with the tiles arrived in Canada, it was targeted for inspection by a CBSA officer because the shipment was by a first-time exporter for a first-time importer and contained wood packaging known to carry pests in contravention of the </w:t>
            </w:r>
            <w:r w:rsidRPr="00163264">
              <w:rPr>
                <w:rFonts w:eastAsia="Calibri"/>
                <w:i/>
                <w:sz w:val="20"/>
              </w:rPr>
              <w:t>Plant Protection Act</w:t>
            </w:r>
            <w:r w:rsidRPr="00163264">
              <w:rPr>
                <w:rFonts w:eastAsia="Calibri"/>
                <w:sz w:val="20"/>
              </w:rPr>
              <w:t>, S.C. 1990, c. 22.  The container arrived at the Deltaport on May 6, 2010, and it arrived at the container examination facility in Burnaby on May 6</w:t>
            </w:r>
            <w:r w:rsidRPr="00163264">
              <w:rPr>
                <w:rFonts w:eastAsia="Calibri"/>
                <w:sz w:val="20"/>
                <w:vertAlign w:val="superscript"/>
              </w:rPr>
              <w:t>th</w:t>
            </w:r>
            <w:r w:rsidRPr="00163264">
              <w:rPr>
                <w:rFonts w:eastAsia="Calibri"/>
                <w:sz w:val="20"/>
              </w:rPr>
              <w:t xml:space="preserve"> or 7</w:t>
            </w:r>
            <w:r w:rsidRPr="00163264">
              <w:rPr>
                <w:rFonts w:eastAsia="Calibri"/>
                <w:sz w:val="20"/>
                <w:vertAlign w:val="superscript"/>
              </w:rPr>
              <w:t>th</w:t>
            </w:r>
            <w:r w:rsidRPr="00163264">
              <w:rPr>
                <w:rFonts w:eastAsia="Calibri"/>
                <w:sz w:val="20"/>
              </w:rPr>
              <w:t>.  On May 7</w:t>
            </w:r>
            <w:r w:rsidRPr="00163264">
              <w:rPr>
                <w:rFonts w:eastAsia="Calibri"/>
                <w:sz w:val="20"/>
                <w:vertAlign w:val="superscript"/>
              </w:rPr>
              <w:t>th</w:t>
            </w:r>
            <w:r w:rsidRPr="00163264">
              <w:rPr>
                <w:rFonts w:eastAsia="Calibri"/>
                <w:sz w:val="20"/>
              </w:rPr>
              <w:t xml:space="preserve"> the applicant’s agent paid the duties and taxes payable and obtained a Casual Goods and Accounting Document and an Arrival Notice stamped “Released.”  The applicant arranged for a transportation company to move the container,  however it could not be picked up as it was no longer at the Deltaport.  When the container was inspected on May 10</w:t>
            </w:r>
            <w:r w:rsidRPr="00163264">
              <w:rPr>
                <w:rFonts w:eastAsia="Calibri"/>
                <w:sz w:val="20"/>
                <w:vertAlign w:val="superscript"/>
              </w:rPr>
              <w:t>th</w:t>
            </w:r>
            <w:r w:rsidRPr="00163264">
              <w:rPr>
                <w:rFonts w:eastAsia="Calibri"/>
                <w:sz w:val="20"/>
              </w:rPr>
              <w:t xml:space="preserve">, 12 live larva were extracted from a wood pallet.  A Notice of Requirement to Treat or Process and a Notice Pursuant to the </w:t>
            </w:r>
            <w:r w:rsidRPr="00163264">
              <w:rPr>
                <w:rFonts w:eastAsia="Calibri"/>
                <w:i/>
                <w:sz w:val="20"/>
              </w:rPr>
              <w:t>Plant Protection Act</w:t>
            </w:r>
            <w:r w:rsidRPr="00163264">
              <w:rPr>
                <w:rFonts w:eastAsia="Calibri"/>
                <w:sz w:val="20"/>
              </w:rPr>
              <w:t xml:space="preserve"> were sent to the applicant advising that the container had to be re-fumigated and removed from Canada.  She paid for the re-fumigation and appealed the CBSA decision requiring removal of the container. She later brought an action in damages against the respondents, arguing that the container was examined after it had been released, and that the CBSA did not have the reasonable grounds necessary to justify an examination after release pursuant to s. 99(1)(f) of the </w:t>
            </w:r>
            <w:r w:rsidRPr="00163264">
              <w:rPr>
                <w:rFonts w:eastAsia="Calibri"/>
                <w:i/>
                <w:sz w:val="20"/>
              </w:rPr>
              <w:t>Customs Act</w:t>
            </w:r>
            <w:r w:rsidRPr="00163264">
              <w:rPr>
                <w:rFonts w:eastAsia="Calibri"/>
                <w:sz w:val="20"/>
              </w:rPr>
              <w:t>.</w:t>
            </w:r>
          </w:p>
          <w:p w:rsidR="007278E7" w:rsidRPr="00163264" w:rsidRDefault="007278E7" w:rsidP="00E2016D">
            <w:pPr>
              <w:jc w:val="both"/>
              <w:rPr>
                <w:rFonts w:eastAsia="Calibri"/>
                <w:sz w:val="20"/>
              </w:rPr>
            </w:pPr>
          </w:p>
          <w:p w:rsidR="007278E7" w:rsidRPr="00163264" w:rsidRDefault="007278E7" w:rsidP="00E2016D">
            <w:pPr>
              <w:jc w:val="both"/>
              <w:rPr>
                <w:rFonts w:eastAsia="Calibri"/>
                <w:sz w:val="20"/>
              </w:rPr>
            </w:pPr>
            <w:r w:rsidRPr="00163264">
              <w:rPr>
                <w:rFonts w:eastAsia="Calibri"/>
                <w:sz w:val="20"/>
              </w:rPr>
              <w:t xml:space="preserve">The Federal Court held that goods are not “released” under the </w:t>
            </w:r>
            <w:r w:rsidRPr="00163264">
              <w:rPr>
                <w:rFonts w:eastAsia="Calibri"/>
                <w:i/>
                <w:sz w:val="20"/>
              </w:rPr>
              <w:t>Customs Act</w:t>
            </w:r>
            <w:r w:rsidRPr="00163264">
              <w:rPr>
                <w:rFonts w:eastAsia="Calibri"/>
                <w:sz w:val="20"/>
              </w:rPr>
              <w:t xml:space="preserve"> until their removal from the relevant customs facility is authorized.  At the time the applicant obtained documents stamped “released”, the container was still awaiting inspection and its removal had not been authorized.  The Court dismissed the action.  The Federal Court of Appeal held that CBSA had reasonable grounds to suspect that the container could violate federal legislation and dismissed the appeal.</w:t>
            </w:r>
          </w:p>
          <w:p w:rsidR="007278E7" w:rsidRPr="00163264" w:rsidRDefault="007278E7" w:rsidP="00E2016D">
            <w:pPr>
              <w:jc w:val="both"/>
              <w:rPr>
                <w:rFonts w:eastAsia="Calibri"/>
                <w:sz w:val="20"/>
              </w:rPr>
            </w:pPr>
          </w:p>
        </w:tc>
      </w:tr>
      <w:tr w:rsidR="007278E7" w:rsidRPr="00163264" w:rsidTr="00434F44">
        <w:trPr>
          <w:cantSplit/>
        </w:trPr>
        <w:tc>
          <w:tcPr>
            <w:tcW w:w="2427" w:type="pct"/>
          </w:tcPr>
          <w:p w:rsidR="007278E7" w:rsidRPr="00163264" w:rsidRDefault="007278E7" w:rsidP="00E2016D">
            <w:pPr>
              <w:jc w:val="both"/>
              <w:rPr>
                <w:rFonts w:eastAsia="Calibri"/>
                <w:sz w:val="20"/>
              </w:rPr>
            </w:pPr>
            <w:r w:rsidRPr="00163264">
              <w:rPr>
                <w:rFonts w:eastAsia="Calibri"/>
                <w:sz w:val="20"/>
              </w:rPr>
              <w:lastRenderedPageBreak/>
              <w:t>January 25, 2013</w:t>
            </w:r>
          </w:p>
          <w:p w:rsidR="007278E7" w:rsidRPr="00163264" w:rsidRDefault="007278E7" w:rsidP="00E2016D">
            <w:pPr>
              <w:jc w:val="both"/>
              <w:rPr>
                <w:rFonts w:eastAsia="Calibri"/>
                <w:sz w:val="20"/>
              </w:rPr>
            </w:pPr>
            <w:r w:rsidRPr="00163264">
              <w:rPr>
                <w:rFonts w:eastAsia="Calibri"/>
                <w:sz w:val="20"/>
              </w:rPr>
              <w:t>Federal Court</w:t>
            </w:r>
          </w:p>
          <w:p w:rsidR="007278E7" w:rsidRPr="00163264" w:rsidRDefault="007278E7" w:rsidP="00E2016D">
            <w:pPr>
              <w:jc w:val="both"/>
              <w:rPr>
                <w:rFonts w:eastAsia="Calibri"/>
                <w:sz w:val="20"/>
              </w:rPr>
            </w:pPr>
            <w:r w:rsidRPr="00163264">
              <w:rPr>
                <w:rFonts w:eastAsia="Calibri"/>
                <w:sz w:val="20"/>
              </w:rPr>
              <w:t>(Hansen Dolores)</w:t>
            </w:r>
          </w:p>
          <w:p w:rsidR="007278E7" w:rsidRPr="00163264" w:rsidRDefault="007278E7" w:rsidP="00E2016D">
            <w:pPr>
              <w:jc w:val="both"/>
              <w:rPr>
                <w:rFonts w:eastAsia="Calibri"/>
                <w:sz w:val="20"/>
              </w:rPr>
            </w:pPr>
          </w:p>
        </w:tc>
        <w:tc>
          <w:tcPr>
            <w:tcW w:w="243" w:type="pct"/>
          </w:tcPr>
          <w:p w:rsidR="007278E7" w:rsidRPr="00163264" w:rsidRDefault="007278E7" w:rsidP="00E2016D">
            <w:pPr>
              <w:jc w:val="both"/>
              <w:rPr>
                <w:rFonts w:eastAsia="Calibri"/>
                <w:sz w:val="20"/>
              </w:rPr>
            </w:pPr>
          </w:p>
        </w:tc>
        <w:tc>
          <w:tcPr>
            <w:tcW w:w="2330" w:type="pct"/>
          </w:tcPr>
          <w:p w:rsidR="007278E7" w:rsidRPr="00163264" w:rsidRDefault="007278E7" w:rsidP="00E2016D">
            <w:pPr>
              <w:jc w:val="both"/>
              <w:rPr>
                <w:rFonts w:eastAsia="Calibri"/>
                <w:sz w:val="20"/>
              </w:rPr>
            </w:pPr>
            <w:r w:rsidRPr="00163264">
              <w:rPr>
                <w:rFonts w:eastAsia="Calibri"/>
                <w:sz w:val="20"/>
              </w:rPr>
              <w:t>Applicant’s action for damages dismissed</w:t>
            </w:r>
          </w:p>
          <w:p w:rsidR="007278E7" w:rsidRPr="00163264" w:rsidRDefault="007278E7" w:rsidP="00E2016D">
            <w:pPr>
              <w:jc w:val="both"/>
              <w:rPr>
                <w:rFonts w:eastAsia="Calibri"/>
                <w:sz w:val="20"/>
              </w:rPr>
            </w:pPr>
          </w:p>
        </w:tc>
      </w:tr>
      <w:tr w:rsidR="007278E7" w:rsidRPr="00163264" w:rsidTr="00434F44">
        <w:trPr>
          <w:cantSplit/>
        </w:trPr>
        <w:tc>
          <w:tcPr>
            <w:tcW w:w="2427" w:type="pct"/>
          </w:tcPr>
          <w:p w:rsidR="007278E7" w:rsidRPr="00163264" w:rsidRDefault="007278E7" w:rsidP="00E2016D">
            <w:pPr>
              <w:jc w:val="both"/>
              <w:rPr>
                <w:rFonts w:eastAsia="Calibri"/>
                <w:sz w:val="20"/>
              </w:rPr>
            </w:pPr>
            <w:r w:rsidRPr="00163264">
              <w:rPr>
                <w:rFonts w:eastAsia="Calibri"/>
                <w:sz w:val="20"/>
              </w:rPr>
              <w:t>February 11, 2014</w:t>
            </w:r>
          </w:p>
          <w:p w:rsidR="007278E7" w:rsidRPr="00163264" w:rsidRDefault="007278E7" w:rsidP="00E2016D">
            <w:pPr>
              <w:jc w:val="both"/>
              <w:rPr>
                <w:rFonts w:eastAsia="Calibri"/>
                <w:sz w:val="20"/>
              </w:rPr>
            </w:pPr>
            <w:r w:rsidRPr="00163264">
              <w:rPr>
                <w:rFonts w:eastAsia="Calibri"/>
                <w:sz w:val="20"/>
              </w:rPr>
              <w:t>Federal Court of Appeal</w:t>
            </w:r>
          </w:p>
          <w:p w:rsidR="007278E7" w:rsidRPr="00163264" w:rsidRDefault="007278E7" w:rsidP="00E2016D">
            <w:pPr>
              <w:jc w:val="both"/>
              <w:rPr>
                <w:rFonts w:eastAsia="Calibri"/>
                <w:sz w:val="20"/>
              </w:rPr>
            </w:pPr>
            <w:r w:rsidRPr="00163264">
              <w:rPr>
                <w:rFonts w:eastAsia="Calibri"/>
                <w:sz w:val="20"/>
              </w:rPr>
              <w:t>(Noël, Mainville and Webb JJ.A.)</w:t>
            </w:r>
          </w:p>
          <w:p w:rsidR="007278E7" w:rsidRPr="00163264" w:rsidRDefault="00944C2E" w:rsidP="00E2016D">
            <w:pPr>
              <w:jc w:val="both"/>
              <w:rPr>
                <w:rFonts w:eastAsia="Calibri"/>
                <w:sz w:val="20"/>
              </w:rPr>
            </w:pPr>
            <w:hyperlink r:id="rId24" w:history="1">
              <w:r w:rsidR="007278E7" w:rsidRPr="00163264">
                <w:rPr>
                  <w:rFonts w:eastAsia="Calibri"/>
                  <w:color w:val="0000FF"/>
                  <w:sz w:val="20"/>
                  <w:u w:val="single"/>
                </w:rPr>
                <w:t>2014 FCA 39</w:t>
              </w:r>
            </w:hyperlink>
            <w:r w:rsidR="007278E7" w:rsidRPr="00163264">
              <w:rPr>
                <w:rFonts w:eastAsia="Calibri"/>
                <w:sz w:val="20"/>
              </w:rPr>
              <w:t>; A-70-13</w:t>
            </w:r>
          </w:p>
          <w:p w:rsidR="007278E7" w:rsidRPr="00163264" w:rsidRDefault="007278E7" w:rsidP="00E2016D">
            <w:pPr>
              <w:jc w:val="both"/>
              <w:rPr>
                <w:rFonts w:eastAsia="Calibri"/>
                <w:sz w:val="20"/>
              </w:rPr>
            </w:pPr>
          </w:p>
        </w:tc>
        <w:tc>
          <w:tcPr>
            <w:tcW w:w="243" w:type="pct"/>
          </w:tcPr>
          <w:p w:rsidR="007278E7" w:rsidRPr="00163264" w:rsidRDefault="007278E7" w:rsidP="00E2016D">
            <w:pPr>
              <w:jc w:val="both"/>
              <w:rPr>
                <w:rFonts w:eastAsia="Calibri"/>
                <w:sz w:val="20"/>
              </w:rPr>
            </w:pPr>
          </w:p>
        </w:tc>
        <w:tc>
          <w:tcPr>
            <w:tcW w:w="2330" w:type="pct"/>
          </w:tcPr>
          <w:p w:rsidR="007278E7" w:rsidRPr="00163264" w:rsidRDefault="007278E7" w:rsidP="00E2016D">
            <w:pPr>
              <w:jc w:val="both"/>
              <w:rPr>
                <w:rFonts w:eastAsia="Calibri"/>
                <w:sz w:val="20"/>
              </w:rPr>
            </w:pPr>
            <w:r w:rsidRPr="00163264">
              <w:rPr>
                <w:rFonts w:eastAsia="Calibri"/>
                <w:sz w:val="20"/>
              </w:rPr>
              <w:t>Appeal dismissed</w:t>
            </w:r>
          </w:p>
          <w:p w:rsidR="007278E7" w:rsidRPr="00163264" w:rsidRDefault="007278E7" w:rsidP="00E2016D">
            <w:pPr>
              <w:jc w:val="both"/>
              <w:rPr>
                <w:rFonts w:eastAsia="Calibri"/>
                <w:sz w:val="20"/>
              </w:rPr>
            </w:pPr>
          </w:p>
        </w:tc>
      </w:tr>
      <w:tr w:rsidR="007278E7" w:rsidRPr="00163264" w:rsidTr="00434F44">
        <w:trPr>
          <w:cantSplit/>
        </w:trPr>
        <w:tc>
          <w:tcPr>
            <w:tcW w:w="2427" w:type="pct"/>
          </w:tcPr>
          <w:p w:rsidR="007278E7" w:rsidRPr="00163264" w:rsidRDefault="007278E7" w:rsidP="00E2016D">
            <w:pPr>
              <w:jc w:val="both"/>
              <w:rPr>
                <w:rFonts w:eastAsia="Calibri"/>
                <w:sz w:val="20"/>
              </w:rPr>
            </w:pPr>
            <w:r w:rsidRPr="00163264">
              <w:rPr>
                <w:rFonts w:eastAsia="Calibri"/>
                <w:sz w:val="20"/>
              </w:rPr>
              <w:t>March 17, 2014</w:t>
            </w:r>
          </w:p>
          <w:p w:rsidR="007278E7" w:rsidRPr="00163264" w:rsidRDefault="007278E7" w:rsidP="00E2016D">
            <w:pPr>
              <w:jc w:val="both"/>
              <w:rPr>
                <w:rFonts w:eastAsia="Calibri"/>
                <w:sz w:val="20"/>
              </w:rPr>
            </w:pPr>
            <w:r w:rsidRPr="00163264">
              <w:rPr>
                <w:rFonts w:eastAsia="Calibri"/>
                <w:sz w:val="20"/>
              </w:rPr>
              <w:t>Supreme Court of Canada</w:t>
            </w:r>
          </w:p>
        </w:tc>
        <w:tc>
          <w:tcPr>
            <w:tcW w:w="243" w:type="pct"/>
          </w:tcPr>
          <w:p w:rsidR="007278E7" w:rsidRPr="00163264" w:rsidRDefault="007278E7" w:rsidP="00E2016D">
            <w:pPr>
              <w:jc w:val="both"/>
              <w:rPr>
                <w:rFonts w:eastAsia="Calibri"/>
                <w:sz w:val="20"/>
              </w:rPr>
            </w:pPr>
          </w:p>
        </w:tc>
        <w:tc>
          <w:tcPr>
            <w:tcW w:w="2330" w:type="pct"/>
          </w:tcPr>
          <w:p w:rsidR="007278E7" w:rsidRPr="00163264" w:rsidRDefault="007278E7" w:rsidP="00E2016D">
            <w:pPr>
              <w:jc w:val="both"/>
              <w:rPr>
                <w:rFonts w:eastAsia="Calibri"/>
                <w:sz w:val="20"/>
              </w:rPr>
            </w:pPr>
            <w:r w:rsidRPr="00163264">
              <w:rPr>
                <w:rFonts w:eastAsia="Calibri"/>
                <w:sz w:val="20"/>
              </w:rPr>
              <w:t>Application for leave to appeal filed</w:t>
            </w:r>
          </w:p>
        </w:tc>
      </w:tr>
    </w:tbl>
    <w:p w:rsidR="00965AE9" w:rsidRDefault="00965AE9" w:rsidP="00965AE9">
      <w:pPr>
        <w:rPr>
          <w:sz w:val="20"/>
          <w:szCs w:val="20"/>
        </w:rPr>
      </w:pPr>
    </w:p>
    <w:p w:rsidR="00965AE9" w:rsidRPr="00C50A5C" w:rsidRDefault="00944C2E" w:rsidP="00965AE9">
      <w:pPr>
        <w:rPr>
          <w:sz w:val="20"/>
          <w:szCs w:val="20"/>
        </w:rPr>
      </w:pPr>
      <w:r>
        <w:rPr>
          <w:sz w:val="20"/>
          <w:szCs w:val="20"/>
          <w:lang w:val="fr-CA"/>
        </w:rPr>
        <w:pict>
          <v:rect id="_x0000_i1043" style="width:2in;height:1pt" o:hrpct="0" o:hralign="center" o:hrstd="t" o:hrnoshade="t" o:hr="t" fillcolor="black [3213]" stroked="f"/>
        </w:pict>
      </w:r>
    </w:p>
    <w:p w:rsidR="00965AE9" w:rsidRDefault="00965AE9" w:rsidP="00965AE9">
      <w:pPr>
        <w:rPr>
          <w:sz w:val="20"/>
          <w:szCs w:val="20"/>
        </w:rPr>
      </w:pPr>
    </w:p>
    <w:p w:rsidR="00965AE9" w:rsidRPr="001B157C" w:rsidRDefault="00965AE9" w:rsidP="00965AE9">
      <w:pPr>
        <w:rPr>
          <w:sz w:val="20"/>
          <w:szCs w:val="20"/>
          <w:u w:val="single"/>
          <w:lang w:val="fr-CA"/>
        </w:rPr>
      </w:pPr>
      <w:r w:rsidRPr="001B157C">
        <w:rPr>
          <w:sz w:val="20"/>
          <w:szCs w:val="20"/>
          <w:u w:val="single"/>
          <w:lang w:val="fr-CA"/>
        </w:rPr>
        <w:t>RÉSUMÉ DE L’AFFAIRE</w:t>
      </w:r>
    </w:p>
    <w:p w:rsidR="00965AE9" w:rsidRDefault="00965AE9" w:rsidP="00965AE9">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278E7" w:rsidRPr="00944C2E" w:rsidTr="00E2016D">
        <w:tc>
          <w:tcPr>
            <w:tcW w:w="5000" w:type="pct"/>
            <w:gridSpan w:val="3"/>
          </w:tcPr>
          <w:p w:rsidR="007278E7" w:rsidRPr="00163264" w:rsidRDefault="007278E7" w:rsidP="00E2016D">
            <w:pPr>
              <w:jc w:val="both"/>
              <w:rPr>
                <w:rFonts w:eastAsia="Calibri"/>
                <w:sz w:val="20"/>
                <w:lang w:val="fr-CA"/>
              </w:rPr>
            </w:pPr>
            <w:r w:rsidRPr="00163264">
              <w:rPr>
                <w:rFonts w:eastAsia="Calibri"/>
                <w:sz w:val="20"/>
                <w:lang w:val="fr-CA"/>
              </w:rPr>
              <w:t>Législation – Interprétation – Douanes – Transport maritime – L’Agence des services frontaliers du Canada (« ASFC ») intimée a-t-elle mal inspecté un conteneur maritime après l’avoir dédouané en faveur de l’importatrice? – Le conteneur avait-il été dédouané? – La Cour fédérale a-t-elle pris en considération des facteurs non pertinents ou omis de tenir compte de facteurs pertinents? – Juste interprétation de l’expression « soupçonne, pour des motifs raisonnables » qui figure à l’alinéa 99(1)</w:t>
            </w:r>
            <w:r w:rsidRPr="00163264">
              <w:rPr>
                <w:rFonts w:eastAsia="Calibri"/>
                <w:i/>
                <w:sz w:val="20"/>
                <w:lang w:val="fr-CA"/>
              </w:rPr>
              <w:t>f</w:t>
            </w:r>
            <w:r w:rsidRPr="00163264">
              <w:rPr>
                <w:rFonts w:eastAsia="Calibri"/>
                <w:sz w:val="20"/>
                <w:lang w:val="fr-CA"/>
              </w:rPr>
              <w:t xml:space="preserve">) de la </w:t>
            </w:r>
            <w:r w:rsidRPr="00163264">
              <w:rPr>
                <w:rFonts w:eastAsia="Calibri"/>
                <w:i/>
                <w:sz w:val="20"/>
                <w:lang w:val="fr-CA"/>
              </w:rPr>
              <w:t>Loi sur les douanes</w:t>
            </w:r>
            <w:r w:rsidRPr="00163264">
              <w:rPr>
                <w:rFonts w:eastAsia="Calibri"/>
                <w:sz w:val="20"/>
                <w:lang w:val="fr-CA"/>
              </w:rPr>
              <w:t>, L.R.C. 1985, ch. 1.</w:t>
            </w:r>
          </w:p>
        </w:tc>
      </w:tr>
      <w:tr w:rsidR="007278E7" w:rsidRPr="00944C2E" w:rsidTr="00E2016D">
        <w:tc>
          <w:tcPr>
            <w:tcW w:w="5000" w:type="pct"/>
            <w:gridSpan w:val="3"/>
          </w:tcPr>
          <w:p w:rsidR="007278E7" w:rsidRPr="00163264" w:rsidRDefault="007278E7" w:rsidP="00E2016D">
            <w:pPr>
              <w:jc w:val="both"/>
              <w:rPr>
                <w:rFonts w:eastAsia="Calibri"/>
                <w:sz w:val="20"/>
                <w:lang w:val="fr-CA"/>
              </w:rPr>
            </w:pPr>
          </w:p>
        </w:tc>
      </w:tr>
      <w:tr w:rsidR="007278E7" w:rsidRPr="00944C2E" w:rsidTr="00E2016D">
        <w:tc>
          <w:tcPr>
            <w:tcW w:w="5000" w:type="pct"/>
            <w:gridSpan w:val="3"/>
          </w:tcPr>
          <w:p w:rsidR="007278E7" w:rsidRPr="00163264" w:rsidRDefault="007278E7" w:rsidP="00E2016D">
            <w:pPr>
              <w:jc w:val="both"/>
              <w:rPr>
                <w:rFonts w:eastAsia="Calibri"/>
                <w:sz w:val="20"/>
                <w:lang w:val="fr-CA"/>
              </w:rPr>
            </w:pPr>
            <w:r w:rsidRPr="00163264">
              <w:rPr>
                <w:rFonts w:eastAsia="Calibri"/>
                <w:sz w:val="20"/>
                <w:lang w:val="fr-CA"/>
              </w:rPr>
              <w:t xml:space="preserve">La demanderesse a acheté des tuiles de plancher en granit à un exportateur indien.  Avant l’arrivée du conteneur de tuiles au Canada, un agent de l’ASFC a décidé de le faire inspecter parce que c’était la première fois que l’exportateur en cause envoyait une cargaison à l’importatrice et que la cargaison contenait de l’emballage en bois dont on savait qu’il renfermait de la vermine en contravention de la </w:t>
            </w:r>
            <w:r w:rsidRPr="00163264">
              <w:rPr>
                <w:rFonts w:eastAsia="Calibri"/>
                <w:i/>
                <w:sz w:val="20"/>
                <w:lang w:val="fr-CA"/>
              </w:rPr>
              <w:t>Loi sur la protection des végétaux</w:t>
            </w:r>
            <w:r w:rsidRPr="00163264">
              <w:rPr>
                <w:rFonts w:eastAsia="Calibri"/>
                <w:sz w:val="20"/>
                <w:lang w:val="fr-CA"/>
              </w:rPr>
              <w:t xml:space="preserve">, L.C. 1990, ch. 22.  Le conteneur est arrivé à Deltaport le 6 mai 2010 et aux installations d’inspection des conteneurs de Burnaby le 6 ou 7 mai.  Le 7 mai, l’agent de la demanderesse a payé les droits et taxes applicables et obtenu une déclaration en détail des marchandises occasionnelles et un avis d’arrivée portant l’estampille « dédouanement ».  La demanderesse a pris des dispositions pour qu’une compagnie de transport déplace le conteneur, mais elle n’a pas pu le ramasser car il ne se trouvait plus à Deltaport.  Lorsque le conteneur a été inspecté le 10 mai, 12 larves d’insectes vivantes ont été extraites d’une palette de bois. Un avis de traitement ou de transformation et un avis prévu par la </w:t>
            </w:r>
            <w:r w:rsidRPr="00163264">
              <w:rPr>
                <w:rFonts w:eastAsia="Calibri"/>
                <w:i/>
                <w:sz w:val="20"/>
                <w:lang w:val="fr-CA"/>
              </w:rPr>
              <w:t>Loi sur la protection des végétaux</w:t>
            </w:r>
            <w:r w:rsidRPr="00163264">
              <w:rPr>
                <w:rFonts w:eastAsia="Calibri"/>
                <w:sz w:val="20"/>
                <w:lang w:val="fr-CA"/>
              </w:rPr>
              <w:t xml:space="preserve"> ont été envoyés à la demanderesse pour l’aviser que le conteneur devait être fumigé à nouveau et renvoyé du Canada.  Elle a payé un deuxième traitement de fumigation et interjeté appel de la décision de l’ASFC d’ordonner le renvoi du conteneur.  Elle a intenté plus tard une action en dommages-intérêts contre les intimés, prétendant que le conteneur avait été inspecté après son dédouanement et que l’ASFC n’avait pas les motifs raisonnables nécessaires pour justifier une inspection post-dédouanement en vertu de l’al. 99(1)</w:t>
            </w:r>
            <w:r w:rsidRPr="00163264">
              <w:rPr>
                <w:rFonts w:eastAsia="Calibri"/>
                <w:i/>
                <w:sz w:val="20"/>
                <w:lang w:val="fr-CA"/>
              </w:rPr>
              <w:t>f</w:t>
            </w:r>
            <w:r w:rsidRPr="00163264">
              <w:rPr>
                <w:rFonts w:eastAsia="Calibri"/>
                <w:sz w:val="20"/>
                <w:lang w:val="fr-CA"/>
              </w:rPr>
              <w:t xml:space="preserve">) de la </w:t>
            </w:r>
            <w:r w:rsidRPr="00163264">
              <w:rPr>
                <w:rFonts w:eastAsia="Calibri"/>
                <w:i/>
                <w:sz w:val="20"/>
                <w:lang w:val="fr-CA"/>
              </w:rPr>
              <w:t>Loi sur les douanes</w:t>
            </w:r>
            <w:r w:rsidRPr="00163264">
              <w:rPr>
                <w:rFonts w:eastAsia="Calibri"/>
                <w:sz w:val="20"/>
                <w:lang w:val="fr-CA"/>
              </w:rPr>
              <w:t>.</w:t>
            </w:r>
          </w:p>
          <w:p w:rsidR="007278E7" w:rsidRPr="00163264" w:rsidRDefault="007278E7" w:rsidP="00E2016D">
            <w:pPr>
              <w:jc w:val="both"/>
              <w:rPr>
                <w:rFonts w:eastAsia="Calibri"/>
                <w:sz w:val="20"/>
                <w:lang w:val="fr-CA"/>
              </w:rPr>
            </w:pPr>
          </w:p>
          <w:p w:rsidR="007278E7" w:rsidRPr="00163264" w:rsidRDefault="007278E7" w:rsidP="00E2016D">
            <w:pPr>
              <w:jc w:val="both"/>
              <w:rPr>
                <w:rFonts w:eastAsia="Calibri"/>
                <w:sz w:val="20"/>
                <w:lang w:val="fr-CA"/>
              </w:rPr>
            </w:pPr>
            <w:r w:rsidRPr="00163264">
              <w:rPr>
                <w:rFonts w:eastAsia="Calibri"/>
                <w:sz w:val="20"/>
                <w:lang w:val="fr-CA"/>
              </w:rPr>
              <w:t xml:space="preserve">La Cour fédérale a décidé que des marchandises ne sont « dédouanées </w:t>
            </w:r>
            <w:r w:rsidRPr="00163264">
              <w:rPr>
                <w:rFonts w:eastAsia="MingLiU"/>
                <w:sz w:val="20"/>
                <w:lang w:val="fr-CA"/>
              </w:rPr>
              <w:t xml:space="preserve">» </w:t>
            </w:r>
            <w:r w:rsidRPr="00163264">
              <w:rPr>
                <w:rFonts w:eastAsia="Calibri"/>
                <w:sz w:val="20"/>
                <w:lang w:val="fr-CA"/>
              </w:rPr>
              <w:t xml:space="preserve">au sens de la </w:t>
            </w:r>
            <w:r w:rsidRPr="00163264">
              <w:rPr>
                <w:rFonts w:eastAsia="Calibri"/>
                <w:i/>
                <w:sz w:val="20"/>
                <w:lang w:val="fr-CA"/>
              </w:rPr>
              <w:t xml:space="preserve">Loi sur les douanes </w:t>
            </w:r>
            <w:r w:rsidRPr="00163264">
              <w:rPr>
                <w:rFonts w:eastAsia="Calibri"/>
                <w:sz w:val="20"/>
                <w:lang w:val="fr-CA"/>
              </w:rPr>
              <w:t>que lorsqu’on autorise leur sortie des installations douanières en question.  Au moment où la demanderesse avait obtenu des documents portant l’estampille « dédouanement », le contenant n’avait pas encore été inspecté et sa sortie n’avait pas été autorisée.  La Cour a rejeté l’action.  La Cour d’appel fédérale a rejeté l’appel, concluant que l’ASFC avait des motifs raisonnables de soupçonner que le contenant était susceptible d’enfreindre la législation fédérale.</w:t>
            </w:r>
          </w:p>
          <w:p w:rsidR="007278E7" w:rsidRPr="00163264" w:rsidRDefault="007278E7" w:rsidP="00E2016D">
            <w:pPr>
              <w:jc w:val="both"/>
              <w:rPr>
                <w:rFonts w:eastAsia="Calibri"/>
                <w:sz w:val="20"/>
                <w:lang w:val="fr-CA"/>
              </w:rPr>
            </w:pPr>
          </w:p>
        </w:tc>
      </w:tr>
      <w:tr w:rsidR="007278E7" w:rsidRPr="00944C2E" w:rsidTr="00E2016D">
        <w:tc>
          <w:tcPr>
            <w:tcW w:w="2427" w:type="pct"/>
          </w:tcPr>
          <w:p w:rsidR="007278E7" w:rsidRPr="00163264" w:rsidRDefault="007278E7" w:rsidP="00E2016D">
            <w:pPr>
              <w:jc w:val="both"/>
              <w:rPr>
                <w:rFonts w:eastAsia="Calibri"/>
                <w:sz w:val="20"/>
                <w:lang w:val="fr-CA"/>
              </w:rPr>
            </w:pPr>
            <w:r w:rsidRPr="00163264">
              <w:rPr>
                <w:rFonts w:eastAsia="Calibri"/>
                <w:sz w:val="20"/>
                <w:lang w:val="fr-CA"/>
              </w:rPr>
              <w:t>25 janvier 2013</w:t>
            </w:r>
          </w:p>
          <w:p w:rsidR="007278E7" w:rsidRPr="00163264" w:rsidRDefault="007278E7" w:rsidP="00E2016D">
            <w:pPr>
              <w:jc w:val="both"/>
              <w:rPr>
                <w:rFonts w:eastAsia="Calibri"/>
                <w:sz w:val="20"/>
                <w:lang w:val="fr-CA"/>
              </w:rPr>
            </w:pPr>
            <w:r w:rsidRPr="00163264">
              <w:rPr>
                <w:rFonts w:eastAsia="Calibri"/>
                <w:sz w:val="20"/>
                <w:lang w:val="fr-CA"/>
              </w:rPr>
              <w:t>Cour fédérale</w:t>
            </w:r>
          </w:p>
          <w:p w:rsidR="007278E7" w:rsidRPr="00163264" w:rsidRDefault="007278E7" w:rsidP="00E2016D">
            <w:pPr>
              <w:jc w:val="both"/>
              <w:rPr>
                <w:rFonts w:eastAsia="Calibri"/>
                <w:sz w:val="20"/>
                <w:lang w:val="fr-CA"/>
              </w:rPr>
            </w:pPr>
            <w:r w:rsidRPr="00163264">
              <w:rPr>
                <w:rFonts w:eastAsia="Calibri"/>
                <w:sz w:val="20"/>
                <w:lang w:val="fr-CA"/>
              </w:rPr>
              <w:t>(Dolores Hansen)</w:t>
            </w:r>
          </w:p>
          <w:p w:rsidR="007278E7" w:rsidRPr="00163264" w:rsidRDefault="007278E7" w:rsidP="00E2016D">
            <w:pPr>
              <w:jc w:val="both"/>
              <w:rPr>
                <w:rFonts w:eastAsia="Calibri"/>
                <w:sz w:val="20"/>
                <w:lang w:val="fr-CA"/>
              </w:rPr>
            </w:pPr>
          </w:p>
        </w:tc>
        <w:tc>
          <w:tcPr>
            <w:tcW w:w="243" w:type="pct"/>
          </w:tcPr>
          <w:p w:rsidR="007278E7" w:rsidRPr="00163264" w:rsidRDefault="007278E7" w:rsidP="00E2016D">
            <w:pPr>
              <w:jc w:val="both"/>
              <w:rPr>
                <w:rFonts w:eastAsia="Calibri"/>
                <w:sz w:val="20"/>
                <w:lang w:val="fr-CA"/>
              </w:rPr>
            </w:pPr>
          </w:p>
        </w:tc>
        <w:tc>
          <w:tcPr>
            <w:tcW w:w="2330" w:type="pct"/>
          </w:tcPr>
          <w:p w:rsidR="007278E7" w:rsidRPr="00163264" w:rsidRDefault="007278E7" w:rsidP="00E2016D">
            <w:pPr>
              <w:jc w:val="both"/>
              <w:rPr>
                <w:rFonts w:eastAsia="Calibri"/>
                <w:sz w:val="20"/>
                <w:lang w:val="fr-CA"/>
              </w:rPr>
            </w:pPr>
            <w:r w:rsidRPr="00163264">
              <w:rPr>
                <w:rFonts w:eastAsia="Calibri"/>
                <w:sz w:val="20"/>
                <w:lang w:val="fr-CA"/>
              </w:rPr>
              <w:t xml:space="preserve">Action de la demanderesse en dommages-intérêts rejetée </w:t>
            </w:r>
          </w:p>
          <w:p w:rsidR="007278E7" w:rsidRPr="00163264" w:rsidRDefault="007278E7" w:rsidP="00E2016D">
            <w:pPr>
              <w:jc w:val="both"/>
              <w:rPr>
                <w:rFonts w:eastAsia="Calibri"/>
                <w:sz w:val="20"/>
                <w:lang w:val="fr-CA"/>
              </w:rPr>
            </w:pPr>
          </w:p>
        </w:tc>
      </w:tr>
      <w:tr w:rsidR="007278E7" w:rsidRPr="00163264" w:rsidTr="00434F44">
        <w:trPr>
          <w:cantSplit/>
        </w:trPr>
        <w:tc>
          <w:tcPr>
            <w:tcW w:w="2427" w:type="pct"/>
          </w:tcPr>
          <w:p w:rsidR="007278E7" w:rsidRPr="00163264" w:rsidRDefault="007278E7" w:rsidP="00E2016D">
            <w:pPr>
              <w:jc w:val="both"/>
              <w:rPr>
                <w:rFonts w:eastAsia="Calibri"/>
                <w:sz w:val="20"/>
                <w:lang w:val="fr-CA"/>
              </w:rPr>
            </w:pPr>
            <w:r w:rsidRPr="00163264">
              <w:rPr>
                <w:rFonts w:eastAsia="Calibri"/>
                <w:sz w:val="20"/>
                <w:lang w:val="fr-CA"/>
              </w:rPr>
              <w:lastRenderedPageBreak/>
              <w:t>11 février 2014</w:t>
            </w:r>
          </w:p>
          <w:p w:rsidR="007278E7" w:rsidRPr="00163264" w:rsidRDefault="007278E7" w:rsidP="00E2016D">
            <w:pPr>
              <w:jc w:val="both"/>
              <w:rPr>
                <w:rFonts w:eastAsia="Calibri"/>
                <w:sz w:val="20"/>
                <w:lang w:val="fr-CA"/>
              </w:rPr>
            </w:pPr>
            <w:r w:rsidRPr="00163264">
              <w:rPr>
                <w:rFonts w:eastAsia="Calibri"/>
                <w:sz w:val="20"/>
                <w:lang w:val="fr-CA"/>
              </w:rPr>
              <w:t xml:space="preserve">Cour d’appel fédérale </w:t>
            </w:r>
          </w:p>
          <w:p w:rsidR="007278E7" w:rsidRPr="00163264" w:rsidRDefault="007278E7" w:rsidP="00E2016D">
            <w:pPr>
              <w:jc w:val="both"/>
              <w:rPr>
                <w:rFonts w:eastAsia="Calibri"/>
                <w:sz w:val="20"/>
                <w:lang w:val="fr-CA"/>
              </w:rPr>
            </w:pPr>
            <w:r w:rsidRPr="00163264">
              <w:rPr>
                <w:rFonts w:eastAsia="Calibri"/>
                <w:sz w:val="20"/>
                <w:lang w:val="fr-CA"/>
              </w:rPr>
              <w:t>(Juges Noël, Mainville et Webb)</w:t>
            </w:r>
          </w:p>
          <w:p w:rsidR="007278E7" w:rsidRPr="00163264" w:rsidRDefault="00944C2E" w:rsidP="00E2016D">
            <w:pPr>
              <w:jc w:val="both"/>
              <w:rPr>
                <w:rFonts w:eastAsia="Calibri"/>
                <w:sz w:val="20"/>
              </w:rPr>
            </w:pPr>
            <w:hyperlink r:id="rId25" w:history="1">
              <w:r w:rsidR="007278E7" w:rsidRPr="00163264">
                <w:rPr>
                  <w:rFonts w:eastAsia="Calibri"/>
                  <w:color w:val="0000FF"/>
                  <w:sz w:val="20"/>
                  <w:u w:val="single"/>
                </w:rPr>
                <w:t>2014 CAF 39</w:t>
              </w:r>
            </w:hyperlink>
            <w:r w:rsidR="007278E7" w:rsidRPr="00163264">
              <w:rPr>
                <w:rFonts w:eastAsia="Calibri"/>
                <w:sz w:val="20"/>
              </w:rPr>
              <w:t>; A-70-13</w:t>
            </w:r>
          </w:p>
          <w:p w:rsidR="007278E7" w:rsidRPr="00163264" w:rsidRDefault="007278E7" w:rsidP="00E2016D">
            <w:pPr>
              <w:jc w:val="both"/>
              <w:rPr>
                <w:rFonts w:eastAsia="Calibri"/>
                <w:sz w:val="20"/>
              </w:rPr>
            </w:pPr>
          </w:p>
        </w:tc>
        <w:tc>
          <w:tcPr>
            <w:tcW w:w="243" w:type="pct"/>
          </w:tcPr>
          <w:p w:rsidR="007278E7" w:rsidRPr="00163264" w:rsidRDefault="007278E7" w:rsidP="00E2016D">
            <w:pPr>
              <w:jc w:val="both"/>
              <w:rPr>
                <w:rFonts w:eastAsia="Calibri"/>
                <w:sz w:val="20"/>
              </w:rPr>
            </w:pPr>
          </w:p>
        </w:tc>
        <w:tc>
          <w:tcPr>
            <w:tcW w:w="2330" w:type="pct"/>
          </w:tcPr>
          <w:p w:rsidR="007278E7" w:rsidRPr="00163264" w:rsidRDefault="007278E7" w:rsidP="00E2016D">
            <w:pPr>
              <w:jc w:val="both"/>
              <w:rPr>
                <w:rFonts w:eastAsia="Calibri"/>
                <w:sz w:val="20"/>
              </w:rPr>
            </w:pPr>
            <w:r w:rsidRPr="00163264">
              <w:rPr>
                <w:rFonts w:eastAsia="Calibri"/>
                <w:sz w:val="20"/>
              </w:rPr>
              <w:t>Appel rejeté</w:t>
            </w:r>
          </w:p>
          <w:p w:rsidR="007278E7" w:rsidRPr="00163264" w:rsidRDefault="007278E7" w:rsidP="00E2016D">
            <w:pPr>
              <w:jc w:val="both"/>
              <w:rPr>
                <w:rFonts w:eastAsia="Calibri"/>
                <w:sz w:val="20"/>
              </w:rPr>
            </w:pPr>
          </w:p>
        </w:tc>
      </w:tr>
      <w:tr w:rsidR="007278E7" w:rsidRPr="00163264" w:rsidTr="00434F44">
        <w:trPr>
          <w:cantSplit/>
        </w:trPr>
        <w:tc>
          <w:tcPr>
            <w:tcW w:w="2427" w:type="pct"/>
          </w:tcPr>
          <w:p w:rsidR="007278E7" w:rsidRPr="00163264" w:rsidRDefault="007278E7" w:rsidP="00E2016D">
            <w:pPr>
              <w:jc w:val="both"/>
              <w:rPr>
                <w:rFonts w:eastAsia="Calibri"/>
                <w:sz w:val="20"/>
                <w:lang w:val="fr-CA"/>
              </w:rPr>
            </w:pPr>
            <w:r w:rsidRPr="00163264">
              <w:rPr>
                <w:rFonts w:eastAsia="Calibri"/>
                <w:sz w:val="20"/>
                <w:lang w:val="fr-CA"/>
              </w:rPr>
              <w:t>17 mars 2014</w:t>
            </w:r>
          </w:p>
          <w:p w:rsidR="007278E7" w:rsidRPr="00163264" w:rsidRDefault="007278E7" w:rsidP="00E2016D">
            <w:pPr>
              <w:jc w:val="both"/>
              <w:rPr>
                <w:rFonts w:eastAsia="Calibri"/>
                <w:sz w:val="20"/>
                <w:lang w:val="fr-CA"/>
              </w:rPr>
            </w:pPr>
            <w:r w:rsidRPr="00163264">
              <w:rPr>
                <w:rFonts w:eastAsia="Calibri"/>
                <w:sz w:val="20"/>
                <w:lang w:val="fr-CA"/>
              </w:rPr>
              <w:t>Cour suprême du Canada</w:t>
            </w:r>
          </w:p>
        </w:tc>
        <w:tc>
          <w:tcPr>
            <w:tcW w:w="243" w:type="pct"/>
          </w:tcPr>
          <w:p w:rsidR="007278E7" w:rsidRPr="00163264" w:rsidRDefault="007278E7" w:rsidP="00E2016D">
            <w:pPr>
              <w:jc w:val="both"/>
              <w:rPr>
                <w:rFonts w:eastAsia="Calibri"/>
                <w:sz w:val="20"/>
                <w:lang w:val="fr-CA"/>
              </w:rPr>
            </w:pPr>
          </w:p>
        </w:tc>
        <w:tc>
          <w:tcPr>
            <w:tcW w:w="2330" w:type="pct"/>
          </w:tcPr>
          <w:p w:rsidR="007278E7" w:rsidRPr="00163264" w:rsidRDefault="007278E7" w:rsidP="00E2016D">
            <w:pPr>
              <w:jc w:val="both"/>
              <w:rPr>
                <w:rFonts w:eastAsia="Calibri"/>
                <w:sz w:val="20"/>
              </w:rPr>
            </w:pPr>
            <w:r w:rsidRPr="00163264">
              <w:rPr>
                <w:rFonts w:eastAsia="Calibri"/>
                <w:sz w:val="20"/>
                <w:lang w:val="fr-CA"/>
              </w:rPr>
              <w:t xml:space="preserve">Demande d’autorisation d’appel déposée </w:t>
            </w:r>
          </w:p>
        </w:tc>
      </w:tr>
    </w:tbl>
    <w:p w:rsidR="00965AE9" w:rsidRPr="00965AE9" w:rsidRDefault="00965AE9" w:rsidP="00965AE9">
      <w:pPr>
        <w:rPr>
          <w:sz w:val="20"/>
          <w:szCs w:val="20"/>
          <w:lang w:val="fr-CA"/>
        </w:rPr>
      </w:pPr>
    </w:p>
    <w:p w:rsidR="00965AE9" w:rsidRDefault="00944C2E" w:rsidP="00965AE9">
      <w:pPr>
        <w:rPr>
          <w:sz w:val="20"/>
          <w:szCs w:val="20"/>
          <w:lang w:val="fr-CA"/>
        </w:rPr>
      </w:pPr>
      <w:r>
        <w:rPr>
          <w:sz w:val="20"/>
          <w:szCs w:val="20"/>
          <w:lang w:val="fr-CA"/>
        </w:rPr>
        <w:pict>
          <v:rect id="_x0000_i1044" style="width:2in;height:1pt" o:hrpct="0" o:hralign="center" o:hrstd="t" o:hrnoshade="t" o:hr="t" fillcolor="black [3213]" stroked="f"/>
        </w:pict>
      </w:r>
    </w:p>
    <w:p w:rsidR="00965AE9" w:rsidRDefault="00965AE9" w:rsidP="00965AE9">
      <w:pPr>
        <w:rPr>
          <w:sz w:val="20"/>
          <w:szCs w:val="20"/>
          <w:lang w:val="fr-CA"/>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34F44" w:rsidRPr="00434F44" w:rsidTr="00434F44">
        <w:trPr>
          <w:cantSplit/>
        </w:trPr>
        <w:tc>
          <w:tcPr>
            <w:tcW w:w="1458" w:type="dxa"/>
          </w:tcPr>
          <w:p w:rsidR="00434F44" w:rsidRPr="00434F44" w:rsidRDefault="00434F44" w:rsidP="00434F44">
            <w:pPr>
              <w:rPr>
                <w:sz w:val="20"/>
                <w:szCs w:val="20"/>
              </w:rPr>
            </w:pPr>
            <w:r w:rsidRPr="00434F44">
              <w:rPr>
                <w:b/>
                <w:sz w:val="20"/>
                <w:szCs w:val="20"/>
                <w:lang w:val="fr-CA"/>
              </w:rPr>
              <w:t>35788</w:t>
            </w:r>
          </w:p>
          <w:p w:rsidR="00434F44" w:rsidRPr="00434F44" w:rsidRDefault="00434F44" w:rsidP="00434F44">
            <w:pPr>
              <w:rPr>
                <w:b/>
                <w:sz w:val="20"/>
                <w:szCs w:val="20"/>
                <w:lang w:val="fr-CA"/>
              </w:rPr>
            </w:pPr>
          </w:p>
        </w:tc>
        <w:tc>
          <w:tcPr>
            <w:tcW w:w="8118" w:type="dxa"/>
          </w:tcPr>
          <w:p w:rsidR="00434F44" w:rsidRPr="00434F44" w:rsidRDefault="00434F44" w:rsidP="00434F44">
            <w:pPr>
              <w:rPr>
                <w:sz w:val="20"/>
                <w:szCs w:val="20"/>
              </w:rPr>
            </w:pPr>
            <w:r w:rsidRPr="00434F44">
              <w:rPr>
                <w:b/>
                <w:sz w:val="20"/>
                <w:szCs w:val="20"/>
                <w:u w:val="single"/>
              </w:rPr>
              <w:t>Miklos Zibotics v. Attorney General of Ontario</w:t>
            </w:r>
            <w:r w:rsidRPr="00434F44">
              <w:rPr>
                <w:sz w:val="20"/>
                <w:szCs w:val="20"/>
              </w:rPr>
              <w:t xml:space="preserve"> (Ont.) (Civil) (By Leave)</w:t>
            </w:r>
          </w:p>
          <w:p w:rsidR="00434F44" w:rsidRPr="00434F44" w:rsidRDefault="00434F44" w:rsidP="00434F44">
            <w:pPr>
              <w:rPr>
                <w:sz w:val="20"/>
                <w:szCs w:val="20"/>
              </w:rPr>
            </w:pPr>
          </w:p>
        </w:tc>
      </w:tr>
      <w:tr w:rsidR="00434F44" w:rsidRPr="00434F44" w:rsidTr="00434F44">
        <w:trPr>
          <w:cantSplit/>
        </w:trPr>
        <w:tc>
          <w:tcPr>
            <w:tcW w:w="1458" w:type="dxa"/>
          </w:tcPr>
          <w:p w:rsidR="00434F44" w:rsidRPr="00434F44" w:rsidRDefault="00434F44" w:rsidP="00434F44">
            <w:pPr>
              <w:rPr>
                <w:sz w:val="20"/>
                <w:szCs w:val="20"/>
              </w:rPr>
            </w:pPr>
            <w:r w:rsidRPr="00434F44">
              <w:rPr>
                <w:sz w:val="20"/>
                <w:szCs w:val="20"/>
              </w:rPr>
              <w:t>Coram :</w:t>
            </w:r>
          </w:p>
        </w:tc>
        <w:tc>
          <w:tcPr>
            <w:tcW w:w="8118" w:type="dxa"/>
          </w:tcPr>
          <w:p w:rsidR="00434F44" w:rsidRPr="00434F44" w:rsidRDefault="00434F44" w:rsidP="00434F44">
            <w:pPr>
              <w:rPr>
                <w:sz w:val="20"/>
                <w:szCs w:val="20"/>
              </w:rPr>
            </w:pPr>
            <w:r w:rsidRPr="00434F44">
              <w:rPr>
                <w:sz w:val="20"/>
                <w:szCs w:val="20"/>
                <w:u w:val="single"/>
              </w:rPr>
              <w:t>Abella, Rothstein and Moldaver JJ.</w:t>
            </w:r>
          </w:p>
          <w:p w:rsidR="00434F44" w:rsidRPr="00434F44" w:rsidRDefault="00434F44" w:rsidP="00434F44">
            <w:pPr>
              <w:rPr>
                <w:sz w:val="20"/>
                <w:szCs w:val="20"/>
                <w:u w:val="single"/>
              </w:rPr>
            </w:pPr>
          </w:p>
        </w:tc>
      </w:tr>
      <w:tr w:rsidR="00434F44" w:rsidRPr="00944C2E" w:rsidTr="00434F44">
        <w:trPr>
          <w:cantSplit/>
        </w:trPr>
        <w:tc>
          <w:tcPr>
            <w:tcW w:w="9576" w:type="dxa"/>
            <w:gridSpan w:val="2"/>
          </w:tcPr>
          <w:p w:rsidR="00434F44" w:rsidRPr="00434F44" w:rsidRDefault="00434F44" w:rsidP="00434F44">
            <w:pPr>
              <w:ind w:firstLine="720"/>
              <w:jc w:val="both"/>
              <w:rPr>
                <w:sz w:val="20"/>
                <w:szCs w:val="20"/>
              </w:rPr>
            </w:pPr>
            <w:r w:rsidRPr="00434F44">
              <w:rPr>
                <w:sz w:val="20"/>
                <w:szCs w:val="20"/>
              </w:rPr>
              <w:t>The motion for an extension of time to serve and file the application for leave to appeal is granted. The application for leave to appeal from the judgment of the Court of Appeal for Ontario, Number C54926, dated November 18, 2013, is dismissed without costs.</w:t>
            </w:r>
          </w:p>
          <w:p w:rsidR="00434F44" w:rsidRPr="00434F44" w:rsidRDefault="00434F44" w:rsidP="00434F44">
            <w:pPr>
              <w:jc w:val="both"/>
              <w:rPr>
                <w:sz w:val="20"/>
                <w:szCs w:val="20"/>
              </w:rPr>
            </w:pPr>
          </w:p>
          <w:p w:rsidR="00434F44" w:rsidRPr="00434F44" w:rsidRDefault="00434F44" w:rsidP="00434F44">
            <w:pPr>
              <w:ind w:firstLine="720"/>
              <w:jc w:val="both"/>
              <w:rPr>
                <w:sz w:val="20"/>
                <w:szCs w:val="20"/>
                <w:lang w:val="fr-CA"/>
              </w:rPr>
            </w:pPr>
            <w:r w:rsidRPr="00434F44">
              <w:rPr>
                <w:sz w:val="20"/>
                <w:szCs w:val="20"/>
                <w:lang w:val="fr-CA"/>
              </w:rPr>
              <w:t>La requête en prorogation du délai de signification et de dépôt de la demande d’autorisation d’appel est accueillie. La demande d’autorisation d’appel de l’arrêt de la Cour d’appel de l’Ontario, numéro C54926, daté du 18 novembre 2013, est rejetée sans dépens.</w:t>
            </w:r>
          </w:p>
        </w:tc>
      </w:tr>
    </w:tbl>
    <w:p w:rsidR="00965AE9" w:rsidRPr="00965AE9" w:rsidRDefault="00965AE9" w:rsidP="00965AE9">
      <w:pPr>
        <w:rPr>
          <w:sz w:val="20"/>
          <w:szCs w:val="20"/>
          <w:lang w:val="fr-CA"/>
        </w:rPr>
      </w:pPr>
    </w:p>
    <w:p w:rsidR="00965AE9" w:rsidRPr="001B157C" w:rsidRDefault="00965AE9" w:rsidP="00965AE9">
      <w:pPr>
        <w:rPr>
          <w:sz w:val="20"/>
          <w:szCs w:val="20"/>
          <w:u w:val="single"/>
        </w:rPr>
      </w:pPr>
      <w:r w:rsidRPr="001B157C">
        <w:rPr>
          <w:sz w:val="20"/>
          <w:szCs w:val="20"/>
          <w:u w:val="single"/>
        </w:rPr>
        <w:t>CASE SUMMARY</w:t>
      </w:r>
    </w:p>
    <w:p w:rsidR="00965AE9" w:rsidRDefault="00965AE9" w:rsidP="00965AE9">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E7E07" w:rsidRPr="00163264" w:rsidTr="00E2016D">
        <w:tc>
          <w:tcPr>
            <w:tcW w:w="5000" w:type="pct"/>
            <w:gridSpan w:val="3"/>
          </w:tcPr>
          <w:p w:rsidR="00DE7E07" w:rsidRPr="00163264" w:rsidRDefault="00DE7E07" w:rsidP="00E2016D">
            <w:pPr>
              <w:jc w:val="both"/>
              <w:rPr>
                <w:rFonts w:eastAsia="Calibri"/>
                <w:smallCaps/>
                <w:sz w:val="20"/>
              </w:rPr>
            </w:pPr>
            <w:r w:rsidRPr="00163264">
              <w:rPr>
                <w:rFonts w:eastAsia="Calibri"/>
                <w:smallCaps/>
                <w:sz w:val="20"/>
              </w:rPr>
              <w:t>(</w:t>
            </w:r>
            <w:r>
              <w:rPr>
                <w:rFonts w:eastAsia="Calibri"/>
                <w:smallCaps/>
                <w:sz w:val="20"/>
              </w:rPr>
              <w:t>P</w:t>
            </w:r>
            <w:r w:rsidRPr="00163264">
              <w:rPr>
                <w:rFonts w:eastAsia="Calibri"/>
                <w:smallCaps/>
                <w:sz w:val="20"/>
              </w:rPr>
              <w:t xml:space="preserve">ublication </w:t>
            </w:r>
            <w:r>
              <w:rPr>
                <w:rFonts w:eastAsia="Calibri"/>
                <w:smallCaps/>
                <w:sz w:val="20"/>
              </w:rPr>
              <w:t>B</w:t>
            </w:r>
            <w:r w:rsidRPr="00163264">
              <w:rPr>
                <w:rFonts w:eastAsia="Calibri"/>
                <w:smallCaps/>
                <w:sz w:val="20"/>
              </w:rPr>
              <w:t xml:space="preserve">an in </w:t>
            </w:r>
            <w:r>
              <w:rPr>
                <w:rFonts w:eastAsia="Calibri"/>
                <w:smallCaps/>
                <w:sz w:val="20"/>
              </w:rPr>
              <w:t>C</w:t>
            </w:r>
            <w:r w:rsidRPr="00163264">
              <w:rPr>
                <w:rFonts w:eastAsia="Calibri"/>
                <w:smallCaps/>
                <w:sz w:val="20"/>
              </w:rPr>
              <w:t xml:space="preserve">ase) (Sealing </w:t>
            </w:r>
            <w:r>
              <w:rPr>
                <w:rFonts w:eastAsia="Calibri"/>
                <w:smallCaps/>
                <w:sz w:val="20"/>
              </w:rPr>
              <w:t>O</w:t>
            </w:r>
            <w:r w:rsidRPr="00163264">
              <w:rPr>
                <w:rFonts w:eastAsia="Calibri"/>
                <w:smallCaps/>
                <w:sz w:val="20"/>
              </w:rPr>
              <w:t>rder)</w:t>
            </w:r>
          </w:p>
          <w:p w:rsidR="00DE7E07" w:rsidRPr="00163264" w:rsidRDefault="00DE7E07" w:rsidP="00E2016D">
            <w:pPr>
              <w:jc w:val="both"/>
              <w:rPr>
                <w:rFonts w:eastAsia="Calibri"/>
                <w:sz w:val="20"/>
              </w:rPr>
            </w:pPr>
          </w:p>
          <w:p w:rsidR="00DE7E07" w:rsidRPr="00163264" w:rsidRDefault="00DE7E07" w:rsidP="00E2016D">
            <w:pPr>
              <w:jc w:val="both"/>
              <w:rPr>
                <w:rFonts w:eastAsia="Calibri"/>
                <w:sz w:val="20"/>
              </w:rPr>
            </w:pPr>
            <w:r w:rsidRPr="00163264">
              <w:rPr>
                <w:rFonts w:eastAsia="Calibri"/>
                <w:sz w:val="20"/>
              </w:rPr>
              <w:t xml:space="preserve">Prerogative writs — </w:t>
            </w:r>
            <w:r w:rsidRPr="00163264">
              <w:rPr>
                <w:rFonts w:eastAsia="Calibri"/>
                <w:i/>
                <w:sz w:val="20"/>
              </w:rPr>
              <w:t>Mandamus</w:t>
            </w:r>
            <w:r w:rsidRPr="00163264">
              <w:rPr>
                <w:rFonts w:eastAsia="Calibri"/>
                <w:sz w:val="20"/>
              </w:rPr>
              <w:t xml:space="preserve"> — </w:t>
            </w:r>
            <w:r w:rsidRPr="00163264">
              <w:rPr>
                <w:rFonts w:eastAsia="Calibri"/>
                <w:i/>
                <w:sz w:val="20"/>
              </w:rPr>
              <w:t>Certiorari</w:t>
            </w:r>
            <w:r w:rsidRPr="00163264">
              <w:rPr>
                <w:rFonts w:eastAsia="Calibri"/>
                <w:sz w:val="20"/>
              </w:rPr>
              <w:t xml:space="preserve"> — Applicant filing private informations against third parties pursuant to </w:t>
            </w:r>
            <w:r w:rsidRPr="00163264">
              <w:rPr>
                <w:rFonts w:eastAsia="Calibri"/>
                <w:i/>
                <w:sz w:val="20"/>
              </w:rPr>
              <w:t>Criminal Code</w:t>
            </w:r>
            <w:r w:rsidRPr="00163264">
              <w:rPr>
                <w:rFonts w:eastAsia="Calibri"/>
                <w:sz w:val="20"/>
              </w:rPr>
              <w:t xml:space="preserve"> alleging perjury and fabrication of evidence — Justice of the Peace refusing to issue process — Applicant filing application for </w:t>
            </w:r>
            <w:r w:rsidRPr="00163264">
              <w:rPr>
                <w:rFonts w:eastAsia="Calibri"/>
                <w:i/>
                <w:sz w:val="20"/>
              </w:rPr>
              <w:t>mandamus</w:t>
            </w:r>
            <w:r w:rsidRPr="00163264">
              <w:rPr>
                <w:rFonts w:eastAsia="Calibri"/>
                <w:sz w:val="20"/>
              </w:rPr>
              <w:t xml:space="preserve"> and </w:t>
            </w:r>
            <w:r w:rsidRPr="00163264">
              <w:rPr>
                <w:rFonts w:eastAsia="Calibri"/>
                <w:i/>
                <w:sz w:val="20"/>
              </w:rPr>
              <w:t>certiorari</w:t>
            </w:r>
            <w:r w:rsidRPr="00163264">
              <w:rPr>
                <w:rFonts w:eastAsia="Calibri"/>
                <w:sz w:val="20"/>
              </w:rPr>
              <w:t xml:space="preserve"> — Whether the Court of Appeal erred in dismissing the applicant’s appeal</w:t>
            </w:r>
          </w:p>
        </w:tc>
      </w:tr>
      <w:tr w:rsidR="00DE7E07" w:rsidRPr="00163264" w:rsidTr="00E2016D">
        <w:tc>
          <w:tcPr>
            <w:tcW w:w="5000" w:type="pct"/>
            <w:gridSpan w:val="3"/>
          </w:tcPr>
          <w:p w:rsidR="00DE7E07" w:rsidRPr="00163264" w:rsidRDefault="00DE7E07" w:rsidP="00E2016D">
            <w:pPr>
              <w:jc w:val="both"/>
              <w:rPr>
                <w:rFonts w:eastAsia="Calibri"/>
                <w:sz w:val="20"/>
              </w:rPr>
            </w:pPr>
          </w:p>
        </w:tc>
      </w:tr>
      <w:tr w:rsidR="00DE7E07" w:rsidRPr="00163264" w:rsidTr="00E2016D">
        <w:tc>
          <w:tcPr>
            <w:tcW w:w="5000" w:type="pct"/>
            <w:gridSpan w:val="3"/>
          </w:tcPr>
          <w:p w:rsidR="00DE7E07" w:rsidRPr="00163264" w:rsidRDefault="00DE7E07" w:rsidP="00E2016D">
            <w:pPr>
              <w:jc w:val="both"/>
              <w:rPr>
                <w:rFonts w:eastAsia="Calibri"/>
                <w:sz w:val="20"/>
              </w:rPr>
            </w:pPr>
            <w:r w:rsidRPr="00163264">
              <w:rPr>
                <w:rFonts w:eastAsia="Calibri"/>
                <w:sz w:val="20"/>
              </w:rPr>
              <w:t xml:space="preserve">In 2003, the applicant was convicted of three counts of assault with a weapon.  That same year, a civil suit was brought against him in relation to the assaults.  He was found liable and ordered to pay damages to the individuals whom he had assaulted.  </w:t>
            </w:r>
          </w:p>
          <w:p w:rsidR="00DE7E07" w:rsidRPr="00163264" w:rsidRDefault="00DE7E07" w:rsidP="00E2016D">
            <w:pPr>
              <w:jc w:val="both"/>
              <w:rPr>
                <w:rFonts w:eastAsia="Calibri"/>
                <w:sz w:val="20"/>
              </w:rPr>
            </w:pPr>
          </w:p>
          <w:p w:rsidR="00DE7E07" w:rsidRPr="00163264" w:rsidRDefault="00DE7E07" w:rsidP="00E2016D">
            <w:pPr>
              <w:jc w:val="both"/>
              <w:rPr>
                <w:rFonts w:eastAsia="Calibri"/>
                <w:sz w:val="20"/>
              </w:rPr>
            </w:pPr>
            <w:r w:rsidRPr="00163264">
              <w:rPr>
                <w:rFonts w:eastAsia="Calibri"/>
                <w:sz w:val="20"/>
              </w:rPr>
              <w:t xml:space="preserve">In 2010, the applicant privately laid charges of perjury and fabrication of evidence against witnesses who testified at his criminal and civil trials.  Following a </w:t>
            </w:r>
            <w:r w:rsidRPr="00163264">
              <w:rPr>
                <w:rFonts w:eastAsia="Calibri"/>
                <w:i/>
                <w:sz w:val="20"/>
              </w:rPr>
              <w:t>pre-enquete</w:t>
            </w:r>
            <w:r w:rsidRPr="00163264">
              <w:rPr>
                <w:rFonts w:eastAsia="Calibri"/>
                <w:sz w:val="20"/>
              </w:rPr>
              <w:t xml:space="preserve"> hearing to determine whether criminal charges should be laid against those witnesses, a justice of the peace refused to issue process on the grounds that the applicant had failed to make out a </w:t>
            </w:r>
            <w:r w:rsidRPr="00163264">
              <w:rPr>
                <w:rFonts w:eastAsia="Calibri"/>
                <w:i/>
                <w:sz w:val="20"/>
              </w:rPr>
              <w:t>prima facie</w:t>
            </w:r>
            <w:r w:rsidRPr="00163264">
              <w:rPr>
                <w:rFonts w:eastAsia="Calibri"/>
                <w:sz w:val="20"/>
              </w:rPr>
              <w:t xml:space="preserve"> case.  </w:t>
            </w:r>
          </w:p>
          <w:p w:rsidR="00DE7E07" w:rsidRPr="00163264" w:rsidRDefault="00DE7E07" w:rsidP="00E2016D">
            <w:pPr>
              <w:jc w:val="both"/>
              <w:rPr>
                <w:rFonts w:eastAsia="Calibri"/>
                <w:sz w:val="20"/>
              </w:rPr>
            </w:pPr>
          </w:p>
          <w:p w:rsidR="00DE7E07" w:rsidRPr="00163264" w:rsidRDefault="00DE7E07" w:rsidP="00E2016D">
            <w:pPr>
              <w:jc w:val="both"/>
              <w:rPr>
                <w:rFonts w:eastAsia="Calibri"/>
                <w:sz w:val="20"/>
              </w:rPr>
            </w:pPr>
            <w:r w:rsidRPr="00163264">
              <w:rPr>
                <w:rFonts w:eastAsia="Calibri"/>
                <w:sz w:val="20"/>
              </w:rPr>
              <w:t xml:space="preserve">The applicant then launched an application for </w:t>
            </w:r>
            <w:r w:rsidRPr="00163264">
              <w:rPr>
                <w:rFonts w:eastAsia="Calibri"/>
                <w:i/>
                <w:sz w:val="20"/>
              </w:rPr>
              <w:t xml:space="preserve">mandamus </w:t>
            </w:r>
            <w:r w:rsidRPr="00163264">
              <w:rPr>
                <w:rFonts w:eastAsia="Calibri"/>
                <w:sz w:val="20"/>
              </w:rPr>
              <w:t xml:space="preserve">and </w:t>
            </w:r>
            <w:r w:rsidRPr="00163264">
              <w:rPr>
                <w:rFonts w:eastAsia="Calibri"/>
                <w:i/>
                <w:sz w:val="20"/>
              </w:rPr>
              <w:t>certiorari</w:t>
            </w:r>
            <w:r w:rsidRPr="00163264">
              <w:rPr>
                <w:rFonts w:eastAsia="Calibri"/>
                <w:sz w:val="20"/>
              </w:rPr>
              <w:t>.</w:t>
            </w:r>
          </w:p>
          <w:p w:rsidR="00DE7E07" w:rsidRPr="00163264" w:rsidRDefault="00DE7E07" w:rsidP="00E2016D">
            <w:pPr>
              <w:jc w:val="both"/>
              <w:rPr>
                <w:rFonts w:eastAsia="Calibri"/>
                <w:sz w:val="20"/>
              </w:rPr>
            </w:pPr>
          </w:p>
        </w:tc>
      </w:tr>
      <w:tr w:rsidR="00DE7E07" w:rsidRPr="00163264" w:rsidTr="00E2016D">
        <w:tc>
          <w:tcPr>
            <w:tcW w:w="2427" w:type="pct"/>
          </w:tcPr>
          <w:p w:rsidR="00DE7E07" w:rsidRPr="00163264" w:rsidRDefault="00DE7E07" w:rsidP="00E2016D">
            <w:pPr>
              <w:jc w:val="both"/>
              <w:rPr>
                <w:rFonts w:eastAsia="Calibri"/>
                <w:sz w:val="20"/>
              </w:rPr>
            </w:pPr>
            <w:r w:rsidRPr="00163264">
              <w:rPr>
                <w:rFonts w:eastAsia="Calibri"/>
                <w:sz w:val="20"/>
              </w:rPr>
              <w:t>January 12, 2011</w:t>
            </w:r>
          </w:p>
          <w:p w:rsidR="00DE7E07" w:rsidRPr="00163264" w:rsidRDefault="00DE7E07" w:rsidP="00E2016D">
            <w:pPr>
              <w:jc w:val="both"/>
              <w:rPr>
                <w:rFonts w:eastAsia="Calibri"/>
                <w:sz w:val="20"/>
              </w:rPr>
            </w:pPr>
            <w:r w:rsidRPr="00163264">
              <w:rPr>
                <w:rFonts w:eastAsia="Calibri"/>
                <w:sz w:val="20"/>
              </w:rPr>
              <w:t>Ontario Court of Justice</w:t>
            </w:r>
          </w:p>
          <w:p w:rsidR="00DE7E07" w:rsidRPr="00163264" w:rsidRDefault="00DE7E07" w:rsidP="00E2016D">
            <w:pPr>
              <w:jc w:val="both"/>
              <w:rPr>
                <w:rFonts w:eastAsia="Calibri"/>
                <w:sz w:val="20"/>
              </w:rPr>
            </w:pPr>
            <w:r w:rsidRPr="00163264">
              <w:rPr>
                <w:rFonts w:eastAsia="Calibri"/>
                <w:sz w:val="20"/>
              </w:rPr>
              <w:t>(J.S. Woloschuk, Justice of the Peace)</w:t>
            </w:r>
          </w:p>
          <w:p w:rsidR="00DE7E07" w:rsidRPr="00163264" w:rsidRDefault="00DE7E07" w:rsidP="00E2016D">
            <w:pPr>
              <w:jc w:val="both"/>
              <w:rPr>
                <w:rFonts w:eastAsia="Calibri"/>
                <w:sz w:val="20"/>
              </w:rPr>
            </w:pPr>
          </w:p>
        </w:tc>
        <w:tc>
          <w:tcPr>
            <w:tcW w:w="243" w:type="pct"/>
          </w:tcPr>
          <w:p w:rsidR="00DE7E07" w:rsidRPr="00163264" w:rsidRDefault="00DE7E07" w:rsidP="00E2016D">
            <w:pPr>
              <w:jc w:val="both"/>
              <w:rPr>
                <w:rFonts w:eastAsia="Calibri"/>
                <w:sz w:val="20"/>
              </w:rPr>
            </w:pPr>
          </w:p>
        </w:tc>
        <w:tc>
          <w:tcPr>
            <w:tcW w:w="2330" w:type="pct"/>
          </w:tcPr>
          <w:p w:rsidR="00DE7E07" w:rsidRPr="00163264" w:rsidRDefault="00DE7E07" w:rsidP="00E2016D">
            <w:pPr>
              <w:jc w:val="both"/>
              <w:rPr>
                <w:rFonts w:eastAsia="Calibri"/>
                <w:sz w:val="20"/>
              </w:rPr>
            </w:pPr>
            <w:r w:rsidRPr="00163264">
              <w:rPr>
                <w:rFonts w:eastAsia="Calibri"/>
                <w:sz w:val="20"/>
              </w:rPr>
              <w:t>Private informations filed by the applicant and alleging perjury and fabrication of evidence, endorsed with no process;</w:t>
            </w:r>
          </w:p>
        </w:tc>
      </w:tr>
      <w:tr w:rsidR="00DE7E07" w:rsidRPr="00163264" w:rsidTr="00A0198D">
        <w:trPr>
          <w:cantSplit/>
        </w:trPr>
        <w:tc>
          <w:tcPr>
            <w:tcW w:w="2427" w:type="pct"/>
          </w:tcPr>
          <w:p w:rsidR="00DE7E07" w:rsidRPr="00163264" w:rsidRDefault="00DE7E07" w:rsidP="00E2016D">
            <w:pPr>
              <w:jc w:val="both"/>
              <w:rPr>
                <w:rFonts w:eastAsia="Calibri"/>
                <w:sz w:val="20"/>
              </w:rPr>
            </w:pPr>
            <w:r w:rsidRPr="00163264">
              <w:rPr>
                <w:rFonts w:eastAsia="Calibri"/>
                <w:sz w:val="20"/>
              </w:rPr>
              <w:lastRenderedPageBreak/>
              <w:t>November 29, 2011</w:t>
            </w:r>
          </w:p>
          <w:p w:rsidR="00DE7E07" w:rsidRPr="00163264" w:rsidRDefault="00DE7E07" w:rsidP="00E2016D">
            <w:pPr>
              <w:jc w:val="both"/>
              <w:rPr>
                <w:rFonts w:eastAsia="Calibri"/>
                <w:sz w:val="20"/>
              </w:rPr>
            </w:pPr>
            <w:r w:rsidRPr="00163264">
              <w:rPr>
                <w:rFonts w:eastAsia="Calibri"/>
                <w:sz w:val="20"/>
              </w:rPr>
              <w:t>Ontario Superior Court of Justice</w:t>
            </w:r>
          </w:p>
          <w:p w:rsidR="00DE7E07" w:rsidRPr="00163264" w:rsidRDefault="00DE7E07" w:rsidP="00E2016D">
            <w:pPr>
              <w:jc w:val="both"/>
              <w:rPr>
                <w:rFonts w:eastAsia="Calibri"/>
                <w:sz w:val="20"/>
              </w:rPr>
            </w:pPr>
            <w:r w:rsidRPr="00163264">
              <w:rPr>
                <w:rFonts w:eastAsia="Calibri"/>
                <w:sz w:val="20"/>
              </w:rPr>
              <w:t>(Herold J.)</w:t>
            </w:r>
          </w:p>
          <w:p w:rsidR="00DE7E07" w:rsidRPr="00163264" w:rsidRDefault="00DE7E07" w:rsidP="00E2016D">
            <w:pPr>
              <w:jc w:val="both"/>
              <w:rPr>
                <w:rFonts w:eastAsia="Calibri"/>
                <w:sz w:val="20"/>
              </w:rPr>
            </w:pPr>
            <w:r w:rsidRPr="00163264">
              <w:rPr>
                <w:rFonts w:eastAsia="Calibri"/>
                <w:sz w:val="20"/>
              </w:rPr>
              <w:t>Docket No. CR-11-00000078-00MO;</w:t>
            </w:r>
          </w:p>
          <w:p w:rsidR="00DE7E07" w:rsidRPr="00163264" w:rsidRDefault="00944C2E" w:rsidP="00E2016D">
            <w:pPr>
              <w:jc w:val="both"/>
              <w:rPr>
                <w:rFonts w:eastAsia="Calibri"/>
                <w:sz w:val="20"/>
              </w:rPr>
            </w:pPr>
            <w:hyperlink r:id="rId26" w:history="1">
              <w:r w:rsidR="00DE7E07" w:rsidRPr="00163264">
                <w:rPr>
                  <w:rFonts w:eastAsia="Calibri"/>
                  <w:color w:val="0000FF"/>
                  <w:sz w:val="20"/>
                  <w:u w:val="single"/>
                </w:rPr>
                <w:t>2011 CanLII 82625</w:t>
              </w:r>
            </w:hyperlink>
          </w:p>
          <w:p w:rsidR="00DE7E07" w:rsidRPr="00163264" w:rsidRDefault="00DE7E07" w:rsidP="00E2016D">
            <w:pPr>
              <w:jc w:val="both"/>
              <w:rPr>
                <w:rFonts w:eastAsia="Calibri"/>
                <w:sz w:val="20"/>
              </w:rPr>
            </w:pPr>
          </w:p>
        </w:tc>
        <w:tc>
          <w:tcPr>
            <w:tcW w:w="243" w:type="pct"/>
          </w:tcPr>
          <w:p w:rsidR="00DE7E07" w:rsidRPr="00163264" w:rsidRDefault="00DE7E07" w:rsidP="00E2016D">
            <w:pPr>
              <w:jc w:val="both"/>
              <w:rPr>
                <w:rFonts w:eastAsia="Calibri"/>
                <w:sz w:val="20"/>
              </w:rPr>
            </w:pPr>
          </w:p>
        </w:tc>
        <w:tc>
          <w:tcPr>
            <w:tcW w:w="2330" w:type="pct"/>
          </w:tcPr>
          <w:p w:rsidR="00DE7E07" w:rsidRPr="00163264" w:rsidRDefault="00DE7E07" w:rsidP="00E2016D">
            <w:pPr>
              <w:jc w:val="both"/>
              <w:rPr>
                <w:rFonts w:eastAsia="Calibri"/>
                <w:sz w:val="20"/>
              </w:rPr>
            </w:pPr>
            <w:r w:rsidRPr="00163264">
              <w:rPr>
                <w:rFonts w:eastAsia="Calibri"/>
                <w:sz w:val="20"/>
              </w:rPr>
              <w:t xml:space="preserve">Application for </w:t>
            </w:r>
            <w:r w:rsidRPr="00163264">
              <w:rPr>
                <w:rFonts w:eastAsia="Calibri"/>
                <w:i/>
                <w:sz w:val="20"/>
              </w:rPr>
              <w:t>mandamus</w:t>
            </w:r>
            <w:r w:rsidRPr="00163264">
              <w:rPr>
                <w:rFonts w:eastAsia="Calibri"/>
                <w:sz w:val="20"/>
              </w:rPr>
              <w:t xml:space="preserve"> and </w:t>
            </w:r>
            <w:r w:rsidRPr="00163264">
              <w:rPr>
                <w:rFonts w:eastAsia="Calibri"/>
                <w:i/>
                <w:sz w:val="20"/>
              </w:rPr>
              <w:t>certiorari,</w:t>
            </w:r>
            <w:r w:rsidRPr="00163264">
              <w:rPr>
                <w:rFonts w:eastAsia="Calibri"/>
                <w:sz w:val="20"/>
              </w:rPr>
              <w:t xml:space="preserve"> dismissed</w:t>
            </w:r>
          </w:p>
          <w:p w:rsidR="00DE7E07" w:rsidRPr="00163264" w:rsidRDefault="00DE7E07" w:rsidP="00E2016D">
            <w:pPr>
              <w:jc w:val="both"/>
              <w:rPr>
                <w:rFonts w:eastAsia="Calibri"/>
                <w:sz w:val="20"/>
              </w:rPr>
            </w:pPr>
          </w:p>
        </w:tc>
      </w:tr>
      <w:tr w:rsidR="00DE7E07" w:rsidRPr="00163264" w:rsidTr="00A0198D">
        <w:trPr>
          <w:cantSplit/>
        </w:trPr>
        <w:tc>
          <w:tcPr>
            <w:tcW w:w="2427" w:type="pct"/>
          </w:tcPr>
          <w:p w:rsidR="00DE7E07" w:rsidRPr="00163264" w:rsidRDefault="00DE7E07" w:rsidP="00E2016D">
            <w:pPr>
              <w:jc w:val="both"/>
              <w:rPr>
                <w:rFonts w:eastAsia="Calibri"/>
                <w:sz w:val="20"/>
              </w:rPr>
            </w:pPr>
            <w:r w:rsidRPr="00163264">
              <w:rPr>
                <w:rFonts w:eastAsia="Calibri"/>
                <w:sz w:val="20"/>
              </w:rPr>
              <w:t>November 18, 2013</w:t>
            </w:r>
          </w:p>
          <w:p w:rsidR="00DE7E07" w:rsidRPr="00163264" w:rsidRDefault="00DE7E07" w:rsidP="00E2016D">
            <w:pPr>
              <w:jc w:val="both"/>
              <w:rPr>
                <w:rFonts w:eastAsia="Calibri"/>
                <w:sz w:val="20"/>
              </w:rPr>
            </w:pPr>
            <w:r w:rsidRPr="00163264">
              <w:rPr>
                <w:rFonts w:eastAsia="Calibri"/>
                <w:sz w:val="20"/>
              </w:rPr>
              <w:t>Court of Appeal for Ontario</w:t>
            </w:r>
          </w:p>
          <w:p w:rsidR="00DE7E07" w:rsidRPr="00163264" w:rsidRDefault="00DE7E07" w:rsidP="00E2016D">
            <w:pPr>
              <w:jc w:val="both"/>
              <w:rPr>
                <w:rFonts w:eastAsia="Calibri"/>
                <w:sz w:val="20"/>
              </w:rPr>
            </w:pPr>
            <w:r w:rsidRPr="00163264">
              <w:rPr>
                <w:rFonts w:eastAsia="Calibri"/>
                <w:sz w:val="20"/>
              </w:rPr>
              <w:t>(MacPherson, Rouleau and Hourigan JJ.A.)</w:t>
            </w:r>
          </w:p>
          <w:p w:rsidR="00DE7E07" w:rsidRPr="00163264" w:rsidRDefault="00DE7E07" w:rsidP="00E2016D">
            <w:pPr>
              <w:jc w:val="both"/>
              <w:rPr>
                <w:rFonts w:eastAsia="Calibri"/>
                <w:sz w:val="20"/>
              </w:rPr>
            </w:pPr>
            <w:r w:rsidRPr="00163264">
              <w:rPr>
                <w:rFonts w:eastAsia="Calibri"/>
                <w:sz w:val="20"/>
              </w:rPr>
              <w:t>Docket No. C54926</w:t>
            </w:r>
          </w:p>
          <w:p w:rsidR="00DE7E07" w:rsidRPr="00163264" w:rsidRDefault="00DE7E07" w:rsidP="00E2016D">
            <w:pPr>
              <w:jc w:val="both"/>
              <w:rPr>
                <w:rFonts w:eastAsia="Calibri"/>
                <w:sz w:val="20"/>
              </w:rPr>
            </w:pPr>
          </w:p>
        </w:tc>
        <w:tc>
          <w:tcPr>
            <w:tcW w:w="243" w:type="pct"/>
          </w:tcPr>
          <w:p w:rsidR="00DE7E07" w:rsidRPr="00163264" w:rsidRDefault="00DE7E07" w:rsidP="00E2016D">
            <w:pPr>
              <w:jc w:val="both"/>
              <w:rPr>
                <w:rFonts w:eastAsia="Calibri"/>
                <w:sz w:val="20"/>
              </w:rPr>
            </w:pPr>
          </w:p>
        </w:tc>
        <w:tc>
          <w:tcPr>
            <w:tcW w:w="2330" w:type="pct"/>
          </w:tcPr>
          <w:p w:rsidR="00DE7E07" w:rsidRPr="00163264" w:rsidRDefault="00DE7E07" w:rsidP="00E2016D">
            <w:pPr>
              <w:jc w:val="both"/>
              <w:rPr>
                <w:rFonts w:eastAsia="Calibri"/>
                <w:sz w:val="20"/>
              </w:rPr>
            </w:pPr>
            <w:r w:rsidRPr="00163264">
              <w:rPr>
                <w:rFonts w:eastAsia="Calibri"/>
                <w:sz w:val="20"/>
              </w:rPr>
              <w:t>Appeal dismissed</w:t>
            </w:r>
          </w:p>
          <w:p w:rsidR="00DE7E07" w:rsidRPr="00163264" w:rsidRDefault="00DE7E07" w:rsidP="00E2016D">
            <w:pPr>
              <w:jc w:val="both"/>
              <w:rPr>
                <w:rFonts w:eastAsia="Calibri"/>
                <w:sz w:val="20"/>
              </w:rPr>
            </w:pPr>
          </w:p>
        </w:tc>
      </w:tr>
      <w:tr w:rsidR="00DE7E07" w:rsidRPr="00163264" w:rsidTr="00A0198D">
        <w:trPr>
          <w:cantSplit/>
        </w:trPr>
        <w:tc>
          <w:tcPr>
            <w:tcW w:w="2427" w:type="pct"/>
          </w:tcPr>
          <w:p w:rsidR="00DE7E07" w:rsidRPr="00163264" w:rsidRDefault="00DE7E07" w:rsidP="00E2016D">
            <w:pPr>
              <w:jc w:val="both"/>
              <w:rPr>
                <w:rFonts w:eastAsia="Calibri"/>
                <w:sz w:val="20"/>
              </w:rPr>
            </w:pPr>
            <w:r w:rsidRPr="00163264">
              <w:rPr>
                <w:rFonts w:eastAsia="Calibri"/>
                <w:sz w:val="20"/>
              </w:rPr>
              <w:t>March 18, 2014</w:t>
            </w:r>
          </w:p>
          <w:p w:rsidR="00DE7E07" w:rsidRPr="00163264" w:rsidRDefault="00DE7E07" w:rsidP="00E2016D">
            <w:pPr>
              <w:jc w:val="both"/>
              <w:rPr>
                <w:rFonts w:eastAsia="Calibri"/>
                <w:sz w:val="20"/>
              </w:rPr>
            </w:pPr>
            <w:r w:rsidRPr="00163264">
              <w:rPr>
                <w:rFonts w:eastAsia="Calibri"/>
                <w:sz w:val="20"/>
              </w:rPr>
              <w:t>Supreme Court of Canada</w:t>
            </w:r>
          </w:p>
          <w:p w:rsidR="00DE7E07" w:rsidRPr="00163264" w:rsidRDefault="00DE7E07" w:rsidP="00E2016D">
            <w:pPr>
              <w:jc w:val="both"/>
              <w:rPr>
                <w:rFonts w:eastAsia="Calibri"/>
                <w:sz w:val="20"/>
              </w:rPr>
            </w:pPr>
          </w:p>
        </w:tc>
        <w:tc>
          <w:tcPr>
            <w:tcW w:w="243" w:type="pct"/>
          </w:tcPr>
          <w:p w:rsidR="00DE7E07" w:rsidRPr="00163264" w:rsidRDefault="00DE7E07" w:rsidP="00E2016D">
            <w:pPr>
              <w:jc w:val="both"/>
              <w:rPr>
                <w:rFonts w:eastAsia="Calibri"/>
                <w:sz w:val="20"/>
              </w:rPr>
            </w:pPr>
          </w:p>
        </w:tc>
        <w:tc>
          <w:tcPr>
            <w:tcW w:w="2330" w:type="pct"/>
          </w:tcPr>
          <w:p w:rsidR="00DE7E07" w:rsidRPr="00163264" w:rsidRDefault="00DE7E07" w:rsidP="00E2016D">
            <w:pPr>
              <w:jc w:val="both"/>
              <w:rPr>
                <w:rFonts w:eastAsia="Calibri"/>
                <w:sz w:val="20"/>
              </w:rPr>
            </w:pPr>
            <w:r w:rsidRPr="00163264">
              <w:rPr>
                <w:rFonts w:eastAsia="Calibri"/>
                <w:sz w:val="20"/>
              </w:rPr>
              <w:t xml:space="preserve">Motion for an extension of time to serve and file an application for leave to appeal and application for leave to appeal, filed </w:t>
            </w:r>
          </w:p>
        </w:tc>
      </w:tr>
    </w:tbl>
    <w:p w:rsidR="00965AE9" w:rsidRDefault="00965AE9" w:rsidP="00965AE9">
      <w:pPr>
        <w:rPr>
          <w:sz w:val="20"/>
          <w:szCs w:val="20"/>
        </w:rPr>
      </w:pPr>
    </w:p>
    <w:p w:rsidR="00965AE9" w:rsidRPr="00C50A5C" w:rsidRDefault="00944C2E" w:rsidP="00965AE9">
      <w:pPr>
        <w:rPr>
          <w:sz w:val="20"/>
          <w:szCs w:val="20"/>
        </w:rPr>
      </w:pPr>
      <w:r>
        <w:rPr>
          <w:sz w:val="20"/>
          <w:szCs w:val="20"/>
          <w:lang w:val="fr-CA"/>
        </w:rPr>
        <w:pict>
          <v:rect id="_x0000_i1045" style="width:2in;height:1pt" o:hrpct="0" o:hralign="center" o:hrstd="t" o:hrnoshade="t" o:hr="t" fillcolor="black [3213]" stroked="f"/>
        </w:pict>
      </w:r>
    </w:p>
    <w:p w:rsidR="00965AE9" w:rsidRDefault="00965AE9" w:rsidP="00965AE9">
      <w:pPr>
        <w:rPr>
          <w:sz w:val="20"/>
          <w:szCs w:val="20"/>
        </w:rPr>
      </w:pPr>
    </w:p>
    <w:p w:rsidR="00965AE9" w:rsidRPr="001B157C" w:rsidRDefault="00965AE9" w:rsidP="00965AE9">
      <w:pPr>
        <w:rPr>
          <w:sz w:val="20"/>
          <w:szCs w:val="20"/>
          <w:u w:val="single"/>
          <w:lang w:val="fr-CA"/>
        </w:rPr>
      </w:pPr>
      <w:r w:rsidRPr="001B157C">
        <w:rPr>
          <w:sz w:val="20"/>
          <w:szCs w:val="20"/>
          <w:u w:val="single"/>
          <w:lang w:val="fr-CA"/>
        </w:rPr>
        <w:t>RÉSUMÉ DE L’AFFAIRE</w:t>
      </w:r>
    </w:p>
    <w:p w:rsidR="00965AE9" w:rsidRDefault="00965AE9" w:rsidP="00965AE9">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E7E07" w:rsidRPr="00944C2E" w:rsidTr="00E2016D">
        <w:tc>
          <w:tcPr>
            <w:tcW w:w="5000" w:type="pct"/>
            <w:gridSpan w:val="3"/>
          </w:tcPr>
          <w:p w:rsidR="00DE7E07" w:rsidRPr="00163264" w:rsidRDefault="00DE7E07" w:rsidP="00E2016D">
            <w:pPr>
              <w:jc w:val="both"/>
              <w:rPr>
                <w:rFonts w:eastAsia="Calibri"/>
                <w:smallCaps/>
                <w:sz w:val="20"/>
                <w:lang w:val="fr-CA"/>
              </w:rPr>
            </w:pPr>
            <w:r w:rsidRPr="00163264">
              <w:rPr>
                <w:rFonts w:eastAsia="Calibri"/>
                <w:smallCaps/>
                <w:sz w:val="20"/>
                <w:lang w:val="fr-CA"/>
              </w:rPr>
              <w:t>(</w:t>
            </w:r>
            <w:r>
              <w:rPr>
                <w:rFonts w:eastAsia="Calibri"/>
                <w:smallCaps/>
                <w:sz w:val="20"/>
                <w:lang w:val="fr-CA"/>
              </w:rPr>
              <w:t>O</w:t>
            </w:r>
            <w:r w:rsidRPr="00163264">
              <w:rPr>
                <w:rFonts w:eastAsia="Calibri"/>
                <w:smallCaps/>
                <w:sz w:val="20"/>
                <w:lang w:val="fr-CA"/>
              </w:rPr>
              <w:t>rdonnance de non-publication dans le dossier) (</w:t>
            </w:r>
            <w:r>
              <w:rPr>
                <w:rFonts w:eastAsia="Calibri"/>
                <w:smallCaps/>
                <w:sz w:val="20"/>
                <w:lang w:val="fr-CA"/>
              </w:rPr>
              <w:t>O</w:t>
            </w:r>
            <w:r w:rsidRPr="00163264">
              <w:rPr>
                <w:rFonts w:eastAsia="Calibri"/>
                <w:smallCaps/>
                <w:sz w:val="20"/>
                <w:lang w:val="fr-CA"/>
              </w:rPr>
              <w:t>rdonnance de mise sous scellés)</w:t>
            </w:r>
          </w:p>
          <w:p w:rsidR="00DE7E07" w:rsidRPr="00163264" w:rsidRDefault="00DE7E07" w:rsidP="00E2016D">
            <w:pPr>
              <w:jc w:val="both"/>
              <w:rPr>
                <w:rFonts w:eastAsia="Calibri"/>
                <w:sz w:val="20"/>
                <w:lang w:val="fr-CA"/>
              </w:rPr>
            </w:pPr>
          </w:p>
          <w:p w:rsidR="00DE7E07" w:rsidRPr="00163264" w:rsidRDefault="00DE7E07" w:rsidP="00E2016D">
            <w:pPr>
              <w:jc w:val="both"/>
              <w:rPr>
                <w:rFonts w:eastAsia="Calibri"/>
                <w:sz w:val="20"/>
                <w:lang w:val="fr-CA"/>
              </w:rPr>
            </w:pPr>
            <w:r w:rsidRPr="00163264">
              <w:rPr>
                <w:rFonts w:eastAsia="Calibri"/>
                <w:sz w:val="20"/>
                <w:lang w:val="fr-CA"/>
              </w:rPr>
              <w:t xml:space="preserve">Brefs de prérogative — </w:t>
            </w:r>
            <w:r w:rsidRPr="00163264">
              <w:rPr>
                <w:rFonts w:eastAsia="Calibri"/>
                <w:i/>
                <w:sz w:val="20"/>
                <w:lang w:val="fr-CA"/>
              </w:rPr>
              <w:t>Mandamus</w:t>
            </w:r>
            <w:r w:rsidRPr="00163264">
              <w:rPr>
                <w:rFonts w:eastAsia="Calibri"/>
                <w:sz w:val="20"/>
                <w:lang w:val="fr-CA"/>
              </w:rPr>
              <w:t xml:space="preserve"> — </w:t>
            </w:r>
            <w:r w:rsidRPr="00163264">
              <w:rPr>
                <w:rFonts w:eastAsia="Calibri"/>
                <w:i/>
                <w:sz w:val="20"/>
                <w:lang w:val="fr-CA"/>
              </w:rPr>
              <w:t>Certiorari</w:t>
            </w:r>
            <w:r w:rsidRPr="00163264">
              <w:rPr>
                <w:rFonts w:eastAsia="Calibri"/>
                <w:sz w:val="20"/>
                <w:lang w:val="fr-CA"/>
              </w:rPr>
              <w:t xml:space="preserve"> — Dénonciations privées déposées par le demandeur contre des tiers en vertu du </w:t>
            </w:r>
            <w:r w:rsidRPr="00163264">
              <w:rPr>
                <w:rFonts w:eastAsia="Calibri"/>
                <w:i/>
                <w:sz w:val="20"/>
                <w:lang w:val="fr-CA"/>
              </w:rPr>
              <w:t>Code criminel</w:t>
            </w:r>
            <w:r w:rsidRPr="00163264">
              <w:rPr>
                <w:rFonts w:eastAsia="Calibri"/>
                <w:sz w:val="20"/>
                <w:lang w:val="fr-CA"/>
              </w:rPr>
              <w:t xml:space="preserve"> pour parjure et fabrication d’éléments de preuve — Refus du juge de paix d’engager la procédure — Dépôt par le demandeur d’une demande de </w:t>
            </w:r>
            <w:r w:rsidRPr="00163264">
              <w:rPr>
                <w:rFonts w:eastAsia="Calibri"/>
                <w:i/>
                <w:sz w:val="20"/>
                <w:lang w:val="fr-CA"/>
              </w:rPr>
              <w:t>mandamus</w:t>
            </w:r>
            <w:r w:rsidRPr="00163264">
              <w:rPr>
                <w:rFonts w:eastAsia="Calibri"/>
                <w:sz w:val="20"/>
                <w:lang w:val="fr-CA"/>
              </w:rPr>
              <w:t xml:space="preserve"> et de </w:t>
            </w:r>
            <w:r w:rsidRPr="00163264">
              <w:rPr>
                <w:rFonts w:eastAsia="Calibri"/>
                <w:i/>
                <w:sz w:val="20"/>
                <w:lang w:val="fr-CA"/>
              </w:rPr>
              <w:t>certiorari</w:t>
            </w:r>
            <w:r w:rsidRPr="00163264">
              <w:rPr>
                <w:rFonts w:eastAsia="Calibri"/>
                <w:sz w:val="20"/>
                <w:lang w:val="fr-CA"/>
              </w:rPr>
              <w:t xml:space="preserve"> — La Cour d’appel a-t-elle rejeté à tort l’appel du demandeur? </w:t>
            </w:r>
          </w:p>
        </w:tc>
      </w:tr>
      <w:tr w:rsidR="00DE7E07" w:rsidRPr="00944C2E" w:rsidTr="00E2016D">
        <w:tc>
          <w:tcPr>
            <w:tcW w:w="5000" w:type="pct"/>
            <w:gridSpan w:val="3"/>
          </w:tcPr>
          <w:p w:rsidR="00DE7E07" w:rsidRPr="00163264" w:rsidRDefault="00DE7E07" w:rsidP="00E2016D">
            <w:pPr>
              <w:jc w:val="both"/>
              <w:rPr>
                <w:rFonts w:eastAsia="Calibri"/>
                <w:sz w:val="20"/>
                <w:lang w:val="fr-CA"/>
              </w:rPr>
            </w:pPr>
          </w:p>
        </w:tc>
      </w:tr>
      <w:tr w:rsidR="00DE7E07" w:rsidRPr="00944C2E" w:rsidTr="00E2016D">
        <w:tc>
          <w:tcPr>
            <w:tcW w:w="5000" w:type="pct"/>
            <w:gridSpan w:val="3"/>
          </w:tcPr>
          <w:p w:rsidR="00DE7E07" w:rsidRPr="00163264" w:rsidRDefault="00DE7E07" w:rsidP="00E2016D">
            <w:pPr>
              <w:jc w:val="both"/>
              <w:rPr>
                <w:rFonts w:eastAsia="Calibri"/>
                <w:sz w:val="20"/>
                <w:lang w:val="fr-CA"/>
              </w:rPr>
            </w:pPr>
            <w:r w:rsidRPr="00163264">
              <w:rPr>
                <w:rFonts w:eastAsia="Calibri"/>
                <w:sz w:val="20"/>
                <w:lang w:val="fr-CA"/>
              </w:rPr>
              <w:t xml:space="preserve">Le demandeur a été déclaré coupable de trois chefs d’agression armée en 2003.  La même année, on a intenté contre lui une poursuite civile fondée sur les agressions.  Il a été jugé responsable et condamné à payer des dommages-intérêts aux personnes qu’il avait agressées. </w:t>
            </w:r>
          </w:p>
          <w:p w:rsidR="00DE7E07" w:rsidRPr="00163264" w:rsidRDefault="00DE7E07" w:rsidP="00E2016D">
            <w:pPr>
              <w:jc w:val="both"/>
              <w:rPr>
                <w:rFonts w:eastAsia="Calibri"/>
                <w:sz w:val="20"/>
                <w:lang w:val="fr-CA"/>
              </w:rPr>
            </w:pPr>
          </w:p>
          <w:p w:rsidR="00DE7E07" w:rsidRPr="00163264" w:rsidRDefault="00DE7E07" w:rsidP="00E2016D">
            <w:pPr>
              <w:jc w:val="both"/>
              <w:rPr>
                <w:rFonts w:eastAsia="Calibri"/>
                <w:sz w:val="20"/>
                <w:lang w:val="fr-CA"/>
              </w:rPr>
            </w:pPr>
            <w:r w:rsidRPr="00163264">
              <w:rPr>
                <w:rFonts w:eastAsia="Calibri"/>
                <w:sz w:val="20"/>
                <w:lang w:val="fr-CA"/>
              </w:rPr>
              <w:t xml:space="preserve">En 2010, le demandeur a porté des accusations privées de parjure et de fabrication d’éléments de preuve contre les témoins qui avaient été entendus lors de ses procès criminel et civil.  À l’issue d’une audience pré-enquête visant à déterminer s’il y avait lieu de porter des accusations criminelles contre ces témoins, le juge de paix a refusé d’engager la procédure au motif que le demandeur n’avait pas établi </w:t>
            </w:r>
            <w:r w:rsidRPr="00163264">
              <w:rPr>
                <w:rFonts w:eastAsia="Calibri"/>
                <w:i/>
                <w:sz w:val="20"/>
                <w:lang w:val="fr-CA"/>
              </w:rPr>
              <w:t>prima facie</w:t>
            </w:r>
            <w:r w:rsidRPr="00163264">
              <w:rPr>
                <w:rFonts w:eastAsia="Calibri"/>
                <w:sz w:val="20"/>
                <w:lang w:val="fr-CA"/>
              </w:rPr>
              <w:t xml:space="preserve"> le bien-fondé des accusations.  </w:t>
            </w:r>
          </w:p>
          <w:p w:rsidR="00DE7E07" w:rsidRPr="00163264" w:rsidRDefault="00DE7E07" w:rsidP="00E2016D">
            <w:pPr>
              <w:jc w:val="both"/>
              <w:rPr>
                <w:rFonts w:eastAsia="Calibri"/>
                <w:sz w:val="20"/>
                <w:lang w:val="fr-CA"/>
              </w:rPr>
            </w:pPr>
          </w:p>
          <w:p w:rsidR="00DE7E07" w:rsidRPr="00163264" w:rsidRDefault="00DE7E07" w:rsidP="00E2016D">
            <w:pPr>
              <w:jc w:val="both"/>
              <w:rPr>
                <w:rFonts w:eastAsia="Calibri"/>
                <w:sz w:val="20"/>
                <w:lang w:val="fr-CA"/>
              </w:rPr>
            </w:pPr>
            <w:r w:rsidRPr="00163264">
              <w:rPr>
                <w:rFonts w:eastAsia="Calibri"/>
                <w:sz w:val="20"/>
                <w:lang w:val="fr-CA"/>
              </w:rPr>
              <w:t xml:space="preserve">Le demandeur a ensuite présenté une demande de </w:t>
            </w:r>
            <w:r w:rsidRPr="00163264">
              <w:rPr>
                <w:rFonts w:eastAsia="Calibri"/>
                <w:i/>
                <w:sz w:val="20"/>
                <w:lang w:val="fr-CA"/>
              </w:rPr>
              <w:t xml:space="preserve">mandamus </w:t>
            </w:r>
            <w:r w:rsidRPr="00163264">
              <w:rPr>
                <w:rFonts w:eastAsia="Calibri"/>
                <w:sz w:val="20"/>
                <w:lang w:val="fr-CA"/>
              </w:rPr>
              <w:t xml:space="preserve">et de </w:t>
            </w:r>
            <w:r w:rsidRPr="00163264">
              <w:rPr>
                <w:rFonts w:eastAsia="Calibri"/>
                <w:i/>
                <w:sz w:val="20"/>
                <w:lang w:val="fr-CA"/>
              </w:rPr>
              <w:t>certiorari</w:t>
            </w:r>
            <w:r w:rsidRPr="00163264">
              <w:rPr>
                <w:rFonts w:eastAsia="Calibri"/>
                <w:sz w:val="20"/>
                <w:lang w:val="fr-CA"/>
              </w:rPr>
              <w:t xml:space="preserve">.  </w:t>
            </w:r>
          </w:p>
          <w:p w:rsidR="00DE7E07" w:rsidRPr="00163264" w:rsidRDefault="00DE7E07" w:rsidP="00E2016D">
            <w:pPr>
              <w:jc w:val="both"/>
              <w:rPr>
                <w:rFonts w:eastAsia="Calibri"/>
                <w:sz w:val="20"/>
                <w:lang w:val="fr-CA"/>
              </w:rPr>
            </w:pPr>
          </w:p>
        </w:tc>
      </w:tr>
      <w:tr w:rsidR="00DE7E07" w:rsidRPr="00944C2E" w:rsidTr="00E2016D">
        <w:tc>
          <w:tcPr>
            <w:tcW w:w="2427" w:type="pct"/>
          </w:tcPr>
          <w:p w:rsidR="00DE7E07" w:rsidRPr="00163264" w:rsidRDefault="00DE7E07" w:rsidP="00E2016D">
            <w:pPr>
              <w:jc w:val="both"/>
              <w:rPr>
                <w:rFonts w:eastAsia="Calibri"/>
                <w:sz w:val="20"/>
                <w:lang w:val="fr-CA"/>
              </w:rPr>
            </w:pPr>
            <w:r w:rsidRPr="00163264">
              <w:rPr>
                <w:rFonts w:eastAsia="Calibri"/>
                <w:sz w:val="20"/>
                <w:lang w:val="fr-CA"/>
              </w:rPr>
              <w:t>12 janvier 2011</w:t>
            </w:r>
          </w:p>
          <w:p w:rsidR="00DE7E07" w:rsidRPr="00163264" w:rsidRDefault="00DE7E07" w:rsidP="00E2016D">
            <w:pPr>
              <w:jc w:val="both"/>
              <w:rPr>
                <w:rFonts w:eastAsia="Calibri"/>
                <w:sz w:val="20"/>
                <w:lang w:val="fr-CA"/>
              </w:rPr>
            </w:pPr>
            <w:r w:rsidRPr="00163264">
              <w:rPr>
                <w:rFonts w:eastAsia="Calibri"/>
                <w:sz w:val="20"/>
                <w:lang w:val="fr-CA"/>
              </w:rPr>
              <w:t>Cour de justice de l’Ontario</w:t>
            </w:r>
          </w:p>
          <w:p w:rsidR="00DE7E07" w:rsidRPr="00163264" w:rsidRDefault="00DE7E07" w:rsidP="00E2016D">
            <w:pPr>
              <w:jc w:val="both"/>
              <w:rPr>
                <w:rFonts w:eastAsia="Calibri"/>
                <w:sz w:val="20"/>
                <w:lang w:val="fr-CA"/>
              </w:rPr>
            </w:pPr>
            <w:r w:rsidRPr="00163264">
              <w:rPr>
                <w:rFonts w:eastAsia="Calibri"/>
                <w:sz w:val="20"/>
                <w:lang w:val="fr-CA"/>
              </w:rPr>
              <w:t>(Juge de paix J.S. Woloschuk)</w:t>
            </w:r>
          </w:p>
          <w:p w:rsidR="00DE7E07" w:rsidRPr="00163264" w:rsidRDefault="00DE7E07" w:rsidP="00E2016D">
            <w:pPr>
              <w:jc w:val="both"/>
              <w:rPr>
                <w:rFonts w:eastAsia="Calibri"/>
                <w:sz w:val="20"/>
                <w:lang w:val="fr-CA"/>
              </w:rPr>
            </w:pPr>
          </w:p>
        </w:tc>
        <w:tc>
          <w:tcPr>
            <w:tcW w:w="243" w:type="pct"/>
          </w:tcPr>
          <w:p w:rsidR="00DE7E07" w:rsidRPr="00163264" w:rsidRDefault="00DE7E07" w:rsidP="00E2016D">
            <w:pPr>
              <w:jc w:val="both"/>
              <w:rPr>
                <w:rFonts w:eastAsia="Calibri"/>
                <w:sz w:val="20"/>
                <w:lang w:val="fr-CA"/>
              </w:rPr>
            </w:pPr>
          </w:p>
        </w:tc>
        <w:tc>
          <w:tcPr>
            <w:tcW w:w="2330" w:type="pct"/>
          </w:tcPr>
          <w:p w:rsidR="00DE7E07" w:rsidRPr="00163264" w:rsidRDefault="00DE7E07" w:rsidP="00E2016D">
            <w:pPr>
              <w:jc w:val="both"/>
              <w:rPr>
                <w:rFonts w:eastAsia="Calibri"/>
                <w:sz w:val="20"/>
                <w:lang w:val="fr-CA"/>
              </w:rPr>
            </w:pPr>
            <w:r w:rsidRPr="00163264">
              <w:rPr>
                <w:rFonts w:eastAsia="Calibri"/>
                <w:sz w:val="20"/>
                <w:lang w:val="fr-CA"/>
              </w:rPr>
              <w:t>Dénonciations privées déposées par le demandeur pour parjure et fabrication d’éléments de preuve, inscrites sans qu’une procédure soit engagée;</w:t>
            </w:r>
          </w:p>
          <w:p w:rsidR="00DE7E07" w:rsidRPr="00163264" w:rsidRDefault="00DE7E07" w:rsidP="00E2016D">
            <w:pPr>
              <w:jc w:val="both"/>
              <w:rPr>
                <w:rFonts w:eastAsia="Calibri"/>
                <w:sz w:val="20"/>
                <w:lang w:val="fr-CA"/>
              </w:rPr>
            </w:pPr>
          </w:p>
        </w:tc>
      </w:tr>
      <w:tr w:rsidR="00DE7E07" w:rsidRPr="00944C2E" w:rsidTr="00E2016D">
        <w:tc>
          <w:tcPr>
            <w:tcW w:w="2427" w:type="pct"/>
          </w:tcPr>
          <w:p w:rsidR="00DE7E07" w:rsidRPr="00163264" w:rsidRDefault="00DE7E07" w:rsidP="00E2016D">
            <w:pPr>
              <w:jc w:val="both"/>
              <w:rPr>
                <w:rFonts w:eastAsia="Calibri"/>
                <w:sz w:val="20"/>
                <w:lang w:val="fr-CA"/>
              </w:rPr>
            </w:pPr>
            <w:r w:rsidRPr="00163264">
              <w:rPr>
                <w:rFonts w:eastAsia="Calibri"/>
                <w:sz w:val="20"/>
                <w:lang w:val="fr-CA"/>
              </w:rPr>
              <w:t>29 novembre 2011</w:t>
            </w:r>
          </w:p>
          <w:p w:rsidR="00DE7E07" w:rsidRPr="00163264" w:rsidRDefault="00DE7E07" w:rsidP="00E2016D">
            <w:pPr>
              <w:jc w:val="both"/>
              <w:rPr>
                <w:rFonts w:eastAsia="Calibri"/>
                <w:sz w:val="20"/>
                <w:lang w:val="fr-CA"/>
              </w:rPr>
            </w:pPr>
            <w:r w:rsidRPr="00163264">
              <w:rPr>
                <w:rFonts w:eastAsia="Calibri"/>
                <w:sz w:val="20"/>
                <w:lang w:val="fr-CA"/>
              </w:rPr>
              <w:t xml:space="preserve">Cour supérieure de justice de l’Ontario </w:t>
            </w:r>
          </w:p>
          <w:p w:rsidR="00DE7E07" w:rsidRPr="00163264" w:rsidRDefault="00DE7E07" w:rsidP="00E2016D">
            <w:pPr>
              <w:jc w:val="both"/>
              <w:rPr>
                <w:rFonts w:eastAsia="Calibri"/>
                <w:sz w:val="20"/>
              </w:rPr>
            </w:pPr>
            <w:r w:rsidRPr="00163264">
              <w:rPr>
                <w:rFonts w:eastAsia="Calibri"/>
                <w:sz w:val="20"/>
              </w:rPr>
              <w:t>(Juge Herold)</w:t>
            </w:r>
          </w:p>
          <w:p w:rsidR="00DE7E07" w:rsidRPr="00163264" w:rsidRDefault="00DE7E07" w:rsidP="00E2016D">
            <w:pPr>
              <w:jc w:val="both"/>
              <w:rPr>
                <w:rFonts w:eastAsia="Calibri"/>
                <w:sz w:val="20"/>
              </w:rPr>
            </w:pPr>
            <w:r w:rsidRPr="00163264">
              <w:rPr>
                <w:rFonts w:eastAsia="Calibri"/>
                <w:sz w:val="20"/>
              </w:rPr>
              <w:t>N</w:t>
            </w:r>
            <w:r w:rsidRPr="00163264">
              <w:rPr>
                <w:rFonts w:eastAsia="Calibri"/>
                <w:sz w:val="20"/>
                <w:vertAlign w:val="superscript"/>
              </w:rPr>
              <w:t>o</w:t>
            </w:r>
            <w:r w:rsidRPr="00163264">
              <w:rPr>
                <w:rFonts w:eastAsia="Calibri"/>
                <w:sz w:val="20"/>
              </w:rPr>
              <w:t xml:space="preserve"> du greffe CR-11-00000078-00MO;</w:t>
            </w:r>
          </w:p>
          <w:p w:rsidR="00DE7E07" w:rsidRPr="00163264" w:rsidRDefault="00944C2E" w:rsidP="00E2016D">
            <w:pPr>
              <w:jc w:val="both"/>
              <w:rPr>
                <w:rFonts w:eastAsia="Calibri"/>
                <w:sz w:val="20"/>
              </w:rPr>
            </w:pPr>
            <w:hyperlink r:id="rId27" w:history="1">
              <w:r w:rsidR="00DE7E07" w:rsidRPr="00163264">
                <w:rPr>
                  <w:rFonts w:eastAsia="Calibri"/>
                  <w:color w:val="0000FF"/>
                  <w:sz w:val="20"/>
                  <w:u w:val="single"/>
                </w:rPr>
                <w:t>2011 CanLII 82625</w:t>
              </w:r>
            </w:hyperlink>
          </w:p>
          <w:p w:rsidR="00DE7E07" w:rsidRPr="00163264" w:rsidRDefault="00DE7E07" w:rsidP="00E2016D">
            <w:pPr>
              <w:jc w:val="both"/>
              <w:rPr>
                <w:rFonts w:eastAsia="Calibri"/>
                <w:sz w:val="20"/>
              </w:rPr>
            </w:pPr>
          </w:p>
        </w:tc>
        <w:tc>
          <w:tcPr>
            <w:tcW w:w="243" w:type="pct"/>
          </w:tcPr>
          <w:p w:rsidR="00DE7E07" w:rsidRPr="00163264" w:rsidRDefault="00DE7E07" w:rsidP="00E2016D">
            <w:pPr>
              <w:jc w:val="both"/>
              <w:rPr>
                <w:rFonts w:eastAsia="Calibri"/>
                <w:sz w:val="20"/>
              </w:rPr>
            </w:pPr>
          </w:p>
        </w:tc>
        <w:tc>
          <w:tcPr>
            <w:tcW w:w="2330" w:type="pct"/>
          </w:tcPr>
          <w:p w:rsidR="00DE7E07" w:rsidRPr="00163264" w:rsidRDefault="00DE7E07" w:rsidP="00E2016D">
            <w:pPr>
              <w:jc w:val="both"/>
              <w:rPr>
                <w:rFonts w:eastAsia="Calibri"/>
                <w:sz w:val="20"/>
                <w:lang w:val="fr-CA"/>
              </w:rPr>
            </w:pPr>
            <w:r w:rsidRPr="00163264">
              <w:rPr>
                <w:rFonts w:eastAsia="Calibri"/>
                <w:sz w:val="20"/>
                <w:lang w:val="fr-CA"/>
              </w:rPr>
              <w:t xml:space="preserve">Demande de </w:t>
            </w:r>
            <w:r w:rsidRPr="00163264">
              <w:rPr>
                <w:rFonts w:eastAsia="Calibri"/>
                <w:i/>
                <w:sz w:val="20"/>
                <w:lang w:val="fr-CA"/>
              </w:rPr>
              <w:t>mandamus</w:t>
            </w:r>
            <w:r w:rsidRPr="00163264">
              <w:rPr>
                <w:rFonts w:eastAsia="Calibri"/>
                <w:sz w:val="20"/>
                <w:lang w:val="fr-CA"/>
              </w:rPr>
              <w:t xml:space="preserve"> et de </w:t>
            </w:r>
            <w:r w:rsidRPr="00163264">
              <w:rPr>
                <w:rFonts w:eastAsia="Calibri"/>
                <w:i/>
                <w:sz w:val="20"/>
                <w:lang w:val="fr-CA"/>
              </w:rPr>
              <w:t>certiorari</w:t>
            </w:r>
            <w:r w:rsidRPr="00163264">
              <w:rPr>
                <w:rFonts w:eastAsia="Calibri"/>
                <w:sz w:val="20"/>
                <w:lang w:val="fr-CA"/>
              </w:rPr>
              <w:t xml:space="preserve"> rejetée</w:t>
            </w:r>
          </w:p>
          <w:p w:rsidR="00DE7E07" w:rsidRPr="00163264" w:rsidRDefault="00DE7E07" w:rsidP="00E2016D">
            <w:pPr>
              <w:jc w:val="both"/>
              <w:rPr>
                <w:rFonts w:eastAsia="Calibri"/>
                <w:sz w:val="20"/>
                <w:lang w:val="fr-CA"/>
              </w:rPr>
            </w:pPr>
          </w:p>
        </w:tc>
      </w:tr>
      <w:tr w:rsidR="00DE7E07" w:rsidRPr="00163264" w:rsidTr="00A0198D">
        <w:trPr>
          <w:cantSplit/>
        </w:trPr>
        <w:tc>
          <w:tcPr>
            <w:tcW w:w="2427" w:type="pct"/>
          </w:tcPr>
          <w:p w:rsidR="00DE7E07" w:rsidRPr="00163264" w:rsidRDefault="00DE7E07" w:rsidP="00E2016D">
            <w:pPr>
              <w:jc w:val="both"/>
              <w:rPr>
                <w:rFonts w:eastAsia="Calibri"/>
                <w:sz w:val="20"/>
                <w:lang w:val="fr-CA"/>
              </w:rPr>
            </w:pPr>
            <w:r w:rsidRPr="00163264">
              <w:rPr>
                <w:rFonts w:eastAsia="Calibri"/>
                <w:sz w:val="20"/>
                <w:lang w:val="fr-CA"/>
              </w:rPr>
              <w:lastRenderedPageBreak/>
              <w:t>18 novembre 2013</w:t>
            </w:r>
          </w:p>
          <w:p w:rsidR="00DE7E07" w:rsidRPr="00163264" w:rsidRDefault="00DE7E07" w:rsidP="00E2016D">
            <w:pPr>
              <w:jc w:val="both"/>
              <w:rPr>
                <w:rFonts w:eastAsia="Calibri"/>
                <w:sz w:val="20"/>
                <w:lang w:val="fr-CA"/>
              </w:rPr>
            </w:pPr>
            <w:r w:rsidRPr="00163264">
              <w:rPr>
                <w:rFonts w:eastAsia="Calibri"/>
                <w:sz w:val="20"/>
                <w:lang w:val="fr-CA"/>
              </w:rPr>
              <w:t>Cour d’appel de l’Ontario</w:t>
            </w:r>
          </w:p>
          <w:p w:rsidR="00DE7E07" w:rsidRPr="00163264" w:rsidRDefault="00DE7E07" w:rsidP="00E2016D">
            <w:pPr>
              <w:jc w:val="both"/>
              <w:rPr>
                <w:rFonts w:eastAsia="Calibri"/>
                <w:sz w:val="20"/>
                <w:lang w:val="fr-CA"/>
              </w:rPr>
            </w:pPr>
            <w:r w:rsidRPr="00163264">
              <w:rPr>
                <w:rFonts w:eastAsia="Calibri"/>
                <w:sz w:val="20"/>
                <w:lang w:val="fr-CA"/>
              </w:rPr>
              <w:t>(Juges MacPherson, Rouleau et Hourigan)</w:t>
            </w:r>
          </w:p>
          <w:p w:rsidR="00DE7E07" w:rsidRPr="00163264" w:rsidRDefault="00DE7E07" w:rsidP="00E2016D">
            <w:pPr>
              <w:jc w:val="both"/>
              <w:rPr>
                <w:rFonts w:eastAsia="Calibri"/>
                <w:sz w:val="20"/>
              </w:rPr>
            </w:pPr>
            <w:r w:rsidRPr="00163264">
              <w:rPr>
                <w:rFonts w:eastAsia="Calibri"/>
                <w:sz w:val="20"/>
                <w:lang w:val="fr-CA"/>
              </w:rPr>
              <w:t>N</w:t>
            </w:r>
            <w:r w:rsidRPr="00163264">
              <w:rPr>
                <w:rFonts w:eastAsia="Calibri"/>
                <w:sz w:val="20"/>
                <w:vertAlign w:val="superscript"/>
                <w:lang w:val="fr-CA"/>
              </w:rPr>
              <w:t>o</w:t>
            </w:r>
            <w:r w:rsidRPr="00163264">
              <w:rPr>
                <w:rFonts w:eastAsia="Calibri"/>
                <w:sz w:val="20"/>
                <w:lang w:val="fr-CA"/>
              </w:rPr>
              <w:t xml:space="preserve"> du greffe </w:t>
            </w:r>
            <w:r w:rsidRPr="00163264">
              <w:rPr>
                <w:rFonts w:eastAsia="Calibri"/>
                <w:sz w:val="20"/>
              </w:rPr>
              <w:t>C54926</w:t>
            </w:r>
          </w:p>
          <w:p w:rsidR="00DE7E07" w:rsidRPr="00163264" w:rsidRDefault="00DE7E07" w:rsidP="00E2016D">
            <w:pPr>
              <w:jc w:val="both"/>
              <w:rPr>
                <w:rFonts w:eastAsia="Calibri"/>
                <w:sz w:val="20"/>
              </w:rPr>
            </w:pPr>
          </w:p>
        </w:tc>
        <w:tc>
          <w:tcPr>
            <w:tcW w:w="243" w:type="pct"/>
          </w:tcPr>
          <w:p w:rsidR="00DE7E07" w:rsidRPr="00163264" w:rsidRDefault="00DE7E07" w:rsidP="00E2016D">
            <w:pPr>
              <w:jc w:val="both"/>
              <w:rPr>
                <w:rFonts w:eastAsia="Calibri"/>
                <w:sz w:val="20"/>
              </w:rPr>
            </w:pPr>
          </w:p>
        </w:tc>
        <w:tc>
          <w:tcPr>
            <w:tcW w:w="2330" w:type="pct"/>
          </w:tcPr>
          <w:p w:rsidR="00DE7E07" w:rsidRPr="00163264" w:rsidRDefault="00DE7E07" w:rsidP="00E2016D">
            <w:pPr>
              <w:jc w:val="both"/>
              <w:rPr>
                <w:rFonts w:eastAsia="Calibri"/>
                <w:sz w:val="20"/>
              </w:rPr>
            </w:pPr>
            <w:r w:rsidRPr="00163264">
              <w:rPr>
                <w:rFonts w:eastAsia="Calibri"/>
                <w:sz w:val="20"/>
              </w:rPr>
              <w:t>Appel rejeté</w:t>
            </w:r>
          </w:p>
          <w:p w:rsidR="00DE7E07" w:rsidRPr="00163264" w:rsidRDefault="00DE7E07" w:rsidP="00E2016D">
            <w:pPr>
              <w:jc w:val="both"/>
              <w:rPr>
                <w:rFonts w:eastAsia="Calibri"/>
                <w:sz w:val="20"/>
              </w:rPr>
            </w:pPr>
          </w:p>
        </w:tc>
      </w:tr>
      <w:tr w:rsidR="00DE7E07" w:rsidRPr="00944C2E" w:rsidTr="00A0198D">
        <w:trPr>
          <w:cantSplit/>
        </w:trPr>
        <w:tc>
          <w:tcPr>
            <w:tcW w:w="2427" w:type="pct"/>
          </w:tcPr>
          <w:p w:rsidR="00DE7E07" w:rsidRPr="00163264" w:rsidRDefault="00DE7E07" w:rsidP="00E2016D">
            <w:pPr>
              <w:jc w:val="both"/>
              <w:rPr>
                <w:rFonts w:eastAsia="Calibri"/>
                <w:sz w:val="20"/>
                <w:lang w:val="fr-CA"/>
              </w:rPr>
            </w:pPr>
            <w:r w:rsidRPr="00163264">
              <w:rPr>
                <w:rFonts w:eastAsia="Calibri"/>
                <w:sz w:val="20"/>
                <w:lang w:val="fr-CA"/>
              </w:rPr>
              <w:t>18 mars 2014</w:t>
            </w:r>
          </w:p>
          <w:p w:rsidR="00DE7E07" w:rsidRPr="00163264" w:rsidRDefault="00DE7E07" w:rsidP="00E2016D">
            <w:pPr>
              <w:jc w:val="both"/>
              <w:rPr>
                <w:rFonts w:eastAsia="Calibri"/>
                <w:sz w:val="20"/>
                <w:lang w:val="fr-CA"/>
              </w:rPr>
            </w:pPr>
            <w:r w:rsidRPr="00163264">
              <w:rPr>
                <w:rFonts w:eastAsia="Calibri"/>
                <w:sz w:val="20"/>
                <w:lang w:val="fr-CA"/>
              </w:rPr>
              <w:t>Cour suprême du Canada</w:t>
            </w:r>
          </w:p>
        </w:tc>
        <w:tc>
          <w:tcPr>
            <w:tcW w:w="243" w:type="pct"/>
          </w:tcPr>
          <w:p w:rsidR="00DE7E07" w:rsidRPr="00163264" w:rsidRDefault="00DE7E07" w:rsidP="00E2016D">
            <w:pPr>
              <w:jc w:val="both"/>
              <w:rPr>
                <w:rFonts w:eastAsia="Calibri"/>
                <w:sz w:val="20"/>
                <w:lang w:val="fr-CA"/>
              </w:rPr>
            </w:pPr>
          </w:p>
        </w:tc>
        <w:tc>
          <w:tcPr>
            <w:tcW w:w="2330" w:type="pct"/>
          </w:tcPr>
          <w:p w:rsidR="00DE7E07" w:rsidRPr="00163264" w:rsidRDefault="00DE7E07" w:rsidP="00E2016D">
            <w:pPr>
              <w:jc w:val="both"/>
              <w:rPr>
                <w:rFonts w:eastAsia="Calibri"/>
                <w:sz w:val="20"/>
                <w:lang w:val="fr-CA"/>
              </w:rPr>
            </w:pPr>
            <w:r w:rsidRPr="00163264">
              <w:rPr>
                <w:rFonts w:eastAsia="Calibri"/>
                <w:sz w:val="20"/>
                <w:lang w:val="fr-CA"/>
              </w:rPr>
              <w:t>Requête en prorogation du délai pour signifier et déposer une demande d’autorisation d’appel et demande d’autorisation d’appel déposées</w:t>
            </w:r>
          </w:p>
        </w:tc>
      </w:tr>
    </w:tbl>
    <w:p w:rsidR="00965AE9" w:rsidRPr="00965AE9" w:rsidRDefault="00965AE9" w:rsidP="00965AE9">
      <w:pPr>
        <w:rPr>
          <w:sz w:val="20"/>
          <w:szCs w:val="20"/>
          <w:lang w:val="fr-CA"/>
        </w:rPr>
      </w:pPr>
    </w:p>
    <w:p w:rsidR="00965AE9" w:rsidRDefault="00944C2E" w:rsidP="00965AE9">
      <w:pPr>
        <w:rPr>
          <w:sz w:val="20"/>
          <w:szCs w:val="20"/>
          <w:lang w:val="fr-CA"/>
        </w:rPr>
      </w:pPr>
      <w:r>
        <w:rPr>
          <w:sz w:val="20"/>
          <w:szCs w:val="20"/>
          <w:lang w:val="fr-CA"/>
        </w:rPr>
        <w:pict>
          <v:rect id="_x0000_i1046" style="width:2in;height:1pt" o:hrpct="0" o:hralign="center" o:hrstd="t" o:hrnoshade="t" o:hr="t" fillcolor="black [3213]" stroked="f"/>
        </w:pict>
      </w:r>
    </w:p>
    <w:p w:rsidR="00965AE9" w:rsidRDefault="00965AE9" w:rsidP="00965AE9">
      <w:pPr>
        <w:rPr>
          <w:sz w:val="20"/>
          <w:szCs w:val="20"/>
          <w:lang w:val="fr-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302C0" w:rsidRPr="009302C0" w:rsidTr="00A5501D">
        <w:trPr>
          <w:cantSplit/>
        </w:trPr>
        <w:tc>
          <w:tcPr>
            <w:tcW w:w="1458" w:type="dxa"/>
          </w:tcPr>
          <w:p w:rsidR="009302C0" w:rsidRPr="009302C0" w:rsidRDefault="009302C0" w:rsidP="009302C0">
            <w:pPr>
              <w:rPr>
                <w:sz w:val="20"/>
              </w:rPr>
            </w:pPr>
            <w:r w:rsidRPr="009302C0">
              <w:rPr>
                <w:b/>
                <w:sz w:val="20"/>
                <w:lang w:val="fr-CA"/>
              </w:rPr>
              <w:t>35798</w:t>
            </w:r>
          </w:p>
          <w:p w:rsidR="009302C0" w:rsidRPr="009302C0" w:rsidRDefault="009302C0" w:rsidP="009302C0">
            <w:pPr>
              <w:rPr>
                <w:b/>
                <w:sz w:val="20"/>
                <w:lang w:val="fr-CA"/>
              </w:rPr>
            </w:pPr>
          </w:p>
        </w:tc>
        <w:tc>
          <w:tcPr>
            <w:tcW w:w="8118" w:type="dxa"/>
          </w:tcPr>
          <w:p w:rsidR="009302C0" w:rsidRPr="009302C0" w:rsidRDefault="009302C0" w:rsidP="009302C0">
            <w:pPr>
              <w:rPr>
                <w:sz w:val="20"/>
              </w:rPr>
            </w:pPr>
            <w:r w:rsidRPr="009302C0">
              <w:rPr>
                <w:b/>
                <w:sz w:val="20"/>
                <w:u w:val="single"/>
              </w:rPr>
              <w:t>Rhiannon Elizabeth Paskall v. Gabriel Joseph Scheithauer</w:t>
            </w:r>
            <w:r w:rsidRPr="009302C0">
              <w:rPr>
                <w:sz w:val="20"/>
              </w:rPr>
              <w:t xml:space="preserve"> (B.C.) (Civil) (By Leave)</w:t>
            </w:r>
          </w:p>
          <w:p w:rsidR="009302C0" w:rsidRPr="009302C0" w:rsidRDefault="009302C0" w:rsidP="009302C0">
            <w:pPr>
              <w:rPr>
                <w:sz w:val="20"/>
              </w:rPr>
            </w:pPr>
          </w:p>
        </w:tc>
      </w:tr>
      <w:tr w:rsidR="009302C0" w:rsidRPr="009302C0" w:rsidTr="00A5501D">
        <w:trPr>
          <w:cantSplit/>
        </w:trPr>
        <w:tc>
          <w:tcPr>
            <w:tcW w:w="1458" w:type="dxa"/>
          </w:tcPr>
          <w:p w:rsidR="009302C0" w:rsidRPr="009302C0" w:rsidRDefault="009302C0" w:rsidP="009302C0">
            <w:pPr>
              <w:rPr>
                <w:sz w:val="20"/>
              </w:rPr>
            </w:pPr>
            <w:r w:rsidRPr="009302C0">
              <w:rPr>
                <w:sz w:val="20"/>
              </w:rPr>
              <w:t>Coram :</w:t>
            </w:r>
          </w:p>
        </w:tc>
        <w:tc>
          <w:tcPr>
            <w:tcW w:w="8118" w:type="dxa"/>
          </w:tcPr>
          <w:p w:rsidR="009302C0" w:rsidRPr="009302C0" w:rsidRDefault="009302C0" w:rsidP="009302C0">
            <w:pPr>
              <w:rPr>
                <w:sz w:val="20"/>
              </w:rPr>
            </w:pPr>
            <w:r w:rsidRPr="009302C0">
              <w:rPr>
                <w:sz w:val="20"/>
                <w:u w:val="single"/>
              </w:rPr>
              <w:t>McLachlin C.J. and Cromwell and Wagner JJ.</w:t>
            </w:r>
          </w:p>
          <w:p w:rsidR="009302C0" w:rsidRPr="009302C0" w:rsidRDefault="009302C0" w:rsidP="009302C0">
            <w:pPr>
              <w:rPr>
                <w:sz w:val="20"/>
                <w:u w:val="single"/>
              </w:rPr>
            </w:pPr>
          </w:p>
        </w:tc>
      </w:tr>
      <w:tr w:rsidR="009302C0" w:rsidRPr="00944C2E" w:rsidTr="00A5501D">
        <w:trPr>
          <w:cantSplit/>
        </w:trPr>
        <w:tc>
          <w:tcPr>
            <w:tcW w:w="9576" w:type="dxa"/>
            <w:gridSpan w:val="2"/>
          </w:tcPr>
          <w:p w:rsidR="009302C0" w:rsidRPr="009302C0" w:rsidRDefault="009302C0" w:rsidP="009302C0">
            <w:pPr>
              <w:ind w:firstLine="720"/>
              <w:jc w:val="both"/>
              <w:rPr>
                <w:sz w:val="20"/>
              </w:rPr>
            </w:pPr>
            <w:r w:rsidRPr="009302C0">
              <w:rPr>
                <w:sz w:val="20"/>
              </w:rPr>
              <w:t>The motion for an extension of time to serve and file the response is granted.  The application for leave to appeal from the judgment of the Court of Appeal for British Columbia (Vancouver), Number CA040038, 2014 BCCA 26, dated January 28, 2014, is dismissed with costs.</w:t>
            </w:r>
          </w:p>
          <w:p w:rsidR="009302C0" w:rsidRPr="009302C0" w:rsidRDefault="009302C0" w:rsidP="009302C0">
            <w:pPr>
              <w:jc w:val="both"/>
              <w:rPr>
                <w:sz w:val="20"/>
              </w:rPr>
            </w:pPr>
          </w:p>
          <w:p w:rsidR="009302C0" w:rsidRPr="009302C0" w:rsidRDefault="009302C0" w:rsidP="009302C0">
            <w:pPr>
              <w:ind w:firstLine="720"/>
              <w:jc w:val="both"/>
              <w:rPr>
                <w:sz w:val="20"/>
                <w:lang w:val="fr-CA"/>
              </w:rPr>
            </w:pPr>
            <w:r w:rsidRPr="009302C0">
              <w:rPr>
                <w:sz w:val="20"/>
                <w:lang w:val="fr-CA"/>
              </w:rPr>
              <w:t>La requête en prorogation du délai de signification et de dépôt de la réponse est accueillie.  La demande d’autorisation d’appel de l’arrêt de la Cour d’appel de la Colombie-Britannique (Vancouver), numéro CA040038, 2014 BCCA 26, daté du 28 janvier 2014, est rejetée avec dépens.</w:t>
            </w:r>
          </w:p>
        </w:tc>
      </w:tr>
    </w:tbl>
    <w:p w:rsidR="00965AE9" w:rsidRPr="009302C0" w:rsidRDefault="00965AE9" w:rsidP="00965AE9">
      <w:pPr>
        <w:rPr>
          <w:sz w:val="20"/>
          <w:szCs w:val="20"/>
          <w:lang w:val="fr-CA"/>
        </w:rPr>
      </w:pPr>
    </w:p>
    <w:p w:rsidR="00965AE9" w:rsidRPr="001B157C" w:rsidRDefault="00965AE9" w:rsidP="00965AE9">
      <w:pPr>
        <w:rPr>
          <w:sz w:val="20"/>
          <w:szCs w:val="20"/>
          <w:u w:val="single"/>
        </w:rPr>
      </w:pPr>
      <w:r w:rsidRPr="001B157C">
        <w:rPr>
          <w:sz w:val="20"/>
          <w:szCs w:val="20"/>
          <w:u w:val="single"/>
        </w:rPr>
        <w:t>CASE SUMMARY</w:t>
      </w:r>
    </w:p>
    <w:p w:rsidR="00965AE9" w:rsidRDefault="00965AE9" w:rsidP="00965AE9">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E7E07" w:rsidRPr="00163264" w:rsidTr="00E2016D">
        <w:tc>
          <w:tcPr>
            <w:tcW w:w="5000" w:type="pct"/>
            <w:gridSpan w:val="3"/>
          </w:tcPr>
          <w:p w:rsidR="00DE7E07" w:rsidRPr="00163264" w:rsidRDefault="00DE7E07" w:rsidP="00E2016D">
            <w:pPr>
              <w:jc w:val="both"/>
              <w:rPr>
                <w:rFonts w:eastAsia="Calibri"/>
                <w:sz w:val="20"/>
              </w:rPr>
            </w:pPr>
            <w:r w:rsidRPr="00163264">
              <w:rPr>
                <w:rFonts w:eastAsia="Calibri"/>
                <w:sz w:val="20"/>
              </w:rPr>
              <w:t>Transportation law — Motor vehicles — Right of way — Pedestrians — Crosswalks — Whether a pedestrian who has safely entered a marked crosswalk can be found contributorily negligent where, absent positive steps which endanger their own safety, a motorist fails to yield the right of way — Whether the Court of Appeal incorrectly departed from this Court’s jurisprudence in applying the standard of case of a pedestrian who is entering a crosswalk or crossing outside of a marked crosswalk, as opposed to a pedestrian that has established the right of way in a crosswalk — Whether the Court of Appeal erred in upholding an unreasonably low award of damages that arose resulted from a series of trial errors, including the finding of contributory negligence.</w:t>
            </w:r>
          </w:p>
        </w:tc>
      </w:tr>
      <w:tr w:rsidR="00DE7E07" w:rsidRPr="00163264" w:rsidTr="00E2016D">
        <w:tc>
          <w:tcPr>
            <w:tcW w:w="5000" w:type="pct"/>
            <w:gridSpan w:val="3"/>
          </w:tcPr>
          <w:p w:rsidR="00DE7E07" w:rsidRPr="00163264" w:rsidRDefault="00DE7E07" w:rsidP="00E2016D">
            <w:pPr>
              <w:jc w:val="both"/>
              <w:rPr>
                <w:rFonts w:eastAsia="Calibri"/>
                <w:sz w:val="20"/>
              </w:rPr>
            </w:pPr>
          </w:p>
        </w:tc>
      </w:tr>
      <w:tr w:rsidR="00DE7E07" w:rsidRPr="00163264" w:rsidTr="00E2016D">
        <w:tc>
          <w:tcPr>
            <w:tcW w:w="5000" w:type="pct"/>
            <w:gridSpan w:val="3"/>
          </w:tcPr>
          <w:p w:rsidR="00DE7E07" w:rsidRPr="00163264" w:rsidRDefault="00DE7E07" w:rsidP="00E2016D">
            <w:pPr>
              <w:jc w:val="both"/>
              <w:rPr>
                <w:rFonts w:eastAsia="Calibri"/>
                <w:sz w:val="20"/>
              </w:rPr>
            </w:pPr>
            <w:r w:rsidRPr="00163264">
              <w:rPr>
                <w:rFonts w:eastAsia="Calibri"/>
                <w:sz w:val="20"/>
              </w:rPr>
              <w:t>Ms. Paskall was injured when she was struck by an automobile while crossing a two-lane street in a marked crosswalk, and when she had the right-of-way.  She testified that she crossed the intersection with care, but there was some evidence to the contrary.  Ms. Paskall suffered serious injuries, including a traumatic brain injury.  Mr. Scheithauer admitted that he was negligent, but alleged that Ms. Paskall was contributorily negligent.</w:t>
            </w:r>
          </w:p>
          <w:p w:rsidR="00DE7E07" w:rsidRPr="00163264" w:rsidRDefault="00DE7E07" w:rsidP="00E2016D">
            <w:pPr>
              <w:jc w:val="both"/>
              <w:rPr>
                <w:rFonts w:eastAsia="Calibri"/>
                <w:sz w:val="20"/>
              </w:rPr>
            </w:pPr>
          </w:p>
          <w:p w:rsidR="00DE7E07" w:rsidRPr="00163264" w:rsidRDefault="00DE7E07" w:rsidP="00E2016D">
            <w:pPr>
              <w:jc w:val="both"/>
              <w:rPr>
                <w:rFonts w:eastAsia="Calibri"/>
                <w:sz w:val="20"/>
              </w:rPr>
            </w:pPr>
            <w:r w:rsidRPr="00163264">
              <w:rPr>
                <w:rFonts w:eastAsia="Calibri"/>
                <w:sz w:val="20"/>
              </w:rPr>
              <w:t>The jury found Ms. Paskall 20 per cent at fault and awarded her $35,000 for non-pecuniary damages; $10,137.68 for special damages; $1,100 for past wage loss; nothing for future earning capacity; and $36,100 for future care.  The jury then rounded the award to $82,400 and awarded Ms. Paskall 80 per cent of her taxable costs and disbursements. Smith J. declined to apportion the costs payable or to award Mr. Scheithauer costs based on the settlement offers.  The Court of Appeal dismissed the appeal and allowed a cross-appeal as to costs.</w:t>
            </w:r>
          </w:p>
          <w:p w:rsidR="00DE7E07" w:rsidRPr="00163264" w:rsidRDefault="00DE7E07" w:rsidP="00E2016D">
            <w:pPr>
              <w:jc w:val="both"/>
              <w:rPr>
                <w:rFonts w:eastAsia="Calibri"/>
                <w:sz w:val="20"/>
              </w:rPr>
            </w:pPr>
          </w:p>
        </w:tc>
      </w:tr>
      <w:tr w:rsidR="00DE7E07" w:rsidRPr="00163264" w:rsidTr="00E2016D">
        <w:tc>
          <w:tcPr>
            <w:tcW w:w="2427" w:type="pct"/>
          </w:tcPr>
          <w:p w:rsidR="00DE7E07" w:rsidRPr="00163264" w:rsidRDefault="00DE7E07" w:rsidP="00E2016D">
            <w:pPr>
              <w:jc w:val="both"/>
              <w:rPr>
                <w:rFonts w:eastAsia="Calibri"/>
                <w:sz w:val="20"/>
              </w:rPr>
            </w:pPr>
            <w:r w:rsidRPr="00163264">
              <w:rPr>
                <w:rFonts w:eastAsia="Calibri"/>
                <w:sz w:val="20"/>
              </w:rPr>
              <w:t>October 26, 2012</w:t>
            </w:r>
          </w:p>
          <w:p w:rsidR="00DE7E07" w:rsidRPr="00163264" w:rsidRDefault="00DE7E07" w:rsidP="00E2016D">
            <w:pPr>
              <w:jc w:val="both"/>
              <w:rPr>
                <w:rFonts w:eastAsia="Calibri"/>
                <w:sz w:val="20"/>
              </w:rPr>
            </w:pPr>
            <w:r w:rsidRPr="00163264">
              <w:rPr>
                <w:rFonts w:eastAsia="Calibri"/>
                <w:sz w:val="20"/>
              </w:rPr>
              <w:t>Supreme Court of British Columbia</w:t>
            </w:r>
          </w:p>
          <w:p w:rsidR="00DE7E07" w:rsidRPr="00163264" w:rsidRDefault="00DE7E07" w:rsidP="00E2016D">
            <w:pPr>
              <w:jc w:val="both"/>
              <w:rPr>
                <w:rFonts w:eastAsia="Calibri"/>
                <w:sz w:val="20"/>
              </w:rPr>
            </w:pPr>
            <w:r w:rsidRPr="00163264">
              <w:rPr>
                <w:rFonts w:eastAsia="Calibri"/>
                <w:sz w:val="20"/>
              </w:rPr>
              <w:t>(Smith J.)</w:t>
            </w:r>
          </w:p>
          <w:p w:rsidR="00DE7E07" w:rsidRPr="00163264" w:rsidRDefault="00DE7E07" w:rsidP="00E2016D">
            <w:pPr>
              <w:jc w:val="both"/>
              <w:rPr>
                <w:rFonts w:eastAsia="Calibri"/>
                <w:sz w:val="20"/>
              </w:rPr>
            </w:pPr>
          </w:p>
        </w:tc>
        <w:tc>
          <w:tcPr>
            <w:tcW w:w="243" w:type="pct"/>
          </w:tcPr>
          <w:p w:rsidR="00DE7E07" w:rsidRPr="00163264" w:rsidRDefault="00DE7E07" w:rsidP="00E2016D">
            <w:pPr>
              <w:jc w:val="both"/>
              <w:rPr>
                <w:rFonts w:eastAsia="Calibri"/>
                <w:sz w:val="20"/>
              </w:rPr>
            </w:pPr>
          </w:p>
        </w:tc>
        <w:tc>
          <w:tcPr>
            <w:tcW w:w="2330" w:type="pct"/>
          </w:tcPr>
          <w:p w:rsidR="00DE7E07" w:rsidRPr="00163264" w:rsidRDefault="00DE7E07" w:rsidP="00E2016D">
            <w:pPr>
              <w:jc w:val="both"/>
              <w:rPr>
                <w:rFonts w:eastAsia="Calibri"/>
                <w:sz w:val="20"/>
              </w:rPr>
            </w:pPr>
            <w:r w:rsidRPr="00163264">
              <w:rPr>
                <w:rFonts w:eastAsia="Calibri"/>
                <w:sz w:val="20"/>
              </w:rPr>
              <w:t xml:space="preserve">Ms. Paskall awarded $82,400 plus 80 per cent of her taxable costs and  disbursements </w:t>
            </w:r>
          </w:p>
        </w:tc>
      </w:tr>
      <w:tr w:rsidR="00DE7E07" w:rsidRPr="00163264" w:rsidTr="00A0198D">
        <w:trPr>
          <w:cantSplit/>
        </w:trPr>
        <w:tc>
          <w:tcPr>
            <w:tcW w:w="2427" w:type="pct"/>
          </w:tcPr>
          <w:p w:rsidR="00DE7E07" w:rsidRPr="00163264" w:rsidRDefault="00DE7E07" w:rsidP="00E2016D">
            <w:pPr>
              <w:jc w:val="both"/>
              <w:rPr>
                <w:rFonts w:eastAsia="Calibri"/>
                <w:sz w:val="20"/>
              </w:rPr>
            </w:pPr>
            <w:r w:rsidRPr="00163264">
              <w:rPr>
                <w:rFonts w:eastAsia="Calibri"/>
                <w:sz w:val="20"/>
              </w:rPr>
              <w:lastRenderedPageBreak/>
              <w:t>January 28, 2014</w:t>
            </w:r>
          </w:p>
          <w:p w:rsidR="00DE7E07" w:rsidRPr="00163264" w:rsidRDefault="00DE7E07" w:rsidP="00E2016D">
            <w:pPr>
              <w:jc w:val="both"/>
              <w:rPr>
                <w:rFonts w:eastAsia="Calibri"/>
                <w:sz w:val="20"/>
              </w:rPr>
            </w:pPr>
            <w:r w:rsidRPr="00163264">
              <w:rPr>
                <w:rFonts w:eastAsia="Calibri"/>
                <w:sz w:val="20"/>
              </w:rPr>
              <w:t xml:space="preserve">Court of Appeal for British Columbia </w:t>
            </w:r>
          </w:p>
          <w:p w:rsidR="00DE7E07" w:rsidRPr="00163264" w:rsidRDefault="00DE7E07" w:rsidP="00E2016D">
            <w:pPr>
              <w:jc w:val="both"/>
              <w:rPr>
                <w:rFonts w:eastAsia="Calibri"/>
                <w:sz w:val="20"/>
              </w:rPr>
            </w:pPr>
            <w:r w:rsidRPr="00163264">
              <w:rPr>
                <w:rFonts w:eastAsia="Calibri"/>
                <w:sz w:val="20"/>
              </w:rPr>
              <w:t>(Vancouver)</w:t>
            </w:r>
          </w:p>
          <w:p w:rsidR="00DE7E07" w:rsidRPr="00163264" w:rsidRDefault="00DE7E07" w:rsidP="00E2016D">
            <w:pPr>
              <w:jc w:val="both"/>
              <w:rPr>
                <w:rFonts w:eastAsia="Calibri"/>
                <w:sz w:val="20"/>
              </w:rPr>
            </w:pPr>
            <w:r w:rsidRPr="00163264">
              <w:rPr>
                <w:rFonts w:eastAsia="Calibri"/>
                <w:sz w:val="20"/>
              </w:rPr>
              <w:t>(Saunders, Chiasson, Willcock JJ.A.)</w:t>
            </w:r>
          </w:p>
          <w:p w:rsidR="00DE7E07" w:rsidRPr="00163264" w:rsidRDefault="00944C2E" w:rsidP="00E2016D">
            <w:pPr>
              <w:jc w:val="both"/>
              <w:rPr>
                <w:rFonts w:eastAsia="Calibri"/>
                <w:sz w:val="20"/>
              </w:rPr>
            </w:pPr>
            <w:hyperlink r:id="rId28" w:history="1">
              <w:r w:rsidR="00DE7E07" w:rsidRPr="00163264">
                <w:rPr>
                  <w:rFonts w:eastAsia="Calibri"/>
                  <w:color w:val="0000FF"/>
                  <w:sz w:val="20"/>
                  <w:u w:val="single"/>
                </w:rPr>
                <w:t>2014 BCCA 26</w:t>
              </w:r>
            </w:hyperlink>
          </w:p>
          <w:p w:rsidR="00DE7E07" w:rsidRPr="00163264" w:rsidRDefault="00DE7E07" w:rsidP="00E2016D">
            <w:pPr>
              <w:jc w:val="both"/>
              <w:rPr>
                <w:rFonts w:eastAsia="Calibri"/>
                <w:sz w:val="20"/>
              </w:rPr>
            </w:pPr>
          </w:p>
        </w:tc>
        <w:tc>
          <w:tcPr>
            <w:tcW w:w="243" w:type="pct"/>
          </w:tcPr>
          <w:p w:rsidR="00DE7E07" w:rsidRPr="00163264" w:rsidRDefault="00DE7E07" w:rsidP="00E2016D">
            <w:pPr>
              <w:jc w:val="both"/>
              <w:rPr>
                <w:rFonts w:eastAsia="Calibri"/>
                <w:sz w:val="20"/>
              </w:rPr>
            </w:pPr>
          </w:p>
        </w:tc>
        <w:tc>
          <w:tcPr>
            <w:tcW w:w="2330" w:type="pct"/>
          </w:tcPr>
          <w:p w:rsidR="00DE7E07" w:rsidRPr="00163264" w:rsidRDefault="00DE7E07" w:rsidP="00E2016D">
            <w:pPr>
              <w:jc w:val="both"/>
              <w:rPr>
                <w:rFonts w:eastAsia="Calibri"/>
                <w:sz w:val="20"/>
              </w:rPr>
            </w:pPr>
            <w:r w:rsidRPr="00163264">
              <w:rPr>
                <w:rFonts w:eastAsia="Calibri"/>
                <w:sz w:val="20"/>
              </w:rPr>
              <w:t>Appeal dismissed; cross-appeal as to costs allowed</w:t>
            </w:r>
          </w:p>
        </w:tc>
      </w:tr>
      <w:tr w:rsidR="00DE7E07" w:rsidRPr="00163264" w:rsidTr="00A0198D">
        <w:trPr>
          <w:cantSplit/>
        </w:trPr>
        <w:tc>
          <w:tcPr>
            <w:tcW w:w="2427" w:type="pct"/>
          </w:tcPr>
          <w:p w:rsidR="00DE7E07" w:rsidRPr="00163264" w:rsidRDefault="00DE7E07" w:rsidP="00E2016D">
            <w:pPr>
              <w:jc w:val="both"/>
              <w:rPr>
                <w:rFonts w:eastAsia="Calibri"/>
                <w:sz w:val="20"/>
              </w:rPr>
            </w:pPr>
            <w:r w:rsidRPr="00163264">
              <w:rPr>
                <w:rFonts w:eastAsia="Calibri"/>
                <w:sz w:val="20"/>
              </w:rPr>
              <w:t>March 31, 2014</w:t>
            </w:r>
          </w:p>
          <w:p w:rsidR="00DE7E07" w:rsidRPr="00163264" w:rsidRDefault="00DE7E07" w:rsidP="00E2016D">
            <w:pPr>
              <w:jc w:val="both"/>
              <w:rPr>
                <w:rFonts w:eastAsia="Calibri"/>
                <w:sz w:val="20"/>
              </w:rPr>
            </w:pPr>
            <w:r w:rsidRPr="00163264">
              <w:rPr>
                <w:rFonts w:eastAsia="Calibri"/>
                <w:sz w:val="20"/>
              </w:rPr>
              <w:t>Supreme Court of Canada</w:t>
            </w:r>
          </w:p>
        </w:tc>
        <w:tc>
          <w:tcPr>
            <w:tcW w:w="243" w:type="pct"/>
          </w:tcPr>
          <w:p w:rsidR="00DE7E07" w:rsidRPr="00163264" w:rsidRDefault="00DE7E07" w:rsidP="00E2016D">
            <w:pPr>
              <w:jc w:val="both"/>
              <w:rPr>
                <w:rFonts w:eastAsia="Calibri"/>
                <w:sz w:val="20"/>
              </w:rPr>
            </w:pPr>
          </w:p>
        </w:tc>
        <w:tc>
          <w:tcPr>
            <w:tcW w:w="2330" w:type="pct"/>
          </w:tcPr>
          <w:p w:rsidR="00DE7E07" w:rsidRPr="00163264" w:rsidRDefault="00DE7E07" w:rsidP="00E2016D">
            <w:pPr>
              <w:jc w:val="both"/>
              <w:rPr>
                <w:rFonts w:eastAsia="Calibri"/>
                <w:sz w:val="20"/>
              </w:rPr>
            </w:pPr>
            <w:r w:rsidRPr="00163264">
              <w:rPr>
                <w:rFonts w:eastAsia="Calibri"/>
                <w:sz w:val="20"/>
              </w:rPr>
              <w:t>Application for leave to appeal filed</w:t>
            </w:r>
          </w:p>
          <w:p w:rsidR="00DE7E07" w:rsidRPr="00163264" w:rsidRDefault="00DE7E07" w:rsidP="00E2016D">
            <w:pPr>
              <w:jc w:val="both"/>
              <w:rPr>
                <w:rFonts w:eastAsia="Calibri"/>
                <w:sz w:val="20"/>
              </w:rPr>
            </w:pPr>
          </w:p>
        </w:tc>
      </w:tr>
    </w:tbl>
    <w:p w:rsidR="00965AE9" w:rsidRDefault="00965AE9" w:rsidP="00965AE9">
      <w:pPr>
        <w:rPr>
          <w:sz w:val="20"/>
          <w:szCs w:val="20"/>
        </w:rPr>
      </w:pPr>
    </w:p>
    <w:p w:rsidR="00965AE9" w:rsidRPr="00C50A5C" w:rsidRDefault="00944C2E" w:rsidP="00965AE9">
      <w:pPr>
        <w:rPr>
          <w:sz w:val="20"/>
          <w:szCs w:val="20"/>
        </w:rPr>
      </w:pPr>
      <w:r>
        <w:rPr>
          <w:sz w:val="20"/>
          <w:szCs w:val="20"/>
          <w:lang w:val="fr-CA"/>
        </w:rPr>
        <w:pict>
          <v:rect id="_x0000_i1047" style="width:2in;height:1pt" o:hrpct="0" o:hralign="center" o:hrstd="t" o:hrnoshade="t" o:hr="t" fillcolor="black [3213]" stroked="f"/>
        </w:pict>
      </w:r>
    </w:p>
    <w:p w:rsidR="00965AE9" w:rsidRDefault="00965AE9" w:rsidP="00965AE9">
      <w:pPr>
        <w:rPr>
          <w:sz w:val="20"/>
          <w:szCs w:val="20"/>
        </w:rPr>
      </w:pPr>
    </w:p>
    <w:p w:rsidR="00965AE9" w:rsidRPr="001B157C" w:rsidRDefault="00965AE9" w:rsidP="00965AE9">
      <w:pPr>
        <w:rPr>
          <w:sz w:val="20"/>
          <w:szCs w:val="20"/>
          <w:u w:val="single"/>
          <w:lang w:val="fr-CA"/>
        </w:rPr>
      </w:pPr>
      <w:r w:rsidRPr="001B157C">
        <w:rPr>
          <w:sz w:val="20"/>
          <w:szCs w:val="20"/>
          <w:u w:val="single"/>
          <w:lang w:val="fr-CA"/>
        </w:rPr>
        <w:t>RÉSUMÉ DE L’AFFAIRE</w:t>
      </w:r>
    </w:p>
    <w:p w:rsidR="00965AE9" w:rsidRDefault="00965AE9" w:rsidP="00965AE9">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E7E07" w:rsidRPr="00944C2E" w:rsidTr="00E2016D">
        <w:tc>
          <w:tcPr>
            <w:tcW w:w="5000" w:type="pct"/>
            <w:gridSpan w:val="3"/>
          </w:tcPr>
          <w:p w:rsidR="00DE7E07" w:rsidRPr="00163264" w:rsidRDefault="00DE7E07" w:rsidP="00E2016D">
            <w:pPr>
              <w:jc w:val="both"/>
              <w:rPr>
                <w:rFonts w:eastAsia="Calibri"/>
                <w:sz w:val="20"/>
                <w:lang w:val="fr-CA"/>
              </w:rPr>
            </w:pPr>
            <w:r w:rsidRPr="00163264">
              <w:rPr>
                <w:rFonts w:eastAsia="Calibri"/>
                <w:sz w:val="20"/>
                <w:lang w:val="fr-CA"/>
              </w:rPr>
              <w:t xml:space="preserve">Droit des transports — Véhicules automobiles — Priorité de passage — Piétons — Passages pour piétons — Un piéton s’étant engagé en toute sécurité sur un passage à piétons marqué peut-il se voir imputer une négligence contributive lorsque, en l’absence de mesures mettant en danger leur propre sécurité, un automobiliste ne lui cède pas la priorité de passage? — La Cour d’appel a-t-elle dérogé à tort à la jurisprudence de notre Cour en appliquant la norme de diligence que respecterait un piéton qui s’engage dans un passage à piétons ou qui traverse ailleurs qu’à un passage à piétons marqué, plutôt que la norme de diligence que respecterait un piéton ayant établi qu’il avait priorité de passage à un passage pour piétons? — La Cour d’appel s’est-elle trompée en confirmant l’octroi de dommages-intérêts déraisonnablement faibles attribuables à une série d’erreurs commises en première instance, y compris la conclusion de négligence contributive? </w:t>
            </w:r>
          </w:p>
        </w:tc>
      </w:tr>
      <w:tr w:rsidR="00DE7E07" w:rsidRPr="00944C2E" w:rsidTr="00E2016D">
        <w:tc>
          <w:tcPr>
            <w:tcW w:w="5000" w:type="pct"/>
            <w:gridSpan w:val="3"/>
          </w:tcPr>
          <w:p w:rsidR="00DE7E07" w:rsidRPr="00163264" w:rsidRDefault="00DE7E07" w:rsidP="00E2016D">
            <w:pPr>
              <w:jc w:val="both"/>
              <w:rPr>
                <w:rFonts w:eastAsia="Calibri"/>
                <w:sz w:val="20"/>
                <w:lang w:val="fr-CA"/>
              </w:rPr>
            </w:pPr>
          </w:p>
        </w:tc>
      </w:tr>
      <w:tr w:rsidR="00DE7E07" w:rsidRPr="00944C2E" w:rsidTr="00E2016D">
        <w:tc>
          <w:tcPr>
            <w:tcW w:w="5000" w:type="pct"/>
            <w:gridSpan w:val="3"/>
          </w:tcPr>
          <w:p w:rsidR="00DE7E07" w:rsidRPr="00163264" w:rsidRDefault="00DE7E07" w:rsidP="00E2016D">
            <w:pPr>
              <w:jc w:val="both"/>
              <w:rPr>
                <w:rFonts w:eastAsia="Calibri"/>
                <w:sz w:val="20"/>
                <w:lang w:val="fr-CA"/>
              </w:rPr>
            </w:pPr>
            <w:r w:rsidRPr="00163264">
              <w:rPr>
                <w:rFonts w:eastAsia="Calibri"/>
                <w:sz w:val="20"/>
                <w:lang w:val="fr-CA"/>
              </w:rPr>
              <w:t>M</w:t>
            </w:r>
            <w:r w:rsidRPr="00163264">
              <w:rPr>
                <w:rFonts w:eastAsia="Calibri"/>
                <w:sz w:val="20"/>
                <w:vertAlign w:val="superscript"/>
                <w:lang w:val="fr-CA"/>
              </w:rPr>
              <w:t>me</w:t>
            </w:r>
            <w:r w:rsidRPr="00163264">
              <w:rPr>
                <w:rFonts w:eastAsia="Calibri"/>
                <w:sz w:val="20"/>
                <w:lang w:val="fr-CA"/>
              </w:rPr>
              <w:t> Paskall a été blessée par un automobiliste alors qu’elle traversait une rue à deux voies à un passage à piétons marqué et qu’elle avait priorité de passage.  Elle a affirmé avoir traversé l’intersection avec prudence, mais certains éléments de preuve indiquent le contraire. M</w:t>
            </w:r>
            <w:r w:rsidRPr="00163264">
              <w:rPr>
                <w:rFonts w:eastAsia="Calibri"/>
                <w:sz w:val="20"/>
                <w:vertAlign w:val="superscript"/>
                <w:lang w:val="fr-CA"/>
              </w:rPr>
              <w:t>me </w:t>
            </w:r>
            <w:r w:rsidRPr="00163264">
              <w:rPr>
                <w:rFonts w:eastAsia="Calibri"/>
                <w:sz w:val="20"/>
                <w:lang w:val="fr-CA"/>
              </w:rPr>
              <w:t>Paskall a subi de graves blessures, notamment un traumatisme cérébral.  M. Scheithauer a avoué avoir fait preuve de négligence, mais impute à M</w:t>
            </w:r>
            <w:r w:rsidRPr="00163264">
              <w:rPr>
                <w:rFonts w:eastAsia="Calibri"/>
                <w:sz w:val="20"/>
                <w:vertAlign w:val="superscript"/>
                <w:lang w:val="fr-CA"/>
              </w:rPr>
              <w:t>me</w:t>
            </w:r>
            <w:r w:rsidRPr="00163264">
              <w:rPr>
                <w:rFonts w:eastAsia="Calibri"/>
                <w:sz w:val="20"/>
                <w:lang w:val="fr-CA"/>
              </w:rPr>
              <w:t xml:space="preserve"> Paskall une négligence contributive. </w:t>
            </w:r>
          </w:p>
          <w:p w:rsidR="00DE7E07" w:rsidRPr="00163264" w:rsidRDefault="00DE7E07" w:rsidP="00E2016D">
            <w:pPr>
              <w:jc w:val="both"/>
              <w:rPr>
                <w:rFonts w:eastAsia="Calibri"/>
                <w:sz w:val="20"/>
                <w:lang w:val="fr-CA"/>
              </w:rPr>
            </w:pPr>
          </w:p>
          <w:p w:rsidR="00DE7E07" w:rsidRPr="00163264" w:rsidRDefault="00DE7E07" w:rsidP="00E2016D">
            <w:pPr>
              <w:jc w:val="both"/>
              <w:rPr>
                <w:rFonts w:eastAsia="Calibri"/>
                <w:sz w:val="20"/>
                <w:lang w:val="fr-CA"/>
              </w:rPr>
            </w:pPr>
            <w:r w:rsidRPr="00163264">
              <w:rPr>
                <w:rFonts w:eastAsia="Calibri"/>
                <w:sz w:val="20"/>
                <w:lang w:val="fr-CA"/>
              </w:rPr>
              <w:t>Le jury a établi à 20 pour cent la faute de M</w:t>
            </w:r>
            <w:r w:rsidRPr="00163264">
              <w:rPr>
                <w:rFonts w:eastAsia="Calibri"/>
                <w:sz w:val="20"/>
                <w:vertAlign w:val="superscript"/>
                <w:lang w:val="fr-CA"/>
              </w:rPr>
              <w:t>me</w:t>
            </w:r>
            <w:r w:rsidRPr="00163264">
              <w:rPr>
                <w:rFonts w:eastAsia="Calibri"/>
                <w:sz w:val="20"/>
                <w:lang w:val="fr-CA"/>
              </w:rPr>
              <w:t> Paskall et lui a adjugé 35 000 $ en dommages-intérêts non pécuniaires; 10 137,68 $ en dommages-intérêts spéciaux; 1 100 $ pour perte de revenus antérieurs; rien pour la capacité de gagner un revenu à l’avenir; 36 100 $ pour les futurs soins.  Le jury a ensuite arrondi les dommages-intérêts à 82 400 $ et octroyé à M</w:t>
            </w:r>
            <w:r w:rsidRPr="00163264">
              <w:rPr>
                <w:rFonts w:eastAsia="Calibri"/>
                <w:sz w:val="20"/>
                <w:vertAlign w:val="superscript"/>
                <w:lang w:val="fr-CA"/>
              </w:rPr>
              <w:t>me </w:t>
            </w:r>
            <w:r w:rsidRPr="00163264">
              <w:rPr>
                <w:rFonts w:eastAsia="Calibri"/>
                <w:sz w:val="20"/>
                <w:lang w:val="fr-CA"/>
              </w:rPr>
              <w:t>Paskall 80 pour 100 de ses dépens taxables et débours.  Le juge Smith a refusé de répartir les dépens ou de les adjuger à M. Scheithauer compte tenu des offres de règlement.  La Cour d’appel a rejeté l’appel et accueilli un appel incident lié aux dépens.</w:t>
            </w:r>
          </w:p>
          <w:p w:rsidR="00DE7E07" w:rsidRPr="00163264" w:rsidRDefault="00DE7E07" w:rsidP="00E2016D">
            <w:pPr>
              <w:jc w:val="both"/>
              <w:rPr>
                <w:rFonts w:eastAsia="Calibri"/>
                <w:sz w:val="20"/>
                <w:lang w:val="fr-CA"/>
              </w:rPr>
            </w:pPr>
          </w:p>
        </w:tc>
      </w:tr>
      <w:tr w:rsidR="00DE7E07" w:rsidRPr="00944C2E" w:rsidTr="00E2016D">
        <w:tc>
          <w:tcPr>
            <w:tcW w:w="2427" w:type="pct"/>
          </w:tcPr>
          <w:p w:rsidR="00DE7E07" w:rsidRPr="00163264" w:rsidRDefault="00DE7E07" w:rsidP="00E2016D">
            <w:pPr>
              <w:jc w:val="both"/>
              <w:rPr>
                <w:rFonts w:eastAsia="Calibri"/>
                <w:sz w:val="20"/>
                <w:lang w:val="fr-CA"/>
              </w:rPr>
            </w:pPr>
            <w:r w:rsidRPr="00163264">
              <w:rPr>
                <w:rFonts w:eastAsia="Calibri"/>
                <w:sz w:val="20"/>
                <w:lang w:val="fr-CA"/>
              </w:rPr>
              <w:t>26 octobre 2012</w:t>
            </w:r>
          </w:p>
          <w:p w:rsidR="00DE7E07" w:rsidRPr="00163264" w:rsidRDefault="00DE7E07" w:rsidP="00E2016D">
            <w:pPr>
              <w:jc w:val="both"/>
              <w:rPr>
                <w:rFonts w:eastAsia="Calibri"/>
                <w:sz w:val="20"/>
                <w:lang w:val="fr-CA"/>
              </w:rPr>
            </w:pPr>
            <w:r w:rsidRPr="00163264">
              <w:rPr>
                <w:rFonts w:eastAsia="Calibri"/>
                <w:sz w:val="20"/>
                <w:lang w:val="fr-CA"/>
              </w:rPr>
              <w:t>Cour suprême de la Colombie-Britannique</w:t>
            </w:r>
          </w:p>
          <w:p w:rsidR="00DE7E07" w:rsidRPr="00163264" w:rsidRDefault="00DE7E07" w:rsidP="00E2016D">
            <w:pPr>
              <w:jc w:val="both"/>
              <w:rPr>
                <w:rFonts w:eastAsia="Calibri"/>
                <w:sz w:val="20"/>
              </w:rPr>
            </w:pPr>
            <w:r w:rsidRPr="00163264">
              <w:rPr>
                <w:rFonts w:eastAsia="Calibri"/>
                <w:sz w:val="20"/>
              </w:rPr>
              <w:t>(Juge Smith)</w:t>
            </w:r>
          </w:p>
          <w:p w:rsidR="00DE7E07" w:rsidRPr="00163264" w:rsidRDefault="00DE7E07" w:rsidP="00E2016D">
            <w:pPr>
              <w:jc w:val="both"/>
              <w:rPr>
                <w:rFonts w:eastAsia="Calibri"/>
                <w:sz w:val="20"/>
              </w:rPr>
            </w:pPr>
          </w:p>
        </w:tc>
        <w:tc>
          <w:tcPr>
            <w:tcW w:w="243" w:type="pct"/>
          </w:tcPr>
          <w:p w:rsidR="00DE7E07" w:rsidRPr="00163264" w:rsidRDefault="00DE7E07" w:rsidP="00E2016D">
            <w:pPr>
              <w:jc w:val="both"/>
              <w:rPr>
                <w:rFonts w:eastAsia="Calibri"/>
                <w:sz w:val="20"/>
              </w:rPr>
            </w:pPr>
          </w:p>
        </w:tc>
        <w:tc>
          <w:tcPr>
            <w:tcW w:w="2330" w:type="pct"/>
          </w:tcPr>
          <w:p w:rsidR="00DE7E07" w:rsidRPr="00163264" w:rsidRDefault="00DE7E07" w:rsidP="00E2016D">
            <w:pPr>
              <w:jc w:val="both"/>
              <w:rPr>
                <w:rFonts w:eastAsia="Calibri"/>
                <w:sz w:val="20"/>
                <w:lang w:val="fr-CA"/>
              </w:rPr>
            </w:pPr>
            <w:r w:rsidRPr="00163264">
              <w:rPr>
                <w:rFonts w:eastAsia="Calibri"/>
                <w:sz w:val="20"/>
                <w:lang w:val="fr-CA"/>
              </w:rPr>
              <w:t>M</w:t>
            </w:r>
            <w:r w:rsidRPr="00163264">
              <w:rPr>
                <w:rFonts w:eastAsia="Calibri"/>
                <w:sz w:val="20"/>
                <w:vertAlign w:val="superscript"/>
                <w:lang w:val="fr-CA"/>
              </w:rPr>
              <w:t>me</w:t>
            </w:r>
            <w:r w:rsidRPr="00163264">
              <w:rPr>
                <w:rFonts w:eastAsia="Calibri"/>
                <w:sz w:val="20"/>
                <w:lang w:val="fr-CA"/>
              </w:rPr>
              <w:t xml:space="preserve"> Paskall se voyant accorder 82 400 $ plus 80 pour 100 de ses dépens taxables et débours </w:t>
            </w:r>
          </w:p>
        </w:tc>
      </w:tr>
      <w:tr w:rsidR="00DE7E07" w:rsidRPr="00944C2E" w:rsidTr="00E2016D">
        <w:tc>
          <w:tcPr>
            <w:tcW w:w="2427" w:type="pct"/>
          </w:tcPr>
          <w:p w:rsidR="00DE7E07" w:rsidRPr="00163264" w:rsidRDefault="00DE7E07" w:rsidP="00E2016D">
            <w:pPr>
              <w:jc w:val="both"/>
              <w:rPr>
                <w:rFonts w:eastAsia="Calibri"/>
                <w:sz w:val="20"/>
                <w:lang w:val="fr-CA"/>
              </w:rPr>
            </w:pPr>
            <w:r w:rsidRPr="00163264">
              <w:rPr>
                <w:rFonts w:eastAsia="Calibri"/>
                <w:sz w:val="20"/>
                <w:lang w:val="fr-CA"/>
              </w:rPr>
              <w:t>28 janvier 2014</w:t>
            </w:r>
          </w:p>
          <w:p w:rsidR="00DE7E07" w:rsidRPr="00163264" w:rsidRDefault="00DE7E07" w:rsidP="00E2016D">
            <w:pPr>
              <w:jc w:val="both"/>
              <w:rPr>
                <w:rFonts w:eastAsia="Calibri"/>
                <w:sz w:val="20"/>
                <w:lang w:val="fr-CA"/>
              </w:rPr>
            </w:pPr>
            <w:r w:rsidRPr="00163264">
              <w:rPr>
                <w:rFonts w:eastAsia="Calibri"/>
                <w:sz w:val="20"/>
                <w:lang w:val="fr-CA"/>
              </w:rPr>
              <w:t xml:space="preserve">Cour d’appel de la Colombie-Britannique  </w:t>
            </w:r>
          </w:p>
          <w:p w:rsidR="00DE7E07" w:rsidRPr="00163264" w:rsidRDefault="00DE7E07" w:rsidP="00E2016D">
            <w:pPr>
              <w:jc w:val="both"/>
              <w:rPr>
                <w:rFonts w:eastAsia="Calibri"/>
                <w:sz w:val="20"/>
                <w:lang w:val="fr-CA"/>
              </w:rPr>
            </w:pPr>
            <w:r w:rsidRPr="00163264">
              <w:rPr>
                <w:rFonts w:eastAsia="Calibri"/>
                <w:sz w:val="20"/>
                <w:lang w:val="fr-CA"/>
              </w:rPr>
              <w:t>(Vancouver)</w:t>
            </w:r>
          </w:p>
          <w:p w:rsidR="00DE7E07" w:rsidRPr="00163264" w:rsidRDefault="00DE7E07" w:rsidP="00E2016D">
            <w:pPr>
              <w:jc w:val="both"/>
              <w:rPr>
                <w:rFonts w:eastAsia="Calibri"/>
                <w:sz w:val="20"/>
                <w:lang w:val="fr-CA"/>
              </w:rPr>
            </w:pPr>
            <w:r w:rsidRPr="00163264">
              <w:rPr>
                <w:rFonts w:eastAsia="Calibri"/>
                <w:sz w:val="20"/>
                <w:lang w:val="fr-CA"/>
              </w:rPr>
              <w:t>(Juges Saunders, Chiasson et Willcock)</w:t>
            </w:r>
          </w:p>
          <w:p w:rsidR="00DE7E07" w:rsidRPr="00163264" w:rsidRDefault="00944C2E" w:rsidP="00E2016D">
            <w:pPr>
              <w:jc w:val="both"/>
              <w:rPr>
                <w:rFonts w:eastAsia="Calibri"/>
                <w:sz w:val="20"/>
              </w:rPr>
            </w:pPr>
            <w:hyperlink r:id="rId29" w:history="1">
              <w:r w:rsidR="00DE7E07" w:rsidRPr="00163264">
                <w:rPr>
                  <w:rFonts w:eastAsia="Calibri"/>
                  <w:color w:val="0000FF"/>
                  <w:sz w:val="20"/>
                  <w:u w:val="single"/>
                </w:rPr>
                <w:t>2014 BCCA 26</w:t>
              </w:r>
            </w:hyperlink>
          </w:p>
          <w:p w:rsidR="00DE7E07" w:rsidRPr="00163264" w:rsidRDefault="00DE7E07" w:rsidP="00E2016D">
            <w:pPr>
              <w:jc w:val="both"/>
              <w:rPr>
                <w:rFonts w:eastAsia="Calibri"/>
                <w:sz w:val="20"/>
              </w:rPr>
            </w:pPr>
          </w:p>
        </w:tc>
        <w:tc>
          <w:tcPr>
            <w:tcW w:w="243" w:type="pct"/>
          </w:tcPr>
          <w:p w:rsidR="00DE7E07" w:rsidRPr="00163264" w:rsidRDefault="00DE7E07" w:rsidP="00E2016D">
            <w:pPr>
              <w:jc w:val="both"/>
              <w:rPr>
                <w:rFonts w:eastAsia="Calibri"/>
                <w:sz w:val="20"/>
              </w:rPr>
            </w:pPr>
          </w:p>
        </w:tc>
        <w:tc>
          <w:tcPr>
            <w:tcW w:w="2330" w:type="pct"/>
          </w:tcPr>
          <w:p w:rsidR="00DE7E07" w:rsidRPr="00163264" w:rsidRDefault="00DE7E07" w:rsidP="00E2016D">
            <w:pPr>
              <w:jc w:val="both"/>
              <w:rPr>
                <w:rFonts w:eastAsia="Calibri"/>
                <w:sz w:val="20"/>
                <w:lang w:val="fr-CA"/>
              </w:rPr>
            </w:pPr>
            <w:r w:rsidRPr="00163264">
              <w:rPr>
                <w:rFonts w:eastAsia="Calibri"/>
                <w:sz w:val="20"/>
                <w:lang w:val="fr-CA"/>
              </w:rPr>
              <w:t xml:space="preserve">Appel rejeté; appel incident lié aux dépens accueilli </w:t>
            </w:r>
          </w:p>
        </w:tc>
      </w:tr>
      <w:tr w:rsidR="00DE7E07" w:rsidRPr="00163264" w:rsidTr="00E2016D">
        <w:tc>
          <w:tcPr>
            <w:tcW w:w="2427" w:type="pct"/>
          </w:tcPr>
          <w:p w:rsidR="00DE7E07" w:rsidRPr="00163264" w:rsidRDefault="00DE7E07" w:rsidP="00E2016D">
            <w:pPr>
              <w:jc w:val="both"/>
              <w:rPr>
                <w:rFonts w:eastAsia="Calibri"/>
                <w:sz w:val="20"/>
                <w:lang w:val="fr-CA"/>
              </w:rPr>
            </w:pPr>
            <w:r w:rsidRPr="00163264">
              <w:rPr>
                <w:rFonts w:eastAsia="Calibri"/>
                <w:sz w:val="20"/>
                <w:lang w:val="fr-CA"/>
              </w:rPr>
              <w:t>31 mars 2014</w:t>
            </w:r>
          </w:p>
          <w:p w:rsidR="00DE7E07" w:rsidRPr="00163264" w:rsidRDefault="00DE7E07" w:rsidP="00E2016D">
            <w:pPr>
              <w:jc w:val="both"/>
              <w:rPr>
                <w:rFonts w:eastAsia="Calibri"/>
                <w:sz w:val="20"/>
                <w:lang w:val="fr-CA"/>
              </w:rPr>
            </w:pPr>
            <w:r w:rsidRPr="00163264">
              <w:rPr>
                <w:rFonts w:eastAsia="Calibri"/>
                <w:sz w:val="20"/>
                <w:lang w:val="fr-CA"/>
              </w:rPr>
              <w:t>Cour suprême du Canada</w:t>
            </w:r>
          </w:p>
        </w:tc>
        <w:tc>
          <w:tcPr>
            <w:tcW w:w="243" w:type="pct"/>
          </w:tcPr>
          <w:p w:rsidR="00DE7E07" w:rsidRPr="00163264" w:rsidRDefault="00DE7E07" w:rsidP="00E2016D">
            <w:pPr>
              <w:jc w:val="both"/>
              <w:rPr>
                <w:rFonts w:eastAsia="Calibri"/>
                <w:sz w:val="20"/>
                <w:lang w:val="fr-CA"/>
              </w:rPr>
            </w:pPr>
          </w:p>
        </w:tc>
        <w:tc>
          <w:tcPr>
            <w:tcW w:w="2330" w:type="pct"/>
          </w:tcPr>
          <w:p w:rsidR="00DE7E07" w:rsidRPr="00163264" w:rsidRDefault="00DE7E07" w:rsidP="00E2016D">
            <w:pPr>
              <w:jc w:val="both"/>
              <w:rPr>
                <w:rFonts w:eastAsia="Calibri"/>
                <w:sz w:val="20"/>
              </w:rPr>
            </w:pPr>
            <w:r w:rsidRPr="00163264">
              <w:rPr>
                <w:rFonts w:eastAsia="Calibri"/>
                <w:sz w:val="20"/>
                <w:lang w:val="fr-CA"/>
              </w:rPr>
              <w:t xml:space="preserve">Demande d’autorisation d’appel déposée </w:t>
            </w:r>
          </w:p>
          <w:p w:rsidR="00DE7E07" w:rsidRPr="00163264" w:rsidRDefault="00DE7E07" w:rsidP="00E2016D">
            <w:pPr>
              <w:jc w:val="both"/>
              <w:rPr>
                <w:rFonts w:eastAsia="Calibri"/>
                <w:sz w:val="20"/>
              </w:rPr>
            </w:pPr>
          </w:p>
        </w:tc>
      </w:tr>
    </w:tbl>
    <w:p w:rsidR="00965AE9" w:rsidRPr="00965AE9" w:rsidRDefault="00965AE9" w:rsidP="00965AE9">
      <w:pPr>
        <w:rPr>
          <w:sz w:val="20"/>
          <w:szCs w:val="20"/>
          <w:lang w:val="fr-CA"/>
        </w:rPr>
      </w:pPr>
    </w:p>
    <w:p w:rsidR="00965AE9" w:rsidRDefault="00944C2E" w:rsidP="00965AE9">
      <w:pPr>
        <w:rPr>
          <w:sz w:val="20"/>
          <w:szCs w:val="20"/>
          <w:lang w:val="fr-CA"/>
        </w:rPr>
      </w:pPr>
      <w:r>
        <w:rPr>
          <w:sz w:val="20"/>
          <w:szCs w:val="20"/>
          <w:lang w:val="fr-CA"/>
        </w:rPr>
        <w:pict>
          <v:rect id="_x0000_i1048" style="width:2in;height:1pt" o:hrpct="0" o:hralign="center" o:hrstd="t" o:hrnoshade="t" o:hr="t" fillcolor="black [3213]" stroked="f"/>
        </w:pict>
      </w:r>
    </w:p>
    <w:p w:rsidR="00965AE9" w:rsidRDefault="00965AE9" w:rsidP="00965AE9">
      <w:pPr>
        <w:rPr>
          <w:sz w:val="20"/>
          <w:szCs w:val="20"/>
          <w:lang w:val="fr-CA"/>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302C0" w:rsidRPr="009302C0" w:rsidTr="00A5501D">
        <w:trPr>
          <w:cantSplit/>
        </w:trPr>
        <w:tc>
          <w:tcPr>
            <w:tcW w:w="1458" w:type="dxa"/>
          </w:tcPr>
          <w:p w:rsidR="009302C0" w:rsidRPr="009302C0" w:rsidRDefault="009302C0" w:rsidP="009302C0">
            <w:pPr>
              <w:rPr>
                <w:sz w:val="20"/>
              </w:rPr>
            </w:pPr>
            <w:r w:rsidRPr="009302C0">
              <w:rPr>
                <w:b/>
                <w:sz w:val="20"/>
                <w:lang w:val="fr-CA"/>
              </w:rPr>
              <w:lastRenderedPageBreak/>
              <w:t>35806</w:t>
            </w:r>
          </w:p>
          <w:p w:rsidR="009302C0" w:rsidRPr="009302C0" w:rsidRDefault="009302C0" w:rsidP="009302C0">
            <w:pPr>
              <w:rPr>
                <w:b/>
                <w:sz w:val="20"/>
                <w:lang w:val="fr-CA"/>
              </w:rPr>
            </w:pPr>
          </w:p>
        </w:tc>
        <w:tc>
          <w:tcPr>
            <w:tcW w:w="8118" w:type="dxa"/>
          </w:tcPr>
          <w:p w:rsidR="009302C0" w:rsidRPr="009302C0" w:rsidRDefault="009302C0" w:rsidP="009302C0">
            <w:pPr>
              <w:jc w:val="both"/>
              <w:rPr>
                <w:sz w:val="20"/>
              </w:rPr>
            </w:pPr>
            <w:r w:rsidRPr="009302C0">
              <w:rPr>
                <w:b/>
                <w:sz w:val="20"/>
                <w:u w:val="single"/>
              </w:rPr>
              <w:t>Rose Henry, Clyde Wright and Helen Eddlestone v. Attorney General of Canada</w:t>
            </w:r>
            <w:r w:rsidR="00A0198D">
              <w:rPr>
                <w:b/>
                <w:sz w:val="20"/>
                <w:u w:val="single"/>
              </w:rPr>
              <w:t xml:space="preserve"> and</w:t>
            </w:r>
            <w:r w:rsidRPr="009302C0">
              <w:rPr>
                <w:b/>
                <w:sz w:val="20"/>
                <w:u w:val="single"/>
              </w:rPr>
              <w:t xml:space="preserve"> Chief Electoral Officer of Canada</w:t>
            </w:r>
            <w:r w:rsidRPr="009302C0">
              <w:rPr>
                <w:sz w:val="20"/>
              </w:rPr>
              <w:t xml:space="preserve"> (B.C.) (Civil) (By Leave)</w:t>
            </w:r>
          </w:p>
          <w:p w:rsidR="009302C0" w:rsidRPr="009302C0" w:rsidRDefault="009302C0" w:rsidP="009302C0">
            <w:pPr>
              <w:jc w:val="both"/>
              <w:rPr>
                <w:sz w:val="20"/>
              </w:rPr>
            </w:pPr>
          </w:p>
        </w:tc>
      </w:tr>
      <w:tr w:rsidR="009302C0" w:rsidRPr="009302C0" w:rsidTr="00A5501D">
        <w:trPr>
          <w:cantSplit/>
        </w:trPr>
        <w:tc>
          <w:tcPr>
            <w:tcW w:w="1458" w:type="dxa"/>
          </w:tcPr>
          <w:p w:rsidR="009302C0" w:rsidRPr="009302C0" w:rsidRDefault="009302C0" w:rsidP="009302C0">
            <w:pPr>
              <w:rPr>
                <w:sz w:val="20"/>
              </w:rPr>
            </w:pPr>
            <w:r w:rsidRPr="009302C0">
              <w:rPr>
                <w:sz w:val="20"/>
              </w:rPr>
              <w:t>Coram :</w:t>
            </w:r>
          </w:p>
        </w:tc>
        <w:tc>
          <w:tcPr>
            <w:tcW w:w="8118" w:type="dxa"/>
          </w:tcPr>
          <w:p w:rsidR="009302C0" w:rsidRPr="009302C0" w:rsidRDefault="009302C0" w:rsidP="009302C0">
            <w:pPr>
              <w:rPr>
                <w:sz w:val="20"/>
              </w:rPr>
            </w:pPr>
            <w:r w:rsidRPr="009302C0">
              <w:rPr>
                <w:sz w:val="20"/>
                <w:u w:val="single"/>
              </w:rPr>
              <w:t>McLachlin C.J. and Cromwell and Wagner JJ.</w:t>
            </w:r>
          </w:p>
          <w:p w:rsidR="009302C0" w:rsidRPr="009302C0" w:rsidRDefault="009302C0" w:rsidP="009302C0">
            <w:pPr>
              <w:rPr>
                <w:sz w:val="20"/>
                <w:u w:val="single"/>
              </w:rPr>
            </w:pPr>
          </w:p>
        </w:tc>
      </w:tr>
      <w:tr w:rsidR="009302C0" w:rsidRPr="00944C2E" w:rsidTr="00A5501D">
        <w:trPr>
          <w:cantSplit/>
        </w:trPr>
        <w:tc>
          <w:tcPr>
            <w:tcW w:w="9576" w:type="dxa"/>
            <w:gridSpan w:val="2"/>
          </w:tcPr>
          <w:p w:rsidR="009302C0" w:rsidRPr="009302C0" w:rsidRDefault="009302C0" w:rsidP="009302C0">
            <w:pPr>
              <w:ind w:firstLine="720"/>
              <w:jc w:val="both"/>
              <w:rPr>
                <w:sz w:val="20"/>
              </w:rPr>
            </w:pPr>
            <w:r w:rsidRPr="009302C0">
              <w:rPr>
                <w:sz w:val="20"/>
              </w:rPr>
              <w:t>The motion for an extension of time to serve and file the application for leave to appeal is granted.  The application for leave to appeal from the judgment of the Court of Appeal for British Columbia (Vancouver), Number CA038128, 2014 BCCA 30, dated January 28, 2014, is dismissed with costs to the Attorney General of Canada.</w:t>
            </w:r>
          </w:p>
          <w:p w:rsidR="009302C0" w:rsidRPr="009302C0" w:rsidRDefault="009302C0" w:rsidP="009302C0">
            <w:pPr>
              <w:jc w:val="both"/>
              <w:rPr>
                <w:sz w:val="20"/>
              </w:rPr>
            </w:pPr>
          </w:p>
          <w:p w:rsidR="009302C0" w:rsidRPr="009302C0" w:rsidRDefault="009302C0" w:rsidP="00BD17DE">
            <w:pPr>
              <w:ind w:firstLine="720"/>
              <w:jc w:val="both"/>
              <w:rPr>
                <w:sz w:val="20"/>
                <w:lang w:val="fr-CA"/>
              </w:rPr>
            </w:pPr>
            <w:r w:rsidRPr="009302C0">
              <w:rPr>
                <w:sz w:val="20"/>
                <w:lang w:val="fr-CA"/>
              </w:rPr>
              <w:t>La requête en prorogation du délai de signification et de dépôt de la demande d’autorisation d’appel est accueillie.  La demande d’autorisation d’appel de l’arrêt de la Cour d’appel de la Colombie-Britannique (Vancouver), numéro CA038128, 2014 BCCA 30, daté du 28 janvier 2014, est rejetée avec dépens en faveur du Procureur général du Canada.</w:t>
            </w:r>
          </w:p>
        </w:tc>
      </w:tr>
    </w:tbl>
    <w:p w:rsidR="00965AE9" w:rsidRPr="009302C0" w:rsidRDefault="00965AE9" w:rsidP="00965AE9">
      <w:pPr>
        <w:rPr>
          <w:sz w:val="20"/>
          <w:szCs w:val="20"/>
          <w:lang w:val="fr-CA"/>
        </w:rPr>
      </w:pPr>
    </w:p>
    <w:p w:rsidR="00965AE9" w:rsidRPr="001B157C" w:rsidRDefault="00965AE9" w:rsidP="00965AE9">
      <w:pPr>
        <w:rPr>
          <w:sz w:val="20"/>
          <w:szCs w:val="20"/>
          <w:u w:val="single"/>
        </w:rPr>
      </w:pPr>
      <w:r w:rsidRPr="001B157C">
        <w:rPr>
          <w:sz w:val="20"/>
          <w:szCs w:val="20"/>
          <w:u w:val="single"/>
        </w:rPr>
        <w:t>CASE SUMMARY</w:t>
      </w:r>
    </w:p>
    <w:p w:rsidR="00965AE9" w:rsidRDefault="00965AE9" w:rsidP="00965AE9">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028AB" w:rsidRPr="00163264" w:rsidTr="00E2016D">
        <w:tc>
          <w:tcPr>
            <w:tcW w:w="5000" w:type="pct"/>
            <w:gridSpan w:val="3"/>
          </w:tcPr>
          <w:p w:rsidR="00F028AB" w:rsidRPr="00163264" w:rsidRDefault="00F028AB" w:rsidP="00E2016D">
            <w:pPr>
              <w:jc w:val="both"/>
              <w:rPr>
                <w:rFonts w:eastAsia="Calibri"/>
                <w:sz w:val="20"/>
              </w:rPr>
            </w:pPr>
            <w:r w:rsidRPr="00163264">
              <w:rPr>
                <w:rFonts w:eastAsia="Calibri"/>
                <w:i/>
                <w:sz w:val="20"/>
              </w:rPr>
              <w:t>Charter of Rights</w:t>
            </w:r>
            <w:r w:rsidRPr="00163264">
              <w:rPr>
                <w:rFonts w:eastAsia="Calibri"/>
                <w:sz w:val="20"/>
              </w:rPr>
              <w:t xml:space="preserve"> – Right to vote – Parliament and legislatures – Parliament enacting legislation requiring voters to produce identification prior to obtaining ballot to vote - Whether voter identification rules are constitutional – </w:t>
            </w:r>
            <w:r w:rsidRPr="00163264">
              <w:rPr>
                <w:rFonts w:eastAsia="Calibri"/>
                <w:i/>
                <w:sz w:val="20"/>
              </w:rPr>
              <w:t>Canada Elections Act</w:t>
            </w:r>
            <w:r w:rsidRPr="00163264">
              <w:rPr>
                <w:rFonts w:eastAsia="Calibri"/>
                <w:sz w:val="20"/>
              </w:rPr>
              <w:t xml:space="preserve">, S.C. 2000, c. 9 – Whether there is overarching analytical approach to s. 3, whereby a facial interference with the broad right to vote might nevertheless be consistent with </w:t>
            </w:r>
            <w:r w:rsidRPr="00163264">
              <w:rPr>
                <w:rFonts w:eastAsia="Calibri"/>
                <w:i/>
                <w:sz w:val="20"/>
              </w:rPr>
              <w:t>Charter</w:t>
            </w:r>
            <w:r w:rsidRPr="00163264">
              <w:rPr>
                <w:rFonts w:eastAsia="Calibri"/>
                <w:sz w:val="20"/>
              </w:rPr>
              <w:t xml:space="preserve"> right on the basis that it served to enhance the meaningful role electors play in the process? – Whether s. 3 has its own causation test and, if so, whether it requires in the voter identification context that the requirement to produce documentation be the only cause of a voter’s disenfranchisement? – How is government to meet its onus on the minimal impairment branch of the s. 1 analysis in circumstances where there is no deference owing to Parliament? – As a matter of balancing proportionate effects, does a free and democratic society accept disenfranchisement of some of its most vulnerable members – or substantial risk that those persons might be disenfranchised – as an acceptable price for combating personation?</w:t>
            </w:r>
          </w:p>
        </w:tc>
      </w:tr>
      <w:tr w:rsidR="00F028AB" w:rsidRPr="00163264" w:rsidTr="00E2016D">
        <w:tc>
          <w:tcPr>
            <w:tcW w:w="5000" w:type="pct"/>
            <w:gridSpan w:val="3"/>
          </w:tcPr>
          <w:p w:rsidR="00F028AB" w:rsidRPr="00163264" w:rsidRDefault="00F028AB" w:rsidP="00E2016D">
            <w:pPr>
              <w:jc w:val="both"/>
              <w:rPr>
                <w:rFonts w:eastAsia="Calibri"/>
                <w:sz w:val="20"/>
              </w:rPr>
            </w:pPr>
          </w:p>
        </w:tc>
      </w:tr>
      <w:tr w:rsidR="00F028AB" w:rsidRPr="00163264" w:rsidTr="00E2016D">
        <w:tc>
          <w:tcPr>
            <w:tcW w:w="5000" w:type="pct"/>
            <w:gridSpan w:val="3"/>
          </w:tcPr>
          <w:p w:rsidR="00F028AB" w:rsidRPr="00163264" w:rsidRDefault="00F028AB" w:rsidP="00E2016D">
            <w:pPr>
              <w:jc w:val="both"/>
              <w:rPr>
                <w:color w:val="000000"/>
                <w:sz w:val="20"/>
                <w:lang w:eastAsia="en-CA"/>
              </w:rPr>
            </w:pPr>
            <w:r w:rsidRPr="00163264">
              <w:rPr>
                <w:color w:val="000000"/>
                <w:sz w:val="20"/>
                <w:lang w:eastAsia="en-CA"/>
              </w:rPr>
              <w:t xml:space="preserve">The applicants are electors who sought declarations that the amendments to the </w:t>
            </w:r>
            <w:r w:rsidRPr="00163264">
              <w:rPr>
                <w:i/>
                <w:color w:val="000000"/>
                <w:sz w:val="20"/>
                <w:lang w:eastAsia="en-CA"/>
              </w:rPr>
              <w:t>Canada Elections Act</w:t>
            </w:r>
            <w:r w:rsidRPr="00163264">
              <w:rPr>
                <w:color w:val="000000"/>
                <w:sz w:val="20"/>
                <w:lang w:eastAsia="en-CA"/>
              </w:rPr>
              <w:t xml:space="preserve">, particularly in s. 148.1(1), imposing new voter identification requirements, infringed rights guaranteed under s. 3 of the </w:t>
            </w:r>
            <w:r w:rsidRPr="00163264">
              <w:rPr>
                <w:i/>
                <w:color w:val="000000"/>
                <w:sz w:val="20"/>
                <w:lang w:eastAsia="en-CA"/>
              </w:rPr>
              <w:t>Charter</w:t>
            </w:r>
            <w:r w:rsidRPr="00163264">
              <w:rPr>
                <w:color w:val="000000"/>
                <w:sz w:val="20"/>
                <w:lang w:eastAsia="en-CA"/>
              </w:rPr>
              <w:t xml:space="preserve"> and were void and of no effect.  Those provisions require that an elector show one piece of government-issued identification with a photograph, name and address, or two pieces of identification, each of which establishes the elector's name and at least one that establishes his or her address.  An elector may also establish identity and address by taking an oath and being vouched for by another qualified elector. Prior to the amendments an elector was not required to show identification to vote.  If there was doubt about the elector's identity, the elector could be required to swear an oath.  The applicants sought a declaration that the new voter requirements were unconstitutional, arguing that they impeded or limited the exercise of the right to vote by those persons who did not have standard documentary proof of their identity and residence available to them.  Canada maintained that the amendments were passed in order to improve the integrity of the voting process.</w:t>
            </w:r>
          </w:p>
          <w:p w:rsidR="00F028AB" w:rsidRPr="00163264" w:rsidRDefault="00F028AB" w:rsidP="00E2016D">
            <w:pPr>
              <w:jc w:val="both"/>
              <w:rPr>
                <w:rFonts w:eastAsia="Calibri"/>
                <w:sz w:val="20"/>
              </w:rPr>
            </w:pPr>
          </w:p>
        </w:tc>
      </w:tr>
      <w:tr w:rsidR="00F028AB" w:rsidRPr="00163264" w:rsidTr="00E2016D">
        <w:tc>
          <w:tcPr>
            <w:tcW w:w="2427" w:type="pct"/>
          </w:tcPr>
          <w:p w:rsidR="00F028AB" w:rsidRPr="00163264" w:rsidRDefault="00F028AB" w:rsidP="00E2016D">
            <w:pPr>
              <w:jc w:val="both"/>
              <w:rPr>
                <w:rFonts w:eastAsia="Calibri"/>
                <w:sz w:val="20"/>
              </w:rPr>
            </w:pPr>
            <w:r w:rsidRPr="00163264">
              <w:rPr>
                <w:rFonts w:eastAsia="Calibri"/>
                <w:sz w:val="20"/>
              </w:rPr>
              <w:t>May 3, 2010</w:t>
            </w:r>
          </w:p>
          <w:p w:rsidR="00F028AB" w:rsidRPr="00163264" w:rsidRDefault="00F028AB" w:rsidP="00E2016D">
            <w:pPr>
              <w:jc w:val="both"/>
              <w:rPr>
                <w:rFonts w:eastAsia="Calibri"/>
                <w:sz w:val="20"/>
              </w:rPr>
            </w:pPr>
            <w:r w:rsidRPr="00163264">
              <w:rPr>
                <w:rFonts w:eastAsia="Calibri"/>
                <w:sz w:val="20"/>
              </w:rPr>
              <w:t>Supreme Court of British Columbia</w:t>
            </w:r>
          </w:p>
          <w:p w:rsidR="00F028AB" w:rsidRPr="00163264" w:rsidRDefault="00F028AB" w:rsidP="00E2016D">
            <w:pPr>
              <w:jc w:val="both"/>
              <w:rPr>
                <w:rFonts w:eastAsia="Calibri"/>
                <w:sz w:val="20"/>
              </w:rPr>
            </w:pPr>
            <w:r w:rsidRPr="00163264">
              <w:rPr>
                <w:rFonts w:eastAsia="Calibri"/>
                <w:sz w:val="20"/>
              </w:rPr>
              <w:t>(Smith J.)</w:t>
            </w:r>
          </w:p>
          <w:p w:rsidR="00F028AB" w:rsidRPr="00163264" w:rsidRDefault="00944C2E" w:rsidP="00E2016D">
            <w:pPr>
              <w:jc w:val="both"/>
              <w:rPr>
                <w:rFonts w:eastAsia="Calibri"/>
                <w:sz w:val="20"/>
              </w:rPr>
            </w:pPr>
            <w:hyperlink r:id="rId30" w:history="1">
              <w:r w:rsidR="00F028AB" w:rsidRPr="00163264">
                <w:rPr>
                  <w:rFonts w:eastAsia="Calibri"/>
                  <w:color w:val="004B91"/>
                  <w:sz w:val="20"/>
                </w:rPr>
                <w:t>2010 BCSC 610</w:t>
              </w:r>
            </w:hyperlink>
          </w:p>
          <w:p w:rsidR="00F028AB" w:rsidRPr="00163264" w:rsidRDefault="00F028AB" w:rsidP="00E2016D">
            <w:pPr>
              <w:jc w:val="both"/>
              <w:rPr>
                <w:rFonts w:eastAsia="Calibri"/>
                <w:sz w:val="20"/>
              </w:rPr>
            </w:pPr>
          </w:p>
        </w:tc>
        <w:tc>
          <w:tcPr>
            <w:tcW w:w="243" w:type="pct"/>
          </w:tcPr>
          <w:p w:rsidR="00F028AB" w:rsidRPr="00163264" w:rsidRDefault="00F028AB" w:rsidP="00E2016D">
            <w:pPr>
              <w:jc w:val="both"/>
              <w:rPr>
                <w:rFonts w:eastAsia="Calibri"/>
                <w:sz w:val="20"/>
              </w:rPr>
            </w:pPr>
          </w:p>
        </w:tc>
        <w:tc>
          <w:tcPr>
            <w:tcW w:w="2330" w:type="pct"/>
          </w:tcPr>
          <w:p w:rsidR="00F028AB" w:rsidRPr="00163264" w:rsidRDefault="00F028AB" w:rsidP="00E2016D">
            <w:pPr>
              <w:jc w:val="both"/>
              <w:rPr>
                <w:rFonts w:eastAsia="Calibri"/>
                <w:sz w:val="20"/>
              </w:rPr>
            </w:pPr>
            <w:r w:rsidRPr="00163264">
              <w:rPr>
                <w:rFonts w:eastAsia="Calibri"/>
                <w:sz w:val="20"/>
              </w:rPr>
              <w:t xml:space="preserve">Voter identification rules held to infringe s. 3 of </w:t>
            </w:r>
            <w:r w:rsidRPr="00163264">
              <w:rPr>
                <w:rFonts w:eastAsia="Calibri"/>
                <w:i/>
                <w:sz w:val="20"/>
              </w:rPr>
              <w:t>Charter</w:t>
            </w:r>
            <w:r w:rsidRPr="00163264">
              <w:rPr>
                <w:rFonts w:eastAsia="Calibri"/>
                <w:sz w:val="20"/>
              </w:rPr>
              <w:t xml:space="preserve"> but were  demonstrably justified under s. 1</w:t>
            </w:r>
          </w:p>
          <w:p w:rsidR="00F028AB" w:rsidRPr="00163264" w:rsidRDefault="00F028AB" w:rsidP="00E2016D">
            <w:pPr>
              <w:jc w:val="both"/>
              <w:rPr>
                <w:rFonts w:eastAsia="Calibri"/>
                <w:sz w:val="20"/>
              </w:rPr>
            </w:pPr>
          </w:p>
          <w:p w:rsidR="00F028AB" w:rsidRPr="00163264" w:rsidRDefault="00F028AB" w:rsidP="00E2016D">
            <w:pPr>
              <w:jc w:val="both"/>
              <w:rPr>
                <w:rFonts w:eastAsia="Calibri"/>
                <w:sz w:val="20"/>
              </w:rPr>
            </w:pPr>
          </w:p>
        </w:tc>
      </w:tr>
      <w:tr w:rsidR="00F028AB" w:rsidRPr="00163264" w:rsidTr="00E2016D">
        <w:tc>
          <w:tcPr>
            <w:tcW w:w="2427" w:type="pct"/>
          </w:tcPr>
          <w:p w:rsidR="00F028AB" w:rsidRPr="00163264" w:rsidRDefault="00F028AB" w:rsidP="00E2016D">
            <w:pPr>
              <w:jc w:val="both"/>
              <w:rPr>
                <w:rFonts w:eastAsia="Calibri"/>
                <w:sz w:val="20"/>
              </w:rPr>
            </w:pPr>
            <w:r w:rsidRPr="00163264">
              <w:rPr>
                <w:rFonts w:eastAsia="Calibri"/>
                <w:sz w:val="20"/>
              </w:rPr>
              <w:t>January 28, 2014</w:t>
            </w:r>
          </w:p>
          <w:p w:rsidR="00F028AB" w:rsidRPr="00163264" w:rsidRDefault="00F028AB" w:rsidP="00E2016D">
            <w:pPr>
              <w:jc w:val="both"/>
              <w:rPr>
                <w:rFonts w:eastAsia="Calibri"/>
                <w:sz w:val="20"/>
              </w:rPr>
            </w:pPr>
            <w:r w:rsidRPr="00163264">
              <w:rPr>
                <w:rFonts w:eastAsia="Calibri"/>
                <w:sz w:val="20"/>
              </w:rPr>
              <w:t xml:space="preserve">Court of Appeal for British Columbia </w:t>
            </w:r>
          </w:p>
          <w:p w:rsidR="00F028AB" w:rsidRPr="00163264" w:rsidRDefault="00F028AB" w:rsidP="00E2016D">
            <w:pPr>
              <w:jc w:val="both"/>
              <w:rPr>
                <w:rFonts w:eastAsia="Calibri"/>
                <w:sz w:val="20"/>
              </w:rPr>
            </w:pPr>
            <w:r w:rsidRPr="00163264">
              <w:rPr>
                <w:rFonts w:eastAsia="Calibri"/>
                <w:sz w:val="20"/>
              </w:rPr>
              <w:t>(Vancouver)</w:t>
            </w:r>
          </w:p>
          <w:p w:rsidR="00F028AB" w:rsidRPr="00163264" w:rsidRDefault="00F028AB" w:rsidP="00E2016D">
            <w:pPr>
              <w:jc w:val="both"/>
              <w:rPr>
                <w:rFonts w:eastAsia="Calibri"/>
                <w:sz w:val="20"/>
              </w:rPr>
            </w:pPr>
            <w:r w:rsidRPr="00163264">
              <w:rPr>
                <w:rFonts w:eastAsia="Calibri"/>
                <w:sz w:val="20"/>
              </w:rPr>
              <w:t>(Ryan, Smith and Hinkson JJ.A.)</w:t>
            </w:r>
          </w:p>
          <w:p w:rsidR="00F028AB" w:rsidRPr="00163264" w:rsidRDefault="00944C2E" w:rsidP="00E2016D">
            <w:pPr>
              <w:jc w:val="both"/>
              <w:rPr>
                <w:rFonts w:eastAsia="Calibri"/>
                <w:sz w:val="20"/>
              </w:rPr>
            </w:pPr>
            <w:hyperlink r:id="rId31" w:history="1">
              <w:r w:rsidR="00F028AB" w:rsidRPr="00163264">
                <w:rPr>
                  <w:rFonts w:eastAsia="Calibri"/>
                  <w:color w:val="004B91"/>
                  <w:sz w:val="20"/>
                </w:rPr>
                <w:t>2014 BCCA 30</w:t>
              </w:r>
            </w:hyperlink>
          </w:p>
          <w:p w:rsidR="00F028AB" w:rsidRPr="00163264" w:rsidRDefault="00F028AB" w:rsidP="00E2016D">
            <w:pPr>
              <w:jc w:val="both"/>
              <w:rPr>
                <w:rFonts w:eastAsia="Calibri"/>
                <w:sz w:val="20"/>
              </w:rPr>
            </w:pPr>
          </w:p>
        </w:tc>
        <w:tc>
          <w:tcPr>
            <w:tcW w:w="243" w:type="pct"/>
          </w:tcPr>
          <w:p w:rsidR="00F028AB" w:rsidRPr="00163264" w:rsidRDefault="00F028AB" w:rsidP="00E2016D">
            <w:pPr>
              <w:jc w:val="both"/>
              <w:rPr>
                <w:rFonts w:eastAsia="Calibri"/>
                <w:sz w:val="20"/>
              </w:rPr>
            </w:pPr>
          </w:p>
        </w:tc>
        <w:tc>
          <w:tcPr>
            <w:tcW w:w="2330" w:type="pct"/>
          </w:tcPr>
          <w:p w:rsidR="00F028AB" w:rsidRPr="00163264" w:rsidRDefault="00F028AB" w:rsidP="00E2016D">
            <w:pPr>
              <w:jc w:val="both"/>
              <w:rPr>
                <w:rFonts w:eastAsia="Calibri"/>
                <w:sz w:val="20"/>
              </w:rPr>
            </w:pPr>
            <w:r w:rsidRPr="00163264">
              <w:rPr>
                <w:rFonts w:eastAsia="Calibri"/>
                <w:sz w:val="20"/>
              </w:rPr>
              <w:t>Applicants’ appeal dismissed</w:t>
            </w:r>
          </w:p>
          <w:p w:rsidR="00F028AB" w:rsidRPr="00163264" w:rsidRDefault="00F028AB" w:rsidP="00E2016D">
            <w:pPr>
              <w:jc w:val="both"/>
              <w:rPr>
                <w:rFonts w:eastAsia="Calibri"/>
                <w:sz w:val="20"/>
              </w:rPr>
            </w:pPr>
          </w:p>
        </w:tc>
      </w:tr>
      <w:tr w:rsidR="00F028AB" w:rsidRPr="00163264" w:rsidTr="00E2016D">
        <w:tc>
          <w:tcPr>
            <w:tcW w:w="2427" w:type="pct"/>
          </w:tcPr>
          <w:p w:rsidR="00F028AB" w:rsidRPr="00163264" w:rsidRDefault="00F028AB" w:rsidP="00E2016D">
            <w:pPr>
              <w:jc w:val="both"/>
              <w:rPr>
                <w:rFonts w:eastAsia="Calibri"/>
                <w:sz w:val="20"/>
              </w:rPr>
            </w:pPr>
            <w:r w:rsidRPr="00163264">
              <w:rPr>
                <w:rFonts w:eastAsia="Calibri"/>
                <w:sz w:val="20"/>
              </w:rPr>
              <w:lastRenderedPageBreak/>
              <w:t>April 1, 2014</w:t>
            </w:r>
          </w:p>
          <w:p w:rsidR="00F028AB" w:rsidRPr="00163264" w:rsidRDefault="00F028AB" w:rsidP="00E2016D">
            <w:pPr>
              <w:jc w:val="both"/>
              <w:rPr>
                <w:rFonts w:eastAsia="Calibri"/>
                <w:sz w:val="20"/>
              </w:rPr>
            </w:pPr>
            <w:r w:rsidRPr="00163264">
              <w:rPr>
                <w:rFonts w:eastAsia="Calibri"/>
                <w:sz w:val="20"/>
              </w:rPr>
              <w:t>Supreme Court of Canada</w:t>
            </w:r>
          </w:p>
          <w:p w:rsidR="00F028AB" w:rsidRPr="00163264" w:rsidRDefault="00F028AB" w:rsidP="00E2016D">
            <w:pPr>
              <w:jc w:val="both"/>
              <w:rPr>
                <w:rFonts w:eastAsia="Calibri"/>
                <w:sz w:val="20"/>
              </w:rPr>
            </w:pPr>
          </w:p>
        </w:tc>
        <w:tc>
          <w:tcPr>
            <w:tcW w:w="243" w:type="pct"/>
          </w:tcPr>
          <w:p w:rsidR="00F028AB" w:rsidRPr="00163264" w:rsidRDefault="00F028AB" w:rsidP="00E2016D">
            <w:pPr>
              <w:jc w:val="both"/>
              <w:rPr>
                <w:rFonts w:eastAsia="Calibri"/>
                <w:sz w:val="20"/>
              </w:rPr>
            </w:pPr>
          </w:p>
        </w:tc>
        <w:tc>
          <w:tcPr>
            <w:tcW w:w="2330" w:type="pct"/>
          </w:tcPr>
          <w:p w:rsidR="00F028AB" w:rsidRPr="00163264" w:rsidRDefault="00F028AB" w:rsidP="00E2016D">
            <w:pPr>
              <w:jc w:val="both"/>
              <w:rPr>
                <w:rFonts w:eastAsia="Calibri"/>
                <w:sz w:val="20"/>
              </w:rPr>
            </w:pPr>
            <w:r w:rsidRPr="00163264">
              <w:rPr>
                <w:rFonts w:eastAsia="Calibri"/>
                <w:sz w:val="20"/>
              </w:rPr>
              <w:t>Application for leave to appeal filed</w:t>
            </w:r>
          </w:p>
        </w:tc>
      </w:tr>
      <w:tr w:rsidR="00F028AB" w:rsidRPr="00163264" w:rsidTr="00E2016D">
        <w:tc>
          <w:tcPr>
            <w:tcW w:w="2427" w:type="pct"/>
          </w:tcPr>
          <w:p w:rsidR="00F028AB" w:rsidRPr="00163264" w:rsidRDefault="00F028AB" w:rsidP="00E2016D">
            <w:pPr>
              <w:jc w:val="both"/>
              <w:rPr>
                <w:rFonts w:eastAsia="Calibri"/>
                <w:sz w:val="20"/>
              </w:rPr>
            </w:pPr>
            <w:r w:rsidRPr="00163264">
              <w:rPr>
                <w:rFonts w:eastAsia="Calibri"/>
                <w:sz w:val="20"/>
              </w:rPr>
              <w:t>May 5, 2014</w:t>
            </w:r>
          </w:p>
          <w:p w:rsidR="00F028AB" w:rsidRPr="00163264" w:rsidRDefault="00F028AB" w:rsidP="00E2016D">
            <w:pPr>
              <w:jc w:val="both"/>
              <w:rPr>
                <w:rFonts w:eastAsia="Calibri"/>
                <w:sz w:val="20"/>
              </w:rPr>
            </w:pPr>
            <w:r w:rsidRPr="00163264">
              <w:rPr>
                <w:rFonts w:eastAsia="Calibri"/>
                <w:sz w:val="20"/>
              </w:rPr>
              <w:t>Supreme Court of Canada</w:t>
            </w:r>
          </w:p>
        </w:tc>
        <w:tc>
          <w:tcPr>
            <w:tcW w:w="243" w:type="pct"/>
          </w:tcPr>
          <w:p w:rsidR="00F028AB" w:rsidRPr="00163264" w:rsidRDefault="00F028AB" w:rsidP="00E2016D">
            <w:pPr>
              <w:jc w:val="both"/>
              <w:rPr>
                <w:rFonts w:eastAsia="Calibri"/>
                <w:sz w:val="20"/>
              </w:rPr>
            </w:pPr>
          </w:p>
        </w:tc>
        <w:tc>
          <w:tcPr>
            <w:tcW w:w="2330" w:type="pct"/>
          </w:tcPr>
          <w:p w:rsidR="00F028AB" w:rsidRPr="00163264" w:rsidRDefault="00F028AB" w:rsidP="00E2016D">
            <w:pPr>
              <w:jc w:val="both"/>
              <w:rPr>
                <w:rFonts w:eastAsia="Calibri"/>
                <w:sz w:val="20"/>
              </w:rPr>
            </w:pPr>
            <w:r w:rsidRPr="00163264">
              <w:rPr>
                <w:rFonts w:eastAsia="Calibri"/>
                <w:sz w:val="20"/>
              </w:rPr>
              <w:t>Motion for extension of time to serve and file application for leave to appeal filed</w:t>
            </w:r>
          </w:p>
        </w:tc>
      </w:tr>
    </w:tbl>
    <w:p w:rsidR="00965AE9" w:rsidRDefault="00965AE9" w:rsidP="00965AE9">
      <w:pPr>
        <w:rPr>
          <w:sz w:val="20"/>
          <w:szCs w:val="20"/>
        </w:rPr>
      </w:pPr>
    </w:p>
    <w:p w:rsidR="00965AE9" w:rsidRPr="00C50A5C" w:rsidRDefault="00944C2E" w:rsidP="00965AE9">
      <w:pPr>
        <w:rPr>
          <w:sz w:val="20"/>
          <w:szCs w:val="20"/>
        </w:rPr>
      </w:pPr>
      <w:r>
        <w:rPr>
          <w:sz w:val="20"/>
          <w:szCs w:val="20"/>
          <w:lang w:val="fr-CA"/>
        </w:rPr>
        <w:pict>
          <v:rect id="_x0000_i1049" style="width:2in;height:1pt" o:hrpct="0" o:hralign="center" o:hrstd="t" o:hrnoshade="t" o:hr="t" fillcolor="black [3213]" stroked="f"/>
        </w:pict>
      </w:r>
    </w:p>
    <w:p w:rsidR="00965AE9" w:rsidRDefault="00965AE9" w:rsidP="00965AE9">
      <w:pPr>
        <w:rPr>
          <w:sz w:val="20"/>
          <w:szCs w:val="20"/>
        </w:rPr>
      </w:pPr>
    </w:p>
    <w:p w:rsidR="00965AE9" w:rsidRPr="001B157C" w:rsidRDefault="00965AE9" w:rsidP="00965AE9">
      <w:pPr>
        <w:rPr>
          <w:sz w:val="20"/>
          <w:szCs w:val="20"/>
          <w:u w:val="single"/>
          <w:lang w:val="fr-CA"/>
        </w:rPr>
      </w:pPr>
      <w:r w:rsidRPr="001B157C">
        <w:rPr>
          <w:sz w:val="20"/>
          <w:szCs w:val="20"/>
          <w:u w:val="single"/>
          <w:lang w:val="fr-CA"/>
        </w:rPr>
        <w:t>RÉSUMÉ DE L’AFFAIRE</w:t>
      </w:r>
    </w:p>
    <w:p w:rsidR="00965AE9" w:rsidRDefault="00965AE9" w:rsidP="00965AE9">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028AB" w:rsidRPr="00944C2E" w:rsidTr="00E2016D">
        <w:tc>
          <w:tcPr>
            <w:tcW w:w="5000" w:type="pct"/>
            <w:gridSpan w:val="3"/>
          </w:tcPr>
          <w:p w:rsidR="00F028AB" w:rsidRPr="00163264" w:rsidRDefault="00F028AB" w:rsidP="00E2016D">
            <w:pPr>
              <w:jc w:val="both"/>
              <w:rPr>
                <w:rFonts w:eastAsia="Calibri"/>
                <w:sz w:val="20"/>
                <w:lang w:val="fr-CA"/>
              </w:rPr>
            </w:pPr>
            <w:r w:rsidRPr="00163264">
              <w:rPr>
                <w:rFonts w:eastAsia="Calibri"/>
                <w:i/>
                <w:sz w:val="20"/>
                <w:lang w:val="fr-CA"/>
              </w:rPr>
              <w:t>Charte des droits</w:t>
            </w:r>
            <w:r w:rsidRPr="00163264">
              <w:rPr>
                <w:rFonts w:eastAsia="Calibri"/>
                <w:sz w:val="20"/>
                <w:lang w:val="fr-CA"/>
              </w:rPr>
              <w:t xml:space="preserve"> – Droit de vote – Parlement et législatures – Adoption par le Parlement d’une loi obligeant les électeurs à produire une pièce d’identité avant d’obtenir un bulletin de vote – Les règles d’identification des électeurs sont-elles constitutionnelles? – </w:t>
            </w:r>
            <w:r w:rsidRPr="00163264">
              <w:rPr>
                <w:rFonts w:eastAsia="Calibri"/>
                <w:i/>
                <w:sz w:val="20"/>
                <w:lang w:val="fr-CA"/>
              </w:rPr>
              <w:t>Loi électorale du Canada</w:t>
            </w:r>
            <w:r w:rsidRPr="00163264">
              <w:rPr>
                <w:rFonts w:eastAsia="Calibri"/>
                <w:sz w:val="20"/>
                <w:lang w:val="fr-CA"/>
              </w:rPr>
              <w:t xml:space="preserve">, L.C. 2000, ch. 9 – Existe-t-il une démarche analytique prépondérante en ce qui a trait à l’art. 3 voulant qu’une atteinte à première vue au droit de vote général soit néanmoins conforme au droit garanti par la </w:t>
            </w:r>
            <w:r w:rsidRPr="00163264">
              <w:rPr>
                <w:rFonts w:eastAsia="Calibri"/>
                <w:i/>
                <w:sz w:val="20"/>
                <w:lang w:val="fr-CA"/>
              </w:rPr>
              <w:t>Charte</w:t>
            </w:r>
            <w:r w:rsidRPr="00163264">
              <w:rPr>
                <w:rFonts w:eastAsia="Calibri"/>
                <w:sz w:val="20"/>
                <w:lang w:val="fr-CA"/>
              </w:rPr>
              <w:t xml:space="preserve"> au motif que cette atteinte serve à renforcer le rôle important joué par les électeurs dans le scrutin? – L’art. 3 est-il assujetti à son propre critère de causalité et, dans l’affirmative, exige-t-il, au chapitre de l’identification des électeurs, que l’obligation de produire une pièce d’identité soit la seule cause de la privation du droit de vote? – De quelle manière l’État doit-il satisfaire au volet « atteinte minimale » de l’analyse fondée sur l’article premier lorsqu’il n’y a pas lieu de faire preuve de déférence envers le Parlement? – Sur le plan de la pondération des effets proportionnels, une société libre et démocratique accepte-t-elle la privation du droit de vote de certains de ses membres les plus vulnérables, ou le risque sérieux que ces personnes soient privées du droit de vote, comme prix à payer pour lutter contre l’usurpation d’identité?</w:t>
            </w:r>
          </w:p>
        </w:tc>
      </w:tr>
      <w:tr w:rsidR="00F028AB" w:rsidRPr="00944C2E" w:rsidTr="00E2016D">
        <w:tc>
          <w:tcPr>
            <w:tcW w:w="5000" w:type="pct"/>
            <w:gridSpan w:val="3"/>
          </w:tcPr>
          <w:p w:rsidR="00F028AB" w:rsidRPr="00163264" w:rsidRDefault="00F028AB" w:rsidP="00E2016D">
            <w:pPr>
              <w:jc w:val="both"/>
              <w:rPr>
                <w:rFonts w:eastAsia="Calibri"/>
                <w:sz w:val="20"/>
                <w:lang w:val="fr-CA"/>
              </w:rPr>
            </w:pPr>
          </w:p>
        </w:tc>
      </w:tr>
      <w:tr w:rsidR="00F028AB" w:rsidRPr="00944C2E" w:rsidTr="00E2016D">
        <w:tc>
          <w:tcPr>
            <w:tcW w:w="5000" w:type="pct"/>
            <w:gridSpan w:val="3"/>
          </w:tcPr>
          <w:p w:rsidR="00F028AB" w:rsidRPr="00163264" w:rsidRDefault="00F028AB" w:rsidP="00E2016D">
            <w:pPr>
              <w:jc w:val="both"/>
              <w:rPr>
                <w:color w:val="000000"/>
                <w:sz w:val="20"/>
                <w:lang w:val="fr-CA" w:eastAsia="en-CA"/>
              </w:rPr>
            </w:pPr>
            <w:r w:rsidRPr="00163264">
              <w:rPr>
                <w:color w:val="000000"/>
                <w:sz w:val="20"/>
                <w:lang w:val="fr-CA" w:eastAsia="en-CA"/>
              </w:rPr>
              <w:t xml:space="preserve">Les demandeurs sont des électeurs ayant sollicité des jugements déclarant que les modifications à la </w:t>
            </w:r>
            <w:r w:rsidRPr="00163264">
              <w:rPr>
                <w:i/>
                <w:color w:val="000000"/>
                <w:sz w:val="20"/>
                <w:lang w:val="fr-CA" w:eastAsia="en-CA"/>
              </w:rPr>
              <w:t>Loi électorale du Canada</w:t>
            </w:r>
            <w:r w:rsidRPr="00163264">
              <w:rPr>
                <w:color w:val="000000"/>
                <w:sz w:val="20"/>
                <w:lang w:val="fr-CA" w:eastAsia="en-CA"/>
              </w:rPr>
              <w:t xml:space="preserve">, notamment au par. 148.1(1), qui imposent aux électeurs de nouvelles obligations en matière d’identification, portaient atteinte aux droits garantis par l’art. 3 de la </w:t>
            </w:r>
            <w:r w:rsidRPr="00163264">
              <w:rPr>
                <w:i/>
                <w:color w:val="000000"/>
                <w:sz w:val="20"/>
                <w:lang w:val="fr-CA" w:eastAsia="en-CA"/>
              </w:rPr>
              <w:t>Charte</w:t>
            </w:r>
            <w:r w:rsidRPr="00163264">
              <w:rPr>
                <w:color w:val="000000"/>
                <w:sz w:val="20"/>
                <w:lang w:val="fr-CA" w:eastAsia="en-CA"/>
              </w:rPr>
              <w:t xml:space="preserve"> et étaient nulles et sans effet.  Ces dispositions obligent l’électeur à montrer une pièce d’identité délivrée par un gouvernement qui est munie d’une photographie et indique son nom et son adresse, ou deux pièces d’identité attestant toutes deux son nom et dont au moins une d’entre elles atteste son adresse.  L’électeur peut aussi établir son identité et son adresse en prêtant serment et en étant accompagné d’une autre personne ayant qualité d’électeur qui répond de lui. Avant les modifications, l’électeur n’était pas tenu de montrer une pièce d’identité pour voter.  En cas de doute à propos de l’identité de l’électeur, on pouvait l’obliger à prêter serment.  Les demandeurs ont sollicité un jugement déclarant que les nouvelles exigences imposées aux électeurs étaient inconstitutionnelles au motif qu’elles entravaient ou limitaient l’exercice du droit de vote par les personnes ne disposant pas des documents habituels attestant leur identité et leur lieu de résidence.  Le Canada a fait valoir que les modifications avaient été adoptées pour améliorer l’intégrité du scrutin.</w:t>
            </w:r>
          </w:p>
          <w:p w:rsidR="00F028AB" w:rsidRPr="00163264" w:rsidRDefault="00F028AB" w:rsidP="00E2016D">
            <w:pPr>
              <w:jc w:val="both"/>
              <w:rPr>
                <w:rFonts w:eastAsia="Calibri"/>
                <w:sz w:val="20"/>
                <w:lang w:val="fr-CA"/>
              </w:rPr>
            </w:pPr>
          </w:p>
        </w:tc>
      </w:tr>
      <w:tr w:rsidR="00F028AB" w:rsidRPr="00944C2E" w:rsidTr="00E2016D">
        <w:tc>
          <w:tcPr>
            <w:tcW w:w="2427" w:type="pct"/>
          </w:tcPr>
          <w:p w:rsidR="00F028AB" w:rsidRPr="00163264" w:rsidRDefault="00F028AB" w:rsidP="00E2016D">
            <w:pPr>
              <w:jc w:val="both"/>
              <w:rPr>
                <w:rFonts w:eastAsia="Calibri"/>
                <w:sz w:val="20"/>
                <w:lang w:val="fr-CA"/>
              </w:rPr>
            </w:pPr>
            <w:r w:rsidRPr="00163264">
              <w:rPr>
                <w:rFonts w:eastAsia="Calibri"/>
                <w:sz w:val="20"/>
                <w:lang w:val="fr-CA"/>
              </w:rPr>
              <w:t>3 mai 2010</w:t>
            </w:r>
          </w:p>
          <w:p w:rsidR="00F028AB" w:rsidRPr="00163264" w:rsidRDefault="00F028AB" w:rsidP="00E2016D">
            <w:pPr>
              <w:jc w:val="both"/>
              <w:rPr>
                <w:rFonts w:eastAsia="Calibri"/>
                <w:sz w:val="20"/>
                <w:lang w:val="fr-CA"/>
              </w:rPr>
            </w:pPr>
            <w:r w:rsidRPr="00163264">
              <w:rPr>
                <w:rFonts w:eastAsia="Calibri"/>
                <w:sz w:val="20"/>
                <w:lang w:val="fr-CA"/>
              </w:rPr>
              <w:t xml:space="preserve">Cour suprême de la Colombie-Britannique </w:t>
            </w:r>
          </w:p>
          <w:p w:rsidR="00F028AB" w:rsidRPr="00163264" w:rsidRDefault="00F028AB" w:rsidP="00E2016D">
            <w:pPr>
              <w:jc w:val="both"/>
              <w:rPr>
                <w:rFonts w:eastAsia="Calibri"/>
                <w:sz w:val="20"/>
              </w:rPr>
            </w:pPr>
            <w:r w:rsidRPr="00163264">
              <w:rPr>
                <w:rFonts w:eastAsia="Calibri"/>
                <w:sz w:val="20"/>
              </w:rPr>
              <w:t>(Juge Smith)</w:t>
            </w:r>
          </w:p>
          <w:p w:rsidR="00F028AB" w:rsidRPr="00163264" w:rsidRDefault="00944C2E" w:rsidP="00E2016D">
            <w:pPr>
              <w:jc w:val="both"/>
              <w:rPr>
                <w:rFonts w:eastAsia="Calibri"/>
                <w:sz w:val="20"/>
              </w:rPr>
            </w:pPr>
            <w:hyperlink r:id="rId32" w:history="1">
              <w:r w:rsidR="00F028AB" w:rsidRPr="00163264">
                <w:rPr>
                  <w:rFonts w:eastAsia="Calibri"/>
                  <w:color w:val="004B91"/>
                  <w:sz w:val="20"/>
                </w:rPr>
                <w:t>2010 BCSC 610</w:t>
              </w:r>
            </w:hyperlink>
          </w:p>
          <w:p w:rsidR="00F028AB" w:rsidRPr="00163264" w:rsidRDefault="00F028AB" w:rsidP="00E2016D">
            <w:pPr>
              <w:jc w:val="both"/>
              <w:rPr>
                <w:rFonts w:eastAsia="Calibri"/>
                <w:sz w:val="20"/>
              </w:rPr>
            </w:pPr>
          </w:p>
        </w:tc>
        <w:tc>
          <w:tcPr>
            <w:tcW w:w="243" w:type="pct"/>
          </w:tcPr>
          <w:p w:rsidR="00F028AB" w:rsidRPr="00163264" w:rsidRDefault="00F028AB" w:rsidP="00E2016D">
            <w:pPr>
              <w:jc w:val="both"/>
              <w:rPr>
                <w:rFonts w:eastAsia="Calibri"/>
                <w:sz w:val="20"/>
              </w:rPr>
            </w:pPr>
          </w:p>
        </w:tc>
        <w:tc>
          <w:tcPr>
            <w:tcW w:w="2330" w:type="pct"/>
          </w:tcPr>
          <w:p w:rsidR="00F028AB" w:rsidRPr="00163264" w:rsidRDefault="00F028AB" w:rsidP="00E2016D">
            <w:pPr>
              <w:jc w:val="both"/>
              <w:rPr>
                <w:rFonts w:eastAsia="Calibri"/>
                <w:sz w:val="20"/>
                <w:lang w:val="fr-CA"/>
              </w:rPr>
            </w:pPr>
            <w:r w:rsidRPr="00163264">
              <w:rPr>
                <w:rFonts w:eastAsia="Calibri"/>
                <w:sz w:val="20"/>
                <w:lang w:val="fr-CA"/>
              </w:rPr>
              <w:t xml:space="preserve">Règles d’identification des électeurs jugées contraires à l’art. 3 de la </w:t>
            </w:r>
            <w:r w:rsidRPr="00163264">
              <w:rPr>
                <w:rFonts w:eastAsia="Calibri"/>
                <w:i/>
                <w:sz w:val="20"/>
                <w:lang w:val="fr-CA"/>
              </w:rPr>
              <w:t>Charte</w:t>
            </w:r>
            <w:r w:rsidRPr="00163264">
              <w:rPr>
                <w:rFonts w:eastAsia="Calibri"/>
                <w:sz w:val="20"/>
                <w:lang w:val="fr-CA"/>
              </w:rPr>
              <w:t xml:space="preserve"> mais leur justification pouvait se démontrer au sens de l’article premier</w:t>
            </w:r>
          </w:p>
          <w:p w:rsidR="00F028AB" w:rsidRPr="00163264" w:rsidRDefault="00F028AB" w:rsidP="00E2016D">
            <w:pPr>
              <w:jc w:val="both"/>
              <w:rPr>
                <w:rFonts w:eastAsia="Calibri"/>
                <w:sz w:val="20"/>
                <w:lang w:val="fr-CA"/>
              </w:rPr>
            </w:pPr>
          </w:p>
        </w:tc>
      </w:tr>
      <w:tr w:rsidR="00F028AB" w:rsidRPr="00163264" w:rsidTr="00E2016D">
        <w:tc>
          <w:tcPr>
            <w:tcW w:w="2427" w:type="pct"/>
          </w:tcPr>
          <w:p w:rsidR="00F028AB" w:rsidRPr="00163264" w:rsidRDefault="00F028AB" w:rsidP="00E2016D">
            <w:pPr>
              <w:jc w:val="both"/>
              <w:rPr>
                <w:rFonts w:eastAsia="Calibri"/>
                <w:sz w:val="20"/>
                <w:lang w:val="fr-CA"/>
              </w:rPr>
            </w:pPr>
            <w:r w:rsidRPr="00163264">
              <w:rPr>
                <w:rFonts w:eastAsia="Calibri"/>
                <w:sz w:val="20"/>
                <w:lang w:val="fr-CA"/>
              </w:rPr>
              <w:t>28 janvier 2014</w:t>
            </w:r>
          </w:p>
          <w:p w:rsidR="00F028AB" w:rsidRPr="00163264" w:rsidRDefault="00F028AB" w:rsidP="00E2016D">
            <w:pPr>
              <w:jc w:val="both"/>
              <w:rPr>
                <w:rFonts w:eastAsia="Calibri"/>
                <w:sz w:val="20"/>
                <w:lang w:val="fr-CA"/>
              </w:rPr>
            </w:pPr>
            <w:r w:rsidRPr="00163264">
              <w:rPr>
                <w:rFonts w:eastAsia="Calibri"/>
                <w:sz w:val="20"/>
                <w:lang w:val="fr-CA"/>
              </w:rPr>
              <w:t xml:space="preserve">Cour d’appel de la Colombie-Britannique </w:t>
            </w:r>
          </w:p>
          <w:p w:rsidR="00F028AB" w:rsidRPr="00163264" w:rsidRDefault="00F028AB" w:rsidP="00E2016D">
            <w:pPr>
              <w:jc w:val="both"/>
              <w:rPr>
                <w:rFonts w:eastAsia="Calibri"/>
                <w:sz w:val="20"/>
                <w:lang w:val="fr-CA"/>
              </w:rPr>
            </w:pPr>
            <w:r w:rsidRPr="00163264">
              <w:rPr>
                <w:rFonts w:eastAsia="Calibri"/>
                <w:sz w:val="20"/>
                <w:lang w:val="fr-CA"/>
              </w:rPr>
              <w:t>(Vancouver)</w:t>
            </w:r>
          </w:p>
          <w:p w:rsidR="00F028AB" w:rsidRPr="00163264" w:rsidRDefault="00F028AB" w:rsidP="00E2016D">
            <w:pPr>
              <w:jc w:val="both"/>
              <w:rPr>
                <w:rFonts w:eastAsia="Calibri"/>
                <w:sz w:val="20"/>
                <w:lang w:val="fr-CA"/>
              </w:rPr>
            </w:pPr>
            <w:r w:rsidRPr="00163264">
              <w:rPr>
                <w:rFonts w:eastAsia="Calibri"/>
                <w:sz w:val="20"/>
                <w:lang w:val="fr-CA"/>
              </w:rPr>
              <w:t>(Juges Ryan, Smith et Hinkson)</w:t>
            </w:r>
          </w:p>
          <w:p w:rsidR="00F028AB" w:rsidRPr="00163264" w:rsidRDefault="00944C2E" w:rsidP="00E2016D">
            <w:pPr>
              <w:jc w:val="both"/>
              <w:rPr>
                <w:rFonts w:eastAsia="Calibri"/>
                <w:sz w:val="20"/>
              </w:rPr>
            </w:pPr>
            <w:hyperlink r:id="rId33" w:history="1">
              <w:r w:rsidR="00F028AB" w:rsidRPr="00163264">
                <w:rPr>
                  <w:rFonts w:eastAsia="Calibri"/>
                  <w:color w:val="004B91"/>
                  <w:sz w:val="20"/>
                </w:rPr>
                <w:t>2014 BCCA 30</w:t>
              </w:r>
            </w:hyperlink>
          </w:p>
          <w:p w:rsidR="00F028AB" w:rsidRPr="00163264" w:rsidRDefault="00F028AB" w:rsidP="00E2016D">
            <w:pPr>
              <w:jc w:val="both"/>
              <w:rPr>
                <w:rFonts w:eastAsia="Calibri"/>
                <w:sz w:val="20"/>
              </w:rPr>
            </w:pPr>
          </w:p>
        </w:tc>
        <w:tc>
          <w:tcPr>
            <w:tcW w:w="243" w:type="pct"/>
          </w:tcPr>
          <w:p w:rsidR="00F028AB" w:rsidRPr="00163264" w:rsidRDefault="00F028AB" w:rsidP="00E2016D">
            <w:pPr>
              <w:jc w:val="both"/>
              <w:rPr>
                <w:rFonts w:eastAsia="Calibri"/>
                <w:sz w:val="20"/>
              </w:rPr>
            </w:pPr>
          </w:p>
        </w:tc>
        <w:tc>
          <w:tcPr>
            <w:tcW w:w="2330" w:type="pct"/>
          </w:tcPr>
          <w:p w:rsidR="00F028AB" w:rsidRPr="00163264" w:rsidRDefault="00F028AB" w:rsidP="00E2016D">
            <w:pPr>
              <w:jc w:val="both"/>
              <w:rPr>
                <w:rFonts w:eastAsia="Calibri"/>
                <w:sz w:val="20"/>
              </w:rPr>
            </w:pPr>
            <w:r w:rsidRPr="00163264">
              <w:rPr>
                <w:rFonts w:eastAsia="Calibri"/>
                <w:sz w:val="20"/>
              </w:rPr>
              <w:t>Appel des demandeurs rejeté</w:t>
            </w:r>
          </w:p>
          <w:p w:rsidR="00F028AB" w:rsidRPr="00163264" w:rsidRDefault="00F028AB" w:rsidP="00E2016D">
            <w:pPr>
              <w:jc w:val="both"/>
              <w:rPr>
                <w:rFonts w:eastAsia="Calibri"/>
                <w:sz w:val="20"/>
              </w:rPr>
            </w:pPr>
          </w:p>
        </w:tc>
      </w:tr>
      <w:tr w:rsidR="00F028AB" w:rsidRPr="00163264" w:rsidTr="00E2016D">
        <w:tc>
          <w:tcPr>
            <w:tcW w:w="2427" w:type="pct"/>
          </w:tcPr>
          <w:p w:rsidR="00F028AB" w:rsidRPr="00163264" w:rsidRDefault="00F028AB" w:rsidP="00E2016D">
            <w:pPr>
              <w:tabs>
                <w:tab w:val="center" w:pos="2249"/>
              </w:tabs>
              <w:jc w:val="both"/>
              <w:rPr>
                <w:rFonts w:eastAsia="Calibri"/>
                <w:sz w:val="20"/>
                <w:lang w:val="fr-CA"/>
              </w:rPr>
            </w:pPr>
            <w:r w:rsidRPr="00163264">
              <w:rPr>
                <w:rFonts w:eastAsia="Calibri"/>
                <w:sz w:val="20"/>
                <w:lang w:val="fr-CA"/>
              </w:rPr>
              <w:t>1</w:t>
            </w:r>
            <w:r w:rsidRPr="00163264">
              <w:rPr>
                <w:rFonts w:eastAsia="Calibri"/>
                <w:sz w:val="20"/>
                <w:vertAlign w:val="superscript"/>
                <w:lang w:val="fr-CA"/>
              </w:rPr>
              <w:t>er</w:t>
            </w:r>
            <w:r w:rsidRPr="00163264">
              <w:rPr>
                <w:rFonts w:eastAsia="Calibri"/>
                <w:sz w:val="20"/>
                <w:lang w:val="fr-CA"/>
              </w:rPr>
              <w:t xml:space="preserve"> avril 2014</w:t>
            </w:r>
          </w:p>
          <w:p w:rsidR="00F028AB" w:rsidRPr="00163264" w:rsidRDefault="00F028AB" w:rsidP="00E2016D">
            <w:pPr>
              <w:jc w:val="both"/>
              <w:rPr>
                <w:rFonts w:eastAsia="Calibri"/>
                <w:sz w:val="20"/>
                <w:lang w:val="fr-CA"/>
              </w:rPr>
            </w:pPr>
            <w:r w:rsidRPr="00163264">
              <w:rPr>
                <w:rFonts w:eastAsia="Calibri"/>
                <w:sz w:val="20"/>
                <w:lang w:val="fr-CA"/>
              </w:rPr>
              <w:t>Cour suprême du Canada</w:t>
            </w:r>
          </w:p>
          <w:p w:rsidR="00F028AB" w:rsidRPr="00163264" w:rsidRDefault="00F028AB" w:rsidP="00E2016D">
            <w:pPr>
              <w:jc w:val="both"/>
              <w:rPr>
                <w:rFonts w:eastAsia="Calibri"/>
                <w:sz w:val="20"/>
                <w:lang w:val="fr-CA"/>
              </w:rPr>
            </w:pPr>
          </w:p>
        </w:tc>
        <w:tc>
          <w:tcPr>
            <w:tcW w:w="243" w:type="pct"/>
          </w:tcPr>
          <w:p w:rsidR="00F028AB" w:rsidRPr="00163264" w:rsidRDefault="00F028AB" w:rsidP="00E2016D">
            <w:pPr>
              <w:jc w:val="both"/>
              <w:rPr>
                <w:rFonts w:eastAsia="Calibri"/>
                <w:sz w:val="20"/>
                <w:lang w:val="fr-CA"/>
              </w:rPr>
            </w:pPr>
          </w:p>
        </w:tc>
        <w:tc>
          <w:tcPr>
            <w:tcW w:w="2330" w:type="pct"/>
          </w:tcPr>
          <w:p w:rsidR="00F028AB" w:rsidRPr="00163264" w:rsidRDefault="00F028AB" w:rsidP="00E2016D">
            <w:pPr>
              <w:jc w:val="both"/>
              <w:rPr>
                <w:rFonts w:eastAsia="Calibri"/>
                <w:sz w:val="20"/>
              </w:rPr>
            </w:pPr>
            <w:r w:rsidRPr="00163264">
              <w:rPr>
                <w:rFonts w:eastAsia="Calibri"/>
                <w:sz w:val="20"/>
              </w:rPr>
              <w:t xml:space="preserve">Demande d’autorisation d’appel déposée </w:t>
            </w:r>
          </w:p>
        </w:tc>
      </w:tr>
      <w:tr w:rsidR="00F028AB" w:rsidRPr="00944C2E" w:rsidTr="00E2016D">
        <w:tc>
          <w:tcPr>
            <w:tcW w:w="2427" w:type="pct"/>
          </w:tcPr>
          <w:p w:rsidR="00F028AB" w:rsidRPr="00163264" w:rsidRDefault="00F028AB" w:rsidP="00E2016D">
            <w:pPr>
              <w:jc w:val="both"/>
              <w:rPr>
                <w:rFonts w:eastAsia="Calibri"/>
                <w:sz w:val="20"/>
                <w:lang w:val="fr-CA"/>
              </w:rPr>
            </w:pPr>
            <w:r w:rsidRPr="00163264">
              <w:rPr>
                <w:rFonts w:eastAsia="Calibri"/>
                <w:sz w:val="20"/>
                <w:lang w:val="fr-CA"/>
              </w:rPr>
              <w:lastRenderedPageBreak/>
              <w:t>5 mai 2014</w:t>
            </w:r>
          </w:p>
          <w:p w:rsidR="00F028AB" w:rsidRPr="00163264" w:rsidRDefault="00F028AB" w:rsidP="00E2016D">
            <w:pPr>
              <w:jc w:val="both"/>
              <w:rPr>
                <w:rFonts w:eastAsia="Calibri"/>
                <w:sz w:val="20"/>
                <w:lang w:val="fr-CA"/>
              </w:rPr>
            </w:pPr>
            <w:r w:rsidRPr="00163264">
              <w:rPr>
                <w:rFonts w:eastAsia="Calibri"/>
                <w:sz w:val="20"/>
                <w:lang w:val="fr-CA"/>
              </w:rPr>
              <w:t>Cour suprême du Canada</w:t>
            </w:r>
          </w:p>
        </w:tc>
        <w:tc>
          <w:tcPr>
            <w:tcW w:w="243" w:type="pct"/>
          </w:tcPr>
          <w:p w:rsidR="00F028AB" w:rsidRPr="00163264" w:rsidRDefault="00F028AB" w:rsidP="00E2016D">
            <w:pPr>
              <w:jc w:val="both"/>
              <w:rPr>
                <w:rFonts w:eastAsia="Calibri"/>
                <w:sz w:val="20"/>
                <w:lang w:val="fr-CA"/>
              </w:rPr>
            </w:pPr>
          </w:p>
        </w:tc>
        <w:tc>
          <w:tcPr>
            <w:tcW w:w="2330" w:type="pct"/>
          </w:tcPr>
          <w:p w:rsidR="00F028AB" w:rsidRPr="00163264" w:rsidRDefault="00F028AB" w:rsidP="00E2016D">
            <w:pPr>
              <w:jc w:val="both"/>
              <w:rPr>
                <w:rFonts w:eastAsia="Calibri"/>
                <w:sz w:val="20"/>
                <w:lang w:val="fr-CA"/>
              </w:rPr>
            </w:pPr>
            <w:r w:rsidRPr="00163264">
              <w:rPr>
                <w:rFonts w:eastAsia="Calibri"/>
                <w:sz w:val="20"/>
                <w:lang w:val="fr-CA"/>
              </w:rPr>
              <w:t xml:space="preserve">Requête en prorogation du délai pour signifier et déposer une demande d’autorisation d’appel déposée </w:t>
            </w:r>
          </w:p>
        </w:tc>
      </w:tr>
    </w:tbl>
    <w:p w:rsidR="00965AE9" w:rsidRPr="00965AE9" w:rsidRDefault="00965AE9" w:rsidP="00965AE9">
      <w:pPr>
        <w:rPr>
          <w:sz w:val="20"/>
          <w:szCs w:val="20"/>
          <w:lang w:val="fr-CA"/>
        </w:rPr>
      </w:pPr>
    </w:p>
    <w:p w:rsidR="00965AE9" w:rsidRDefault="00944C2E" w:rsidP="00965AE9">
      <w:pPr>
        <w:rPr>
          <w:sz w:val="20"/>
          <w:szCs w:val="20"/>
          <w:lang w:val="fr-CA"/>
        </w:rPr>
      </w:pPr>
      <w:r>
        <w:rPr>
          <w:sz w:val="20"/>
          <w:szCs w:val="20"/>
          <w:lang w:val="fr-CA"/>
        </w:rPr>
        <w:pict>
          <v:rect id="_x0000_i1050" style="width:2in;height:1pt" o:hrpct="0" o:hralign="center" o:hrstd="t" o:hrnoshade="t" o:hr="t" fillcolor="black [3213]" stroked="f"/>
        </w:pict>
      </w:r>
    </w:p>
    <w:p w:rsidR="00965AE9" w:rsidRDefault="00965AE9" w:rsidP="00965AE9">
      <w:pPr>
        <w:rPr>
          <w:sz w:val="20"/>
          <w:szCs w:val="20"/>
          <w:lang w:val="fr-CA"/>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5501D" w:rsidRPr="00A5501D" w:rsidTr="00A5501D">
        <w:trPr>
          <w:cantSplit/>
        </w:trPr>
        <w:tc>
          <w:tcPr>
            <w:tcW w:w="1458" w:type="dxa"/>
          </w:tcPr>
          <w:p w:rsidR="00A5501D" w:rsidRPr="00A5501D" w:rsidRDefault="00A5501D" w:rsidP="00A5501D">
            <w:pPr>
              <w:rPr>
                <w:sz w:val="20"/>
              </w:rPr>
            </w:pPr>
            <w:r w:rsidRPr="00A5501D">
              <w:rPr>
                <w:b/>
                <w:sz w:val="20"/>
                <w:lang w:val="fr-CA"/>
              </w:rPr>
              <w:t>35810</w:t>
            </w:r>
          </w:p>
          <w:p w:rsidR="00A5501D" w:rsidRPr="00A5501D" w:rsidRDefault="00A5501D" w:rsidP="00A5501D">
            <w:pPr>
              <w:rPr>
                <w:b/>
                <w:sz w:val="20"/>
                <w:lang w:val="fr-CA"/>
              </w:rPr>
            </w:pPr>
          </w:p>
        </w:tc>
        <w:tc>
          <w:tcPr>
            <w:tcW w:w="8118" w:type="dxa"/>
          </w:tcPr>
          <w:p w:rsidR="00A5501D" w:rsidRPr="00A5501D" w:rsidRDefault="00A5501D" w:rsidP="00A5501D">
            <w:pPr>
              <w:rPr>
                <w:sz w:val="20"/>
              </w:rPr>
            </w:pPr>
            <w:r w:rsidRPr="00A5501D">
              <w:rPr>
                <w:b/>
                <w:sz w:val="20"/>
                <w:u w:val="single"/>
              </w:rPr>
              <w:t>William Charles Schock v. Her Majesty the Queen</w:t>
            </w:r>
            <w:r w:rsidRPr="00A5501D">
              <w:rPr>
                <w:sz w:val="20"/>
              </w:rPr>
              <w:t xml:space="preserve"> (B.C.) (Criminal) (By Leave)</w:t>
            </w:r>
          </w:p>
          <w:p w:rsidR="00A5501D" w:rsidRPr="00A5501D" w:rsidRDefault="00A5501D" w:rsidP="00A5501D">
            <w:pPr>
              <w:rPr>
                <w:sz w:val="20"/>
              </w:rPr>
            </w:pPr>
          </w:p>
        </w:tc>
      </w:tr>
      <w:tr w:rsidR="00A5501D" w:rsidRPr="00A5501D" w:rsidTr="00A5501D">
        <w:trPr>
          <w:cantSplit/>
        </w:trPr>
        <w:tc>
          <w:tcPr>
            <w:tcW w:w="1458" w:type="dxa"/>
          </w:tcPr>
          <w:p w:rsidR="00A5501D" w:rsidRPr="00A5501D" w:rsidRDefault="00A5501D" w:rsidP="00A5501D">
            <w:pPr>
              <w:rPr>
                <w:sz w:val="20"/>
              </w:rPr>
            </w:pPr>
            <w:r w:rsidRPr="00A5501D">
              <w:rPr>
                <w:sz w:val="20"/>
              </w:rPr>
              <w:t>Coram :</w:t>
            </w:r>
          </w:p>
        </w:tc>
        <w:tc>
          <w:tcPr>
            <w:tcW w:w="8118" w:type="dxa"/>
          </w:tcPr>
          <w:p w:rsidR="00A5501D" w:rsidRPr="00A5501D" w:rsidRDefault="00A5501D" w:rsidP="00A5501D">
            <w:pPr>
              <w:rPr>
                <w:sz w:val="20"/>
              </w:rPr>
            </w:pPr>
            <w:r w:rsidRPr="00A5501D">
              <w:rPr>
                <w:sz w:val="20"/>
                <w:u w:val="single"/>
              </w:rPr>
              <w:t>McLachlin C.J. and Cromwell and Wagner JJ.</w:t>
            </w:r>
          </w:p>
          <w:p w:rsidR="00A5501D" w:rsidRPr="00A5501D" w:rsidRDefault="00A5501D" w:rsidP="00A5501D">
            <w:pPr>
              <w:rPr>
                <w:sz w:val="20"/>
                <w:u w:val="single"/>
              </w:rPr>
            </w:pPr>
          </w:p>
        </w:tc>
      </w:tr>
      <w:tr w:rsidR="00A5501D" w:rsidRPr="00944C2E" w:rsidTr="00A5501D">
        <w:trPr>
          <w:cantSplit/>
        </w:trPr>
        <w:tc>
          <w:tcPr>
            <w:tcW w:w="9576" w:type="dxa"/>
            <w:gridSpan w:val="2"/>
          </w:tcPr>
          <w:p w:rsidR="00A5501D" w:rsidRPr="00A5501D" w:rsidRDefault="00A5501D" w:rsidP="00A5501D">
            <w:pPr>
              <w:ind w:firstLine="720"/>
              <w:jc w:val="both"/>
              <w:rPr>
                <w:sz w:val="20"/>
              </w:rPr>
            </w:pPr>
            <w:r w:rsidRPr="00A5501D">
              <w:rPr>
                <w:sz w:val="20"/>
              </w:rPr>
              <w:t>The motion for an extension of time to serve and file the application for leave to appeal is granted.  The motion to seal the file and restrict access to its contents is granted. The application for leave to appeal from the judgment of the Court of Appeal for British Columbia (Vancouver), Number CA040916, dated October 23, 2013, is dismissed without costs.</w:t>
            </w:r>
          </w:p>
          <w:p w:rsidR="00A5501D" w:rsidRPr="00A5501D" w:rsidRDefault="00A5501D" w:rsidP="00A5501D">
            <w:pPr>
              <w:jc w:val="both"/>
              <w:rPr>
                <w:sz w:val="20"/>
              </w:rPr>
            </w:pPr>
          </w:p>
          <w:p w:rsidR="00A5501D" w:rsidRPr="00A5501D" w:rsidRDefault="00A5501D" w:rsidP="002148DC">
            <w:pPr>
              <w:ind w:firstLine="720"/>
              <w:jc w:val="both"/>
              <w:rPr>
                <w:sz w:val="20"/>
                <w:lang w:val="fr-CA"/>
              </w:rPr>
            </w:pPr>
            <w:r w:rsidRPr="00A5501D">
              <w:rPr>
                <w:sz w:val="20"/>
                <w:lang w:val="fr-CA"/>
              </w:rPr>
              <w:t>La requête en prorogation du délai de signification et de dépôt de la demande d’autorisation d’appel est accueillie.  La requête pour sceller le dossier et en restreindre l</w:t>
            </w:r>
            <w:r w:rsidR="002148DC">
              <w:rPr>
                <w:sz w:val="20"/>
                <w:lang w:val="fr-CA"/>
              </w:rPr>
              <w:t>’</w:t>
            </w:r>
            <w:r w:rsidRPr="00A5501D">
              <w:rPr>
                <w:sz w:val="20"/>
                <w:lang w:val="fr-CA"/>
              </w:rPr>
              <w:t>accès à son contenu est accueillie. La demande d’autorisation d’appel de l’arrêt de la Cour d’appel de la Colombie-Britannique (Vancouver), numéro CA040916, daté du 23 octobre 2013, est rejetée sans dépens.</w:t>
            </w:r>
          </w:p>
        </w:tc>
      </w:tr>
    </w:tbl>
    <w:p w:rsidR="00965AE9" w:rsidRPr="00A5501D" w:rsidRDefault="00965AE9" w:rsidP="00965AE9">
      <w:pPr>
        <w:rPr>
          <w:sz w:val="20"/>
          <w:szCs w:val="20"/>
          <w:lang w:val="fr-CA"/>
        </w:rPr>
      </w:pPr>
    </w:p>
    <w:p w:rsidR="00965AE9" w:rsidRPr="001B157C" w:rsidRDefault="00965AE9" w:rsidP="00965AE9">
      <w:pPr>
        <w:rPr>
          <w:sz w:val="20"/>
          <w:szCs w:val="20"/>
          <w:u w:val="single"/>
        </w:rPr>
      </w:pPr>
      <w:r w:rsidRPr="001B157C">
        <w:rPr>
          <w:sz w:val="20"/>
          <w:szCs w:val="20"/>
          <w:u w:val="single"/>
        </w:rPr>
        <w:t>CASE SUMMARY</w:t>
      </w:r>
    </w:p>
    <w:p w:rsidR="00965AE9" w:rsidRDefault="00965AE9" w:rsidP="00965AE9">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028AB" w:rsidRPr="00163264" w:rsidTr="00E2016D">
        <w:tc>
          <w:tcPr>
            <w:tcW w:w="5000" w:type="pct"/>
            <w:gridSpan w:val="3"/>
          </w:tcPr>
          <w:p w:rsidR="00F028AB" w:rsidRPr="00163264" w:rsidRDefault="00F028AB" w:rsidP="00E2016D">
            <w:pPr>
              <w:jc w:val="both"/>
              <w:rPr>
                <w:rFonts w:eastAsia="Calibri"/>
                <w:smallCaps/>
                <w:sz w:val="20"/>
              </w:rPr>
            </w:pPr>
            <w:r w:rsidRPr="00163264">
              <w:rPr>
                <w:rFonts w:eastAsia="Calibri"/>
                <w:smallCaps/>
                <w:sz w:val="20"/>
              </w:rPr>
              <w:t>(</w:t>
            </w:r>
            <w:r>
              <w:rPr>
                <w:rFonts w:eastAsia="Calibri"/>
                <w:smallCaps/>
                <w:sz w:val="20"/>
              </w:rPr>
              <w:t>S</w:t>
            </w:r>
            <w:r w:rsidRPr="00163264">
              <w:rPr>
                <w:rFonts w:eastAsia="Calibri"/>
                <w:smallCaps/>
                <w:sz w:val="20"/>
              </w:rPr>
              <w:t xml:space="preserve">ealing </w:t>
            </w:r>
            <w:r>
              <w:rPr>
                <w:rFonts w:eastAsia="Calibri"/>
                <w:smallCaps/>
                <w:sz w:val="20"/>
              </w:rPr>
              <w:t>O</w:t>
            </w:r>
            <w:r w:rsidRPr="00163264">
              <w:rPr>
                <w:rFonts w:eastAsia="Calibri"/>
                <w:smallCaps/>
                <w:sz w:val="20"/>
              </w:rPr>
              <w:t>rder)</w:t>
            </w:r>
          </w:p>
          <w:p w:rsidR="00F028AB" w:rsidRPr="00163264" w:rsidRDefault="00F028AB" w:rsidP="00E2016D">
            <w:pPr>
              <w:jc w:val="both"/>
              <w:rPr>
                <w:rFonts w:eastAsia="Calibri"/>
                <w:sz w:val="20"/>
              </w:rPr>
            </w:pPr>
          </w:p>
          <w:p w:rsidR="00F028AB" w:rsidRPr="00163264" w:rsidRDefault="00F028AB" w:rsidP="00E2016D">
            <w:pPr>
              <w:jc w:val="both"/>
              <w:rPr>
                <w:rFonts w:eastAsia="Calibri"/>
                <w:sz w:val="20"/>
              </w:rPr>
            </w:pPr>
            <w:r w:rsidRPr="00163264">
              <w:rPr>
                <w:rFonts w:eastAsia="Calibri"/>
                <w:sz w:val="20"/>
              </w:rPr>
              <w:t xml:space="preserve">Criminal law – Procedure – Issuance of process – Pre-inquiry – Whether Applicant denied the right to have all six of sworn informations and allegations heard and considered by provincial court judge pursuant to section 507.l of the </w:t>
            </w:r>
            <w:r w:rsidRPr="00163264">
              <w:rPr>
                <w:rFonts w:eastAsia="Calibri"/>
                <w:i/>
                <w:sz w:val="20"/>
              </w:rPr>
              <w:t xml:space="preserve">Criminal Code, </w:t>
            </w:r>
            <w:r w:rsidRPr="00163264">
              <w:rPr>
                <w:rFonts w:eastAsia="Calibri"/>
                <w:sz w:val="20"/>
              </w:rPr>
              <w:t>R.S.C. 1985, c. C-46</w:t>
            </w:r>
            <w:r w:rsidRPr="00163264">
              <w:rPr>
                <w:rFonts w:eastAsia="Calibri"/>
                <w:i/>
                <w:sz w:val="20"/>
              </w:rPr>
              <w:t xml:space="preserve"> – </w:t>
            </w:r>
            <w:r w:rsidRPr="00163264">
              <w:rPr>
                <w:rFonts w:eastAsia="Calibri"/>
                <w:sz w:val="20"/>
              </w:rPr>
              <w:t>Whether the Crown was wrongly names as prosecutor in trial judgment style of cause – Whether the Court of Appeal erred in denying Applicant’s appeal for want of jurisdiction.</w:t>
            </w:r>
          </w:p>
        </w:tc>
      </w:tr>
      <w:tr w:rsidR="00F028AB" w:rsidRPr="00163264" w:rsidTr="00E2016D">
        <w:tc>
          <w:tcPr>
            <w:tcW w:w="5000" w:type="pct"/>
            <w:gridSpan w:val="3"/>
          </w:tcPr>
          <w:p w:rsidR="00F028AB" w:rsidRPr="00163264" w:rsidRDefault="00F028AB" w:rsidP="00E2016D">
            <w:pPr>
              <w:jc w:val="both"/>
              <w:rPr>
                <w:rFonts w:eastAsia="Calibri"/>
                <w:sz w:val="20"/>
              </w:rPr>
            </w:pPr>
          </w:p>
        </w:tc>
      </w:tr>
      <w:tr w:rsidR="00F028AB" w:rsidRPr="00163264" w:rsidTr="00E2016D">
        <w:tc>
          <w:tcPr>
            <w:tcW w:w="5000" w:type="pct"/>
            <w:gridSpan w:val="3"/>
          </w:tcPr>
          <w:p w:rsidR="00F028AB" w:rsidRPr="00163264" w:rsidRDefault="00F028AB" w:rsidP="00E2016D">
            <w:pPr>
              <w:jc w:val="both"/>
              <w:rPr>
                <w:rFonts w:eastAsia="Calibri"/>
                <w:sz w:val="20"/>
              </w:rPr>
            </w:pPr>
            <w:r w:rsidRPr="00163264">
              <w:rPr>
                <w:rFonts w:eastAsia="Calibri"/>
                <w:sz w:val="20"/>
              </w:rPr>
              <w:t xml:space="preserve">The Applicant laid private informations against three individuals.  He appeared as a private prosecutor on the process hearings and was the sole witness on each.  The Provincial Court Judge refused to issue process under s. 507.1 of the </w:t>
            </w:r>
            <w:r w:rsidRPr="00163264">
              <w:rPr>
                <w:rFonts w:eastAsia="Calibri"/>
                <w:i/>
                <w:sz w:val="20"/>
              </w:rPr>
              <w:t>Criminal Code</w:t>
            </w:r>
            <w:r w:rsidRPr="00163264">
              <w:rPr>
                <w:rFonts w:eastAsia="Calibri"/>
                <w:sz w:val="20"/>
              </w:rPr>
              <w:t>.  The Applicant subsequently filed a notice of appeal in the Court of Appeal.  The Court of Appeal quashed the appeal for want of jurisdiction.</w:t>
            </w:r>
          </w:p>
          <w:p w:rsidR="00F028AB" w:rsidRPr="00163264" w:rsidRDefault="00F028AB" w:rsidP="00E2016D">
            <w:pPr>
              <w:jc w:val="both"/>
              <w:rPr>
                <w:rFonts w:eastAsia="Calibri"/>
                <w:sz w:val="20"/>
              </w:rPr>
            </w:pPr>
          </w:p>
        </w:tc>
      </w:tr>
      <w:tr w:rsidR="00F028AB" w:rsidRPr="00163264" w:rsidTr="00E2016D">
        <w:tc>
          <w:tcPr>
            <w:tcW w:w="2427" w:type="pct"/>
          </w:tcPr>
          <w:p w:rsidR="00F028AB" w:rsidRPr="00163264" w:rsidRDefault="00F028AB" w:rsidP="00E2016D">
            <w:pPr>
              <w:jc w:val="both"/>
              <w:rPr>
                <w:rFonts w:eastAsia="Calibri"/>
                <w:sz w:val="20"/>
              </w:rPr>
            </w:pPr>
            <w:r w:rsidRPr="00163264">
              <w:rPr>
                <w:rFonts w:eastAsia="Calibri"/>
                <w:sz w:val="20"/>
              </w:rPr>
              <w:t>November 9, 2012</w:t>
            </w:r>
          </w:p>
          <w:p w:rsidR="00F028AB" w:rsidRPr="00163264" w:rsidRDefault="00F028AB" w:rsidP="00E2016D">
            <w:pPr>
              <w:jc w:val="both"/>
              <w:rPr>
                <w:rFonts w:eastAsia="Calibri"/>
                <w:sz w:val="20"/>
              </w:rPr>
            </w:pPr>
            <w:r w:rsidRPr="00163264">
              <w:rPr>
                <w:rFonts w:eastAsia="Calibri"/>
                <w:sz w:val="20"/>
              </w:rPr>
              <w:t>Court of Queen’s Bench of British Columbia</w:t>
            </w:r>
          </w:p>
          <w:p w:rsidR="00F028AB" w:rsidRPr="00163264" w:rsidRDefault="00F028AB" w:rsidP="00E2016D">
            <w:pPr>
              <w:jc w:val="both"/>
              <w:rPr>
                <w:rFonts w:eastAsia="Calibri"/>
                <w:sz w:val="20"/>
              </w:rPr>
            </w:pPr>
            <w:r w:rsidRPr="00163264">
              <w:rPr>
                <w:rFonts w:eastAsia="Calibri"/>
                <w:sz w:val="20"/>
              </w:rPr>
              <w:t>(Takahashi J.)</w:t>
            </w:r>
          </w:p>
          <w:p w:rsidR="00F028AB" w:rsidRPr="00163264" w:rsidRDefault="00F028AB" w:rsidP="00E2016D">
            <w:pPr>
              <w:jc w:val="both"/>
              <w:rPr>
                <w:rFonts w:eastAsia="Calibri"/>
                <w:sz w:val="20"/>
              </w:rPr>
            </w:pPr>
          </w:p>
        </w:tc>
        <w:tc>
          <w:tcPr>
            <w:tcW w:w="243" w:type="pct"/>
          </w:tcPr>
          <w:p w:rsidR="00F028AB" w:rsidRPr="00163264" w:rsidRDefault="00F028AB" w:rsidP="00E2016D">
            <w:pPr>
              <w:jc w:val="both"/>
              <w:rPr>
                <w:rFonts w:eastAsia="Calibri"/>
                <w:sz w:val="20"/>
              </w:rPr>
            </w:pPr>
          </w:p>
        </w:tc>
        <w:tc>
          <w:tcPr>
            <w:tcW w:w="2330" w:type="pct"/>
          </w:tcPr>
          <w:p w:rsidR="00F028AB" w:rsidRPr="00163264" w:rsidRDefault="00F028AB" w:rsidP="00E2016D">
            <w:pPr>
              <w:jc w:val="both"/>
              <w:rPr>
                <w:rFonts w:eastAsia="Calibri"/>
                <w:sz w:val="20"/>
              </w:rPr>
            </w:pPr>
            <w:r w:rsidRPr="00163264">
              <w:rPr>
                <w:rFonts w:eastAsia="Calibri"/>
                <w:sz w:val="20"/>
              </w:rPr>
              <w:t xml:space="preserve">Order to issue process under s. 507.1 of the </w:t>
            </w:r>
            <w:r w:rsidRPr="00163264">
              <w:rPr>
                <w:rFonts w:eastAsia="Calibri"/>
                <w:i/>
                <w:sz w:val="20"/>
              </w:rPr>
              <w:t xml:space="preserve"> Criminal Code</w:t>
            </w:r>
            <w:r w:rsidRPr="00163264">
              <w:rPr>
                <w:rFonts w:eastAsia="Calibri"/>
                <w:sz w:val="20"/>
              </w:rPr>
              <w:t>, R.S.C. 1985, c. C-45, refused</w:t>
            </w:r>
          </w:p>
          <w:p w:rsidR="00F028AB" w:rsidRPr="00163264" w:rsidRDefault="00F028AB" w:rsidP="00E2016D">
            <w:pPr>
              <w:jc w:val="both"/>
              <w:rPr>
                <w:rFonts w:eastAsia="Calibri"/>
                <w:sz w:val="20"/>
              </w:rPr>
            </w:pPr>
          </w:p>
          <w:p w:rsidR="00F028AB" w:rsidRPr="00163264" w:rsidRDefault="00F028AB" w:rsidP="00E2016D">
            <w:pPr>
              <w:jc w:val="both"/>
              <w:rPr>
                <w:rFonts w:eastAsia="Calibri"/>
                <w:sz w:val="20"/>
              </w:rPr>
            </w:pPr>
          </w:p>
        </w:tc>
      </w:tr>
      <w:tr w:rsidR="00F028AB" w:rsidRPr="00163264" w:rsidTr="00E2016D">
        <w:tc>
          <w:tcPr>
            <w:tcW w:w="2427" w:type="pct"/>
          </w:tcPr>
          <w:p w:rsidR="00F028AB" w:rsidRPr="00163264" w:rsidRDefault="00F028AB" w:rsidP="00E2016D">
            <w:pPr>
              <w:jc w:val="both"/>
              <w:rPr>
                <w:rFonts w:eastAsia="Calibri"/>
                <w:sz w:val="20"/>
              </w:rPr>
            </w:pPr>
            <w:r w:rsidRPr="00163264">
              <w:rPr>
                <w:rFonts w:eastAsia="Calibri"/>
                <w:sz w:val="20"/>
              </w:rPr>
              <w:t>October 23, 2013</w:t>
            </w:r>
          </w:p>
          <w:p w:rsidR="00F028AB" w:rsidRPr="00163264" w:rsidRDefault="00F028AB" w:rsidP="00E2016D">
            <w:pPr>
              <w:jc w:val="both"/>
              <w:rPr>
                <w:rFonts w:eastAsia="Calibri"/>
                <w:sz w:val="20"/>
              </w:rPr>
            </w:pPr>
            <w:r w:rsidRPr="00163264">
              <w:rPr>
                <w:rFonts w:eastAsia="Calibri"/>
                <w:sz w:val="20"/>
              </w:rPr>
              <w:t xml:space="preserve">Court of Appeal for British Columbia </w:t>
            </w:r>
          </w:p>
          <w:p w:rsidR="00F028AB" w:rsidRPr="00163264" w:rsidRDefault="00F028AB" w:rsidP="00E2016D">
            <w:pPr>
              <w:jc w:val="both"/>
              <w:rPr>
                <w:rFonts w:eastAsia="Calibri"/>
                <w:sz w:val="20"/>
              </w:rPr>
            </w:pPr>
            <w:r w:rsidRPr="00163264">
              <w:rPr>
                <w:rFonts w:eastAsia="Calibri"/>
                <w:sz w:val="20"/>
              </w:rPr>
              <w:t>(Vancouver)</w:t>
            </w:r>
          </w:p>
          <w:p w:rsidR="00F028AB" w:rsidRPr="00163264" w:rsidRDefault="00F028AB" w:rsidP="00E2016D">
            <w:pPr>
              <w:jc w:val="both"/>
              <w:rPr>
                <w:rFonts w:eastAsia="Calibri"/>
                <w:sz w:val="20"/>
              </w:rPr>
            </w:pPr>
            <w:r w:rsidRPr="00163264">
              <w:rPr>
                <w:rFonts w:eastAsia="Calibri"/>
                <w:sz w:val="20"/>
              </w:rPr>
              <w:t>(Lowry, Frankel and MacKenzie JJ.A.)</w:t>
            </w:r>
          </w:p>
          <w:p w:rsidR="00F028AB" w:rsidRPr="00163264" w:rsidRDefault="00F028AB" w:rsidP="00E2016D">
            <w:pPr>
              <w:jc w:val="both"/>
              <w:rPr>
                <w:rFonts w:eastAsia="Calibri"/>
                <w:sz w:val="20"/>
              </w:rPr>
            </w:pPr>
          </w:p>
        </w:tc>
        <w:tc>
          <w:tcPr>
            <w:tcW w:w="243" w:type="pct"/>
          </w:tcPr>
          <w:p w:rsidR="00F028AB" w:rsidRPr="00163264" w:rsidRDefault="00F028AB" w:rsidP="00E2016D">
            <w:pPr>
              <w:jc w:val="both"/>
              <w:rPr>
                <w:rFonts w:eastAsia="Calibri"/>
                <w:sz w:val="20"/>
              </w:rPr>
            </w:pPr>
          </w:p>
        </w:tc>
        <w:tc>
          <w:tcPr>
            <w:tcW w:w="2330" w:type="pct"/>
          </w:tcPr>
          <w:p w:rsidR="00F028AB" w:rsidRPr="00163264" w:rsidRDefault="00F028AB" w:rsidP="00E2016D">
            <w:pPr>
              <w:jc w:val="both"/>
              <w:rPr>
                <w:rFonts w:eastAsia="Calibri"/>
                <w:sz w:val="20"/>
              </w:rPr>
            </w:pPr>
            <w:r w:rsidRPr="00163264">
              <w:rPr>
                <w:rFonts w:eastAsia="Calibri"/>
                <w:sz w:val="20"/>
              </w:rPr>
              <w:t>Appeal quashed for want of jurisdiction</w:t>
            </w:r>
          </w:p>
          <w:p w:rsidR="00F028AB" w:rsidRPr="00163264" w:rsidRDefault="00F028AB" w:rsidP="00E2016D">
            <w:pPr>
              <w:jc w:val="both"/>
              <w:rPr>
                <w:rFonts w:eastAsia="Calibri"/>
                <w:sz w:val="20"/>
              </w:rPr>
            </w:pPr>
          </w:p>
        </w:tc>
      </w:tr>
      <w:tr w:rsidR="00F028AB" w:rsidRPr="00163264" w:rsidTr="00E2016D">
        <w:tc>
          <w:tcPr>
            <w:tcW w:w="2427" w:type="pct"/>
          </w:tcPr>
          <w:p w:rsidR="00F028AB" w:rsidRPr="00163264" w:rsidRDefault="00F028AB" w:rsidP="00E2016D">
            <w:pPr>
              <w:jc w:val="both"/>
              <w:rPr>
                <w:rFonts w:eastAsia="Calibri"/>
                <w:sz w:val="20"/>
              </w:rPr>
            </w:pPr>
            <w:r w:rsidRPr="00163264">
              <w:rPr>
                <w:rFonts w:eastAsia="Calibri"/>
                <w:sz w:val="20"/>
              </w:rPr>
              <w:t>March 28, 2014</w:t>
            </w:r>
          </w:p>
          <w:p w:rsidR="00F028AB" w:rsidRPr="00163264" w:rsidRDefault="00F028AB" w:rsidP="00E2016D">
            <w:pPr>
              <w:jc w:val="both"/>
              <w:rPr>
                <w:rFonts w:eastAsia="Calibri"/>
                <w:sz w:val="20"/>
              </w:rPr>
            </w:pPr>
            <w:r w:rsidRPr="00163264">
              <w:rPr>
                <w:rFonts w:eastAsia="Calibri"/>
                <w:sz w:val="20"/>
              </w:rPr>
              <w:t>Supreme Court of Canada</w:t>
            </w:r>
          </w:p>
        </w:tc>
        <w:tc>
          <w:tcPr>
            <w:tcW w:w="243" w:type="pct"/>
          </w:tcPr>
          <w:p w:rsidR="00F028AB" w:rsidRPr="00163264" w:rsidRDefault="00F028AB" w:rsidP="00E2016D">
            <w:pPr>
              <w:jc w:val="both"/>
              <w:rPr>
                <w:rFonts w:eastAsia="Calibri"/>
                <w:sz w:val="20"/>
              </w:rPr>
            </w:pPr>
          </w:p>
        </w:tc>
        <w:tc>
          <w:tcPr>
            <w:tcW w:w="2330" w:type="pct"/>
          </w:tcPr>
          <w:p w:rsidR="00F028AB" w:rsidRPr="00163264" w:rsidRDefault="00F028AB" w:rsidP="00E2016D">
            <w:pPr>
              <w:jc w:val="both"/>
              <w:rPr>
                <w:rFonts w:eastAsia="Calibri"/>
                <w:sz w:val="20"/>
              </w:rPr>
            </w:pPr>
            <w:r w:rsidRPr="00163264">
              <w:rPr>
                <w:rFonts w:eastAsia="Calibri"/>
                <w:sz w:val="20"/>
              </w:rPr>
              <w:t>Application for leave to appeal filed</w:t>
            </w:r>
          </w:p>
        </w:tc>
      </w:tr>
    </w:tbl>
    <w:p w:rsidR="00965AE9" w:rsidRDefault="00965AE9" w:rsidP="00965AE9">
      <w:pPr>
        <w:rPr>
          <w:sz w:val="20"/>
          <w:szCs w:val="20"/>
        </w:rPr>
      </w:pPr>
    </w:p>
    <w:p w:rsidR="00965AE9" w:rsidRPr="00C50A5C" w:rsidRDefault="00944C2E" w:rsidP="00965AE9">
      <w:pPr>
        <w:rPr>
          <w:sz w:val="20"/>
          <w:szCs w:val="20"/>
        </w:rPr>
      </w:pPr>
      <w:r>
        <w:rPr>
          <w:sz w:val="20"/>
          <w:szCs w:val="20"/>
          <w:lang w:val="fr-CA"/>
        </w:rPr>
        <w:pict>
          <v:rect id="_x0000_i1051" style="width:2in;height:1pt" o:hrpct="0" o:hralign="center" o:hrstd="t" o:hrnoshade="t" o:hr="t" fillcolor="black [3213]" stroked="f"/>
        </w:pict>
      </w:r>
    </w:p>
    <w:p w:rsidR="00965AE9" w:rsidRDefault="00965AE9" w:rsidP="00965AE9">
      <w:pPr>
        <w:rPr>
          <w:sz w:val="20"/>
          <w:szCs w:val="20"/>
        </w:rPr>
      </w:pPr>
    </w:p>
    <w:p w:rsidR="00A0198D" w:rsidRDefault="00A0198D">
      <w:pPr>
        <w:rPr>
          <w:sz w:val="20"/>
          <w:szCs w:val="20"/>
          <w:u w:val="single"/>
          <w:lang w:val="fr-CA"/>
        </w:rPr>
      </w:pPr>
      <w:r>
        <w:rPr>
          <w:sz w:val="20"/>
          <w:szCs w:val="20"/>
          <w:u w:val="single"/>
          <w:lang w:val="fr-CA"/>
        </w:rPr>
        <w:br w:type="page"/>
      </w:r>
    </w:p>
    <w:p w:rsidR="00965AE9" w:rsidRPr="001B157C" w:rsidRDefault="00965AE9" w:rsidP="00965AE9">
      <w:pPr>
        <w:rPr>
          <w:sz w:val="20"/>
          <w:szCs w:val="20"/>
          <w:u w:val="single"/>
          <w:lang w:val="fr-CA"/>
        </w:rPr>
      </w:pPr>
      <w:r w:rsidRPr="001B157C">
        <w:rPr>
          <w:sz w:val="20"/>
          <w:szCs w:val="20"/>
          <w:u w:val="single"/>
          <w:lang w:val="fr-CA"/>
        </w:rPr>
        <w:lastRenderedPageBreak/>
        <w:t>RÉSUMÉ DE L’AFFAIRE</w:t>
      </w:r>
    </w:p>
    <w:p w:rsidR="00965AE9" w:rsidRDefault="00965AE9" w:rsidP="00965AE9">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028AB" w:rsidRPr="00944C2E" w:rsidTr="00E2016D">
        <w:tc>
          <w:tcPr>
            <w:tcW w:w="5000" w:type="pct"/>
            <w:gridSpan w:val="3"/>
          </w:tcPr>
          <w:p w:rsidR="00F028AB" w:rsidRPr="00163264" w:rsidRDefault="00F028AB" w:rsidP="00E2016D">
            <w:pPr>
              <w:jc w:val="both"/>
              <w:rPr>
                <w:rFonts w:eastAsia="Calibri"/>
                <w:smallCaps/>
                <w:sz w:val="20"/>
                <w:lang w:val="fr-CA"/>
              </w:rPr>
            </w:pPr>
            <w:r w:rsidRPr="00163264">
              <w:rPr>
                <w:rFonts w:eastAsia="Calibri"/>
                <w:smallCaps/>
                <w:sz w:val="20"/>
                <w:lang w:val="fr-CA"/>
              </w:rPr>
              <w:t>(</w:t>
            </w:r>
            <w:r>
              <w:rPr>
                <w:rFonts w:eastAsia="Calibri"/>
                <w:smallCaps/>
                <w:sz w:val="20"/>
                <w:lang w:val="fr-CA"/>
              </w:rPr>
              <w:t>O</w:t>
            </w:r>
            <w:r w:rsidRPr="00163264">
              <w:rPr>
                <w:rFonts w:eastAsia="Calibri"/>
                <w:smallCaps/>
                <w:sz w:val="20"/>
                <w:lang w:val="fr-CA"/>
              </w:rPr>
              <w:t>rdonnance de mise sous scellés)</w:t>
            </w:r>
          </w:p>
          <w:p w:rsidR="00F028AB" w:rsidRPr="00163264" w:rsidRDefault="00F028AB" w:rsidP="00E2016D">
            <w:pPr>
              <w:jc w:val="both"/>
              <w:rPr>
                <w:rFonts w:eastAsia="Calibri"/>
                <w:sz w:val="20"/>
                <w:lang w:val="fr-CA"/>
              </w:rPr>
            </w:pPr>
          </w:p>
          <w:p w:rsidR="00F028AB" w:rsidRPr="00163264" w:rsidRDefault="00F028AB" w:rsidP="00E2016D">
            <w:pPr>
              <w:jc w:val="both"/>
              <w:rPr>
                <w:rFonts w:eastAsia="Calibri"/>
                <w:sz w:val="20"/>
                <w:lang w:val="fr-CA"/>
              </w:rPr>
            </w:pPr>
            <w:r w:rsidRPr="00163264">
              <w:rPr>
                <w:rFonts w:eastAsia="Calibri"/>
                <w:sz w:val="20"/>
                <w:lang w:val="fr-CA"/>
              </w:rPr>
              <w:t xml:space="preserve">Droit criminel – Procédure – Délivrance de moyens de contrainte – Préenquête – Le demandeur a-t-il été privé de son droit à ce qu’un juge de cour provinciale entende et examine les six dénonciations et allégations assermentées, en conformité avec l’art. 507.1 du </w:t>
            </w:r>
            <w:r w:rsidRPr="00163264">
              <w:rPr>
                <w:rFonts w:eastAsia="Calibri"/>
                <w:i/>
                <w:sz w:val="20"/>
                <w:lang w:val="fr-CA"/>
              </w:rPr>
              <w:t>Code criminel</w:t>
            </w:r>
            <w:r w:rsidRPr="00163264">
              <w:rPr>
                <w:rFonts w:eastAsia="Calibri"/>
                <w:sz w:val="20"/>
                <w:lang w:val="fr-CA"/>
              </w:rPr>
              <w:t>,</w:t>
            </w:r>
            <w:r w:rsidRPr="00163264">
              <w:rPr>
                <w:rFonts w:eastAsia="Calibri"/>
                <w:i/>
                <w:sz w:val="20"/>
                <w:lang w:val="fr-CA"/>
              </w:rPr>
              <w:t xml:space="preserve"> </w:t>
            </w:r>
            <w:r w:rsidRPr="00163264">
              <w:rPr>
                <w:rFonts w:eastAsia="Calibri"/>
                <w:sz w:val="20"/>
                <w:lang w:val="fr-CA"/>
              </w:rPr>
              <w:t>L.R.C. 1985, ch. C-46?</w:t>
            </w:r>
            <w:r w:rsidRPr="00163264">
              <w:rPr>
                <w:rFonts w:eastAsia="Calibri"/>
                <w:i/>
                <w:sz w:val="20"/>
                <w:lang w:val="fr-CA"/>
              </w:rPr>
              <w:t xml:space="preserve"> – </w:t>
            </w:r>
            <w:r w:rsidRPr="00163264">
              <w:rPr>
                <w:rFonts w:eastAsia="Calibri"/>
                <w:sz w:val="20"/>
                <w:lang w:val="fr-CA"/>
              </w:rPr>
              <w:t>Le ministère public est-il désigné à tort comme poursuivant dans l’intitulé du jugement de première instance? – La Cour d’appel a-t-elle commis une erreur en rejetant l’appel du demandeur pour défaut de compétence?</w:t>
            </w:r>
          </w:p>
        </w:tc>
      </w:tr>
      <w:tr w:rsidR="00F028AB" w:rsidRPr="00944C2E" w:rsidTr="00E2016D">
        <w:tc>
          <w:tcPr>
            <w:tcW w:w="5000" w:type="pct"/>
            <w:gridSpan w:val="3"/>
          </w:tcPr>
          <w:p w:rsidR="00F028AB" w:rsidRPr="00163264" w:rsidRDefault="00F028AB" w:rsidP="00E2016D">
            <w:pPr>
              <w:jc w:val="both"/>
              <w:rPr>
                <w:rFonts w:eastAsia="Calibri"/>
                <w:sz w:val="20"/>
                <w:lang w:val="fr-CA"/>
              </w:rPr>
            </w:pPr>
          </w:p>
        </w:tc>
      </w:tr>
      <w:tr w:rsidR="00F028AB" w:rsidRPr="00944C2E" w:rsidTr="00E2016D">
        <w:tc>
          <w:tcPr>
            <w:tcW w:w="5000" w:type="pct"/>
            <w:gridSpan w:val="3"/>
          </w:tcPr>
          <w:p w:rsidR="00F028AB" w:rsidRPr="00163264" w:rsidRDefault="00F028AB" w:rsidP="00E2016D">
            <w:pPr>
              <w:jc w:val="both"/>
              <w:rPr>
                <w:rFonts w:eastAsia="Calibri"/>
                <w:sz w:val="20"/>
                <w:lang w:val="fr-CA"/>
              </w:rPr>
            </w:pPr>
            <w:r w:rsidRPr="00163264">
              <w:rPr>
                <w:rFonts w:eastAsia="Calibri"/>
                <w:sz w:val="20"/>
                <w:lang w:val="fr-CA"/>
              </w:rPr>
              <w:t xml:space="preserve">Le demandeur a fait des dénonciations privées contre trois personnes.  Il a comparu comme poursuivant privé lors des audiences relatives à la délivrance de moyens de contrainte et était le seul témoin dans chacune d’elles.  Le juge de la Cour provinciale a refusé de délivrer des moyens de contrainte en application de l’art. 507.1 du </w:t>
            </w:r>
            <w:r w:rsidRPr="00163264">
              <w:rPr>
                <w:rFonts w:eastAsia="Calibri"/>
                <w:i/>
                <w:sz w:val="20"/>
                <w:lang w:val="fr-CA"/>
              </w:rPr>
              <w:t>Code criminel</w:t>
            </w:r>
            <w:r w:rsidRPr="00163264">
              <w:rPr>
                <w:rFonts w:eastAsia="Calibri"/>
                <w:sz w:val="20"/>
                <w:lang w:val="fr-CA"/>
              </w:rPr>
              <w:t>.  Le demandeur a par la suite déposé un avis d’appel à la Cour d’appel.  La Cour d’appel a annulé l’appel pour défaut de compétence.</w:t>
            </w:r>
          </w:p>
          <w:p w:rsidR="00F028AB" w:rsidRPr="00163264" w:rsidRDefault="00F028AB" w:rsidP="00E2016D">
            <w:pPr>
              <w:jc w:val="both"/>
              <w:rPr>
                <w:rFonts w:eastAsia="Calibri"/>
                <w:sz w:val="20"/>
                <w:lang w:val="fr-CA"/>
              </w:rPr>
            </w:pPr>
          </w:p>
        </w:tc>
      </w:tr>
      <w:tr w:rsidR="00F028AB" w:rsidRPr="00163264" w:rsidTr="00E2016D">
        <w:tc>
          <w:tcPr>
            <w:tcW w:w="2427" w:type="pct"/>
          </w:tcPr>
          <w:p w:rsidR="00F028AB" w:rsidRPr="00163264" w:rsidRDefault="00F028AB" w:rsidP="00E2016D">
            <w:pPr>
              <w:jc w:val="both"/>
              <w:rPr>
                <w:rFonts w:eastAsia="Calibri"/>
                <w:sz w:val="20"/>
                <w:lang w:val="fr-CA"/>
              </w:rPr>
            </w:pPr>
            <w:r w:rsidRPr="00163264">
              <w:rPr>
                <w:rFonts w:eastAsia="Calibri"/>
                <w:sz w:val="20"/>
                <w:lang w:val="fr-CA"/>
              </w:rPr>
              <w:t>9 novembre 2012</w:t>
            </w:r>
          </w:p>
          <w:p w:rsidR="00F028AB" w:rsidRPr="00163264" w:rsidRDefault="00F028AB" w:rsidP="00E2016D">
            <w:pPr>
              <w:jc w:val="both"/>
              <w:rPr>
                <w:rFonts w:eastAsia="Calibri"/>
                <w:sz w:val="20"/>
                <w:lang w:val="fr-CA"/>
              </w:rPr>
            </w:pPr>
            <w:r w:rsidRPr="00163264">
              <w:rPr>
                <w:rFonts w:eastAsia="Calibri"/>
                <w:sz w:val="20"/>
                <w:lang w:val="fr-CA"/>
              </w:rPr>
              <w:t>Cour du Banc de la Reine de la Colombie</w:t>
            </w:r>
            <w:r w:rsidRPr="00163264">
              <w:rPr>
                <w:rFonts w:eastAsia="Calibri"/>
                <w:sz w:val="20"/>
                <w:lang w:val="fr-CA"/>
              </w:rPr>
              <w:noBreakHyphen/>
              <w:t>Britannique</w:t>
            </w:r>
          </w:p>
          <w:p w:rsidR="00F028AB" w:rsidRPr="00163264" w:rsidRDefault="00F028AB" w:rsidP="00E2016D">
            <w:pPr>
              <w:jc w:val="both"/>
              <w:rPr>
                <w:rFonts w:eastAsia="Calibri"/>
                <w:sz w:val="20"/>
                <w:lang w:val="fr-CA"/>
              </w:rPr>
            </w:pPr>
            <w:r w:rsidRPr="00163264">
              <w:rPr>
                <w:rFonts w:eastAsia="Calibri"/>
                <w:sz w:val="20"/>
                <w:lang w:val="fr-CA"/>
              </w:rPr>
              <w:t>(Juge Takahashi)</w:t>
            </w:r>
          </w:p>
          <w:p w:rsidR="00F028AB" w:rsidRPr="00163264" w:rsidRDefault="00F028AB" w:rsidP="00E2016D">
            <w:pPr>
              <w:jc w:val="both"/>
              <w:rPr>
                <w:rFonts w:eastAsia="Calibri"/>
                <w:sz w:val="20"/>
                <w:lang w:val="fr-CA"/>
              </w:rPr>
            </w:pPr>
          </w:p>
        </w:tc>
        <w:tc>
          <w:tcPr>
            <w:tcW w:w="243" w:type="pct"/>
          </w:tcPr>
          <w:p w:rsidR="00F028AB" w:rsidRPr="00163264" w:rsidRDefault="00F028AB" w:rsidP="00E2016D">
            <w:pPr>
              <w:jc w:val="both"/>
              <w:rPr>
                <w:rFonts w:eastAsia="Calibri"/>
                <w:sz w:val="20"/>
                <w:lang w:val="fr-CA"/>
              </w:rPr>
            </w:pPr>
          </w:p>
        </w:tc>
        <w:tc>
          <w:tcPr>
            <w:tcW w:w="2330" w:type="pct"/>
          </w:tcPr>
          <w:p w:rsidR="00F028AB" w:rsidRPr="00163264" w:rsidRDefault="00F028AB" w:rsidP="00E2016D">
            <w:pPr>
              <w:jc w:val="both"/>
              <w:rPr>
                <w:rFonts w:eastAsia="Calibri"/>
                <w:sz w:val="20"/>
                <w:lang w:val="fr-CA"/>
              </w:rPr>
            </w:pPr>
            <w:r w:rsidRPr="00163264">
              <w:rPr>
                <w:rFonts w:eastAsia="Calibri"/>
                <w:sz w:val="20"/>
                <w:lang w:val="fr-CA"/>
              </w:rPr>
              <w:t xml:space="preserve">Ordonnance visant la délivrance de moyens de contrainte en vertu de l’art. 507.1 du </w:t>
            </w:r>
            <w:r w:rsidRPr="00163264">
              <w:rPr>
                <w:rFonts w:eastAsia="Calibri"/>
                <w:i/>
                <w:sz w:val="20"/>
                <w:lang w:val="fr-CA"/>
              </w:rPr>
              <w:t>Code criminel</w:t>
            </w:r>
            <w:r w:rsidRPr="00163264">
              <w:rPr>
                <w:rFonts w:eastAsia="Calibri"/>
                <w:sz w:val="20"/>
                <w:lang w:val="fr-CA"/>
              </w:rPr>
              <w:t>, L.R.C. 1985, ch. C-45, refusée</w:t>
            </w:r>
          </w:p>
          <w:p w:rsidR="00F028AB" w:rsidRPr="00163264" w:rsidRDefault="00F028AB" w:rsidP="00E2016D">
            <w:pPr>
              <w:jc w:val="both"/>
              <w:rPr>
                <w:rFonts w:eastAsia="Calibri"/>
                <w:sz w:val="20"/>
                <w:lang w:val="fr-CA"/>
              </w:rPr>
            </w:pPr>
          </w:p>
        </w:tc>
      </w:tr>
      <w:tr w:rsidR="00F028AB" w:rsidRPr="00944C2E" w:rsidTr="00E2016D">
        <w:tc>
          <w:tcPr>
            <w:tcW w:w="2427" w:type="pct"/>
          </w:tcPr>
          <w:p w:rsidR="00F028AB" w:rsidRPr="00163264" w:rsidRDefault="00F028AB" w:rsidP="00E2016D">
            <w:pPr>
              <w:jc w:val="both"/>
              <w:rPr>
                <w:rFonts w:eastAsia="Calibri"/>
                <w:sz w:val="20"/>
                <w:lang w:val="fr-CA"/>
              </w:rPr>
            </w:pPr>
            <w:r w:rsidRPr="00163264">
              <w:rPr>
                <w:rFonts w:eastAsia="Calibri"/>
                <w:sz w:val="20"/>
                <w:lang w:val="fr-CA"/>
              </w:rPr>
              <w:t>23 octobre 2013</w:t>
            </w:r>
          </w:p>
          <w:p w:rsidR="00F028AB" w:rsidRPr="00163264" w:rsidRDefault="00F028AB" w:rsidP="00E2016D">
            <w:pPr>
              <w:jc w:val="both"/>
              <w:rPr>
                <w:rFonts w:eastAsia="Calibri"/>
                <w:sz w:val="20"/>
                <w:lang w:val="fr-CA"/>
              </w:rPr>
            </w:pPr>
            <w:r w:rsidRPr="00163264">
              <w:rPr>
                <w:rFonts w:eastAsia="Calibri"/>
                <w:sz w:val="20"/>
                <w:lang w:val="fr-CA"/>
              </w:rPr>
              <w:t>Cour d’appel de la Colombie</w:t>
            </w:r>
            <w:r w:rsidRPr="00163264">
              <w:rPr>
                <w:rFonts w:eastAsia="Calibri"/>
                <w:sz w:val="20"/>
                <w:lang w:val="fr-CA"/>
              </w:rPr>
              <w:noBreakHyphen/>
              <w:t xml:space="preserve">Britannique </w:t>
            </w:r>
          </w:p>
          <w:p w:rsidR="00F028AB" w:rsidRPr="00163264" w:rsidRDefault="00F028AB" w:rsidP="00E2016D">
            <w:pPr>
              <w:jc w:val="both"/>
              <w:rPr>
                <w:rFonts w:eastAsia="Calibri"/>
                <w:sz w:val="20"/>
                <w:lang w:val="fr-CA"/>
              </w:rPr>
            </w:pPr>
            <w:r w:rsidRPr="00163264">
              <w:rPr>
                <w:rFonts w:eastAsia="Calibri"/>
                <w:sz w:val="20"/>
                <w:lang w:val="fr-CA"/>
              </w:rPr>
              <w:t>(Vancouver)</w:t>
            </w:r>
          </w:p>
          <w:p w:rsidR="00F028AB" w:rsidRPr="00163264" w:rsidRDefault="00F028AB" w:rsidP="00E2016D">
            <w:pPr>
              <w:jc w:val="both"/>
              <w:rPr>
                <w:rFonts w:eastAsia="Calibri"/>
                <w:sz w:val="20"/>
                <w:lang w:val="fr-CA"/>
              </w:rPr>
            </w:pPr>
            <w:r w:rsidRPr="00163264">
              <w:rPr>
                <w:rFonts w:eastAsia="Calibri"/>
                <w:sz w:val="20"/>
                <w:lang w:val="fr-CA"/>
              </w:rPr>
              <w:t>(Juges Lowry, Frankel et MacKenzie)</w:t>
            </w:r>
          </w:p>
          <w:p w:rsidR="00F028AB" w:rsidRPr="00163264" w:rsidRDefault="00F028AB" w:rsidP="00E2016D">
            <w:pPr>
              <w:jc w:val="both"/>
              <w:rPr>
                <w:rFonts w:eastAsia="Calibri"/>
                <w:sz w:val="20"/>
                <w:lang w:val="fr-CA"/>
              </w:rPr>
            </w:pPr>
          </w:p>
        </w:tc>
        <w:tc>
          <w:tcPr>
            <w:tcW w:w="243" w:type="pct"/>
          </w:tcPr>
          <w:p w:rsidR="00F028AB" w:rsidRPr="00163264" w:rsidRDefault="00F028AB" w:rsidP="00E2016D">
            <w:pPr>
              <w:jc w:val="both"/>
              <w:rPr>
                <w:rFonts w:eastAsia="Calibri"/>
                <w:sz w:val="20"/>
                <w:lang w:val="fr-CA"/>
              </w:rPr>
            </w:pPr>
          </w:p>
        </w:tc>
        <w:tc>
          <w:tcPr>
            <w:tcW w:w="2330" w:type="pct"/>
          </w:tcPr>
          <w:p w:rsidR="00F028AB" w:rsidRPr="00163264" w:rsidRDefault="00F028AB" w:rsidP="00E2016D">
            <w:pPr>
              <w:jc w:val="both"/>
              <w:rPr>
                <w:rFonts w:eastAsia="Calibri"/>
                <w:sz w:val="20"/>
                <w:lang w:val="fr-CA"/>
              </w:rPr>
            </w:pPr>
            <w:r w:rsidRPr="00163264">
              <w:rPr>
                <w:rFonts w:eastAsia="Calibri"/>
                <w:sz w:val="20"/>
                <w:lang w:val="fr-CA"/>
              </w:rPr>
              <w:t>Appel annulé pour défaut de compétence</w:t>
            </w:r>
          </w:p>
          <w:p w:rsidR="00F028AB" w:rsidRPr="00163264" w:rsidRDefault="00F028AB" w:rsidP="00E2016D">
            <w:pPr>
              <w:jc w:val="both"/>
              <w:rPr>
                <w:rFonts w:eastAsia="Calibri"/>
                <w:sz w:val="20"/>
                <w:lang w:val="fr-CA"/>
              </w:rPr>
            </w:pPr>
          </w:p>
        </w:tc>
      </w:tr>
      <w:tr w:rsidR="00F028AB" w:rsidRPr="00163264" w:rsidTr="00E2016D">
        <w:tc>
          <w:tcPr>
            <w:tcW w:w="2427" w:type="pct"/>
          </w:tcPr>
          <w:p w:rsidR="00F028AB" w:rsidRPr="00163264" w:rsidRDefault="00F028AB" w:rsidP="00E2016D">
            <w:pPr>
              <w:jc w:val="both"/>
              <w:rPr>
                <w:rFonts w:eastAsia="Calibri"/>
                <w:sz w:val="20"/>
                <w:lang w:val="fr-CA"/>
              </w:rPr>
            </w:pPr>
            <w:r w:rsidRPr="00163264">
              <w:rPr>
                <w:rFonts w:eastAsia="Calibri"/>
                <w:sz w:val="20"/>
                <w:lang w:val="fr-CA"/>
              </w:rPr>
              <w:t>28 mars 2014</w:t>
            </w:r>
          </w:p>
          <w:p w:rsidR="00F028AB" w:rsidRPr="00163264" w:rsidRDefault="00F028AB" w:rsidP="00E2016D">
            <w:pPr>
              <w:jc w:val="both"/>
              <w:rPr>
                <w:rFonts w:eastAsia="Calibri"/>
                <w:sz w:val="20"/>
                <w:lang w:val="fr-CA"/>
              </w:rPr>
            </w:pPr>
            <w:r w:rsidRPr="00163264">
              <w:rPr>
                <w:rFonts w:eastAsia="Calibri"/>
                <w:sz w:val="20"/>
                <w:lang w:val="fr-CA"/>
              </w:rPr>
              <w:t>Cour suprême du Canada</w:t>
            </w:r>
          </w:p>
        </w:tc>
        <w:tc>
          <w:tcPr>
            <w:tcW w:w="243" w:type="pct"/>
          </w:tcPr>
          <w:p w:rsidR="00F028AB" w:rsidRPr="00163264" w:rsidRDefault="00F028AB" w:rsidP="00E2016D">
            <w:pPr>
              <w:jc w:val="both"/>
              <w:rPr>
                <w:rFonts w:eastAsia="Calibri"/>
                <w:sz w:val="20"/>
                <w:lang w:val="fr-CA"/>
              </w:rPr>
            </w:pPr>
          </w:p>
        </w:tc>
        <w:tc>
          <w:tcPr>
            <w:tcW w:w="2330" w:type="pct"/>
          </w:tcPr>
          <w:p w:rsidR="00F028AB" w:rsidRPr="00163264" w:rsidRDefault="00F028AB" w:rsidP="00E2016D">
            <w:pPr>
              <w:jc w:val="both"/>
              <w:rPr>
                <w:rFonts w:eastAsia="Calibri"/>
                <w:sz w:val="20"/>
                <w:lang w:val="fr-CA"/>
              </w:rPr>
            </w:pPr>
            <w:r w:rsidRPr="00163264">
              <w:rPr>
                <w:rFonts w:eastAsia="Calibri"/>
                <w:sz w:val="20"/>
                <w:lang w:val="fr-CA"/>
              </w:rPr>
              <w:t>Demande d’autorisation d’appel déposée</w:t>
            </w:r>
          </w:p>
        </w:tc>
      </w:tr>
    </w:tbl>
    <w:p w:rsidR="00965AE9" w:rsidRPr="00965AE9" w:rsidRDefault="00965AE9" w:rsidP="00965AE9">
      <w:pPr>
        <w:rPr>
          <w:sz w:val="20"/>
          <w:szCs w:val="20"/>
          <w:lang w:val="fr-CA"/>
        </w:rPr>
      </w:pPr>
    </w:p>
    <w:p w:rsidR="00965AE9" w:rsidRDefault="00944C2E" w:rsidP="00965AE9">
      <w:pPr>
        <w:rPr>
          <w:sz w:val="20"/>
          <w:szCs w:val="20"/>
          <w:lang w:val="fr-CA"/>
        </w:rPr>
      </w:pPr>
      <w:r>
        <w:rPr>
          <w:sz w:val="20"/>
          <w:szCs w:val="20"/>
          <w:lang w:val="fr-CA"/>
        </w:rPr>
        <w:pict>
          <v:rect id="_x0000_i1052" style="width:2in;height:1pt" o:hrpct="0" o:hralign="center" o:hrstd="t" o:hrnoshade="t" o:hr="t" fillcolor="black [3213]" stroked="f"/>
        </w:pict>
      </w:r>
    </w:p>
    <w:p w:rsidR="00965AE9" w:rsidRDefault="00965AE9" w:rsidP="00965AE9">
      <w:pPr>
        <w:rPr>
          <w:sz w:val="20"/>
          <w:szCs w:val="20"/>
          <w:lang w:val="fr-CA"/>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5501D" w:rsidRPr="00A5501D" w:rsidTr="00A5501D">
        <w:trPr>
          <w:cantSplit/>
        </w:trPr>
        <w:tc>
          <w:tcPr>
            <w:tcW w:w="1458" w:type="dxa"/>
          </w:tcPr>
          <w:p w:rsidR="00A5501D" w:rsidRPr="00A5501D" w:rsidRDefault="00A5501D" w:rsidP="00A5501D">
            <w:pPr>
              <w:rPr>
                <w:sz w:val="20"/>
              </w:rPr>
            </w:pPr>
            <w:r w:rsidRPr="00A5501D">
              <w:rPr>
                <w:b/>
                <w:sz w:val="20"/>
                <w:lang w:val="fr-CA"/>
              </w:rPr>
              <w:t>35859</w:t>
            </w:r>
          </w:p>
          <w:p w:rsidR="00A5501D" w:rsidRPr="00A5501D" w:rsidRDefault="00A5501D" w:rsidP="00A5501D">
            <w:pPr>
              <w:rPr>
                <w:b/>
                <w:sz w:val="20"/>
                <w:lang w:val="fr-CA"/>
              </w:rPr>
            </w:pPr>
          </w:p>
        </w:tc>
        <w:tc>
          <w:tcPr>
            <w:tcW w:w="8118" w:type="dxa"/>
          </w:tcPr>
          <w:p w:rsidR="00A5501D" w:rsidRPr="00A5501D" w:rsidRDefault="00A5501D" w:rsidP="00A5501D">
            <w:pPr>
              <w:rPr>
                <w:sz w:val="20"/>
              </w:rPr>
            </w:pPr>
            <w:r w:rsidRPr="00A5501D">
              <w:rPr>
                <w:b/>
                <w:sz w:val="20"/>
                <w:u w:val="single"/>
              </w:rPr>
              <w:t>Jason Kyle Severight v. Her Majesty the Queen</w:t>
            </w:r>
            <w:r w:rsidRPr="00A5501D">
              <w:rPr>
                <w:sz w:val="20"/>
              </w:rPr>
              <w:t xml:space="preserve"> (Alta.) (Criminal) (By Leave)</w:t>
            </w:r>
          </w:p>
          <w:p w:rsidR="00A5501D" w:rsidRPr="00A5501D" w:rsidRDefault="00A5501D" w:rsidP="00A5501D">
            <w:pPr>
              <w:rPr>
                <w:sz w:val="20"/>
              </w:rPr>
            </w:pPr>
          </w:p>
        </w:tc>
      </w:tr>
      <w:tr w:rsidR="00A5501D" w:rsidRPr="00A5501D" w:rsidTr="00A5501D">
        <w:trPr>
          <w:cantSplit/>
        </w:trPr>
        <w:tc>
          <w:tcPr>
            <w:tcW w:w="1458" w:type="dxa"/>
          </w:tcPr>
          <w:p w:rsidR="00A5501D" w:rsidRPr="00A5501D" w:rsidRDefault="00A5501D" w:rsidP="00A5501D">
            <w:pPr>
              <w:rPr>
                <w:sz w:val="20"/>
              </w:rPr>
            </w:pPr>
            <w:r w:rsidRPr="00A5501D">
              <w:rPr>
                <w:sz w:val="20"/>
              </w:rPr>
              <w:t>Coram :</w:t>
            </w:r>
          </w:p>
        </w:tc>
        <w:tc>
          <w:tcPr>
            <w:tcW w:w="8118" w:type="dxa"/>
          </w:tcPr>
          <w:p w:rsidR="00A5501D" w:rsidRPr="00A5501D" w:rsidRDefault="00A5501D" w:rsidP="00A5501D">
            <w:pPr>
              <w:rPr>
                <w:sz w:val="20"/>
              </w:rPr>
            </w:pPr>
            <w:r w:rsidRPr="00A5501D">
              <w:rPr>
                <w:sz w:val="20"/>
                <w:u w:val="single"/>
              </w:rPr>
              <w:t>McLachlin C.J. and Cromwell and Wagner JJ.</w:t>
            </w:r>
          </w:p>
          <w:p w:rsidR="00A5501D" w:rsidRPr="00A5501D" w:rsidRDefault="00A5501D" w:rsidP="00A5501D">
            <w:pPr>
              <w:rPr>
                <w:sz w:val="20"/>
                <w:u w:val="single"/>
              </w:rPr>
            </w:pPr>
          </w:p>
        </w:tc>
      </w:tr>
      <w:tr w:rsidR="00A5501D" w:rsidRPr="00944C2E" w:rsidTr="00A5501D">
        <w:trPr>
          <w:cantSplit/>
        </w:trPr>
        <w:tc>
          <w:tcPr>
            <w:tcW w:w="9576" w:type="dxa"/>
            <w:gridSpan w:val="2"/>
          </w:tcPr>
          <w:p w:rsidR="00A5501D" w:rsidRPr="00A5501D" w:rsidRDefault="00A5501D" w:rsidP="00A5501D">
            <w:pPr>
              <w:ind w:firstLine="720"/>
              <w:jc w:val="both"/>
              <w:rPr>
                <w:sz w:val="20"/>
              </w:rPr>
            </w:pPr>
            <w:r w:rsidRPr="00A5501D">
              <w:rPr>
                <w:sz w:val="20"/>
              </w:rPr>
              <w:t>The motion for an extension of time to serve and file the application for leave to appeal is granted.  The application for leave to appeal from the judgment of the Court of Appeal of Alberta (Edmonton), Number 1003-0330-A, 2014 ABCA 25, dated January 20, 2014, is dismissed without costs.</w:t>
            </w:r>
          </w:p>
          <w:p w:rsidR="00A5501D" w:rsidRPr="00A5501D" w:rsidRDefault="00A5501D" w:rsidP="00A5501D">
            <w:pPr>
              <w:ind w:firstLine="720"/>
              <w:jc w:val="both"/>
              <w:rPr>
                <w:sz w:val="20"/>
              </w:rPr>
            </w:pPr>
          </w:p>
          <w:p w:rsidR="00A5501D" w:rsidRPr="00A5501D" w:rsidRDefault="00A5501D" w:rsidP="00A5501D">
            <w:pPr>
              <w:ind w:firstLine="720"/>
              <w:jc w:val="both"/>
              <w:rPr>
                <w:sz w:val="20"/>
                <w:lang w:val="fr-CA"/>
              </w:rPr>
            </w:pPr>
            <w:r w:rsidRPr="00A5501D">
              <w:rPr>
                <w:sz w:val="20"/>
                <w:lang w:val="fr-CA"/>
              </w:rPr>
              <w:t>La requête en prorogation du délai de signification et de dépôt de la demande d’autorisation d’appel est accueillie.  La demande d’autorisation d’appel de l’arrêt de la Cour d'appel de l’Alberta (Edmonton), numéro 1003-0330-A, 2014 ABCA 25, daté du 20 janvier 2014, est rejetée sans dépens.</w:t>
            </w:r>
          </w:p>
        </w:tc>
      </w:tr>
    </w:tbl>
    <w:p w:rsidR="00965AE9" w:rsidRPr="00965AE9" w:rsidRDefault="00965AE9" w:rsidP="00965AE9">
      <w:pPr>
        <w:rPr>
          <w:sz w:val="20"/>
          <w:szCs w:val="20"/>
          <w:lang w:val="fr-CA"/>
        </w:rPr>
      </w:pPr>
    </w:p>
    <w:p w:rsidR="00965AE9" w:rsidRPr="001B157C" w:rsidRDefault="00965AE9" w:rsidP="00965AE9">
      <w:pPr>
        <w:rPr>
          <w:sz w:val="20"/>
          <w:szCs w:val="20"/>
          <w:u w:val="single"/>
        </w:rPr>
      </w:pPr>
      <w:r w:rsidRPr="001B157C">
        <w:rPr>
          <w:sz w:val="20"/>
          <w:szCs w:val="20"/>
          <w:u w:val="single"/>
        </w:rPr>
        <w:t>CASE SUMMARY</w:t>
      </w:r>
    </w:p>
    <w:p w:rsidR="00965AE9" w:rsidRDefault="00965AE9" w:rsidP="00965AE9">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028AB" w:rsidRPr="00163264" w:rsidTr="00E2016D">
        <w:tc>
          <w:tcPr>
            <w:tcW w:w="5000" w:type="pct"/>
            <w:gridSpan w:val="3"/>
          </w:tcPr>
          <w:p w:rsidR="00F028AB" w:rsidRPr="00163264" w:rsidRDefault="00F028AB" w:rsidP="00E2016D">
            <w:pPr>
              <w:jc w:val="both"/>
              <w:rPr>
                <w:rFonts w:eastAsia="Calibri"/>
                <w:sz w:val="20"/>
              </w:rPr>
            </w:pPr>
            <w:r w:rsidRPr="00163264">
              <w:rPr>
                <w:rFonts w:eastAsia="Calibri"/>
                <w:sz w:val="20"/>
              </w:rPr>
              <w:t xml:space="preserve">Criminal law – Sentencing – Dangerous offender – Aboriginal – Whether the Court of Appeal erred on one or more questions of law, which should be determined by the Supreme Court of Canada – Whether the Alberta Provincial Court erred in law by failing to appropriately consider and apply the principles in s. 718.2(e) of the </w:t>
            </w:r>
            <w:r w:rsidRPr="00163264">
              <w:rPr>
                <w:rFonts w:eastAsia="Calibri"/>
                <w:i/>
                <w:sz w:val="20"/>
              </w:rPr>
              <w:t>Criminal Code</w:t>
            </w:r>
            <w:r w:rsidRPr="00163264">
              <w:rPr>
                <w:rFonts w:eastAsia="Calibri"/>
                <w:sz w:val="20"/>
              </w:rPr>
              <w:t xml:space="preserve"> in the context of a dangerous offender proceeding – Whether the sentencing judge erred in law by failing to properly apply s. 718.2(e) of the </w:t>
            </w:r>
            <w:r w:rsidRPr="00163264">
              <w:rPr>
                <w:rFonts w:eastAsia="Calibri"/>
                <w:i/>
                <w:sz w:val="20"/>
              </w:rPr>
              <w:t>Criminal Code</w:t>
            </w:r>
            <w:r w:rsidRPr="00163264">
              <w:rPr>
                <w:rFonts w:eastAsia="Calibri"/>
                <w:sz w:val="20"/>
              </w:rPr>
              <w:t xml:space="preserve"> (also known as the </w:t>
            </w:r>
            <w:r w:rsidRPr="00163264">
              <w:rPr>
                <w:rFonts w:eastAsia="Calibri"/>
                <w:i/>
                <w:sz w:val="20"/>
              </w:rPr>
              <w:t>Gladue</w:t>
            </w:r>
            <w:r w:rsidRPr="00163264">
              <w:rPr>
                <w:rFonts w:eastAsia="Calibri"/>
                <w:sz w:val="20"/>
              </w:rPr>
              <w:t xml:space="preserve"> factors) in the applicant’s dangerous offender proceeding.</w:t>
            </w:r>
          </w:p>
        </w:tc>
      </w:tr>
      <w:tr w:rsidR="00F028AB" w:rsidRPr="00163264" w:rsidTr="00E2016D">
        <w:tc>
          <w:tcPr>
            <w:tcW w:w="5000" w:type="pct"/>
            <w:gridSpan w:val="3"/>
          </w:tcPr>
          <w:p w:rsidR="00F028AB" w:rsidRPr="00163264" w:rsidRDefault="00F028AB" w:rsidP="00E2016D">
            <w:pPr>
              <w:jc w:val="both"/>
              <w:rPr>
                <w:rFonts w:eastAsia="Calibri"/>
                <w:sz w:val="20"/>
              </w:rPr>
            </w:pPr>
          </w:p>
        </w:tc>
      </w:tr>
      <w:tr w:rsidR="00F028AB" w:rsidRPr="00163264" w:rsidTr="00E2016D">
        <w:tc>
          <w:tcPr>
            <w:tcW w:w="5000" w:type="pct"/>
            <w:gridSpan w:val="3"/>
          </w:tcPr>
          <w:p w:rsidR="00F028AB" w:rsidRPr="00163264" w:rsidRDefault="00F028AB" w:rsidP="00E2016D">
            <w:pPr>
              <w:jc w:val="both"/>
              <w:rPr>
                <w:rFonts w:eastAsia="Calibri"/>
                <w:sz w:val="20"/>
              </w:rPr>
            </w:pPr>
            <w:r w:rsidRPr="00163264">
              <w:rPr>
                <w:rFonts w:eastAsia="Calibri"/>
                <w:sz w:val="20"/>
              </w:rPr>
              <w:t xml:space="preserve">The Crown applied to have the applicant designated a dangerous offender pursuant to s. 753 of the </w:t>
            </w:r>
            <w:r w:rsidRPr="00163264">
              <w:rPr>
                <w:rFonts w:eastAsia="Calibri"/>
                <w:i/>
                <w:sz w:val="20"/>
              </w:rPr>
              <w:t>Criminal Code</w:t>
            </w:r>
            <w:r w:rsidRPr="00163264">
              <w:rPr>
                <w:rFonts w:eastAsia="Calibri"/>
                <w:sz w:val="20"/>
              </w:rPr>
              <w:t>.  The sentencing judge concluded that he posed a continuing risk to the community.  The applicant was declared a dangerous offender and was sentenced to an indeterminate term of imprisonment. His sentence appeal was dismissed.</w:t>
            </w:r>
          </w:p>
          <w:p w:rsidR="00F028AB" w:rsidRPr="00163264" w:rsidRDefault="00F028AB" w:rsidP="00E2016D">
            <w:pPr>
              <w:jc w:val="both"/>
              <w:rPr>
                <w:rFonts w:eastAsia="Calibri"/>
                <w:sz w:val="20"/>
              </w:rPr>
            </w:pPr>
          </w:p>
        </w:tc>
      </w:tr>
      <w:tr w:rsidR="00F028AB" w:rsidRPr="00163264" w:rsidTr="00E2016D">
        <w:tc>
          <w:tcPr>
            <w:tcW w:w="2427" w:type="pct"/>
          </w:tcPr>
          <w:p w:rsidR="00F028AB" w:rsidRPr="00163264" w:rsidRDefault="00F028AB" w:rsidP="00E2016D">
            <w:pPr>
              <w:jc w:val="both"/>
              <w:rPr>
                <w:rFonts w:eastAsia="Calibri"/>
                <w:sz w:val="20"/>
              </w:rPr>
            </w:pPr>
            <w:r w:rsidRPr="00163264">
              <w:rPr>
                <w:rFonts w:eastAsia="Calibri"/>
                <w:sz w:val="20"/>
              </w:rPr>
              <w:t>October 12, 2010</w:t>
            </w:r>
          </w:p>
          <w:p w:rsidR="00F028AB" w:rsidRPr="00163264" w:rsidRDefault="00F028AB" w:rsidP="00E2016D">
            <w:pPr>
              <w:jc w:val="both"/>
              <w:rPr>
                <w:rFonts w:eastAsia="Calibri"/>
                <w:sz w:val="20"/>
              </w:rPr>
            </w:pPr>
            <w:r w:rsidRPr="00163264">
              <w:rPr>
                <w:rFonts w:eastAsia="Calibri"/>
                <w:sz w:val="20"/>
              </w:rPr>
              <w:t>Provincial Court of Alberta</w:t>
            </w:r>
          </w:p>
          <w:p w:rsidR="00F028AB" w:rsidRPr="00163264" w:rsidRDefault="00F028AB" w:rsidP="00E2016D">
            <w:pPr>
              <w:jc w:val="both"/>
              <w:rPr>
                <w:rFonts w:eastAsia="Calibri"/>
                <w:sz w:val="20"/>
              </w:rPr>
            </w:pPr>
            <w:r w:rsidRPr="00163264">
              <w:rPr>
                <w:rFonts w:eastAsia="Calibri"/>
                <w:sz w:val="20"/>
              </w:rPr>
              <w:t>(Johnson P.C.J.)</w:t>
            </w:r>
          </w:p>
          <w:p w:rsidR="00F028AB" w:rsidRPr="00163264" w:rsidRDefault="00F028AB" w:rsidP="00E2016D">
            <w:pPr>
              <w:jc w:val="both"/>
              <w:rPr>
                <w:rFonts w:eastAsia="Calibri"/>
                <w:sz w:val="20"/>
              </w:rPr>
            </w:pPr>
            <w:r w:rsidRPr="00163264">
              <w:rPr>
                <w:rFonts w:eastAsia="Calibri"/>
                <w:sz w:val="20"/>
              </w:rPr>
              <w:t>2010 ABPC 329</w:t>
            </w:r>
          </w:p>
          <w:p w:rsidR="00F028AB" w:rsidRPr="00163264" w:rsidRDefault="00F028AB" w:rsidP="00E2016D">
            <w:pPr>
              <w:jc w:val="both"/>
              <w:rPr>
                <w:rFonts w:eastAsia="Calibri"/>
                <w:sz w:val="20"/>
              </w:rPr>
            </w:pPr>
          </w:p>
        </w:tc>
        <w:tc>
          <w:tcPr>
            <w:tcW w:w="243" w:type="pct"/>
          </w:tcPr>
          <w:p w:rsidR="00F028AB" w:rsidRPr="00163264" w:rsidRDefault="00F028AB" w:rsidP="00E2016D">
            <w:pPr>
              <w:jc w:val="both"/>
              <w:rPr>
                <w:rFonts w:eastAsia="Calibri"/>
                <w:sz w:val="20"/>
              </w:rPr>
            </w:pPr>
          </w:p>
        </w:tc>
        <w:tc>
          <w:tcPr>
            <w:tcW w:w="2330" w:type="pct"/>
          </w:tcPr>
          <w:p w:rsidR="00F028AB" w:rsidRPr="00163264" w:rsidRDefault="00F028AB" w:rsidP="00E2016D">
            <w:pPr>
              <w:jc w:val="both"/>
              <w:rPr>
                <w:rFonts w:eastAsia="Calibri"/>
                <w:sz w:val="20"/>
              </w:rPr>
            </w:pPr>
            <w:r w:rsidRPr="00163264">
              <w:rPr>
                <w:rFonts w:eastAsia="Calibri"/>
                <w:sz w:val="20"/>
              </w:rPr>
              <w:t>Applicant declared a dangerous offender and sentenced to a indeterminate term of imprisonment</w:t>
            </w:r>
          </w:p>
          <w:p w:rsidR="00F028AB" w:rsidRPr="00163264" w:rsidRDefault="00F028AB" w:rsidP="00E2016D">
            <w:pPr>
              <w:jc w:val="both"/>
              <w:rPr>
                <w:rFonts w:eastAsia="Calibri"/>
                <w:sz w:val="20"/>
              </w:rPr>
            </w:pPr>
          </w:p>
          <w:p w:rsidR="00F028AB" w:rsidRPr="00163264" w:rsidRDefault="00F028AB" w:rsidP="00E2016D">
            <w:pPr>
              <w:jc w:val="both"/>
              <w:rPr>
                <w:rFonts w:eastAsia="Calibri"/>
                <w:sz w:val="20"/>
              </w:rPr>
            </w:pPr>
          </w:p>
        </w:tc>
      </w:tr>
      <w:tr w:rsidR="00F028AB" w:rsidRPr="00163264" w:rsidTr="00E2016D">
        <w:tc>
          <w:tcPr>
            <w:tcW w:w="2427" w:type="pct"/>
          </w:tcPr>
          <w:p w:rsidR="00F028AB" w:rsidRPr="00163264" w:rsidRDefault="00F028AB" w:rsidP="00E2016D">
            <w:pPr>
              <w:jc w:val="both"/>
              <w:rPr>
                <w:rFonts w:eastAsia="Calibri"/>
                <w:sz w:val="20"/>
              </w:rPr>
            </w:pPr>
            <w:r w:rsidRPr="00163264">
              <w:rPr>
                <w:rFonts w:eastAsia="Calibri"/>
                <w:sz w:val="20"/>
              </w:rPr>
              <w:t>January 20, 2014</w:t>
            </w:r>
          </w:p>
          <w:p w:rsidR="00F028AB" w:rsidRPr="00163264" w:rsidRDefault="00F028AB" w:rsidP="00E2016D">
            <w:pPr>
              <w:jc w:val="both"/>
              <w:rPr>
                <w:rFonts w:eastAsia="Calibri"/>
                <w:sz w:val="20"/>
              </w:rPr>
            </w:pPr>
            <w:r w:rsidRPr="00163264">
              <w:rPr>
                <w:rFonts w:eastAsia="Calibri"/>
                <w:sz w:val="20"/>
              </w:rPr>
              <w:t>Court of Appeal of Alberta (Edmonton)</w:t>
            </w:r>
          </w:p>
          <w:p w:rsidR="00F028AB" w:rsidRPr="00163264" w:rsidRDefault="00F028AB" w:rsidP="00E2016D">
            <w:pPr>
              <w:jc w:val="both"/>
              <w:rPr>
                <w:rFonts w:eastAsia="Calibri"/>
                <w:sz w:val="20"/>
                <w:lang w:val="fr-FR"/>
              </w:rPr>
            </w:pPr>
            <w:r w:rsidRPr="00163264">
              <w:rPr>
                <w:rFonts w:eastAsia="Calibri"/>
                <w:sz w:val="20"/>
                <w:lang w:val="fr-FR"/>
              </w:rPr>
              <w:t>(Côté , O'Brien, O'Ferrall JJ.A. )</w:t>
            </w:r>
          </w:p>
          <w:p w:rsidR="00F028AB" w:rsidRPr="00163264" w:rsidRDefault="00F028AB" w:rsidP="00E2016D">
            <w:pPr>
              <w:jc w:val="both"/>
              <w:rPr>
                <w:rFonts w:eastAsia="Calibri"/>
                <w:sz w:val="20"/>
              </w:rPr>
            </w:pPr>
            <w:r w:rsidRPr="00163264">
              <w:rPr>
                <w:rFonts w:eastAsia="Calibri"/>
                <w:sz w:val="20"/>
              </w:rPr>
              <w:t>2014 ABCA 25</w:t>
            </w:r>
          </w:p>
          <w:p w:rsidR="00F028AB" w:rsidRPr="00163264" w:rsidRDefault="00944C2E" w:rsidP="00E2016D">
            <w:pPr>
              <w:jc w:val="both"/>
              <w:rPr>
                <w:rFonts w:eastAsia="Calibri"/>
                <w:sz w:val="20"/>
              </w:rPr>
            </w:pPr>
            <w:hyperlink r:id="rId34" w:history="1">
              <w:r w:rsidR="00F028AB" w:rsidRPr="00163264">
                <w:rPr>
                  <w:rFonts w:eastAsia="Calibri"/>
                  <w:color w:val="0000FF"/>
                  <w:sz w:val="20"/>
                  <w:u w:val="single"/>
                </w:rPr>
                <w:t>http://canlii.ca/t/g2r9k</w:t>
              </w:r>
            </w:hyperlink>
          </w:p>
          <w:p w:rsidR="00F028AB" w:rsidRPr="00163264" w:rsidRDefault="00F028AB" w:rsidP="00E2016D">
            <w:pPr>
              <w:jc w:val="both"/>
              <w:rPr>
                <w:rFonts w:eastAsia="Calibri"/>
                <w:sz w:val="20"/>
              </w:rPr>
            </w:pPr>
          </w:p>
        </w:tc>
        <w:tc>
          <w:tcPr>
            <w:tcW w:w="243" w:type="pct"/>
          </w:tcPr>
          <w:p w:rsidR="00F028AB" w:rsidRPr="00163264" w:rsidRDefault="00F028AB" w:rsidP="00E2016D">
            <w:pPr>
              <w:jc w:val="both"/>
              <w:rPr>
                <w:rFonts w:eastAsia="Calibri"/>
                <w:sz w:val="20"/>
              </w:rPr>
            </w:pPr>
          </w:p>
        </w:tc>
        <w:tc>
          <w:tcPr>
            <w:tcW w:w="2330" w:type="pct"/>
          </w:tcPr>
          <w:p w:rsidR="00F028AB" w:rsidRPr="00163264" w:rsidRDefault="00F028AB" w:rsidP="00E2016D">
            <w:pPr>
              <w:jc w:val="both"/>
              <w:rPr>
                <w:rFonts w:eastAsia="Calibri"/>
                <w:sz w:val="20"/>
              </w:rPr>
            </w:pPr>
            <w:r w:rsidRPr="00163264">
              <w:rPr>
                <w:rFonts w:eastAsia="Calibri"/>
                <w:sz w:val="20"/>
              </w:rPr>
              <w:t>Appeal against sentence dismissed</w:t>
            </w:r>
          </w:p>
          <w:p w:rsidR="00F028AB" w:rsidRPr="00163264" w:rsidRDefault="00F028AB" w:rsidP="00E2016D">
            <w:pPr>
              <w:jc w:val="both"/>
              <w:rPr>
                <w:rFonts w:eastAsia="Calibri"/>
                <w:sz w:val="20"/>
              </w:rPr>
            </w:pPr>
          </w:p>
          <w:p w:rsidR="00F028AB" w:rsidRPr="00163264" w:rsidRDefault="00F028AB" w:rsidP="00E2016D">
            <w:pPr>
              <w:jc w:val="both"/>
              <w:rPr>
                <w:rFonts w:eastAsia="Calibri"/>
                <w:sz w:val="20"/>
              </w:rPr>
            </w:pPr>
          </w:p>
        </w:tc>
      </w:tr>
      <w:tr w:rsidR="00F028AB" w:rsidRPr="00163264" w:rsidTr="00E2016D">
        <w:tc>
          <w:tcPr>
            <w:tcW w:w="2427" w:type="pct"/>
          </w:tcPr>
          <w:p w:rsidR="00F028AB" w:rsidRPr="00163264" w:rsidRDefault="00F028AB" w:rsidP="00E2016D">
            <w:pPr>
              <w:jc w:val="both"/>
              <w:rPr>
                <w:rFonts w:eastAsia="Calibri"/>
                <w:sz w:val="20"/>
              </w:rPr>
            </w:pPr>
            <w:r w:rsidRPr="00163264">
              <w:rPr>
                <w:rFonts w:eastAsia="Calibri"/>
                <w:sz w:val="20"/>
              </w:rPr>
              <w:t>April 28, 2014</w:t>
            </w:r>
          </w:p>
          <w:p w:rsidR="00F028AB" w:rsidRPr="00163264" w:rsidRDefault="00F028AB" w:rsidP="00E2016D">
            <w:pPr>
              <w:jc w:val="both"/>
              <w:rPr>
                <w:rFonts w:eastAsia="Calibri"/>
                <w:sz w:val="20"/>
              </w:rPr>
            </w:pPr>
            <w:r w:rsidRPr="00163264">
              <w:rPr>
                <w:rFonts w:eastAsia="Calibri"/>
                <w:sz w:val="20"/>
              </w:rPr>
              <w:t>Supreme Court of Canada</w:t>
            </w:r>
          </w:p>
        </w:tc>
        <w:tc>
          <w:tcPr>
            <w:tcW w:w="243" w:type="pct"/>
          </w:tcPr>
          <w:p w:rsidR="00F028AB" w:rsidRPr="00163264" w:rsidRDefault="00F028AB" w:rsidP="00E2016D">
            <w:pPr>
              <w:jc w:val="both"/>
              <w:rPr>
                <w:rFonts w:eastAsia="Calibri"/>
                <w:sz w:val="20"/>
              </w:rPr>
            </w:pPr>
          </w:p>
        </w:tc>
        <w:tc>
          <w:tcPr>
            <w:tcW w:w="2330" w:type="pct"/>
          </w:tcPr>
          <w:p w:rsidR="00F028AB" w:rsidRPr="00163264" w:rsidRDefault="00F028AB" w:rsidP="00E2016D">
            <w:pPr>
              <w:jc w:val="both"/>
              <w:rPr>
                <w:rFonts w:eastAsia="Calibri"/>
                <w:sz w:val="20"/>
              </w:rPr>
            </w:pPr>
            <w:r w:rsidRPr="00163264">
              <w:rPr>
                <w:rFonts w:eastAsia="Calibri"/>
                <w:sz w:val="20"/>
              </w:rPr>
              <w:t>Motion to extend time to serve and file leave application and application for leave to appeal filed</w:t>
            </w:r>
          </w:p>
        </w:tc>
      </w:tr>
    </w:tbl>
    <w:p w:rsidR="00965AE9" w:rsidRDefault="00965AE9" w:rsidP="00965AE9">
      <w:pPr>
        <w:rPr>
          <w:sz w:val="20"/>
          <w:szCs w:val="20"/>
        </w:rPr>
      </w:pPr>
    </w:p>
    <w:p w:rsidR="00965AE9" w:rsidRPr="00C50A5C" w:rsidRDefault="00944C2E" w:rsidP="00965AE9">
      <w:pPr>
        <w:rPr>
          <w:sz w:val="20"/>
          <w:szCs w:val="20"/>
        </w:rPr>
      </w:pPr>
      <w:r>
        <w:rPr>
          <w:sz w:val="20"/>
          <w:szCs w:val="20"/>
          <w:lang w:val="fr-CA"/>
        </w:rPr>
        <w:pict>
          <v:rect id="_x0000_i1053" style="width:2in;height:1pt" o:hrpct="0" o:hralign="center" o:hrstd="t" o:hrnoshade="t" o:hr="t" fillcolor="black [3213]" stroked="f"/>
        </w:pict>
      </w:r>
    </w:p>
    <w:p w:rsidR="00965AE9" w:rsidRDefault="00965AE9" w:rsidP="00965AE9">
      <w:pPr>
        <w:rPr>
          <w:sz w:val="20"/>
          <w:szCs w:val="20"/>
        </w:rPr>
      </w:pPr>
    </w:p>
    <w:p w:rsidR="00965AE9" w:rsidRPr="001B157C" w:rsidRDefault="00965AE9" w:rsidP="00965AE9">
      <w:pPr>
        <w:rPr>
          <w:sz w:val="20"/>
          <w:szCs w:val="20"/>
          <w:u w:val="single"/>
          <w:lang w:val="fr-CA"/>
        </w:rPr>
      </w:pPr>
      <w:r w:rsidRPr="001B157C">
        <w:rPr>
          <w:sz w:val="20"/>
          <w:szCs w:val="20"/>
          <w:u w:val="single"/>
          <w:lang w:val="fr-CA"/>
        </w:rPr>
        <w:t>RÉSUMÉ DE L’AFFAIRE</w:t>
      </w:r>
    </w:p>
    <w:p w:rsidR="00965AE9" w:rsidRDefault="00965AE9" w:rsidP="00965AE9">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028AB" w:rsidRPr="00944C2E" w:rsidTr="00E2016D">
        <w:tc>
          <w:tcPr>
            <w:tcW w:w="5000" w:type="pct"/>
            <w:gridSpan w:val="3"/>
          </w:tcPr>
          <w:p w:rsidR="00F028AB" w:rsidRPr="00163264" w:rsidRDefault="00F028AB" w:rsidP="00E2016D">
            <w:pPr>
              <w:jc w:val="both"/>
              <w:rPr>
                <w:rFonts w:eastAsia="Calibri"/>
                <w:sz w:val="20"/>
                <w:lang w:val="fr-CA"/>
              </w:rPr>
            </w:pPr>
            <w:r w:rsidRPr="00163264">
              <w:rPr>
                <w:rFonts w:eastAsia="Calibri"/>
                <w:sz w:val="20"/>
                <w:lang w:val="fr-CA"/>
              </w:rPr>
              <w:t>Droit criminel – Détermination de la peine – Délinquant dangereux – Autochtone – La Cour d’appel a-t-elle commis une erreur relativement à une ou à plusieurs questions de droit, lesquelles devraient être tranchées par la Cour suprême du Canada? – La Cour provinciale de l’Alberta a-t-elle commis une erreur de droit en faisant défaut d’examiner et d’appliquer correctement les principes énoncés à l’al. 718.2</w:t>
            </w:r>
            <w:r w:rsidRPr="00163264">
              <w:rPr>
                <w:rFonts w:eastAsia="Calibri"/>
                <w:i/>
                <w:sz w:val="20"/>
                <w:lang w:val="fr-CA"/>
              </w:rPr>
              <w:t>e</w:t>
            </w:r>
            <w:r w:rsidRPr="00163264">
              <w:rPr>
                <w:rFonts w:eastAsia="Calibri"/>
                <w:sz w:val="20"/>
                <w:lang w:val="fr-CA"/>
              </w:rPr>
              <w:t xml:space="preserve">) du </w:t>
            </w:r>
            <w:r w:rsidRPr="00163264">
              <w:rPr>
                <w:rFonts w:eastAsia="Calibri"/>
                <w:i/>
                <w:sz w:val="20"/>
                <w:lang w:val="fr-CA"/>
              </w:rPr>
              <w:t>Code criminel</w:t>
            </w:r>
            <w:r w:rsidRPr="00163264">
              <w:rPr>
                <w:rFonts w:eastAsia="Calibri"/>
                <w:sz w:val="20"/>
                <w:lang w:val="fr-CA"/>
              </w:rPr>
              <w:t xml:space="preserve"> dans le contexte d’une demande visant à faire déclarer le demandeur délinquant dangereux? – Le juge chargé de déterminer la peine a-t-il commis une erreur de droit en appliquant mal les principes de l’al. 718.2</w:t>
            </w:r>
            <w:r w:rsidRPr="00163264">
              <w:rPr>
                <w:rFonts w:eastAsia="Calibri"/>
                <w:i/>
                <w:sz w:val="20"/>
                <w:lang w:val="fr-CA"/>
              </w:rPr>
              <w:t>e</w:t>
            </w:r>
            <w:r w:rsidRPr="00163264">
              <w:rPr>
                <w:rFonts w:eastAsia="Calibri"/>
                <w:sz w:val="20"/>
                <w:lang w:val="fr-CA"/>
              </w:rPr>
              <w:t xml:space="preserve">) du </w:t>
            </w:r>
            <w:r w:rsidRPr="00163264">
              <w:rPr>
                <w:rFonts w:eastAsia="Calibri"/>
                <w:i/>
                <w:sz w:val="20"/>
                <w:lang w:val="fr-CA"/>
              </w:rPr>
              <w:t>Code criminel</w:t>
            </w:r>
            <w:r w:rsidRPr="00163264">
              <w:rPr>
                <w:rFonts w:eastAsia="Calibri"/>
                <w:sz w:val="20"/>
                <w:lang w:val="fr-CA"/>
              </w:rPr>
              <w:t xml:space="preserve"> (aussi connus sous le nom de facteurs de l’arrêt </w:t>
            </w:r>
            <w:r w:rsidRPr="00163264">
              <w:rPr>
                <w:rFonts w:eastAsia="Calibri"/>
                <w:i/>
                <w:sz w:val="20"/>
                <w:lang w:val="fr-CA"/>
              </w:rPr>
              <w:t>Gladue</w:t>
            </w:r>
            <w:r w:rsidRPr="00163264">
              <w:rPr>
                <w:rFonts w:eastAsia="Calibri"/>
                <w:sz w:val="20"/>
                <w:lang w:val="fr-CA"/>
              </w:rPr>
              <w:t>) dans la procédure visant à faire déclarer le demandeur délinquant dangereux?</w:t>
            </w:r>
          </w:p>
        </w:tc>
      </w:tr>
      <w:tr w:rsidR="00F028AB" w:rsidRPr="00944C2E" w:rsidTr="00E2016D">
        <w:tc>
          <w:tcPr>
            <w:tcW w:w="5000" w:type="pct"/>
            <w:gridSpan w:val="3"/>
          </w:tcPr>
          <w:p w:rsidR="00F028AB" w:rsidRPr="00163264" w:rsidRDefault="00F028AB" w:rsidP="00E2016D">
            <w:pPr>
              <w:jc w:val="both"/>
              <w:rPr>
                <w:rFonts w:eastAsia="Calibri"/>
                <w:sz w:val="20"/>
                <w:lang w:val="fr-CA"/>
              </w:rPr>
            </w:pPr>
          </w:p>
        </w:tc>
      </w:tr>
      <w:tr w:rsidR="00F028AB" w:rsidRPr="00163264" w:rsidTr="00E2016D">
        <w:tc>
          <w:tcPr>
            <w:tcW w:w="5000" w:type="pct"/>
            <w:gridSpan w:val="3"/>
          </w:tcPr>
          <w:p w:rsidR="00F028AB" w:rsidRPr="00163264" w:rsidRDefault="00F028AB" w:rsidP="00E2016D">
            <w:pPr>
              <w:jc w:val="both"/>
              <w:rPr>
                <w:rFonts w:eastAsia="Calibri"/>
                <w:sz w:val="20"/>
                <w:lang w:val="fr-CA"/>
              </w:rPr>
            </w:pPr>
            <w:r w:rsidRPr="00163264">
              <w:rPr>
                <w:rFonts w:eastAsia="Calibri"/>
                <w:sz w:val="20"/>
                <w:lang w:val="fr-CA"/>
              </w:rPr>
              <w:t xml:space="preserve">Le ministère public a demandé que le demandeur soit déclaré délinquant dangereux conformément à l’art. 753 du </w:t>
            </w:r>
            <w:r w:rsidRPr="00163264">
              <w:rPr>
                <w:rFonts w:eastAsia="Calibri"/>
                <w:i/>
                <w:sz w:val="20"/>
                <w:lang w:val="fr-CA"/>
              </w:rPr>
              <w:t>Code criminel</w:t>
            </w:r>
            <w:r w:rsidRPr="00163264">
              <w:rPr>
                <w:rFonts w:eastAsia="Calibri"/>
                <w:sz w:val="20"/>
                <w:lang w:val="fr-CA"/>
              </w:rPr>
              <w:t>.  Le juge chargé de déterminer la peine a conclu qu’il constituait une menace continue pour la société.  Le demandeur a été déclaré délinquant dangereux et condamné à une peine d’emprisonnement pour une période indéterminée.  L’appel de sa peine a été rejeté.</w:t>
            </w:r>
          </w:p>
          <w:p w:rsidR="00F028AB" w:rsidRPr="00163264" w:rsidRDefault="00F028AB" w:rsidP="00E2016D">
            <w:pPr>
              <w:jc w:val="both"/>
              <w:rPr>
                <w:rFonts w:eastAsia="Calibri"/>
                <w:sz w:val="20"/>
                <w:lang w:val="fr-CA"/>
              </w:rPr>
            </w:pPr>
          </w:p>
        </w:tc>
      </w:tr>
      <w:tr w:rsidR="00F028AB" w:rsidRPr="00944C2E" w:rsidTr="00E2016D">
        <w:tc>
          <w:tcPr>
            <w:tcW w:w="2427" w:type="pct"/>
          </w:tcPr>
          <w:p w:rsidR="00F028AB" w:rsidRPr="00163264" w:rsidRDefault="00F028AB" w:rsidP="00E2016D">
            <w:pPr>
              <w:jc w:val="both"/>
              <w:rPr>
                <w:rFonts w:eastAsia="Calibri"/>
                <w:sz w:val="20"/>
                <w:lang w:val="fr-CA"/>
              </w:rPr>
            </w:pPr>
            <w:r w:rsidRPr="00163264">
              <w:rPr>
                <w:rFonts w:eastAsia="Calibri"/>
                <w:sz w:val="20"/>
                <w:lang w:val="fr-CA"/>
              </w:rPr>
              <w:t>12 octobre 2010</w:t>
            </w:r>
          </w:p>
          <w:p w:rsidR="00F028AB" w:rsidRPr="00163264" w:rsidRDefault="00F028AB" w:rsidP="00E2016D">
            <w:pPr>
              <w:jc w:val="both"/>
              <w:rPr>
                <w:rFonts w:eastAsia="Calibri"/>
                <w:sz w:val="20"/>
                <w:lang w:val="fr-CA"/>
              </w:rPr>
            </w:pPr>
            <w:r w:rsidRPr="00163264">
              <w:rPr>
                <w:rFonts w:eastAsia="Calibri"/>
                <w:sz w:val="20"/>
                <w:lang w:val="fr-CA"/>
              </w:rPr>
              <w:t>Cour provinciale de l’Alberta</w:t>
            </w:r>
          </w:p>
          <w:p w:rsidR="00F028AB" w:rsidRPr="00163264" w:rsidRDefault="00F028AB" w:rsidP="00E2016D">
            <w:pPr>
              <w:jc w:val="both"/>
              <w:rPr>
                <w:rFonts w:eastAsia="Calibri"/>
                <w:sz w:val="20"/>
                <w:lang w:val="fr-CA"/>
              </w:rPr>
            </w:pPr>
            <w:r w:rsidRPr="00163264">
              <w:rPr>
                <w:rFonts w:eastAsia="Calibri"/>
                <w:sz w:val="20"/>
                <w:lang w:val="fr-CA"/>
              </w:rPr>
              <w:t>(Juge Johnson)</w:t>
            </w:r>
          </w:p>
          <w:p w:rsidR="00F028AB" w:rsidRPr="00163264" w:rsidRDefault="00F028AB" w:rsidP="00E2016D">
            <w:pPr>
              <w:jc w:val="both"/>
              <w:rPr>
                <w:rFonts w:eastAsia="Calibri"/>
                <w:sz w:val="20"/>
                <w:lang w:val="fr-CA"/>
              </w:rPr>
            </w:pPr>
            <w:r w:rsidRPr="00163264">
              <w:rPr>
                <w:rFonts w:eastAsia="Calibri"/>
                <w:sz w:val="20"/>
                <w:lang w:val="fr-CA"/>
              </w:rPr>
              <w:t>2010 ABPC 329</w:t>
            </w:r>
          </w:p>
        </w:tc>
        <w:tc>
          <w:tcPr>
            <w:tcW w:w="243" w:type="pct"/>
          </w:tcPr>
          <w:p w:rsidR="00F028AB" w:rsidRPr="00163264" w:rsidRDefault="00F028AB" w:rsidP="00E2016D">
            <w:pPr>
              <w:jc w:val="both"/>
              <w:rPr>
                <w:rFonts w:eastAsia="Calibri"/>
                <w:sz w:val="20"/>
                <w:lang w:val="fr-CA"/>
              </w:rPr>
            </w:pPr>
          </w:p>
        </w:tc>
        <w:tc>
          <w:tcPr>
            <w:tcW w:w="2330" w:type="pct"/>
          </w:tcPr>
          <w:p w:rsidR="00F028AB" w:rsidRPr="00163264" w:rsidRDefault="00F028AB" w:rsidP="00E2016D">
            <w:pPr>
              <w:jc w:val="both"/>
              <w:rPr>
                <w:rFonts w:eastAsia="Calibri"/>
                <w:sz w:val="20"/>
                <w:lang w:val="fr-CA"/>
              </w:rPr>
            </w:pPr>
            <w:r w:rsidRPr="00163264">
              <w:rPr>
                <w:rFonts w:eastAsia="Calibri"/>
                <w:sz w:val="20"/>
                <w:lang w:val="fr-CA"/>
              </w:rPr>
              <w:t>Demandeur déclaré délinquant dangereux et condamné à une peine d’emprisonnement pour une période indéterminée</w:t>
            </w:r>
          </w:p>
          <w:p w:rsidR="00F028AB" w:rsidRPr="00163264" w:rsidRDefault="00F028AB" w:rsidP="00E2016D">
            <w:pPr>
              <w:jc w:val="both"/>
              <w:rPr>
                <w:rFonts w:eastAsia="Calibri"/>
                <w:sz w:val="20"/>
                <w:lang w:val="fr-CA"/>
              </w:rPr>
            </w:pPr>
          </w:p>
          <w:p w:rsidR="00F028AB" w:rsidRPr="00163264" w:rsidRDefault="00F028AB" w:rsidP="00E2016D">
            <w:pPr>
              <w:jc w:val="both"/>
              <w:rPr>
                <w:rFonts w:eastAsia="Calibri"/>
                <w:sz w:val="20"/>
                <w:lang w:val="fr-CA"/>
              </w:rPr>
            </w:pPr>
          </w:p>
        </w:tc>
      </w:tr>
      <w:tr w:rsidR="00F028AB" w:rsidRPr="00163264" w:rsidTr="00E2016D">
        <w:tc>
          <w:tcPr>
            <w:tcW w:w="2427" w:type="pct"/>
          </w:tcPr>
          <w:p w:rsidR="00F028AB" w:rsidRPr="00163264" w:rsidRDefault="00F028AB" w:rsidP="00E2016D">
            <w:pPr>
              <w:jc w:val="both"/>
              <w:rPr>
                <w:rFonts w:eastAsia="Calibri"/>
                <w:sz w:val="20"/>
                <w:lang w:val="fr-CA"/>
              </w:rPr>
            </w:pPr>
            <w:r w:rsidRPr="00163264">
              <w:rPr>
                <w:rFonts w:eastAsia="Calibri"/>
                <w:sz w:val="20"/>
                <w:lang w:val="fr-CA"/>
              </w:rPr>
              <w:t>20 janvier 2014</w:t>
            </w:r>
          </w:p>
          <w:p w:rsidR="00F028AB" w:rsidRPr="00163264" w:rsidRDefault="00F028AB" w:rsidP="00E2016D">
            <w:pPr>
              <w:jc w:val="both"/>
              <w:rPr>
                <w:rFonts w:eastAsia="Calibri"/>
                <w:sz w:val="20"/>
                <w:lang w:val="fr-CA"/>
              </w:rPr>
            </w:pPr>
            <w:r w:rsidRPr="00163264">
              <w:rPr>
                <w:rFonts w:eastAsia="Calibri"/>
                <w:sz w:val="20"/>
                <w:lang w:val="fr-CA"/>
              </w:rPr>
              <w:t>Cour d’appel de l’Alberta (Edmonton)</w:t>
            </w:r>
          </w:p>
          <w:p w:rsidR="00F028AB" w:rsidRPr="00163264" w:rsidRDefault="00F028AB" w:rsidP="00E2016D">
            <w:pPr>
              <w:jc w:val="both"/>
              <w:rPr>
                <w:rFonts w:eastAsia="Calibri"/>
                <w:sz w:val="20"/>
                <w:lang w:val="fr-CA"/>
              </w:rPr>
            </w:pPr>
            <w:r w:rsidRPr="00163264">
              <w:rPr>
                <w:rFonts w:eastAsia="Calibri"/>
                <w:sz w:val="20"/>
                <w:lang w:val="fr-CA"/>
              </w:rPr>
              <w:t>(Juges Côté, O’Brien et O’Ferrall)</w:t>
            </w:r>
          </w:p>
          <w:p w:rsidR="00F028AB" w:rsidRPr="00163264" w:rsidRDefault="00F028AB" w:rsidP="00E2016D">
            <w:pPr>
              <w:jc w:val="both"/>
              <w:rPr>
                <w:rFonts w:eastAsia="Calibri"/>
                <w:sz w:val="20"/>
              </w:rPr>
            </w:pPr>
            <w:r w:rsidRPr="00163264">
              <w:rPr>
                <w:rFonts w:eastAsia="Calibri"/>
                <w:sz w:val="20"/>
              </w:rPr>
              <w:t>2014 ABCA 25</w:t>
            </w:r>
          </w:p>
          <w:p w:rsidR="00F028AB" w:rsidRPr="00163264" w:rsidRDefault="00944C2E" w:rsidP="00E2016D">
            <w:pPr>
              <w:jc w:val="both"/>
              <w:rPr>
                <w:rFonts w:eastAsia="Calibri"/>
                <w:sz w:val="20"/>
              </w:rPr>
            </w:pPr>
            <w:hyperlink r:id="rId35" w:history="1">
              <w:r w:rsidR="00F028AB" w:rsidRPr="00163264">
                <w:rPr>
                  <w:rFonts w:eastAsia="Calibri"/>
                  <w:color w:val="0000FF"/>
                  <w:sz w:val="20"/>
                  <w:u w:val="single"/>
                </w:rPr>
                <w:t>http://canlii.ca/t/g2r9k</w:t>
              </w:r>
            </w:hyperlink>
          </w:p>
          <w:p w:rsidR="00F028AB" w:rsidRPr="00163264" w:rsidRDefault="00F028AB" w:rsidP="00E2016D">
            <w:pPr>
              <w:jc w:val="both"/>
              <w:rPr>
                <w:rFonts w:eastAsia="Calibri"/>
                <w:sz w:val="20"/>
              </w:rPr>
            </w:pPr>
          </w:p>
        </w:tc>
        <w:tc>
          <w:tcPr>
            <w:tcW w:w="243" w:type="pct"/>
          </w:tcPr>
          <w:p w:rsidR="00F028AB" w:rsidRPr="00163264" w:rsidRDefault="00F028AB" w:rsidP="00E2016D">
            <w:pPr>
              <w:jc w:val="both"/>
              <w:rPr>
                <w:rFonts w:eastAsia="Calibri"/>
                <w:sz w:val="20"/>
              </w:rPr>
            </w:pPr>
          </w:p>
        </w:tc>
        <w:tc>
          <w:tcPr>
            <w:tcW w:w="2330" w:type="pct"/>
          </w:tcPr>
          <w:p w:rsidR="00F028AB" w:rsidRPr="00163264" w:rsidRDefault="00F028AB" w:rsidP="00E2016D">
            <w:pPr>
              <w:jc w:val="both"/>
              <w:rPr>
                <w:rFonts w:eastAsia="Calibri"/>
                <w:sz w:val="20"/>
                <w:lang w:val="fr-CA"/>
              </w:rPr>
            </w:pPr>
            <w:r w:rsidRPr="00163264">
              <w:rPr>
                <w:rFonts w:eastAsia="Calibri"/>
                <w:sz w:val="20"/>
                <w:lang w:val="fr-CA"/>
              </w:rPr>
              <w:t>Appel de la peine rejeté</w:t>
            </w:r>
          </w:p>
          <w:p w:rsidR="00F028AB" w:rsidRPr="00163264" w:rsidRDefault="00F028AB" w:rsidP="00E2016D">
            <w:pPr>
              <w:jc w:val="both"/>
              <w:rPr>
                <w:rFonts w:eastAsia="Calibri"/>
                <w:sz w:val="20"/>
                <w:lang w:val="fr-CA"/>
              </w:rPr>
            </w:pPr>
          </w:p>
          <w:p w:rsidR="00F028AB" w:rsidRPr="00163264" w:rsidRDefault="00F028AB" w:rsidP="00E2016D">
            <w:pPr>
              <w:jc w:val="both"/>
              <w:rPr>
                <w:rFonts w:eastAsia="Calibri"/>
                <w:sz w:val="20"/>
                <w:lang w:val="fr-CA"/>
              </w:rPr>
            </w:pPr>
          </w:p>
        </w:tc>
      </w:tr>
    </w:tbl>
    <w:p w:rsidR="00A0198D" w:rsidRDefault="00A0198D">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028AB" w:rsidRPr="00944C2E" w:rsidTr="00E2016D">
        <w:tc>
          <w:tcPr>
            <w:tcW w:w="2427" w:type="pct"/>
          </w:tcPr>
          <w:p w:rsidR="00F028AB" w:rsidRPr="00163264" w:rsidRDefault="00F028AB" w:rsidP="00E2016D">
            <w:pPr>
              <w:jc w:val="both"/>
              <w:rPr>
                <w:rFonts w:eastAsia="Calibri"/>
                <w:sz w:val="20"/>
                <w:lang w:val="fr-CA"/>
              </w:rPr>
            </w:pPr>
            <w:r w:rsidRPr="00163264">
              <w:rPr>
                <w:rFonts w:eastAsia="Calibri"/>
                <w:sz w:val="20"/>
                <w:lang w:val="fr-CA"/>
              </w:rPr>
              <w:lastRenderedPageBreak/>
              <w:t>28 avril 2014</w:t>
            </w:r>
          </w:p>
          <w:p w:rsidR="00F028AB" w:rsidRPr="00163264" w:rsidRDefault="00F028AB" w:rsidP="00E2016D">
            <w:pPr>
              <w:jc w:val="both"/>
              <w:rPr>
                <w:rFonts w:eastAsia="Calibri"/>
                <w:sz w:val="20"/>
                <w:lang w:val="fr-CA"/>
              </w:rPr>
            </w:pPr>
            <w:r w:rsidRPr="00163264">
              <w:rPr>
                <w:rFonts w:eastAsia="Calibri"/>
                <w:sz w:val="20"/>
                <w:lang w:val="fr-CA"/>
              </w:rPr>
              <w:t>Cour suprême du Canada</w:t>
            </w:r>
          </w:p>
        </w:tc>
        <w:tc>
          <w:tcPr>
            <w:tcW w:w="243" w:type="pct"/>
          </w:tcPr>
          <w:p w:rsidR="00F028AB" w:rsidRPr="00163264" w:rsidRDefault="00F028AB" w:rsidP="00E2016D">
            <w:pPr>
              <w:jc w:val="both"/>
              <w:rPr>
                <w:rFonts w:eastAsia="Calibri"/>
                <w:sz w:val="20"/>
                <w:lang w:val="fr-CA"/>
              </w:rPr>
            </w:pPr>
          </w:p>
        </w:tc>
        <w:tc>
          <w:tcPr>
            <w:tcW w:w="2330" w:type="pct"/>
          </w:tcPr>
          <w:p w:rsidR="00F028AB" w:rsidRPr="00163264" w:rsidRDefault="00F028AB" w:rsidP="00E2016D">
            <w:pPr>
              <w:jc w:val="both"/>
              <w:rPr>
                <w:rFonts w:eastAsia="Calibri"/>
                <w:sz w:val="20"/>
                <w:lang w:val="fr-CA"/>
              </w:rPr>
            </w:pPr>
            <w:r w:rsidRPr="00163264">
              <w:rPr>
                <w:rFonts w:eastAsia="Calibri"/>
                <w:sz w:val="20"/>
                <w:lang w:val="fr-CA"/>
              </w:rPr>
              <w:t>Requête en prorogation du délai de signification et de dépôt de la demande d’autorisation et demande d’autorisation d’appel, déposées</w:t>
            </w:r>
          </w:p>
        </w:tc>
      </w:tr>
    </w:tbl>
    <w:p w:rsidR="00965AE9" w:rsidRPr="00965AE9" w:rsidRDefault="00965AE9" w:rsidP="00965AE9">
      <w:pPr>
        <w:rPr>
          <w:sz w:val="20"/>
          <w:szCs w:val="20"/>
          <w:lang w:val="fr-CA"/>
        </w:rPr>
      </w:pPr>
    </w:p>
    <w:p w:rsidR="00965AE9" w:rsidRDefault="00944C2E" w:rsidP="00965AE9">
      <w:pPr>
        <w:rPr>
          <w:sz w:val="20"/>
          <w:szCs w:val="20"/>
          <w:lang w:val="fr-CA"/>
        </w:rPr>
      </w:pPr>
      <w:r>
        <w:rPr>
          <w:sz w:val="20"/>
          <w:szCs w:val="20"/>
          <w:lang w:val="fr-CA"/>
        </w:rPr>
        <w:pict>
          <v:rect id="_x0000_i1054" style="width:2in;height:1pt" o:hrpct="0" o:hralign="center" o:hrstd="t" o:hrnoshade="t" o:hr="t" fillcolor="black [3213]" stroked="f"/>
        </w:pict>
      </w:r>
    </w:p>
    <w:p w:rsidR="00965AE9" w:rsidRDefault="00965AE9" w:rsidP="00965AE9">
      <w:pPr>
        <w:rPr>
          <w:sz w:val="20"/>
          <w:szCs w:val="20"/>
          <w:lang w:val="fr-CA"/>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5501D" w:rsidRPr="00A5501D" w:rsidTr="00A5501D">
        <w:trPr>
          <w:cantSplit/>
        </w:trPr>
        <w:tc>
          <w:tcPr>
            <w:tcW w:w="1458" w:type="dxa"/>
          </w:tcPr>
          <w:p w:rsidR="00A5501D" w:rsidRPr="00A5501D" w:rsidRDefault="00A5501D" w:rsidP="00A5501D">
            <w:pPr>
              <w:rPr>
                <w:sz w:val="20"/>
              </w:rPr>
            </w:pPr>
            <w:r w:rsidRPr="00A5501D">
              <w:rPr>
                <w:b/>
                <w:sz w:val="20"/>
                <w:lang w:val="fr-CA"/>
              </w:rPr>
              <w:t>35867</w:t>
            </w:r>
          </w:p>
          <w:p w:rsidR="00A5501D" w:rsidRPr="00A5501D" w:rsidRDefault="00A5501D" w:rsidP="00A5501D">
            <w:pPr>
              <w:rPr>
                <w:b/>
                <w:sz w:val="20"/>
                <w:lang w:val="fr-CA"/>
              </w:rPr>
            </w:pPr>
          </w:p>
        </w:tc>
        <w:tc>
          <w:tcPr>
            <w:tcW w:w="8118" w:type="dxa"/>
          </w:tcPr>
          <w:p w:rsidR="00A5501D" w:rsidRPr="00A5501D" w:rsidRDefault="00A5501D" w:rsidP="00A5501D">
            <w:pPr>
              <w:rPr>
                <w:sz w:val="20"/>
              </w:rPr>
            </w:pPr>
            <w:r w:rsidRPr="00A5501D">
              <w:rPr>
                <w:b/>
                <w:sz w:val="20"/>
                <w:u w:val="single"/>
              </w:rPr>
              <w:t>CNH C</w:t>
            </w:r>
            <w:r w:rsidR="00A0198D">
              <w:rPr>
                <w:b/>
                <w:sz w:val="20"/>
                <w:u w:val="single"/>
              </w:rPr>
              <w:t>anada Ltd. v. Claude Joyal Inc. and</w:t>
            </w:r>
            <w:r w:rsidRPr="00A5501D">
              <w:rPr>
                <w:b/>
                <w:sz w:val="20"/>
                <w:u w:val="single"/>
              </w:rPr>
              <w:t xml:space="preserve"> Axa Assurances Inc.</w:t>
            </w:r>
            <w:r w:rsidRPr="00A5501D">
              <w:rPr>
                <w:sz w:val="20"/>
              </w:rPr>
              <w:t xml:space="preserve"> (Que.) (Civil) (By Leave)</w:t>
            </w:r>
          </w:p>
          <w:p w:rsidR="00A5501D" w:rsidRPr="00A5501D" w:rsidRDefault="00A5501D" w:rsidP="00A5501D">
            <w:pPr>
              <w:rPr>
                <w:sz w:val="20"/>
              </w:rPr>
            </w:pPr>
          </w:p>
        </w:tc>
      </w:tr>
      <w:tr w:rsidR="00A5501D" w:rsidRPr="00A5501D" w:rsidTr="00A5501D">
        <w:trPr>
          <w:cantSplit/>
        </w:trPr>
        <w:tc>
          <w:tcPr>
            <w:tcW w:w="1458" w:type="dxa"/>
          </w:tcPr>
          <w:p w:rsidR="00A5501D" w:rsidRPr="00A5501D" w:rsidRDefault="00A5501D" w:rsidP="00A5501D">
            <w:pPr>
              <w:rPr>
                <w:sz w:val="20"/>
              </w:rPr>
            </w:pPr>
            <w:r w:rsidRPr="00A5501D">
              <w:rPr>
                <w:sz w:val="20"/>
              </w:rPr>
              <w:t>Coram :</w:t>
            </w:r>
          </w:p>
        </w:tc>
        <w:tc>
          <w:tcPr>
            <w:tcW w:w="8118" w:type="dxa"/>
          </w:tcPr>
          <w:p w:rsidR="00A5501D" w:rsidRPr="00A5501D" w:rsidRDefault="00A5501D" w:rsidP="00A5501D">
            <w:pPr>
              <w:rPr>
                <w:sz w:val="20"/>
              </w:rPr>
            </w:pPr>
            <w:r w:rsidRPr="00A5501D">
              <w:rPr>
                <w:sz w:val="20"/>
                <w:u w:val="single"/>
              </w:rPr>
              <w:t>McLachlin C.J. and Cromwell and Wagner JJ.</w:t>
            </w:r>
          </w:p>
          <w:p w:rsidR="00A5501D" w:rsidRPr="00A5501D" w:rsidRDefault="00A5501D" w:rsidP="00A5501D">
            <w:pPr>
              <w:rPr>
                <w:sz w:val="20"/>
                <w:u w:val="single"/>
              </w:rPr>
            </w:pPr>
          </w:p>
        </w:tc>
      </w:tr>
      <w:tr w:rsidR="00A5501D" w:rsidRPr="00944C2E" w:rsidTr="00A5501D">
        <w:trPr>
          <w:cantSplit/>
        </w:trPr>
        <w:tc>
          <w:tcPr>
            <w:tcW w:w="9576" w:type="dxa"/>
            <w:gridSpan w:val="2"/>
          </w:tcPr>
          <w:p w:rsidR="00A5501D" w:rsidRPr="00A5501D" w:rsidRDefault="00A5501D" w:rsidP="00A5501D">
            <w:pPr>
              <w:ind w:firstLine="720"/>
              <w:jc w:val="both"/>
              <w:rPr>
                <w:sz w:val="20"/>
              </w:rPr>
            </w:pPr>
            <w:r w:rsidRPr="00A5501D">
              <w:rPr>
                <w:sz w:val="20"/>
              </w:rPr>
              <w:t>The application for leave to appeal from the judgment of the Court of Appeal of Quebec (Montréal), Number 500-09-022502-124, 2014 QCCA 588, dated March 21, 2014, is dismissed with costs to the respondent Claude Joyal Inc.</w:t>
            </w:r>
          </w:p>
          <w:p w:rsidR="00A5501D" w:rsidRPr="00A5501D" w:rsidRDefault="00A5501D" w:rsidP="00A5501D">
            <w:pPr>
              <w:jc w:val="both"/>
              <w:rPr>
                <w:sz w:val="20"/>
              </w:rPr>
            </w:pPr>
          </w:p>
          <w:p w:rsidR="00A5501D" w:rsidRPr="00A5501D" w:rsidRDefault="00A5501D" w:rsidP="00A5501D">
            <w:pPr>
              <w:ind w:firstLine="720"/>
              <w:jc w:val="both"/>
              <w:rPr>
                <w:sz w:val="20"/>
                <w:lang w:val="fr-CA"/>
              </w:rPr>
            </w:pPr>
            <w:r w:rsidRPr="00A5501D">
              <w:rPr>
                <w:sz w:val="20"/>
                <w:lang w:val="fr-CA"/>
              </w:rPr>
              <w:t>La demande d’autorisation d’appel de l’arrêt de la Cour d’appel du Québec (Montréal), numéro 500-09-022502-124, 2014 QCCA 588, daté du 21 mars 2014, est rejetée avec dépens en faveur de l’intimée Claude Joyal Inc.</w:t>
            </w:r>
          </w:p>
        </w:tc>
      </w:tr>
    </w:tbl>
    <w:p w:rsidR="00965AE9" w:rsidRPr="00A5501D" w:rsidRDefault="00965AE9" w:rsidP="00965AE9">
      <w:pPr>
        <w:rPr>
          <w:sz w:val="20"/>
          <w:szCs w:val="20"/>
          <w:lang w:val="fr-CA"/>
        </w:rPr>
      </w:pPr>
    </w:p>
    <w:p w:rsidR="00965AE9" w:rsidRPr="001B157C" w:rsidRDefault="00965AE9" w:rsidP="00965AE9">
      <w:pPr>
        <w:rPr>
          <w:sz w:val="20"/>
          <w:szCs w:val="20"/>
          <w:u w:val="single"/>
        </w:rPr>
      </w:pPr>
      <w:r w:rsidRPr="001B157C">
        <w:rPr>
          <w:sz w:val="20"/>
          <w:szCs w:val="20"/>
          <w:u w:val="single"/>
        </w:rPr>
        <w:t>CASE SUMMARY</w:t>
      </w:r>
    </w:p>
    <w:p w:rsidR="00965AE9" w:rsidRDefault="00965AE9" w:rsidP="00965AE9">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028AB" w:rsidRPr="00163264" w:rsidTr="00E2016D">
        <w:tc>
          <w:tcPr>
            <w:tcW w:w="5000" w:type="pct"/>
            <w:gridSpan w:val="3"/>
          </w:tcPr>
          <w:p w:rsidR="00F028AB" w:rsidRPr="00163264" w:rsidRDefault="00F028AB" w:rsidP="00E2016D">
            <w:pPr>
              <w:jc w:val="both"/>
              <w:rPr>
                <w:rFonts w:eastAsia="Calibri"/>
                <w:sz w:val="20"/>
              </w:rPr>
            </w:pPr>
            <w:r w:rsidRPr="00163264">
              <w:rPr>
                <w:rFonts w:eastAsia="Calibri"/>
                <w:sz w:val="20"/>
              </w:rPr>
              <w:t xml:space="preserve">Sale – Defects – Claim in warranty – Solidarity – Notice – Whether the Court of Appeal erred in concluding that a legal proceeding seeking the application of the legal warranty of quality need not to be preceded by a notice of defect in accordance with art. 1739 of the </w:t>
            </w:r>
            <w:r w:rsidRPr="00163264">
              <w:rPr>
                <w:rFonts w:eastAsia="Calibri"/>
                <w:i/>
                <w:sz w:val="20"/>
              </w:rPr>
              <w:t>Civil Code of Quebec</w:t>
            </w:r>
            <w:r w:rsidRPr="00163264">
              <w:rPr>
                <w:rFonts w:eastAsia="Calibri"/>
                <w:sz w:val="20"/>
              </w:rPr>
              <w:t xml:space="preserve">, remitted to each party against which the application of the legal warranty of quality is sought – Whether the Court of Appeal erred in concluding that solidarity exists between successive sellers of a product in relation to the notice of defect entailing that the notice remitted to one seller can be set up against the other – Whether the Court of Appeal erred in concluding that the dismantling and destruction of the product before notifying the party against which the benefits of the legal warranty of quality are sought did not impair the right to a full and complete defense warranting the pre-trial dismissal of the claim – </w:t>
            </w:r>
            <w:r w:rsidRPr="00163264">
              <w:rPr>
                <w:rFonts w:eastAsia="Calibri"/>
                <w:i/>
                <w:sz w:val="20"/>
              </w:rPr>
              <w:t>Civil Code of Québec</w:t>
            </w:r>
            <w:r w:rsidRPr="00163264">
              <w:rPr>
                <w:rFonts w:eastAsia="Calibri"/>
                <w:sz w:val="20"/>
              </w:rPr>
              <w:t xml:space="preserve">, L.R.Q., c. C-1991, art. 1599, 1730 and 1739 – </w:t>
            </w:r>
            <w:r w:rsidRPr="00163264">
              <w:rPr>
                <w:rFonts w:eastAsia="Calibri"/>
                <w:i/>
                <w:sz w:val="20"/>
              </w:rPr>
              <w:t>Code of Civil Procedure</w:t>
            </w:r>
            <w:r w:rsidRPr="00163264">
              <w:rPr>
                <w:rFonts w:eastAsia="Calibri"/>
                <w:sz w:val="20"/>
              </w:rPr>
              <w:t>, C.Q.L.R. c. C-25, art. 165(4).</w:t>
            </w:r>
          </w:p>
        </w:tc>
      </w:tr>
      <w:tr w:rsidR="00F028AB" w:rsidRPr="00163264" w:rsidTr="00E2016D">
        <w:tc>
          <w:tcPr>
            <w:tcW w:w="5000" w:type="pct"/>
            <w:gridSpan w:val="3"/>
          </w:tcPr>
          <w:p w:rsidR="00F028AB" w:rsidRPr="00163264" w:rsidRDefault="00F028AB" w:rsidP="00E2016D">
            <w:pPr>
              <w:jc w:val="both"/>
              <w:rPr>
                <w:rFonts w:eastAsia="Calibri"/>
                <w:sz w:val="20"/>
              </w:rPr>
            </w:pPr>
          </w:p>
        </w:tc>
      </w:tr>
      <w:tr w:rsidR="00F028AB" w:rsidRPr="00163264" w:rsidTr="00E2016D">
        <w:tc>
          <w:tcPr>
            <w:tcW w:w="5000" w:type="pct"/>
            <w:gridSpan w:val="3"/>
          </w:tcPr>
          <w:p w:rsidR="00F028AB" w:rsidRPr="00163264" w:rsidRDefault="00F028AB" w:rsidP="00E2016D">
            <w:pPr>
              <w:jc w:val="both"/>
              <w:rPr>
                <w:rFonts w:eastAsia="Calibri"/>
                <w:sz w:val="20"/>
              </w:rPr>
            </w:pPr>
            <w:r w:rsidRPr="00163264">
              <w:rPr>
                <w:rFonts w:eastAsia="Calibri"/>
                <w:sz w:val="20"/>
              </w:rPr>
              <w:t xml:space="preserve">The applicant, CNH Canada Ltd. (“CNH”) manufactures agricultural and construction equipment.  In 2006, a farm purchased from the respondent Claude Joyal Inc. (“Joyal”) a combine manufactured by CNH. In 2008, the combine was damaged by fire. A report prepared by Joyal’s expert concluded that the fire started in the engine.  The carcass of the combine was eventually dismantled and destroyed. The respondent Axa Assurances Inc. (“Axa”) indemnified the farm, its insured, and sent a notice of defect to Joyal pursuant to art. 1739 of the </w:t>
            </w:r>
            <w:r w:rsidRPr="00163264">
              <w:rPr>
                <w:rFonts w:eastAsia="Calibri"/>
                <w:i/>
                <w:sz w:val="20"/>
              </w:rPr>
              <w:t>Civil Code of Quebec</w:t>
            </w:r>
            <w:r w:rsidRPr="00163264">
              <w:rPr>
                <w:rFonts w:eastAsia="Calibri"/>
                <w:sz w:val="20"/>
              </w:rPr>
              <w:t xml:space="preserve">.  Axa then sued Joyal for the loss, and Joyal instituted proceedings in warranty against CNH. Pursuant to art. 165(4) of the </w:t>
            </w:r>
            <w:r w:rsidRPr="00163264">
              <w:rPr>
                <w:rFonts w:eastAsia="Calibri"/>
                <w:i/>
                <w:sz w:val="20"/>
              </w:rPr>
              <w:t>Code of Civil Procedure</w:t>
            </w:r>
            <w:r w:rsidRPr="00163264">
              <w:rPr>
                <w:rFonts w:eastAsia="Calibri"/>
                <w:sz w:val="20"/>
              </w:rPr>
              <w:t>, CNH moved to have Joyal’s claim in warranty dismissed on the basis that it was never notified of the defect. It also argued that it would be prevented from fully defending itself, because the carcass of the combine had been destroyed and could no longer be examined.  The Superior Court granted CNH’s motion.  The Court of Appeal overturned that decision.  In its view, the notice of defect sent to Joyal could be set up against CNH.</w:t>
            </w:r>
          </w:p>
          <w:p w:rsidR="00F028AB" w:rsidRPr="00163264" w:rsidRDefault="00F028AB" w:rsidP="00E2016D">
            <w:pPr>
              <w:jc w:val="both"/>
              <w:rPr>
                <w:rFonts w:eastAsia="Calibri"/>
                <w:sz w:val="20"/>
              </w:rPr>
            </w:pPr>
          </w:p>
        </w:tc>
      </w:tr>
      <w:tr w:rsidR="00F028AB" w:rsidRPr="00163264" w:rsidTr="00E2016D">
        <w:tc>
          <w:tcPr>
            <w:tcW w:w="2427" w:type="pct"/>
          </w:tcPr>
          <w:p w:rsidR="00F028AB" w:rsidRPr="00163264" w:rsidRDefault="00F028AB" w:rsidP="00E2016D">
            <w:pPr>
              <w:jc w:val="both"/>
              <w:rPr>
                <w:rFonts w:eastAsia="Calibri"/>
                <w:sz w:val="20"/>
              </w:rPr>
            </w:pPr>
            <w:r w:rsidRPr="00163264">
              <w:rPr>
                <w:rFonts w:eastAsia="Calibri"/>
                <w:sz w:val="20"/>
              </w:rPr>
              <w:t>February 14, 2012</w:t>
            </w:r>
          </w:p>
          <w:p w:rsidR="00F028AB" w:rsidRPr="00163264" w:rsidRDefault="00F028AB" w:rsidP="00E2016D">
            <w:pPr>
              <w:jc w:val="both"/>
              <w:rPr>
                <w:rFonts w:eastAsia="Calibri"/>
                <w:sz w:val="20"/>
              </w:rPr>
            </w:pPr>
            <w:r w:rsidRPr="00163264">
              <w:rPr>
                <w:rFonts w:eastAsia="Calibri"/>
                <w:sz w:val="20"/>
              </w:rPr>
              <w:t>Superior Court of Quebec</w:t>
            </w:r>
          </w:p>
          <w:p w:rsidR="00F028AB" w:rsidRPr="00163264" w:rsidRDefault="00F028AB" w:rsidP="00E2016D">
            <w:pPr>
              <w:jc w:val="both"/>
              <w:rPr>
                <w:rFonts w:eastAsia="Calibri"/>
                <w:sz w:val="20"/>
              </w:rPr>
            </w:pPr>
            <w:r w:rsidRPr="00163264">
              <w:rPr>
                <w:rFonts w:eastAsia="Calibri"/>
                <w:sz w:val="20"/>
              </w:rPr>
              <w:t>(Castiglio J.)</w:t>
            </w:r>
          </w:p>
          <w:p w:rsidR="00F028AB" w:rsidRPr="00163264" w:rsidRDefault="00944C2E" w:rsidP="00E2016D">
            <w:pPr>
              <w:jc w:val="both"/>
              <w:rPr>
                <w:rFonts w:eastAsia="Calibri"/>
                <w:sz w:val="20"/>
              </w:rPr>
            </w:pPr>
            <w:hyperlink r:id="rId36" w:history="1">
              <w:r w:rsidR="00F028AB" w:rsidRPr="00163264">
                <w:rPr>
                  <w:rFonts w:eastAsia="Calibri"/>
                  <w:color w:val="0000FF"/>
                  <w:sz w:val="20"/>
                  <w:u w:val="single"/>
                </w:rPr>
                <w:t>2012 QCCS 476</w:t>
              </w:r>
            </w:hyperlink>
          </w:p>
          <w:p w:rsidR="00F028AB" w:rsidRPr="00163264" w:rsidRDefault="00F028AB" w:rsidP="00E2016D">
            <w:pPr>
              <w:jc w:val="both"/>
              <w:rPr>
                <w:rFonts w:eastAsia="Calibri"/>
                <w:sz w:val="20"/>
              </w:rPr>
            </w:pPr>
          </w:p>
        </w:tc>
        <w:tc>
          <w:tcPr>
            <w:tcW w:w="243" w:type="pct"/>
          </w:tcPr>
          <w:p w:rsidR="00F028AB" w:rsidRPr="00163264" w:rsidRDefault="00F028AB" w:rsidP="00E2016D">
            <w:pPr>
              <w:jc w:val="both"/>
              <w:rPr>
                <w:rFonts w:eastAsia="Calibri"/>
                <w:sz w:val="20"/>
              </w:rPr>
            </w:pPr>
          </w:p>
        </w:tc>
        <w:tc>
          <w:tcPr>
            <w:tcW w:w="2330" w:type="pct"/>
          </w:tcPr>
          <w:p w:rsidR="00F028AB" w:rsidRPr="00163264" w:rsidRDefault="00F028AB" w:rsidP="00E2016D">
            <w:pPr>
              <w:jc w:val="both"/>
              <w:rPr>
                <w:rFonts w:eastAsia="Calibri"/>
                <w:sz w:val="20"/>
              </w:rPr>
            </w:pPr>
            <w:r w:rsidRPr="00163264">
              <w:rPr>
                <w:rFonts w:eastAsia="Calibri"/>
                <w:sz w:val="20"/>
              </w:rPr>
              <w:t xml:space="preserve">Motion to dismiss pursuant to art. 165(4) of the </w:t>
            </w:r>
            <w:r w:rsidRPr="00163264">
              <w:rPr>
                <w:rFonts w:eastAsia="Calibri"/>
                <w:i/>
                <w:sz w:val="20"/>
              </w:rPr>
              <w:t>Code of Civil Procedure</w:t>
            </w:r>
            <w:r w:rsidRPr="00163264">
              <w:rPr>
                <w:rFonts w:eastAsia="Calibri"/>
                <w:sz w:val="20"/>
              </w:rPr>
              <w:t xml:space="preserve"> granted; respondent Claude Joyal’s motion to institute proceedings dismissed</w:t>
            </w:r>
          </w:p>
          <w:p w:rsidR="00F028AB" w:rsidRPr="00163264" w:rsidRDefault="00F028AB" w:rsidP="00E2016D">
            <w:pPr>
              <w:jc w:val="both"/>
              <w:rPr>
                <w:rFonts w:eastAsia="Calibri"/>
                <w:sz w:val="20"/>
              </w:rPr>
            </w:pPr>
          </w:p>
        </w:tc>
      </w:tr>
      <w:tr w:rsidR="00F028AB" w:rsidRPr="00163264" w:rsidTr="00E2016D">
        <w:tc>
          <w:tcPr>
            <w:tcW w:w="2427" w:type="pct"/>
          </w:tcPr>
          <w:p w:rsidR="00F028AB" w:rsidRPr="00163264" w:rsidRDefault="00F028AB" w:rsidP="00E2016D">
            <w:pPr>
              <w:jc w:val="both"/>
              <w:rPr>
                <w:rFonts w:eastAsia="Calibri"/>
                <w:sz w:val="20"/>
              </w:rPr>
            </w:pPr>
            <w:r w:rsidRPr="00163264">
              <w:rPr>
                <w:rFonts w:eastAsia="Calibri"/>
                <w:sz w:val="20"/>
              </w:rPr>
              <w:t>March 21, 2014</w:t>
            </w:r>
          </w:p>
          <w:p w:rsidR="00F028AB" w:rsidRPr="00163264" w:rsidRDefault="00F028AB" w:rsidP="00E2016D">
            <w:pPr>
              <w:jc w:val="both"/>
              <w:rPr>
                <w:rFonts w:eastAsia="Calibri"/>
                <w:sz w:val="20"/>
              </w:rPr>
            </w:pPr>
            <w:r w:rsidRPr="00163264">
              <w:rPr>
                <w:rFonts w:eastAsia="Calibri"/>
                <w:sz w:val="20"/>
              </w:rPr>
              <w:t>Court of Appeal of Quebec (Montréal)</w:t>
            </w:r>
          </w:p>
          <w:p w:rsidR="00F028AB" w:rsidRPr="00163264" w:rsidRDefault="00F028AB" w:rsidP="00E2016D">
            <w:pPr>
              <w:jc w:val="both"/>
              <w:rPr>
                <w:rFonts w:eastAsia="Calibri"/>
                <w:sz w:val="20"/>
              </w:rPr>
            </w:pPr>
            <w:r w:rsidRPr="00163264">
              <w:rPr>
                <w:rFonts w:eastAsia="Calibri"/>
                <w:sz w:val="20"/>
              </w:rPr>
              <w:t>(Dalphond, Dutil and Bich JJ.A.)</w:t>
            </w:r>
          </w:p>
          <w:p w:rsidR="00F028AB" w:rsidRPr="00163264" w:rsidRDefault="00944C2E" w:rsidP="00E2016D">
            <w:pPr>
              <w:jc w:val="both"/>
              <w:rPr>
                <w:rFonts w:eastAsia="Calibri"/>
                <w:sz w:val="20"/>
              </w:rPr>
            </w:pPr>
            <w:hyperlink r:id="rId37" w:history="1">
              <w:r w:rsidR="00F028AB" w:rsidRPr="00163264">
                <w:rPr>
                  <w:rFonts w:eastAsia="Calibri"/>
                  <w:color w:val="0000FF"/>
                  <w:sz w:val="20"/>
                  <w:u w:val="single"/>
                </w:rPr>
                <w:t>2014 QCCA 588</w:t>
              </w:r>
            </w:hyperlink>
          </w:p>
          <w:p w:rsidR="00F028AB" w:rsidRPr="00163264" w:rsidRDefault="00F028AB" w:rsidP="00E2016D">
            <w:pPr>
              <w:jc w:val="both"/>
              <w:rPr>
                <w:rFonts w:eastAsia="Calibri"/>
                <w:sz w:val="20"/>
                <w:lang w:val="fr-CA"/>
              </w:rPr>
            </w:pPr>
          </w:p>
        </w:tc>
        <w:tc>
          <w:tcPr>
            <w:tcW w:w="243" w:type="pct"/>
          </w:tcPr>
          <w:p w:rsidR="00F028AB" w:rsidRPr="00163264" w:rsidRDefault="00F028AB" w:rsidP="00E2016D">
            <w:pPr>
              <w:jc w:val="both"/>
              <w:rPr>
                <w:rFonts w:eastAsia="Calibri"/>
                <w:sz w:val="20"/>
                <w:lang w:val="fr-CA"/>
              </w:rPr>
            </w:pPr>
          </w:p>
        </w:tc>
        <w:tc>
          <w:tcPr>
            <w:tcW w:w="2330" w:type="pct"/>
          </w:tcPr>
          <w:p w:rsidR="00F028AB" w:rsidRPr="00163264" w:rsidRDefault="00F028AB" w:rsidP="00E2016D">
            <w:pPr>
              <w:jc w:val="both"/>
              <w:rPr>
                <w:rFonts w:eastAsia="Calibri"/>
                <w:sz w:val="20"/>
              </w:rPr>
            </w:pPr>
            <w:r w:rsidRPr="00163264">
              <w:rPr>
                <w:rFonts w:eastAsia="Calibri"/>
                <w:sz w:val="20"/>
              </w:rPr>
              <w:t>Appeal allowed</w:t>
            </w:r>
          </w:p>
          <w:p w:rsidR="00F028AB" w:rsidRPr="00163264" w:rsidRDefault="00F028AB" w:rsidP="00E2016D">
            <w:pPr>
              <w:jc w:val="both"/>
              <w:rPr>
                <w:rFonts w:eastAsia="Calibri"/>
                <w:sz w:val="20"/>
              </w:rPr>
            </w:pPr>
          </w:p>
        </w:tc>
      </w:tr>
      <w:tr w:rsidR="00F028AB" w:rsidRPr="00163264" w:rsidTr="00E2016D">
        <w:tc>
          <w:tcPr>
            <w:tcW w:w="2427" w:type="pct"/>
          </w:tcPr>
          <w:p w:rsidR="00F028AB" w:rsidRPr="00163264" w:rsidRDefault="00F028AB" w:rsidP="00E2016D">
            <w:pPr>
              <w:jc w:val="both"/>
              <w:rPr>
                <w:rFonts w:eastAsia="Calibri"/>
                <w:sz w:val="20"/>
              </w:rPr>
            </w:pPr>
            <w:r w:rsidRPr="00163264">
              <w:rPr>
                <w:rFonts w:eastAsia="Calibri"/>
                <w:sz w:val="20"/>
              </w:rPr>
              <w:lastRenderedPageBreak/>
              <w:t>May 5, 2014</w:t>
            </w:r>
          </w:p>
          <w:p w:rsidR="00F028AB" w:rsidRPr="00163264" w:rsidRDefault="00F028AB" w:rsidP="00E2016D">
            <w:pPr>
              <w:jc w:val="both"/>
              <w:rPr>
                <w:rFonts w:eastAsia="Calibri"/>
                <w:sz w:val="20"/>
              </w:rPr>
            </w:pPr>
            <w:r w:rsidRPr="00163264">
              <w:rPr>
                <w:rFonts w:eastAsia="Calibri"/>
                <w:sz w:val="20"/>
              </w:rPr>
              <w:t>Supreme Court of Canada</w:t>
            </w:r>
          </w:p>
        </w:tc>
        <w:tc>
          <w:tcPr>
            <w:tcW w:w="243" w:type="pct"/>
          </w:tcPr>
          <w:p w:rsidR="00F028AB" w:rsidRPr="00163264" w:rsidRDefault="00F028AB" w:rsidP="00E2016D">
            <w:pPr>
              <w:jc w:val="both"/>
              <w:rPr>
                <w:rFonts w:eastAsia="Calibri"/>
                <w:sz w:val="20"/>
              </w:rPr>
            </w:pPr>
          </w:p>
        </w:tc>
        <w:tc>
          <w:tcPr>
            <w:tcW w:w="2330" w:type="pct"/>
          </w:tcPr>
          <w:p w:rsidR="00F028AB" w:rsidRPr="00163264" w:rsidRDefault="00F028AB" w:rsidP="00E2016D">
            <w:pPr>
              <w:jc w:val="both"/>
              <w:rPr>
                <w:rFonts w:eastAsia="Calibri"/>
                <w:sz w:val="20"/>
              </w:rPr>
            </w:pPr>
            <w:r w:rsidRPr="00163264">
              <w:rPr>
                <w:rFonts w:eastAsia="Calibri"/>
                <w:sz w:val="20"/>
              </w:rPr>
              <w:t>Application for leave to appeal filed</w:t>
            </w:r>
          </w:p>
        </w:tc>
      </w:tr>
    </w:tbl>
    <w:p w:rsidR="00965AE9" w:rsidRDefault="00965AE9" w:rsidP="00965AE9">
      <w:pPr>
        <w:rPr>
          <w:sz w:val="20"/>
          <w:szCs w:val="20"/>
        </w:rPr>
      </w:pPr>
    </w:p>
    <w:p w:rsidR="00965AE9" w:rsidRPr="00C50A5C" w:rsidRDefault="00944C2E" w:rsidP="00965AE9">
      <w:pPr>
        <w:rPr>
          <w:sz w:val="20"/>
          <w:szCs w:val="20"/>
        </w:rPr>
      </w:pPr>
      <w:r>
        <w:rPr>
          <w:sz w:val="20"/>
          <w:szCs w:val="20"/>
          <w:lang w:val="fr-CA"/>
        </w:rPr>
        <w:pict>
          <v:rect id="_x0000_i1055" style="width:2in;height:1pt" o:hrpct="0" o:hralign="center" o:hrstd="t" o:hrnoshade="t" o:hr="t" fillcolor="black [3213]" stroked="f"/>
        </w:pict>
      </w:r>
    </w:p>
    <w:p w:rsidR="00965AE9" w:rsidRDefault="00965AE9" w:rsidP="00965AE9">
      <w:pPr>
        <w:rPr>
          <w:sz w:val="20"/>
          <w:szCs w:val="20"/>
        </w:rPr>
      </w:pPr>
    </w:p>
    <w:p w:rsidR="00965AE9" w:rsidRPr="001B157C" w:rsidRDefault="00965AE9" w:rsidP="00965AE9">
      <w:pPr>
        <w:rPr>
          <w:sz w:val="20"/>
          <w:szCs w:val="20"/>
          <w:u w:val="single"/>
          <w:lang w:val="fr-CA"/>
        </w:rPr>
      </w:pPr>
      <w:r w:rsidRPr="001B157C">
        <w:rPr>
          <w:sz w:val="20"/>
          <w:szCs w:val="20"/>
          <w:u w:val="single"/>
          <w:lang w:val="fr-CA"/>
        </w:rPr>
        <w:t>RÉSUMÉ DE L’AFFAIRE</w:t>
      </w:r>
    </w:p>
    <w:p w:rsidR="00965AE9" w:rsidRDefault="00965AE9" w:rsidP="00965AE9">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028AB" w:rsidRPr="00163264" w:rsidTr="00E2016D">
        <w:tc>
          <w:tcPr>
            <w:tcW w:w="5000" w:type="pct"/>
            <w:gridSpan w:val="3"/>
          </w:tcPr>
          <w:p w:rsidR="00F028AB" w:rsidRPr="00163264" w:rsidRDefault="00F028AB" w:rsidP="00E2016D">
            <w:pPr>
              <w:jc w:val="both"/>
              <w:rPr>
                <w:rFonts w:eastAsia="Calibri"/>
                <w:sz w:val="20"/>
                <w:lang w:val="fr-CA"/>
              </w:rPr>
            </w:pPr>
            <w:r w:rsidRPr="00163264">
              <w:rPr>
                <w:rFonts w:eastAsia="Calibri"/>
                <w:sz w:val="20"/>
                <w:lang w:val="fr-CA"/>
              </w:rPr>
              <w:t xml:space="preserve">Vente – Vices – Demande en garantie – Solidarité – Dénonciation – La Cour d’appel a-t-elle commis une erreur en concluant qu’une poursuite en justice visant à faire appliquer la garantie légale de qualité n’a pas à être précédée d’une dénonciation du vice, conformément à l’art. 1739 du </w:t>
            </w:r>
            <w:r w:rsidRPr="00163264">
              <w:rPr>
                <w:rFonts w:eastAsia="Calibri"/>
                <w:i/>
                <w:sz w:val="20"/>
                <w:lang w:val="fr-CA"/>
              </w:rPr>
              <w:t>Code civil du Québec</w:t>
            </w:r>
            <w:r w:rsidRPr="00163264">
              <w:rPr>
                <w:rFonts w:eastAsia="Calibri"/>
                <w:sz w:val="20"/>
                <w:lang w:val="fr-CA"/>
              </w:rPr>
              <w:t xml:space="preserve">, à chaque partie contre laquelle l’application de la garantie est demandée? – La Cour d’appel a-t-elle commis une erreur en concluant qu’il y a solidarité entre les vendeurs successifs d’un produit en ce qui concerne la dénonciation du vice et que la dénonciation faite à un vendeur vaut donc à l’égard de l’autre? – La Cour d’appel a-t-elle commis une erreur en concluant que le démantèlement et la destruction du produit avant que le vice soit dénoncé à la partie contre laquelle les avantages de la garantie légale de qualité sont réclamés ne portent pas atteinte au droit à une défense pleine et entière de façon à justifier le rejet du recours avant l’instruction? – </w:t>
            </w:r>
            <w:r w:rsidRPr="00163264">
              <w:rPr>
                <w:rFonts w:eastAsia="Calibri"/>
                <w:i/>
                <w:sz w:val="20"/>
                <w:lang w:val="fr-CA"/>
              </w:rPr>
              <w:t>Code civil du Québec</w:t>
            </w:r>
            <w:r w:rsidRPr="00163264">
              <w:rPr>
                <w:rFonts w:eastAsia="Calibri"/>
                <w:sz w:val="20"/>
                <w:lang w:val="fr-CA"/>
              </w:rPr>
              <w:t xml:space="preserve">, L.R.Q., ch. C-1991, art. 1599, 1730 et 1739 – </w:t>
            </w:r>
            <w:r w:rsidRPr="00163264">
              <w:rPr>
                <w:rFonts w:eastAsia="Calibri"/>
                <w:i/>
                <w:sz w:val="20"/>
                <w:lang w:val="fr-CA"/>
              </w:rPr>
              <w:t>Code de procédure civile</w:t>
            </w:r>
            <w:r w:rsidRPr="00163264">
              <w:rPr>
                <w:rFonts w:eastAsia="Calibri"/>
                <w:sz w:val="20"/>
                <w:lang w:val="fr-CA"/>
              </w:rPr>
              <w:t>, R.L.R.Q. ch. C-25, par. 165(4).</w:t>
            </w:r>
          </w:p>
        </w:tc>
      </w:tr>
      <w:tr w:rsidR="00F028AB" w:rsidRPr="00163264" w:rsidTr="00E2016D">
        <w:tc>
          <w:tcPr>
            <w:tcW w:w="5000" w:type="pct"/>
            <w:gridSpan w:val="3"/>
          </w:tcPr>
          <w:p w:rsidR="00F028AB" w:rsidRPr="00163264" w:rsidRDefault="00F028AB" w:rsidP="00E2016D">
            <w:pPr>
              <w:jc w:val="both"/>
              <w:rPr>
                <w:rFonts w:eastAsia="Calibri"/>
                <w:sz w:val="20"/>
                <w:lang w:val="fr-CA"/>
              </w:rPr>
            </w:pPr>
          </w:p>
        </w:tc>
      </w:tr>
      <w:tr w:rsidR="00F028AB" w:rsidRPr="00944C2E" w:rsidTr="00E2016D">
        <w:tc>
          <w:tcPr>
            <w:tcW w:w="5000" w:type="pct"/>
            <w:gridSpan w:val="3"/>
          </w:tcPr>
          <w:p w:rsidR="00F028AB" w:rsidRPr="00163264" w:rsidRDefault="00F028AB" w:rsidP="00E2016D">
            <w:pPr>
              <w:jc w:val="both"/>
              <w:rPr>
                <w:rFonts w:eastAsia="Calibri"/>
                <w:sz w:val="20"/>
                <w:lang w:val="fr-CA"/>
              </w:rPr>
            </w:pPr>
            <w:r w:rsidRPr="00163264">
              <w:rPr>
                <w:rFonts w:eastAsia="Calibri"/>
                <w:sz w:val="20"/>
                <w:lang w:val="fr-CA"/>
              </w:rPr>
              <w:t xml:space="preserve">La demanderesse, CNH Canada Ltd. (« CNH »), fabrique de l’équipement agricole et de construction.  En 2006, une exploitation agricole a acheté une moissonneuse-batteuse fabriquée par CNH.  En 2008, la moissonneuse-batteuse a été endommagée par un incendie.  Selon un rapport établi par un expert de Joyal, le feu a pris naissance dans la machine.  La carcasse de la moissonneuse-batteuse a ultérieurement été démantelée et détruite.  L’intimée Axa Assurances Inc. (« Axa ») a indemnisé l’exploitation agricole, son assurée, et a envoyé une dénonciation du vice à Joyal conformément à l’art. 1739 du </w:t>
            </w:r>
            <w:r w:rsidRPr="00163264">
              <w:rPr>
                <w:rFonts w:eastAsia="Calibri"/>
                <w:i/>
                <w:sz w:val="20"/>
                <w:lang w:val="fr-CA"/>
              </w:rPr>
              <w:t>Code civil du Québec</w:t>
            </w:r>
            <w:r w:rsidRPr="00163264">
              <w:rPr>
                <w:rFonts w:eastAsia="Calibri"/>
                <w:sz w:val="20"/>
                <w:lang w:val="fr-CA"/>
              </w:rPr>
              <w:t xml:space="preserve">.  Axa a par la suite intenté une poursuite contre Joyal pour la perte subie, et Joyal a exercé un recours en garantie contre CNH.  Se fondant sur le par. 165(4) du </w:t>
            </w:r>
            <w:r w:rsidRPr="00163264">
              <w:rPr>
                <w:rFonts w:eastAsia="Calibri"/>
                <w:i/>
                <w:sz w:val="20"/>
                <w:lang w:val="fr-CA"/>
              </w:rPr>
              <w:t>Code de procédure civile</w:t>
            </w:r>
            <w:r w:rsidRPr="00163264">
              <w:rPr>
                <w:rFonts w:eastAsia="Calibri"/>
                <w:sz w:val="20"/>
                <w:lang w:val="fr-CA"/>
              </w:rPr>
              <w:t>, CNH a présenté une requête en irrecevabilité du recours en garantie formé par Joyal au motif qu’elle n’avait jamais été informée du vice.  Elle a prétendu également qu’il lui serait impossible de présenter une défense pleine et entière car la carcasse avait été détruite et ne pouvait plus être examinée.  La Cour supérieure a accueilli la requête de CNH.  La Cour d’appel a infirmé cette décision.  À son avis, la dénonciation du vice faite à Joyal valait aussi à l’égard de CNH.</w:t>
            </w:r>
          </w:p>
          <w:p w:rsidR="00F028AB" w:rsidRPr="00163264" w:rsidRDefault="00F028AB" w:rsidP="00E2016D">
            <w:pPr>
              <w:jc w:val="both"/>
              <w:rPr>
                <w:rFonts w:eastAsia="Calibri"/>
                <w:sz w:val="20"/>
                <w:lang w:val="fr-CA"/>
              </w:rPr>
            </w:pPr>
          </w:p>
        </w:tc>
      </w:tr>
      <w:tr w:rsidR="00F028AB" w:rsidRPr="00944C2E" w:rsidTr="00E2016D">
        <w:tc>
          <w:tcPr>
            <w:tcW w:w="2427" w:type="pct"/>
          </w:tcPr>
          <w:p w:rsidR="00F028AB" w:rsidRPr="00163264" w:rsidRDefault="00F028AB" w:rsidP="00E2016D">
            <w:pPr>
              <w:jc w:val="both"/>
              <w:rPr>
                <w:rFonts w:eastAsia="Calibri"/>
                <w:sz w:val="20"/>
                <w:lang w:val="fr-CA"/>
              </w:rPr>
            </w:pPr>
            <w:r w:rsidRPr="00163264">
              <w:rPr>
                <w:rFonts w:eastAsia="Calibri"/>
                <w:sz w:val="20"/>
                <w:lang w:val="fr-CA"/>
              </w:rPr>
              <w:t>14 février 2012</w:t>
            </w:r>
          </w:p>
          <w:p w:rsidR="00F028AB" w:rsidRPr="00163264" w:rsidRDefault="00F028AB" w:rsidP="00E2016D">
            <w:pPr>
              <w:jc w:val="both"/>
              <w:rPr>
                <w:rFonts w:eastAsia="Calibri"/>
                <w:sz w:val="20"/>
                <w:lang w:val="fr-CA"/>
              </w:rPr>
            </w:pPr>
            <w:r w:rsidRPr="00163264">
              <w:rPr>
                <w:rFonts w:eastAsia="Calibri"/>
                <w:sz w:val="20"/>
                <w:lang w:val="fr-CA"/>
              </w:rPr>
              <w:t>Cour supérieure du Québec</w:t>
            </w:r>
          </w:p>
          <w:p w:rsidR="00F028AB" w:rsidRPr="00163264" w:rsidRDefault="00F028AB" w:rsidP="00E2016D">
            <w:pPr>
              <w:jc w:val="both"/>
              <w:rPr>
                <w:rFonts w:eastAsia="Calibri"/>
                <w:sz w:val="20"/>
                <w:lang w:val="fr-CA"/>
              </w:rPr>
            </w:pPr>
            <w:r w:rsidRPr="00163264">
              <w:rPr>
                <w:rFonts w:eastAsia="Calibri"/>
                <w:sz w:val="20"/>
                <w:lang w:val="fr-CA"/>
              </w:rPr>
              <w:t>(Juge Castiglio)</w:t>
            </w:r>
          </w:p>
          <w:p w:rsidR="00F028AB" w:rsidRPr="00163264" w:rsidRDefault="00944C2E" w:rsidP="00E2016D">
            <w:pPr>
              <w:jc w:val="both"/>
              <w:rPr>
                <w:rFonts w:eastAsia="Calibri"/>
                <w:sz w:val="20"/>
                <w:lang w:val="fr-CA"/>
              </w:rPr>
            </w:pPr>
            <w:hyperlink r:id="rId38" w:history="1">
              <w:r w:rsidR="00F028AB" w:rsidRPr="00163264">
                <w:rPr>
                  <w:rFonts w:eastAsia="Calibri"/>
                  <w:color w:val="0000FF"/>
                  <w:sz w:val="20"/>
                  <w:u w:val="single"/>
                  <w:lang w:val="fr-CA"/>
                </w:rPr>
                <w:t>2012 QCCS 476</w:t>
              </w:r>
            </w:hyperlink>
          </w:p>
          <w:p w:rsidR="00F028AB" w:rsidRPr="00163264" w:rsidRDefault="00F028AB" w:rsidP="00E2016D">
            <w:pPr>
              <w:jc w:val="both"/>
              <w:rPr>
                <w:rFonts w:eastAsia="Calibri"/>
                <w:sz w:val="20"/>
                <w:lang w:val="fr-CA"/>
              </w:rPr>
            </w:pPr>
          </w:p>
        </w:tc>
        <w:tc>
          <w:tcPr>
            <w:tcW w:w="243" w:type="pct"/>
          </w:tcPr>
          <w:p w:rsidR="00F028AB" w:rsidRPr="00163264" w:rsidRDefault="00F028AB" w:rsidP="00E2016D">
            <w:pPr>
              <w:jc w:val="both"/>
              <w:rPr>
                <w:rFonts w:eastAsia="Calibri"/>
                <w:sz w:val="20"/>
                <w:lang w:val="fr-CA"/>
              </w:rPr>
            </w:pPr>
          </w:p>
        </w:tc>
        <w:tc>
          <w:tcPr>
            <w:tcW w:w="2330" w:type="pct"/>
          </w:tcPr>
          <w:p w:rsidR="00F028AB" w:rsidRPr="00163264" w:rsidRDefault="00F028AB" w:rsidP="00E2016D">
            <w:pPr>
              <w:jc w:val="both"/>
              <w:rPr>
                <w:rFonts w:eastAsia="Calibri"/>
                <w:sz w:val="20"/>
                <w:lang w:val="fr-CA"/>
              </w:rPr>
            </w:pPr>
            <w:r w:rsidRPr="00163264">
              <w:rPr>
                <w:rFonts w:eastAsia="Calibri"/>
                <w:sz w:val="20"/>
                <w:lang w:val="fr-CA"/>
              </w:rPr>
              <w:t xml:space="preserve">Requête en irrecevabilité fondée sur le par. 165(4) du </w:t>
            </w:r>
            <w:r w:rsidRPr="00163264">
              <w:rPr>
                <w:rFonts w:eastAsia="Calibri"/>
                <w:i/>
                <w:sz w:val="20"/>
                <w:lang w:val="fr-CA"/>
              </w:rPr>
              <w:t>Code de procédure civile</w:t>
            </w:r>
            <w:r w:rsidRPr="00163264">
              <w:rPr>
                <w:rFonts w:eastAsia="Calibri"/>
                <w:sz w:val="20"/>
                <w:lang w:val="fr-CA"/>
              </w:rPr>
              <w:t xml:space="preserve"> accueillie; requête introductive d’instance présentée par l’intimée Claude Joyal rejetée</w:t>
            </w:r>
          </w:p>
          <w:p w:rsidR="00F028AB" w:rsidRPr="00163264" w:rsidRDefault="00F028AB" w:rsidP="00E2016D">
            <w:pPr>
              <w:jc w:val="both"/>
              <w:rPr>
                <w:rFonts w:eastAsia="Calibri"/>
                <w:sz w:val="20"/>
                <w:lang w:val="fr-CA"/>
              </w:rPr>
            </w:pPr>
          </w:p>
        </w:tc>
      </w:tr>
      <w:tr w:rsidR="00F028AB" w:rsidRPr="00163264" w:rsidTr="00E2016D">
        <w:tc>
          <w:tcPr>
            <w:tcW w:w="2427" w:type="pct"/>
          </w:tcPr>
          <w:p w:rsidR="00F028AB" w:rsidRPr="00163264" w:rsidRDefault="00F028AB" w:rsidP="00E2016D">
            <w:pPr>
              <w:jc w:val="both"/>
              <w:rPr>
                <w:rFonts w:eastAsia="Calibri"/>
                <w:sz w:val="20"/>
                <w:lang w:val="fr-CA"/>
              </w:rPr>
            </w:pPr>
            <w:r w:rsidRPr="00163264">
              <w:rPr>
                <w:rFonts w:eastAsia="Calibri"/>
                <w:sz w:val="20"/>
                <w:lang w:val="fr-CA"/>
              </w:rPr>
              <w:t>21 mars 2014</w:t>
            </w:r>
          </w:p>
          <w:p w:rsidR="00F028AB" w:rsidRPr="00163264" w:rsidRDefault="00F028AB" w:rsidP="00E2016D">
            <w:pPr>
              <w:jc w:val="both"/>
              <w:rPr>
                <w:rFonts w:eastAsia="Calibri"/>
                <w:sz w:val="20"/>
                <w:lang w:val="fr-CA"/>
              </w:rPr>
            </w:pPr>
            <w:r w:rsidRPr="00163264">
              <w:rPr>
                <w:rFonts w:eastAsia="Calibri"/>
                <w:sz w:val="20"/>
                <w:lang w:val="fr-CA"/>
              </w:rPr>
              <w:t>Cour d’appel du Québec (Montréal)</w:t>
            </w:r>
          </w:p>
          <w:p w:rsidR="00F028AB" w:rsidRPr="00163264" w:rsidRDefault="00F028AB" w:rsidP="00E2016D">
            <w:pPr>
              <w:jc w:val="both"/>
              <w:rPr>
                <w:rFonts w:eastAsia="Calibri"/>
                <w:sz w:val="20"/>
                <w:lang w:val="fr-CA"/>
              </w:rPr>
            </w:pPr>
            <w:r w:rsidRPr="00163264">
              <w:rPr>
                <w:rFonts w:eastAsia="Calibri"/>
                <w:sz w:val="20"/>
                <w:lang w:val="fr-CA"/>
              </w:rPr>
              <w:t>(Juges Dalphond, Dutil et Bich)</w:t>
            </w:r>
          </w:p>
          <w:p w:rsidR="00F028AB" w:rsidRPr="00163264" w:rsidRDefault="00944C2E" w:rsidP="00E2016D">
            <w:pPr>
              <w:jc w:val="both"/>
              <w:rPr>
                <w:rFonts w:eastAsia="Calibri"/>
                <w:sz w:val="20"/>
                <w:lang w:val="fr-CA"/>
              </w:rPr>
            </w:pPr>
            <w:hyperlink r:id="rId39" w:history="1">
              <w:r w:rsidR="00F028AB" w:rsidRPr="00163264">
                <w:rPr>
                  <w:rFonts w:eastAsia="Calibri"/>
                  <w:color w:val="0000FF"/>
                  <w:sz w:val="20"/>
                  <w:u w:val="single"/>
                  <w:lang w:val="fr-CA"/>
                </w:rPr>
                <w:t>2014 QCCA 588</w:t>
              </w:r>
            </w:hyperlink>
          </w:p>
          <w:p w:rsidR="00F028AB" w:rsidRPr="00163264" w:rsidRDefault="00F028AB" w:rsidP="00E2016D">
            <w:pPr>
              <w:jc w:val="both"/>
              <w:rPr>
                <w:rFonts w:eastAsia="Calibri"/>
                <w:sz w:val="20"/>
                <w:lang w:val="fr-CA"/>
              </w:rPr>
            </w:pPr>
          </w:p>
        </w:tc>
        <w:tc>
          <w:tcPr>
            <w:tcW w:w="243" w:type="pct"/>
          </w:tcPr>
          <w:p w:rsidR="00F028AB" w:rsidRPr="00163264" w:rsidRDefault="00F028AB" w:rsidP="00E2016D">
            <w:pPr>
              <w:jc w:val="both"/>
              <w:rPr>
                <w:rFonts w:eastAsia="Calibri"/>
                <w:sz w:val="20"/>
                <w:lang w:val="fr-CA"/>
              </w:rPr>
            </w:pPr>
          </w:p>
        </w:tc>
        <w:tc>
          <w:tcPr>
            <w:tcW w:w="2330" w:type="pct"/>
          </w:tcPr>
          <w:p w:rsidR="00F028AB" w:rsidRPr="00163264" w:rsidRDefault="00F028AB" w:rsidP="00E2016D">
            <w:pPr>
              <w:jc w:val="both"/>
              <w:rPr>
                <w:rFonts w:eastAsia="Calibri"/>
                <w:sz w:val="20"/>
                <w:lang w:val="fr-CA"/>
              </w:rPr>
            </w:pPr>
            <w:r w:rsidRPr="00163264">
              <w:rPr>
                <w:rFonts w:eastAsia="Calibri"/>
                <w:sz w:val="20"/>
                <w:lang w:val="fr-CA"/>
              </w:rPr>
              <w:t>Appel accueilli</w:t>
            </w:r>
          </w:p>
          <w:p w:rsidR="00F028AB" w:rsidRPr="00163264" w:rsidRDefault="00F028AB" w:rsidP="00E2016D">
            <w:pPr>
              <w:jc w:val="both"/>
              <w:rPr>
                <w:rFonts w:eastAsia="Calibri"/>
                <w:sz w:val="20"/>
                <w:lang w:val="fr-CA"/>
              </w:rPr>
            </w:pPr>
          </w:p>
        </w:tc>
      </w:tr>
      <w:tr w:rsidR="00F028AB" w:rsidRPr="00163264" w:rsidTr="00E2016D">
        <w:tc>
          <w:tcPr>
            <w:tcW w:w="2427" w:type="pct"/>
          </w:tcPr>
          <w:p w:rsidR="00F028AB" w:rsidRPr="00163264" w:rsidRDefault="00F028AB" w:rsidP="00E2016D">
            <w:pPr>
              <w:jc w:val="both"/>
              <w:rPr>
                <w:rFonts w:eastAsia="Calibri"/>
                <w:sz w:val="20"/>
                <w:lang w:val="fr-CA"/>
              </w:rPr>
            </w:pPr>
            <w:r w:rsidRPr="00163264">
              <w:rPr>
                <w:rFonts w:eastAsia="Calibri"/>
                <w:sz w:val="20"/>
                <w:lang w:val="fr-CA"/>
              </w:rPr>
              <w:t>5 mai 2014</w:t>
            </w:r>
          </w:p>
          <w:p w:rsidR="00F028AB" w:rsidRPr="00163264" w:rsidRDefault="00F028AB" w:rsidP="00E2016D">
            <w:pPr>
              <w:jc w:val="both"/>
              <w:rPr>
                <w:rFonts w:eastAsia="Calibri"/>
                <w:sz w:val="20"/>
                <w:lang w:val="fr-CA"/>
              </w:rPr>
            </w:pPr>
            <w:r w:rsidRPr="00163264">
              <w:rPr>
                <w:rFonts w:eastAsia="Calibri"/>
                <w:sz w:val="20"/>
                <w:lang w:val="fr-CA"/>
              </w:rPr>
              <w:t>Cour suprême du Canada</w:t>
            </w:r>
          </w:p>
        </w:tc>
        <w:tc>
          <w:tcPr>
            <w:tcW w:w="243" w:type="pct"/>
          </w:tcPr>
          <w:p w:rsidR="00F028AB" w:rsidRPr="00163264" w:rsidRDefault="00F028AB" w:rsidP="00E2016D">
            <w:pPr>
              <w:jc w:val="both"/>
              <w:rPr>
                <w:rFonts w:eastAsia="Calibri"/>
                <w:sz w:val="20"/>
                <w:lang w:val="fr-CA"/>
              </w:rPr>
            </w:pPr>
          </w:p>
        </w:tc>
        <w:tc>
          <w:tcPr>
            <w:tcW w:w="2330" w:type="pct"/>
          </w:tcPr>
          <w:p w:rsidR="00F028AB" w:rsidRPr="00163264" w:rsidRDefault="00F028AB" w:rsidP="00E2016D">
            <w:pPr>
              <w:jc w:val="both"/>
              <w:rPr>
                <w:rFonts w:eastAsia="Calibri"/>
                <w:sz w:val="20"/>
                <w:lang w:val="fr-CA"/>
              </w:rPr>
            </w:pPr>
            <w:r w:rsidRPr="00163264">
              <w:rPr>
                <w:rFonts w:eastAsia="Calibri"/>
                <w:sz w:val="20"/>
                <w:lang w:val="fr-CA"/>
              </w:rPr>
              <w:t xml:space="preserve">Demande d’autorisation d’appel déposée </w:t>
            </w:r>
          </w:p>
        </w:tc>
      </w:tr>
    </w:tbl>
    <w:p w:rsidR="00965AE9" w:rsidRPr="00965AE9" w:rsidRDefault="00965AE9" w:rsidP="00965AE9">
      <w:pPr>
        <w:rPr>
          <w:sz w:val="20"/>
          <w:szCs w:val="20"/>
          <w:lang w:val="fr-CA"/>
        </w:rPr>
      </w:pPr>
    </w:p>
    <w:p w:rsidR="00965AE9" w:rsidRDefault="00944C2E" w:rsidP="00965AE9">
      <w:pPr>
        <w:rPr>
          <w:sz w:val="20"/>
          <w:szCs w:val="20"/>
          <w:lang w:val="fr-CA"/>
        </w:rPr>
      </w:pPr>
      <w:r>
        <w:rPr>
          <w:sz w:val="20"/>
          <w:szCs w:val="20"/>
          <w:lang w:val="fr-CA"/>
        </w:rPr>
        <w:pict>
          <v:rect id="_x0000_i1056" style="width:2in;height:1pt" o:hrpct="0" o:hralign="center" o:hrstd="t" o:hrnoshade="t" o:hr="t" fillcolor="black [3213]" stroked="f"/>
        </w:pict>
      </w:r>
    </w:p>
    <w:p w:rsidR="00A0198D" w:rsidRDefault="00A0198D">
      <w:pPr>
        <w:rPr>
          <w:sz w:val="20"/>
          <w:szCs w:val="20"/>
          <w:lang w:val="fr-CA"/>
        </w:rPr>
      </w:pPr>
    </w:p>
    <w:p w:rsidR="00A0198D" w:rsidRDefault="00A0198D">
      <w:pPr>
        <w:rPr>
          <w:sz w:val="20"/>
          <w:szCs w:val="20"/>
          <w:lang w:val="fr-CA"/>
        </w:rPr>
      </w:pPr>
      <w:r>
        <w:rPr>
          <w:sz w:val="20"/>
          <w:szCs w:val="20"/>
          <w:lang w:val="fr-CA"/>
        </w:rPr>
        <w:br w:type="page"/>
      </w: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5501D" w:rsidRPr="00A5501D" w:rsidTr="00A5501D">
        <w:trPr>
          <w:cantSplit/>
        </w:trPr>
        <w:tc>
          <w:tcPr>
            <w:tcW w:w="1458" w:type="dxa"/>
          </w:tcPr>
          <w:p w:rsidR="00A5501D" w:rsidRPr="00A5501D" w:rsidRDefault="00A5501D" w:rsidP="00A5501D">
            <w:pPr>
              <w:rPr>
                <w:sz w:val="20"/>
              </w:rPr>
            </w:pPr>
            <w:r w:rsidRPr="00A5501D">
              <w:rPr>
                <w:b/>
                <w:sz w:val="20"/>
                <w:lang w:val="fr-CA"/>
              </w:rPr>
              <w:lastRenderedPageBreak/>
              <w:t>35878</w:t>
            </w:r>
          </w:p>
          <w:p w:rsidR="00A5501D" w:rsidRPr="00A5501D" w:rsidRDefault="00A5501D" w:rsidP="00A5501D">
            <w:pPr>
              <w:rPr>
                <w:b/>
                <w:sz w:val="20"/>
                <w:lang w:val="fr-CA"/>
              </w:rPr>
            </w:pPr>
          </w:p>
        </w:tc>
        <w:tc>
          <w:tcPr>
            <w:tcW w:w="8118" w:type="dxa"/>
          </w:tcPr>
          <w:p w:rsidR="00A5501D" w:rsidRPr="00A5501D" w:rsidRDefault="00A5501D" w:rsidP="00A5501D">
            <w:pPr>
              <w:rPr>
                <w:sz w:val="20"/>
              </w:rPr>
            </w:pPr>
            <w:r w:rsidRPr="00A5501D">
              <w:rPr>
                <w:b/>
                <w:sz w:val="20"/>
                <w:u w:val="single"/>
              </w:rPr>
              <w:t>Roland Lovas v. Her Majesty the Queen</w:t>
            </w:r>
            <w:r w:rsidRPr="00A5501D">
              <w:rPr>
                <w:sz w:val="20"/>
              </w:rPr>
              <w:t xml:space="preserve"> (Ont.) (Criminal) (By Leave)</w:t>
            </w:r>
          </w:p>
          <w:p w:rsidR="00A5501D" w:rsidRPr="00A5501D" w:rsidRDefault="00A5501D" w:rsidP="00A5501D">
            <w:pPr>
              <w:rPr>
                <w:sz w:val="20"/>
              </w:rPr>
            </w:pPr>
          </w:p>
        </w:tc>
      </w:tr>
      <w:tr w:rsidR="00A5501D" w:rsidRPr="00A5501D" w:rsidTr="00A5501D">
        <w:trPr>
          <w:cantSplit/>
        </w:trPr>
        <w:tc>
          <w:tcPr>
            <w:tcW w:w="1458" w:type="dxa"/>
          </w:tcPr>
          <w:p w:rsidR="00A5501D" w:rsidRPr="00A5501D" w:rsidRDefault="00A5501D" w:rsidP="00A5501D">
            <w:pPr>
              <w:rPr>
                <w:sz w:val="20"/>
              </w:rPr>
            </w:pPr>
            <w:r w:rsidRPr="00A5501D">
              <w:rPr>
                <w:sz w:val="20"/>
              </w:rPr>
              <w:t>Coram :</w:t>
            </w:r>
          </w:p>
        </w:tc>
        <w:tc>
          <w:tcPr>
            <w:tcW w:w="8118" w:type="dxa"/>
          </w:tcPr>
          <w:p w:rsidR="00A5501D" w:rsidRPr="00A5501D" w:rsidRDefault="00A5501D" w:rsidP="00A5501D">
            <w:pPr>
              <w:rPr>
                <w:sz w:val="20"/>
              </w:rPr>
            </w:pPr>
            <w:r w:rsidRPr="00A5501D">
              <w:rPr>
                <w:sz w:val="20"/>
                <w:u w:val="single"/>
              </w:rPr>
              <w:t>Abella, Rothstein and Moldaver JJ.</w:t>
            </w:r>
          </w:p>
          <w:p w:rsidR="00A5501D" w:rsidRPr="00A5501D" w:rsidRDefault="00A5501D" w:rsidP="00A5501D">
            <w:pPr>
              <w:rPr>
                <w:sz w:val="20"/>
                <w:u w:val="single"/>
              </w:rPr>
            </w:pPr>
          </w:p>
        </w:tc>
      </w:tr>
      <w:tr w:rsidR="00A5501D" w:rsidRPr="00944C2E" w:rsidTr="00A5501D">
        <w:trPr>
          <w:cantSplit/>
        </w:trPr>
        <w:tc>
          <w:tcPr>
            <w:tcW w:w="9576" w:type="dxa"/>
            <w:gridSpan w:val="2"/>
          </w:tcPr>
          <w:p w:rsidR="00A5501D" w:rsidRPr="00A5501D" w:rsidRDefault="00A5501D" w:rsidP="00A5501D">
            <w:pPr>
              <w:ind w:firstLine="720"/>
              <w:jc w:val="both"/>
              <w:rPr>
                <w:sz w:val="20"/>
              </w:rPr>
            </w:pPr>
            <w:r w:rsidRPr="00A5501D">
              <w:rPr>
                <w:sz w:val="20"/>
              </w:rPr>
              <w:t>The motion to expedite the motion for a stay of execution is dismissed. The motion for a stay of execution and the application for leave to appeal from the judgment of the Court of Appeal for Ontario, Number C56981, dated March 10, 2014, are dismissed without costs.</w:t>
            </w:r>
          </w:p>
          <w:p w:rsidR="00A5501D" w:rsidRPr="00A5501D" w:rsidRDefault="00A5501D" w:rsidP="00A5501D">
            <w:pPr>
              <w:jc w:val="both"/>
              <w:rPr>
                <w:sz w:val="20"/>
              </w:rPr>
            </w:pPr>
          </w:p>
          <w:p w:rsidR="00A5501D" w:rsidRPr="00A5501D" w:rsidRDefault="00A5501D" w:rsidP="00576B07">
            <w:pPr>
              <w:ind w:firstLine="720"/>
              <w:jc w:val="both"/>
              <w:rPr>
                <w:sz w:val="20"/>
                <w:lang w:val="fr-CA"/>
              </w:rPr>
            </w:pPr>
            <w:r w:rsidRPr="00A5501D">
              <w:rPr>
                <w:sz w:val="20"/>
                <w:lang w:val="fr-CA"/>
              </w:rPr>
              <w:t>La requête visant à accélérer la procédure de la requête en sursis d’exécution est rejetée.  La requête en sursis d’exécution et la demande d’autorisation d’appel de l’arrêt de la Cour d’appel de l’Ontario, numéro C56981, daté du 10 mars 2014, sont rejetées sans dépens.</w:t>
            </w:r>
          </w:p>
        </w:tc>
      </w:tr>
    </w:tbl>
    <w:p w:rsidR="00965AE9" w:rsidRPr="00965AE9" w:rsidRDefault="00965AE9" w:rsidP="00965AE9">
      <w:pPr>
        <w:rPr>
          <w:sz w:val="20"/>
          <w:szCs w:val="20"/>
          <w:lang w:val="fr-CA"/>
        </w:rPr>
      </w:pPr>
    </w:p>
    <w:p w:rsidR="00965AE9" w:rsidRPr="001B157C" w:rsidRDefault="00965AE9" w:rsidP="00965AE9">
      <w:pPr>
        <w:rPr>
          <w:sz w:val="20"/>
          <w:szCs w:val="20"/>
          <w:u w:val="single"/>
        </w:rPr>
      </w:pPr>
      <w:r w:rsidRPr="001B157C">
        <w:rPr>
          <w:sz w:val="20"/>
          <w:szCs w:val="20"/>
          <w:u w:val="single"/>
        </w:rPr>
        <w:t>CASE SUMMARY</w:t>
      </w:r>
    </w:p>
    <w:p w:rsidR="00965AE9" w:rsidRDefault="00965AE9" w:rsidP="00965AE9">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528CB" w:rsidRPr="00163264" w:rsidTr="00E2016D">
        <w:tc>
          <w:tcPr>
            <w:tcW w:w="5000" w:type="pct"/>
            <w:gridSpan w:val="3"/>
          </w:tcPr>
          <w:p w:rsidR="003528CB" w:rsidRPr="00163264" w:rsidRDefault="003528CB" w:rsidP="00E2016D">
            <w:pPr>
              <w:jc w:val="both"/>
              <w:rPr>
                <w:rFonts w:eastAsia="Calibri"/>
                <w:smallCaps/>
                <w:sz w:val="20"/>
              </w:rPr>
            </w:pPr>
            <w:r w:rsidRPr="00163264">
              <w:rPr>
                <w:rFonts w:eastAsia="Calibri"/>
                <w:sz w:val="20"/>
              </w:rPr>
              <w:t>Criminal law — Reasonable verdict — Applicant convicted of dangerous driving — Trial judge  finding testimony of police officer more credible than that of applicant — Summary conviction appeal dismissed — Whether Court of Appeal erred in dismissing application for leave to appeal from decision of summary conviction appeal judge?</w:t>
            </w:r>
          </w:p>
        </w:tc>
      </w:tr>
      <w:tr w:rsidR="003528CB" w:rsidRPr="00163264" w:rsidTr="00E2016D">
        <w:tc>
          <w:tcPr>
            <w:tcW w:w="5000" w:type="pct"/>
            <w:gridSpan w:val="3"/>
          </w:tcPr>
          <w:p w:rsidR="003528CB" w:rsidRPr="00163264" w:rsidRDefault="003528CB" w:rsidP="00E2016D">
            <w:pPr>
              <w:jc w:val="both"/>
              <w:rPr>
                <w:rFonts w:eastAsia="Calibri"/>
                <w:sz w:val="20"/>
              </w:rPr>
            </w:pPr>
          </w:p>
        </w:tc>
      </w:tr>
      <w:tr w:rsidR="003528CB" w:rsidRPr="00163264" w:rsidTr="00E2016D">
        <w:tc>
          <w:tcPr>
            <w:tcW w:w="5000" w:type="pct"/>
            <w:gridSpan w:val="3"/>
          </w:tcPr>
          <w:p w:rsidR="003528CB" w:rsidRPr="00163264" w:rsidRDefault="003528CB" w:rsidP="00E2016D">
            <w:pPr>
              <w:jc w:val="both"/>
              <w:rPr>
                <w:rFonts w:eastAsia="Calibri"/>
                <w:sz w:val="20"/>
              </w:rPr>
            </w:pPr>
            <w:r w:rsidRPr="00163264">
              <w:rPr>
                <w:rFonts w:eastAsia="Calibri"/>
                <w:sz w:val="20"/>
              </w:rPr>
              <w:t xml:space="preserve">The applicant was charged with dangerous driving contrary to s. 249(1) of the </w:t>
            </w:r>
            <w:r w:rsidRPr="00163264">
              <w:rPr>
                <w:rFonts w:eastAsia="Calibri"/>
                <w:i/>
                <w:sz w:val="20"/>
              </w:rPr>
              <w:t>Criminal Code</w:t>
            </w:r>
            <w:r w:rsidRPr="00163264">
              <w:rPr>
                <w:rFonts w:eastAsia="Calibri"/>
                <w:sz w:val="20"/>
              </w:rPr>
              <w:t xml:space="preserve">.  At the applicant’s summary conviction trial, his evidence and that the arresting officer was contradictory in many respects. </w:t>
            </w:r>
          </w:p>
          <w:p w:rsidR="003528CB" w:rsidRPr="00163264" w:rsidRDefault="003528CB" w:rsidP="00E2016D">
            <w:pPr>
              <w:jc w:val="both"/>
              <w:rPr>
                <w:rFonts w:eastAsia="Calibri"/>
                <w:sz w:val="20"/>
              </w:rPr>
            </w:pPr>
          </w:p>
          <w:p w:rsidR="003528CB" w:rsidRPr="00163264" w:rsidRDefault="003528CB" w:rsidP="00E2016D">
            <w:pPr>
              <w:jc w:val="both"/>
              <w:rPr>
                <w:rFonts w:eastAsia="Calibri"/>
                <w:sz w:val="20"/>
              </w:rPr>
            </w:pPr>
            <w:r w:rsidRPr="00163264">
              <w:rPr>
                <w:rFonts w:eastAsia="Calibri"/>
                <w:sz w:val="20"/>
              </w:rPr>
              <w:t xml:space="preserve">According to the police officer, the applicant had been driving on the wrong side of the road while talking on his cell phone.  The officer testified that when he attempted to get the applicant to stop, the applicant accelerated away through a busy parking lot.  In his testimony, the applicant denied that he drove on the wrong side of the road and claimed to have had his cell phone in his hand only briefly in order to answer a call so as to tell the caller to call him later. He denied accelerating away, claiming instead to have driven at a safe speed through what he described as parking lot devoid of pedestrians and moving cars. </w:t>
            </w:r>
          </w:p>
          <w:p w:rsidR="003528CB" w:rsidRPr="00163264" w:rsidRDefault="003528CB" w:rsidP="00E2016D">
            <w:pPr>
              <w:jc w:val="both"/>
              <w:rPr>
                <w:rFonts w:eastAsia="Calibri"/>
                <w:sz w:val="20"/>
              </w:rPr>
            </w:pPr>
          </w:p>
          <w:p w:rsidR="003528CB" w:rsidRPr="00163264" w:rsidRDefault="003528CB" w:rsidP="00E2016D">
            <w:pPr>
              <w:jc w:val="both"/>
              <w:rPr>
                <w:rFonts w:eastAsia="Calibri"/>
                <w:sz w:val="20"/>
              </w:rPr>
            </w:pPr>
            <w:r w:rsidRPr="00163264">
              <w:rPr>
                <w:rFonts w:eastAsia="Calibri"/>
                <w:sz w:val="20"/>
              </w:rPr>
              <w:t xml:space="preserve">The trial judge found the officer’s evidence to be credible and disbelieved the applicant’s evidence.  The applicant was convicted of dangerous driving and sentenced to one year of probation.  Pursuant to the </w:t>
            </w:r>
            <w:r w:rsidRPr="00163264">
              <w:rPr>
                <w:rFonts w:eastAsia="Calibri"/>
                <w:i/>
                <w:sz w:val="20"/>
              </w:rPr>
              <w:t>Highway Traffic Act</w:t>
            </w:r>
            <w:r w:rsidRPr="00163264">
              <w:rPr>
                <w:rFonts w:eastAsia="Calibri"/>
                <w:sz w:val="20"/>
              </w:rPr>
              <w:t xml:space="preserve">, R.S.O. 1990, c. H.8, the applicant’s driver’s licence was suspended. </w:t>
            </w:r>
          </w:p>
          <w:p w:rsidR="003528CB" w:rsidRPr="00163264" w:rsidRDefault="003528CB" w:rsidP="00E2016D">
            <w:pPr>
              <w:jc w:val="both"/>
              <w:rPr>
                <w:rFonts w:eastAsia="Calibri"/>
                <w:sz w:val="20"/>
              </w:rPr>
            </w:pPr>
          </w:p>
        </w:tc>
      </w:tr>
      <w:tr w:rsidR="003528CB" w:rsidRPr="00163264" w:rsidTr="00E2016D">
        <w:tc>
          <w:tcPr>
            <w:tcW w:w="2427" w:type="pct"/>
          </w:tcPr>
          <w:p w:rsidR="003528CB" w:rsidRPr="00163264" w:rsidRDefault="003528CB" w:rsidP="00E2016D">
            <w:pPr>
              <w:jc w:val="both"/>
              <w:rPr>
                <w:rFonts w:eastAsia="Calibri"/>
                <w:sz w:val="20"/>
              </w:rPr>
            </w:pPr>
            <w:r w:rsidRPr="00163264">
              <w:rPr>
                <w:rFonts w:eastAsia="Calibri"/>
                <w:sz w:val="20"/>
              </w:rPr>
              <w:t xml:space="preserve">July 18, 2011 </w:t>
            </w:r>
          </w:p>
          <w:p w:rsidR="003528CB" w:rsidRPr="00163264" w:rsidRDefault="003528CB" w:rsidP="00E2016D">
            <w:pPr>
              <w:jc w:val="both"/>
              <w:rPr>
                <w:rFonts w:eastAsia="Calibri"/>
                <w:sz w:val="20"/>
              </w:rPr>
            </w:pPr>
            <w:r w:rsidRPr="00163264">
              <w:rPr>
                <w:rFonts w:eastAsia="Calibri"/>
                <w:sz w:val="20"/>
              </w:rPr>
              <w:t>Ontario Court of Justice</w:t>
            </w:r>
          </w:p>
          <w:p w:rsidR="003528CB" w:rsidRPr="00163264" w:rsidRDefault="003528CB" w:rsidP="00E2016D">
            <w:pPr>
              <w:jc w:val="both"/>
              <w:rPr>
                <w:rFonts w:eastAsia="Calibri"/>
                <w:sz w:val="20"/>
              </w:rPr>
            </w:pPr>
            <w:r w:rsidRPr="00163264">
              <w:rPr>
                <w:rFonts w:eastAsia="Calibri"/>
                <w:sz w:val="20"/>
              </w:rPr>
              <w:t>(Brownridge J.)</w:t>
            </w:r>
          </w:p>
          <w:p w:rsidR="003528CB" w:rsidRPr="00163264" w:rsidRDefault="003528CB" w:rsidP="00E2016D">
            <w:pPr>
              <w:jc w:val="both"/>
              <w:rPr>
                <w:rFonts w:eastAsia="Calibri"/>
                <w:sz w:val="20"/>
              </w:rPr>
            </w:pPr>
          </w:p>
        </w:tc>
        <w:tc>
          <w:tcPr>
            <w:tcW w:w="243" w:type="pct"/>
          </w:tcPr>
          <w:p w:rsidR="003528CB" w:rsidRPr="00163264" w:rsidRDefault="003528CB" w:rsidP="00E2016D">
            <w:pPr>
              <w:jc w:val="both"/>
              <w:rPr>
                <w:rFonts w:eastAsia="Calibri"/>
                <w:sz w:val="20"/>
              </w:rPr>
            </w:pPr>
          </w:p>
        </w:tc>
        <w:tc>
          <w:tcPr>
            <w:tcW w:w="2330" w:type="pct"/>
          </w:tcPr>
          <w:p w:rsidR="003528CB" w:rsidRPr="00163264" w:rsidRDefault="003528CB" w:rsidP="00E2016D">
            <w:pPr>
              <w:jc w:val="both"/>
              <w:rPr>
                <w:rFonts w:eastAsia="Calibri"/>
                <w:sz w:val="20"/>
              </w:rPr>
            </w:pPr>
            <w:r w:rsidRPr="00163264">
              <w:rPr>
                <w:rFonts w:eastAsia="Calibri"/>
                <w:sz w:val="20"/>
              </w:rPr>
              <w:t xml:space="preserve">Applicant convicted of dangerous driving contrary to s. 249(1) of the </w:t>
            </w:r>
            <w:r w:rsidRPr="00163264">
              <w:rPr>
                <w:rFonts w:eastAsia="Calibri"/>
                <w:i/>
                <w:sz w:val="20"/>
              </w:rPr>
              <w:t>Criminal Code</w:t>
            </w:r>
            <w:r w:rsidRPr="00163264">
              <w:rPr>
                <w:rFonts w:eastAsia="Calibri"/>
                <w:sz w:val="20"/>
              </w:rPr>
              <w:t xml:space="preserve"> and sentenced to one year of probation</w:t>
            </w:r>
          </w:p>
          <w:p w:rsidR="003528CB" w:rsidRPr="00163264" w:rsidRDefault="003528CB" w:rsidP="00E2016D">
            <w:pPr>
              <w:jc w:val="both"/>
              <w:rPr>
                <w:rFonts w:eastAsia="Calibri"/>
                <w:sz w:val="20"/>
              </w:rPr>
            </w:pPr>
          </w:p>
        </w:tc>
      </w:tr>
      <w:tr w:rsidR="003528CB" w:rsidRPr="00163264" w:rsidTr="00E2016D">
        <w:tc>
          <w:tcPr>
            <w:tcW w:w="2427" w:type="pct"/>
          </w:tcPr>
          <w:p w:rsidR="003528CB" w:rsidRPr="00163264" w:rsidRDefault="003528CB" w:rsidP="00E2016D">
            <w:pPr>
              <w:jc w:val="both"/>
              <w:rPr>
                <w:rFonts w:eastAsia="Calibri"/>
                <w:sz w:val="20"/>
              </w:rPr>
            </w:pPr>
            <w:r w:rsidRPr="00163264">
              <w:rPr>
                <w:rFonts w:eastAsia="Calibri"/>
                <w:sz w:val="20"/>
              </w:rPr>
              <w:t>April 9, 2013</w:t>
            </w:r>
          </w:p>
          <w:p w:rsidR="003528CB" w:rsidRPr="00163264" w:rsidRDefault="003528CB" w:rsidP="00E2016D">
            <w:pPr>
              <w:jc w:val="both"/>
              <w:rPr>
                <w:rFonts w:eastAsia="Calibri"/>
                <w:sz w:val="20"/>
              </w:rPr>
            </w:pPr>
            <w:r w:rsidRPr="00163264">
              <w:rPr>
                <w:rFonts w:eastAsia="Calibri"/>
                <w:sz w:val="20"/>
              </w:rPr>
              <w:t>Ontario Superior Court of Justice</w:t>
            </w:r>
          </w:p>
          <w:p w:rsidR="003528CB" w:rsidRPr="00163264" w:rsidRDefault="003528CB" w:rsidP="00E2016D">
            <w:pPr>
              <w:jc w:val="both"/>
              <w:rPr>
                <w:rFonts w:eastAsia="Calibri"/>
                <w:sz w:val="20"/>
              </w:rPr>
            </w:pPr>
            <w:r w:rsidRPr="00163264">
              <w:rPr>
                <w:rFonts w:eastAsia="Calibri"/>
                <w:sz w:val="20"/>
              </w:rPr>
              <w:t>(Durno J.)</w:t>
            </w:r>
          </w:p>
          <w:p w:rsidR="003528CB" w:rsidRPr="00163264" w:rsidRDefault="003528CB" w:rsidP="00E2016D">
            <w:pPr>
              <w:jc w:val="both"/>
              <w:rPr>
                <w:rFonts w:eastAsia="Calibri"/>
                <w:sz w:val="20"/>
              </w:rPr>
            </w:pPr>
            <w:r w:rsidRPr="00163264">
              <w:rPr>
                <w:rFonts w:eastAsia="Calibri"/>
                <w:sz w:val="20"/>
              </w:rPr>
              <w:t>2013 ONSC 1932</w:t>
            </w:r>
          </w:p>
          <w:p w:rsidR="003528CB" w:rsidRPr="00163264" w:rsidRDefault="003528CB" w:rsidP="00E2016D">
            <w:pPr>
              <w:jc w:val="both"/>
              <w:rPr>
                <w:rFonts w:eastAsia="Calibri"/>
                <w:sz w:val="20"/>
                <w:highlight w:val="yellow"/>
              </w:rPr>
            </w:pPr>
          </w:p>
        </w:tc>
        <w:tc>
          <w:tcPr>
            <w:tcW w:w="243" w:type="pct"/>
          </w:tcPr>
          <w:p w:rsidR="003528CB" w:rsidRPr="00163264" w:rsidRDefault="003528CB" w:rsidP="00E2016D">
            <w:pPr>
              <w:jc w:val="both"/>
              <w:rPr>
                <w:rFonts w:eastAsia="Calibri"/>
                <w:sz w:val="20"/>
              </w:rPr>
            </w:pPr>
          </w:p>
        </w:tc>
        <w:tc>
          <w:tcPr>
            <w:tcW w:w="2330" w:type="pct"/>
          </w:tcPr>
          <w:p w:rsidR="003528CB" w:rsidRPr="00163264" w:rsidRDefault="003528CB" w:rsidP="00E2016D">
            <w:pPr>
              <w:jc w:val="both"/>
              <w:rPr>
                <w:rFonts w:eastAsia="Calibri"/>
                <w:sz w:val="20"/>
              </w:rPr>
            </w:pPr>
            <w:r w:rsidRPr="00163264">
              <w:rPr>
                <w:rFonts w:eastAsia="Calibri"/>
                <w:sz w:val="20"/>
              </w:rPr>
              <w:t>Summary conviction appeal dismissed</w:t>
            </w:r>
          </w:p>
        </w:tc>
      </w:tr>
      <w:tr w:rsidR="003528CB" w:rsidRPr="00163264" w:rsidTr="00E2016D">
        <w:tc>
          <w:tcPr>
            <w:tcW w:w="2427" w:type="pct"/>
          </w:tcPr>
          <w:p w:rsidR="003528CB" w:rsidRPr="00163264" w:rsidRDefault="003528CB" w:rsidP="00E2016D">
            <w:pPr>
              <w:jc w:val="both"/>
              <w:rPr>
                <w:rFonts w:eastAsia="Calibri"/>
                <w:sz w:val="20"/>
              </w:rPr>
            </w:pPr>
            <w:r w:rsidRPr="00163264">
              <w:rPr>
                <w:rFonts w:eastAsia="Calibri"/>
                <w:sz w:val="20"/>
              </w:rPr>
              <w:t>March 10, 2014</w:t>
            </w:r>
          </w:p>
          <w:p w:rsidR="003528CB" w:rsidRPr="00163264" w:rsidRDefault="003528CB" w:rsidP="00E2016D">
            <w:pPr>
              <w:jc w:val="both"/>
              <w:rPr>
                <w:rFonts w:eastAsia="Calibri"/>
                <w:sz w:val="20"/>
              </w:rPr>
            </w:pPr>
            <w:r w:rsidRPr="00163264">
              <w:rPr>
                <w:rFonts w:eastAsia="Calibri"/>
                <w:sz w:val="20"/>
              </w:rPr>
              <w:t>Court of Appeal for Ontario</w:t>
            </w:r>
          </w:p>
          <w:p w:rsidR="003528CB" w:rsidRPr="00163264" w:rsidRDefault="003528CB" w:rsidP="00E2016D">
            <w:pPr>
              <w:jc w:val="both"/>
              <w:rPr>
                <w:rFonts w:eastAsia="Calibri"/>
                <w:sz w:val="20"/>
              </w:rPr>
            </w:pPr>
            <w:r w:rsidRPr="00163264">
              <w:rPr>
                <w:rFonts w:eastAsia="Calibri"/>
                <w:sz w:val="20"/>
              </w:rPr>
              <w:t>(Sharpe, Gillese and Rouleau JJ.A.)</w:t>
            </w:r>
          </w:p>
          <w:p w:rsidR="003528CB" w:rsidRPr="00163264" w:rsidRDefault="003528CB" w:rsidP="00E2016D">
            <w:pPr>
              <w:jc w:val="both"/>
              <w:rPr>
                <w:rFonts w:eastAsia="Calibri"/>
                <w:sz w:val="20"/>
              </w:rPr>
            </w:pPr>
            <w:r w:rsidRPr="00163264">
              <w:rPr>
                <w:rFonts w:eastAsia="Calibri"/>
                <w:sz w:val="20"/>
              </w:rPr>
              <w:t>Court file No.  C56981</w:t>
            </w:r>
          </w:p>
          <w:p w:rsidR="003528CB" w:rsidRPr="00163264" w:rsidRDefault="003528CB" w:rsidP="00E2016D">
            <w:pPr>
              <w:jc w:val="both"/>
              <w:rPr>
                <w:rFonts w:eastAsia="Calibri"/>
                <w:sz w:val="20"/>
              </w:rPr>
            </w:pPr>
          </w:p>
        </w:tc>
        <w:tc>
          <w:tcPr>
            <w:tcW w:w="243" w:type="pct"/>
          </w:tcPr>
          <w:p w:rsidR="003528CB" w:rsidRPr="00163264" w:rsidRDefault="003528CB" w:rsidP="00E2016D">
            <w:pPr>
              <w:jc w:val="both"/>
              <w:rPr>
                <w:rFonts w:eastAsia="Calibri"/>
                <w:sz w:val="20"/>
              </w:rPr>
            </w:pPr>
          </w:p>
        </w:tc>
        <w:tc>
          <w:tcPr>
            <w:tcW w:w="2330" w:type="pct"/>
          </w:tcPr>
          <w:p w:rsidR="003528CB" w:rsidRPr="00163264" w:rsidRDefault="003528CB" w:rsidP="00E2016D">
            <w:pPr>
              <w:jc w:val="both"/>
              <w:rPr>
                <w:rFonts w:eastAsia="Calibri"/>
                <w:sz w:val="20"/>
              </w:rPr>
            </w:pPr>
            <w:r w:rsidRPr="00163264">
              <w:rPr>
                <w:rFonts w:eastAsia="Calibri"/>
                <w:sz w:val="20"/>
              </w:rPr>
              <w:t>Application for leave to appeal, dismissed</w:t>
            </w:r>
          </w:p>
          <w:p w:rsidR="003528CB" w:rsidRPr="00163264" w:rsidRDefault="003528CB" w:rsidP="00E2016D">
            <w:pPr>
              <w:jc w:val="both"/>
              <w:rPr>
                <w:rFonts w:eastAsia="Calibri"/>
                <w:sz w:val="20"/>
              </w:rPr>
            </w:pPr>
          </w:p>
        </w:tc>
      </w:tr>
    </w:tbl>
    <w:p w:rsidR="00A0198D" w:rsidRDefault="00A0198D">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528CB" w:rsidRPr="00163264" w:rsidTr="00E2016D">
        <w:tc>
          <w:tcPr>
            <w:tcW w:w="2427" w:type="pct"/>
          </w:tcPr>
          <w:p w:rsidR="003528CB" w:rsidRPr="00163264" w:rsidRDefault="003528CB" w:rsidP="00E2016D">
            <w:pPr>
              <w:jc w:val="both"/>
              <w:rPr>
                <w:rFonts w:eastAsia="Calibri"/>
                <w:sz w:val="20"/>
              </w:rPr>
            </w:pPr>
            <w:r w:rsidRPr="00163264">
              <w:rPr>
                <w:rFonts w:eastAsia="Calibri"/>
                <w:sz w:val="20"/>
              </w:rPr>
              <w:lastRenderedPageBreak/>
              <w:t>May 7, 2014</w:t>
            </w:r>
          </w:p>
          <w:p w:rsidR="003528CB" w:rsidRPr="00163264" w:rsidRDefault="003528CB" w:rsidP="00E2016D">
            <w:pPr>
              <w:jc w:val="both"/>
              <w:rPr>
                <w:rFonts w:eastAsia="Calibri"/>
                <w:sz w:val="20"/>
              </w:rPr>
            </w:pPr>
            <w:r w:rsidRPr="00163264">
              <w:rPr>
                <w:rFonts w:eastAsia="Calibri"/>
                <w:sz w:val="20"/>
              </w:rPr>
              <w:t>Supreme Court of Canada</w:t>
            </w:r>
          </w:p>
          <w:p w:rsidR="003528CB" w:rsidRPr="00163264" w:rsidRDefault="003528CB" w:rsidP="00E2016D">
            <w:pPr>
              <w:jc w:val="both"/>
              <w:rPr>
                <w:rFonts w:eastAsia="Calibri"/>
                <w:sz w:val="20"/>
              </w:rPr>
            </w:pPr>
          </w:p>
        </w:tc>
        <w:tc>
          <w:tcPr>
            <w:tcW w:w="243" w:type="pct"/>
          </w:tcPr>
          <w:p w:rsidR="003528CB" w:rsidRPr="00163264" w:rsidRDefault="003528CB" w:rsidP="00E2016D">
            <w:pPr>
              <w:jc w:val="both"/>
              <w:rPr>
                <w:rFonts w:eastAsia="Calibri"/>
                <w:sz w:val="20"/>
              </w:rPr>
            </w:pPr>
          </w:p>
        </w:tc>
        <w:tc>
          <w:tcPr>
            <w:tcW w:w="2330" w:type="pct"/>
          </w:tcPr>
          <w:p w:rsidR="003528CB" w:rsidRPr="00163264" w:rsidRDefault="003528CB" w:rsidP="00E2016D">
            <w:pPr>
              <w:jc w:val="both"/>
              <w:rPr>
                <w:rFonts w:eastAsia="Calibri"/>
                <w:sz w:val="20"/>
              </w:rPr>
            </w:pPr>
            <w:r w:rsidRPr="00163264">
              <w:rPr>
                <w:rFonts w:eastAsia="Calibri"/>
                <w:sz w:val="20"/>
              </w:rPr>
              <w:t>Application for leave to appeal, motion for a stay of execution of driving prohibition and motion to expedite the motion for a stay of execution, filed</w:t>
            </w:r>
          </w:p>
        </w:tc>
      </w:tr>
    </w:tbl>
    <w:p w:rsidR="00965AE9" w:rsidRDefault="00965AE9" w:rsidP="00965AE9">
      <w:pPr>
        <w:rPr>
          <w:sz w:val="20"/>
          <w:szCs w:val="20"/>
        </w:rPr>
      </w:pPr>
    </w:p>
    <w:p w:rsidR="00965AE9" w:rsidRPr="00C50A5C" w:rsidRDefault="00944C2E" w:rsidP="00965AE9">
      <w:pPr>
        <w:rPr>
          <w:sz w:val="20"/>
          <w:szCs w:val="20"/>
        </w:rPr>
      </w:pPr>
      <w:r>
        <w:rPr>
          <w:sz w:val="20"/>
          <w:szCs w:val="20"/>
          <w:lang w:val="fr-CA"/>
        </w:rPr>
        <w:pict>
          <v:rect id="_x0000_i1057" style="width:2in;height:1pt" o:hrpct="0" o:hralign="center" o:hrstd="t" o:hrnoshade="t" o:hr="t" fillcolor="black [3213]" stroked="f"/>
        </w:pict>
      </w:r>
    </w:p>
    <w:p w:rsidR="00A0198D" w:rsidRDefault="00A0198D">
      <w:pPr>
        <w:rPr>
          <w:sz w:val="20"/>
          <w:szCs w:val="20"/>
        </w:rPr>
      </w:pPr>
    </w:p>
    <w:p w:rsidR="00965AE9" w:rsidRPr="001B157C" w:rsidRDefault="00965AE9" w:rsidP="00965AE9">
      <w:pPr>
        <w:rPr>
          <w:sz w:val="20"/>
          <w:szCs w:val="20"/>
          <w:u w:val="single"/>
          <w:lang w:val="fr-CA"/>
        </w:rPr>
      </w:pPr>
      <w:r w:rsidRPr="001B157C">
        <w:rPr>
          <w:sz w:val="20"/>
          <w:szCs w:val="20"/>
          <w:u w:val="single"/>
          <w:lang w:val="fr-CA"/>
        </w:rPr>
        <w:t>RÉSUMÉ DE L’AFFAIRE</w:t>
      </w:r>
    </w:p>
    <w:p w:rsidR="00965AE9" w:rsidRDefault="00965AE9" w:rsidP="00965AE9">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528CB" w:rsidRPr="00944C2E" w:rsidTr="00E2016D">
        <w:tc>
          <w:tcPr>
            <w:tcW w:w="5000" w:type="pct"/>
            <w:gridSpan w:val="3"/>
          </w:tcPr>
          <w:p w:rsidR="003528CB" w:rsidRPr="00163264" w:rsidRDefault="003528CB" w:rsidP="00E2016D">
            <w:pPr>
              <w:jc w:val="both"/>
              <w:rPr>
                <w:rFonts w:eastAsia="Calibri"/>
                <w:smallCaps/>
                <w:sz w:val="20"/>
                <w:lang w:val="fr-CA"/>
              </w:rPr>
            </w:pPr>
            <w:r w:rsidRPr="00163264">
              <w:rPr>
                <w:rFonts w:eastAsia="Calibri"/>
                <w:sz w:val="20"/>
                <w:lang w:val="fr-CA"/>
              </w:rPr>
              <w:t>Droit criminel — Verdict raisonnable — Demandeur reconnu coupable de conduite dangereuse  — Juge du procès estimant plus crédible le témoignage du policier que celui du demandeur — Appel de la déclaration de culpabilité par procédure sommaire rejeté — La Cour d’appel a-t-elle commis une erreur en rejetant la demande d’autorisation de porter en appel la décision rendue par la juge de la cour d’appel des poursuites sommaires?</w:t>
            </w:r>
          </w:p>
        </w:tc>
      </w:tr>
      <w:tr w:rsidR="003528CB" w:rsidRPr="00944C2E" w:rsidTr="00E2016D">
        <w:tc>
          <w:tcPr>
            <w:tcW w:w="5000" w:type="pct"/>
            <w:gridSpan w:val="3"/>
          </w:tcPr>
          <w:p w:rsidR="003528CB" w:rsidRPr="00163264" w:rsidRDefault="003528CB" w:rsidP="00E2016D">
            <w:pPr>
              <w:jc w:val="both"/>
              <w:rPr>
                <w:rFonts w:eastAsia="Calibri"/>
                <w:sz w:val="20"/>
                <w:lang w:val="fr-CA"/>
              </w:rPr>
            </w:pPr>
          </w:p>
        </w:tc>
      </w:tr>
      <w:tr w:rsidR="003528CB" w:rsidRPr="00163264" w:rsidTr="00E2016D">
        <w:tc>
          <w:tcPr>
            <w:tcW w:w="5000" w:type="pct"/>
            <w:gridSpan w:val="3"/>
          </w:tcPr>
          <w:p w:rsidR="003528CB" w:rsidRPr="00163264" w:rsidRDefault="003528CB" w:rsidP="00E2016D">
            <w:pPr>
              <w:jc w:val="both"/>
              <w:rPr>
                <w:rFonts w:eastAsia="Calibri"/>
                <w:sz w:val="20"/>
                <w:lang w:val="fr-CA"/>
              </w:rPr>
            </w:pPr>
            <w:r w:rsidRPr="00163264">
              <w:rPr>
                <w:rFonts w:eastAsia="Calibri"/>
                <w:sz w:val="20"/>
                <w:lang w:val="fr-CA"/>
              </w:rPr>
              <w:t xml:space="preserve">Le demandeur a été inculpé de conduite dangereuse, infraction prévue au par. 249(1) du </w:t>
            </w:r>
            <w:r w:rsidRPr="00163264">
              <w:rPr>
                <w:rFonts w:eastAsia="Calibri"/>
                <w:i/>
                <w:sz w:val="20"/>
                <w:lang w:val="fr-CA"/>
              </w:rPr>
              <w:t>Code criminel</w:t>
            </w:r>
            <w:r w:rsidRPr="00163264">
              <w:rPr>
                <w:rFonts w:eastAsia="Calibri"/>
                <w:sz w:val="20"/>
                <w:lang w:val="fr-CA"/>
              </w:rPr>
              <w:t xml:space="preserve">.  Lors de son procès pour infraction punissable sur déclaration de culpabilité par procédure sommaire, son témoignage et celui du policier qui l’avait arrêté se contredisaient à maints égards.  </w:t>
            </w:r>
          </w:p>
          <w:p w:rsidR="003528CB" w:rsidRPr="00163264" w:rsidRDefault="003528CB" w:rsidP="00E2016D">
            <w:pPr>
              <w:jc w:val="both"/>
              <w:rPr>
                <w:rFonts w:eastAsia="Calibri"/>
                <w:sz w:val="20"/>
                <w:lang w:val="fr-CA"/>
              </w:rPr>
            </w:pPr>
          </w:p>
          <w:p w:rsidR="003528CB" w:rsidRPr="00163264" w:rsidRDefault="003528CB" w:rsidP="00E2016D">
            <w:pPr>
              <w:jc w:val="both"/>
              <w:rPr>
                <w:rFonts w:eastAsia="Calibri"/>
                <w:sz w:val="20"/>
                <w:lang w:val="fr-CA"/>
              </w:rPr>
            </w:pPr>
            <w:r w:rsidRPr="00163264">
              <w:rPr>
                <w:rFonts w:eastAsia="Calibri"/>
                <w:sz w:val="20"/>
                <w:lang w:val="fr-CA"/>
              </w:rPr>
              <w:t xml:space="preserve">D’après le policier, le demandeur conduisait sur le mauvais côté de la route tout en parlant sur son cellulaire.  Le policier a affirmé que, lorsqu’il a essayé de contraindre le demandeur à s’arrêter, ce dernier s’est éloigné en vitesse à travers un terrain de stationnement bondé.  Au cours de son témoignage, le demandeur a nié avoir conduit sur le mauvais côté de la route et prétendu n’avoir parlé que brièvement sur son cellulaire afin de répondre à un appel et de dire à son interlocuteur de le rappeler plus tard.  Il a nié s’être éloigné en vitesse, prétendant plutôt avoir conduit à une vitesse sécuritaire à travers ce qu’il a décrit comme un terrain de stationnement où il n’y avait ni piéton ni voiture en mouvement.  </w:t>
            </w:r>
          </w:p>
          <w:p w:rsidR="003528CB" w:rsidRPr="00163264" w:rsidRDefault="003528CB" w:rsidP="00E2016D">
            <w:pPr>
              <w:jc w:val="both"/>
              <w:rPr>
                <w:rFonts w:eastAsia="Calibri"/>
                <w:sz w:val="20"/>
                <w:lang w:val="fr-CA"/>
              </w:rPr>
            </w:pPr>
          </w:p>
          <w:p w:rsidR="003528CB" w:rsidRPr="00163264" w:rsidRDefault="003528CB" w:rsidP="00E2016D">
            <w:pPr>
              <w:jc w:val="both"/>
              <w:rPr>
                <w:rFonts w:eastAsia="Calibri"/>
                <w:sz w:val="20"/>
                <w:lang w:val="fr-CA"/>
              </w:rPr>
            </w:pPr>
            <w:r w:rsidRPr="00163264">
              <w:rPr>
                <w:rFonts w:eastAsia="Calibri"/>
                <w:sz w:val="20"/>
                <w:lang w:val="fr-CA"/>
              </w:rPr>
              <w:t xml:space="preserve">La juge du procès a estimé crédible le témoignage du policier et n’a pas cru celui du demandeur. Elle a déclaré ce dernier coupable de conduite dangereuse et l’a condamné à un an de probation. Le permis de conduire du demandeur a été suspendu conformément au </w:t>
            </w:r>
            <w:r w:rsidRPr="00163264">
              <w:rPr>
                <w:rFonts w:eastAsia="Calibri"/>
                <w:i/>
                <w:sz w:val="20"/>
                <w:lang w:val="fr-CA"/>
              </w:rPr>
              <w:t>Code de la route</w:t>
            </w:r>
            <w:r w:rsidRPr="00163264">
              <w:rPr>
                <w:rFonts w:eastAsia="Calibri"/>
                <w:sz w:val="20"/>
                <w:lang w:val="fr-CA"/>
              </w:rPr>
              <w:t>, L.R.O. 1990, ch. H.8.</w:t>
            </w:r>
          </w:p>
          <w:p w:rsidR="003528CB" w:rsidRPr="00163264" w:rsidRDefault="003528CB" w:rsidP="00E2016D">
            <w:pPr>
              <w:jc w:val="both"/>
              <w:rPr>
                <w:rFonts w:eastAsia="Calibri"/>
                <w:sz w:val="20"/>
                <w:lang w:val="fr-CA"/>
              </w:rPr>
            </w:pPr>
          </w:p>
        </w:tc>
      </w:tr>
      <w:tr w:rsidR="003528CB" w:rsidRPr="00944C2E" w:rsidTr="00E2016D">
        <w:tc>
          <w:tcPr>
            <w:tcW w:w="2427" w:type="pct"/>
          </w:tcPr>
          <w:p w:rsidR="003528CB" w:rsidRPr="00163264" w:rsidRDefault="003528CB" w:rsidP="00E2016D">
            <w:pPr>
              <w:jc w:val="both"/>
              <w:rPr>
                <w:rFonts w:eastAsia="Calibri"/>
                <w:sz w:val="20"/>
                <w:lang w:val="fr-CA"/>
              </w:rPr>
            </w:pPr>
            <w:r w:rsidRPr="00163264">
              <w:rPr>
                <w:rFonts w:eastAsia="Calibri"/>
                <w:sz w:val="20"/>
                <w:lang w:val="fr-CA"/>
              </w:rPr>
              <w:t xml:space="preserve">18 juillet 2011 </w:t>
            </w:r>
          </w:p>
          <w:p w:rsidR="003528CB" w:rsidRPr="00163264" w:rsidRDefault="003528CB" w:rsidP="00E2016D">
            <w:pPr>
              <w:jc w:val="both"/>
              <w:rPr>
                <w:rFonts w:eastAsia="Calibri"/>
                <w:sz w:val="20"/>
                <w:lang w:val="fr-CA"/>
              </w:rPr>
            </w:pPr>
            <w:r w:rsidRPr="00163264">
              <w:rPr>
                <w:rFonts w:eastAsia="Calibri"/>
                <w:sz w:val="20"/>
                <w:lang w:val="fr-CA"/>
              </w:rPr>
              <w:t>Cour de justice de l’Ontario</w:t>
            </w:r>
          </w:p>
          <w:p w:rsidR="003528CB" w:rsidRPr="00163264" w:rsidRDefault="003528CB" w:rsidP="00E2016D">
            <w:pPr>
              <w:jc w:val="both"/>
              <w:rPr>
                <w:rFonts w:eastAsia="Calibri"/>
                <w:sz w:val="20"/>
              </w:rPr>
            </w:pPr>
            <w:r w:rsidRPr="00163264">
              <w:rPr>
                <w:rFonts w:eastAsia="Calibri"/>
                <w:sz w:val="20"/>
              </w:rPr>
              <w:t>(Juge Brownridge)</w:t>
            </w:r>
          </w:p>
          <w:p w:rsidR="003528CB" w:rsidRPr="00163264" w:rsidRDefault="003528CB" w:rsidP="00E2016D">
            <w:pPr>
              <w:jc w:val="both"/>
              <w:rPr>
                <w:rFonts w:eastAsia="Calibri"/>
                <w:sz w:val="20"/>
              </w:rPr>
            </w:pPr>
          </w:p>
        </w:tc>
        <w:tc>
          <w:tcPr>
            <w:tcW w:w="243" w:type="pct"/>
          </w:tcPr>
          <w:p w:rsidR="003528CB" w:rsidRPr="00163264" w:rsidRDefault="003528CB" w:rsidP="00E2016D">
            <w:pPr>
              <w:jc w:val="both"/>
              <w:rPr>
                <w:rFonts w:eastAsia="Calibri"/>
                <w:sz w:val="20"/>
              </w:rPr>
            </w:pPr>
          </w:p>
        </w:tc>
        <w:tc>
          <w:tcPr>
            <w:tcW w:w="2330" w:type="pct"/>
          </w:tcPr>
          <w:p w:rsidR="003528CB" w:rsidRPr="00163264" w:rsidRDefault="003528CB" w:rsidP="00E2016D">
            <w:pPr>
              <w:jc w:val="both"/>
              <w:rPr>
                <w:rFonts w:eastAsia="Calibri"/>
                <w:sz w:val="20"/>
                <w:lang w:val="fr-CA"/>
              </w:rPr>
            </w:pPr>
            <w:r w:rsidRPr="00163264">
              <w:rPr>
                <w:rFonts w:eastAsia="Calibri"/>
                <w:sz w:val="20"/>
                <w:lang w:val="fr-CA"/>
              </w:rPr>
              <w:t xml:space="preserve">Demandeur reconnu coupable de conduite dangereuse en contravention du par. 249(1) du </w:t>
            </w:r>
            <w:r w:rsidRPr="00163264">
              <w:rPr>
                <w:rFonts w:eastAsia="Calibri"/>
                <w:i/>
                <w:sz w:val="20"/>
                <w:lang w:val="fr-CA"/>
              </w:rPr>
              <w:t>Code criminel</w:t>
            </w:r>
            <w:r w:rsidRPr="00163264">
              <w:rPr>
                <w:rFonts w:eastAsia="Calibri"/>
                <w:sz w:val="20"/>
                <w:lang w:val="fr-CA"/>
              </w:rPr>
              <w:t xml:space="preserve"> et condamné à un an de probation</w:t>
            </w:r>
          </w:p>
          <w:p w:rsidR="003528CB" w:rsidRPr="00163264" w:rsidRDefault="003528CB" w:rsidP="00E2016D">
            <w:pPr>
              <w:jc w:val="both"/>
              <w:rPr>
                <w:rFonts w:eastAsia="Calibri"/>
                <w:sz w:val="20"/>
                <w:lang w:val="fr-CA"/>
              </w:rPr>
            </w:pPr>
          </w:p>
        </w:tc>
      </w:tr>
      <w:tr w:rsidR="003528CB" w:rsidRPr="00944C2E" w:rsidTr="00E2016D">
        <w:tc>
          <w:tcPr>
            <w:tcW w:w="2427" w:type="pct"/>
          </w:tcPr>
          <w:p w:rsidR="003528CB" w:rsidRPr="00163264" w:rsidRDefault="003528CB" w:rsidP="00E2016D">
            <w:pPr>
              <w:jc w:val="both"/>
              <w:rPr>
                <w:rFonts w:eastAsia="Calibri"/>
                <w:sz w:val="20"/>
                <w:lang w:val="fr-CA"/>
              </w:rPr>
            </w:pPr>
            <w:r w:rsidRPr="00163264">
              <w:rPr>
                <w:rFonts w:eastAsia="Calibri"/>
                <w:sz w:val="20"/>
                <w:lang w:val="fr-CA"/>
              </w:rPr>
              <w:t>9 avril 2013</w:t>
            </w:r>
          </w:p>
          <w:p w:rsidR="003528CB" w:rsidRPr="00163264" w:rsidRDefault="003528CB" w:rsidP="00E2016D">
            <w:pPr>
              <w:jc w:val="both"/>
              <w:rPr>
                <w:rFonts w:eastAsia="Calibri"/>
                <w:sz w:val="20"/>
                <w:lang w:val="fr-CA"/>
              </w:rPr>
            </w:pPr>
            <w:r w:rsidRPr="00163264">
              <w:rPr>
                <w:rFonts w:eastAsia="Calibri"/>
                <w:sz w:val="20"/>
                <w:lang w:val="fr-CA"/>
              </w:rPr>
              <w:t xml:space="preserve">Cour supérieure de justice de l’Ontario </w:t>
            </w:r>
          </w:p>
          <w:p w:rsidR="003528CB" w:rsidRPr="00163264" w:rsidRDefault="003528CB" w:rsidP="00E2016D">
            <w:pPr>
              <w:jc w:val="both"/>
              <w:rPr>
                <w:rFonts w:eastAsia="Calibri"/>
                <w:sz w:val="20"/>
                <w:lang w:val="fr-CA"/>
              </w:rPr>
            </w:pPr>
            <w:r w:rsidRPr="00163264">
              <w:rPr>
                <w:rFonts w:eastAsia="Calibri"/>
                <w:sz w:val="20"/>
                <w:lang w:val="fr-CA"/>
              </w:rPr>
              <w:t>(Juge Durno)</w:t>
            </w:r>
          </w:p>
          <w:p w:rsidR="003528CB" w:rsidRPr="00163264" w:rsidRDefault="003528CB" w:rsidP="00E2016D">
            <w:pPr>
              <w:jc w:val="both"/>
              <w:rPr>
                <w:rFonts w:eastAsia="Calibri"/>
                <w:sz w:val="20"/>
                <w:lang w:val="fr-CA"/>
              </w:rPr>
            </w:pPr>
            <w:r w:rsidRPr="00163264">
              <w:rPr>
                <w:rFonts w:eastAsia="Calibri"/>
                <w:sz w:val="20"/>
                <w:lang w:val="fr-CA"/>
              </w:rPr>
              <w:t>2013 ONSC 1932</w:t>
            </w:r>
          </w:p>
          <w:p w:rsidR="003528CB" w:rsidRPr="00163264" w:rsidRDefault="003528CB" w:rsidP="00E2016D">
            <w:pPr>
              <w:jc w:val="both"/>
              <w:rPr>
                <w:rFonts w:eastAsia="Calibri"/>
                <w:sz w:val="20"/>
                <w:highlight w:val="yellow"/>
                <w:lang w:val="fr-CA"/>
              </w:rPr>
            </w:pPr>
          </w:p>
        </w:tc>
        <w:tc>
          <w:tcPr>
            <w:tcW w:w="243" w:type="pct"/>
          </w:tcPr>
          <w:p w:rsidR="003528CB" w:rsidRPr="00163264" w:rsidRDefault="003528CB" w:rsidP="00E2016D">
            <w:pPr>
              <w:jc w:val="both"/>
              <w:rPr>
                <w:rFonts w:eastAsia="Calibri"/>
                <w:sz w:val="20"/>
                <w:lang w:val="fr-CA"/>
              </w:rPr>
            </w:pPr>
          </w:p>
        </w:tc>
        <w:tc>
          <w:tcPr>
            <w:tcW w:w="2330" w:type="pct"/>
          </w:tcPr>
          <w:p w:rsidR="003528CB" w:rsidRPr="00163264" w:rsidRDefault="003528CB" w:rsidP="00E2016D">
            <w:pPr>
              <w:jc w:val="both"/>
              <w:rPr>
                <w:rFonts w:eastAsia="Calibri"/>
                <w:sz w:val="20"/>
                <w:lang w:val="fr-CA"/>
              </w:rPr>
            </w:pPr>
            <w:r w:rsidRPr="00163264">
              <w:rPr>
                <w:rFonts w:eastAsia="Calibri"/>
                <w:sz w:val="20"/>
                <w:lang w:val="fr-CA"/>
              </w:rPr>
              <w:t xml:space="preserve">Appel de la déclaration de culpabilité par procédure sommaire rejeté </w:t>
            </w:r>
          </w:p>
        </w:tc>
      </w:tr>
      <w:tr w:rsidR="003528CB" w:rsidRPr="00163264" w:rsidTr="00E2016D">
        <w:tc>
          <w:tcPr>
            <w:tcW w:w="2427" w:type="pct"/>
          </w:tcPr>
          <w:p w:rsidR="003528CB" w:rsidRPr="00163264" w:rsidRDefault="003528CB" w:rsidP="00E2016D">
            <w:pPr>
              <w:jc w:val="both"/>
              <w:rPr>
                <w:rFonts w:eastAsia="Calibri"/>
                <w:sz w:val="20"/>
                <w:lang w:val="fr-CA"/>
              </w:rPr>
            </w:pPr>
            <w:r w:rsidRPr="00163264">
              <w:rPr>
                <w:rFonts w:eastAsia="Calibri"/>
                <w:sz w:val="20"/>
                <w:lang w:val="fr-CA"/>
              </w:rPr>
              <w:t>10 mars 2014</w:t>
            </w:r>
          </w:p>
          <w:p w:rsidR="003528CB" w:rsidRPr="00163264" w:rsidRDefault="003528CB" w:rsidP="00E2016D">
            <w:pPr>
              <w:jc w:val="both"/>
              <w:rPr>
                <w:rFonts w:eastAsia="Calibri"/>
                <w:sz w:val="20"/>
                <w:lang w:val="fr-CA"/>
              </w:rPr>
            </w:pPr>
            <w:r w:rsidRPr="00163264">
              <w:rPr>
                <w:rFonts w:eastAsia="Calibri"/>
                <w:sz w:val="20"/>
                <w:lang w:val="fr-CA"/>
              </w:rPr>
              <w:t>Cour d’appel de l’Ontario</w:t>
            </w:r>
          </w:p>
          <w:p w:rsidR="003528CB" w:rsidRPr="00163264" w:rsidRDefault="003528CB" w:rsidP="00E2016D">
            <w:pPr>
              <w:jc w:val="both"/>
              <w:rPr>
                <w:rFonts w:eastAsia="Calibri"/>
                <w:sz w:val="20"/>
                <w:lang w:val="fr-CA"/>
              </w:rPr>
            </w:pPr>
            <w:r w:rsidRPr="00163264">
              <w:rPr>
                <w:rFonts w:eastAsia="Calibri"/>
                <w:sz w:val="20"/>
                <w:lang w:val="fr-CA"/>
              </w:rPr>
              <w:t>(Juges Sharpe, Gillese et Rouleau)</w:t>
            </w:r>
          </w:p>
          <w:p w:rsidR="003528CB" w:rsidRPr="00163264" w:rsidRDefault="003528CB" w:rsidP="00E2016D">
            <w:pPr>
              <w:jc w:val="both"/>
              <w:rPr>
                <w:rFonts w:eastAsia="Calibri"/>
                <w:sz w:val="20"/>
              </w:rPr>
            </w:pPr>
            <w:r w:rsidRPr="00163264">
              <w:rPr>
                <w:rFonts w:eastAsia="Calibri"/>
                <w:sz w:val="20"/>
                <w:lang w:val="fr-CA"/>
              </w:rPr>
              <w:t>N</w:t>
            </w:r>
            <w:r w:rsidRPr="00163264">
              <w:rPr>
                <w:rFonts w:eastAsia="Calibri"/>
                <w:sz w:val="20"/>
                <w:vertAlign w:val="superscript"/>
                <w:lang w:val="fr-CA"/>
              </w:rPr>
              <w:t xml:space="preserve">o </w:t>
            </w:r>
            <w:r w:rsidRPr="00163264">
              <w:rPr>
                <w:rFonts w:eastAsia="Calibri"/>
                <w:sz w:val="20"/>
                <w:lang w:val="fr-CA"/>
              </w:rPr>
              <w:t xml:space="preserve">du greffe </w:t>
            </w:r>
            <w:r w:rsidRPr="00163264">
              <w:rPr>
                <w:rFonts w:eastAsia="Calibri"/>
                <w:sz w:val="20"/>
              </w:rPr>
              <w:t>C56981</w:t>
            </w:r>
          </w:p>
          <w:p w:rsidR="003528CB" w:rsidRPr="00163264" w:rsidRDefault="003528CB" w:rsidP="00E2016D">
            <w:pPr>
              <w:jc w:val="both"/>
              <w:rPr>
                <w:rFonts w:eastAsia="Calibri"/>
                <w:sz w:val="20"/>
              </w:rPr>
            </w:pPr>
          </w:p>
        </w:tc>
        <w:tc>
          <w:tcPr>
            <w:tcW w:w="243" w:type="pct"/>
          </w:tcPr>
          <w:p w:rsidR="003528CB" w:rsidRPr="00163264" w:rsidRDefault="003528CB" w:rsidP="00E2016D">
            <w:pPr>
              <w:jc w:val="both"/>
              <w:rPr>
                <w:rFonts w:eastAsia="Calibri"/>
                <w:sz w:val="20"/>
              </w:rPr>
            </w:pPr>
          </w:p>
        </w:tc>
        <w:tc>
          <w:tcPr>
            <w:tcW w:w="2330" w:type="pct"/>
          </w:tcPr>
          <w:p w:rsidR="003528CB" w:rsidRPr="00163264" w:rsidRDefault="003528CB" w:rsidP="00E2016D">
            <w:pPr>
              <w:jc w:val="both"/>
              <w:rPr>
                <w:rFonts w:eastAsia="Calibri"/>
                <w:sz w:val="20"/>
              </w:rPr>
            </w:pPr>
            <w:r w:rsidRPr="00163264">
              <w:rPr>
                <w:rFonts w:eastAsia="Calibri"/>
                <w:sz w:val="20"/>
              </w:rPr>
              <w:t xml:space="preserve">Demande d’autorisation d’appel rejetée </w:t>
            </w:r>
          </w:p>
          <w:p w:rsidR="003528CB" w:rsidRPr="00163264" w:rsidRDefault="003528CB" w:rsidP="00E2016D">
            <w:pPr>
              <w:jc w:val="both"/>
              <w:rPr>
                <w:rFonts w:eastAsia="Calibri"/>
                <w:sz w:val="20"/>
              </w:rPr>
            </w:pPr>
          </w:p>
        </w:tc>
      </w:tr>
      <w:tr w:rsidR="003528CB" w:rsidRPr="00944C2E" w:rsidTr="00E2016D">
        <w:tc>
          <w:tcPr>
            <w:tcW w:w="2427" w:type="pct"/>
          </w:tcPr>
          <w:p w:rsidR="003528CB" w:rsidRPr="00163264" w:rsidRDefault="003528CB" w:rsidP="00E2016D">
            <w:pPr>
              <w:jc w:val="both"/>
              <w:rPr>
                <w:rFonts w:eastAsia="Calibri"/>
                <w:sz w:val="20"/>
                <w:lang w:val="fr-CA"/>
              </w:rPr>
            </w:pPr>
            <w:r w:rsidRPr="00163264">
              <w:rPr>
                <w:rFonts w:eastAsia="Calibri"/>
                <w:sz w:val="20"/>
                <w:lang w:val="fr-CA"/>
              </w:rPr>
              <w:t>7 mai 2014</w:t>
            </w:r>
          </w:p>
          <w:p w:rsidR="003528CB" w:rsidRPr="00163264" w:rsidRDefault="003528CB" w:rsidP="00E2016D">
            <w:pPr>
              <w:jc w:val="both"/>
              <w:rPr>
                <w:rFonts w:eastAsia="Calibri"/>
                <w:sz w:val="20"/>
                <w:lang w:val="fr-CA"/>
              </w:rPr>
            </w:pPr>
            <w:r w:rsidRPr="00163264">
              <w:rPr>
                <w:rFonts w:eastAsia="Calibri"/>
                <w:sz w:val="20"/>
                <w:lang w:val="fr-CA"/>
              </w:rPr>
              <w:t>Cour suprême du Canada</w:t>
            </w:r>
          </w:p>
          <w:p w:rsidR="003528CB" w:rsidRPr="00163264" w:rsidRDefault="003528CB" w:rsidP="00E2016D">
            <w:pPr>
              <w:jc w:val="both"/>
              <w:rPr>
                <w:rFonts w:eastAsia="Calibri"/>
                <w:sz w:val="20"/>
                <w:lang w:val="fr-CA"/>
              </w:rPr>
            </w:pPr>
          </w:p>
          <w:p w:rsidR="003528CB" w:rsidRPr="00163264" w:rsidRDefault="003528CB" w:rsidP="00E2016D">
            <w:pPr>
              <w:jc w:val="both"/>
              <w:rPr>
                <w:rFonts w:eastAsia="Calibri"/>
                <w:sz w:val="20"/>
                <w:lang w:val="fr-CA"/>
              </w:rPr>
            </w:pPr>
          </w:p>
        </w:tc>
        <w:tc>
          <w:tcPr>
            <w:tcW w:w="243" w:type="pct"/>
          </w:tcPr>
          <w:p w:rsidR="003528CB" w:rsidRPr="00163264" w:rsidRDefault="003528CB" w:rsidP="00E2016D">
            <w:pPr>
              <w:jc w:val="both"/>
              <w:rPr>
                <w:rFonts w:eastAsia="Calibri"/>
                <w:sz w:val="20"/>
                <w:lang w:val="fr-CA"/>
              </w:rPr>
            </w:pPr>
          </w:p>
        </w:tc>
        <w:tc>
          <w:tcPr>
            <w:tcW w:w="2330" w:type="pct"/>
          </w:tcPr>
          <w:p w:rsidR="003528CB" w:rsidRPr="00163264" w:rsidRDefault="003528CB" w:rsidP="00E2016D">
            <w:pPr>
              <w:jc w:val="both"/>
              <w:rPr>
                <w:rFonts w:eastAsia="Calibri"/>
                <w:sz w:val="20"/>
                <w:lang w:val="fr-CA"/>
              </w:rPr>
            </w:pPr>
            <w:r w:rsidRPr="00163264">
              <w:rPr>
                <w:rFonts w:eastAsia="Calibri"/>
                <w:sz w:val="20"/>
                <w:lang w:val="fr-CA"/>
              </w:rPr>
              <w:t xml:space="preserve">Demande d’autorisation d’appel, requête en sursis d’exécution de l’interdiction de conduire et requête visant le traitement accéléré de la requête en sursis d’exécution, déposées </w:t>
            </w:r>
          </w:p>
        </w:tc>
      </w:tr>
    </w:tbl>
    <w:p w:rsidR="00965AE9" w:rsidRPr="00965AE9" w:rsidRDefault="00965AE9" w:rsidP="00965AE9">
      <w:pPr>
        <w:rPr>
          <w:sz w:val="20"/>
          <w:szCs w:val="20"/>
          <w:lang w:val="fr-CA"/>
        </w:rPr>
      </w:pPr>
    </w:p>
    <w:p w:rsidR="00965AE9" w:rsidRDefault="00944C2E" w:rsidP="00965AE9">
      <w:pPr>
        <w:rPr>
          <w:sz w:val="20"/>
          <w:szCs w:val="20"/>
          <w:lang w:val="fr-CA"/>
        </w:rPr>
      </w:pPr>
      <w:r>
        <w:rPr>
          <w:sz w:val="20"/>
          <w:szCs w:val="20"/>
          <w:lang w:val="fr-CA"/>
        </w:rPr>
        <w:pict>
          <v:rect id="_x0000_i1058" style="width:2in;height:1pt" o:hrpct="0" o:hralign="center" o:hrstd="t" o:hrnoshade="t" o:hr="t" fillcolor="black [3213]" stroked="f"/>
        </w:pict>
      </w:r>
    </w:p>
    <w:p w:rsidR="00965AE9" w:rsidRDefault="00965AE9" w:rsidP="00965AE9">
      <w:pPr>
        <w:rPr>
          <w:sz w:val="20"/>
          <w:szCs w:val="20"/>
          <w:lang w:val="fr-CA"/>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74128" w:rsidRPr="00474128" w:rsidTr="00015B40">
        <w:trPr>
          <w:cantSplit/>
        </w:trPr>
        <w:tc>
          <w:tcPr>
            <w:tcW w:w="1458" w:type="dxa"/>
          </w:tcPr>
          <w:p w:rsidR="00474128" w:rsidRPr="00474128" w:rsidRDefault="00474128" w:rsidP="00474128">
            <w:pPr>
              <w:rPr>
                <w:sz w:val="20"/>
              </w:rPr>
            </w:pPr>
            <w:r w:rsidRPr="00474128">
              <w:rPr>
                <w:b/>
                <w:sz w:val="20"/>
                <w:lang w:val="fr-CA"/>
              </w:rPr>
              <w:lastRenderedPageBreak/>
              <w:t>35879</w:t>
            </w:r>
          </w:p>
          <w:p w:rsidR="00474128" w:rsidRPr="00474128" w:rsidRDefault="00474128" w:rsidP="00474128">
            <w:pPr>
              <w:rPr>
                <w:b/>
                <w:sz w:val="20"/>
                <w:lang w:val="fr-CA"/>
              </w:rPr>
            </w:pPr>
          </w:p>
        </w:tc>
        <w:tc>
          <w:tcPr>
            <w:tcW w:w="8118" w:type="dxa"/>
          </w:tcPr>
          <w:p w:rsidR="00474128" w:rsidRPr="00474128" w:rsidRDefault="00474128" w:rsidP="00474128">
            <w:pPr>
              <w:jc w:val="both"/>
              <w:rPr>
                <w:sz w:val="20"/>
              </w:rPr>
            </w:pPr>
            <w:r w:rsidRPr="00474128">
              <w:rPr>
                <w:b/>
                <w:sz w:val="20"/>
                <w:u w:val="single"/>
              </w:rPr>
              <w:t>Gillian Leigh, Wanda Cummings</w:t>
            </w:r>
            <w:r w:rsidR="00A0198D">
              <w:rPr>
                <w:b/>
                <w:sz w:val="20"/>
                <w:u w:val="single"/>
              </w:rPr>
              <w:t xml:space="preserve"> and </w:t>
            </w:r>
            <w:r w:rsidRPr="00474128">
              <w:rPr>
                <w:b/>
                <w:sz w:val="20"/>
                <w:u w:val="single"/>
              </w:rPr>
              <w:t>Toltec Holdings Incorporated, carrying on business as Mabou Ridge Centre for Holistic Living v. Belfast Mini-Mills</w:t>
            </w:r>
            <w:r w:rsidR="00A0198D">
              <w:rPr>
                <w:b/>
                <w:sz w:val="20"/>
                <w:u w:val="single"/>
              </w:rPr>
              <w:t xml:space="preserve"> and</w:t>
            </w:r>
            <w:r w:rsidRPr="00474128">
              <w:rPr>
                <w:b/>
                <w:sz w:val="20"/>
                <w:u w:val="single"/>
              </w:rPr>
              <w:t xml:space="preserve"> International Spinners Ltd. AND BETWEEN Gillian Leigh, Wanda Cummings and Toltec Holdings Incorporated v. Belfast Mini-Mills</w:t>
            </w:r>
            <w:r w:rsidR="00A0198D">
              <w:rPr>
                <w:b/>
                <w:sz w:val="20"/>
                <w:u w:val="single"/>
              </w:rPr>
              <w:t xml:space="preserve"> and</w:t>
            </w:r>
            <w:r w:rsidRPr="00474128">
              <w:rPr>
                <w:b/>
                <w:sz w:val="20"/>
                <w:u w:val="single"/>
              </w:rPr>
              <w:t xml:space="preserve"> International Spinners Ltd. AND BETWEEN Wanda Cummings</w:t>
            </w:r>
            <w:r w:rsidR="00A0198D">
              <w:rPr>
                <w:b/>
                <w:sz w:val="20"/>
                <w:u w:val="single"/>
              </w:rPr>
              <w:t xml:space="preserve"> and</w:t>
            </w:r>
            <w:r w:rsidRPr="00474128">
              <w:rPr>
                <w:b/>
                <w:sz w:val="20"/>
                <w:u w:val="single"/>
              </w:rPr>
              <w:t xml:space="preserve"> Gillian Leigh v. Belfast Mini-Mills</w:t>
            </w:r>
            <w:r w:rsidR="00A0198D">
              <w:rPr>
                <w:b/>
                <w:sz w:val="20"/>
                <w:u w:val="single"/>
              </w:rPr>
              <w:t xml:space="preserve"> and</w:t>
            </w:r>
            <w:r w:rsidRPr="00474128">
              <w:rPr>
                <w:b/>
                <w:sz w:val="20"/>
                <w:u w:val="single"/>
              </w:rPr>
              <w:t xml:space="preserve"> International Spinners Ltd.</w:t>
            </w:r>
            <w:r w:rsidRPr="00474128">
              <w:rPr>
                <w:sz w:val="20"/>
              </w:rPr>
              <w:t xml:space="preserve"> (N.S.) (Civil) (By Leave)</w:t>
            </w:r>
          </w:p>
          <w:p w:rsidR="00474128" w:rsidRPr="00474128" w:rsidRDefault="00474128" w:rsidP="00474128">
            <w:pPr>
              <w:jc w:val="both"/>
              <w:rPr>
                <w:sz w:val="20"/>
              </w:rPr>
            </w:pPr>
          </w:p>
        </w:tc>
      </w:tr>
      <w:tr w:rsidR="00474128" w:rsidRPr="00474128" w:rsidTr="00015B40">
        <w:trPr>
          <w:cantSplit/>
        </w:trPr>
        <w:tc>
          <w:tcPr>
            <w:tcW w:w="1458" w:type="dxa"/>
          </w:tcPr>
          <w:p w:rsidR="00474128" w:rsidRPr="00474128" w:rsidRDefault="00474128" w:rsidP="00474128">
            <w:pPr>
              <w:rPr>
                <w:sz w:val="20"/>
              </w:rPr>
            </w:pPr>
            <w:r w:rsidRPr="00474128">
              <w:rPr>
                <w:sz w:val="20"/>
              </w:rPr>
              <w:t>Coram :</w:t>
            </w:r>
          </w:p>
        </w:tc>
        <w:tc>
          <w:tcPr>
            <w:tcW w:w="8118" w:type="dxa"/>
          </w:tcPr>
          <w:p w:rsidR="00474128" w:rsidRPr="00474128" w:rsidRDefault="00474128" w:rsidP="00474128">
            <w:pPr>
              <w:rPr>
                <w:sz w:val="20"/>
              </w:rPr>
            </w:pPr>
            <w:r w:rsidRPr="00474128">
              <w:rPr>
                <w:sz w:val="20"/>
                <w:u w:val="single"/>
              </w:rPr>
              <w:t>Abella, Rothstein and Moldaver JJ.</w:t>
            </w:r>
          </w:p>
          <w:p w:rsidR="00474128" w:rsidRPr="00474128" w:rsidRDefault="00474128" w:rsidP="00474128">
            <w:pPr>
              <w:rPr>
                <w:sz w:val="20"/>
                <w:u w:val="single"/>
              </w:rPr>
            </w:pPr>
          </w:p>
        </w:tc>
      </w:tr>
      <w:tr w:rsidR="00474128" w:rsidRPr="00944C2E" w:rsidTr="00015B40">
        <w:trPr>
          <w:cantSplit/>
        </w:trPr>
        <w:tc>
          <w:tcPr>
            <w:tcW w:w="9576" w:type="dxa"/>
            <w:gridSpan w:val="2"/>
          </w:tcPr>
          <w:p w:rsidR="00474128" w:rsidRPr="00474128" w:rsidRDefault="00474128" w:rsidP="00474128">
            <w:pPr>
              <w:ind w:firstLine="720"/>
              <w:jc w:val="both"/>
              <w:rPr>
                <w:sz w:val="20"/>
              </w:rPr>
            </w:pPr>
            <w:r w:rsidRPr="00474128">
              <w:rPr>
                <w:sz w:val="20"/>
              </w:rPr>
              <w:t>The motion to seal information filed on a CD-ROM is dismissed. The miscellaneous motions are dismissed. The application for leave to appeal from the judgments of the Nova Scotia Court of Appeal, Numbers CA 353382, CA 416091 and CA 419411, dated March 28, 2014, is dismissed with costs.</w:t>
            </w:r>
          </w:p>
          <w:p w:rsidR="00474128" w:rsidRPr="00474128" w:rsidRDefault="00474128" w:rsidP="00474128">
            <w:pPr>
              <w:jc w:val="both"/>
              <w:rPr>
                <w:sz w:val="20"/>
              </w:rPr>
            </w:pPr>
          </w:p>
          <w:p w:rsidR="00474128" w:rsidRPr="00474128" w:rsidRDefault="00474128" w:rsidP="00474128">
            <w:pPr>
              <w:ind w:firstLine="720"/>
              <w:jc w:val="both"/>
              <w:rPr>
                <w:sz w:val="20"/>
                <w:lang w:val="fr-CA"/>
              </w:rPr>
            </w:pPr>
            <w:r w:rsidRPr="00474128">
              <w:rPr>
                <w:sz w:val="20"/>
                <w:lang w:val="fr-CA"/>
              </w:rPr>
              <w:t>La requête pour sceller de l’information sur un cédérom est rejetée. Les requêtes diverses sont rejetées. La demande d’autorisation d’appel des arrêts de la Cour d’appel de la Nouvelle-Écosse, numéros CA 353382, CA 416091 et CA 419411, datés du 28 mars 2014, est rejetée avec dépens.</w:t>
            </w:r>
          </w:p>
        </w:tc>
      </w:tr>
    </w:tbl>
    <w:p w:rsidR="00965AE9" w:rsidRPr="00474128" w:rsidRDefault="00965AE9" w:rsidP="00965AE9">
      <w:pPr>
        <w:rPr>
          <w:sz w:val="20"/>
          <w:szCs w:val="20"/>
          <w:lang w:val="fr-CA"/>
        </w:rPr>
      </w:pPr>
    </w:p>
    <w:p w:rsidR="00965AE9" w:rsidRPr="001B157C" w:rsidRDefault="00965AE9" w:rsidP="00965AE9">
      <w:pPr>
        <w:rPr>
          <w:sz w:val="20"/>
          <w:szCs w:val="20"/>
          <w:u w:val="single"/>
        </w:rPr>
      </w:pPr>
      <w:r w:rsidRPr="001B157C">
        <w:rPr>
          <w:sz w:val="20"/>
          <w:szCs w:val="20"/>
          <w:u w:val="single"/>
        </w:rPr>
        <w:t>CASE SUMMARY</w:t>
      </w:r>
    </w:p>
    <w:p w:rsidR="00965AE9" w:rsidRDefault="00965AE9" w:rsidP="00965AE9">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528CB" w:rsidRPr="00163264" w:rsidTr="00E2016D">
        <w:tc>
          <w:tcPr>
            <w:tcW w:w="5000" w:type="pct"/>
            <w:gridSpan w:val="3"/>
          </w:tcPr>
          <w:p w:rsidR="003528CB" w:rsidRPr="00163264" w:rsidRDefault="003528CB" w:rsidP="00E2016D">
            <w:pPr>
              <w:jc w:val="both"/>
              <w:rPr>
                <w:rFonts w:eastAsia="Calibri"/>
                <w:smallCaps/>
                <w:sz w:val="20"/>
              </w:rPr>
            </w:pPr>
            <w:r w:rsidRPr="00163264">
              <w:rPr>
                <w:rFonts w:eastAsia="Calibri"/>
                <w:smallCaps/>
                <w:sz w:val="20"/>
              </w:rPr>
              <w:t xml:space="preserve">(Court </w:t>
            </w:r>
            <w:r>
              <w:rPr>
                <w:rFonts w:eastAsia="Calibri"/>
                <w:smallCaps/>
                <w:sz w:val="20"/>
              </w:rPr>
              <w:t>F</w:t>
            </w:r>
            <w:r w:rsidR="00636E24">
              <w:rPr>
                <w:rFonts w:eastAsia="Calibri"/>
                <w:smallCaps/>
                <w:sz w:val="20"/>
              </w:rPr>
              <w:t>i</w:t>
            </w:r>
            <w:r w:rsidRPr="00163264">
              <w:rPr>
                <w:rFonts w:eastAsia="Calibri"/>
                <w:smallCaps/>
                <w:sz w:val="20"/>
              </w:rPr>
              <w:t xml:space="preserve">le </w:t>
            </w:r>
            <w:r>
              <w:rPr>
                <w:rFonts w:eastAsia="Calibri"/>
                <w:smallCaps/>
                <w:sz w:val="20"/>
              </w:rPr>
              <w:t>C</w:t>
            </w:r>
            <w:r w:rsidRPr="00163264">
              <w:rPr>
                <w:rFonts w:eastAsia="Calibri"/>
                <w:smallCaps/>
                <w:sz w:val="20"/>
              </w:rPr>
              <w:t xml:space="preserve">ontains </w:t>
            </w:r>
            <w:r>
              <w:rPr>
                <w:rFonts w:eastAsia="Calibri"/>
                <w:smallCaps/>
                <w:sz w:val="20"/>
              </w:rPr>
              <w:t>I</w:t>
            </w:r>
            <w:r w:rsidRPr="00163264">
              <w:rPr>
                <w:rFonts w:eastAsia="Calibri"/>
                <w:smallCaps/>
                <w:sz w:val="20"/>
              </w:rPr>
              <w:t xml:space="preserve">nformation </w:t>
            </w:r>
            <w:r>
              <w:rPr>
                <w:rFonts w:eastAsia="Calibri"/>
                <w:smallCaps/>
                <w:sz w:val="20"/>
              </w:rPr>
              <w:t>T</w:t>
            </w:r>
            <w:r w:rsidRPr="00163264">
              <w:rPr>
                <w:rFonts w:eastAsia="Calibri"/>
                <w:smallCaps/>
                <w:sz w:val="20"/>
              </w:rPr>
              <w:t xml:space="preserve">hat is not </w:t>
            </w:r>
            <w:r>
              <w:rPr>
                <w:rFonts w:eastAsia="Calibri"/>
                <w:smallCaps/>
                <w:sz w:val="20"/>
              </w:rPr>
              <w:t>A</w:t>
            </w:r>
            <w:r w:rsidRPr="00163264">
              <w:rPr>
                <w:rFonts w:eastAsia="Calibri"/>
                <w:smallCaps/>
                <w:sz w:val="20"/>
              </w:rPr>
              <w:t xml:space="preserve">vailable for </w:t>
            </w:r>
            <w:r>
              <w:rPr>
                <w:rFonts w:eastAsia="Calibri"/>
                <w:smallCaps/>
                <w:sz w:val="20"/>
              </w:rPr>
              <w:t>I</w:t>
            </w:r>
            <w:r w:rsidRPr="00163264">
              <w:rPr>
                <w:rFonts w:eastAsia="Calibri"/>
                <w:smallCaps/>
                <w:sz w:val="20"/>
              </w:rPr>
              <w:t xml:space="preserve">nspection by the </w:t>
            </w:r>
            <w:r>
              <w:rPr>
                <w:rFonts w:eastAsia="Calibri"/>
                <w:smallCaps/>
                <w:sz w:val="20"/>
              </w:rPr>
              <w:t>P</w:t>
            </w:r>
            <w:r w:rsidRPr="00163264">
              <w:rPr>
                <w:rFonts w:eastAsia="Calibri"/>
                <w:smallCaps/>
                <w:sz w:val="20"/>
              </w:rPr>
              <w:t>ublic)</w:t>
            </w:r>
          </w:p>
          <w:p w:rsidR="003528CB" w:rsidRPr="00163264" w:rsidRDefault="003528CB" w:rsidP="00E2016D">
            <w:pPr>
              <w:jc w:val="both"/>
              <w:rPr>
                <w:rFonts w:eastAsia="Calibri"/>
                <w:sz w:val="20"/>
              </w:rPr>
            </w:pPr>
          </w:p>
          <w:p w:rsidR="003528CB" w:rsidRPr="00163264" w:rsidRDefault="003528CB" w:rsidP="00E2016D">
            <w:pPr>
              <w:jc w:val="both"/>
              <w:rPr>
                <w:rFonts w:eastAsia="Calibri"/>
                <w:sz w:val="20"/>
              </w:rPr>
            </w:pPr>
            <w:r w:rsidRPr="00163264">
              <w:rPr>
                <w:rFonts w:eastAsia="Calibri"/>
                <w:i/>
                <w:sz w:val="20"/>
              </w:rPr>
              <w:t>Charter of Rights</w:t>
            </w:r>
            <w:r w:rsidRPr="00163264">
              <w:rPr>
                <w:rFonts w:eastAsia="Calibri"/>
                <w:sz w:val="20"/>
              </w:rPr>
              <w:t xml:space="preserve"> – Search and seizure – Respondents in main action obtaining court documents concerning applicants in other court cases – Applicants motion for injunction prohibiting respondents from introducing documents based on statutory and litigation privilege refused – Whether applicants were subjected to unlawful searches and seizure resulting in jurisdictional order – Whether there was injustice in lower courts warranting intervention by this Court – Whether underlying appeals are of superordinate national importance.</w:t>
            </w:r>
          </w:p>
        </w:tc>
      </w:tr>
      <w:tr w:rsidR="003528CB" w:rsidRPr="00163264" w:rsidTr="00E2016D">
        <w:tc>
          <w:tcPr>
            <w:tcW w:w="5000" w:type="pct"/>
            <w:gridSpan w:val="3"/>
          </w:tcPr>
          <w:p w:rsidR="003528CB" w:rsidRPr="00163264" w:rsidRDefault="003528CB" w:rsidP="00E2016D">
            <w:pPr>
              <w:jc w:val="both"/>
              <w:rPr>
                <w:rFonts w:eastAsia="Calibri"/>
                <w:sz w:val="20"/>
              </w:rPr>
            </w:pPr>
          </w:p>
        </w:tc>
      </w:tr>
      <w:tr w:rsidR="003528CB" w:rsidRPr="00163264" w:rsidTr="00E2016D">
        <w:tc>
          <w:tcPr>
            <w:tcW w:w="5000" w:type="pct"/>
            <w:gridSpan w:val="3"/>
          </w:tcPr>
          <w:p w:rsidR="003528CB" w:rsidRPr="00163264" w:rsidRDefault="003528CB" w:rsidP="00E2016D">
            <w:pPr>
              <w:jc w:val="both"/>
              <w:rPr>
                <w:rFonts w:eastAsia="Calibri"/>
                <w:sz w:val="20"/>
              </w:rPr>
            </w:pPr>
            <w:r w:rsidRPr="00163264">
              <w:rPr>
                <w:rFonts w:eastAsia="Calibri"/>
                <w:sz w:val="20"/>
              </w:rPr>
              <w:t>In 2006, the applicants brought an action against the respondents, claiming that equipment sold by the respondents had design flaws that caused them business losses.  The respondents denied the allegations.  There were many motions and appeals.  The Nova Scotia Court of Appeal dismissed the applicants’ motions for extensions of time to file their motions for leave to review previous court orders.</w:t>
            </w:r>
          </w:p>
          <w:p w:rsidR="003528CB" w:rsidRPr="00163264" w:rsidRDefault="003528CB" w:rsidP="00E2016D">
            <w:pPr>
              <w:jc w:val="both"/>
              <w:rPr>
                <w:rFonts w:eastAsia="Calibri"/>
                <w:sz w:val="20"/>
              </w:rPr>
            </w:pPr>
          </w:p>
        </w:tc>
      </w:tr>
      <w:tr w:rsidR="003528CB" w:rsidRPr="00163264" w:rsidTr="00E2016D">
        <w:tc>
          <w:tcPr>
            <w:tcW w:w="2427" w:type="pct"/>
          </w:tcPr>
          <w:p w:rsidR="003528CB" w:rsidRPr="00163264" w:rsidRDefault="003528CB" w:rsidP="00E2016D">
            <w:pPr>
              <w:jc w:val="both"/>
              <w:rPr>
                <w:rFonts w:eastAsia="Calibri"/>
                <w:sz w:val="20"/>
              </w:rPr>
            </w:pPr>
            <w:r w:rsidRPr="00163264">
              <w:rPr>
                <w:rFonts w:eastAsia="Calibri"/>
                <w:sz w:val="20"/>
              </w:rPr>
              <w:t>March 28, 2014</w:t>
            </w:r>
          </w:p>
          <w:p w:rsidR="003528CB" w:rsidRPr="00163264" w:rsidRDefault="003528CB" w:rsidP="00E2016D">
            <w:pPr>
              <w:jc w:val="both"/>
              <w:rPr>
                <w:rFonts w:eastAsia="Calibri"/>
                <w:sz w:val="20"/>
              </w:rPr>
            </w:pPr>
            <w:r w:rsidRPr="00163264">
              <w:rPr>
                <w:rFonts w:eastAsia="Calibri"/>
                <w:sz w:val="20"/>
              </w:rPr>
              <w:t>Nova Scotia Court of Appeal</w:t>
            </w:r>
          </w:p>
          <w:p w:rsidR="003528CB" w:rsidRPr="00163264" w:rsidRDefault="003528CB" w:rsidP="00E2016D">
            <w:pPr>
              <w:jc w:val="both"/>
              <w:rPr>
                <w:rFonts w:eastAsia="Calibri"/>
                <w:sz w:val="20"/>
              </w:rPr>
            </w:pPr>
            <w:r w:rsidRPr="00163264">
              <w:rPr>
                <w:rFonts w:eastAsia="Calibri"/>
                <w:sz w:val="20"/>
              </w:rPr>
              <w:t>(MacDonald C.J.)</w:t>
            </w:r>
          </w:p>
          <w:p w:rsidR="003528CB" w:rsidRPr="00163264" w:rsidRDefault="003528CB" w:rsidP="00E2016D">
            <w:pPr>
              <w:jc w:val="both"/>
              <w:rPr>
                <w:rFonts w:eastAsia="Calibri"/>
                <w:sz w:val="20"/>
              </w:rPr>
            </w:pPr>
            <w:r w:rsidRPr="00163264">
              <w:rPr>
                <w:rFonts w:eastAsia="Calibri"/>
                <w:sz w:val="20"/>
              </w:rPr>
              <w:t>Unreported</w:t>
            </w:r>
          </w:p>
          <w:p w:rsidR="003528CB" w:rsidRPr="00163264" w:rsidRDefault="003528CB" w:rsidP="00E2016D">
            <w:pPr>
              <w:jc w:val="both"/>
              <w:rPr>
                <w:rFonts w:eastAsia="Calibri"/>
                <w:sz w:val="20"/>
              </w:rPr>
            </w:pPr>
          </w:p>
        </w:tc>
        <w:tc>
          <w:tcPr>
            <w:tcW w:w="243" w:type="pct"/>
          </w:tcPr>
          <w:p w:rsidR="003528CB" w:rsidRPr="00163264" w:rsidRDefault="003528CB" w:rsidP="00E2016D">
            <w:pPr>
              <w:jc w:val="both"/>
              <w:rPr>
                <w:rFonts w:eastAsia="Calibri"/>
                <w:sz w:val="20"/>
              </w:rPr>
            </w:pPr>
          </w:p>
        </w:tc>
        <w:tc>
          <w:tcPr>
            <w:tcW w:w="2330" w:type="pct"/>
          </w:tcPr>
          <w:p w:rsidR="003528CB" w:rsidRPr="00163264" w:rsidRDefault="003528CB" w:rsidP="00E2016D">
            <w:pPr>
              <w:jc w:val="both"/>
              <w:rPr>
                <w:rFonts w:eastAsia="Calibri"/>
                <w:sz w:val="20"/>
              </w:rPr>
            </w:pPr>
            <w:r w:rsidRPr="00163264">
              <w:rPr>
                <w:rFonts w:eastAsia="Calibri"/>
                <w:sz w:val="20"/>
              </w:rPr>
              <w:t>Applicants’ motions for extensions of time to file their motions for leave to review in three actions denied</w:t>
            </w:r>
          </w:p>
          <w:p w:rsidR="003528CB" w:rsidRPr="00163264" w:rsidRDefault="003528CB" w:rsidP="00E2016D">
            <w:pPr>
              <w:jc w:val="both"/>
              <w:rPr>
                <w:rFonts w:eastAsia="Calibri"/>
                <w:sz w:val="20"/>
              </w:rPr>
            </w:pPr>
          </w:p>
        </w:tc>
      </w:tr>
      <w:tr w:rsidR="003528CB" w:rsidRPr="00163264" w:rsidTr="00E2016D">
        <w:tc>
          <w:tcPr>
            <w:tcW w:w="2427" w:type="pct"/>
          </w:tcPr>
          <w:p w:rsidR="003528CB" w:rsidRPr="00163264" w:rsidRDefault="003528CB" w:rsidP="00E2016D">
            <w:pPr>
              <w:jc w:val="both"/>
              <w:rPr>
                <w:rFonts w:eastAsia="Calibri"/>
                <w:sz w:val="20"/>
              </w:rPr>
            </w:pPr>
            <w:r w:rsidRPr="00163264">
              <w:rPr>
                <w:rFonts w:eastAsia="Calibri"/>
                <w:sz w:val="20"/>
              </w:rPr>
              <w:t>May 2, 2014</w:t>
            </w:r>
          </w:p>
          <w:p w:rsidR="003528CB" w:rsidRPr="00163264" w:rsidRDefault="003528CB" w:rsidP="00E2016D">
            <w:pPr>
              <w:jc w:val="both"/>
              <w:rPr>
                <w:rFonts w:eastAsia="Calibri"/>
                <w:sz w:val="20"/>
              </w:rPr>
            </w:pPr>
            <w:r w:rsidRPr="00163264">
              <w:rPr>
                <w:rFonts w:eastAsia="Calibri"/>
                <w:sz w:val="20"/>
              </w:rPr>
              <w:t>Supreme Court of Canada</w:t>
            </w:r>
          </w:p>
        </w:tc>
        <w:tc>
          <w:tcPr>
            <w:tcW w:w="243" w:type="pct"/>
          </w:tcPr>
          <w:p w:rsidR="003528CB" w:rsidRPr="00163264" w:rsidRDefault="003528CB" w:rsidP="00E2016D">
            <w:pPr>
              <w:jc w:val="both"/>
              <w:rPr>
                <w:rFonts w:eastAsia="Calibri"/>
                <w:sz w:val="20"/>
              </w:rPr>
            </w:pPr>
          </w:p>
        </w:tc>
        <w:tc>
          <w:tcPr>
            <w:tcW w:w="2330" w:type="pct"/>
          </w:tcPr>
          <w:p w:rsidR="003528CB" w:rsidRPr="00163264" w:rsidRDefault="003528CB" w:rsidP="00E2016D">
            <w:pPr>
              <w:jc w:val="both"/>
              <w:rPr>
                <w:rFonts w:eastAsia="Calibri"/>
                <w:sz w:val="20"/>
              </w:rPr>
            </w:pPr>
            <w:r w:rsidRPr="00163264">
              <w:rPr>
                <w:rFonts w:eastAsia="Calibri"/>
                <w:sz w:val="20"/>
              </w:rPr>
              <w:t>Application for leave to appeal filed</w:t>
            </w:r>
          </w:p>
          <w:p w:rsidR="003528CB" w:rsidRPr="00163264" w:rsidRDefault="003528CB" w:rsidP="00E2016D">
            <w:pPr>
              <w:jc w:val="both"/>
              <w:rPr>
                <w:rFonts w:eastAsia="Calibri"/>
                <w:sz w:val="20"/>
              </w:rPr>
            </w:pPr>
          </w:p>
        </w:tc>
      </w:tr>
    </w:tbl>
    <w:p w:rsidR="00965AE9" w:rsidRDefault="00965AE9" w:rsidP="00965AE9">
      <w:pPr>
        <w:rPr>
          <w:sz w:val="20"/>
          <w:szCs w:val="20"/>
        </w:rPr>
      </w:pPr>
    </w:p>
    <w:p w:rsidR="00965AE9" w:rsidRPr="00C50A5C" w:rsidRDefault="00944C2E" w:rsidP="00965AE9">
      <w:pPr>
        <w:rPr>
          <w:sz w:val="20"/>
          <w:szCs w:val="20"/>
        </w:rPr>
      </w:pPr>
      <w:r>
        <w:rPr>
          <w:sz w:val="20"/>
          <w:szCs w:val="20"/>
          <w:lang w:val="fr-CA"/>
        </w:rPr>
        <w:pict>
          <v:rect id="_x0000_i1059" style="width:2in;height:1pt" o:hrpct="0" o:hralign="center" o:hrstd="t" o:hrnoshade="t" o:hr="t" fillcolor="black [3213]" stroked="f"/>
        </w:pict>
      </w:r>
    </w:p>
    <w:p w:rsidR="00965AE9" w:rsidRDefault="00965AE9" w:rsidP="00965AE9">
      <w:pPr>
        <w:rPr>
          <w:sz w:val="20"/>
          <w:szCs w:val="20"/>
        </w:rPr>
      </w:pPr>
    </w:p>
    <w:p w:rsidR="00965AE9" w:rsidRPr="001B157C" w:rsidRDefault="00965AE9" w:rsidP="00965AE9">
      <w:pPr>
        <w:rPr>
          <w:sz w:val="20"/>
          <w:szCs w:val="20"/>
          <w:u w:val="single"/>
          <w:lang w:val="fr-CA"/>
        </w:rPr>
      </w:pPr>
      <w:r w:rsidRPr="001B157C">
        <w:rPr>
          <w:sz w:val="20"/>
          <w:szCs w:val="20"/>
          <w:u w:val="single"/>
          <w:lang w:val="fr-CA"/>
        </w:rPr>
        <w:t>RÉSUMÉ DE L’AFFAIRE</w:t>
      </w:r>
    </w:p>
    <w:p w:rsidR="00965AE9" w:rsidRDefault="00965AE9" w:rsidP="00965AE9">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528CB" w:rsidRPr="00944C2E" w:rsidTr="00E2016D">
        <w:tc>
          <w:tcPr>
            <w:tcW w:w="5000" w:type="pct"/>
            <w:gridSpan w:val="3"/>
          </w:tcPr>
          <w:p w:rsidR="003528CB" w:rsidRPr="00163264" w:rsidRDefault="003528CB" w:rsidP="00E2016D">
            <w:pPr>
              <w:jc w:val="both"/>
              <w:rPr>
                <w:rFonts w:eastAsia="Calibri"/>
                <w:smallCaps/>
                <w:sz w:val="20"/>
                <w:lang w:val="fr-CA"/>
              </w:rPr>
            </w:pPr>
            <w:r w:rsidRPr="00163264">
              <w:rPr>
                <w:rFonts w:eastAsia="Calibri"/>
                <w:smallCaps/>
                <w:sz w:val="20"/>
                <w:lang w:val="fr-CA"/>
              </w:rPr>
              <w:t>(</w:t>
            </w:r>
            <w:r>
              <w:rPr>
                <w:rFonts w:eastAsia="Calibri"/>
                <w:smallCaps/>
                <w:sz w:val="20"/>
                <w:lang w:val="fr-CA"/>
              </w:rPr>
              <w:t>L</w:t>
            </w:r>
            <w:r w:rsidRPr="00163264">
              <w:rPr>
                <w:rFonts w:eastAsia="Calibri"/>
                <w:smallCaps/>
                <w:sz w:val="20"/>
                <w:lang w:val="fr-CA"/>
              </w:rPr>
              <w:t>e dossier de la cour renferme des données que le public n’est pas autorisé à consulter)</w:t>
            </w:r>
          </w:p>
          <w:p w:rsidR="003528CB" w:rsidRPr="00163264" w:rsidRDefault="003528CB" w:rsidP="00E2016D">
            <w:pPr>
              <w:jc w:val="both"/>
              <w:rPr>
                <w:rFonts w:eastAsia="Calibri"/>
                <w:sz w:val="20"/>
                <w:lang w:val="fr-CA"/>
              </w:rPr>
            </w:pPr>
          </w:p>
          <w:p w:rsidR="003528CB" w:rsidRPr="00163264" w:rsidRDefault="003528CB" w:rsidP="00E2016D">
            <w:pPr>
              <w:jc w:val="both"/>
              <w:rPr>
                <w:rFonts w:eastAsia="Calibri"/>
                <w:sz w:val="20"/>
                <w:lang w:val="fr-CA"/>
              </w:rPr>
            </w:pPr>
            <w:r w:rsidRPr="00163264">
              <w:rPr>
                <w:rFonts w:eastAsia="Calibri"/>
                <w:i/>
                <w:sz w:val="20"/>
                <w:lang w:val="fr-CA"/>
              </w:rPr>
              <w:t>Charte des droits</w:t>
            </w:r>
            <w:r w:rsidRPr="00163264">
              <w:rPr>
                <w:rFonts w:eastAsia="Calibri"/>
                <w:sz w:val="20"/>
                <w:lang w:val="fr-CA"/>
              </w:rPr>
              <w:t xml:space="preserve"> – Fouilles, perquisitions et saisies – Obtention par les intimées dans l’action principale de documents judiciaires concernant la participation des demanderesses à d’autres affaires portées devant les tribunaux – Rejet de la requête présentée par les demanderesses pour faire interdire aux intimées de produire des documents en raison du privilège prévu par la loi relativement aux litiges – Les demanderesses ont-elles subi une fouille et une saisie abusives qui sont à l’origine d’une ordonnance? – Les juridictions inférieures ont-elles commis une injustice qui justifie </w:t>
            </w:r>
            <w:r w:rsidRPr="00163264">
              <w:rPr>
                <w:rFonts w:eastAsia="Calibri"/>
                <w:sz w:val="20"/>
                <w:lang w:val="fr-CA"/>
              </w:rPr>
              <w:lastRenderedPageBreak/>
              <w:t xml:space="preserve">l’intervention de notre Cour? – Les appels sous-jacents sont-ils d’une importance nationale supérieure? </w:t>
            </w:r>
          </w:p>
        </w:tc>
      </w:tr>
      <w:tr w:rsidR="003528CB" w:rsidRPr="00944C2E" w:rsidTr="00E2016D">
        <w:tc>
          <w:tcPr>
            <w:tcW w:w="5000" w:type="pct"/>
            <w:gridSpan w:val="3"/>
          </w:tcPr>
          <w:p w:rsidR="003528CB" w:rsidRPr="00163264" w:rsidRDefault="003528CB" w:rsidP="00E2016D">
            <w:pPr>
              <w:jc w:val="both"/>
              <w:rPr>
                <w:rFonts w:eastAsia="Calibri"/>
                <w:sz w:val="20"/>
                <w:lang w:val="fr-CA"/>
              </w:rPr>
            </w:pPr>
          </w:p>
        </w:tc>
      </w:tr>
      <w:tr w:rsidR="003528CB" w:rsidRPr="00944C2E" w:rsidTr="00E2016D">
        <w:tc>
          <w:tcPr>
            <w:tcW w:w="5000" w:type="pct"/>
            <w:gridSpan w:val="3"/>
          </w:tcPr>
          <w:p w:rsidR="003528CB" w:rsidRPr="00163264" w:rsidRDefault="003528CB" w:rsidP="00E2016D">
            <w:pPr>
              <w:jc w:val="both"/>
              <w:rPr>
                <w:rFonts w:eastAsia="Calibri"/>
                <w:sz w:val="20"/>
                <w:lang w:val="fr-CA"/>
              </w:rPr>
            </w:pPr>
            <w:r w:rsidRPr="00163264">
              <w:rPr>
                <w:rFonts w:eastAsia="Calibri"/>
                <w:sz w:val="20"/>
                <w:lang w:val="fr-CA"/>
              </w:rPr>
              <w:t>En 2006, les demanderesses ont intenté une action contre les intimées, alléguant que le matériel que ces dernières ont vendu avait des vices de conception qui leur ont causé des pertes d’entreprise.  Les intimées ont nié les allégations.  Bon nombre de requêtes ont été présentées, et d’appels interjetés.  La Cour d’appel de la Nouvelle-Écosse a rejeté les requêtes présentées par les demanderesses en vue d’obtenir la prorogation du délai pour déposer leurs requêtes en autorisation de contrôle judiciaire d’ordonnances antérieures.</w:t>
            </w:r>
          </w:p>
          <w:p w:rsidR="003528CB" w:rsidRPr="00163264" w:rsidRDefault="003528CB" w:rsidP="00E2016D">
            <w:pPr>
              <w:jc w:val="both"/>
              <w:rPr>
                <w:rFonts w:eastAsia="Calibri"/>
                <w:sz w:val="20"/>
                <w:lang w:val="fr-CA"/>
              </w:rPr>
            </w:pPr>
          </w:p>
        </w:tc>
      </w:tr>
      <w:tr w:rsidR="003528CB" w:rsidRPr="00944C2E" w:rsidTr="00E2016D">
        <w:tc>
          <w:tcPr>
            <w:tcW w:w="2427" w:type="pct"/>
          </w:tcPr>
          <w:p w:rsidR="003528CB" w:rsidRPr="00163264" w:rsidRDefault="003528CB" w:rsidP="00E2016D">
            <w:pPr>
              <w:jc w:val="both"/>
              <w:rPr>
                <w:rFonts w:eastAsia="Calibri"/>
                <w:sz w:val="20"/>
                <w:lang w:val="fr-CA"/>
              </w:rPr>
            </w:pPr>
            <w:r w:rsidRPr="00163264">
              <w:rPr>
                <w:rFonts w:eastAsia="Calibri"/>
                <w:sz w:val="20"/>
                <w:lang w:val="fr-CA"/>
              </w:rPr>
              <w:t>28 mars 2014</w:t>
            </w:r>
          </w:p>
          <w:p w:rsidR="003528CB" w:rsidRPr="00163264" w:rsidRDefault="003528CB" w:rsidP="00E2016D">
            <w:pPr>
              <w:jc w:val="both"/>
              <w:rPr>
                <w:rFonts w:eastAsia="Calibri"/>
                <w:sz w:val="20"/>
                <w:lang w:val="fr-CA"/>
              </w:rPr>
            </w:pPr>
            <w:r w:rsidRPr="00163264">
              <w:rPr>
                <w:rFonts w:eastAsia="Calibri"/>
                <w:sz w:val="20"/>
                <w:lang w:val="fr-CA"/>
              </w:rPr>
              <w:t xml:space="preserve">Cour d’appel de la Nouvelle-Écosse </w:t>
            </w:r>
          </w:p>
          <w:p w:rsidR="003528CB" w:rsidRPr="00163264" w:rsidRDefault="003528CB" w:rsidP="00E2016D">
            <w:pPr>
              <w:jc w:val="both"/>
              <w:rPr>
                <w:rFonts w:eastAsia="Calibri"/>
                <w:sz w:val="20"/>
                <w:lang w:val="fr-CA"/>
              </w:rPr>
            </w:pPr>
            <w:r w:rsidRPr="00163264">
              <w:rPr>
                <w:rFonts w:eastAsia="Calibri"/>
                <w:sz w:val="20"/>
                <w:lang w:val="fr-CA"/>
              </w:rPr>
              <w:t>(Juge en chef MacDonald)</w:t>
            </w:r>
          </w:p>
          <w:p w:rsidR="003528CB" w:rsidRPr="00163264" w:rsidRDefault="003528CB" w:rsidP="00E2016D">
            <w:pPr>
              <w:jc w:val="both"/>
              <w:rPr>
                <w:rFonts w:eastAsia="Calibri"/>
                <w:sz w:val="20"/>
                <w:lang w:val="fr-CA"/>
              </w:rPr>
            </w:pPr>
            <w:r w:rsidRPr="00163264">
              <w:rPr>
                <w:rFonts w:eastAsia="Calibri"/>
                <w:sz w:val="20"/>
                <w:lang w:val="fr-CA"/>
              </w:rPr>
              <w:t>Inédite</w:t>
            </w:r>
          </w:p>
          <w:p w:rsidR="003528CB" w:rsidRPr="00163264" w:rsidRDefault="003528CB" w:rsidP="00E2016D">
            <w:pPr>
              <w:jc w:val="both"/>
              <w:rPr>
                <w:rFonts w:eastAsia="Calibri"/>
                <w:sz w:val="20"/>
                <w:lang w:val="fr-CA"/>
              </w:rPr>
            </w:pPr>
          </w:p>
        </w:tc>
        <w:tc>
          <w:tcPr>
            <w:tcW w:w="243" w:type="pct"/>
          </w:tcPr>
          <w:p w:rsidR="003528CB" w:rsidRPr="00163264" w:rsidRDefault="003528CB" w:rsidP="00E2016D">
            <w:pPr>
              <w:jc w:val="both"/>
              <w:rPr>
                <w:rFonts w:eastAsia="Calibri"/>
                <w:sz w:val="20"/>
                <w:lang w:val="fr-CA"/>
              </w:rPr>
            </w:pPr>
          </w:p>
        </w:tc>
        <w:tc>
          <w:tcPr>
            <w:tcW w:w="2330" w:type="pct"/>
          </w:tcPr>
          <w:p w:rsidR="003528CB" w:rsidRPr="00163264" w:rsidRDefault="003528CB" w:rsidP="00E2016D">
            <w:pPr>
              <w:jc w:val="both"/>
              <w:rPr>
                <w:rFonts w:eastAsia="Calibri"/>
                <w:sz w:val="20"/>
                <w:lang w:val="fr-CA"/>
              </w:rPr>
            </w:pPr>
            <w:r w:rsidRPr="00163264">
              <w:rPr>
                <w:rFonts w:eastAsia="Calibri"/>
                <w:sz w:val="20"/>
                <w:lang w:val="fr-CA"/>
              </w:rPr>
              <w:t xml:space="preserve">Requêtes des demanderesses en prorogation du délai pour déposer leurs requêtes en autorisation de contrôle judiciaire dans trois instances rejetées </w:t>
            </w:r>
          </w:p>
          <w:p w:rsidR="003528CB" w:rsidRPr="00163264" w:rsidRDefault="003528CB" w:rsidP="00E2016D">
            <w:pPr>
              <w:jc w:val="both"/>
              <w:rPr>
                <w:rFonts w:eastAsia="Calibri"/>
                <w:sz w:val="20"/>
                <w:lang w:val="fr-CA"/>
              </w:rPr>
            </w:pPr>
          </w:p>
        </w:tc>
      </w:tr>
      <w:tr w:rsidR="003528CB" w:rsidRPr="00163264" w:rsidTr="00E2016D">
        <w:tc>
          <w:tcPr>
            <w:tcW w:w="2427" w:type="pct"/>
          </w:tcPr>
          <w:p w:rsidR="003528CB" w:rsidRPr="00163264" w:rsidRDefault="003528CB" w:rsidP="00E2016D">
            <w:pPr>
              <w:jc w:val="both"/>
              <w:rPr>
                <w:rFonts w:eastAsia="Calibri"/>
                <w:sz w:val="20"/>
                <w:lang w:val="fr-CA"/>
              </w:rPr>
            </w:pPr>
            <w:r w:rsidRPr="00163264">
              <w:rPr>
                <w:rFonts w:eastAsia="Calibri"/>
                <w:sz w:val="20"/>
                <w:lang w:val="fr-CA"/>
              </w:rPr>
              <w:t>2 mai 2014</w:t>
            </w:r>
          </w:p>
          <w:p w:rsidR="003528CB" w:rsidRPr="00163264" w:rsidRDefault="003528CB" w:rsidP="00E2016D">
            <w:pPr>
              <w:jc w:val="both"/>
              <w:rPr>
                <w:rFonts w:eastAsia="Calibri"/>
                <w:sz w:val="20"/>
                <w:lang w:val="fr-CA"/>
              </w:rPr>
            </w:pPr>
            <w:r w:rsidRPr="00163264">
              <w:rPr>
                <w:rFonts w:eastAsia="Calibri"/>
                <w:sz w:val="20"/>
                <w:lang w:val="fr-CA"/>
              </w:rPr>
              <w:t>Cour suprême du Canada</w:t>
            </w:r>
          </w:p>
        </w:tc>
        <w:tc>
          <w:tcPr>
            <w:tcW w:w="243" w:type="pct"/>
          </w:tcPr>
          <w:p w:rsidR="003528CB" w:rsidRPr="00163264" w:rsidRDefault="003528CB" w:rsidP="00E2016D">
            <w:pPr>
              <w:jc w:val="both"/>
              <w:rPr>
                <w:rFonts w:eastAsia="Calibri"/>
                <w:sz w:val="20"/>
                <w:lang w:val="fr-CA"/>
              </w:rPr>
            </w:pPr>
          </w:p>
        </w:tc>
        <w:tc>
          <w:tcPr>
            <w:tcW w:w="2330" w:type="pct"/>
          </w:tcPr>
          <w:p w:rsidR="003528CB" w:rsidRPr="00163264" w:rsidRDefault="003528CB" w:rsidP="00E2016D">
            <w:pPr>
              <w:jc w:val="both"/>
              <w:rPr>
                <w:rFonts w:eastAsia="Calibri"/>
                <w:sz w:val="20"/>
              </w:rPr>
            </w:pPr>
            <w:r w:rsidRPr="00163264">
              <w:rPr>
                <w:rFonts w:eastAsia="Calibri"/>
                <w:sz w:val="20"/>
                <w:lang w:val="fr-CA"/>
              </w:rPr>
              <w:t xml:space="preserve">Demande d’autorisation d’appel déposée </w:t>
            </w:r>
          </w:p>
          <w:p w:rsidR="003528CB" w:rsidRPr="00163264" w:rsidRDefault="003528CB" w:rsidP="00E2016D">
            <w:pPr>
              <w:jc w:val="both"/>
              <w:rPr>
                <w:rFonts w:eastAsia="Calibri"/>
                <w:sz w:val="20"/>
              </w:rPr>
            </w:pPr>
          </w:p>
        </w:tc>
      </w:tr>
    </w:tbl>
    <w:p w:rsidR="00965AE9" w:rsidRPr="00965AE9" w:rsidRDefault="00965AE9" w:rsidP="00965AE9">
      <w:pPr>
        <w:rPr>
          <w:sz w:val="20"/>
          <w:szCs w:val="20"/>
          <w:lang w:val="fr-CA"/>
        </w:rPr>
      </w:pPr>
    </w:p>
    <w:p w:rsidR="00965AE9" w:rsidRDefault="00944C2E" w:rsidP="00965AE9">
      <w:pPr>
        <w:rPr>
          <w:sz w:val="20"/>
          <w:szCs w:val="20"/>
          <w:lang w:val="fr-CA"/>
        </w:rPr>
      </w:pPr>
      <w:r>
        <w:rPr>
          <w:sz w:val="20"/>
          <w:szCs w:val="20"/>
          <w:lang w:val="fr-CA"/>
        </w:rPr>
        <w:pict>
          <v:rect id="_x0000_i1060" style="width:2in;height:1pt" o:hrpct="0" o:hralign="center" o:hrstd="t" o:hrnoshade="t" o:hr="t" fillcolor="black [3213]" stroked="f"/>
        </w:pict>
      </w:r>
    </w:p>
    <w:p w:rsidR="00965AE9" w:rsidRDefault="00965AE9" w:rsidP="00965AE9">
      <w:pPr>
        <w:rPr>
          <w:sz w:val="20"/>
          <w:szCs w:val="20"/>
          <w:lang w:val="fr-CA"/>
        </w:rPr>
      </w:pPr>
    </w:p>
    <w:p w:rsidR="000E2959" w:rsidRPr="007622FA" w:rsidRDefault="000E2959"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B308F6" w:rsidRPr="00B308F6" w:rsidRDefault="00B308F6" w:rsidP="00B308F6">
      <w:pPr>
        <w:tabs>
          <w:tab w:val="left" w:pos="-1440"/>
          <w:tab w:val="left" w:pos="-720"/>
        </w:tabs>
        <w:jc w:val="both"/>
        <w:rPr>
          <w:rFonts w:eastAsia="Times New Roman" w:cs="Times New Roman"/>
          <w:sz w:val="20"/>
          <w:szCs w:val="20"/>
          <w:lang w:val="fr-CA" w:eastAsia="en-CA"/>
        </w:rPr>
      </w:pPr>
      <w:r w:rsidRPr="00B308F6">
        <w:rPr>
          <w:rFonts w:eastAsia="Times New Roman" w:cs="Times New Roman"/>
          <w:sz w:val="20"/>
          <w:szCs w:val="20"/>
          <w:lang w:val="fr-CA" w:eastAsia="en-CA"/>
        </w:rPr>
        <w:t>04.07.2014</w:t>
      </w:r>
    </w:p>
    <w:p w:rsidR="00B308F6" w:rsidRPr="00B308F6" w:rsidRDefault="00B308F6" w:rsidP="00B308F6">
      <w:pPr>
        <w:tabs>
          <w:tab w:val="left" w:pos="-1440"/>
          <w:tab w:val="left" w:pos="-720"/>
        </w:tabs>
        <w:jc w:val="both"/>
        <w:rPr>
          <w:rFonts w:eastAsia="Times New Roman" w:cs="Times New Roman"/>
          <w:sz w:val="20"/>
          <w:szCs w:val="20"/>
          <w:lang w:val="fr-CA" w:eastAsia="en-CA"/>
        </w:rPr>
      </w:pPr>
    </w:p>
    <w:p w:rsidR="00B308F6" w:rsidRPr="00B308F6" w:rsidRDefault="00B308F6" w:rsidP="00B308F6">
      <w:pPr>
        <w:tabs>
          <w:tab w:val="left" w:pos="-1440"/>
          <w:tab w:val="left" w:pos="-720"/>
        </w:tabs>
        <w:jc w:val="both"/>
        <w:rPr>
          <w:rFonts w:eastAsia="Times New Roman" w:cs="Times New Roman"/>
          <w:sz w:val="20"/>
          <w:szCs w:val="20"/>
          <w:lang w:val="fr-CA" w:eastAsia="en-CA"/>
        </w:rPr>
      </w:pPr>
      <w:r w:rsidRPr="00B308F6">
        <w:rPr>
          <w:rFonts w:eastAsia="Times New Roman" w:cs="Times New Roman"/>
          <w:sz w:val="20"/>
          <w:szCs w:val="20"/>
          <w:lang w:val="fr-CA" w:eastAsia="en-CA"/>
        </w:rPr>
        <w:t>Before / Devant :   LEBEL J. / LE JUGE LEBEL</w:t>
      </w:r>
    </w:p>
    <w:p w:rsidR="00B308F6" w:rsidRPr="00B308F6" w:rsidRDefault="00B308F6" w:rsidP="00B308F6">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B308F6" w:rsidRPr="00944C2E" w:rsidTr="0097756E">
        <w:tc>
          <w:tcPr>
            <w:tcW w:w="4338" w:type="dxa"/>
            <w:gridSpan w:val="2"/>
          </w:tcPr>
          <w:p w:rsidR="00B308F6" w:rsidRPr="00B308F6" w:rsidRDefault="00B308F6" w:rsidP="00B308F6">
            <w:pPr>
              <w:jc w:val="both"/>
              <w:rPr>
                <w:b/>
              </w:rPr>
            </w:pPr>
            <w:r w:rsidRPr="00B308F6">
              <w:rPr>
                <w:b/>
                <w:bCs/>
                <w:color w:val="000000"/>
                <w:lang w:val="en-GB"/>
              </w:rPr>
              <w:t>Motion for an extension of time for leave to intervene and for leave to intervene</w:t>
            </w:r>
            <w:r w:rsidRPr="00B308F6">
              <w:rPr>
                <w:lang w:val="en-US"/>
              </w:rPr>
              <w:t xml:space="preserve"> </w:t>
            </w:r>
            <w:r w:rsidR="00935682" w:rsidRPr="00B308F6">
              <w:rPr>
                <w:lang w:val="en-US"/>
              </w:rPr>
              <w:fldChar w:fldCharType="begin"/>
            </w:r>
            <w:r w:rsidRPr="00B308F6">
              <w:instrText xml:space="preserve"> SEQ CHAPTER \h \r 1</w:instrText>
            </w:r>
            <w:r w:rsidR="00935682" w:rsidRPr="00B308F6">
              <w:rPr>
                <w:lang w:val="en-US"/>
              </w:rPr>
              <w:fldChar w:fldCharType="end"/>
            </w:r>
          </w:p>
        </w:tc>
        <w:tc>
          <w:tcPr>
            <w:tcW w:w="1170" w:type="dxa"/>
          </w:tcPr>
          <w:p w:rsidR="00B308F6" w:rsidRPr="00B308F6" w:rsidRDefault="00B308F6" w:rsidP="00B308F6"/>
          <w:p w:rsidR="00B308F6" w:rsidRPr="00B308F6" w:rsidRDefault="00B308F6" w:rsidP="00B308F6"/>
          <w:p w:rsidR="00B308F6" w:rsidRPr="00B308F6" w:rsidRDefault="00B308F6" w:rsidP="00B308F6"/>
          <w:p w:rsidR="00B308F6" w:rsidRPr="00B308F6" w:rsidRDefault="00B308F6" w:rsidP="00B308F6"/>
        </w:tc>
        <w:tc>
          <w:tcPr>
            <w:tcW w:w="4327" w:type="dxa"/>
          </w:tcPr>
          <w:p w:rsidR="00B308F6" w:rsidRPr="00B308F6" w:rsidRDefault="00B308F6" w:rsidP="00B308F6">
            <w:pPr>
              <w:jc w:val="both"/>
              <w:rPr>
                <w:b/>
                <w:lang w:val="fr-CA"/>
              </w:rPr>
            </w:pPr>
            <w:r w:rsidRPr="00B308F6">
              <w:rPr>
                <w:b/>
                <w:bCs/>
                <w:color w:val="000000"/>
                <w:lang w:val="fr-CA"/>
              </w:rPr>
              <w:t>Requête en prorogation du délai pour demander l’autorisation d’intervenir et en autorisation d’intervenir</w:t>
            </w:r>
            <w:r w:rsidRPr="00B308F6">
              <w:rPr>
                <w:lang w:val="fr-CA"/>
              </w:rPr>
              <w:t xml:space="preserve"> </w:t>
            </w:r>
            <w:r w:rsidR="00935682" w:rsidRPr="00B308F6">
              <w:rPr>
                <w:lang w:val="en-US"/>
              </w:rPr>
              <w:fldChar w:fldCharType="begin"/>
            </w:r>
            <w:r w:rsidRPr="00B308F6">
              <w:rPr>
                <w:lang w:val="fr-CA"/>
              </w:rPr>
              <w:instrText xml:space="preserve"> SEQ CHAPTER \h \r 1</w:instrText>
            </w:r>
            <w:r w:rsidR="00935682" w:rsidRPr="00B308F6">
              <w:rPr>
                <w:lang w:val="en-US"/>
              </w:rPr>
              <w:fldChar w:fldCharType="end"/>
            </w:r>
          </w:p>
        </w:tc>
      </w:tr>
      <w:tr w:rsidR="00B308F6" w:rsidRPr="00B308F6" w:rsidTr="0097756E">
        <w:trPr>
          <w:trHeight w:hRule="exact" w:val="360"/>
        </w:trPr>
        <w:tc>
          <w:tcPr>
            <w:tcW w:w="1368" w:type="dxa"/>
          </w:tcPr>
          <w:p w:rsidR="00B308F6" w:rsidRPr="00B308F6" w:rsidRDefault="00B308F6" w:rsidP="00B308F6">
            <w:r w:rsidRPr="00B308F6">
              <w:t>BY / PAR</w:t>
            </w:r>
          </w:p>
        </w:tc>
        <w:tc>
          <w:tcPr>
            <w:tcW w:w="2970" w:type="dxa"/>
          </w:tcPr>
          <w:p w:rsidR="00B308F6" w:rsidRPr="00B308F6" w:rsidRDefault="00B308F6" w:rsidP="00B308F6">
            <w:r w:rsidRPr="00B308F6">
              <w:rPr>
                <w:lang w:val="en-US"/>
              </w:rPr>
              <w:t>Advocates’ Society;</w:t>
            </w:r>
          </w:p>
        </w:tc>
        <w:tc>
          <w:tcPr>
            <w:tcW w:w="1170" w:type="dxa"/>
          </w:tcPr>
          <w:p w:rsidR="00B308F6" w:rsidRPr="00B308F6" w:rsidRDefault="00B308F6" w:rsidP="00B308F6"/>
        </w:tc>
        <w:tc>
          <w:tcPr>
            <w:tcW w:w="4327" w:type="dxa"/>
          </w:tcPr>
          <w:p w:rsidR="00B308F6" w:rsidRPr="00B308F6" w:rsidRDefault="00B308F6" w:rsidP="00B308F6"/>
        </w:tc>
      </w:tr>
      <w:tr w:rsidR="00B308F6" w:rsidRPr="00B308F6" w:rsidTr="0097756E">
        <w:trPr>
          <w:trHeight w:hRule="exact" w:val="835"/>
        </w:trPr>
        <w:tc>
          <w:tcPr>
            <w:tcW w:w="1368" w:type="dxa"/>
          </w:tcPr>
          <w:p w:rsidR="00B308F6" w:rsidRPr="00B308F6" w:rsidRDefault="00B308F6" w:rsidP="00B308F6"/>
        </w:tc>
        <w:tc>
          <w:tcPr>
            <w:tcW w:w="2970" w:type="dxa"/>
          </w:tcPr>
          <w:p w:rsidR="00B308F6" w:rsidRPr="00B308F6" w:rsidRDefault="00B308F6" w:rsidP="00B308F6">
            <w:pPr>
              <w:rPr>
                <w:lang w:val="en-US"/>
              </w:rPr>
            </w:pPr>
            <w:r w:rsidRPr="00B308F6">
              <w:rPr>
                <w:lang w:val="en-US"/>
              </w:rPr>
              <w:t>Alliance of People with Disabilities Who Are Supportive of Legal Assisted Dying Society;</w:t>
            </w:r>
          </w:p>
        </w:tc>
        <w:tc>
          <w:tcPr>
            <w:tcW w:w="1170" w:type="dxa"/>
          </w:tcPr>
          <w:p w:rsidR="00B308F6" w:rsidRPr="00B308F6" w:rsidRDefault="00B308F6" w:rsidP="00B308F6"/>
        </w:tc>
        <w:tc>
          <w:tcPr>
            <w:tcW w:w="4327" w:type="dxa"/>
          </w:tcPr>
          <w:p w:rsidR="00B308F6" w:rsidRPr="00B308F6" w:rsidRDefault="00B308F6" w:rsidP="00B308F6"/>
        </w:tc>
      </w:tr>
      <w:tr w:rsidR="00B308F6" w:rsidRPr="00B308F6" w:rsidTr="0097756E">
        <w:trPr>
          <w:trHeight w:hRule="exact" w:val="576"/>
        </w:trPr>
        <w:tc>
          <w:tcPr>
            <w:tcW w:w="1368" w:type="dxa"/>
          </w:tcPr>
          <w:p w:rsidR="00B308F6" w:rsidRPr="00B308F6" w:rsidRDefault="00B308F6" w:rsidP="00B308F6"/>
        </w:tc>
        <w:tc>
          <w:tcPr>
            <w:tcW w:w="2970" w:type="dxa"/>
          </w:tcPr>
          <w:p w:rsidR="00B308F6" w:rsidRPr="00B308F6" w:rsidRDefault="00B308F6" w:rsidP="00B308F6">
            <w:pPr>
              <w:rPr>
                <w:lang w:val="en-US"/>
              </w:rPr>
            </w:pPr>
            <w:r w:rsidRPr="00B308F6">
              <w:rPr>
                <w:lang w:val="en-US"/>
              </w:rPr>
              <w:t>Association for Reformed Political Action Canada;</w:t>
            </w:r>
          </w:p>
        </w:tc>
        <w:tc>
          <w:tcPr>
            <w:tcW w:w="1170" w:type="dxa"/>
          </w:tcPr>
          <w:p w:rsidR="00B308F6" w:rsidRPr="00B308F6" w:rsidRDefault="00B308F6" w:rsidP="00B308F6"/>
        </w:tc>
        <w:tc>
          <w:tcPr>
            <w:tcW w:w="4327" w:type="dxa"/>
          </w:tcPr>
          <w:p w:rsidR="00B308F6" w:rsidRPr="00B308F6" w:rsidRDefault="00B308F6" w:rsidP="00B308F6"/>
        </w:tc>
      </w:tr>
      <w:tr w:rsidR="00B308F6" w:rsidRPr="00B308F6" w:rsidTr="0097756E">
        <w:trPr>
          <w:trHeight w:hRule="exact" w:val="576"/>
        </w:trPr>
        <w:tc>
          <w:tcPr>
            <w:tcW w:w="1368" w:type="dxa"/>
          </w:tcPr>
          <w:p w:rsidR="00B308F6" w:rsidRPr="00B308F6" w:rsidRDefault="00B308F6" w:rsidP="00B308F6"/>
        </w:tc>
        <w:tc>
          <w:tcPr>
            <w:tcW w:w="2970" w:type="dxa"/>
          </w:tcPr>
          <w:p w:rsidR="00B308F6" w:rsidRPr="00B308F6" w:rsidRDefault="00B308F6" w:rsidP="00B308F6">
            <w:pPr>
              <w:rPr>
                <w:lang w:val="en-US"/>
              </w:rPr>
            </w:pPr>
            <w:r w:rsidRPr="00B308F6">
              <w:rPr>
                <w:lang w:val="en-US"/>
              </w:rPr>
              <w:t>Canadian Civil Liberties Association;</w:t>
            </w:r>
          </w:p>
        </w:tc>
        <w:tc>
          <w:tcPr>
            <w:tcW w:w="1170" w:type="dxa"/>
          </w:tcPr>
          <w:p w:rsidR="00B308F6" w:rsidRPr="00B308F6" w:rsidRDefault="00B308F6" w:rsidP="00B308F6"/>
        </w:tc>
        <w:tc>
          <w:tcPr>
            <w:tcW w:w="4327" w:type="dxa"/>
          </w:tcPr>
          <w:p w:rsidR="00B308F6" w:rsidRPr="00B308F6" w:rsidRDefault="00B308F6" w:rsidP="00B308F6"/>
        </w:tc>
      </w:tr>
      <w:tr w:rsidR="00B308F6" w:rsidRPr="00B308F6" w:rsidTr="0097756E">
        <w:trPr>
          <w:trHeight w:hRule="exact" w:val="835"/>
        </w:trPr>
        <w:tc>
          <w:tcPr>
            <w:tcW w:w="1368" w:type="dxa"/>
          </w:tcPr>
          <w:p w:rsidR="00B308F6" w:rsidRPr="00B308F6" w:rsidRDefault="00B308F6" w:rsidP="00B308F6"/>
        </w:tc>
        <w:tc>
          <w:tcPr>
            <w:tcW w:w="2970" w:type="dxa"/>
          </w:tcPr>
          <w:p w:rsidR="00B308F6" w:rsidRPr="00B308F6" w:rsidRDefault="00B308F6" w:rsidP="00B308F6">
            <w:pPr>
              <w:rPr>
                <w:lang w:val="en-US"/>
              </w:rPr>
            </w:pPr>
            <w:r w:rsidRPr="00B308F6">
              <w:rPr>
                <w:lang w:val="en-US"/>
              </w:rPr>
              <w:t>Canadian HIV/AIDS Legal Network and the HIV &amp; AIDS Legal Clinic Ontario;</w:t>
            </w:r>
          </w:p>
        </w:tc>
        <w:tc>
          <w:tcPr>
            <w:tcW w:w="1170" w:type="dxa"/>
          </w:tcPr>
          <w:p w:rsidR="00B308F6" w:rsidRPr="00B308F6" w:rsidRDefault="00B308F6" w:rsidP="00B308F6"/>
        </w:tc>
        <w:tc>
          <w:tcPr>
            <w:tcW w:w="4327" w:type="dxa"/>
          </w:tcPr>
          <w:p w:rsidR="00B308F6" w:rsidRPr="00B308F6" w:rsidRDefault="00B308F6" w:rsidP="00B308F6"/>
        </w:tc>
      </w:tr>
      <w:tr w:rsidR="00B308F6" w:rsidRPr="00B308F6" w:rsidTr="0097756E">
        <w:trPr>
          <w:trHeight w:hRule="exact" w:val="360"/>
        </w:trPr>
        <w:tc>
          <w:tcPr>
            <w:tcW w:w="1368" w:type="dxa"/>
          </w:tcPr>
          <w:p w:rsidR="00B308F6" w:rsidRPr="00B308F6" w:rsidRDefault="00B308F6" w:rsidP="00B308F6"/>
        </w:tc>
        <w:tc>
          <w:tcPr>
            <w:tcW w:w="2970" w:type="dxa"/>
          </w:tcPr>
          <w:p w:rsidR="00B308F6" w:rsidRPr="00B308F6" w:rsidRDefault="00B308F6" w:rsidP="00B308F6">
            <w:pPr>
              <w:rPr>
                <w:lang w:val="en-US"/>
              </w:rPr>
            </w:pPr>
            <w:r w:rsidRPr="00B308F6">
              <w:rPr>
                <w:lang w:val="en-US"/>
              </w:rPr>
              <w:t>Canadian Medical Association;</w:t>
            </w:r>
          </w:p>
        </w:tc>
        <w:tc>
          <w:tcPr>
            <w:tcW w:w="1170" w:type="dxa"/>
          </w:tcPr>
          <w:p w:rsidR="00B308F6" w:rsidRPr="00B308F6" w:rsidRDefault="00B308F6" w:rsidP="00B308F6"/>
        </w:tc>
        <w:tc>
          <w:tcPr>
            <w:tcW w:w="4327" w:type="dxa"/>
          </w:tcPr>
          <w:p w:rsidR="00B308F6" w:rsidRPr="00B308F6" w:rsidRDefault="00B308F6" w:rsidP="00B308F6"/>
        </w:tc>
      </w:tr>
      <w:tr w:rsidR="00B308F6" w:rsidRPr="00B308F6" w:rsidTr="0097756E">
        <w:trPr>
          <w:trHeight w:hRule="exact" w:val="360"/>
        </w:trPr>
        <w:tc>
          <w:tcPr>
            <w:tcW w:w="1368" w:type="dxa"/>
          </w:tcPr>
          <w:p w:rsidR="00B308F6" w:rsidRPr="00B308F6" w:rsidRDefault="00B308F6" w:rsidP="00B308F6"/>
        </w:tc>
        <w:tc>
          <w:tcPr>
            <w:tcW w:w="2970" w:type="dxa"/>
          </w:tcPr>
          <w:p w:rsidR="00B308F6" w:rsidRPr="00B308F6" w:rsidRDefault="00B308F6" w:rsidP="00B308F6">
            <w:pPr>
              <w:rPr>
                <w:lang w:val="en-US"/>
              </w:rPr>
            </w:pPr>
            <w:r w:rsidRPr="00B308F6">
              <w:rPr>
                <w:lang w:val="en-US"/>
              </w:rPr>
              <w:t>Canadian Unitarian Council;</w:t>
            </w:r>
          </w:p>
        </w:tc>
        <w:tc>
          <w:tcPr>
            <w:tcW w:w="1170" w:type="dxa"/>
          </w:tcPr>
          <w:p w:rsidR="00B308F6" w:rsidRPr="00B308F6" w:rsidRDefault="00B308F6" w:rsidP="00B308F6"/>
        </w:tc>
        <w:tc>
          <w:tcPr>
            <w:tcW w:w="4327" w:type="dxa"/>
          </w:tcPr>
          <w:p w:rsidR="00B308F6" w:rsidRPr="00B308F6" w:rsidRDefault="00B308F6" w:rsidP="00B308F6"/>
        </w:tc>
      </w:tr>
      <w:tr w:rsidR="00B308F6" w:rsidRPr="00B308F6" w:rsidTr="0097756E">
        <w:trPr>
          <w:trHeight w:hRule="exact" w:val="360"/>
        </w:trPr>
        <w:tc>
          <w:tcPr>
            <w:tcW w:w="1368" w:type="dxa"/>
          </w:tcPr>
          <w:p w:rsidR="00B308F6" w:rsidRPr="00B308F6" w:rsidRDefault="00B308F6" w:rsidP="00B308F6"/>
        </w:tc>
        <w:tc>
          <w:tcPr>
            <w:tcW w:w="2970" w:type="dxa"/>
          </w:tcPr>
          <w:p w:rsidR="00B308F6" w:rsidRPr="00B308F6" w:rsidRDefault="00B308F6" w:rsidP="00B308F6">
            <w:pPr>
              <w:rPr>
                <w:lang w:val="en-US"/>
              </w:rPr>
            </w:pPr>
            <w:r w:rsidRPr="00B308F6">
              <w:rPr>
                <w:lang w:val="en-US"/>
              </w:rPr>
              <w:t>Catholic Civil Rights League;</w:t>
            </w:r>
          </w:p>
        </w:tc>
        <w:tc>
          <w:tcPr>
            <w:tcW w:w="1170" w:type="dxa"/>
          </w:tcPr>
          <w:p w:rsidR="00B308F6" w:rsidRPr="00B308F6" w:rsidRDefault="00B308F6" w:rsidP="00B308F6"/>
        </w:tc>
        <w:tc>
          <w:tcPr>
            <w:tcW w:w="4327" w:type="dxa"/>
          </w:tcPr>
          <w:p w:rsidR="00B308F6" w:rsidRPr="00B308F6" w:rsidRDefault="00B308F6" w:rsidP="00B308F6"/>
        </w:tc>
      </w:tr>
      <w:tr w:rsidR="00B308F6" w:rsidRPr="00B308F6" w:rsidTr="0097756E">
        <w:trPr>
          <w:trHeight w:hRule="exact" w:val="835"/>
        </w:trPr>
        <w:tc>
          <w:tcPr>
            <w:tcW w:w="1368" w:type="dxa"/>
          </w:tcPr>
          <w:p w:rsidR="00B308F6" w:rsidRPr="00B308F6" w:rsidRDefault="00B308F6" w:rsidP="00B308F6"/>
        </w:tc>
        <w:tc>
          <w:tcPr>
            <w:tcW w:w="2970" w:type="dxa"/>
          </w:tcPr>
          <w:p w:rsidR="00B308F6" w:rsidRPr="00B308F6" w:rsidRDefault="00B308F6" w:rsidP="00B308F6">
            <w:pPr>
              <w:rPr>
                <w:lang w:val="en-US"/>
              </w:rPr>
            </w:pPr>
            <w:r w:rsidRPr="00B308F6">
              <w:rPr>
                <w:lang w:val="en-US"/>
              </w:rPr>
              <w:t>Faith and Freedom Alliance and the Protection of Conscience Project;</w:t>
            </w:r>
          </w:p>
        </w:tc>
        <w:tc>
          <w:tcPr>
            <w:tcW w:w="1170" w:type="dxa"/>
          </w:tcPr>
          <w:p w:rsidR="00B308F6" w:rsidRPr="00B308F6" w:rsidRDefault="00B308F6" w:rsidP="00B308F6"/>
        </w:tc>
        <w:tc>
          <w:tcPr>
            <w:tcW w:w="4327" w:type="dxa"/>
          </w:tcPr>
          <w:p w:rsidR="00B308F6" w:rsidRPr="00B308F6" w:rsidRDefault="00B308F6" w:rsidP="00B308F6"/>
        </w:tc>
      </w:tr>
      <w:tr w:rsidR="00B308F6" w:rsidRPr="00B308F6" w:rsidTr="0097756E">
        <w:trPr>
          <w:trHeight w:hRule="exact" w:val="576"/>
        </w:trPr>
        <w:tc>
          <w:tcPr>
            <w:tcW w:w="1368" w:type="dxa"/>
          </w:tcPr>
          <w:p w:rsidR="00B308F6" w:rsidRPr="00B308F6" w:rsidRDefault="00B308F6" w:rsidP="00B308F6"/>
        </w:tc>
        <w:tc>
          <w:tcPr>
            <w:tcW w:w="2970" w:type="dxa"/>
          </w:tcPr>
          <w:p w:rsidR="00B308F6" w:rsidRPr="00B308F6" w:rsidRDefault="00B308F6" w:rsidP="00B308F6">
            <w:pPr>
              <w:rPr>
                <w:lang w:val="en-US"/>
              </w:rPr>
            </w:pPr>
            <w:r w:rsidRPr="00B308F6">
              <w:rPr>
                <w:lang w:val="en-US"/>
              </w:rPr>
              <w:t>Catholic Health Alliance of Canada;</w:t>
            </w:r>
          </w:p>
        </w:tc>
        <w:tc>
          <w:tcPr>
            <w:tcW w:w="1170" w:type="dxa"/>
          </w:tcPr>
          <w:p w:rsidR="00B308F6" w:rsidRPr="00B308F6" w:rsidRDefault="00B308F6" w:rsidP="00B308F6"/>
        </w:tc>
        <w:tc>
          <w:tcPr>
            <w:tcW w:w="4327" w:type="dxa"/>
          </w:tcPr>
          <w:p w:rsidR="00B308F6" w:rsidRPr="00B308F6" w:rsidRDefault="00B308F6" w:rsidP="00B308F6"/>
        </w:tc>
      </w:tr>
      <w:tr w:rsidR="00B308F6" w:rsidRPr="00B308F6" w:rsidTr="0097756E">
        <w:trPr>
          <w:trHeight w:hRule="exact" w:val="360"/>
        </w:trPr>
        <w:tc>
          <w:tcPr>
            <w:tcW w:w="1368" w:type="dxa"/>
          </w:tcPr>
          <w:p w:rsidR="00B308F6" w:rsidRPr="00B308F6" w:rsidRDefault="00B308F6" w:rsidP="00B308F6"/>
        </w:tc>
        <w:tc>
          <w:tcPr>
            <w:tcW w:w="2970" w:type="dxa"/>
          </w:tcPr>
          <w:p w:rsidR="00B308F6" w:rsidRPr="00B308F6" w:rsidRDefault="00B308F6" w:rsidP="00B308F6">
            <w:pPr>
              <w:rPr>
                <w:lang w:val="en-US"/>
              </w:rPr>
            </w:pPr>
            <w:r w:rsidRPr="00B308F6">
              <w:rPr>
                <w:lang w:val="en-US"/>
              </w:rPr>
              <w:t>Christian Legal Fellowship;</w:t>
            </w:r>
          </w:p>
        </w:tc>
        <w:tc>
          <w:tcPr>
            <w:tcW w:w="1170" w:type="dxa"/>
          </w:tcPr>
          <w:p w:rsidR="00B308F6" w:rsidRPr="00B308F6" w:rsidRDefault="00B308F6" w:rsidP="00B308F6"/>
        </w:tc>
        <w:tc>
          <w:tcPr>
            <w:tcW w:w="4327" w:type="dxa"/>
          </w:tcPr>
          <w:p w:rsidR="00B308F6" w:rsidRPr="00B308F6" w:rsidRDefault="00B308F6" w:rsidP="00B308F6"/>
        </w:tc>
      </w:tr>
      <w:tr w:rsidR="00B308F6" w:rsidRPr="00B308F6" w:rsidTr="0097756E">
        <w:trPr>
          <w:trHeight w:hRule="exact" w:val="576"/>
        </w:trPr>
        <w:tc>
          <w:tcPr>
            <w:tcW w:w="1368" w:type="dxa"/>
          </w:tcPr>
          <w:p w:rsidR="00B308F6" w:rsidRPr="00B308F6" w:rsidRDefault="00B308F6" w:rsidP="00B308F6"/>
        </w:tc>
        <w:tc>
          <w:tcPr>
            <w:tcW w:w="2970" w:type="dxa"/>
          </w:tcPr>
          <w:p w:rsidR="00B308F6" w:rsidRPr="00B308F6" w:rsidRDefault="00B308F6" w:rsidP="00B308F6">
            <w:pPr>
              <w:rPr>
                <w:lang w:val="en-US"/>
              </w:rPr>
            </w:pPr>
            <w:r w:rsidRPr="00B308F6">
              <w:rPr>
                <w:lang w:val="en-US"/>
              </w:rPr>
              <w:t>Christian Medical and Dental Society of Canada;</w:t>
            </w:r>
          </w:p>
        </w:tc>
        <w:tc>
          <w:tcPr>
            <w:tcW w:w="1170" w:type="dxa"/>
          </w:tcPr>
          <w:p w:rsidR="00B308F6" w:rsidRPr="00B308F6" w:rsidRDefault="00B308F6" w:rsidP="00B308F6"/>
        </w:tc>
        <w:tc>
          <w:tcPr>
            <w:tcW w:w="4327" w:type="dxa"/>
          </w:tcPr>
          <w:p w:rsidR="00B308F6" w:rsidRPr="00B308F6" w:rsidRDefault="00B308F6" w:rsidP="00B308F6"/>
        </w:tc>
      </w:tr>
      <w:tr w:rsidR="00B308F6" w:rsidRPr="00B308F6" w:rsidTr="0097756E">
        <w:trPr>
          <w:trHeight w:hRule="exact" w:val="576"/>
        </w:trPr>
        <w:tc>
          <w:tcPr>
            <w:tcW w:w="1368" w:type="dxa"/>
          </w:tcPr>
          <w:p w:rsidR="00B308F6" w:rsidRPr="00B308F6" w:rsidRDefault="00B308F6" w:rsidP="00B308F6"/>
        </w:tc>
        <w:tc>
          <w:tcPr>
            <w:tcW w:w="2970" w:type="dxa"/>
          </w:tcPr>
          <w:p w:rsidR="00B308F6" w:rsidRPr="00B308F6" w:rsidRDefault="00B308F6" w:rsidP="00B308F6">
            <w:pPr>
              <w:rPr>
                <w:lang w:val="en-US"/>
              </w:rPr>
            </w:pPr>
            <w:r w:rsidRPr="00B308F6">
              <w:rPr>
                <w:lang w:val="en-US"/>
              </w:rPr>
              <w:t>Canadian Federation of Catholic Physicians’ Societies;</w:t>
            </w:r>
          </w:p>
        </w:tc>
        <w:tc>
          <w:tcPr>
            <w:tcW w:w="1170" w:type="dxa"/>
          </w:tcPr>
          <w:p w:rsidR="00B308F6" w:rsidRPr="00B308F6" w:rsidRDefault="00B308F6" w:rsidP="00B308F6"/>
        </w:tc>
        <w:tc>
          <w:tcPr>
            <w:tcW w:w="4327" w:type="dxa"/>
          </w:tcPr>
          <w:p w:rsidR="00B308F6" w:rsidRPr="00B308F6" w:rsidRDefault="00B308F6" w:rsidP="00B308F6"/>
        </w:tc>
      </w:tr>
      <w:tr w:rsidR="00B308F6" w:rsidRPr="00944C2E" w:rsidTr="0097756E">
        <w:trPr>
          <w:trHeight w:hRule="exact" w:val="576"/>
        </w:trPr>
        <w:tc>
          <w:tcPr>
            <w:tcW w:w="1368" w:type="dxa"/>
          </w:tcPr>
          <w:p w:rsidR="00B308F6" w:rsidRPr="00B308F6" w:rsidRDefault="00B308F6" w:rsidP="00B308F6"/>
        </w:tc>
        <w:tc>
          <w:tcPr>
            <w:tcW w:w="2970" w:type="dxa"/>
          </w:tcPr>
          <w:p w:rsidR="00B308F6" w:rsidRPr="00B308F6" w:rsidRDefault="00B308F6" w:rsidP="00B308F6">
            <w:pPr>
              <w:rPr>
                <w:lang w:val="fr-CA"/>
              </w:rPr>
            </w:pPr>
            <w:r w:rsidRPr="00B308F6">
              <w:rPr>
                <w:lang w:val="fr-CA"/>
              </w:rPr>
              <w:t>Collectif des médecins contre l’euthanasie;</w:t>
            </w:r>
          </w:p>
        </w:tc>
        <w:tc>
          <w:tcPr>
            <w:tcW w:w="1170" w:type="dxa"/>
          </w:tcPr>
          <w:p w:rsidR="00B308F6" w:rsidRPr="00B308F6" w:rsidRDefault="00B308F6" w:rsidP="00B308F6">
            <w:pPr>
              <w:rPr>
                <w:lang w:val="fr-CA"/>
              </w:rPr>
            </w:pPr>
          </w:p>
        </w:tc>
        <w:tc>
          <w:tcPr>
            <w:tcW w:w="4327" w:type="dxa"/>
          </w:tcPr>
          <w:p w:rsidR="00B308F6" w:rsidRPr="00B308F6" w:rsidRDefault="00B308F6" w:rsidP="00B308F6">
            <w:pPr>
              <w:rPr>
                <w:lang w:val="fr-CA"/>
              </w:rPr>
            </w:pPr>
          </w:p>
        </w:tc>
      </w:tr>
      <w:tr w:rsidR="00B308F6" w:rsidRPr="00B308F6" w:rsidTr="0097756E">
        <w:trPr>
          <w:trHeight w:hRule="exact" w:val="1037"/>
        </w:trPr>
        <w:tc>
          <w:tcPr>
            <w:tcW w:w="1368" w:type="dxa"/>
          </w:tcPr>
          <w:p w:rsidR="00B308F6" w:rsidRPr="00B308F6" w:rsidRDefault="00B308F6" w:rsidP="00B308F6">
            <w:pPr>
              <w:rPr>
                <w:lang w:val="fr-CA"/>
              </w:rPr>
            </w:pPr>
          </w:p>
        </w:tc>
        <w:tc>
          <w:tcPr>
            <w:tcW w:w="2970" w:type="dxa"/>
          </w:tcPr>
          <w:p w:rsidR="00B308F6" w:rsidRPr="00B308F6" w:rsidRDefault="00B308F6" w:rsidP="00B308F6">
            <w:r w:rsidRPr="00B308F6">
              <w:rPr>
                <w:lang w:val="en-US"/>
              </w:rPr>
              <w:t>Council of Canadians with Disabilities and the Canadian Association for Community Living;</w:t>
            </w:r>
          </w:p>
        </w:tc>
        <w:tc>
          <w:tcPr>
            <w:tcW w:w="1170" w:type="dxa"/>
          </w:tcPr>
          <w:p w:rsidR="00B308F6" w:rsidRPr="00B308F6" w:rsidRDefault="00B308F6" w:rsidP="00B308F6"/>
        </w:tc>
        <w:tc>
          <w:tcPr>
            <w:tcW w:w="4327" w:type="dxa"/>
          </w:tcPr>
          <w:p w:rsidR="00B308F6" w:rsidRPr="00B308F6" w:rsidRDefault="00B308F6" w:rsidP="00B308F6"/>
        </w:tc>
      </w:tr>
      <w:tr w:rsidR="00B308F6" w:rsidRPr="00B308F6" w:rsidTr="0097756E">
        <w:trPr>
          <w:trHeight w:hRule="exact" w:val="576"/>
        </w:trPr>
        <w:tc>
          <w:tcPr>
            <w:tcW w:w="1368" w:type="dxa"/>
          </w:tcPr>
          <w:p w:rsidR="00B308F6" w:rsidRPr="00B308F6" w:rsidRDefault="00B308F6" w:rsidP="00B308F6"/>
        </w:tc>
        <w:tc>
          <w:tcPr>
            <w:tcW w:w="2970" w:type="dxa"/>
          </w:tcPr>
          <w:p w:rsidR="00B308F6" w:rsidRPr="00B308F6" w:rsidRDefault="00B308F6" w:rsidP="00B308F6">
            <w:r w:rsidRPr="00B308F6">
              <w:rPr>
                <w:lang w:val="en-US"/>
              </w:rPr>
              <w:t>Criminal Lawyers’ Association (Ontario);</w:t>
            </w:r>
          </w:p>
        </w:tc>
        <w:tc>
          <w:tcPr>
            <w:tcW w:w="1170" w:type="dxa"/>
          </w:tcPr>
          <w:p w:rsidR="00B308F6" w:rsidRPr="00B308F6" w:rsidRDefault="00B308F6" w:rsidP="00B308F6"/>
        </w:tc>
        <w:tc>
          <w:tcPr>
            <w:tcW w:w="4327" w:type="dxa"/>
          </w:tcPr>
          <w:p w:rsidR="00B308F6" w:rsidRPr="00B308F6" w:rsidRDefault="00B308F6" w:rsidP="00B308F6"/>
        </w:tc>
      </w:tr>
      <w:tr w:rsidR="00B308F6" w:rsidRPr="00B308F6" w:rsidTr="0097756E">
        <w:trPr>
          <w:trHeight w:hRule="exact" w:val="576"/>
        </w:trPr>
        <w:tc>
          <w:tcPr>
            <w:tcW w:w="1368" w:type="dxa"/>
          </w:tcPr>
          <w:p w:rsidR="00B308F6" w:rsidRPr="00B308F6" w:rsidRDefault="00B308F6" w:rsidP="00B308F6"/>
        </w:tc>
        <w:tc>
          <w:tcPr>
            <w:tcW w:w="2970" w:type="dxa"/>
          </w:tcPr>
          <w:p w:rsidR="00B308F6" w:rsidRPr="00B308F6" w:rsidRDefault="00B308F6" w:rsidP="00B308F6">
            <w:pPr>
              <w:rPr>
                <w:lang w:val="en-US"/>
              </w:rPr>
            </w:pPr>
            <w:r w:rsidRPr="00B308F6">
              <w:rPr>
                <w:lang w:val="en-US"/>
              </w:rPr>
              <w:t>David Asper Centre for Constitutional Rights;</w:t>
            </w:r>
          </w:p>
        </w:tc>
        <w:tc>
          <w:tcPr>
            <w:tcW w:w="1170" w:type="dxa"/>
          </w:tcPr>
          <w:p w:rsidR="00B308F6" w:rsidRPr="00B308F6" w:rsidRDefault="00B308F6" w:rsidP="00B308F6"/>
        </w:tc>
        <w:tc>
          <w:tcPr>
            <w:tcW w:w="4327" w:type="dxa"/>
          </w:tcPr>
          <w:p w:rsidR="00B308F6" w:rsidRPr="00B308F6" w:rsidRDefault="00B308F6" w:rsidP="00B308F6"/>
        </w:tc>
      </w:tr>
      <w:tr w:rsidR="00B308F6" w:rsidRPr="00B308F6" w:rsidTr="0097756E">
        <w:trPr>
          <w:trHeight w:hRule="exact" w:val="360"/>
        </w:trPr>
        <w:tc>
          <w:tcPr>
            <w:tcW w:w="1368" w:type="dxa"/>
          </w:tcPr>
          <w:p w:rsidR="00B308F6" w:rsidRPr="00B308F6" w:rsidRDefault="00B308F6" w:rsidP="00B308F6"/>
        </w:tc>
        <w:tc>
          <w:tcPr>
            <w:tcW w:w="2970" w:type="dxa"/>
          </w:tcPr>
          <w:p w:rsidR="00B308F6" w:rsidRPr="00B308F6" w:rsidRDefault="00B308F6" w:rsidP="00B308F6">
            <w:pPr>
              <w:rPr>
                <w:lang w:val="en-US"/>
              </w:rPr>
            </w:pPr>
            <w:r w:rsidRPr="00B308F6">
              <w:rPr>
                <w:lang w:val="en-US"/>
              </w:rPr>
              <w:t>Dying with Dignity;</w:t>
            </w:r>
          </w:p>
        </w:tc>
        <w:tc>
          <w:tcPr>
            <w:tcW w:w="1170" w:type="dxa"/>
          </w:tcPr>
          <w:p w:rsidR="00B308F6" w:rsidRPr="00B308F6" w:rsidRDefault="00B308F6" w:rsidP="00B308F6"/>
        </w:tc>
        <w:tc>
          <w:tcPr>
            <w:tcW w:w="4327" w:type="dxa"/>
          </w:tcPr>
          <w:p w:rsidR="00B308F6" w:rsidRPr="00B308F6" w:rsidRDefault="00B308F6" w:rsidP="00B308F6"/>
        </w:tc>
      </w:tr>
      <w:tr w:rsidR="00B308F6" w:rsidRPr="00B308F6" w:rsidTr="0097756E">
        <w:trPr>
          <w:trHeight w:hRule="exact" w:val="576"/>
        </w:trPr>
        <w:tc>
          <w:tcPr>
            <w:tcW w:w="1368" w:type="dxa"/>
          </w:tcPr>
          <w:p w:rsidR="00B308F6" w:rsidRPr="00B308F6" w:rsidRDefault="00B308F6" w:rsidP="00B308F6"/>
        </w:tc>
        <w:tc>
          <w:tcPr>
            <w:tcW w:w="2970" w:type="dxa"/>
          </w:tcPr>
          <w:p w:rsidR="00B308F6" w:rsidRPr="00B308F6" w:rsidRDefault="00B308F6" w:rsidP="00B308F6">
            <w:pPr>
              <w:rPr>
                <w:lang w:val="en-US"/>
              </w:rPr>
            </w:pPr>
            <w:r w:rsidRPr="00B308F6">
              <w:rPr>
                <w:lang w:val="en-US"/>
              </w:rPr>
              <w:t>Evangelical Fellowship of Canada;</w:t>
            </w:r>
          </w:p>
        </w:tc>
        <w:tc>
          <w:tcPr>
            <w:tcW w:w="1170" w:type="dxa"/>
          </w:tcPr>
          <w:p w:rsidR="00B308F6" w:rsidRPr="00B308F6" w:rsidRDefault="00B308F6" w:rsidP="00B308F6"/>
        </w:tc>
        <w:tc>
          <w:tcPr>
            <w:tcW w:w="4327" w:type="dxa"/>
          </w:tcPr>
          <w:p w:rsidR="00B308F6" w:rsidRPr="00B308F6" w:rsidRDefault="00B308F6" w:rsidP="00B308F6"/>
        </w:tc>
      </w:tr>
      <w:tr w:rsidR="00B308F6" w:rsidRPr="00B308F6" w:rsidTr="0097756E">
        <w:trPr>
          <w:trHeight w:hRule="exact" w:val="576"/>
        </w:trPr>
        <w:tc>
          <w:tcPr>
            <w:tcW w:w="1368" w:type="dxa"/>
          </w:tcPr>
          <w:p w:rsidR="00B308F6" w:rsidRPr="00B308F6" w:rsidRDefault="00B308F6" w:rsidP="00B308F6"/>
        </w:tc>
        <w:tc>
          <w:tcPr>
            <w:tcW w:w="2970" w:type="dxa"/>
          </w:tcPr>
          <w:p w:rsidR="00B308F6" w:rsidRPr="00B308F6" w:rsidRDefault="00B308F6" w:rsidP="00B308F6">
            <w:pPr>
              <w:rPr>
                <w:lang w:val="en-US"/>
              </w:rPr>
            </w:pPr>
            <w:r w:rsidRPr="00B308F6">
              <w:rPr>
                <w:lang w:val="en-US"/>
              </w:rPr>
              <w:t>Farewell Foundation for the Right to Die;</w:t>
            </w:r>
          </w:p>
        </w:tc>
        <w:tc>
          <w:tcPr>
            <w:tcW w:w="1170" w:type="dxa"/>
          </w:tcPr>
          <w:p w:rsidR="00B308F6" w:rsidRPr="00B308F6" w:rsidRDefault="00B308F6" w:rsidP="00B308F6"/>
        </w:tc>
        <w:tc>
          <w:tcPr>
            <w:tcW w:w="4327" w:type="dxa"/>
          </w:tcPr>
          <w:p w:rsidR="00B308F6" w:rsidRPr="00B308F6" w:rsidRDefault="00B308F6" w:rsidP="00B308F6"/>
        </w:tc>
      </w:tr>
      <w:tr w:rsidR="00B308F6" w:rsidRPr="00944C2E" w:rsidTr="0097756E">
        <w:trPr>
          <w:trHeight w:hRule="exact" w:val="576"/>
        </w:trPr>
        <w:tc>
          <w:tcPr>
            <w:tcW w:w="1368" w:type="dxa"/>
          </w:tcPr>
          <w:p w:rsidR="00B308F6" w:rsidRPr="00B308F6" w:rsidRDefault="00B308F6" w:rsidP="00B308F6"/>
        </w:tc>
        <w:tc>
          <w:tcPr>
            <w:tcW w:w="2970" w:type="dxa"/>
          </w:tcPr>
          <w:p w:rsidR="00B308F6" w:rsidRPr="00B308F6" w:rsidRDefault="00B308F6" w:rsidP="00B308F6">
            <w:pPr>
              <w:rPr>
                <w:lang w:val="fr-CA"/>
              </w:rPr>
            </w:pPr>
            <w:r w:rsidRPr="00B308F6">
              <w:rPr>
                <w:lang w:val="fr-CA"/>
              </w:rPr>
              <w:t>Association québécoise pour le droit de mourir dans la dignité;</w:t>
            </w:r>
          </w:p>
        </w:tc>
        <w:tc>
          <w:tcPr>
            <w:tcW w:w="1170" w:type="dxa"/>
          </w:tcPr>
          <w:p w:rsidR="00B308F6" w:rsidRPr="00B308F6" w:rsidRDefault="00B308F6" w:rsidP="00B308F6">
            <w:pPr>
              <w:rPr>
                <w:lang w:val="fr-CA"/>
              </w:rPr>
            </w:pPr>
          </w:p>
        </w:tc>
        <w:tc>
          <w:tcPr>
            <w:tcW w:w="4327" w:type="dxa"/>
          </w:tcPr>
          <w:p w:rsidR="00B308F6" w:rsidRPr="00B308F6" w:rsidRDefault="00B308F6" w:rsidP="00B308F6">
            <w:pPr>
              <w:rPr>
                <w:lang w:val="fr-CA"/>
              </w:rPr>
            </w:pPr>
          </w:p>
        </w:tc>
      </w:tr>
      <w:tr w:rsidR="00B308F6" w:rsidRPr="00B308F6" w:rsidTr="0097756E">
        <w:trPr>
          <w:trHeight w:hRule="exact" w:val="835"/>
        </w:trPr>
        <w:tc>
          <w:tcPr>
            <w:tcW w:w="1368" w:type="dxa"/>
          </w:tcPr>
          <w:p w:rsidR="00B308F6" w:rsidRPr="00B308F6" w:rsidRDefault="00B308F6" w:rsidP="00B308F6">
            <w:pPr>
              <w:rPr>
                <w:lang w:val="fr-CA"/>
              </w:rPr>
            </w:pPr>
          </w:p>
        </w:tc>
        <w:tc>
          <w:tcPr>
            <w:tcW w:w="2970" w:type="dxa"/>
          </w:tcPr>
          <w:p w:rsidR="00B308F6" w:rsidRPr="00B308F6" w:rsidRDefault="00B308F6" w:rsidP="00B308F6">
            <w:r w:rsidRPr="00B308F6">
              <w:rPr>
                <w:lang w:val="en-US"/>
              </w:rPr>
              <w:t>Euthanasia Prevention Coalition and the Euthanasia Prevention Coalition – British Columbia</w:t>
            </w:r>
          </w:p>
        </w:tc>
        <w:tc>
          <w:tcPr>
            <w:tcW w:w="1170" w:type="dxa"/>
          </w:tcPr>
          <w:p w:rsidR="00B308F6" w:rsidRPr="00B308F6" w:rsidRDefault="00B308F6" w:rsidP="00B308F6"/>
        </w:tc>
        <w:tc>
          <w:tcPr>
            <w:tcW w:w="4327" w:type="dxa"/>
          </w:tcPr>
          <w:p w:rsidR="00B308F6" w:rsidRPr="00B308F6" w:rsidRDefault="00B308F6" w:rsidP="00B308F6"/>
        </w:tc>
      </w:tr>
      <w:tr w:rsidR="00B308F6" w:rsidRPr="00B308F6" w:rsidTr="0097756E">
        <w:tc>
          <w:tcPr>
            <w:tcW w:w="1368" w:type="dxa"/>
          </w:tcPr>
          <w:p w:rsidR="00B308F6" w:rsidRPr="00B308F6" w:rsidRDefault="00B308F6" w:rsidP="00B308F6"/>
        </w:tc>
        <w:tc>
          <w:tcPr>
            <w:tcW w:w="2970" w:type="dxa"/>
          </w:tcPr>
          <w:p w:rsidR="00B308F6" w:rsidRPr="00B308F6" w:rsidRDefault="00B308F6" w:rsidP="00B308F6"/>
        </w:tc>
        <w:tc>
          <w:tcPr>
            <w:tcW w:w="1170" w:type="dxa"/>
          </w:tcPr>
          <w:p w:rsidR="00B308F6" w:rsidRPr="00B308F6" w:rsidRDefault="00B308F6" w:rsidP="00B308F6"/>
        </w:tc>
        <w:tc>
          <w:tcPr>
            <w:tcW w:w="4327" w:type="dxa"/>
          </w:tcPr>
          <w:p w:rsidR="00B308F6" w:rsidRPr="00B308F6" w:rsidRDefault="00B308F6" w:rsidP="00B308F6"/>
        </w:tc>
      </w:tr>
      <w:tr w:rsidR="00B308F6" w:rsidRPr="00B308F6" w:rsidTr="0097756E">
        <w:tc>
          <w:tcPr>
            <w:tcW w:w="1368" w:type="dxa"/>
          </w:tcPr>
          <w:p w:rsidR="00B308F6" w:rsidRPr="00B308F6" w:rsidRDefault="00B308F6" w:rsidP="00B308F6">
            <w:r w:rsidRPr="00B308F6">
              <w:t>IN / DANS :</w:t>
            </w:r>
          </w:p>
        </w:tc>
        <w:tc>
          <w:tcPr>
            <w:tcW w:w="2970" w:type="dxa"/>
          </w:tcPr>
          <w:p w:rsidR="00B308F6" w:rsidRPr="00B308F6" w:rsidRDefault="00B308F6" w:rsidP="00B308F6">
            <w:pPr>
              <w:rPr>
                <w:lang w:val="fr-CA"/>
              </w:rPr>
            </w:pPr>
            <w:r w:rsidRPr="00B308F6">
              <w:rPr>
                <w:lang w:val="fr-CA"/>
              </w:rPr>
              <w:t>Lee Carter et al.</w:t>
            </w:r>
          </w:p>
          <w:p w:rsidR="00B308F6" w:rsidRPr="00B308F6" w:rsidRDefault="00B308F6" w:rsidP="00B308F6">
            <w:pPr>
              <w:rPr>
                <w:lang w:val="fr-CA"/>
              </w:rPr>
            </w:pPr>
          </w:p>
          <w:p w:rsidR="00B308F6" w:rsidRPr="00B308F6" w:rsidRDefault="00B308F6" w:rsidP="00B308F6">
            <w:pPr>
              <w:rPr>
                <w:lang w:val="fr-CA"/>
              </w:rPr>
            </w:pPr>
            <w:r w:rsidRPr="00B308F6">
              <w:rPr>
                <w:lang w:val="fr-CA"/>
              </w:rPr>
              <w:tab/>
              <w:t>v. (35591)</w:t>
            </w:r>
          </w:p>
          <w:p w:rsidR="00B308F6" w:rsidRPr="00B308F6" w:rsidRDefault="00B308F6" w:rsidP="00B308F6">
            <w:pPr>
              <w:rPr>
                <w:lang w:val="fr-CA"/>
              </w:rPr>
            </w:pPr>
          </w:p>
          <w:p w:rsidR="00B308F6" w:rsidRPr="00B308F6" w:rsidRDefault="00B308F6" w:rsidP="00B308F6">
            <w:r w:rsidRPr="00B308F6">
              <w:t>Attorney General of Canada et al. (B.C.)</w:t>
            </w:r>
          </w:p>
        </w:tc>
        <w:tc>
          <w:tcPr>
            <w:tcW w:w="1170" w:type="dxa"/>
          </w:tcPr>
          <w:p w:rsidR="00B308F6" w:rsidRPr="00B308F6" w:rsidRDefault="00B308F6" w:rsidP="00B308F6"/>
        </w:tc>
        <w:tc>
          <w:tcPr>
            <w:tcW w:w="4327" w:type="dxa"/>
          </w:tcPr>
          <w:p w:rsidR="00B308F6" w:rsidRPr="00B308F6" w:rsidRDefault="00B308F6" w:rsidP="00B308F6"/>
        </w:tc>
      </w:tr>
    </w:tbl>
    <w:p w:rsidR="00B308F6" w:rsidRPr="00B308F6" w:rsidRDefault="00B308F6" w:rsidP="00B308F6">
      <w:pPr>
        <w:tabs>
          <w:tab w:val="left" w:pos="-1440"/>
          <w:tab w:val="left" w:pos="-720"/>
        </w:tabs>
        <w:jc w:val="both"/>
        <w:rPr>
          <w:rFonts w:eastAsia="Times New Roman" w:cs="Times New Roman"/>
          <w:sz w:val="20"/>
          <w:szCs w:val="20"/>
          <w:lang w:eastAsia="en-CA"/>
        </w:rPr>
      </w:pPr>
    </w:p>
    <w:p w:rsidR="00B308F6" w:rsidRPr="00B308F6" w:rsidRDefault="00B308F6" w:rsidP="00B308F6">
      <w:pPr>
        <w:tabs>
          <w:tab w:val="left" w:pos="-1440"/>
          <w:tab w:val="left" w:pos="-720"/>
        </w:tabs>
        <w:jc w:val="both"/>
        <w:rPr>
          <w:rFonts w:eastAsia="Times New Roman" w:cs="Times New Roman"/>
          <w:sz w:val="20"/>
          <w:szCs w:val="20"/>
          <w:lang w:val="fr-CA" w:eastAsia="en-CA"/>
        </w:rPr>
      </w:pPr>
      <w:r w:rsidRPr="00B308F6">
        <w:rPr>
          <w:rFonts w:eastAsia="Times New Roman" w:cs="Times New Roman"/>
          <w:b/>
          <w:sz w:val="20"/>
          <w:szCs w:val="20"/>
          <w:lang w:val="fr-CA" w:eastAsia="en-CA"/>
        </w:rPr>
        <w:t>GRANTED IN PART / ACCORDÉE EN PARTIE</w:t>
      </w:r>
    </w:p>
    <w:p w:rsidR="00B308F6" w:rsidRPr="00B308F6" w:rsidRDefault="00B308F6" w:rsidP="00B308F6">
      <w:pPr>
        <w:tabs>
          <w:tab w:val="left" w:pos="-1440"/>
          <w:tab w:val="left" w:pos="-720"/>
        </w:tabs>
        <w:jc w:val="both"/>
        <w:rPr>
          <w:rFonts w:eastAsia="Times New Roman" w:cs="Times New Roman"/>
          <w:sz w:val="20"/>
          <w:szCs w:val="20"/>
          <w:lang w:val="fr-CA" w:eastAsia="en-CA"/>
        </w:rPr>
      </w:pPr>
    </w:p>
    <w:p w:rsidR="00B308F6" w:rsidRPr="00B308F6" w:rsidRDefault="00B308F6" w:rsidP="00B308F6">
      <w:pPr>
        <w:spacing w:line="233" w:lineRule="auto"/>
        <w:jc w:val="both"/>
        <w:rPr>
          <w:rFonts w:eastAsia="Times New Roman" w:cs="Times New Roman"/>
          <w:sz w:val="20"/>
          <w:szCs w:val="20"/>
          <w:lang w:val="en-US" w:eastAsia="en-CA"/>
        </w:rPr>
      </w:pPr>
      <w:r w:rsidRPr="00B308F6">
        <w:rPr>
          <w:rFonts w:eastAsia="Times New Roman" w:cs="Times New Roman"/>
          <w:b/>
          <w:bCs/>
          <w:sz w:val="20"/>
          <w:szCs w:val="20"/>
          <w:lang w:val="en-US" w:eastAsia="en-CA"/>
        </w:rPr>
        <w:t xml:space="preserve">UPON APPLICATIONS </w:t>
      </w:r>
      <w:r w:rsidRPr="00B308F6">
        <w:rPr>
          <w:rFonts w:eastAsia="Times New Roman" w:cs="Times New Roman"/>
          <w:sz w:val="20"/>
          <w:szCs w:val="20"/>
          <w:lang w:val="en-US" w:eastAsia="en-CA"/>
        </w:rPr>
        <w:t>by the Advocates’ Society, the Alliance of People with Disabilities Who Are Supportive of Legal Assisted Dying Society, the Association for Reformed Political Action Canada, the Canadian Civil Liberties Association, the Canadian HIV/AIDS Legal Network and the HIV &amp; AIDS Legal Clinic Ontario, The Canadian Medical Association, the Canadian Unitarian Council, the Catholic Civil Rights League, the Faith and Freedom Alliance and the Protection of Conscience Project, the Catholic Health Alliance of Canada, the Christian Legal Fellowship, the Christian Medical and Dental Society of Canada and the Canadian Federation of Catholic Physicians’ Societies, the Collectif des médecins contre l’euthanasie, the Council of Canadians with Disabilities and the Canadian Association for Community Living, the Criminal Lawyers’ Association (Ontario), the David Asper Centre for Constitutional Rights, Dying with Dignity, the Evangelical Fellowship of Canada, the Farewell Foundation for the Right to Die and the Association québécoise pour le droit de mourir dans la dignité and the Euthanasia Prevention Coalition and the Euthanasia Prevention Coalition – British Columbia</w:t>
      </w:r>
      <w:r w:rsidRPr="00B308F6">
        <w:rPr>
          <w:rFonts w:eastAsia="Times New Roman" w:cs="Times New Roman"/>
          <w:sz w:val="20"/>
          <w:szCs w:val="20"/>
          <w:lang w:eastAsia="en-CA"/>
        </w:rPr>
        <w:t xml:space="preserve"> </w:t>
      </w:r>
      <w:r w:rsidRPr="00B308F6">
        <w:rPr>
          <w:rFonts w:eastAsia="Times New Roman" w:cs="Times New Roman"/>
          <w:sz w:val="20"/>
          <w:szCs w:val="20"/>
          <w:lang w:val="en-US" w:eastAsia="en-CA"/>
        </w:rPr>
        <w:t>for leave to intervene in the above appeal;</w:t>
      </w:r>
    </w:p>
    <w:p w:rsidR="00B308F6" w:rsidRPr="00B308F6" w:rsidRDefault="00B308F6" w:rsidP="00B308F6">
      <w:pPr>
        <w:spacing w:line="233" w:lineRule="auto"/>
        <w:jc w:val="both"/>
        <w:rPr>
          <w:rFonts w:eastAsia="Times New Roman" w:cs="Times New Roman"/>
          <w:sz w:val="20"/>
          <w:szCs w:val="20"/>
          <w:lang w:val="en-US" w:eastAsia="en-CA"/>
        </w:rPr>
      </w:pPr>
    </w:p>
    <w:p w:rsidR="00B308F6" w:rsidRPr="00B308F6" w:rsidRDefault="00B308F6" w:rsidP="00B308F6">
      <w:pPr>
        <w:spacing w:line="233" w:lineRule="auto"/>
        <w:jc w:val="both"/>
        <w:rPr>
          <w:rFonts w:eastAsia="Times New Roman" w:cs="Times New Roman"/>
          <w:b/>
          <w:sz w:val="20"/>
          <w:szCs w:val="20"/>
          <w:lang w:val="en-US" w:eastAsia="en-CA"/>
        </w:rPr>
      </w:pPr>
      <w:r w:rsidRPr="00B308F6">
        <w:rPr>
          <w:rFonts w:eastAsia="Times New Roman" w:cs="Times New Roman"/>
          <w:b/>
          <w:sz w:val="20"/>
          <w:szCs w:val="20"/>
          <w:lang w:val="en-US" w:eastAsia="en-CA"/>
        </w:rPr>
        <w:t xml:space="preserve">AND UPON APPLICATIONS </w:t>
      </w:r>
      <w:r w:rsidRPr="00B308F6">
        <w:rPr>
          <w:rFonts w:eastAsia="Times New Roman" w:cs="Times New Roman"/>
          <w:sz w:val="20"/>
          <w:szCs w:val="20"/>
          <w:lang w:val="en-US" w:eastAsia="en-CA"/>
        </w:rPr>
        <w:t>by the Euthanasia Prevention Coalition and the Euthanasia Prevention Coalition – British Columbia for an extension of time to file a motion for leave to intervene;</w:t>
      </w:r>
      <w:r w:rsidRPr="00B308F6">
        <w:rPr>
          <w:rFonts w:eastAsia="Times New Roman" w:cs="Times New Roman"/>
          <w:b/>
          <w:sz w:val="20"/>
          <w:szCs w:val="20"/>
          <w:lang w:val="en-US" w:eastAsia="en-CA"/>
        </w:rPr>
        <w:t xml:space="preserve"> </w:t>
      </w:r>
    </w:p>
    <w:p w:rsidR="00B308F6" w:rsidRPr="00B308F6" w:rsidRDefault="00B308F6" w:rsidP="00B308F6">
      <w:pPr>
        <w:spacing w:line="233" w:lineRule="auto"/>
        <w:jc w:val="both"/>
        <w:rPr>
          <w:rFonts w:eastAsia="Times New Roman" w:cs="Times New Roman"/>
          <w:sz w:val="20"/>
          <w:szCs w:val="20"/>
          <w:lang w:val="en-US" w:eastAsia="en-CA"/>
        </w:rPr>
      </w:pPr>
    </w:p>
    <w:p w:rsidR="00B308F6" w:rsidRPr="00B308F6" w:rsidRDefault="00B308F6" w:rsidP="00B308F6">
      <w:pPr>
        <w:spacing w:line="233" w:lineRule="auto"/>
        <w:jc w:val="both"/>
        <w:rPr>
          <w:rFonts w:eastAsia="Times New Roman" w:cs="Times New Roman"/>
          <w:sz w:val="20"/>
          <w:szCs w:val="20"/>
          <w:lang w:val="en-US" w:eastAsia="en-CA"/>
        </w:rPr>
      </w:pPr>
      <w:r w:rsidRPr="00B308F6">
        <w:rPr>
          <w:rFonts w:eastAsia="Times New Roman" w:cs="Times New Roman"/>
          <w:b/>
          <w:bCs/>
          <w:sz w:val="20"/>
          <w:szCs w:val="20"/>
          <w:lang w:val="en-US" w:eastAsia="en-CA"/>
        </w:rPr>
        <w:t>AND THE MATERIAL FILED</w:t>
      </w:r>
      <w:r w:rsidRPr="00B308F6">
        <w:rPr>
          <w:rFonts w:eastAsia="Times New Roman" w:cs="Times New Roman"/>
          <w:sz w:val="20"/>
          <w:szCs w:val="20"/>
          <w:lang w:val="en-US" w:eastAsia="en-CA"/>
        </w:rPr>
        <w:t xml:space="preserve"> having been read;</w:t>
      </w:r>
    </w:p>
    <w:p w:rsidR="00B308F6" w:rsidRPr="00B308F6" w:rsidRDefault="00B308F6" w:rsidP="00B308F6">
      <w:pPr>
        <w:spacing w:line="233" w:lineRule="auto"/>
        <w:jc w:val="both"/>
        <w:rPr>
          <w:rFonts w:eastAsia="Times New Roman" w:cs="Times New Roman"/>
          <w:sz w:val="20"/>
          <w:szCs w:val="20"/>
          <w:lang w:val="en-US" w:eastAsia="en-CA"/>
        </w:rPr>
      </w:pPr>
    </w:p>
    <w:p w:rsidR="00B308F6" w:rsidRPr="00B308F6" w:rsidRDefault="00B308F6" w:rsidP="00B308F6">
      <w:pPr>
        <w:spacing w:line="233" w:lineRule="auto"/>
        <w:jc w:val="both"/>
        <w:rPr>
          <w:rFonts w:eastAsia="Times New Roman" w:cs="Times New Roman"/>
          <w:sz w:val="20"/>
          <w:szCs w:val="20"/>
          <w:lang w:val="en-US" w:eastAsia="en-CA"/>
        </w:rPr>
      </w:pPr>
      <w:r w:rsidRPr="00B308F6">
        <w:rPr>
          <w:rFonts w:eastAsia="Times New Roman" w:cs="Times New Roman"/>
          <w:b/>
          <w:bCs/>
          <w:sz w:val="20"/>
          <w:szCs w:val="20"/>
          <w:lang w:val="en-US" w:eastAsia="en-CA"/>
        </w:rPr>
        <w:t>IT IS HEREBY ORDERED THAT:</w:t>
      </w:r>
    </w:p>
    <w:p w:rsidR="00B308F6" w:rsidRPr="00B308F6" w:rsidRDefault="00B308F6" w:rsidP="00B308F6">
      <w:pPr>
        <w:spacing w:line="233" w:lineRule="auto"/>
        <w:jc w:val="both"/>
        <w:rPr>
          <w:rFonts w:eastAsia="Times New Roman" w:cs="Times New Roman"/>
          <w:sz w:val="20"/>
          <w:szCs w:val="20"/>
          <w:lang w:val="en-US" w:eastAsia="en-CA"/>
        </w:rPr>
      </w:pPr>
    </w:p>
    <w:p w:rsidR="00B308F6" w:rsidRPr="00B308F6" w:rsidRDefault="00B308F6" w:rsidP="00B308F6">
      <w:pPr>
        <w:spacing w:line="233" w:lineRule="auto"/>
        <w:jc w:val="both"/>
        <w:rPr>
          <w:rFonts w:eastAsia="Times New Roman" w:cs="Times New Roman"/>
          <w:sz w:val="20"/>
          <w:szCs w:val="20"/>
          <w:lang w:val="en-US" w:eastAsia="en-CA"/>
        </w:rPr>
      </w:pPr>
      <w:r w:rsidRPr="00B308F6">
        <w:rPr>
          <w:rFonts w:eastAsia="Times New Roman" w:cs="Times New Roman"/>
          <w:sz w:val="20"/>
          <w:szCs w:val="20"/>
          <w:lang w:val="en-US" w:eastAsia="en-CA"/>
        </w:rPr>
        <w:t>The motions for extension of time to file a motion for leave to intervene of the Euthanasia Prevention Coalition and the Euthanasia Prevention Coalition – British Columbia are granted.</w:t>
      </w:r>
    </w:p>
    <w:p w:rsidR="00B308F6" w:rsidRPr="00B308F6" w:rsidRDefault="00B308F6" w:rsidP="00B308F6">
      <w:pPr>
        <w:spacing w:line="233" w:lineRule="auto"/>
        <w:jc w:val="both"/>
        <w:rPr>
          <w:rFonts w:eastAsia="Times New Roman" w:cs="Times New Roman"/>
          <w:sz w:val="20"/>
          <w:szCs w:val="20"/>
          <w:lang w:val="en-US" w:eastAsia="en-CA"/>
        </w:rPr>
      </w:pPr>
    </w:p>
    <w:p w:rsidR="00B308F6" w:rsidRPr="00B308F6" w:rsidRDefault="00B308F6" w:rsidP="00B308F6">
      <w:pPr>
        <w:spacing w:line="233" w:lineRule="auto"/>
        <w:jc w:val="both"/>
        <w:rPr>
          <w:rFonts w:eastAsia="Times New Roman" w:cs="Times New Roman"/>
          <w:sz w:val="20"/>
          <w:szCs w:val="20"/>
          <w:lang w:val="en-US" w:eastAsia="en-CA"/>
        </w:rPr>
      </w:pPr>
      <w:r w:rsidRPr="00B308F6">
        <w:rPr>
          <w:rFonts w:eastAsia="Times New Roman" w:cs="Times New Roman"/>
          <w:sz w:val="20"/>
          <w:szCs w:val="20"/>
          <w:lang w:val="en-US" w:eastAsia="en-CA"/>
        </w:rPr>
        <w:t>The motions for leave to intervene of</w:t>
      </w:r>
      <w:r w:rsidRPr="00B308F6">
        <w:rPr>
          <w:rFonts w:eastAsia="Times New Roman" w:cs="Times New Roman"/>
          <w:sz w:val="20"/>
          <w:szCs w:val="20"/>
          <w:lang w:eastAsia="en-CA"/>
        </w:rPr>
        <w:t xml:space="preserve"> </w:t>
      </w:r>
      <w:r w:rsidRPr="00B308F6">
        <w:rPr>
          <w:rFonts w:eastAsia="Times New Roman" w:cs="Times New Roman"/>
          <w:sz w:val="20"/>
          <w:szCs w:val="20"/>
          <w:lang w:val="en-US" w:eastAsia="en-CA"/>
        </w:rPr>
        <w:t>the Alliance of People with Disabilities Who Are Supportive of Legal Assisted Dying Society, the Association for Reformed Political Action Canada, the Canadian Civil Liberties Association, the Canadian HIV/AIDS Legal Network and the HIV &amp; AIDS Legal Clinic Ontario, The Canadian Medical Association, the Canadian Unitarian Council, the Catholic Civil Rights League, the Faith and Freedom Alliance and the Protection of Conscience Project, the Catholic Health Alliance of Canada, the Christian Legal Fellowship, the Christian Medical and Dental Society of Canada and the Canadian Federation of Catholic Physicians’ Societies, the Collectif des médecins contre l’euthanasie, the Council of Canadians with Disabilities and the Canadian Association for Community Living, the Criminal Lawyers’ Association (Ontario), Dying with Dignity, the Evangelical Fellowship of Canada, the Farewell Foundation for the Right to Die and the Association québécoise pour le droit de mourir dans la dignité and the Euthanasia Prevention Coalition and the Euthanasia Prevention Coalition – British Columbia</w:t>
      </w:r>
      <w:r w:rsidRPr="00B308F6">
        <w:rPr>
          <w:rFonts w:eastAsia="Times New Roman" w:cs="Times New Roman"/>
          <w:sz w:val="20"/>
          <w:szCs w:val="20"/>
          <w:lang w:eastAsia="en-CA"/>
        </w:rPr>
        <w:t xml:space="preserve"> are </w:t>
      </w:r>
      <w:r w:rsidRPr="00B308F6">
        <w:rPr>
          <w:rFonts w:eastAsia="Times New Roman" w:cs="Times New Roman"/>
          <w:sz w:val="20"/>
          <w:szCs w:val="20"/>
          <w:lang w:val="en-US" w:eastAsia="en-CA"/>
        </w:rPr>
        <w:t>granted and the said interveners or groups of interveners shall be entitled to each serve and file a factum not to exceed 10 pages in length in these appeals on or before August 29, 2014.</w:t>
      </w:r>
    </w:p>
    <w:p w:rsidR="00B308F6" w:rsidRPr="00B308F6" w:rsidRDefault="00B308F6" w:rsidP="00B308F6">
      <w:pPr>
        <w:spacing w:line="233" w:lineRule="auto"/>
        <w:jc w:val="both"/>
        <w:rPr>
          <w:rFonts w:eastAsia="Times New Roman" w:cs="Times New Roman"/>
          <w:sz w:val="20"/>
          <w:szCs w:val="20"/>
          <w:lang w:val="en-US" w:eastAsia="en-CA"/>
        </w:rPr>
      </w:pPr>
    </w:p>
    <w:p w:rsidR="00B308F6" w:rsidRPr="00B308F6" w:rsidRDefault="00B308F6" w:rsidP="00B308F6">
      <w:pPr>
        <w:spacing w:line="233" w:lineRule="auto"/>
        <w:jc w:val="both"/>
        <w:rPr>
          <w:rFonts w:eastAsia="Times New Roman" w:cs="Times New Roman"/>
          <w:sz w:val="20"/>
          <w:szCs w:val="20"/>
          <w:lang w:val="en-US" w:eastAsia="en-CA"/>
        </w:rPr>
      </w:pPr>
      <w:r w:rsidRPr="00B308F6">
        <w:rPr>
          <w:rFonts w:eastAsia="Times New Roman" w:cs="Times New Roman"/>
          <w:sz w:val="20"/>
          <w:szCs w:val="20"/>
          <w:lang w:val="en-US" w:eastAsia="en-CA"/>
        </w:rPr>
        <w:lastRenderedPageBreak/>
        <w:t>The motions for leave to intervene of the Advocates’ Society and the David Asper Centre for Constitutional Rights are dismissed.</w:t>
      </w:r>
    </w:p>
    <w:p w:rsidR="00B308F6" w:rsidRPr="00B308F6" w:rsidRDefault="00B308F6" w:rsidP="00B308F6">
      <w:pPr>
        <w:spacing w:line="233" w:lineRule="auto"/>
        <w:jc w:val="both"/>
        <w:rPr>
          <w:rFonts w:eastAsia="Times New Roman" w:cs="Times New Roman"/>
          <w:sz w:val="20"/>
          <w:szCs w:val="20"/>
          <w:lang w:val="en-US" w:eastAsia="en-CA"/>
        </w:rPr>
      </w:pPr>
    </w:p>
    <w:p w:rsidR="00B308F6" w:rsidRPr="00B308F6" w:rsidRDefault="00B308F6" w:rsidP="00B308F6">
      <w:pPr>
        <w:spacing w:line="233" w:lineRule="auto"/>
        <w:jc w:val="both"/>
        <w:rPr>
          <w:rFonts w:eastAsia="Times New Roman" w:cs="Times New Roman"/>
          <w:sz w:val="20"/>
          <w:szCs w:val="20"/>
          <w:lang w:val="en-US" w:eastAsia="en-CA"/>
        </w:rPr>
      </w:pPr>
      <w:r w:rsidRPr="00B308F6">
        <w:rPr>
          <w:rFonts w:eastAsia="Times New Roman" w:cs="Times New Roman"/>
          <w:sz w:val="20"/>
          <w:szCs w:val="20"/>
          <w:lang w:val="en-US" w:eastAsia="en-CA"/>
        </w:rPr>
        <w:t>Interveners shall consult to avoid repetition in their written arguments.</w:t>
      </w:r>
    </w:p>
    <w:p w:rsidR="00B308F6" w:rsidRPr="00B308F6" w:rsidRDefault="00B308F6" w:rsidP="00B308F6">
      <w:pPr>
        <w:spacing w:line="233" w:lineRule="auto"/>
        <w:jc w:val="both"/>
        <w:rPr>
          <w:rFonts w:eastAsia="Times New Roman" w:cs="Times New Roman"/>
          <w:sz w:val="20"/>
          <w:szCs w:val="20"/>
          <w:lang w:val="en-US" w:eastAsia="en-CA"/>
        </w:rPr>
      </w:pPr>
    </w:p>
    <w:p w:rsidR="00B308F6" w:rsidRPr="00B308F6" w:rsidRDefault="00B308F6" w:rsidP="00B308F6">
      <w:pPr>
        <w:spacing w:line="233" w:lineRule="auto"/>
        <w:jc w:val="both"/>
        <w:rPr>
          <w:rFonts w:eastAsia="Times New Roman" w:cs="Times New Roman"/>
          <w:sz w:val="20"/>
          <w:szCs w:val="20"/>
          <w:lang w:val="en-US" w:eastAsia="en-CA"/>
        </w:rPr>
      </w:pPr>
      <w:r w:rsidRPr="00B308F6">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B308F6" w:rsidRPr="00B308F6" w:rsidRDefault="00B308F6" w:rsidP="00B308F6">
      <w:pPr>
        <w:spacing w:line="233" w:lineRule="auto"/>
        <w:jc w:val="both"/>
        <w:rPr>
          <w:rFonts w:eastAsia="Times New Roman" w:cs="Times New Roman"/>
          <w:sz w:val="20"/>
          <w:szCs w:val="20"/>
          <w:lang w:val="en-US" w:eastAsia="en-CA"/>
        </w:rPr>
      </w:pPr>
    </w:p>
    <w:p w:rsidR="00B308F6" w:rsidRPr="00B308F6" w:rsidRDefault="00935682" w:rsidP="00B308F6">
      <w:pPr>
        <w:spacing w:line="233" w:lineRule="auto"/>
        <w:jc w:val="both"/>
        <w:rPr>
          <w:rFonts w:eastAsia="Times New Roman" w:cs="Times New Roman"/>
          <w:sz w:val="20"/>
          <w:szCs w:val="20"/>
          <w:lang w:val="en-US" w:eastAsia="en-CA"/>
        </w:rPr>
      </w:pPr>
      <w:r w:rsidRPr="00B308F6">
        <w:rPr>
          <w:rFonts w:eastAsia="Times New Roman" w:cs="Times New Roman"/>
          <w:sz w:val="20"/>
          <w:szCs w:val="20"/>
          <w:lang w:eastAsia="en-CA"/>
        </w:rPr>
        <w:fldChar w:fldCharType="begin"/>
      </w:r>
      <w:r w:rsidR="00B308F6" w:rsidRPr="00B308F6">
        <w:rPr>
          <w:rFonts w:eastAsia="Times New Roman" w:cs="Times New Roman"/>
          <w:sz w:val="20"/>
          <w:szCs w:val="20"/>
          <w:lang w:eastAsia="en-CA"/>
        </w:rPr>
        <w:instrText xml:space="preserve"> SEQ CHAPTER \h \r 1</w:instrText>
      </w:r>
      <w:r w:rsidRPr="00B308F6">
        <w:rPr>
          <w:rFonts w:eastAsia="Times New Roman" w:cs="Times New Roman"/>
          <w:sz w:val="20"/>
          <w:szCs w:val="20"/>
          <w:lang w:eastAsia="en-CA"/>
        </w:rPr>
        <w:fldChar w:fldCharType="end"/>
      </w:r>
      <w:r w:rsidR="00B308F6" w:rsidRPr="00B308F6">
        <w:rPr>
          <w:rFonts w:eastAsia="Times New Roman" w:cs="Times New Roman"/>
          <w:bCs/>
          <w:sz w:val="20"/>
          <w:szCs w:val="20"/>
          <w:lang w:val="en-US" w:eastAsia="en-CA"/>
        </w:rPr>
        <w:t>The interveners are not entitled to raise new issues or to adduce further evidence or otherwise to supplement the record of the parties.</w:t>
      </w:r>
    </w:p>
    <w:p w:rsidR="00B308F6" w:rsidRPr="00B308F6" w:rsidRDefault="00B308F6" w:rsidP="00B308F6">
      <w:pPr>
        <w:spacing w:line="233" w:lineRule="auto"/>
        <w:jc w:val="both"/>
        <w:rPr>
          <w:rFonts w:eastAsia="Times New Roman" w:cs="Times New Roman"/>
          <w:sz w:val="20"/>
          <w:szCs w:val="20"/>
          <w:lang w:val="en-US" w:eastAsia="en-CA"/>
        </w:rPr>
      </w:pPr>
    </w:p>
    <w:p w:rsidR="00B308F6" w:rsidRPr="00B308F6" w:rsidRDefault="00B308F6" w:rsidP="00B308F6">
      <w:pPr>
        <w:spacing w:line="233" w:lineRule="auto"/>
        <w:jc w:val="both"/>
        <w:rPr>
          <w:rFonts w:eastAsia="Times New Roman" w:cs="Times New Roman"/>
          <w:sz w:val="20"/>
          <w:szCs w:val="20"/>
          <w:lang w:val="en-US" w:eastAsia="en-CA"/>
        </w:rPr>
      </w:pPr>
      <w:r w:rsidRPr="00B308F6">
        <w:rPr>
          <w:rFonts w:eastAsia="Times New Roman" w:cs="Times New Roman"/>
          <w:sz w:val="20"/>
          <w:szCs w:val="20"/>
          <w:lang w:val="en-US" w:eastAsia="en-CA"/>
        </w:rPr>
        <w:t>Pursuant to Rule 59(1)(</w:t>
      </w:r>
      <w:r w:rsidRPr="00B308F6">
        <w:rPr>
          <w:rFonts w:eastAsia="Times New Roman" w:cs="Times New Roman"/>
          <w:i/>
          <w:iCs/>
          <w:sz w:val="20"/>
          <w:szCs w:val="20"/>
          <w:lang w:val="en-US" w:eastAsia="en-CA"/>
        </w:rPr>
        <w:t>a</w:t>
      </w:r>
      <w:r w:rsidRPr="00B308F6">
        <w:rPr>
          <w:rFonts w:eastAsia="Times New Roman" w:cs="Times New Roman"/>
          <w:sz w:val="20"/>
          <w:szCs w:val="20"/>
          <w:lang w:val="en-US" w:eastAsia="en-CA"/>
        </w:rPr>
        <w:t xml:space="preserve">) of the </w:t>
      </w:r>
      <w:r w:rsidRPr="00B308F6">
        <w:rPr>
          <w:rFonts w:eastAsia="Times New Roman" w:cs="Times New Roman"/>
          <w:i/>
          <w:iCs/>
          <w:sz w:val="20"/>
          <w:szCs w:val="20"/>
          <w:lang w:val="en-US" w:eastAsia="en-CA"/>
        </w:rPr>
        <w:t>Rules of the Supreme Court of Canada</w:t>
      </w:r>
      <w:r w:rsidRPr="00B308F6">
        <w:rPr>
          <w:rFonts w:eastAsia="Times New Roman" w:cs="Times New Roman"/>
          <w:sz w:val="20"/>
          <w:szCs w:val="20"/>
          <w:lang w:val="en-US" w:eastAsia="en-CA"/>
        </w:rPr>
        <w:t>, the interveners shall pay to the appellants and respondents any additional disbursements occasioned to the appellants and respondents by their interventions.</w:t>
      </w:r>
    </w:p>
    <w:p w:rsidR="00B308F6" w:rsidRPr="00B308F6" w:rsidRDefault="00B308F6" w:rsidP="00B308F6">
      <w:pPr>
        <w:spacing w:line="233" w:lineRule="auto"/>
        <w:jc w:val="both"/>
        <w:rPr>
          <w:rFonts w:eastAsia="Times New Roman" w:cs="Times New Roman"/>
          <w:sz w:val="20"/>
          <w:szCs w:val="20"/>
          <w:lang w:val="en-US" w:eastAsia="en-CA"/>
        </w:rPr>
      </w:pPr>
    </w:p>
    <w:p w:rsidR="00B308F6" w:rsidRPr="00B308F6" w:rsidRDefault="00B308F6" w:rsidP="00B308F6">
      <w:pPr>
        <w:spacing w:line="233" w:lineRule="auto"/>
        <w:jc w:val="both"/>
        <w:rPr>
          <w:rFonts w:eastAsia="Times New Roman" w:cs="Times New Roman"/>
          <w:sz w:val="20"/>
          <w:szCs w:val="20"/>
          <w:lang w:val="en-US" w:eastAsia="en-CA"/>
        </w:rPr>
      </w:pPr>
      <w:r w:rsidRPr="00B308F6">
        <w:rPr>
          <w:rFonts w:eastAsia="Times New Roman" w:cs="Times New Roman"/>
          <w:sz w:val="20"/>
          <w:szCs w:val="20"/>
          <w:lang w:val="en-US" w:eastAsia="en-CA"/>
        </w:rPr>
        <w:t xml:space="preserve">The appellants and respondents are each permitted to serve and file a single factum not exceeding 10 pages in reply to these interventions on or before September 12, 2014. </w:t>
      </w:r>
    </w:p>
    <w:p w:rsidR="00B308F6" w:rsidRPr="00B308F6" w:rsidRDefault="00B308F6" w:rsidP="00B308F6">
      <w:pPr>
        <w:spacing w:line="233" w:lineRule="auto"/>
        <w:jc w:val="both"/>
        <w:rPr>
          <w:rFonts w:eastAsia="Times New Roman" w:cs="Times New Roman"/>
          <w:sz w:val="20"/>
          <w:szCs w:val="20"/>
          <w:lang w:val="en-US" w:eastAsia="en-CA"/>
        </w:rPr>
      </w:pPr>
    </w:p>
    <w:p w:rsidR="00B308F6" w:rsidRPr="00B308F6" w:rsidRDefault="00B308F6" w:rsidP="00B308F6">
      <w:pPr>
        <w:spacing w:line="233" w:lineRule="auto"/>
        <w:jc w:val="both"/>
        <w:rPr>
          <w:rFonts w:eastAsia="Times New Roman" w:cs="Times New Roman"/>
          <w:sz w:val="20"/>
          <w:szCs w:val="20"/>
          <w:lang w:val="en-US" w:eastAsia="en-CA"/>
        </w:rPr>
      </w:pPr>
    </w:p>
    <w:p w:rsidR="00B308F6" w:rsidRPr="00B308F6" w:rsidRDefault="00B308F6" w:rsidP="00B308F6">
      <w:pPr>
        <w:spacing w:line="233" w:lineRule="auto"/>
        <w:jc w:val="both"/>
        <w:rPr>
          <w:rFonts w:eastAsia="Times New Roman" w:cs="Times New Roman"/>
          <w:sz w:val="20"/>
          <w:szCs w:val="20"/>
          <w:lang w:val="en-US" w:eastAsia="en-CA"/>
        </w:rPr>
      </w:pPr>
    </w:p>
    <w:p w:rsidR="00B308F6" w:rsidRPr="00B308F6" w:rsidRDefault="00B308F6" w:rsidP="00B308F6">
      <w:pPr>
        <w:spacing w:line="233" w:lineRule="auto"/>
        <w:jc w:val="both"/>
        <w:rPr>
          <w:rFonts w:eastAsia="Times New Roman" w:cs="Times New Roman"/>
          <w:sz w:val="20"/>
          <w:szCs w:val="20"/>
          <w:lang w:val="fr-CA" w:eastAsia="en-CA"/>
        </w:rPr>
      </w:pPr>
      <w:r w:rsidRPr="00B308F6">
        <w:rPr>
          <w:rFonts w:eastAsia="Times New Roman" w:cs="Times New Roman"/>
          <w:b/>
          <w:bCs/>
          <w:sz w:val="20"/>
          <w:szCs w:val="20"/>
          <w:lang w:val="fr-CA" w:eastAsia="en-CA"/>
        </w:rPr>
        <w:t xml:space="preserve">À LA SUITE DES DEMANDES </w:t>
      </w:r>
      <w:r w:rsidRPr="00B308F6">
        <w:rPr>
          <w:rFonts w:eastAsia="Times New Roman" w:cs="Times New Roman"/>
          <w:bCs/>
          <w:sz w:val="20"/>
          <w:szCs w:val="20"/>
          <w:lang w:val="fr-CA" w:eastAsia="en-CA"/>
        </w:rPr>
        <w:t xml:space="preserve">d’autorisation d’intervenir dans l’appel présentées par la </w:t>
      </w:r>
      <w:r w:rsidRPr="00B308F6">
        <w:rPr>
          <w:rFonts w:eastAsia="Times New Roman" w:cs="Times New Roman"/>
          <w:sz w:val="20"/>
          <w:szCs w:val="20"/>
          <w:lang w:val="fr-CA" w:eastAsia="en-CA"/>
        </w:rPr>
        <w:t xml:space="preserve">Advocates’ Society, l’Alliance of People with Disabilities Who Are Supportive of Legal Assisted Dying Society, l’Association for Reformed Political Action Canada, l’Association canadienne des libertés civiles, le </w:t>
      </w:r>
      <w:r w:rsidRPr="00B308F6">
        <w:rPr>
          <w:rFonts w:eastAsia="Times New Roman" w:cs="Times New Roman"/>
          <w:bCs/>
          <w:sz w:val="20"/>
          <w:szCs w:val="20"/>
          <w:lang w:val="fr-CA" w:eastAsia="en-CA"/>
        </w:rPr>
        <w:t>Réseau juridique canadien VIH/sida</w:t>
      </w:r>
      <w:r w:rsidRPr="00B308F6">
        <w:rPr>
          <w:rFonts w:eastAsia="Times New Roman" w:cs="Times New Roman"/>
          <w:sz w:val="20"/>
          <w:szCs w:val="20"/>
          <w:lang w:val="fr-CA" w:eastAsia="en-CA"/>
        </w:rPr>
        <w:t xml:space="preserve"> et la HIV &amp; AIDS Legal Clinic Ontario, l’Association médicale canadienne, le Conseil unitarien du Canada, la Ligue Catholique des Droits de l’Homme, la Faith and Freedom Alliance et le Protection of Conscience Project, l’Alliance catholique canadienne de la santé, l’Alliance des chrétiens en droit, la Christian Medical and Dental Society of Canada et la Canadian Federation of Catholic Physicians’ Societies, le Collectif des médecins contre l’euthanasie, le Conseil des Canadiens avec déficiences et l’Association canadienne pour l’intégration communautaire, la Criminal Lawyers’ Association (Ontario), le David Asper Centre for Constitutional Rights, Dying with Dignity, le Evangelical Fellowship of Canada, la Farewell Foundation for the Right to Die et l’Association québécoise pour le droit de mourir dans la dignité et la Euthanasia Prevention Coalition et la Euthanasia Prevention Coalition – British Columbia;</w:t>
      </w:r>
    </w:p>
    <w:p w:rsidR="00B308F6" w:rsidRPr="00B308F6" w:rsidRDefault="00B308F6" w:rsidP="00B308F6">
      <w:pPr>
        <w:spacing w:line="233" w:lineRule="auto"/>
        <w:jc w:val="both"/>
        <w:rPr>
          <w:rFonts w:eastAsia="Times New Roman" w:cs="Times New Roman"/>
          <w:sz w:val="20"/>
          <w:szCs w:val="20"/>
          <w:lang w:val="fr-CA" w:eastAsia="en-CA"/>
        </w:rPr>
      </w:pPr>
    </w:p>
    <w:p w:rsidR="00B308F6" w:rsidRPr="00B308F6" w:rsidRDefault="00B308F6" w:rsidP="00B308F6">
      <w:pPr>
        <w:spacing w:line="233" w:lineRule="auto"/>
        <w:jc w:val="both"/>
        <w:rPr>
          <w:rFonts w:eastAsia="Times New Roman" w:cs="Times New Roman"/>
          <w:b/>
          <w:sz w:val="20"/>
          <w:szCs w:val="20"/>
          <w:lang w:val="fr-CA" w:eastAsia="en-CA"/>
        </w:rPr>
      </w:pPr>
      <w:r w:rsidRPr="00B308F6">
        <w:rPr>
          <w:rFonts w:eastAsia="Times New Roman" w:cs="Times New Roman"/>
          <w:b/>
          <w:sz w:val="20"/>
          <w:szCs w:val="20"/>
          <w:lang w:val="fr-CA" w:eastAsia="en-CA"/>
        </w:rPr>
        <w:t xml:space="preserve">ET À LA SUITE DES DEMANDES </w:t>
      </w:r>
      <w:r w:rsidRPr="00B308F6">
        <w:rPr>
          <w:rFonts w:eastAsia="Times New Roman" w:cs="Times New Roman"/>
          <w:sz w:val="20"/>
          <w:szCs w:val="20"/>
          <w:lang w:val="fr-CA" w:eastAsia="en-CA"/>
        </w:rPr>
        <w:t>de prorogation</w:t>
      </w:r>
      <w:r w:rsidRPr="00B308F6">
        <w:rPr>
          <w:rFonts w:eastAsia="Times New Roman" w:cs="Times New Roman"/>
          <w:b/>
          <w:sz w:val="20"/>
          <w:szCs w:val="20"/>
          <w:lang w:val="fr-CA" w:eastAsia="en-CA"/>
        </w:rPr>
        <w:t xml:space="preserve"> </w:t>
      </w:r>
      <w:r w:rsidRPr="00B308F6">
        <w:rPr>
          <w:rFonts w:eastAsia="Times New Roman" w:cs="Times New Roman"/>
          <w:sz w:val="20"/>
          <w:szCs w:val="20"/>
          <w:lang w:val="fr-CA" w:eastAsia="en-CA"/>
        </w:rPr>
        <w:t>du délai</w:t>
      </w:r>
      <w:r w:rsidRPr="00B308F6">
        <w:rPr>
          <w:rFonts w:eastAsia="Times New Roman" w:cs="Times New Roman"/>
          <w:b/>
          <w:sz w:val="20"/>
          <w:szCs w:val="20"/>
          <w:lang w:val="fr-CA" w:eastAsia="en-CA"/>
        </w:rPr>
        <w:t xml:space="preserve"> </w:t>
      </w:r>
      <w:r w:rsidRPr="00B308F6">
        <w:rPr>
          <w:rFonts w:eastAsia="Times New Roman" w:cs="Times New Roman"/>
          <w:sz w:val="20"/>
          <w:szCs w:val="20"/>
          <w:lang w:val="fr-CA" w:eastAsia="en-CA"/>
        </w:rPr>
        <w:t>pour déposer une requête en autorisation d’intervenir présentées par la Euthanasia Prevention Coalition et la Euthanasia Prevention Coalition – British Columbia;</w:t>
      </w:r>
      <w:r w:rsidRPr="00B308F6">
        <w:rPr>
          <w:rFonts w:eastAsia="Times New Roman" w:cs="Times New Roman"/>
          <w:b/>
          <w:sz w:val="20"/>
          <w:szCs w:val="20"/>
          <w:lang w:val="fr-CA" w:eastAsia="en-CA"/>
        </w:rPr>
        <w:t xml:space="preserve"> </w:t>
      </w:r>
    </w:p>
    <w:p w:rsidR="00B308F6" w:rsidRPr="00B308F6" w:rsidRDefault="00B308F6" w:rsidP="00B308F6">
      <w:pPr>
        <w:spacing w:line="233" w:lineRule="auto"/>
        <w:jc w:val="both"/>
        <w:rPr>
          <w:rFonts w:eastAsia="Times New Roman" w:cs="Times New Roman"/>
          <w:sz w:val="20"/>
          <w:szCs w:val="20"/>
          <w:lang w:val="fr-CA" w:eastAsia="en-CA"/>
        </w:rPr>
      </w:pPr>
    </w:p>
    <w:p w:rsidR="00B308F6" w:rsidRPr="00B308F6" w:rsidRDefault="00B308F6" w:rsidP="00B308F6">
      <w:pPr>
        <w:spacing w:line="233" w:lineRule="auto"/>
        <w:jc w:val="both"/>
        <w:rPr>
          <w:rFonts w:eastAsia="Times New Roman" w:cs="Times New Roman"/>
          <w:sz w:val="20"/>
          <w:szCs w:val="20"/>
          <w:lang w:val="fr-CA" w:eastAsia="en-CA"/>
        </w:rPr>
      </w:pPr>
      <w:r w:rsidRPr="00B308F6">
        <w:rPr>
          <w:rFonts w:eastAsia="Times New Roman" w:cs="Times New Roman"/>
          <w:b/>
          <w:bCs/>
          <w:sz w:val="20"/>
          <w:szCs w:val="20"/>
          <w:lang w:val="fr-CA" w:eastAsia="en-CA"/>
        </w:rPr>
        <w:t xml:space="preserve">ET APRÈS EXAMEN </w:t>
      </w:r>
      <w:r w:rsidRPr="00B308F6">
        <w:rPr>
          <w:rFonts w:eastAsia="Times New Roman" w:cs="Times New Roman"/>
          <w:bCs/>
          <w:sz w:val="20"/>
          <w:szCs w:val="20"/>
          <w:lang w:val="fr-CA" w:eastAsia="en-CA"/>
        </w:rPr>
        <w:t>des documents déposés</w:t>
      </w:r>
      <w:r w:rsidRPr="00B308F6">
        <w:rPr>
          <w:rFonts w:eastAsia="Times New Roman" w:cs="Times New Roman"/>
          <w:sz w:val="20"/>
          <w:szCs w:val="20"/>
          <w:lang w:val="fr-CA" w:eastAsia="en-CA"/>
        </w:rPr>
        <w:t>;</w:t>
      </w:r>
    </w:p>
    <w:p w:rsidR="00B308F6" w:rsidRPr="00B308F6" w:rsidRDefault="00B308F6" w:rsidP="00B308F6">
      <w:pPr>
        <w:spacing w:line="233" w:lineRule="auto"/>
        <w:jc w:val="both"/>
        <w:rPr>
          <w:rFonts w:eastAsia="Times New Roman" w:cs="Times New Roman"/>
          <w:sz w:val="20"/>
          <w:szCs w:val="20"/>
          <w:lang w:val="fr-CA" w:eastAsia="en-CA"/>
        </w:rPr>
      </w:pPr>
    </w:p>
    <w:p w:rsidR="00B308F6" w:rsidRPr="00B308F6" w:rsidRDefault="00B308F6" w:rsidP="00B308F6">
      <w:pPr>
        <w:spacing w:line="233" w:lineRule="auto"/>
        <w:jc w:val="both"/>
        <w:rPr>
          <w:rFonts w:eastAsia="Times New Roman" w:cs="Times New Roman"/>
          <w:sz w:val="20"/>
          <w:szCs w:val="20"/>
          <w:lang w:val="fr-CA" w:eastAsia="en-CA"/>
        </w:rPr>
      </w:pPr>
      <w:r w:rsidRPr="00B308F6">
        <w:rPr>
          <w:rFonts w:eastAsia="Times New Roman" w:cs="Times New Roman"/>
          <w:b/>
          <w:bCs/>
          <w:sz w:val="20"/>
          <w:szCs w:val="20"/>
          <w:lang w:val="fr-CA" w:eastAsia="en-CA"/>
        </w:rPr>
        <w:t>IL EST ORDONNÉ CE QUI SUIT :</w:t>
      </w:r>
    </w:p>
    <w:p w:rsidR="00B308F6" w:rsidRPr="00B308F6" w:rsidRDefault="00B308F6" w:rsidP="00B308F6">
      <w:pPr>
        <w:spacing w:line="233" w:lineRule="auto"/>
        <w:jc w:val="both"/>
        <w:rPr>
          <w:rFonts w:eastAsia="Times New Roman" w:cs="Times New Roman"/>
          <w:sz w:val="20"/>
          <w:szCs w:val="20"/>
          <w:lang w:val="fr-CA" w:eastAsia="en-CA"/>
        </w:rPr>
      </w:pPr>
    </w:p>
    <w:p w:rsidR="00B308F6" w:rsidRPr="00B308F6" w:rsidRDefault="00B308F6" w:rsidP="00B308F6">
      <w:pPr>
        <w:spacing w:line="233" w:lineRule="auto"/>
        <w:jc w:val="both"/>
        <w:rPr>
          <w:rFonts w:eastAsia="Times New Roman" w:cs="Times New Roman"/>
          <w:sz w:val="20"/>
          <w:szCs w:val="20"/>
          <w:lang w:val="fr-CA" w:eastAsia="en-CA"/>
        </w:rPr>
      </w:pPr>
      <w:r w:rsidRPr="00B308F6">
        <w:rPr>
          <w:rFonts w:eastAsia="Times New Roman" w:cs="Times New Roman"/>
          <w:sz w:val="20"/>
          <w:szCs w:val="20"/>
          <w:lang w:val="fr-CA" w:eastAsia="en-CA"/>
        </w:rPr>
        <w:t>Les requêtes en prorogation du délai pour déposer une requête en autorisation d’intervenir présentées par la Euthanasia Prevention Coalition et la Euthanasia Prevention Coalition – British Columbia sont accueillies.</w:t>
      </w:r>
    </w:p>
    <w:p w:rsidR="00B308F6" w:rsidRPr="00B308F6" w:rsidRDefault="00B308F6" w:rsidP="00B308F6">
      <w:pPr>
        <w:spacing w:line="233" w:lineRule="auto"/>
        <w:jc w:val="both"/>
        <w:rPr>
          <w:rFonts w:eastAsia="Times New Roman" w:cs="Times New Roman"/>
          <w:sz w:val="20"/>
          <w:szCs w:val="20"/>
          <w:lang w:val="fr-CA" w:eastAsia="en-CA"/>
        </w:rPr>
      </w:pPr>
    </w:p>
    <w:p w:rsidR="00B308F6" w:rsidRPr="00B308F6" w:rsidRDefault="00B308F6" w:rsidP="00B308F6">
      <w:pPr>
        <w:spacing w:line="233" w:lineRule="auto"/>
        <w:jc w:val="both"/>
        <w:rPr>
          <w:rFonts w:eastAsia="Times New Roman" w:cs="Times New Roman"/>
          <w:sz w:val="20"/>
          <w:szCs w:val="20"/>
          <w:lang w:val="fr-CA" w:eastAsia="en-CA"/>
        </w:rPr>
      </w:pPr>
      <w:r w:rsidRPr="00B308F6">
        <w:rPr>
          <w:rFonts w:eastAsia="Times New Roman" w:cs="Times New Roman"/>
          <w:sz w:val="20"/>
          <w:szCs w:val="20"/>
          <w:lang w:val="fr-CA" w:eastAsia="en-CA"/>
        </w:rPr>
        <w:t>Les requêtes en autorisation d’intervenir de l’Alliance of People with Disabilities Who Are Supportive of Legal Assisted Dying Society, l’Association for Reformed Political Action Canada, l’Association canadienne des libertés civiles, le Réseau juridique canadien VIH/sida et la HIV &amp; AIDS Legal Clinic Ontario, l’Association médicale canadienne, le Conseil unitarien du Canada, la Ligue Catholique des Droits de l’Homme, la Faith and Freedom Alliance et le Protection of Conscience Project, l’Alliance catholique canadienne de la santé, l’Alliance des chrétiens en droit, la Christian Medical and Dental Society of Canada et la Canadian Federation of Catholic Physicians’ Societies, le Collectif des médecins contre l’euthanasie, le Conseil des Canadiens avec déficiences et l’Association canadienne pour l’intégration communautaire, la Criminal Lawyers’ Association (Ontario), Dying with Dignity, le Evangelical Fellowship of Canada, la Farewell Foundation for the Right to Die et l’Association québécoise pour le droit de mourir dans la dignité et la Prevention Coalition et la Euthanasia Prevention Coalition – British Columbia sont accueillies et chacun de ces intervenants ou groupes d’intervenants pourra signifier et déposer un mémoire d’au plus 10 pages au plus tard le 29 août 2014.</w:t>
      </w:r>
    </w:p>
    <w:p w:rsidR="00B308F6" w:rsidRPr="00B308F6" w:rsidRDefault="00B308F6" w:rsidP="00B308F6">
      <w:pPr>
        <w:spacing w:line="233" w:lineRule="auto"/>
        <w:jc w:val="both"/>
        <w:rPr>
          <w:rFonts w:eastAsia="Times New Roman" w:cs="Times New Roman"/>
          <w:sz w:val="20"/>
          <w:szCs w:val="20"/>
          <w:lang w:val="fr-CA" w:eastAsia="en-CA"/>
        </w:rPr>
      </w:pPr>
    </w:p>
    <w:p w:rsidR="00B308F6" w:rsidRPr="00B308F6" w:rsidRDefault="00B308F6" w:rsidP="00B308F6">
      <w:pPr>
        <w:spacing w:line="233" w:lineRule="auto"/>
        <w:jc w:val="both"/>
        <w:rPr>
          <w:rFonts w:eastAsia="Times New Roman" w:cs="Times New Roman"/>
          <w:sz w:val="20"/>
          <w:szCs w:val="20"/>
          <w:lang w:val="fr-CA" w:eastAsia="en-CA"/>
        </w:rPr>
      </w:pPr>
      <w:r w:rsidRPr="00B308F6">
        <w:rPr>
          <w:rFonts w:eastAsia="Times New Roman" w:cs="Times New Roman"/>
          <w:sz w:val="20"/>
          <w:szCs w:val="20"/>
          <w:lang w:val="fr-CA" w:eastAsia="en-CA"/>
        </w:rPr>
        <w:t>Les requêtes en autorisation d’intervenir de la Advocates’ Society et du David Asper Centre for Constitutional Rights sont rejetées.</w:t>
      </w:r>
    </w:p>
    <w:p w:rsidR="00B308F6" w:rsidRPr="00B308F6" w:rsidRDefault="00B308F6" w:rsidP="00B308F6">
      <w:pPr>
        <w:spacing w:line="233" w:lineRule="auto"/>
        <w:jc w:val="both"/>
        <w:rPr>
          <w:rFonts w:eastAsia="Times New Roman" w:cs="Times New Roman"/>
          <w:sz w:val="20"/>
          <w:szCs w:val="20"/>
          <w:lang w:val="fr-CA" w:eastAsia="en-CA"/>
        </w:rPr>
      </w:pPr>
    </w:p>
    <w:p w:rsidR="00B308F6" w:rsidRPr="00B308F6" w:rsidRDefault="00B308F6" w:rsidP="00B308F6">
      <w:pPr>
        <w:spacing w:line="233" w:lineRule="auto"/>
        <w:jc w:val="both"/>
        <w:rPr>
          <w:rFonts w:eastAsia="Times New Roman" w:cs="Times New Roman"/>
          <w:sz w:val="20"/>
          <w:szCs w:val="20"/>
          <w:lang w:val="fr-CA" w:eastAsia="en-CA"/>
        </w:rPr>
      </w:pPr>
      <w:r w:rsidRPr="00B308F6">
        <w:rPr>
          <w:rFonts w:eastAsia="Times New Roman" w:cs="Times New Roman"/>
          <w:sz w:val="20"/>
          <w:szCs w:val="20"/>
          <w:lang w:val="fr-CA" w:eastAsia="en-CA"/>
        </w:rPr>
        <w:lastRenderedPageBreak/>
        <w:t>Les intervenants se consulteront de manière à éviter toute répétition dans leurs plaidoiries écrites.</w:t>
      </w:r>
    </w:p>
    <w:p w:rsidR="00B308F6" w:rsidRPr="00B308F6" w:rsidRDefault="00B308F6" w:rsidP="00B308F6">
      <w:pPr>
        <w:spacing w:line="233" w:lineRule="auto"/>
        <w:jc w:val="both"/>
        <w:rPr>
          <w:rFonts w:eastAsia="Times New Roman" w:cs="Times New Roman"/>
          <w:sz w:val="20"/>
          <w:szCs w:val="20"/>
          <w:lang w:val="fr-CA" w:eastAsia="en-CA"/>
        </w:rPr>
      </w:pPr>
    </w:p>
    <w:p w:rsidR="00B308F6" w:rsidRPr="00B308F6" w:rsidRDefault="00B308F6" w:rsidP="00B308F6">
      <w:pPr>
        <w:spacing w:line="233" w:lineRule="auto"/>
        <w:jc w:val="both"/>
        <w:rPr>
          <w:rFonts w:eastAsia="Times New Roman" w:cs="Times New Roman"/>
          <w:sz w:val="20"/>
          <w:szCs w:val="20"/>
          <w:lang w:val="fr-CA" w:eastAsia="en-CA"/>
        </w:rPr>
      </w:pPr>
      <w:r w:rsidRPr="00B308F6">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B308F6" w:rsidRPr="00B308F6" w:rsidRDefault="00B308F6" w:rsidP="00B308F6">
      <w:pPr>
        <w:spacing w:line="233" w:lineRule="auto"/>
        <w:jc w:val="both"/>
        <w:rPr>
          <w:rFonts w:eastAsia="Times New Roman" w:cs="Times New Roman"/>
          <w:sz w:val="20"/>
          <w:szCs w:val="20"/>
          <w:lang w:val="fr-CA" w:eastAsia="en-CA"/>
        </w:rPr>
      </w:pPr>
    </w:p>
    <w:p w:rsidR="00B308F6" w:rsidRPr="00B308F6" w:rsidRDefault="00B308F6" w:rsidP="00B308F6">
      <w:pPr>
        <w:spacing w:line="233" w:lineRule="auto"/>
        <w:jc w:val="both"/>
        <w:rPr>
          <w:rFonts w:eastAsia="Times New Roman" w:cs="Times New Roman"/>
          <w:sz w:val="20"/>
          <w:szCs w:val="20"/>
          <w:lang w:val="fr-CA" w:eastAsia="en-CA"/>
        </w:rPr>
      </w:pPr>
      <w:r w:rsidRPr="00B308F6">
        <w:rPr>
          <w:rFonts w:eastAsia="Times New Roman" w:cs="Times New Roman"/>
          <w:sz w:val="20"/>
          <w:szCs w:val="20"/>
          <w:lang w:val="fr-CA" w:eastAsia="en-CA"/>
        </w:rPr>
        <w:t xml:space="preserve">Les intervenants n’ont pas le droit de soulever de nouvelles questions, de produire d’autres éléments de preuve ni de compléter de quelque autre façon le dossier des </w:t>
      </w:r>
      <w:r w:rsidR="00935682" w:rsidRPr="00B308F6">
        <w:rPr>
          <w:rFonts w:eastAsia="Times New Roman" w:cs="Times New Roman"/>
          <w:sz w:val="20"/>
          <w:szCs w:val="20"/>
          <w:lang w:eastAsia="en-CA"/>
        </w:rPr>
        <w:fldChar w:fldCharType="begin"/>
      </w:r>
      <w:r w:rsidRPr="00B308F6">
        <w:rPr>
          <w:rFonts w:eastAsia="Times New Roman" w:cs="Times New Roman"/>
          <w:sz w:val="20"/>
          <w:szCs w:val="20"/>
          <w:lang w:val="fr-CA" w:eastAsia="en-CA"/>
        </w:rPr>
        <w:instrText xml:space="preserve"> SEQ CHAPTER \h \r 1</w:instrText>
      </w:r>
      <w:r w:rsidR="00935682" w:rsidRPr="00B308F6">
        <w:rPr>
          <w:rFonts w:eastAsia="Times New Roman" w:cs="Times New Roman"/>
          <w:sz w:val="20"/>
          <w:szCs w:val="20"/>
          <w:lang w:eastAsia="en-CA"/>
        </w:rPr>
        <w:fldChar w:fldCharType="end"/>
      </w:r>
      <w:r w:rsidRPr="00B308F6">
        <w:rPr>
          <w:rFonts w:eastAsia="Times New Roman" w:cs="Times New Roman"/>
          <w:bCs/>
          <w:sz w:val="20"/>
          <w:szCs w:val="20"/>
          <w:lang w:val="fr-CA" w:eastAsia="en-CA"/>
        </w:rPr>
        <w:t>parties.</w:t>
      </w:r>
    </w:p>
    <w:p w:rsidR="00B308F6" w:rsidRPr="00B308F6" w:rsidRDefault="00B308F6" w:rsidP="00B308F6">
      <w:pPr>
        <w:spacing w:line="233" w:lineRule="auto"/>
        <w:jc w:val="both"/>
        <w:rPr>
          <w:rFonts w:eastAsia="Times New Roman" w:cs="Times New Roman"/>
          <w:sz w:val="20"/>
          <w:szCs w:val="20"/>
          <w:lang w:val="fr-CA" w:eastAsia="en-CA"/>
        </w:rPr>
      </w:pPr>
    </w:p>
    <w:p w:rsidR="00B308F6" w:rsidRPr="00B308F6" w:rsidRDefault="00B308F6" w:rsidP="00B308F6">
      <w:pPr>
        <w:spacing w:line="233" w:lineRule="auto"/>
        <w:jc w:val="both"/>
        <w:rPr>
          <w:rFonts w:eastAsia="Times New Roman" w:cs="Times New Roman"/>
          <w:sz w:val="20"/>
          <w:szCs w:val="20"/>
          <w:lang w:val="fr-CA" w:eastAsia="en-CA"/>
        </w:rPr>
      </w:pPr>
      <w:r w:rsidRPr="00B308F6">
        <w:rPr>
          <w:rFonts w:eastAsia="Times New Roman" w:cs="Times New Roman"/>
          <w:sz w:val="20"/>
          <w:szCs w:val="20"/>
          <w:lang w:val="fr-CA" w:eastAsia="en-CA"/>
        </w:rPr>
        <w:t>Conformément à l’alinéa 59(1)</w:t>
      </w:r>
      <w:r w:rsidRPr="00B308F6">
        <w:rPr>
          <w:rFonts w:eastAsia="Times New Roman" w:cs="Times New Roman"/>
          <w:i/>
          <w:iCs/>
          <w:sz w:val="20"/>
          <w:szCs w:val="20"/>
          <w:lang w:val="fr-CA" w:eastAsia="en-CA"/>
        </w:rPr>
        <w:t>a</w:t>
      </w:r>
      <w:r w:rsidRPr="00B308F6">
        <w:rPr>
          <w:rFonts w:eastAsia="Times New Roman" w:cs="Times New Roman"/>
          <w:sz w:val="20"/>
          <w:szCs w:val="20"/>
          <w:lang w:val="fr-CA" w:eastAsia="en-CA"/>
        </w:rPr>
        <w:t xml:space="preserve">) des </w:t>
      </w:r>
      <w:r w:rsidRPr="00B308F6">
        <w:rPr>
          <w:rFonts w:eastAsia="Times New Roman" w:cs="Times New Roman"/>
          <w:i/>
          <w:iCs/>
          <w:sz w:val="20"/>
          <w:szCs w:val="20"/>
          <w:lang w:val="fr-CA" w:eastAsia="en-CA"/>
        </w:rPr>
        <w:t>Règles de la Cour suprême du Canada</w:t>
      </w:r>
      <w:r w:rsidRPr="00B308F6">
        <w:rPr>
          <w:rFonts w:eastAsia="Times New Roman" w:cs="Times New Roman"/>
          <w:sz w:val="20"/>
          <w:szCs w:val="20"/>
          <w:lang w:val="fr-CA" w:eastAsia="en-CA"/>
        </w:rPr>
        <w:t>, les intervenants paieront aux appelants et aux intimés tous débours supplémentaires résultant de leurs interventions.</w:t>
      </w:r>
    </w:p>
    <w:p w:rsidR="00B308F6" w:rsidRPr="00B308F6" w:rsidRDefault="00B308F6" w:rsidP="00B308F6">
      <w:pPr>
        <w:spacing w:line="233" w:lineRule="auto"/>
        <w:jc w:val="both"/>
        <w:rPr>
          <w:rFonts w:eastAsia="Times New Roman" w:cs="Times New Roman"/>
          <w:sz w:val="20"/>
          <w:szCs w:val="20"/>
          <w:lang w:val="fr-CA" w:eastAsia="en-CA"/>
        </w:rPr>
      </w:pPr>
    </w:p>
    <w:p w:rsidR="00B308F6" w:rsidRPr="00B308F6" w:rsidRDefault="00B308F6" w:rsidP="00B308F6">
      <w:pPr>
        <w:spacing w:line="233" w:lineRule="auto"/>
        <w:jc w:val="both"/>
        <w:rPr>
          <w:rFonts w:eastAsia="Times New Roman" w:cs="Times New Roman"/>
          <w:sz w:val="20"/>
          <w:szCs w:val="20"/>
          <w:lang w:val="fr-CA" w:eastAsia="en-CA"/>
        </w:rPr>
      </w:pPr>
      <w:r w:rsidRPr="00B308F6">
        <w:rPr>
          <w:rFonts w:eastAsia="Times New Roman" w:cs="Times New Roman"/>
          <w:sz w:val="20"/>
          <w:szCs w:val="20"/>
          <w:lang w:val="fr-CA" w:eastAsia="en-CA"/>
        </w:rPr>
        <w:t>Chacun des appelants et des intimés pourra signifier et déposer un mémoire d’au plus 10 pages en réponse à ces interventions au plus tard le 12 septembre 2014.</w:t>
      </w:r>
    </w:p>
    <w:p w:rsidR="00B308F6" w:rsidRPr="00B308F6" w:rsidRDefault="00B308F6" w:rsidP="00B308F6">
      <w:pPr>
        <w:tabs>
          <w:tab w:val="left" w:pos="-1440"/>
          <w:tab w:val="left" w:pos="-720"/>
        </w:tabs>
        <w:jc w:val="both"/>
        <w:rPr>
          <w:rFonts w:eastAsia="Times New Roman" w:cs="Times New Roman"/>
          <w:sz w:val="20"/>
          <w:szCs w:val="20"/>
          <w:lang w:val="fr-CA" w:eastAsia="en-CA"/>
        </w:rPr>
      </w:pPr>
    </w:p>
    <w:p w:rsidR="00B308F6" w:rsidRPr="00B308F6" w:rsidRDefault="00944C2E" w:rsidP="00B308F6">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3" style="width:2in;height:1pt" o:hrpct="0" o:hralign="center" o:hrstd="t" o:hrnoshade="t" o:hr="t" fillcolor="black [3213]" stroked="f"/>
        </w:pict>
      </w:r>
    </w:p>
    <w:p w:rsidR="00B308F6" w:rsidRPr="00B308F6" w:rsidRDefault="00B308F6" w:rsidP="00B308F6">
      <w:pPr>
        <w:tabs>
          <w:tab w:val="left" w:pos="-1440"/>
          <w:tab w:val="left" w:pos="-720"/>
        </w:tabs>
        <w:jc w:val="both"/>
        <w:rPr>
          <w:rFonts w:eastAsia="Times New Roman" w:cs="Times New Roman"/>
          <w:sz w:val="20"/>
          <w:szCs w:val="20"/>
          <w:lang w:val="fr-CA" w:eastAsia="en-CA"/>
        </w:rPr>
      </w:pPr>
    </w:p>
    <w:p w:rsidR="00B308F6" w:rsidRPr="00B308F6" w:rsidRDefault="00B308F6" w:rsidP="00B308F6">
      <w:pPr>
        <w:tabs>
          <w:tab w:val="left" w:pos="-1440"/>
          <w:tab w:val="left" w:pos="-720"/>
        </w:tabs>
        <w:jc w:val="both"/>
        <w:rPr>
          <w:rFonts w:eastAsia="Times New Roman" w:cs="Times New Roman"/>
          <w:sz w:val="20"/>
          <w:szCs w:val="20"/>
          <w:lang w:val="fr-CA" w:eastAsia="en-CA"/>
        </w:rPr>
      </w:pPr>
      <w:r w:rsidRPr="00B308F6">
        <w:rPr>
          <w:rFonts w:eastAsia="Times New Roman" w:cs="Times New Roman"/>
          <w:sz w:val="20"/>
          <w:szCs w:val="20"/>
          <w:lang w:val="fr-CA" w:eastAsia="en-CA"/>
        </w:rPr>
        <w:t>07.07.2014</w:t>
      </w:r>
    </w:p>
    <w:p w:rsidR="00B308F6" w:rsidRPr="00B308F6" w:rsidRDefault="00B308F6" w:rsidP="00B308F6">
      <w:pPr>
        <w:tabs>
          <w:tab w:val="left" w:pos="-1440"/>
          <w:tab w:val="left" w:pos="-720"/>
        </w:tabs>
        <w:jc w:val="both"/>
        <w:rPr>
          <w:rFonts w:eastAsia="Times New Roman" w:cs="Times New Roman"/>
          <w:sz w:val="20"/>
          <w:szCs w:val="20"/>
          <w:lang w:val="fr-CA" w:eastAsia="en-CA"/>
        </w:rPr>
      </w:pPr>
    </w:p>
    <w:p w:rsidR="00B308F6" w:rsidRPr="00B308F6" w:rsidRDefault="00B308F6" w:rsidP="00B308F6">
      <w:pPr>
        <w:tabs>
          <w:tab w:val="left" w:pos="-1440"/>
          <w:tab w:val="left" w:pos="-720"/>
        </w:tabs>
        <w:jc w:val="both"/>
        <w:rPr>
          <w:rFonts w:eastAsia="Times New Roman" w:cs="Times New Roman"/>
          <w:sz w:val="20"/>
          <w:szCs w:val="20"/>
          <w:lang w:val="fr-CA" w:eastAsia="en-CA"/>
        </w:rPr>
      </w:pPr>
      <w:r w:rsidRPr="00B308F6">
        <w:rPr>
          <w:rFonts w:eastAsia="Times New Roman" w:cs="Times New Roman"/>
          <w:sz w:val="20"/>
          <w:szCs w:val="20"/>
          <w:lang w:val="fr-CA" w:eastAsia="en-CA"/>
        </w:rPr>
        <w:t>Before / Devant :   THE CHIEF JUSTICE / LA JUGE EN CHEF</w:t>
      </w:r>
    </w:p>
    <w:p w:rsidR="00B308F6" w:rsidRPr="00B308F6" w:rsidRDefault="00B308F6" w:rsidP="00B308F6">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B308F6" w:rsidRPr="00B308F6" w:rsidTr="0097756E">
        <w:trPr>
          <w:trHeight w:val="151"/>
        </w:trPr>
        <w:tc>
          <w:tcPr>
            <w:tcW w:w="4338" w:type="dxa"/>
          </w:tcPr>
          <w:p w:rsidR="00B308F6" w:rsidRPr="00B308F6" w:rsidRDefault="00935682" w:rsidP="00B308F6">
            <w:pPr>
              <w:tabs>
                <w:tab w:val="left" w:pos="-1440"/>
                <w:tab w:val="left" w:pos="-720"/>
              </w:tabs>
              <w:jc w:val="both"/>
              <w:rPr>
                <w:lang w:val="fr-CA"/>
              </w:rPr>
            </w:pPr>
            <w:r w:rsidRPr="00B308F6">
              <w:rPr>
                <w:lang w:val="en-US"/>
              </w:rPr>
              <w:fldChar w:fldCharType="begin"/>
            </w:r>
            <w:r w:rsidR="00B308F6" w:rsidRPr="00B308F6">
              <w:rPr>
                <w:lang w:val="fr-CA"/>
              </w:rPr>
              <w:instrText xml:space="preserve"> SEQ CHAPTER \h \r 1</w:instrText>
            </w:r>
            <w:r w:rsidRPr="00B308F6">
              <w:rPr>
                <w:lang w:val="en-US"/>
              </w:rPr>
              <w:fldChar w:fldCharType="end"/>
            </w:r>
            <w:r w:rsidR="00B308F6" w:rsidRPr="00B308F6">
              <w:rPr>
                <w:b/>
                <w:bCs/>
                <w:lang w:val="fr-CA"/>
              </w:rPr>
              <w:t>Miscellaneous motion</w:t>
            </w:r>
          </w:p>
          <w:p w:rsidR="00B308F6" w:rsidRPr="00B308F6" w:rsidRDefault="00935682" w:rsidP="00B308F6">
            <w:pPr>
              <w:tabs>
                <w:tab w:val="left" w:pos="-1440"/>
                <w:tab w:val="left" w:pos="-720"/>
              </w:tabs>
              <w:jc w:val="both"/>
              <w:rPr>
                <w:lang w:val="fr-CA"/>
              </w:rPr>
            </w:pPr>
            <w:r w:rsidRPr="00B308F6">
              <w:rPr>
                <w:lang w:val="en-US"/>
              </w:rPr>
              <w:fldChar w:fldCharType="begin"/>
            </w:r>
            <w:r w:rsidR="00B308F6" w:rsidRPr="00B308F6">
              <w:rPr>
                <w:lang w:val="fr-CA"/>
              </w:rPr>
              <w:instrText xml:space="preserve"> SEQ CHAPTER \h \r 1</w:instrText>
            </w:r>
            <w:r w:rsidRPr="00B308F6">
              <w:rPr>
                <w:lang w:val="en-US"/>
              </w:rPr>
              <w:fldChar w:fldCharType="end"/>
            </w:r>
          </w:p>
        </w:tc>
        <w:tc>
          <w:tcPr>
            <w:tcW w:w="1170" w:type="dxa"/>
          </w:tcPr>
          <w:p w:rsidR="00B308F6" w:rsidRPr="00B308F6" w:rsidRDefault="00B308F6" w:rsidP="00B308F6">
            <w:pPr>
              <w:jc w:val="both"/>
              <w:rPr>
                <w:lang w:val="fr-CA"/>
              </w:rPr>
            </w:pPr>
          </w:p>
          <w:p w:rsidR="00B308F6" w:rsidRPr="00B308F6" w:rsidRDefault="00B308F6" w:rsidP="00B308F6">
            <w:pPr>
              <w:jc w:val="both"/>
              <w:rPr>
                <w:lang w:val="fr-CA"/>
              </w:rPr>
            </w:pPr>
          </w:p>
        </w:tc>
        <w:tc>
          <w:tcPr>
            <w:tcW w:w="4327" w:type="dxa"/>
          </w:tcPr>
          <w:p w:rsidR="00B308F6" w:rsidRPr="00B308F6" w:rsidRDefault="00935682" w:rsidP="00B308F6">
            <w:pPr>
              <w:jc w:val="both"/>
              <w:rPr>
                <w:b/>
                <w:lang w:val="fr-CA"/>
              </w:rPr>
            </w:pPr>
            <w:r w:rsidRPr="00B308F6">
              <w:rPr>
                <w:lang w:val="en-US"/>
              </w:rPr>
              <w:fldChar w:fldCharType="begin"/>
            </w:r>
            <w:r w:rsidR="00B308F6" w:rsidRPr="00B308F6">
              <w:rPr>
                <w:lang w:val="fr-CA"/>
              </w:rPr>
              <w:instrText xml:space="preserve"> SEQ CHAPTER \h \r 1</w:instrText>
            </w:r>
            <w:r w:rsidRPr="00B308F6">
              <w:rPr>
                <w:lang w:val="en-US"/>
              </w:rPr>
              <w:fldChar w:fldCharType="end"/>
            </w:r>
            <w:r w:rsidR="00B308F6" w:rsidRPr="00B308F6">
              <w:rPr>
                <w:b/>
                <w:bCs/>
                <w:lang w:val="fr-CA"/>
              </w:rPr>
              <w:t>Requête diverse</w:t>
            </w:r>
          </w:p>
          <w:p w:rsidR="00B308F6" w:rsidRPr="00B308F6" w:rsidRDefault="00935682" w:rsidP="00B308F6">
            <w:pPr>
              <w:jc w:val="both"/>
              <w:rPr>
                <w:b/>
                <w:lang w:val="fr-CA"/>
              </w:rPr>
            </w:pPr>
            <w:r w:rsidRPr="00B308F6">
              <w:rPr>
                <w:b/>
                <w:lang w:val="en-US"/>
              </w:rPr>
              <w:fldChar w:fldCharType="begin"/>
            </w:r>
            <w:r w:rsidR="00B308F6" w:rsidRPr="00B308F6">
              <w:rPr>
                <w:b/>
                <w:lang w:val="fr-CA"/>
              </w:rPr>
              <w:instrText xml:space="preserve"> SEQ CHAPTER \h \r 1</w:instrText>
            </w:r>
            <w:r w:rsidRPr="00B308F6">
              <w:rPr>
                <w:b/>
                <w:lang w:val="en-US"/>
              </w:rPr>
              <w:fldChar w:fldCharType="end"/>
            </w:r>
            <w:r w:rsidRPr="00B308F6">
              <w:rPr>
                <w:b/>
                <w:lang w:val="en-US"/>
              </w:rPr>
              <w:fldChar w:fldCharType="begin"/>
            </w:r>
            <w:r w:rsidR="00B308F6" w:rsidRPr="00B308F6">
              <w:rPr>
                <w:b/>
                <w:lang w:val="fr-CA"/>
              </w:rPr>
              <w:instrText xml:space="preserve"> SEQ CHAPTER \h \r 1</w:instrText>
            </w:r>
            <w:r w:rsidRPr="00B308F6">
              <w:rPr>
                <w:b/>
                <w:lang w:val="en-US"/>
              </w:rPr>
              <w:fldChar w:fldCharType="end"/>
            </w:r>
          </w:p>
        </w:tc>
      </w:tr>
      <w:tr w:rsidR="00B308F6" w:rsidRPr="00944C2E" w:rsidTr="0097756E">
        <w:trPr>
          <w:trHeight w:val="150"/>
        </w:trPr>
        <w:tc>
          <w:tcPr>
            <w:tcW w:w="4338" w:type="dxa"/>
          </w:tcPr>
          <w:p w:rsidR="00B308F6" w:rsidRPr="00B308F6" w:rsidRDefault="00B308F6" w:rsidP="00B308F6">
            <w:pPr>
              <w:tabs>
                <w:tab w:val="left" w:pos="-1440"/>
                <w:tab w:val="left" w:pos="-720"/>
              </w:tabs>
              <w:jc w:val="both"/>
              <w:rPr>
                <w:lang w:val="fr-CA"/>
              </w:rPr>
            </w:pPr>
            <w:r w:rsidRPr="00B308F6">
              <w:rPr>
                <w:lang w:val="fr-CA"/>
              </w:rPr>
              <w:t>Commission des droits de la personne et des droits de la jeunesse et autre</w:t>
            </w:r>
          </w:p>
          <w:p w:rsidR="00B308F6" w:rsidRPr="00B308F6" w:rsidRDefault="00B308F6" w:rsidP="00B308F6">
            <w:pPr>
              <w:tabs>
                <w:tab w:val="left" w:pos="-1440"/>
                <w:tab w:val="left" w:pos="-720"/>
              </w:tabs>
              <w:jc w:val="both"/>
              <w:rPr>
                <w:lang w:val="fr-CA"/>
              </w:rPr>
            </w:pPr>
          </w:p>
          <w:p w:rsidR="00B308F6" w:rsidRPr="00B308F6" w:rsidRDefault="00B308F6" w:rsidP="00B308F6">
            <w:pPr>
              <w:tabs>
                <w:tab w:val="left" w:pos="-1440"/>
                <w:tab w:val="left" w:pos="-720"/>
              </w:tabs>
              <w:jc w:val="both"/>
              <w:rPr>
                <w:lang w:val="fr-CA"/>
              </w:rPr>
            </w:pPr>
            <w:r w:rsidRPr="00B308F6">
              <w:rPr>
                <w:lang w:val="fr-CA"/>
              </w:rPr>
              <w:tab/>
              <w:t>c. (35625)</w:t>
            </w:r>
          </w:p>
          <w:p w:rsidR="00B308F6" w:rsidRPr="00B308F6" w:rsidRDefault="00B308F6" w:rsidP="00B308F6">
            <w:pPr>
              <w:tabs>
                <w:tab w:val="left" w:pos="-1440"/>
                <w:tab w:val="left" w:pos="-720"/>
              </w:tabs>
              <w:jc w:val="both"/>
              <w:rPr>
                <w:lang w:val="fr-CA"/>
              </w:rPr>
            </w:pPr>
          </w:p>
          <w:p w:rsidR="00B308F6" w:rsidRPr="00B308F6" w:rsidRDefault="00B308F6" w:rsidP="00B308F6">
            <w:pPr>
              <w:tabs>
                <w:tab w:val="left" w:pos="-1440"/>
                <w:tab w:val="left" w:pos="-720"/>
              </w:tabs>
              <w:jc w:val="both"/>
              <w:rPr>
                <w:lang w:val="fr-CA"/>
              </w:rPr>
            </w:pPr>
            <w:r w:rsidRPr="00B308F6">
              <w:rPr>
                <w:lang w:val="fr-CA"/>
              </w:rPr>
              <w:t>Bombardier inc. (Bombardier Aéronautique Centre de formation) et autres (Qc)</w:t>
            </w:r>
          </w:p>
        </w:tc>
        <w:tc>
          <w:tcPr>
            <w:tcW w:w="1170" w:type="dxa"/>
          </w:tcPr>
          <w:p w:rsidR="00B308F6" w:rsidRPr="00B308F6" w:rsidRDefault="00B308F6" w:rsidP="00B308F6">
            <w:pPr>
              <w:jc w:val="both"/>
              <w:rPr>
                <w:lang w:val="fr-CA"/>
              </w:rPr>
            </w:pPr>
          </w:p>
        </w:tc>
        <w:tc>
          <w:tcPr>
            <w:tcW w:w="4327" w:type="dxa"/>
          </w:tcPr>
          <w:p w:rsidR="00B308F6" w:rsidRPr="00B308F6" w:rsidRDefault="00B308F6" w:rsidP="00B308F6">
            <w:pPr>
              <w:jc w:val="both"/>
              <w:rPr>
                <w:lang w:val="fr-CA"/>
              </w:rPr>
            </w:pPr>
          </w:p>
        </w:tc>
      </w:tr>
    </w:tbl>
    <w:p w:rsidR="00B308F6" w:rsidRPr="00B308F6" w:rsidRDefault="00B308F6" w:rsidP="00B308F6">
      <w:pPr>
        <w:tabs>
          <w:tab w:val="left" w:pos="-1440"/>
          <w:tab w:val="left" w:pos="-720"/>
        </w:tabs>
        <w:jc w:val="both"/>
        <w:rPr>
          <w:rFonts w:eastAsia="Times New Roman" w:cs="Times New Roman"/>
          <w:sz w:val="20"/>
          <w:szCs w:val="20"/>
          <w:lang w:val="fr-CA" w:eastAsia="en-CA"/>
        </w:rPr>
      </w:pPr>
    </w:p>
    <w:p w:rsidR="00B308F6" w:rsidRPr="00B308F6" w:rsidRDefault="00B308F6" w:rsidP="00B308F6">
      <w:pPr>
        <w:tabs>
          <w:tab w:val="left" w:pos="-1440"/>
          <w:tab w:val="left" w:pos="-720"/>
        </w:tabs>
        <w:jc w:val="both"/>
        <w:rPr>
          <w:rFonts w:eastAsia="Times New Roman" w:cs="Times New Roman"/>
          <w:sz w:val="20"/>
          <w:szCs w:val="20"/>
          <w:lang w:eastAsia="en-CA"/>
        </w:rPr>
      </w:pPr>
      <w:r w:rsidRPr="00B308F6">
        <w:rPr>
          <w:rFonts w:eastAsia="Times New Roman" w:cs="Times New Roman"/>
          <w:b/>
          <w:sz w:val="20"/>
          <w:szCs w:val="20"/>
          <w:lang w:eastAsia="en-CA"/>
        </w:rPr>
        <w:t>DISMISSED / REJETÉE</w:t>
      </w:r>
    </w:p>
    <w:p w:rsidR="00B308F6" w:rsidRPr="00B308F6" w:rsidRDefault="00B308F6" w:rsidP="00B308F6">
      <w:pPr>
        <w:tabs>
          <w:tab w:val="left" w:pos="-1440"/>
          <w:tab w:val="left" w:pos="-720"/>
        </w:tabs>
        <w:jc w:val="both"/>
        <w:rPr>
          <w:rFonts w:eastAsia="Times New Roman" w:cs="Times New Roman"/>
          <w:sz w:val="20"/>
          <w:szCs w:val="20"/>
          <w:lang w:eastAsia="en-CA"/>
        </w:rPr>
      </w:pPr>
    </w:p>
    <w:p w:rsidR="00B308F6" w:rsidRPr="00B308F6" w:rsidRDefault="00B308F6" w:rsidP="00B308F6">
      <w:pPr>
        <w:spacing w:line="233" w:lineRule="auto"/>
        <w:rPr>
          <w:rFonts w:eastAsia="Times New Roman" w:cs="Times New Roman"/>
          <w:bCs/>
          <w:sz w:val="20"/>
          <w:szCs w:val="20"/>
          <w:lang w:val="en-US" w:eastAsia="en-CA"/>
        </w:rPr>
      </w:pPr>
      <w:r w:rsidRPr="00B308F6">
        <w:rPr>
          <w:rFonts w:eastAsia="Times New Roman" w:cs="Times New Roman"/>
          <w:b/>
          <w:bCs/>
          <w:sz w:val="20"/>
          <w:szCs w:val="20"/>
          <w:lang w:val="en-US" w:eastAsia="en-CA"/>
        </w:rPr>
        <w:t xml:space="preserve">UPON APPLICATION </w:t>
      </w:r>
      <w:r w:rsidRPr="00B308F6">
        <w:rPr>
          <w:rFonts w:eastAsia="Times New Roman" w:cs="Times New Roman"/>
          <w:bCs/>
          <w:sz w:val="20"/>
          <w:szCs w:val="20"/>
          <w:lang w:val="en-US" w:eastAsia="en-CA"/>
        </w:rPr>
        <w:t>on behalf of the appellant, Javed Latif, for an order rescheduling the hearing tentatively set for January 23, 2015;</w:t>
      </w:r>
    </w:p>
    <w:p w:rsidR="00B308F6" w:rsidRPr="00B308F6" w:rsidRDefault="00B308F6" w:rsidP="00B308F6">
      <w:pPr>
        <w:spacing w:line="233" w:lineRule="auto"/>
        <w:rPr>
          <w:rFonts w:eastAsia="Times New Roman" w:cs="Times New Roman"/>
          <w:b/>
          <w:bCs/>
          <w:sz w:val="20"/>
          <w:szCs w:val="20"/>
          <w:lang w:val="en-US" w:eastAsia="en-CA"/>
        </w:rPr>
      </w:pPr>
    </w:p>
    <w:p w:rsidR="00B308F6" w:rsidRPr="00B308F6" w:rsidRDefault="00B308F6" w:rsidP="00B308F6">
      <w:pPr>
        <w:spacing w:line="233" w:lineRule="auto"/>
        <w:rPr>
          <w:rFonts w:eastAsia="Times New Roman" w:cs="Times New Roman"/>
          <w:bCs/>
          <w:sz w:val="20"/>
          <w:szCs w:val="20"/>
          <w:lang w:val="en-US" w:eastAsia="en-CA"/>
        </w:rPr>
      </w:pPr>
      <w:r w:rsidRPr="00B308F6">
        <w:rPr>
          <w:rFonts w:eastAsia="Times New Roman" w:cs="Times New Roman"/>
          <w:b/>
          <w:bCs/>
          <w:sz w:val="20"/>
          <w:szCs w:val="20"/>
          <w:lang w:val="en-US" w:eastAsia="en-CA"/>
        </w:rPr>
        <w:t xml:space="preserve">AND THE MATERIAL FILED </w:t>
      </w:r>
      <w:r w:rsidRPr="00B308F6">
        <w:rPr>
          <w:rFonts w:eastAsia="Times New Roman" w:cs="Times New Roman"/>
          <w:bCs/>
          <w:sz w:val="20"/>
          <w:szCs w:val="20"/>
          <w:lang w:val="en-US" w:eastAsia="en-CA"/>
        </w:rPr>
        <w:t>having been read;</w:t>
      </w:r>
    </w:p>
    <w:p w:rsidR="00B308F6" w:rsidRPr="00B308F6" w:rsidRDefault="00B308F6" w:rsidP="00B308F6">
      <w:pPr>
        <w:spacing w:line="233" w:lineRule="auto"/>
        <w:rPr>
          <w:rFonts w:eastAsia="Times New Roman" w:cs="Times New Roman"/>
          <w:b/>
          <w:bCs/>
          <w:sz w:val="20"/>
          <w:szCs w:val="20"/>
          <w:lang w:val="en-US" w:eastAsia="en-CA"/>
        </w:rPr>
      </w:pPr>
    </w:p>
    <w:p w:rsidR="00B308F6" w:rsidRPr="00B308F6" w:rsidRDefault="00B308F6" w:rsidP="00B308F6">
      <w:pPr>
        <w:spacing w:line="233" w:lineRule="auto"/>
        <w:rPr>
          <w:rFonts w:eastAsia="Times New Roman" w:cs="Times New Roman"/>
          <w:b/>
          <w:bCs/>
          <w:sz w:val="20"/>
          <w:szCs w:val="20"/>
          <w:lang w:val="en-US" w:eastAsia="en-CA"/>
        </w:rPr>
      </w:pPr>
      <w:r w:rsidRPr="00B308F6">
        <w:rPr>
          <w:rFonts w:eastAsia="Times New Roman" w:cs="Times New Roman"/>
          <w:b/>
          <w:bCs/>
          <w:sz w:val="20"/>
          <w:szCs w:val="20"/>
          <w:lang w:val="en-US" w:eastAsia="en-CA"/>
        </w:rPr>
        <w:t>IT IS HEREBY ORDERED THAT:</w:t>
      </w:r>
    </w:p>
    <w:p w:rsidR="00B308F6" w:rsidRPr="00B308F6" w:rsidRDefault="00B308F6" w:rsidP="00B308F6">
      <w:pPr>
        <w:spacing w:line="233" w:lineRule="auto"/>
        <w:rPr>
          <w:rFonts w:eastAsia="Times New Roman" w:cs="Times New Roman"/>
          <w:b/>
          <w:bCs/>
          <w:sz w:val="20"/>
          <w:szCs w:val="20"/>
          <w:lang w:val="en-US" w:eastAsia="en-CA"/>
        </w:rPr>
      </w:pPr>
    </w:p>
    <w:p w:rsidR="00B308F6" w:rsidRPr="00B308F6" w:rsidRDefault="00B308F6" w:rsidP="00B308F6">
      <w:pPr>
        <w:spacing w:line="233" w:lineRule="auto"/>
        <w:rPr>
          <w:rFonts w:eastAsia="Times New Roman" w:cs="Times New Roman"/>
          <w:bCs/>
          <w:sz w:val="20"/>
          <w:szCs w:val="20"/>
          <w:lang w:val="fr-CA" w:eastAsia="en-CA"/>
        </w:rPr>
      </w:pPr>
      <w:r w:rsidRPr="00B308F6">
        <w:rPr>
          <w:rFonts w:eastAsia="Times New Roman" w:cs="Times New Roman"/>
          <w:bCs/>
          <w:sz w:val="20"/>
          <w:szCs w:val="20"/>
          <w:lang w:val="fr-CA" w:eastAsia="en-CA"/>
        </w:rPr>
        <w:t>The motion is dismissed.</w:t>
      </w:r>
    </w:p>
    <w:p w:rsidR="00B308F6" w:rsidRPr="00B308F6" w:rsidRDefault="00B308F6" w:rsidP="00B308F6">
      <w:pPr>
        <w:spacing w:line="233" w:lineRule="auto"/>
        <w:rPr>
          <w:rFonts w:eastAsia="Times New Roman" w:cs="Times New Roman"/>
          <w:bCs/>
          <w:sz w:val="20"/>
          <w:szCs w:val="20"/>
          <w:lang w:val="fr-CA" w:eastAsia="en-CA"/>
        </w:rPr>
      </w:pPr>
    </w:p>
    <w:p w:rsidR="00B308F6" w:rsidRPr="00B308F6" w:rsidRDefault="00B308F6" w:rsidP="00B308F6">
      <w:pPr>
        <w:spacing w:line="233" w:lineRule="auto"/>
        <w:rPr>
          <w:rFonts w:eastAsia="Times New Roman" w:cs="Times New Roman"/>
          <w:bCs/>
          <w:sz w:val="20"/>
          <w:szCs w:val="20"/>
          <w:lang w:val="fr-CA" w:eastAsia="en-CA"/>
        </w:rPr>
      </w:pPr>
    </w:p>
    <w:p w:rsidR="00B308F6" w:rsidRPr="00B308F6" w:rsidRDefault="00B308F6" w:rsidP="00B308F6">
      <w:pPr>
        <w:spacing w:line="233" w:lineRule="auto"/>
        <w:rPr>
          <w:rFonts w:eastAsia="Times New Roman" w:cs="Times New Roman"/>
          <w:bCs/>
          <w:sz w:val="20"/>
          <w:szCs w:val="20"/>
          <w:lang w:val="fr-CA" w:eastAsia="en-CA"/>
        </w:rPr>
      </w:pPr>
    </w:p>
    <w:p w:rsidR="00B308F6" w:rsidRPr="00B308F6" w:rsidRDefault="00B308F6" w:rsidP="00B308F6">
      <w:pPr>
        <w:spacing w:line="233" w:lineRule="auto"/>
        <w:rPr>
          <w:rFonts w:eastAsia="Times New Roman" w:cs="Times New Roman"/>
          <w:sz w:val="20"/>
          <w:szCs w:val="20"/>
          <w:lang w:val="fr-CA" w:eastAsia="en-CA"/>
        </w:rPr>
      </w:pPr>
      <w:r w:rsidRPr="00B308F6">
        <w:rPr>
          <w:rFonts w:eastAsia="Times New Roman" w:cs="Times New Roman"/>
          <w:b/>
          <w:bCs/>
          <w:sz w:val="20"/>
          <w:szCs w:val="20"/>
          <w:lang w:val="fr-CA" w:eastAsia="en-CA"/>
        </w:rPr>
        <w:t xml:space="preserve">À LA SUITE DE LA DEMANDE </w:t>
      </w:r>
      <w:r w:rsidRPr="00B308F6">
        <w:rPr>
          <w:rFonts w:eastAsia="Times New Roman" w:cs="Times New Roman"/>
          <w:sz w:val="20"/>
          <w:szCs w:val="20"/>
          <w:lang w:val="fr-CA" w:eastAsia="en-CA"/>
        </w:rPr>
        <w:t>présentée par l’appelant, Javed Latif, en vue de fixer à une autre date l’audience prévue pour le 23 janvier 2015;</w:t>
      </w:r>
    </w:p>
    <w:p w:rsidR="00B308F6" w:rsidRPr="00B308F6" w:rsidRDefault="00B308F6" w:rsidP="00B308F6">
      <w:pPr>
        <w:spacing w:line="233" w:lineRule="auto"/>
        <w:rPr>
          <w:rFonts w:eastAsia="Times New Roman" w:cs="Times New Roman"/>
          <w:sz w:val="20"/>
          <w:szCs w:val="20"/>
          <w:lang w:val="fr-CA" w:eastAsia="en-CA"/>
        </w:rPr>
      </w:pPr>
    </w:p>
    <w:p w:rsidR="00B308F6" w:rsidRPr="00B308F6" w:rsidRDefault="00B308F6" w:rsidP="00B308F6">
      <w:pPr>
        <w:spacing w:line="233" w:lineRule="auto"/>
        <w:rPr>
          <w:rFonts w:eastAsia="Times New Roman" w:cs="Times New Roman"/>
          <w:sz w:val="20"/>
          <w:szCs w:val="20"/>
          <w:lang w:val="fr-CA" w:eastAsia="en-CA"/>
        </w:rPr>
      </w:pPr>
      <w:r w:rsidRPr="00B308F6">
        <w:rPr>
          <w:rFonts w:eastAsia="Times New Roman" w:cs="Times New Roman"/>
          <w:b/>
          <w:bCs/>
          <w:sz w:val="20"/>
          <w:szCs w:val="20"/>
          <w:lang w:val="fr-CA" w:eastAsia="en-CA"/>
        </w:rPr>
        <w:t xml:space="preserve">ET APRÈS EXAMEN </w:t>
      </w:r>
      <w:r w:rsidRPr="00B308F6">
        <w:rPr>
          <w:rFonts w:eastAsia="Times New Roman" w:cs="Times New Roman"/>
          <w:sz w:val="20"/>
          <w:szCs w:val="20"/>
          <w:lang w:val="fr-CA" w:eastAsia="en-CA"/>
        </w:rPr>
        <w:t xml:space="preserve">des documents déposés; </w:t>
      </w:r>
    </w:p>
    <w:p w:rsidR="00B308F6" w:rsidRPr="00B308F6" w:rsidRDefault="00B308F6" w:rsidP="00B308F6">
      <w:pPr>
        <w:spacing w:line="233" w:lineRule="auto"/>
        <w:rPr>
          <w:rFonts w:eastAsia="Times New Roman" w:cs="Times New Roman"/>
          <w:sz w:val="20"/>
          <w:szCs w:val="20"/>
          <w:lang w:val="fr-CA" w:eastAsia="en-CA"/>
        </w:rPr>
      </w:pPr>
    </w:p>
    <w:p w:rsidR="00B308F6" w:rsidRPr="00B308F6" w:rsidRDefault="00B308F6" w:rsidP="00B308F6">
      <w:pPr>
        <w:spacing w:line="233" w:lineRule="auto"/>
        <w:rPr>
          <w:rFonts w:eastAsia="Times New Roman" w:cs="Times New Roman"/>
          <w:sz w:val="20"/>
          <w:szCs w:val="20"/>
          <w:lang w:val="fr-CA" w:eastAsia="en-CA"/>
        </w:rPr>
      </w:pPr>
      <w:r w:rsidRPr="00B308F6">
        <w:rPr>
          <w:rFonts w:eastAsia="Times New Roman" w:cs="Times New Roman"/>
          <w:b/>
          <w:bCs/>
          <w:sz w:val="20"/>
          <w:szCs w:val="20"/>
          <w:lang w:val="fr-CA" w:eastAsia="en-CA"/>
        </w:rPr>
        <w:t xml:space="preserve">IL EST ORDONNÉ CE QUI SUIT : </w:t>
      </w:r>
    </w:p>
    <w:p w:rsidR="00B308F6" w:rsidRPr="00B308F6" w:rsidRDefault="00B308F6" w:rsidP="00B308F6">
      <w:pPr>
        <w:spacing w:line="233" w:lineRule="auto"/>
        <w:rPr>
          <w:rFonts w:eastAsia="Times New Roman" w:cs="Times New Roman"/>
          <w:sz w:val="20"/>
          <w:szCs w:val="20"/>
          <w:lang w:val="fr-CA" w:eastAsia="en-CA"/>
        </w:rPr>
      </w:pPr>
    </w:p>
    <w:p w:rsidR="00B308F6" w:rsidRPr="00B308F6" w:rsidRDefault="00B308F6" w:rsidP="00B308F6">
      <w:pPr>
        <w:spacing w:line="233" w:lineRule="auto"/>
        <w:rPr>
          <w:rFonts w:eastAsia="Times New Roman" w:cs="Times New Roman"/>
          <w:sz w:val="20"/>
          <w:szCs w:val="20"/>
          <w:lang w:val="fr-CA" w:eastAsia="en-CA"/>
        </w:rPr>
      </w:pPr>
      <w:r w:rsidRPr="00B308F6">
        <w:rPr>
          <w:rFonts w:eastAsia="Times New Roman" w:cs="Times New Roman"/>
          <w:sz w:val="20"/>
          <w:szCs w:val="20"/>
          <w:lang w:val="fr-CA" w:eastAsia="en-CA"/>
        </w:rPr>
        <w:t>La requête est rejetée.</w:t>
      </w:r>
    </w:p>
    <w:p w:rsidR="00B308F6" w:rsidRPr="00B308F6" w:rsidRDefault="00B308F6" w:rsidP="00B308F6">
      <w:pPr>
        <w:tabs>
          <w:tab w:val="left" w:pos="-1440"/>
          <w:tab w:val="left" w:pos="-720"/>
        </w:tabs>
        <w:jc w:val="both"/>
        <w:rPr>
          <w:rFonts w:eastAsia="Times New Roman" w:cs="Times New Roman"/>
          <w:sz w:val="20"/>
          <w:szCs w:val="20"/>
          <w:lang w:eastAsia="en-CA"/>
        </w:rPr>
      </w:pPr>
    </w:p>
    <w:p w:rsidR="00B308F6" w:rsidRPr="00B308F6" w:rsidRDefault="00944C2E" w:rsidP="00B308F6">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4" style="width:2in;height:1pt" o:hrpct="0" o:hralign="center" o:hrstd="t" o:hrnoshade="t" o:hr="t" fillcolor="black [3213]" stroked="f"/>
        </w:pict>
      </w:r>
    </w:p>
    <w:p w:rsidR="00B308F6" w:rsidRPr="00B308F6" w:rsidRDefault="00B308F6" w:rsidP="00B308F6">
      <w:pPr>
        <w:rPr>
          <w:rFonts w:eastAsia="Times New Roman" w:cs="Times New Roman"/>
          <w:sz w:val="20"/>
          <w:szCs w:val="20"/>
          <w:lang w:val="fr-CA" w:eastAsia="en-CA"/>
        </w:rPr>
      </w:pPr>
      <w:r w:rsidRPr="00B308F6">
        <w:rPr>
          <w:rFonts w:eastAsia="Times New Roman" w:cs="Times New Roman"/>
          <w:sz w:val="20"/>
          <w:szCs w:val="20"/>
          <w:lang w:val="fr-CA" w:eastAsia="en-CA"/>
        </w:rPr>
        <w:br w:type="page"/>
      </w:r>
    </w:p>
    <w:p w:rsidR="00B308F6" w:rsidRPr="00B308F6" w:rsidRDefault="00B308F6" w:rsidP="00B308F6">
      <w:pPr>
        <w:tabs>
          <w:tab w:val="left" w:pos="-1440"/>
          <w:tab w:val="left" w:pos="-720"/>
        </w:tabs>
        <w:jc w:val="both"/>
        <w:rPr>
          <w:rFonts w:eastAsia="Times New Roman" w:cs="Times New Roman"/>
          <w:sz w:val="20"/>
          <w:szCs w:val="20"/>
          <w:lang w:val="fr-CA" w:eastAsia="en-CA"/>
        </w:rPr>
      </w:pPr>
      <w:r w:rsidRPr="00B308F6">
        <w:rPr>
          <w:rFonts w:eastAsia="Times New Roman" w:cs="Times New Roman"/>
          <w:sz w:val="20"/>
          <w:szCs w:val="20"/>
          <w:lang w:val="fr-CA" w:eastAsia="en-CA"/>
        </w:rPr>
        <w:lastRenderedPageBreak/>
        <w:t>07.07.2014</w:t>
      </w:r>
    </w:p>
    <w:p w:rsidR="00B308F6" w:rsidRPr="00B308F6" w:rsidRDefault="00B308F6" w:rsidP="00B308F6">
      <w:pPr>
        <w:tabs>
          <w:tab w:val="left" w:pos="-1440"/>
          <w:tab w:val="left" w:pos="-720"/>
        </w:tabs>
        <w:jc w:val="both"/>
        <w:rPr>
          <w:rFonts w:eastAsia="Times New Roman" w:cs="Times New Roman"/>
          <w:sz w:val="20"/>
          <w:szCs w:val="20"/>
          <w:lang w:val="fr-CA" w:eastAsia="en-CA"/>
        </w:rPr>
      </w:pPr>
    </w:p>
    <w:p w:rsidR="0025004E" w:rsidRPr="0025004E" w:rsidRDefault="0025004E" w:rsidP="0025004E">
      <w:pPr>
        <w:tabs>
          <w:tab w:val="left" w:pos="-1440"/>
          <w:tab w:val="left" w:pos="-720"/>
        </w:tabs>
        <w:jc w:val="both"/>
        <w:rPr>
          <w:rFonts w:eastAsia="Times New Roman" w:cs="Times New Roman"/>
          <w:sz w:val="20"/>
          <w:szCs w:val="20"/>
          <w:lang w:val="fr-CA" w:eastAsia="en-CA"/>
        </w:rPr>
      </w:pPr>
      <w:r w:rsidRPr="0025004E">
        <w:rPr>
          <w:rFonts w:eastAsia="Times New Roman" w:cs="Times New Roman"/>
          <w:sz w:val="20"/>
          <w:szCs w:val="20"/>
          <w:lang w:val="fr-CA" w:eastAsia="en-CA"/>
        </w:rPr>
        <w:t>Before / Devant :   LEBEL J. / LE JUGE LEBEL</w:t>
      </w:r>
    </w:p>
    <w:p w:rsidR="00B308F6" w:rsidRPr="00B308F6" w:rsidRDefault="00B308F6" w:rsidP="00B308F6">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B308F6" w:rsidRPr="00B308F6" w:rsidTr="0097756E">
        <w:trPr>
          <w:trHeight w:val="151"/>
        </w:trPr>
        <w:tc>
          <w:tcPr>
            <w:tcW w:w="4338" w:type="dxa"/>
          </w:tcPr>
          <w:p w:rsidR="00B308F6" w:rsidRPr="00B308F6" w:rsidRDefault="00935682" w:rsidP="00B308F6">
            <w:pPr>
              <w:tabs>
                <w:tab w:val="left" w:pos="-1440"/>
                <w:tab w:val="left" w:pos="-720"/>
              </w:tabs>
              <w:jc w:val="both"/>
              <w:rPr>
                <w:lang w:val="fr-CA"/>
              </w:rPr>
            </w:pPr>
            <w:r w:rsidRPr="00B308F6">
              <w:rPr>
                <w:lang w:val="en-US"/>
              </w:rPr>
              <w:fldChar w:fldCharType="begin"/>
            </w:r>
            <w:r w:rsidR="00B308F6" w:rsidRPr="00B308F6">
              <w:rPr>
                <w:lang w:val="fr-CA"/>
              </w:rPr>
              <w:instrText xml:space="preserve"> SEQ CHAPTER \h \r 1</w:instrText>
            </w:r>
            <w:r w:rsidRPr="00B308F6">
              <w:rPr>
                <w:lang w:val="en-US"/>
              </w:rPr>
              <w:fldChar w:fldCharType="end"/>
            </w:r>
            <w:r w:rsidR="00B308F6" w:rsidRPr="00B308F6">
              <w:rPr>
                <w:b/>
                <w:bCs/>
                <w:lang w:val="fr-CA"/>
              </w:rPr>
              <w:t>Miscellaneous motion</w:t>
            </w:r>
          </w:p>
          <w:p w:rsidR="00B308F6" w:rsidRPr="00B308F6" w:rsidRDefault="00935682" w:rsidP="00B308F6">
            <w:pPr>
              <w:tabs>
                <w:tab w:val="left" w:pos="-1440"/>
                <w:tab w:val="left" w:pos="-720"/>
              </w:tabs>
              <w:jc w:val="both"/>
              <w:rPr>
                <w:lang w:val="fr-CA"/>
              </w:rPr>
            </w:pPr>
            <w:r w:rsidRPr="00B308F6">
              <w:rPr>
                <w:lang w:val="en-US"/>
              </w:rPr>
              <w:fldChar w:fldCharType="begin"/>
            </w:r>
            <w:r w:rsidR="00B308F6" w:rsidRPr="00B308F6">
              <w:rPr>
                <w:lang w:val="fr-CA"/>
              </w:rPr>
              <w:instrText xml:space="preserve"> SEQ CHAPTER \h \r 1</w:instrText>
            </w:r>
            <w:r w:rsidRPr="00B308F6">
              <w:rPr>
                <w:lang w:val="en-US"/>
              </w:rPr>
              <w:fldChar w:fldCharType="end"/>
            </w:r>
          </w:p>
        </w:tc>
        <w:tc>
          <w:tcPr>
            <w:tcW w:w="1170" w:type="dxa"/>
          </w:tcPr>
          <w:p w:rsidR="00B308F6" w:rsidRPr="00B308F6" w:rsidRDefault="00B308F6" w:rsidP="00B308F6">
            <w:pPr>
              <w:jc w:val="both"/>
              <w:rPr>
                <w:lang w:val="fr-CA"/>
              </w:rPr>
            </w:pPr>
          </w:p>
          <w:p w:rsidR="00B308F6" w:rsidRPr="00B308F6" w:rsidRDefault="00B308F6" w:rsidP="00B308F6">
            <w:pPr>
              <w:jc w:val="both"/>
              <w:rPr>
                <w:lang w:val="fr-CA"/>
              </w:rPr>
            </w:pPr>
          </w:p>
        </w:tc>
        <w:tc>
          <w:tcPr>
            <w:tcW w:w="4327" w:type="dxa"/>
          </w:tcPr>
          <w:p w:rsidR="00B308F6" w:rsidRPr="00B308F6" w:rsidRDefault="00935682" w:rsidP="00B308F6">
            <w:pPr>
              <w:jc w:val="both"/>
              <w:rPr>
                <w:b/>
                <w:lang w:val="fr-CA"/>
              </w:rPr>
            </w:pPr>
            <w:r w:rsidRPr="00B308F6">
              <w:rPr>
                <w:lang w:val="en-US"/>
              </w:rPr>
              <w:fldChar w:fldCharType="begin"/>
            </w:r>
            <w:r w:rsidR="00B308F6" w:rsidRPr="00B308F6">
              <w:rPr>
                <w:lang w:val="fr-CA"/>
              </w:rPr>
              <w:instrText xml:space="preserve"> SEQ CHAPTER \h \r 1</w:instrText>
            </w:r>
            <w:r w:rsidRPr="00B308F6">
              <w:rPr>
                <w:lang w:val="en-US"/>
              </w:rPr>
              <w:fldChar w:fldCharType="end"/>
            </w:r>
            <w:r w:rsidR="00B308F6" w:rsidRPr="00B308F6">
              <w:rPr>
                <w:b/>
                <w:bCs/>
                <w:lang w:val="fr-CA"/>
              </w:rPr>
              <w:t>Requête diverse</w:t>
            </w:r>
          </w:p>
          <w:p w:rsidR="00B308F6" w:rsidRPr="00B308F6" w:rsidRDefault="00935682" w:rsidP="00B308F6">
            <w:pPr>
              <w:jc w:val="both"/>
              <w:rPr>
                <w:b/>
                <w:lang w:val="fr-CA"/>
              </w:rPr>
            </w:pPr>
            <w:r w:rsidRPr="00B308F6">
              <w:rPr>
                <w:b/>
                <w:lang w:val="en-US"/>
              </w:rPr>
              <w:fldChar w:fldCharType="begin"/>
            </w:r>
            <w:r w:rsidR="00B308F6" w:rsidRPr="00B308F6">
              <w:rPr>
                <w:b/>
                <w:lang w:val="fr-CA"/>
              </w:rPr>
              <w:instrText xml:space="preserve"> SEQ CHAPTER \h \r 1</w:instrText>
            </w:r>
            <w:r w:rsidRPr="00B308F6">
              <w:rPr>
                <w:b/>
                <w:lang w:val="en-US"/>
              </w:rPr>
              <w:fldChar w:fldCharType="end"/>
            </w:r>
            <w:r w:rsidRPr="00B308F6">
              <w:rPr>
                <w:b/>
                <w:lang w:val="en-US"/>
              </w:rPr>
              <w:fldChar w:fldCharType="begin"/>
            </w:r>
            <w:r w:rsidR="00B308F6" w:rsidRPr="00B308F6">
              <w:rPr>
                <w:b/>
                <w:lang w:val="fr-CA"/>
              </w:rPr>
              <w:instrText xml:space="preserve"> SEQ CHAPTER \h \r 1</w:instrText>
            </w:r>
            <w:r w:rsidRPr="00B308F6">
              <w:rPr>
                <w:b/>
                <w:lang w:val="en-US"/>
              </w:rPr>
              <w:fldChar w:fldCharType="end"/>
            </w:r>
          </w:p>
        </w:tc>
      </w:tr>
      <w:tr w:rsidR="00B308F6" w:rsidRPr="00B308F6" w:rsidTr="0097756E">
        <w:trPr>
          <w:trHeight w:val="150"/>
        </w:trPr>
        <w:tc>
          <w:tcPr>
            <w:tcW w:w="4338" w:type="dxa"/>
          </w:tcPr>
          <w:p w:rsidR="00B308F6" w:rsidRPr="00B308F6" w:rsidRDefault="00B308F6" w:rsidP="00B308F6">
            <w:pPr>
              <w:tabs>
                <w:tab w:val="left" w:pos="-1440"/>
                <w:tab w:val="left" w:pos="-720"/>
              </w:tabs>
              <w:jc w:val="both"/>
            </w:pPr>
            <w:r w:rsidRPr="00B308F6">
              <w:t>Tissa Amaratunga</w:t>
            </w:r>
          </w:p>
          <w:p w:rsidR="00B308F6" w:rsidRPr="00B308F6" w:rsidRDefault="00B308F6" w:rsidP="00B308F6">
            <w:pPr>
              <w:tabs>
                <w:tab w:val="left" w:pos="-1440"/>
                <w:tab w:val="left" w:pos="-720"/>
              </w:tabs>
              <w:jc w:val="both"/>
            </w:pPr>
          </w:p>
          <w:p w:rsidR="00B308F6" w:rsidRPr="00B308F6" w:rsidRDefault="00B308F6" w:rsidP="00B308F6">
            <w:pPr>
              <w:tabs>
                <w:tab w:val="left" w:pos="-1440"/>
                <w:tab w:val="left" w:pos="-720"/>
              </w:tabs>
              <w:jc w:val="both"/>
            </w:pPr>
            <w:r w:rsidRPr="00B308F6">
              <w:tab/>
              <w:t>v. (3</w:t>
            </w:r>
            <w:r w:rsidR="007D08D6">
              <w:t>4</w:t>
            </w:r>
            <w:r w:rsidRPr="00B308F6">
              <w:t>501)</w:t>
            </w:r>
          </w:p>
          <w:p w:rsidR="00B308F6" w:rsidRPr="00B308F6" w:rsidRDefault="00B308F6" w:rsidP="00B308F6">
            <w:pPr>
              <w:tabs>
                <w:tab w:val="left" w:pos="-1440"/>
                <w:tab w:val="left" w:pos="-720"/>
              </w:tabs>
              <w:jc w:val="both"/>
            </w:pPr>
          </w:p>
          <w:p w:rsidR="00B308F6" w:rsidRPr="00B308F6" w:rsidRDefault="00B308F6" w:rsidP="00B308F6">
            <w:pPr>
              <w:tabs>
                <w:tab w:val="left" w:pos="-1440"/>
                <w:tab w:val="left" w:pos="-720"/>
              </w:tabs>
              <w:jc w:val="both"/>
            </w:pPr>
            <w:r w:rsidRPr="00B308F6">
              <w:t>Northwest Atlantic Fisheries Organization, a body corporate (N.S.)</w:t>
            </w:r>
          </w:p>
        </w:tc>
        <w:tc>
          <w:tcPr>
            <w:tcW w:w="1170" w:type="dxa"/>
          </w:tcPr>
          <w:p w:rsidR="00B308F6" w:rsidRPr="00B308F6" w:rsidRDefault="00B308F6" w:rsidP="00B308F6">
            <w:pPr>
              <w:jc w:val="both"/>
            </w:pPr>
          </w:p>
        </w:tc>
        <w:tc>
          <w:tcPr>
            <w:tcW w:w="4327" w:type="dxa"/>
          </w:tcPr>
          <w:p w:rsidR="00B308F6" w:rsidRPr="00B308F6" w:rsidRDefault="00B308F6" w:rsidP="00B308F6">
            <w:pPr>
              <w:jc w:val="both"/>
            </w:pPr>
          </w:p>
        </w:tc>
      </w:tr>
    </w:tbl>
    <w:p w:rsidR="00B308F6" w:rsidRPr="00B308F6" w:rsidRDefault="00B308F6" w:rsidP="00B308F6">
      <w:pPr>
        <w:tabs>
          <w:tab w:val="left" w:pos="-1440"/>
          <w:tab w:val="left" w:pos="-720"/>
        </w:tabs>
        <w:jc w:val="both"/>
        <w:rPr>
          <w:rFonts w:eastAsia="Times New Roman" w:cs="Times New Roman"/>
          <w:sz w:val="20"/>
          <w:szCs w:val="20"/>
          <w:lang w:eastAsia="en-CA"/>
        </w:rPr>
      </w:pPr>
    </w:p>
    <w:p w:rsidR="00B308F6" w:rsidRPr="00E2016D" w:rsidRDefault="00B308F6" w:rsidP="00B308F6">
      <w:pPr>
        <w:tabs>
          <w:tab w:val="left" w:pos="-1440"/>
          <w:tab w:val="left" w:pos="-720"/>
        </w:tabs>
        <w:jc w:val="both"/>
        <w:rPr>
          <w:rFonts w:eastAsia="Times New Roman" w:cs="Times New Roman"/>
          <w:sz w:val="20"/>
          <w:szCs w:val="20"/>
          <w:lang w:eastAsia="en-CA"/>
        </w:rPr>
      </w:pPr>
      <w:r w:rsidRPr="00E2016D">
        <w:rPr>
          <w:rFonts w:eastAsia="Times New Roman" w:cs="Times New Roman"/>
          <w:b/>
          <w:sz w:val="20"/>
          <w:szCs w:val="20"/>
          <w:lang w:eastAsia="en-CA"/>
        </w:rPr>
        <w:t>DISMISSED / REJETÉE</w:t>
      </w:r>
    </w:p>
    <w:p w:rsidR="00B308F6" w:rsidRPr="00B308F6" w:rsidRDefault="00B308F6" w:rsidP="00B308F6">
      <w:pPr>
        <w:tabs>
          <w:tab w:val="left" w:pos="-1440"/>
          <w:tab w:val="left" w:pos="-720"/>
        </w:tabs>
        <w:jc w:val="both"/>
        <w:rPr>
          <w:rFonts w:eastAsia="Times New Roman" w:cs="Times New Roman"/>
          <w:sz w:val="20"/>
          <w:szCs w:val="20"/>
          <w:lang w:eastAsia="en-CA"/>
        </w:rPr>
      </w:pPr>
    </w:p>
    <w:p w:rsidR="00B308F6" w:rsidRPr="00B308F6" w:rsidRDefault="00B308F6" w:rsidP="00B308F6">
      <w:pPr>
        <w:jc w:val="both"/>
        <w:rPr>
          <w:rFonts w:eastAsia="Times New Roman" w:cs="Times New Roman"/>
          <w:sz w:val="20"/>
          <w:szCs w:val="20"/>
          <w:lang w:val="en-US" w:eastAsia="en-CA"/>
        </w:rPr>
      </w:pPr>
      <w:r w:rsidRPr="00B308F6">
        <w:rPr>
          <w:rFonts w:eastAsia="Times New Roman" w:cs="Times New Roman"/>
          <w:sz w:val="20"/>
          <w:szCs w:val="20"/>
          <w:lang w:val="en-US" w:eastAsia="en-CA"/>
        </w:rPr>
        <w:t>The appellant has filed a motion for an extension of time to serve and file an application for a clarification of a judgment rendered by the Court on November 29, 2013 (2013 SCC 66). The appellant asks the Court to determine whether the costs award in this Court includes costs in the courts below.</w:t>
      </w:r>
    </w:p>
    <w:p w:rsidR="00B308F6" w:rsidRPr="00B308F6" w:rsidRDefault="00B308F6" w:rsidP="00B308F6">
      <w:pPr>
        <w:jc w:val="both"/>
        <w:rPr>
          <w:rFonts w:eastAsia="Times New Roman" w:cs="Times New Roman"/>
          <w:sz w:val="20"/>
          <w:szCs w:val="20"/>
          <w:lang w:val="en-US" w:eastAsia="en-CA"/>
        </w:rPr>
      </w:pPr>
    </w:p>
    <w:p w:rsidR="00B308F6" w:rsidRPr="00B308F6" w:rsidRDefault="00B308F6" w:rsidP="00B308F6">
      <w:pPr>
        <w:jc w:val="both"/>
        <w:rPr>
          <w:rFonts w:eastAsia="Times New Roman" w:cs="Times New Roman"/>
          <w:sz w:val="20"/>
          <w:szCs w:val="20"/>
          <w:lang w:val="en-US" w:eastAsia="en-CA"/>
        </w:rPr>
      </w:pPr>
      <w:r w:rsidRPr="00B308F6">
        <w:rPr>
          <w:rFonts w:eastAsia="Times New Roman" w:cs="Times New Roman"/>
          <w:sz w:val="20"/>
          <w:szCs w:val="20"/>
          <w:lang w:val="en-US" w:eastAsia="en-CA"/>
        </w:rPr>
        <w:t xml:space="preserve">I have read the motions and supporting documents. </w:t>
      </w:r>
    </w:p>
    <w:p w:rsidR="00B308F6" w:rsidRPr="00B308F6" w:rsidRDefault="00B308F6" w:rsidP="00B308F6">
      <w:pPr>
        <w:jc w:val="both"/>
        <w:rPr>
          <w:rFonts w:eastAsia="Times New Roman" w:cs="Times New Roman"/>
          <w:sz w:val="20"/>
          <w:szCs w:val="20"/>
          <w:lang w:val="en-US" w:eastAsia="en-CA"/>
        </w:rPr>
      </w:pPr>
    </w:p>
    <w:p w:rsidR="00B308F6" w:rsidRPr="00B308F6" w:rsidRDefault="00B308F6" w:rsidP="00B308F6">
      <w:pPr>
        <w:jc w:val="both"/>
        <w:rPr>
          <w:rFonts w:eastAsia="Times New Roman" w:cs="Times New Roman"/>
          <w:sz w:val="20"/>
          <w:szCs w:val="20"/>
          <w:lang w:val="en-US" w:eastAsia="en-CA"/>
        </w:rPr>
      </w:pPr>
      <w:r w:rsidRPr="00B308F6">
        <w:rPr>
          <w:rFonts w:eastAsia="Times New Roman" w:cs="Times New Roman"/>
          <w:sz w:val="20"/>
          <w:szCs w:val="20"/>
          <w:lang w:val="en-US" w:eastAsia="en-CA"/>
        </w:rPr>
        <w:t xml:space="preserve">The application for a clarification has no basis. The award of the Court is clear that the appellant was granted his costs in this Court only. The application is rather a motion to obtain a change in the disposition of the appeal. </w:t>
      </w:r>
    </w:p>
    <w:p w:rsidR="00B308F6" w:rsidRPr="00B308F6" w:rsidRDefault="00B308F6" w:rsidP="00B308F6">
      <w:pPr>
        <w:spacing w:line="230" w:lineRule="auto"/>
        <w:jc w:val="both"/>
        <w:rPr>
          <w:rFonts w:eastAsia="Times New Roman" w:cs="Times New Roman"/>
          <w:sz w:val="20"/>
          <w:szCs w:val="20"/>
          <w:lang w:val="en-US" w:eastAsia="en-CA"/>
        </w:rPr>
      </w:pPr>
    </w:p>
    <w:p w:rsidR="00B308F6" w:rsidRPr="00B308F6" w:rsidRDefault="00B308F6" w:rsidP="00B308F6">
      <w:pPr>
        <w:jc w:val="both"/>
        <w:rPr>
          <w:rFonts w:eastAsia="Times New Roman" w:cs="Times New Roman"/>
          <w:sz w:val="20"/>
          <w:szCs w:val="20"/>
          <w:lang w:val="en-US" w:eastAsia="en-CA"/>
        </w:rPr>
      </w:pPr>
      <w:r w:rsidRPr="00B308F6">
        <w:rPr>
          <w:rFonts w:eastAsia="Times New Roman" w:cs="Times New Roman"/>
          <w:sz w:val="20"/>
          <w:szCs w:val="20"/>
          <w:lang w:val="en-US" w:eastAsia="en-CA"/>
        </w:rPr>
        <w:t>For these reasons, the application is dismissed with costs. There is no need to address the motion for an extension of time.</w:t>
      </w:r>
    </w:p>
    <w:p w:rsidR="00B308F6" w:rsidRPr="00B308F6" w:rsidRDefault="00B308F6" w:rsidP="00B308F6">
      <w:pPr>
        <w:jc w:val="both"/>
        <w:rPr>
          <w:rFonts w:eastAsia="Times New Roman" w:cs="Times New Roman"/>
          <w:sz w:val="20"/>
          <w:szCs w:val="20"/>
          <w:lang w:val="en-US" w:eastAsia="en-CA"/>
        </w:rPr>
      </w:pPr>
    </w:p>
    <w:p w:rsidR="00B308F6" w:rsidRPr="00B308F6" w:rsidRDefault="00B308F6" w:rsidP="00B308F6">
      <w:pPr>
        <w:jc w:val="both"/>
        <w:rPr>
          <w:rFonts w:eastAsia="Times New Roman" w:cs="Times New Roman"/>
          <w:sz w:val="20"/>
          <w:szCs w:val="20"/>
          <w:lang w:val="en-US" w:eastAsia="en-CA"/>
        </w:rPr>
      </w:pPr>
    </w:p>
    <w:p w:rsidR="00B308F6" w:rsidRPr="00B308F6" w:rsidRDefault="00B308F6" w:rsidP="00B308F6">
      <w:pPr>
        <w:jc w:val="both"/>
        <w:rPr>
          <w:rFonts w:eastAsia="Times New Roman" w:cs="Times New Roman"/>
          <w:sz w:val="20"/>
          <w:szCs w:val="20"/>
          <w:lang w:val="en-US" w:eastAsia="en-CA"/>
        </w:rPr>
      </w:pPr>
    </w:p>
    <w:p w:rsidR="00B308F6" w:rsidRPr="00B308F6" w:rsidRDefault="00B308F6" w:rsidP="00B308F6">
      <w:pPr>
        <w:spacing w:line="230" w:lineRule="auto"/>
        <w:jc w:val="both"/>
        <w:rPr>
          <w:rFonts w:eastAsia="Times New Roman" w:cs="Times New Roman"/>
          <w:sz w:val="20"/>
          <w:szCs w:val="20"/>
          <w:lang w:val="fr-CA" w:eastAsia="en-CA"/>
        </w:rPr>
      </w:pPr>
      <w:r w:rsidRPr="00B308F6">
        <w:rPr>
          <w:rFonts w:eastAsia="Times New Roman" w:cs="Times New Roman"/>
          <w:sz w:val="20"/>
          <w:szCs w:val="20"/>
          <w:lang w:val="fr-CA" w:eastAsia="en-CA"/>
        </w:rPr>
        <w:t>L’appelant a déposé une requête en prorogation du délai pour signifier et déposer une demande de clarification d’un jugement rendu par la Cour le 29 novembre 2013 (2013 CSC 66).  Il nous demande de préciser si l’octroi des dépens par la Cour inclut ceux devant les cours d’instances inférieures.</w:t>
      </w:r>
    </w:p>
    <w:p w:rsidR="00B308F6" w:rsidRPr="00B308F6" w:rsidRDefault="00B308F6" w:rsidP="00B308F6">
      <w:pPr>
        <w:spacing w:line="230" w:lineRule="auto"/>
        <w:jc w:val="both"/>
        <w:rPr>
          <w:rFonts w:eastAsia="Times New Roman" w:cs="Times New Roman"/>
          <w:sz w:val="20"/>
          <w:szCs w:val="20"/>
          <w:lang w:val="fr-CA" w:eastAsia="en-CA"/>
        </w:rPr>
      </w:pPr>
    </w:p>
    <w:p w:rsidR="00B308F6" w:rsidRPr="00B308F6" w:rsidRDefault="00B308F6" w:rsidP="00B308F6">
      <w:pPr>
        <w:spacing w:line="230" w:lineRule="auto"/>
        <w:jc w:val="both"/>
        <w:rPr>
          <w:rFonts w:eastAsia="Times New Roman" w:cs="Times New Roman"/>
          <w:sz w:val="20"/>
          <w:szCs w:val="20"/>
          <w:lang w:val="fr-CA" w:eastAsia="en-CA"/>
        </w:rPr>
      </w:pPr>
      <w:r w:rsidRPr="00B308F6">
        <w:rPr>
          <w:rFonts w:eastAsia="Times New Roman" w:cs="Times New Roman"/>
          <w:sz w:val="20"/>
          <w:szCs w:val="20"/>
          <w:lang w:val="fr-CA" w:eastAsia="en-CA"/>
        </w:rPr>
        <w:t>J’ai lu les requêtes et les documents à l’appui.</w:t>
      </w:r>
    </w:p>
    <w:p w:rsidR="00B308F6" w:rsidRPr="00B308F6" w:rsidRDefault="00B308F6" w:rsidP="00B308F6">
      <w:pPr>
        <w:spacing w:line="230" w:lineRule="auto"/>
        <w:jc w:val="both"/>
        <w:rPr>
          <w:rFonts w:eastAsia="Times New Roman" w:cs="Times New Roman"/>
          <w:sz w:val="20"/>
          <w:szCs w:val="20"/>
          <w:lang w:val="fr-CA" w:eastAsia="en-CA"/>
        </w:rPr>
      </w:pPr>
    </w:p>
    <w:p w:rsidR="00B308F6" w:rsidRPr="00B308F6" w:rsidRDefault="00B308F6" w:rsidP="00B308F6">
      <w:pPr>
        <w:spacing w:line="230" w:lineRule="auto"/>
        <w:jc w:val="both"/>
        <w:rPr>
          <w:rFonts w:eastAsia="Times New Roman" w:cs="Times New Roman"/>
          <w:sz w:val="20"/>
          <w:szCs w:val="20"/>
          <w:lang w:val="fr-CA" w:eastAsia="en-CA"/>
        </w:rPr>
      </w:pPr>
      <w:r w:rsidRPr="00B308F6">
        <w:rPr>
          <w:rFonts w:eastAsia="Times New Roman" w:cs="Times New Roman"/>
          <w:sz w:val="20"/>
          <w:szCs w:val="20"/>
          <w:lang w:val="fr-CA" w:eastAsia="en-CA"/>
        </w:rPr>
        <w:t>La demande de clarification est sans fondement. Il est clair que la Cour a octroyé à l’appelant ses dépens devant la Cour uniquement. La demande vise en fait plutôt la modification du dispositif du pourvoi.</w:t>
      </w:r>
    </w:p>
    <w:p w:rsidR="00B308F6" w:rsidRPr="00B308F6" w:rsidRDefault="00B308F6" w:rsidP="00B308F6">
      <w:pPr>
        <w:spacing w:line="230" w:lineRule="auto"/>
        <w:jc w:val="both"/>
        <w:rPr>
          <w:rFonts w:eastAsia="Times New Roman" w:cs="Times New Roman"/>
          <w:sz w:val="20"/>
          <w:szCs w:val="20"/>
          <w:lang w:val="fr-CA" w:eastAsia="en-CA"/>
        </w:rPr>
      </w:pPr>
    </w:p>
    <w:p w:rsidR="00B308F6" w:rsidRPr="00B308F6" w:rsidRDefault="00B308F6" w:rsidP="00B308F6">
      <w:pPr>
        <w:spacing w:line="230" w:lineRule="auto"/>
        <w:jc w:val="both"/>
        <w:rPr>
          <w:rFonts w:eastAsia="Times New Roman" w:cs="Times New Roman"/>
          <w:sz w:val="20"/>
          <w:szCs w:val="20"/>
          <w:lang w:val="fr-CA" w:eastAsia="en-CA"/>
        </w:rPr>
      </w:pPr>
      <w:r w:rsidRPr="00B308F6">
        <w:rPr>
          <w:rFonts w:eastAsia="Times New Roman" w:cs="Times New Roman"/>
          <w:sz w:val="20"/>
          <w:szCs w:val="20"/>
          <w:lang w:val="fr-CA" w:eastAsia="en-CA"/>
        </w:rPr>
        <w:t>Pour ces motifs, la demande est rejetée avec dépens. Il est inutile de statuer sur la requête en prorogation de délai.</w:t>
      </w:r>
    </w:p>
    <w:p w:rsidR="00B308F6" w:rsidRPr="00B308F6" w:rsidRDefault="00B308F6" w:rsidP="00B308F6">
      <w:pPr>
        <w:spacing w:line="230" w:lineRule="auto"/>
        <w:jc w:val="both"/>
        <w:rPr>
          <w:rFonts w:eastAsia="Times New Roman" w:cs="Times New Roman"/>
          <w:sz w:val="20"/>
          <w:szCs w:val="20"/>
          <w:lang w:val="fr-CA" w:eastAsia="en-CA"/>
        </w:rPr>
      </w:pPr>
    </w:p>
    <w:p w:rsidR="00B308F6" w:rsidRPr="00B308F6" w:rsidRDefault="00944C2E" w:rsidP="00B308F6">
      <w:pPr>
        <w:spacing w:line="233" w:lineRule="auto"/>
        <w:jc w:val="both"/>
        <w:rPr>
          <w:rFonts w:eastAsia="Times New Roman" w:cs="Times New Roman"/>
          <w:sz w:val="20"/>
          <w:szCs w:val="20"/>
          <w:lang w:val="fr-CA" w:eastAsia="en-CA"/>
        </w:rPr>
      </w:pPr>
      <w:r>
        <w:rPr>
          <w:rFonts w:eastAsia="Times New Roman" w:cs="Times New Roman"/>
          <w:sz w:val="20"/>
          <w:szCs w:val="20"/>
          <w:lang w:val="fr-CA" w:eastAsia="en-CA"/>
        </w:rPr>
        <w:pict>
          <v:rect id="_x0000_i1065" style="width:2in;height:1pt" o:hrpct="0" o:hralign="center" o:hrstd="t" o:hrnoshade="t" o:hr="t" fillcolor="black [3213]" stroked="f"/>
        </w:pict>
      </w:r>
    </w:p>
    <w:p w:rsidR="00B308F6" w:rsidRPr="00B308F6" w:rsidRDefault="00B308F6" w:rsidP="00B308F6">
      <w:pPr>
        <w:spacing w:line="233" w:lineRule="auto"/>
        <w:jc w:val="both"/>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944C2E"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E7259A" w:rsidP="005F1ED8">
            <w:pPr>
              <w:rPr>
                <w:sz w:val="20"/>
                <w:szCs w:val="20"/>
              </w:rPr>
            </w:pPr>
            <w:r>
              <w:rPr>
                <w:sz w:val="20"/>
                <w:szCs w:val="20"/>
              </w:rPr>
              <w:t>09</w:t>
            </w:r>
            <w:r w:rsidR="0086340B" w:rsidRPr="003B3977">
              <w:rPr>
                <w:sz w:val="20"/>
                <w:szCs w:val="20"/>
              </w:rPr>
              <w:t>.</w:t>
            </w:r>
            <w:r>
              <w:rPr>
                <w:sz w:val="20"/>
                <w:szCs w:val="20"/>
              </w:rPr>
              <w:t>07</w:t>
            </w:r>
            <w:r w:rsidR="0086340B" w:rsidRPr="003B3977">
              <w:rPr>
                <w:sz w:val="20"/>
                <w:szCs w:val="20"/>
              </w:rPr>
              <w:t>.201</w:t>
            </w:r>
            <w:r>
              <w:rPr>
                <w:sz w:val="20"/>
                <w:szCs w:val="20"/>
              </w:rPr>
              <w:t>4</w:t>
            </w:r>
          </w:p>
          <w:p w:rsidR="0086340B" w:rsidRPr="003B3977" w:rsidRDefault="0086340B" w:rsidP="005F1ED8">
            <w:pPr>
              <w:rPr>
                <w:sz w:val="20"/>
                <w:szCs w:val="20"/>
              </w:rPr>
            </w:pPr>
          </w:p>
          <w:p w:rsidR="0086340B" w:rsidRPr="003B3977" w:rsidRDefault="00E7259A" w:rsidP="005F1ED8">
            <w:pPr>
              <w:rPr>
                <w:b/>
                <w:sz w:val="20"/>
                <w:szCs w:val="20"/>
              </w:rPr>
            </w:pPr>
            <w:r>
              <w:rPr>
                <w:b/>
                <w:sz w:val="20"/>
                <w:szCs w:val="20"/>
              </w:rPr>
              <w:t>S</w:t>
            </w:r>
            <w:r w:rsidR="0086340B">
              <w:rPr>
                <w:b/>
                <w:sz w:val="20"/>
                <w:szCs w:val="20"/>
              </w:rPr>
              <w:t>t</w:t>
            </w:r>
            <w:r>
              <w:rPr>
                <w:b/>
                <w:sz w:val="20"/>
                <w:szCs w:val="20"/>
              </w:rPr>
              <w:t>uart Ol</w:t>
            </w:r>
            <w:r w:rsidR="0086340B">
              <w:rPr>
                <w:b/>
                <w:sz w:val="20"/>
                <w:szCs w:val="20"/>
              </w:rPr>
              <w:t>s</w:t>
            </w:r>
            <w:r>
              <w:rPr>
                <w:b/>
                <w:sz w:val="20"/>
                <w:szCs w:val="20"/>
              </w:rPr>
              <w:t>on Domi</w:t>
            </w:r>
            <w:r w:rsidR="0086340B">
              <w:rPr>
                <w:b/>
                <w:sz w:val="20"/>
                <w:szCs w:val="20"/>
              </w:rPr>
              <w:t>ni</w:t>
            </w:r>
            <w:r>
              <w:rPr>
                <w:b/>
                <w:sz w:val="20"/>
                <w:szCs w:val="20"/>
              </w:rPr>
              <w:t>on Constructio</w:t>
            </w:r>
            <w:r w:rsidR="0086340B">
              <w:rPr>
                <w:b/>
                <w:sz w:val="20"/>
                <w:szCs w:val="20"/>
              </w:rPr>
              <w:t>n</w:t>
            </w:r>
            <w:r>
              <w:rPr>
                <w:b/>
                <w:sz w:val="20"/>
                <w:szCs w:val="20"/>
              </w:rPr>
              <w:t xml:space="preserve"> Ltd.</w:t>
            </w:r>
            <w:r w:rsidR="0086340B">
              <w:rPr>
                <w:b/>
                <w:sz w:val="20"/>
                <w:szCs w:val="20"/>
              </w:rPr>
              <w:t>,</w:t>
            </w:r>
            <w:r>
              <w:rPr>
                <w:b/>
                <w:sz w:val="20"/>
                <w:szCs w:val="20"/>
              </w:rPr>
              <w:t xml:space="preserve"> forme</w:t>
            </w:r>
            <w:r w:rsidR="0086340B">
              <w:rPr>
                <w:b/>
                <w:sz w:val="20"/>
                <w:szCs w:val="20"/>
              </w:rPr>
              <w:t>r</w:t>
            </w:r>
            <w:r>
              <w:rPr>
                <w:b/>
                <w:sz w:val="20"/>
                <w:szCs w:val="20"/>
              </w:rPr>
              <w:t>l</w:t>
            </w:r>
            <w:r w:rsidR="0086340B">
              <w:rPr>
                <w:b/>
                <w:sz w:val="20"/>
                <w:szCs w:val="20"/>
              </w:rPr>
              <w:t>y</w:t>
            </w:r>
            <w:r>
              <w:rPr>
                <w:b/>
                <w:sz w:val="20"/>
                <w:szCs w:val="20"/>
              </w:rPr>
              <w:t xml:space="preserve"> k</w:t>
            </w:r>
            <w:r w:rsidR="0086340B">
              <w:rPr>
                <w:b/>
                <w:sz w:val="20"/>
                <w:szCs w:val="20"/>
              </w:rPr>
              <w:t>n</w:t>
            </w:r>
            <w:r>
              <w:rPr>
                <w:b/>
                <w:sz w:val="20"/>
                <w:szCs w:val="20"/>
              </w:rPr>
              <w:t>ow</w:t>
            </w:r>
            <w:r w:rsidR="0086340B">
              <w:rPr>
                <w:b/>
                <w:sz w:val="20"/>
                <w:szCs w:val="20"/>
              </w:rPr>
              <w:t xml:space="preserve">n </w:t>
            </w:r>
            <w:r>
              <w:rPr>
                <w:b/>
                <w:sz w:val="20"/>
                <w:szCs w:val="20"/>
              </w:rPr>
              <w:t>a</w:t>
            </w:r>
            <w:r w:rsidR="0086340B">
              <w:rPr>
                <w:b/>
                <w:sz w:val="20"/>
                <w:szCs w:val="20"/>
              </w:rPr>
              <w:t>s</w:t>
            </w:r>
            <w:r>
              <w:rPr>
                <w:b/>
                <w:sz w:val="20"/>
                <w:szCs w:val="20"/>
              </w:rPr>
              <w:t xml:space="preserve"> Dom</w:t>
            </w:r>
            <w:r w:rsidR="0086340B">
              <w:rPr>
                <w:b/>
                <w:sz w:val="20"/>
                <w:szCs w:val="20"/>
              </w:rPr>
              <w:t>in</w:t>
            </w:r>
            <w:r>
              <w:rPr>
                <w:b/>
                <w:sz w:val="20"/>
                <w:szCs w:val="20"/>
              </w:rPr>
              <w:t>ion Con</w:t>
            </w:r>
            <w:r w:rsidR="0086340B">
              <w:rPr>
                <w:b/>
                <w:sz w:val="20"/>
                <w:szCs w:val="20"/>
              </w:rPr>
              <w:t>s</w:t>
            </w:r>
            <w:r>
              <w:rPr>
                <w:b/>
                <w:sz w:val="20"/>
                <w:szCs w:val="20"/>
              </w:rPr>
              <w:t>truction</w:t>
            </w:r>
            <w:r w:rsidR="0086340B">
              <w:rPr>
                <w:b/>
                <w:sz w:val="20"/>
                <w:szCs w:val="20"/>
              </w:rPr>
              <w:t xml:space="preserve"> Co</w:t>
            </w:r>
            <w:r>
              <w:rPr>
                <w:b/>
                <w:sz w:val="20"/>
                <w:szCs w:val="20"/>
              </w:rPr>
              <w:t>mp</w:t>
            </w:r>
            <w:r w:rsidR="0086340B">
              <w:rPr>
                <w:b/>
                <w:sz w:val="20"/>
                <w:szCs w:val="20"/>
              </w:rPr>
              <w:t>an</w:t>
            </w:r>
            <w:r>
              <w:rPr>
                <w:b/>
                <w:sz w:val="20"/>
                <w:szCs w:val="20"/>
              </w:rPr>
              <w:t>y Inc</w:t>
            </w:r>
            <w:r w:rsidR="0086340B">
              <w:rPr>
                <w:b/>
                <w:sz w:val="20"/>
                <w:szCs w:val="20"/>
              </w:rPr>
              <w:t>.</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Pr>
                <w:b/>
                <w:sz w:val="20"/>
                <w:szCs w:val="20"/>
              </w:rPr>
              <w:t>5</w:t>
            </w:r>
            <w:r w:rsidR="00E7259A">
              <w:rPr>
                <w:b/>
                <w:sz w:val="20"/>
                <w:szCs w:val="20"/>
              </w:rPr>
              <w:t>777</w:t>
            </w:r>
            <w:r w:rsidRPr="003B3977">
              <w:rPr>
                <w:b/>
                <w:sz w:val="20"/>
                <w:szCs w:val="20"/>
              </w:rPr>
              <w:t>)</w:t>
            </w:r>
          </w:p>
          <w:p w:rsidR="0086340B" w:rsidRPr="003B3977" w:rsidRDefault="0086340B" w:rsidP="005F1ED8">
            <w:pPr>
              <w:rPr>
                <w:b/>
                <w:sz w:val="20"/>
                <w:szCs w:val="20"/>
              </w:rPr>
            </w:pPr>
          </w:p>
          <w:p w:rsidR="0086340B" w:rsidRPr="003B3977" w:rsidRDefault="00E7259A" w:rsidP="005F1ED8">
            <w:pPr>
              <w:rPr>
                <w:b/>
                <w:sz w:val="20"/>
                <w:szCs w:val="20"/>
              </w:rPr>
            </w:pPr>
            <w:r>
              <w:rPr>
                <w:b/>
                <w:sz w:val="20"/>
                <w:szCs w:val="20"/>
              </w:rPr>
              <w:t>S</w:t>
            </w:r>
            <w:r w:rsidR="0086340B">
              <w:rPr>
                <w:b/>
                <w:sz w:val="20"/>
                <w:szCs w:val="20"/>
              </w:rPr>
              <w:t>t</w:t>
            </w:r>
            <w:r w:rsidR="003A05F8">
              <w:rPr>
                <w:b/>
                <w:sz w:val="20"/>
                <w:szCs w:val="20"/>
              </w:rPr>
              <w:t>r</w:t>
            </w:r>
            <w:r>
              <w:rPr>
                <w:b/>
                <w:sz w:val="20"/>
                <w:szCs w:val="20"/>
              </w:rPr>
              <w:t>uc</w:t>
            </w:r>
            <w:r w:rsidR="0086340B">
              <w:rPr>
                <w:b/>
                <w:sz w:val="20"/>
                <w:szCs w:val="20"/>
              </w:rPr>
              <w:t>ta</w:t>
            </w:r>
            <w:r>
              <w:rPr>
                <w:b/>
                <w:sz w:val="20"/>
                <w:szCs w:val="20"/>
              </w:rPr>
              <w:t>l He</w:t>
            </w:r>
            <w:r w:rsidR="0086340B">
              <w:rPr>
                <w:b/>
                <w:sz w:val="20"/>
                <w:szCs w:val="20"/>
              </w:rPr>
              <w:t>a</w:t>
            </w:r>
            <w:r>
              <w:rPr>
                <w:b/>
                <w:sz w:val="20"/>
                <w:szCs w:val="20"/>
              </w:rPr>
              <w:t>vy Stee</w:t>
            </w:r>
            <w:r w:rsidR="0086340B">
              <w:rPr>
                <w:b/>
                <w:sz w:val="20"/>
                <w:szCs w:val="20"/>
              </w:rPr>
              <w:t>l</w:t>
            </w:r>
            <w:r>
              <w:rPr>
                <w:b/>
                <w:sz w:val="20"/>
                <w:szCs w:val="20"/>
              </w:rPr>
              <w:t>, A Divisi</w:t>
            </w:r>
            <w:r w:rsidR="0086340B">
              <w:rPr>
                <w:b/>
                <w:sz w:val="20"/>
                <w:szCs w:val="20"/>
              </w:rPr>
              <w:t xml:space="preserve">on </w:t>
            </w:r>
            <w:r>
              <w:rPr>
                <w:b/>
                <w:sz w:val="20"/>
                <w:szCs w:val="20"/>
              </w:rPr>
              <w:t xml:space="preserve">of </w:t>
            </w:r>
            <w:r w:rsidR="0086340B">
              <w:rPr>
                <w:b/>
                <w:sz w:val="20"/>
                <w:szCs w:val="20"/>
              </w:rPr>
              <w:t>C</w:t>
            </w:r>
            <w:r>
              <w:rPr>
                <w:b/>
                <w:sz w:val="20"/>
                <w:szCs w:val="20"/>
              </w:rPr>
              <w:t>ana</w:t>
            </w:r>
            <w:r w:rsidR="0086340B">
              <w:rPr>
                <w:b/>
                <w:sz w:val="20"/>
                <w:szCs w:val="20"/>
              </w:rPr>
              <w:t>m</w:t>
            </w:r>
            <w:r>
              <w:rPr>
                <w:b/>
                <w:sz w:val="20"/>
                <w:szCs w:val="20"/>
              </w:rPr>
              <w:t xml:space="preserve"> Grou</w:t>
            </w:r>
            <w:r w:rsidR="0086340B">
              <w:rPr>
                <w:b/>
                <w:sz w:val="20"/>
                <w:szCs w:val="20"/>
              </w:rPr>
              <w:t>p</w:t>
            </w:r>
            <w:r>
              <w:rPr>
                <w:b/>
                <w:sz w:val="20"/>
                <w:szCs w:val="20"/>
              </w:rPr>
              <w:t xml:space="preserve"> Inc</w:t>
            </w:r>
            <w:r w:rsidR="0086340B">
              <w:rPr>
                <w:b/>
                <w:sz w:val="20"/>
                <w:szCs w:val="20"/>
              </w:rPr>
              <w:t>.</w:t>
            </w:r>
            <w:r w:rsidR="0086340B" w:rsidRPr="003B3977">
              <w:rPr>
                <w:b/>
                <w:sz w:val="20"/>
                <w:szCs w:val="20"/>
              </w:rPr>
              <w:t xml:space="preserve"> (</w:t>
            </w:r>
            <w:r w:rsidR="003A05F8">
              <w:rPr>
                <w:b/>
                <w:sz w:val="20"/>
                <w:szCs w:val="20"/>
              </w:rPr>
              <w:t>Man</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E7259A" w:rsidRDefault="00944C2E" w:rsidP="005F1ED8">
            <w:pPr>
              <w:rPr>
                <w:sz w:val="20"/>
                <w:szCs w:val="20"/>
              </w:rPr>
            </w:pPr>
            <w:r>
              <w:rPr>
                <w:sz w:val="20"/>
                <w:szCs w:val="20"/>
                <w:lang w:val="fr-CA"/>
              </w:rPr>
              <w:pict>
                <v:rect id="_x0000_i1068"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944C2E"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42C54" w:rsidRDefault="0052229C" w:rsidP="0052229C">
      <w:pPr>
        <w:rPr>
          <w:b/>
          <w:sz w:val="20"/>
          <w:szCs w:val="20"/>
          <w:lang w:val="fr-CA"/>
        </w:rPr>
      </w:pPr>
      <w:r w:rsidRPr="00C42C54">
        <w:rPr>
          <w:b/>
          <w:sz w:val="20"/>
          <w:szCs w:val="20"/>
          <w:lang w:val="fr-CA"/>
        </w:rPr>
        <w:t>JU</w:t>
      </w:r>
      <w:r w:rsidR="0061713C">
        <w:rPr>
          <w:b/>
          <w:sz w:val="20"/>
          <w:szCs w:val="20"/>
          <w:lang w:val="fr-CA"/>
        </w:rPr>
        <w:t>L</w:t>
      </w:r>
      <w:r w:rsidRPr="00C42C54">
        <w:rPr>
          <w:b/>
          <w:sz w:val="20"/>
          <w:szCs w:val="20"/>
          <w:lang w:val="fr-CA"/>
        </w:rPr>
        <w:t>Y 1</w:t>
      </w:r>
      <w:r w:rsidR="0061713C">
        <w:rPr>
          <w:b/>
          <w:sz w:val="20"/>
          <w:szCs w:val="20"/>
          <w:lang w:val="fr-CA"/>
        </w:rPr>
        <w:t>7</w:t>
      </w:r>
      <w:r w:rsidRPr="00C42C54">
        <w:rPr>
          <w:b/>
          <w:sz w:val="20"/>
          <w:szCs w:val="20"/>
          <w:lang w:val="fr-CA"/>
        </w:rPr>
        <w:t>, 2014 / LE 1</w:t>
      </w:r>
      <w:r w:rsidR="0061713C">
        <w:rPr>
          <w:b/>
          <w:sz w:val="20"/>
          <w:szCs w:val="20"/>
          <w:lang w:val="fr-CA"/>
        </w:rPr>
        <w:t>7</w:t>
      </w:r>
      <w:r w:rsidRPr="00C42C54">
        <w:rPr>
          <w:b/>
          <w:sz w:val="20"/>
          <w:szCs w:val="20"/>
          <w:lang w:val="fr-CA"/>
        </w:rPr>
        <w:t xml:space="preserve"> J</w:t>
      </w:r>
      <w:r w:rsidR="0061713C">
        <w:rPr>
          <w:b/>
          <w:sz w:val="20"/>
          <w:szCs w:val="20"/>
          <w:lang w:val="fr-CA"/>
        </w:rPr>
        <w:t>U</w:t>
      </w:r>
      <w:r w:rsidRPr="00C42C54">
        <w:rPr>
          <w:b/>
          <w:sz w:val="20"/>
          <w:szCs w:val="20"/>
          <w:lang w:val="fr-CA"/>
        </w:rPr>
        <w:t>I</w:t>
      </w:r>
      <w:r w:rsidR="0061713C">
        <w:rPr>
          <w:b/>
          <w:sz w:val="20"/>
          <w:szCs w:val="20"/>
          <w:lang w:val="fr-CA"/>
        </w:rPr>
        <w:t>LL</w:t>
      </w:r>
      <w:r w:rsidRPr="00C42C54">
        <w:rPr>
          <w:b/>
          <w:sz w:val="20"/>
          <w:szCs w:val="20"/>
          <w:lang w:val="fr-CA"/>
        </w:rPr>
        <w:t>E</w:t>
      </w:r>
      <w:r w:rsidR="0061713C">
        <w:rPr>
          <w:b/>
          <w:sz w:val="20"/>
          <w:szCs w:val="20"/>
          <w:lang w:val="fr-CA"/>
        </w:rPr>
        <w:t>T</w:t>
      </w:r>
      <w:r w:rsidRPr="00C42C54">
        <w:rPr>
          <w:b/>
          <w:sz w:val="20"/>
          <w:szCs w:val="20"/>
          <w:lang w:val="fr-CA"/>
        </w:rPr>
        <w:t xml:space="preserve"> 2014</w:t>
      </w:r>
    </w:p>
    <w:p w:rsidR="0052229C" w:rsidRPr="00C42C54" w:rsidRDefault="0052229C" w:rsidP="0052229C">
      <w:pPr>
        <w:rPr>
          <w:sz w:val="20"/>
          <w:szCs w:val="20"/>
          <w:lang w:val="fr-CA"/>
        </w:rPr>
      </w:pPr>
    </w:p>
    <w:p w:rsidR="00DC7FC5" w:rsidRPr="0057441A" w:rsidRDefault="00935682" w:rsidP="00DC7FC5">
      <w:pPr>
        <w:ind w:left="1440" w:hanging="1440"/>
        <w:jc w:val="both"/>
        <w:rPr>
          <w:sz w:val="20"/>
          <w:szCs w:val="20"/>
          <w:lang w:val="fr-CA"/>
        </w:rPr>
      </w:pPr>
      <w:r w:rsidRPr="0057441A">
        <w:rPr>
          <w:b/>
          <w:sz w:val="20"/>
          <w:szCs w:val="20"/>
        </w:rPr>
        <w:fldChar w:fldCharType="begin"/>
      </w:r>
      <w:r w:rsidR="00DC7FC5" w:rsidRPr="0057441A">
        <w:rPr>
          <w:b/>
          <w:sz w:val="20"/>
          <w:szCs w:val="20"/>
          <w:lang w:val="fr-CA"/>
        </w:rPr>
        <w:instrText xml:space="preserve"> SEQ CHAPTER \h \r 1</w:instrText>
      </w:r>
      <w:r w:rsidRPr="0057441A">
        <w:rPr>
          <w:b/>
          <w:sz w:val="20"/>
          <w:szCs w:val="20"/>
        </w:rPr>
        <w:fldChar w:fldCharType="end"/>
      </w:r>
      <w:r w:rsidR="00DC7FC5" w:rsidRPr="0057441A">
        <w:rPr>
          <w:b/>
          <w:sz w:val="20"/>
          <w:szCs w:val="20"/>
          <w:lang w:val="fr-CA"/>
        </w:rPr>
        <w:t>35124</w:t>
      </w:r>
      <w:r w:rsidR="00DC7FC5" w:rsidRPr="0057441A">
        <w:rPr>
          <w:sz w:val="20"/>
          <w:szCs w:val="20"/>
          <w:lang w:val="fr-CA"/>
        </w:rPr>
        <w:tab/>
      </w:r>
      <w:r w:rsidR="00DC7FC5" w:rsidRPr="0057441A">
        <w:rPr>
          <w:b/>
          <w:sz w:val="20"/>
          <w:szCs w:val="20"/>
          <w:u w:val="single"/>
          <w:lang w:val="fr-CA"/>
        </w:rPr>
        <w:t>Procureur général du Canada c. Confédération des syndicats nationaux et Fédération des travailleurs et travailleuses du Québec</w:t>
      </w:r>
      <w:r w:rsidR="00DC7FC5" w:rsidRPr="0057441A">
        <w:rPr>
          <w:b/>
          <w:sz w:val="20"/>
          <w:szCs w:val="20"/>
          <w:lang w:val="fr-CA"/>
        </w:rPr>
        <w:t xml:space="preserve"> </w:t>
      </w:r>
      <w:r w:rsidR="00DC7FC5" w:rsidRPr="0057441A">
        <w:rPr>
          <w:sz w:val="20"/>
          <w:szCs w:val="20"/>
          <w:lang w:val="fr-CA"/>
        </w:rPr>
        <w:t>(Qc)</w:t>
      </w:r>
    </w:p>
    <w:p w:rsidR="00DC7FC5" w:rsidRPr="0057441A" w:rsidRDefault="00DC7FC5" w:rsidP="00DC7FC5">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57441A">
        <w:rPr>
          <w:b/>
          <w:sz w:val="20"/>
          <w:szCs w:val="20"/>
          <w:lang w:val="fr-CA"/>
        </w:rPr>
        <w:t>2014 SCC 49 / 2014 CSC 49</w:t>
      </w:r>
    </w:p>
    <w:p w:rsidR="00DC7FC5" w:rsidRPr="0057441A" w:rsidRDefault="00DC7FC5" w:rsidP="00DC7FC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DC7FC5" w:rsidRPr="0057441A" w:rsidRDefault="00DC7FC5" w:rsidP="00DC7FC5">
      <w:pPr>
        <w:ind w:left="1440" w:hanging="1440"/>
        <w:rPr>
          <w:sz w:val="20"/>
          <w:szCs w:val="20"/>
          <w:u w:val="single"/>
          <w:lang w:val="fr-CA"/>
        </w:rPr>
      </w:pPr>
      <w:r w:rsidRPr="0057441A">
        <w:rPr>
          <w:sz w:val="20"/>
          <w:szCs w:val="20"/>
          <w:lang w:val="fr-CA"/>
        </w:rPr>
        <w:t>Coram:</w:t>
      </w:r>
      <w:r w:rsidRPr="0057441A">
        <w:rPr>
          <w:sz w:val="20"/>
          <w:szCs w:val="20"/>
          <w:lang w:val="fr-CA"/>
        </w:rPr>
        <w:tab/>
      </w:r>
      <w:r w:rsidRPr="0057441A">
        <w:rPr>
          <w:sz w:val="20"/>
          <w:szCs w:val="20"/>
          <w:u w:val="single"/>
          <w:lang w:val="fr-CA"/>
        </w:rPr>
        <w:t>La juge en chef McLachlin et les juges LeBel, Abella, Rothstein, Moldaver, Karakatsanis et Wagner</w:t>
      </w:r>
    </w:p>
    <w:p w:rsidR="00DC7FC5" w:rsidRPr="0057441A" w:rsidRDefault="00DC7FC5" w:rsidP="00DC7FC5">
      <w:pPr>
        <w:jc w:val="both"/>
        <w:rPr>
          <w:sz w:val="20"/>
          <w:szCs w:val="20"/>
          <w:lang w:val="fr-CA"/>
        </w:rPr>
      </w:pPr>
    </w:p>
    <w:p w:rsidR="00DC7FC5" w:rsidRPr="0057441A" w:rsidRDefault="00DC7FC5" w:rsidP="00DC7FC5">
      <w:pPr>
        <w:jc w:val="both"/>
        <w:rPr>
          <w:sz w:val="20"/>
          <w:szCs w:val="20"/>
          <w:lang w:val="fr-CA"/>
        </w:rPr>
      </w:pPr>
      <w:r w:rsidRPr="0057441A">
        <w:rPr>
          <w:sz w:val="20"/>
          <w:szCs w:val="20"/>
          <w:lang w:val="fr-CA"/>
        </w:rPr>
        <w:t>L’appel interjeté contre l’arrêt de la Cour d’appel du Québec (Montréal), numéro 500-09-022440-127, 2012 QCCA 1822, en date du 10 octobre 2012, entendu le 20 janvier 2014, est accueilli et le jugement de première instance est rétabli, avec dépens devant toutes les cours.</w:t>
      </w:r>
    </w:p>
    <w:p w:rsidR="00DC7FC5" w:rsidRDefault="00DC7FC5" w:rsidP="00DC7FC5">
      <w:pPr>
        <w:jc w:val="both"/>
        <w:rPr>
          <w:sz w:val="20"/>
          <w:szCs w:val="20"/>
          <w:lang w:val="fr-CA"/>
        </w:rPr>
      </w:pPr>
    </w:p>
    <w:p w:rsidR="00717E77" w:rsidRPr="0057441A" w:rsidRDefault="00717E77" w:rsidP="00DC7FC5">
      <w:pPr>
        <w:jc w:val="both"/>
        <w:rPr>
          <w:sz w:val="20"/>
          <w:szCs w:val="20"/>
          <w:lang w:val="fr-CA"/>
        </w:rPr>
      </w:pPr>
    </w:p>
    <w:p w:rsidR="00DC7FC5" w:rsidRPr="0057441A" w:rsidRDefault="00DC7FC5" w:rsidP="00DC7FC5">
      <w:pPr>
        <w:jc w:val="both"/>
        <w:rPr>
          <w:sz w:val="20"/>
          <w:szCs w:val="20"/>
        </w:rPr>
      </w:pPr>
      <w:r w:rsidRPr="0057441A">
        <w:rPr>
          <w:sz w:val="20"/>
          <w:szCs w:val="20"/>
        </w:rPr>
        <w:t xml:space="preserve">The appeal from the judgment </w:t>
      </w:r>
      <w:bookmarkStart w:id="2" w:name="BM_1_"/>
      <w:bookmarkEnd w:id="2"/>
      <w:r w:rsidRPr="0057441A">
        <w:rPr>
          <w:sz w:val="20"/>
          <w:szCs w:val="20"/>
        </w:rPr>
        <w:t>of the Court of Appeal of Quebec (Montréal), Number 500-09-022440-127, 2012 QCCA 1822, dated October 10, 2012, heard on January 20, 2014, is allowed and the motion judge’s judgment is restored, with costs throughout.</w:t>
      </w:r>
    </w:p>
    <w:p w:rsidR="0052229C" w:rsidRDefault="0052229C" w:rsidP="0052229C">
      <w:pPr>
        <w:rPr>
          <w:sz w:val="20"/>
          <w:szCs w:val="20"/>
        </w:rPr>
      </w:pPr>
    </w:p>
    <w:p w:rsidR="0052229C" w:rsidRPr="003B3977" w:rsidRDefault="00944C2E" w:rsidP="0052229C">
      <w:pPr>
        <w:spacing w:line="0" w:lineRule="atLeast"/>
        <w:rPr>
          <w:sz w:val="20"/>
          <w:szCs w:val="20"/>
        </w:rPr>
      </w:pPr>
      <w:r>
        <w:rPr>
          <w:b/>
          <w:sz w:val="20"/>
          <w:szCs w:val="20"/>
        </w:rPr>
        <w:pict>
          <v:rect id="_x0000_i1071"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52229C" w:rsidRPr="00A84883" w:rsidRDefault="0052229C" w:rsidP="0052229C">
      <w:pPr>
        <w:rPr>
          <w:b/>
          <w:sz w:val="20"/>
          <w:szCs w:val="20"/>
        </w:rPr>
      </w:pPr>
      <w:r w:rsidRPr="00A84883">
        <w:rPr>
          <w:b/>
          <w:sz w:val="20"/>
          <w:szCs w:val="20"/>
        </w:rPr>
        <w:t>JU</w:t>
      </w:r>
      <w:r w:rsidR="0061713C">
        <w:rPr>
          <w:b/>
          <w:sz w:val="20"/>
          <w:szCs w:val="20"/>
        </w:rPr>
        <w:t>L</w:t>
      </w:r>
      <w:r w:rsidRPr="00A84883">
        <w:rPr>
          <w:b/>
          <w:sz w:val="20"/>
          <w:szCs w:val="20"/>
        </w:rPr>
        <w:t>Y 1</w:t>
      </w:r>
      <w:r w:rsidR="00A40C7F">
        <w:rPr>
          <w:b/>
          <w:sz w:val="20"/>
          <w:szCs w:val="20"/>
        </w:rPr>
        <w:t>8</w:t>
      </w:r>
      <w:r w:rsidRPr="00A84883">
        <w:rPr>
          <w:b/>
          <w:sz w:val="20"/>
          <w:szCs w:val="20"/>
        </w:rPr>
        <w:t>, 2014 / LE 1</w:t>
      </w:r>
      <w:r w:rsidR="00A40C7F">
        <w:rPr>
          <w:b/>
          <w:sz w:val="20"/>
          <w:szCs w:val="20"/>
        </w:rPr>
        <w:t>8</w:t>
      </w:r>
      <w:r w:rsidRPr="00A84883">
        <w:rPr>
          <w:b/>
          <w:sz w:val="20"/>
          <w:szCs w:val="20"/>
        </w:rPr>
        <w:t xml:space="preserve"> J</w:t>
      </w:r>
      <w:r w:rsidR="0061713C">
        <w:rPr>
          <w:b/>
          <w:sz w:val="20"/>
          <w:szCs w:val="20"/>
        </w:rPr>
        <w:t>U</w:t>
      </w:r>
      <w:r w:rsidRPr="00A84883">
        <w:rPr>
          <w:b/>
          <w:sz w:val="20"/>
          <w:szCs w:val="20"/>
        </w:rPr>
        <w:t>I</w:t>
      </w:r>
      <w:r w:rsidR="0061713C">
        <w:rPr>
          <w:b/>
          <w:sz w:val="20"/>
          <w:szCs w:val="20"/>
        </w:rPr>
        <w:t>LLET</w:t>
      </w:r>
      <w:r w:rsidRPr="00A84883">
        <w:rPr>
          <w:b/>
          <w:sz w:val="20"/>
          <w:szCs w:val="20"/>
        </w:rPr>
        <w:t xml:space="preserve"> 2014</w:t>
      </w:r>
    </w:p>
    <w:p w:rsidR="004058EA" w:rsidRDefault="004058EA" w:rsidP="0052229C">
      <w:pPr>
        <w:spacing w:line="0" w:lineRule="atLeast"/>
        <w:rPr>
          <w:rFonts w:cs="Times New Roman"/>
          <w:sz w:val="20"/>
          <w:szCs w:val="20"/>
        </w:rPr>
      </w:pPr>
    </w:p>
    <w:p w:rsidR="004058EA" w:rsidRDefault="004058EA" w:rsidP="00E42409">
      <w:pPr>
        <w:spacing w:line="0" w:lineRule="atLeast"/>
        <w:ind w:left="1440" w:hanging="1440"/>
        <w:jc w:val="both"/>
        <w:rPr>
          <w:sz w:val="20"/>
          <w:szCs w:val="20"/>
        </w:rPr>
      </w:pPr>
      <w:r w:rsidRPr="00E42409">
        <w:rPr>
          <w:rFonts w:cs="Times New Roman"/>
          <w:b/>
          <w:sz w:val="20"/>
          <w:szCs w:val="20"/>
        </w:rPr>
        <w:t>35609</w:t>
      </w:r>
      <w:r w:rsidRPr="00E42409">
        <w:rPr>
          <w:rFonts w:cs="Times New Roman"/>
          <w:b/>
          <w:sz w:val="20"/>
          <w:szCs w:val="20"/>
        </w:rPr>
        <w:tab/>
      </w:r>
      <w:r w:rsidRPr="00E42409">
        <w:rPr>
          <w:b/>
          <w:sz w:val="20"/>
          <w:szCs w:val="20"/>
          <w:u w:val="single"/>
        </w:rPr>
        <w:t>Her Majesty the Queen v. Jamie Kenneth Taylor</w:t>
      </w:r>
      <w:r w:rsidR="00E42409" w:rsidRPr="00E42409">
        <w:rPr>
          <w:b/>
          <w:sz w:val="20"/>
          <w:szCs w:val="20"/>
          <w:u w:val="single"/>
        </w:rPr>
        <w:t xml:space="preserve"> </w:t>
      </w:r>
      <w:r w:rsidR="00E42409" w:rsidRPr="00B728AE">
        <w:rPr>
          <w:b/>
          <w:sz w:val="20"/>
          <w:u w:val="single"/>
        </w:rPr>
        <w:t xml:space="preserve">– and – </w:t>
      </w:r>
      <w:r w:rsidR="00E42409" w:rsidRPr="00E42409">
        <w:rPr>
          <w:b/>
          <w:sz w:val="20"/>
          <w:szCs w:val="20"/>
          <w:u w:val="single"/>
        </w:rPr>
        <w:t>Director of Public Prosecutions of Canada, Attorney General of Ontario and Canadian Civil Liberties Association</w:t>
      </w:r>
      <w:r w:rsidRPr="004058EA">
        <w:rPr>
          <w:b/>
          <w:sz w:val="20"/>
          <w:szCs w:val="20"/>
        </w:rPr>
        <w:t xml:space="preserve"> </w:t>
      </w:r>
      <w:r w:rsidRPr="004058EA">
        <w:rPr>
          <w:sz w:val="20"/>
          <w:szCs w:val="20"/>
        </w:rPr>
        <w:t>(Alta.)</w:t>
      </w:r>
    </w:p>
    <w:p w:rsidR="004058EA" w:rsidRPr="004058EA" w:rsidRDefault="004058EA" w:rsidP="00E42409">
      <w:pPr>
        <w:ind w:left="1440"/>
        <w:jc w:val="both"/>
        <w:rPr>
          <w:sz w:val="20"/>
          <w:szCs w:val="20"/>
        </w:rPr>
      </w:pPr>
      <w:r w:rsidRPr="004058EA">
        <w:rPr>
          <w:b/>
          <w:sz w:val="20"/>
          <w:szCs w:val="20"/>
        </w:rPr>
        <w:t>2014 SCC 50 / 2014 CSC 50</w:t>
      </w:r>
    </w:p>
    <w:p w:rsidR="004058EA" w:rsidRPr="004058EA" w:rsidRDefault="004058EA" w:rsidP="004058EA">
      <w:pPr>
        <w:spacing w:line="0" w:lineRule="atLeast"/>
        <w:ind w:left="1440" w:hanging="1440"/>
        <w:rPr>
          <w:rFonts w:cs="Times New Roman"/>
          <w:sz w:val="20"/>
          <w:szCs w:val="20"/>
        </w:rPr>
      </w:pPr>
    </w:p>
    <w:p w:rsidR="004058EA" w:rsidRDefault="004058EA" w:rsidP="004058EA">
      <w:pPr>
        <w:spacing w:line="0" w:lineRule="atLeast"/>
        <w:ind w:left="1440" w:hanging="1440"/>
        <w:rPr>
          <w:rFonts w:cs="Times New Roman"/>
          <w:sz w:val="20"/>
          <w:szCs w:val="20"/>
        </w:rPr>
      </w:pPr>
      <w:r>
        <w:rPr>
          <w:sz w:val="20"/>
          <w:szCs w:val="20"/>
        </w:rPr>
        <w:t>Coram:</w:t>
      </w:r>
      <w:r>
        <w:rPr>
          <w:sz w:val="20"/>
          <w:szCs w:val="20"/>
        </w:rPr>
        <w:tab/>
      </w:r>
      <w:r w:rsidRPr="004058EA">
        <w:rPr>
          <w:sz w:val="20"/>
          <w:szCs w:val="20"/>
          <w:u w:val="single"/>
        </w:rPr>
        <w:t>Abella, Rothstein, Moldaver, Karakatsanis and Wagner JJ.</w:t>
      </w:r>
    </w:p>
    <w:p w:rsidR="004058EA" w:rsidRDefault="004058EA" w:rsidP="0052229C">
      <w:pPr>
        <w:spacing w:line="0" w:lineRule="atLeast"/>
        <w:rPr>
          <w:rFonts w:cs="Times New Roman"/>
          <w:sz w:val="20"/>
          <w:szCs w:val="20"/>
        </w:rPr>
      </w:pPr>
    </w:p>
    <w:p w:rsidR="00717E77" w:rsidRPr="00747755" w:rsidRDefault="00717E77" w:rsidP="00717E77">
      <w:pPr>
        <w:jc w:val="both"/>
        <w:rPr>
          <w:sz w:val="20"/>
          <w:szCs w:val="20"/>
        </w:rPr>
      </w:pPr>
      <w:r w:rsidRPr="00747755">
        <w:rPr>
          <w:sz w:val="20"/>
          <w:szCs w:val="20"/>
        </w:rPr>
        <w:t xml:space="preserve">The appeal from the judgment of the Court of Appeal of Alberta (Calgary), Number 1201-0160A, 2013 ABCA 342, dated October 10, 2013, heard on April 23, 2014, is </w:t>
      </w:r>
      <w:r w:rsidRPr="00747755">
        <w:rPr>
          <w:rFonts w:cs="Times New Roman"/>
          <w:sz w:val="20"/>
          <w:szCs w:val="20"/>
          <w:lang w:val="en-US"/>
        </w:rPr>
        <w:t>dismissed</w:t>
      </w:r>
      <w:r w:rsidRPr="00747755">
        <w:rPr>
          <w:sz w:val="20"/>
          <w:szCs w:val="20"/>
        </w:rPr>
        <w:t>.</w:t>
      </w:r>
    </w:p>
    <w:p w:rsidR="0052229C"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717E77" w:rsidRDefault="00717E77"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717E77" w:rsidRPr="00747755" w:rsidRDefault="00717E77" w:rsidP="00717E77">
      <w:pPr>
        <w:jc w:val="both"/>
        <w:rPr>
          <w:sz w:val="20"/>
          <w:szCs w:val="20"/>
          <w:lang w:val="fr-CA"/>
        </w:rPr>
      </w:pPr>
      <w:r w:rsidRPr="00747755">
        <w:rPr>
          <w:sz w:val="20"/>
          <w:szCs w:val="20"/>
          <w:lang w:val="fr-CA"/>
        </w:rPr>
        <w:t>L’appel interjeté contre l’arrêt de la Cour d’appel de l’Alberta (Calgary), numéro 1201-0160A, 2013 ABCA 342, en date du 10 octobre 2013, entendu le 23 avril 2014, est rejeté.</w:t>
      </w:r>
    </w:p>
    <w:p w:rsidR="00717E77" w:rsidRPr="00717E77" w:rsidRDefault="00717E77"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D004FC" w:rsidRDefault="00944C2E" w:rsidP="00D004FC">
      <w:pPr>
        <w:jc w:val="both"/>
        <w:rPr>
          <w:rFonts w:cs="Times New Roman"/>
          <w:b/>
          <w:sz w:val="20"/>
          <w:szCs w:val="20"/>
        </w:rPr>
      </w:pPr>
      <w:r>
        <w:rPr>
          <w:rFonts w:cs="Times New Roman"/>
          <w:b/>
          <w:sz w:val="20"/>
          <w:szCs w:val="20"/>
        </w:rPr>
        <w:pict>
          <v:rect id="_x0000_i1072"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942EF1" w:rsidRPr="000C6C82" w:rsidRDefault="00942EF1" w:rsidP="00942EF1">
      <w:pPr>
        <w:ind w:left="720" w:hanging="720"/>
        <w:rPr>
          <w:sz w:val="20"/>
          <w:szCs w:val="20"/>
          <w:lang w:val="fr-CA"/>
        </w:rPr>
      </w:pPr>
      <w:r w:rsidRPr="000C6C82">
        <w:rPr>
          <w:i/>
          <w:sz w:val="20"/>
          <w:szCs w:val="20"/>
          <w:lang w:val="fr-CA"/>
        </w:rPr>
        <w:t xml:space="preserve">Procureur général du Canada c. Confédération des syndicats nationaux et autre </w:t>
      </w:r>
      <w:r w:rsidRPr="000C6C82">
        <w:rPr>
          <w:sz w:val="20"/>
          <w:szCs w:val="20"/>
          <w:lang w:val="fr-CA"/>
        </w:rPr>
        <w:t>(Qc) (</w:t>
      </w:r>
      <w:hyperlink r:id="rId64" w:history="1">
        <w:r w:rsidRPr="000C6C82">
          <w:rPr>
            <w:rStyle w:val="Hyperlink"/>
            <w:sz w:val="20"/>
            <w:szCs w:val="20"/>
            <w:lang w:val="fr-CA"/>
          </w:rPr>
          <w:t>35124</w:t>
        </w:r>
      </w:hyperlink>
      <w:r w:rsidRPr="000C6C82">
        <w:rPr>
          <w:sz w:val="20"/>
          <w:szCs w:val="20"/>
          <w:lang w:val="fr-CA"/>
        </w:rPr>
        <w:t>)</w:t>
      </w:r>
    </w:p>
    <w:p w:rsidR="00A56AC7" w:rsidRDefault="00A56AC7" w:rsidP="00A56AC7">
      <w:pPr>
        <w:jc w:val="both"/>
        <w:rPr>
          <w:b/>
          <w:sz w:val="20"/>
          <w:szCs w:val="20"/>
          <w:lang w:val="fr-CA"/>
        </w:rPr>
      </w:pPr>
      <w:r w:rsidRPr="002148DC">
        <w:rPr>
          <w:b/>
          <w:sz w:val="20"/>
          <w:szCs w:val="20"/>
          <w:lang w:val="fr-CA"/>
        </w:rPr>
        <w:t xml:space="preserve">Indexed as:  </w:t>
      </w:r>
      <w:r w:rsidRPr="004534B1">
        <w:rPr>
          <w:rStyle w:val="SCCAppellantForIndexChar"/>
          <w:rFonts w:eastAsiaTheme="minorHAnsi"/>
          <w:sz w:val="20"/>
        </w:rPr>
        <w:t>Canada</w:t>
      </w:r>
      <w:r w:rsidRPr="002148DC">
        <w:rPr>
          <w:b/>
          <w:sz w:val="20"/>
          <w:szCs w:val="20"/>
          <w:lang w:val="fr-CA"/>
        </w:rPr>
        <w:t xml:space="preserve"> (</w:t>
      </w:r>
      <w:r w:rsidRPr="004534B1">
        <w:rPr>
          <w:rStyle w:val="SCCAppellantForIndexChar"/>
          <w:rFonts w:eastAsiaTheme="minorHAnsi"/>
          <w:sz w:val="20"/>
        </w:rPr>
        <w:t xml:space="preserve">Attorney General) </w:t>
      </w:r>
      <w:r w:rsidRPr="002148DC">
        <w:rPr>
          <w:b/>
          <w:i/>
          <w:sz w:val="20"/>
          <w:szCs w:val="20"/>
          <w:lang w:val="fr-CA"/>
        </w:rPr>
        <w:t>v.</w:t>
      </w:r>
      <w:r w:rsidRPr="002148DC">
        <w:rPr>
          <w:b/>
          <w:sz w:val="20"/>
          <w:szCs w:val="20"/>
          <w:lang w:val="fr-CA"/>
        </w:rPr>
        <w:t xml:space="preserve"> </w:t>
      </w:r>
      <w:r w:rsidRPr="002148DC">
        <w:rPr>
          <w:rStyle w:val="SCCRespondentForIndexChar"/>
          <w:rFonts w:eastAsiaTheme="minorHAnsi"/>
          <w:sz w:val="20"/>
          <w:lang w:val="fr-CA"/>
        </w:rPr>
        <w:t>Confédération des syndicats nationaux /</w:t>
      </w:r>
    </w:p>
    <w:p w:rsidR="00A56AC7" w:rsidRPr="00D2105C" w:rsidRDefault="00A56AC7" w:rsidP="00A56AC7">
      <w:pPr>
        <w:jc w:val="both"/>
        <w:rPr>
          <w:b/>
          <w:sz w:val="20"/>
          <w:szCs w:val="20"/>
          <w:lang w:val="fr-CA"/>
        </w:rPr>
      </w:pPr>
      <w:r w:rsidRPr="00D2105C">
        <w:rPr>
          <w:b/>
          <w:sz w:val="20"/>
          <w:szCs w:val="20"/>
          <w:lang w:val="fr-CA"/>
        </w:rPr>
        <w:t>Répertorié : </w:t>
      </w:r>
      <w:r w:rsidRPr="00D2105C">
        <w:rPr>
          <w:rStyle w:val="SCCAppellantForIndexChar"/>
          <w:rFonts w:eastAsiaTheme="minorHAnsi"/>
          <w:sz w:val="20"/>
        </w:rPr>
        <w:t>Canada (Procureur général)</w:t>
      </w:r>
      <w:r w:rsidRPr="00D2105C">
        <w:rPr>
          <w:b/>
          <w:sz w:val="20"/>
          <w:szCs w:val="20"/>
          <w:lang w:val="fr-CA"/>
        </w:rPr>
        <w:t xml:space="preserve"> </w:t>
      </w:r>
      <w:r w:rsidRPr="00D2105C">
        <w:rPr>
          <w:b/>
          <w:i/>
          <w:sz w:val="20"/>
          <w:szCs w:val="20"/>
          <w:lang w:val="fr-CA"/>
        </w:rPr>
        <w:t>c.</w:t>
      </w:r>
      <w:r w:rsidRPr="00D2105C">
        <w:rPr>
          <w:b/>
          <w:sz w:val="20"/>
          <w:szCs w:val="20"/>
          <w:lang w:val="fr-CA"/>
        </w:rPr>
        <w:t xml:space="preserve"> </w:t>
      </w:r>
      <w:r w:rsidRPr="00D2105C">
        <w:rPr>
          <w:rStyle w:val="SCCRespondentForIndexChar"/>
          <w:rFonts w:eastAsiaTheme="minorHAnsi"/>
          <w:sz w:val="20"/>
          <w:lang w:val="fr-CA"/>
        </w:rPr>
        <w:t>Confédération des syndicats nationaux</w:t>
      </w:r>
      <w:r>
        <w:rPr>
          <w:rStyle w:val="SCCRespondentForIndexChar"/>
          <w:rFonts w:eastAsiaTheme="minorHAnsi"/>
          <w:sz w:val="20"/>
          <w:lang w:val="fr-CA"/>
        </w:rPr>
        <w:t xml:space="preserve"> /</w:t>
      </w:r>
    </w:p>
    <w:p w:rsidR="0052229C" w:rsidRPr="00E2016D" w:rsidRDefault="0052229C" w:rsidP="0052229C">
      <w:pPr>
        <w:pStyle w:val="SCCSystemYear"/>
        <w:jc w:val="both"/>
        <w:rPr>
          <w:sz w:val="20"/>
        </w:rPr>
      </w:pPr>
      <w:r w:rsidRPr="00E2016D">
        <w:rPr>
          <w:sz w:val="20"/>
        </w:rPr>
        <w:t>Neutral citation:  2014 SCC </w:t>
      </w:r>
      <w:r w:rsidR="00942EF1" w:rsidRPr="00E2016D">
        <w:rPr>
          <w:sz w:val="20"/>
        </w:rPr>
        <w:t>49</w:t>
      </w:r>
      <w:r w:rsidRPr="00E2016D">
        <w:rPr>
          <w:sz w:val="20"/>
        </w:rPr>
        <w:t xml:space="preserve"> / Référence neutre : 2014 CSC </w:t>
      </w:r>
      <w:r w:rsidR="00942EF1" w:rsidRPr="00E2016D">
        <w:rPr>
          <w:sz w:val="20"/>
        </w:rPr>
        <w:t>49</w:t>
      </w:r>
    </w:p>
    <w:p w:rsidR="0052229C" w:rsidRPr="0061713C" w:rsidRDefault="0052229C" w:rsidP="0052229C">
      <w:pPr>
        <w:rPr>
          <w:rFonts w:cs="Times New Roman"/>
          <w:sz w:val="20"/>
          <w:szCs w:val="20"/>
          <w:lang w:val="fr-CA"/>
        </w:rPr>
      </w:pPr>
      <w:r w:rsidRPr="0061713C">
        <w:rPr>
          <w:rFonts w:cs="Times New Roman"/>
          <w:sz w:val="20"/>
          <w:szCs w:val="20"/>
          <w:lang w:val="fr-CA"/>
        </w:rPr>
        <w:t xml:space="preserve">Hearing:  </w:t>
      </w:r>
      <w:r w:rsidR="00A56AC7">
        <w:rPr>
          <w:rFonts w:cs="Times New Roman"/>
          <w:sz w:val="20"/>
          <w:szCs w:val="20"/>
          <w:lang w:val="fr-CA"/>
        </w:rPr>
        <w:t>Janua</w:t>
      </w:r>
      <w:r w:rsidRPr="0061713C">
        <w:rPr>
          <w:rFonts w:cs="Times New Roman"/>
          <w:sz w:val="20"/>
          <w:szCs w:val="20"/>
          <w:lang w:val="fr-CA"/>
        </w:rPr>
        <w:t>r</w:t>
      </w:r>
      <w:r w:rsidR="00A56AC7">
        <w:rPr>
          <w:rFonts w:cs="Times New Roman"/>
          <w:sz w:val="20"/>
          <w:szCs w:val="20"/>
          <w:lang w:val="fr-CA"/>
        </w:rPr>
        <w:t>y</w:t>
      </w:r>
      <w:r w:rsidRPr="0061713C">
        <w:rPr>
          <w:rFonts w:cs="Times New Roman"/>
          <w:sz w:val="20"/>
          <w:szCs w:val="20"/>
          <w:lang w:val="fr-CA"/>
        </w:rPr>
        <w:t xml:space="preserve"> 2</w:t>
      </w:r>
      <w:r w:rsidR="00A56AC7">
        <w:rPr>
          <w:rFonts w:cs="Times New Roman"/>
          <w:sz w:val="20"/>
          <w:szCs w:val="20"/>
          <w:lang w:val="fr-CA"/>
        </w:rPr>
        <w:t>0</w:t>
      </w:r>
      <w:r w:rsidRPr="0061713C">
        <w:rPr>
          <w:rFonts w:cs="Times New Roman"/>
          <w:sz w:val="20"/>
          <w:szCs w:val="20"/>
          <w:lang w:val="fr-CA"/>
        </w:rPr>
        <w:t>, 201</w:t>
      </w:r>
      <w:r w:rsidR="00A56AC7">
        <w:rPr>
          <w:rFonts w:cs="Times New Roman"/>
          <w:sz w:val="20"/>
          <w:szCs w:val="20"/>
          <w:lang w:val="fr-CA"/>
        </w:rPr>
        <w:t>4</w:t>
      </w:r>
      <w:r w:rsidRPr="0061713C">
        <w:rPr>
          <w:rFonts w:cs="Times New Roman"/>
          <w:sz w:val="20"/>
          <w:szCs w:val="20"/>
          <w:lang w:val="fr-CA"/>
        </w:rPr>
        <w:t xml:space="preserve"> / Judgment:  Ju</w:t>
      </w:r>
      <w:r w:rsidR="0061713C" w:rsidRPr="0061713C">
        <w:rPr>
          <w:rFonts w:cs="Times New Roman"/>
          <w:sz w:val="20"/>
          <w:szCs w:val="20"/>
          <w:lang w:val="fr-CA"/>
        </w:rPr>
        <w:t>l</w:t>
      </w:r>
      <w:r w:rsidRPr="0061713C">
        <w:rPr>
          <w:rFonts w:cs="Times New Roman"/>
          <w:sz w:val="20"/>
          <w:szCs w:val="20"/>
          <w:lang w:val="fr-CA"/>
        </w:rPr>
        <w:t>y 1</w:t>
      </w:r>
      <w:r w:rsidR="0061713C" w:rsidRPr="0061713C">
        <w:rPr>
          <w:rFonts w:cs="Times New Roman"/>
          <w:sz w:val="20"/>
          <w:szCs w:val="20"/>
          <w:lang w:val="fr-CA"/>
        </w:rPr>
        <w:t>7</w:t>
      </w:r>
      <w:r w:rsidRPr="0061713C">
        <w:rPr>
          <w:rFonts w:cs="Times New Roman"/>
          <w:sz w:val="20"/>
          <w:szCs w:val="20"/>
          <w:lang w:val="fr-CA"/>
        </w:rPr>
        <w:t>, 2014</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2</w:t>
      </w:r>
      <w:r w:rsidR="00A56AC7">
        <w:rPr>
          <w:rFonts w:cs="Times New Roman"/>
          <w:sz w:val="20"/>
          <w:szCs w:val="20"/>
          <w:lang w:val="fr-CA"/>
        </w:rPr>
        <w:t>0</w:t>
      </w:r>
      <w:r w:rsidRPr="003B3977">
        <w:rPr>
          <w:rFonts w:cs="Times New Roman"/>
          <w:sz w:val="20"/>
          <w:szCs w:val="20"/>
          <w:lang w:val="fr-CA"/>
        </w:rPr>
        <w:t xml:space="preserve"> </w:t>
      </w:r>
      <w:r w:rsidR="00A56AC7">
        <w:rPr>
          <w:rFonts w:cs="Times New Roman"/>
          <w:sz w:val="20"/>
          <w:szCs w:val="20"/>
          <w:lang w:val="fr-CA"/>
        </w:rPr>
        <w:t>j</w:t>
      </w:r>
      <w:r>
        <w:rPr>
          <w:rFonts w:cs="Times New Roman"/>
          <w:sz w:val="20"/>
          <w:szCs w:val="20"/>
          <w:lang w:val="fr-CA"/>
        </w:rPr>
        <w:t>a</w:t>
      </w:r>
      <w:r w:rsidR="00A56AC7">
        <w:rPr>
          <w:rFonts w:cs="Times New Roman"/>
          <w:sz w:val="20"/>
          <w:szCs w:val="20"/>
          <w:lang w:val="fr-CA"/>
        </w:rPr>
        <w:t>n</w:t>
      </w:r>
      <w:r>
        <w:rPr>
          <w:rFonts w:cs="Times New Roman"/>
          <w:sz w:val="20"/>
          <w:szCs w:val="20"/>
          <w:lang w:val="fr-CA"/>
        </w:rPr>
        <w:t>vi</w:t>
      </w:r>
      <w:r w:rsidR="00A56AC7">
        <w:rPr>
          <w:rFonts w:cs="Times New Roman"/>
          <w:sz w:val="20"/>
          <w:szCs w:val="20"/>
          <w:lang w:val="fr-CA"/>
        </w:rPr>
        <w:t>er</w:t>
      </w:r>
      <w:r w:rsidRPr="003B3977">
        <w:rPr>
          <w:rFonts w:cs="Times New Roman"/>
          <w:sz w:val="20"/>
          <w:szCs w:val="20"/>
          <w:lang w:val="fr-CA"/>
        </w:rPr>
        <w:t xml:space="preserve"> 201</w:t>
      </w:r>
      <w:r w:rsidR="00A56AC7">
        <w:rPr>
          <w:rFonts w:cs="Times New Roman"/>
          <w:sz w:val="20"/>
          <w:szCs w:val="20"/>
          <w:lang w:val="fr-CA"/>
        </w:rPr>
        <w:t>4</w:t>
      </w:r>
      <w:r w:rsidRPr="003B3977">
        <w:rPr>
          <w:rFonts w:cs="Times New Roman"/>
          <w:sz w:val="20"/>
          <w:szCs w:val="20"/>
          <w:lang w:val="fr-CA"/>
        </w:rPr>
        <w:t xml:space="preserve"> / Jugement : Le </w:t>
      </w:r>
      <w:r>
        <w:rPr>
          <w:rFonts w:cs="Times New Roman"/>
          <w:sz w:val="20"/>
          <w:szCs w:val="20"/>
          <w:lang w:val="fr-CA"/>
        </w:rPr>
        <w:t>1</w:t>
      </w:r>
      <w:r w:rsidR="0061713C">
        <w:rPr>
          <w:rFonts w:cs="Times New Roman"/>
          <w:sz w:val="20"/>
          <w:szCs w:val="20"/>
          <w:lang w:val="fr-CA"/>
        </w:rPr>
        <w:t>7</w:t>
      </w:r>
      <w:r>
        <w:rPr>
          <w:rFonts w:cs="Times New Roman"/>
          <w:sz w:val="20"/>
          <w:szCs w:val="20"/>
          <w:lang w:val="fr-CA"/>
        </w:rPr>
        <w:t xml:space="preserve"> j</w:t>
      </w:r>
      <w:r w:rsidR="0061713C">
        <w:rPr>
          <w:rFonts w:cs="Times New Roman"/>
          <w:sz w:val="20"/>
          <w:szCs w:val="20"/>
          <w:lang w:val="fr-CA"/>
        </w:rPr>
        <w:t>u</w:t>
      </w:r>
      <w:r>
        <w:rPr>
          <w:rFonts w:cs="Times New Roman"/>
          <w:sz w:val="20"/>
          <w:szCs w:val="20"/>
          <w:lang w:val="fr-CA"/>
        </w:rPr>
        <w:t>i</w:t>
      </w:r>
      <w:r w:rsidR="0061713C">
        <w:rPr>
          <w:rFonts w:cs="Times New Roman"/>
          <w:sz w:val="20"/>
          <w:szCs w:val="20"/>
          <w:lang w:val="fr-CA"/>
        </w:rPr>
        <w:t>ll</w:t>
      </w:r>
      <w:r w:rsidRPr="003B3977">
        <w:rPr>
          <w:rFonts w:cs="Times New Roman"/>
          <w:sz w:val="20"/>
          <w:szCs w:val="20"/>
          <w:lang w:val="fr-CA"/>
        </w:rPr>
        <w:t>e</w:t>
      </w:r>
      <w:r w:rsidR="0061713C">
        <w:rPr>
          <w:rFonts w:cs="Times New Roman"/>
          <w:sz w:val="20"/>
          <w:szCs w:val="20"/>
          <w:lang w:val="fr-CA"/>
        </w:rPr>
        <w:t>t</w:t>
      </w:r>
      <w:r w:rsidRPr="003B3977">
        <w:rPr>
          <w:rFonts w:cs="Times New Roman"/>
          <w:sz w:val="20"/>
          <w:szCs w:val="20"/>
          <w:lang w:val="fr-CA"/>
        </w:rPr>
        <w:t xml:space="preserve"> 201</w:t>
      </w:r>
      <w:r>
        <w:rPr>
          <w:rFonts w:cs="Times New Roman"/>
          <w:sz w:val="20"/>
          <w:szCs w:val="20"/>
          <w:lang w:val="fr-CA"/>
        </w:rPr>
        <w:t>4</w:t>
      </w:r>
    </w:p>
    <w:p w:rsidR="005C6840" w:rsidRPr="003B3977" w:rsidRDefault="00944C2E" w:rsidP="005C6840">
      <w:pPr>
        <w:rPr>
          <w:rFonts w:cs="Times New Roman"/>
          <w:sz w:val="20"/>
          <w:szCs w:val="20"/>
          <w:lang w:val="fr-CA"/>
        </w:rPr>
      </w:pPr>
      <w:r>
        <w:rPr>
          <w:rFonts w:cs="Times New Roman"/>
          <w:i/>
          <w:sz w:val="20"/>
          <w:szCs w:val="20"/>
        </w:rPr>
        <w:pict>
          <v:rect id="_x0000_i1075"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A56AC7" w:rsidRPr="00D2105C" w:rsidRDefault="00A56AC7" w:rsidP="00A56AC7">
      <w:pPr>
        <w:jc w:val="both"/>
        <w:rPr>
          <w:sz w:val="20"/>
          <w:szCs w:val="20"/>
          <w:lang w:val="fr-CA"/>
        </w:rPr>
      </w:pPr>
      <w:r w:rsidRPr="00D2105C">
        <w:rPr>
          <w:sz w:val="20"/>
          <w:szCs w:val="20"/>
          <w:lang w:val="fr-CA"/>
        </w:rPr>
        <w:t>Présents : La juge en chef McLachlin et les juges LeBel, Abella, Rothstein, Moldaver, Karakatsanis et Wagner.</w:t>
      </w:r>
    </w:p>
    <w:p w:rsidR="00A56AC7" w:rsidRDefault="00A56AC7" w:rsidP="00A56AC7">
      <w:pPr>
        <w:pStyle w:val="SCCNormalDoubleSpacing"/>
        <w:spacing w:line="240" w:lineRule="auto"/>
        <w:rPr>
          <w:i/>
          <w:sz w:val="20"/>
          <w:lang w:val="fr-CA"/>
        </w:rPr>
      </w:pPr>
    </w:p>
    <w:p w:rsidR="00A56AC7" w:rsidRPr="00D2105C" w:rsidRDefault="00A56AC7" w:rsidP="00A56AC7">
      <w:pPr>
        <w:pStyle w:val="SCCNormalDoubleSpacing"/>
        <w:spacing w:line="240" w:lineRule="auto"/>
        <w:rPr>
          <w:i/>
          <w:sz w:val="20"/>
          <w:lang w:val="fr-CA"/>
        </w:rPr>
      </w:pPr>
      <w:r w:rsidRPr="00D2105C">
        <w:rPr>
          <w:i/>
          <w:sz w:val="20"/>
          <w:lang w:val="fr-CA"/>
        </w:rPr>
        <w:tab/>
        <w:t>Procédure civile — Requête en irrecevabilité — Stare decisis — Recours visant à faire déclarer inconstitutionnelles certaines dispositions législatives relatives à l’assurance</w:t>
      </w:r>
      <w:r w:rsidRPr="00D2105C">
        <w:rPr>
          <w:i/>
          <w:sz w:val="20"/>
          <w:lang w:val="fr-CA"/>
        </w:rPr>
        <w:noBreakHyphen/>
        <w:t>emploi — Requête en irrecevabilité présentée au motif qu’un arrêt rendu auparavant par la Cour suprême du Canada tranchait déjà les questions soulevées — La requête introductive d’instance est</w:t>
      </w:r>
      <w:r w:rsidRPr="00D2105C">
        <w:rPr>
          <w:i/>
          <w:sz w:val="20"/>
          <w:lang w:val="fr-CA"/>
        </w:rPr>
        <w:noBreakHyphen/>
        <w:t>elle fondée en droit, supposé même que les faits allégués soient vrais? — Code de procédure civile, RLRQ, ch. C</w:t>
      </w:r>
      <w:r w:rsidRPr="00D2105C">
        <w:rPr>
          <w:i/>
          <w:sz w:val="20"/>
          <w:lang w:val="fr-CA"/>
        </w:rPr>
        <w:noBreakHyphen/>
        <w:t>25, par. 165(4).</w:t>
      </w:r>
    </w:p>
    <w:p w:rsidR="00A56AC7" w:rsidRDefault="00A56AC7" w:rsidP="00A56AC7">
      <w:pPr>
        <w:pStyle w:val="SCCNormalDoubleSpacing"/>
        <w:spacing w:line="240" w:lineRule="auto"/>
        <w:rPr>
          <w:sz w:val="20"/>
          <w:lang w:val="fr-CA"/>
        </w:rPr>
      </w:pPr>
    </w:p>
    <w:p w:rsidR="00A56AC7" w:rsidRPr="00D2105C" w:rsidRDefault="00A56AC7" w:rsidP="00A56AC7">
      <w:pPr>
        <w:pStyle w:val="SCCNormalDoubleSpacing"/>
        <w:spacing w:line="240" w:lineRule="auto"/>
        <w:rPr>
          <w:sz w:val="20"/>
          <w:lang w:val="fr-CA"/>
        </w:rPr>
      </w:pPr>
      <w:r w:rsidRPr="00D2105C">
        <w:rPr>
          <w:sz w:val="20"/>
          <w:lang w:val="fr-CA"/>
        </w:rPr>
        <w:tab/>
        <w:t xml:space="preserve">En 1998 et 1999, des syndicats se sont adressés aux tribunaux pour faire invalider certaines dispositions de la </w:t>
      </w:r>
      <w:r w:rsidRPr="00D2105C">
        <w:rPr>
          <w:i/>
          <w:sz w:val="20"/>
          <w:lang w:val="fr-CA"/>
        </w:rPr>
        <w:t>Loi sur l’assurance</w:t>
      </w:r>
      <w:r w:rsidRPr="00D2105C">
        <w:rPr>
          <w:i/>
          <w:sz w:val="20"/>
          <w:lang w:val="fr-CA"/>
        </w:rPr>
        <w:noBreakHyphen/>
        <w:t>emploi</w:t>
      </w:r>
      <w:r w:rsidRPr="00D2105C">
        <w:rPr>
          <w:sz w:val="20"/>
          <w:lang w:val="fr-CA"/>
        </w:rPr>
        <w:t>, L.C. 1996, ch. 23, notamment celles relatives au mécanisme de fixation des cotisations et ayant permis d’accumuler des surplus de plusieurs milliards de dollars. Selon eux, le gouvernement réaffectait ces surplus à ses dépenses générales, ce qui constituait un détournement des fonds qui devaient être réservés à l’assurance</w:t>
      </w:r>
      <w:r w:rsidRPr="00D2105C">
        <w:rPr>
          <w:sz w:val="20"/>
          <w:lang w:val="fr-CA"/>
        </w:rPr>
        <w:noBreakHyphen/>
        <w:t xml:space="preserve">emploi. En 2008, dans son arrêt </w:t>
      </w:r>
      <w:r w:rsidRPr="00D2105C">
        <w:rPr>
          <w:i/>
          <w:sz w:val="20"/>
          <w:lang w:val="fr-CA"/>
        </w:rPr>
        <w:t>Confédération des syndicats nationaux c. Canada (Procureur général)</w:t>
      </w:r>
      <w:r w:rsidRPr="00D2105C">
        <w:rPr>
          <w:sz w:val="20"/>
          <w:lang w:val="fr-CA"/>
        </w:rPr>
        <w:t>, 2008 CSC 68, [2008] 3 R.C.S. 511 (« </w:t>
      </w:r>
      <w:r w:rsidRPr="00D2105C">
        <w:rPr>
          <w:i/>
          <w:sz w:val="20"/>
          <w:lang w:val="fr-CA"/>
        </w:rPr>
        <w:t>CSN c. Canada</w:t>
      </w:r>
      <w:r w:rsidRPr="00D2105C">
        <w:rPr>
          <w:sz w:val="20"/>
          <w:lang w:val="fr-CA"/>
        </w:rPr>
        <w:t xml:space="preserve"> »), la Cour a déclaré que les mesures adoptées en vertu de la </w:t>
      </w:r>
      <w:r w:rsidRPr="00D2105C">
        <w:rPr>
          <w:i/>
          <w:sz w:val="20"/>
          <w:lang w:val="fr-CA"/>
        </w:rPr>
        <w:t>Loi de 1996</w:t>
      </w:r>
      <w:r w:rsidRPr="00D2105C">
        <w:rPr>
          <w:sz w:val="20"/>
          <w:lang w:val="fr-CA"/>
        </w:rPr>
        <w:t xml:space="preserve"> étaient valides et constitutionnelles, sauf pour les années 2002, 2003 et 2005, et elle a suspendu l’effet de la déclaration d’invalidité pour une période de 12 mois afin de permettre au législateur de rectifier la situation. En 2010, le Parlement a adopté la </w:t>
      </w:r>
      <w:r w:rsidRPr="00D2105C">
        <w:rPr>
          <w:i/>
          <w:sz w:val="20"/>
          <w:lang w:val="fr-CA"/>
        </w:rPr>
        <w:t>Loi sur l’emploi et la croissance économique</w:t>
      </w:r>
      <w:r w:rsidRPr="00D2105C">
        <w:rPr>
          <w:sz w:val="20"/>
          <w:lang w:val="fr-CA"/>
        </w:rPr>
        <w:t>, L.C. 2010, ch. 12, laquelle a fermé le Compte d’assurance</w:t>
      </w:r>
      <w:r w:rsidRPr="00D2105C">
        <w:rPr>
          <w:sz w:val="20"/>
          <w:lang w:val="fr-CA"/>
        </w:rPr>
        <w:noBreakHyphen/>
        <w:t>emploi et créé un nouveau Compte des opérations de l’assurance</w:t>
      </w:r>
      <w:r w:rsidRPr="00D2105C">
        <w:rPr>
          <w:sz w:val="20"/>
          <w:lang w:val="fr-CA"/>
        </w:rPr>
        <w:noBreakHyphen/>
        <w:t>emploi, de façon rétroactive au 1</w:t>
      </w:r>
      <w:r w:rsidRPr="00D2105C">
        <w:rPr>
          <w:sz w:val="20"/>
          <w:vertAlign w:val="superscript"/>
          <w:lang w:val="fr-CA"/>
        </w:rPr>
        <w:t>er </w:t>
      </w:r>
      <w:r w:rsidRPr="00D2105C">
        <w:rPr>
          <w:sz w:val="20"/>
          <w:lang w:val="fr-CA"/>
        </w:rPr>
        <w:t xml:space="preserve">janvier 2009. La </w:t>
      </w:r>
      <w:r w:rsidRPr="00D2105C">
        <w:rPr>
          <w:i/>
          <w:sz w:val="20"/>
          <w:lang w:val="fr-CA"/>
        </w:rPr>
        <w:t>Loi de 2010</w:t>
      </w:r>
      <w:r w:rsidRPr="00D2105C">
        <w:rPr>
          <w:sz w:val="20"/>
          <w:lang w:val="fr-CA"/>
        </w:rPr>
        <w:t xml:space="preserve"> ne prévoyait aucun transfert du solde créditeur du Compte d’assurance</w:t>
      </w:r>
      <w:r w:rsidRPr="00D2105C">
        <w:rPr>
          <w:sz w:val="20"/>
          <w:lang w:val="fr-CA"/>
        </w:rPr>
        <w:noBreakHyphen/>
        <w:t>emploi — lequel s’établissait alors à plus de 57 milliards de dollars — vers le nouveau Compte des opérations de l’assurance</w:t>
      </w:r>
      <w:r w:rsidRPr="00D2105C">
        <w:rPr>
          <w:sz w:val="20"/>
          <w:lang w:val="fr-CA"/>
        </w:rPr>
        <w:noBreakHyphen/>
        <w:t xml:space="preserve">emploi. La CSN et la FTQ (les « syndicats ») ont alors déposé une requête introductive d’instance pour faire déclarer inconstitutionnelles certaines dispositions de la </w:t>
      </w:r>
      <w:r w:rsidRPr="00D2105C">
        <w:rPr>
          <w:i/>
          <w:sz w:val="20"/>
          <w:lang w:val="fr-CA"/>
        </w:rPr>
        <w:t>Loi de 2010</w:t>
      </w:r>
      <w:r w:rsidRPr="00D2105C">
        <w:rPr>
          <w:sz w:val="20"/>
          <w:lang w:val="fr-CA"/>
        </w:rPr>
        <w:t xml:space="preserve">. Soutenant que les questions soulevées par les syndicats avaient déjà été tranchées par la Cour dans l’arrêt </w:t>
      </w:r>
      <w:r w:rsidRPr="00D2105C">
        <w:rPr>
          <w:i/>
          <w:sz w:val="20"/>
          <w:lang w:val="fr-CA"/>
        </w:rPr>
        <w:t>CSN c. Canada</w:t>
      </w:r>
      <w:r w:rsidRPr="00D2105C">
        <w:rPr>
          <w:sz w:val="20"/>
          <w:lang w:val="fr-CA"/>
        </w:rPr>
        <w:t xml:space="preserve">, le procureur général du Canada a présenté une requête en irrecevabilité fondée sur le par. 165(4) </w:t>
      </w:r>
      <w:r w:rsidRPr="00D2105C">
        <w:rPr>
          <w:i/>
          <w:sz w:val="20"/>
          <w:lang w:val="fr-CA"/>
        </w:rPr>
        <w:t>C.p.c.</w:t>
      </w:r>
      <w:r w:rsidRPr="00D2105C">
        <w:rPr>
          <w:sz w:val="20"/>
          <w:lang w:val="fr-CA"/>
        </w:rPr>
        <w:t xml:space="preserve"> La requête en irrecevabilité a été accueillie par la Cour supérieure du Québec, mais la Cour d’appel a infirmé la décision. Elle a considéré que le litige portait sur les effets du geste d’abolition du solde créditeur du Compte d’assurance</w:t>
      </w:r>
      <w:r w:rsidRPr="00D2105C">
        <w:rPr>
          <w:sz w:val="20"/>
          <w:lang w:val="fr-CA"/>
        </w:rPr>
        <w:noBreakHyphen/>
        <w:t xml:space="preserve">emploi et des entrées comptables en résultant, une question qui n’avait pas été tranchée dans l’arrêt </w:t>
      </w:r>
      <w:r w:rsidRPr="00D2105C">
        <w:rPr>
          <w:i/>
          <w:sz w:val="20"/>
          <w:lang w:val="fr-CA"/>
        </w:rPr>
        <w:t>CSN c. Canada</w:t>
      </w:r>
      <w:r w:rsidRPr="00D2105C">
        <w:rPr>
          <w:sz w:val="20"/>
          <w:lang w:val="fr-CA"/>
        </w:rPr>
        <w:t>.</w:t>
      </w:r>
    </w:p>
    <w:p w:rsidR="00A56AC7" w:rsidRDefault="00A56AC7" w:rsidP="00A56AC7">
      <w:pPr>
        <w:pStyle w:val="SCCNormalDoubleSpacing"/>
        <w:spacing w:line="240" w:lineRule="auto"/>
        <w:rPr>
          <w:sz w:val="20"/>
          <w:lang w:val="fr-CA"/>
        </w:rPr>
      </w:pPr>
    </w:p>
    <w:p w:rsidR="00A56AC7" w:rsidRPr="00D2105C" w:rsidRDefault="00A56AC7" w:rsidP="00A56AC7">
      <w:pPr>
        <w:pStyle w:val="SCCNormalDoubleSpacing"/>
        <w:spacing w:line="240" w:lineRule="auto"/>
        <w:rPr>
          <w:sz w:val="20"/>
          <w:lang w:val="fr-CA"/>
        </w:rPr>
      </w:pPr>
      <w:r w:rsidRPr="00D2105C">
        <w:rPr>
          <w:sz w:val="20"/>
          <w:lang w:val="fr-CA"/>
        </w:rPr>
        <w:tab/>
      </w:r>
      <w:r w:rsidRPr="00D2105C">
        <w:rPr>
          <w:i/>
          <w:sz w:val="20"/>
          <w:lang w:val="fr-CA"/>
        </w:rPr>
        <w:t>Arrêt</w:t>
      </w:r>
      <w:r w:rsidRPr="00D2105C">
        <w:rPr>
          <w:sz w:val="20"/>
          <w:lang w:val="fr-CA"/>
        </w:rPr>
        <w:t> : Le pourvoi est accueilli.</w:t>
      </w:r>
    </w:p>
    <w:p w:rsidR="00A56AC7" w:rsidRDefault="00A56AC7" w:rsidP="00A56AC7">
      <w:pPr>
        <w:pStyle w:val="SCCNormalDoubleSpacing"/>
        <w:spacing w:line="240" w:lineRule="auto"/>
        <w:rPr>
          <w:sz w:val="20"/>
          <w:lang w:val="fr-CA"/>
        </w:rPr>
      </w:pPr>
    </w:p>
    <w:p w:rsidR="00A56AC7" w:rsidRPr="00D2105C" w:rsidRDefault="00A56AC7" w:rsidP="00A56AC7">
      <w:pPr>
        <w:pStyle w:val="SCCNormalDoubleSpacing"/>
        <w:spacing w:line="240" w:lineRule="auto"/>
        <w:rPr>
          <w:sz w:val="20"/>
          <w:lang w:val="fr-CA"/>
        </w:rPr>
      </w:pPr>
      <w:r w:rsidRPr="00D2105C">
        <w:rPr>
          <w:sz w:val="20"/>
          <w:lang w:val="fr-CA"/>
        </w:rPr>
        <w:tab/>
        <w:t>Avant d’accueillir une requête en irrecevabilité au motif qu’une décision faisant autorité a déjà tranché la question en litige, le juge d’instance doit être convaincu, au regard du dossier et des faits allégués, que le précédent invoqué par le requérant porte sur l’ensemble du débat qu’il devrait normalement trancher et qu’il y apporte une solution complète, certaine et définitive.</w:t>
      </w:r>
    </w:p>
    <w:p w:rsidR="00A56AC7" w:rsidRDefault="00A56AC7" w:rsidP="00A56AC7">
      <w:pPr>
        <w:pStyle w:val="SCCNormalDoubleSpacing"/>
        <w:spacing w:line="240" w:lineRule="auto"/>
        <w:rPr>
          <w:sz w:val="20"/>
          <w:lang w:val="fr-CA"/>
        </w:rPr>
      </w:pPr>
    </w:p>
    <w:p w:rsidR="00A56AC7" w:rsidRDefault="00A56AC7" w:rsidP="00A56AC7">
      <w:pPr>
        <w:pStyle w:val="SCCNormalDoubleSpacing"/>
        <w:spacing w:line="240" w:lineRule="auto"/>
        <w:rPr>
          <w:sz w:val="20"/>
          <w:lang w:val="fr-CA"/>
        </w:rPr>
      </w:pPr>
      <w:r w:rsidRPr="00D2105C">
        <w:rPr>
          <w:sz w:val="20"/>
          <w:lang w:val="fr-CA"/>
        </w:rPr>
        <w:tab/>
        <w:t>En l’espèce, le recours des syndicats est voué à l’échec. Le recours repose sur la prémisse que l’inscription au Compte d’assurance</w:t>
      </w:r>
      <w:r w:rsidRPr="00D2105C">
        <w:rPr>
          <w:sz w:val="20"/>
          <w:lang w:val="fr-CA"/>
        </w:rPr>
        <w:noBreakHyphen/>
        <w:t>emploi d’un solde créditeur constitue une dette du Trésor envers ce compte. Pour les syndicats, le suivi comptable des cotisations versées dans le cadre du régime d’assurance</w:t>
      </w:r>
      <w:r w:rsidRPr="00D2105C">
        <w:rPr>
          <w:sz w:val="20"/>
          <w:lang w:val="fr-CA"/>
        </w:rPr>
        <w:noBreakHyphen/>
        <w:t>emploi représente une condition essentielle à la validité constitutionnelle de celles</w:t>
      </w:r>
      <w:r w:rsidRPr="00D2105C">
        <w:rPr>
          <w:sz w:val="20"/>
          <w:lang w:val="fr-CA"/>
        </w:rPr>
        <w:noBreakHyphen/>
        <w:t xml:space="preserve">ci. Or, l’arrêt </w:t>
      </w:r>
      <w:r w:rsidRPr="00D2105C">
        <w:rPr>
          <w:i/>
          <w:sz w:val="20"/>
          <w:lang w:val="fr-CA"/>
        </w:rPr>
        <w:t>CSN c. Canada</w:t>
      </w:r>
      <w:r w:rsidRPr="00D2105C">
        <w:rPr>
          <w:sz w:val="20"/>
          <w:lang w:val="fr-CA"/>
        </w:rPr>
        <w:t xml:space="preserve"> a fixé l’état du droit à cet égard et prive la requête introductive d’instance de tout fondement juridique. Dans cette affaire, la Cour a conclu que les sommes recueillies au titre des cotisations à la Caisse d’assurance</w:t>
      </w:r>
      <w:r w:rsidRPr="00D2105C">
        <w:rPr>
          <w:sz w:val="20"/>
          <w:lang w:val="fr-CA"/>
        </w:rPr>
        <w:noBreakHyphen/>
        <w:t xml:space="preserve">emploi sont une portion des recettes publiques de l’État et peuvent être utilisées à d’autres fins que le paiement de prestations. Bien que le lien entre le régime et les cotisations soit un élément dont on peut tenir compte afin d’établir la nature des prélèvements, il est erroné d’affirmer que la validité de ces prélèvements dépend de l’existence de ce lien. De plus, il n’a jamais existé de dette du Trésor envers le Compte </w:t>
      </w:r>
      <w:r w:rsidRPr="00D2105C">
        <w:rPr>
          <w:sz w:val="20"/>
          <w:lang w:val="fr-CA"/>
        </w:rPr>
        <w:lastRenderedPageBreak/>
        <w:t>d’assurance</w:t>
      </w:r>
      <w:r w:rsidRPr="00D2105C">
        <w:rPr>
          <w:sz w:val="20"/>
          <w:lang w:val="fr-CA"/>
        </w:rPr>
        <w:noBreakHyphen/>
        <w:t>emploi, l’État ne pouvant être endetté envers lui</w:t>
      </w:r>
      <w:r w:rsidRPr="00D2105C">
        <w:rPr>
          <w:sz w:val="20"/>
          <w:lang w:val="fr-CA"/>
        </w:rPr>
        <w:noBreakHyphen/>
        <w:t xml:space="preserve">même. La demande n’ayant aucune chance raisonnable de succès, le par. 165(4) </w:t>
      </w:r>
      <w:r w:rsidRPr="00D2105C">
        <w:rPr>
          <w:i/>
          <w:sz w:val="20"/>
          <w:lang w:val="fr-CA"/>
        </w:rPr>
        <w:t>C.p.c.</w:t>
      </w:r>
      <w:r w:rsidRPr="00D2105C">
        <w:rPr>
          <w:sz w:val="20"/>
          <w:lang w:val="fr-CA"/>
        </w:rPr>
        <w:t xml:space="preserve"> s’appliquait et le recours pouvait être rejeté au stade préliminaire.</w:t>
      </w:r>
    </w:p>
    <w:p w:rsidR="00A56AC7" w:rsidRDefault="00A56AC7" w:rsidP="00A56AC7">
      <w:pPr>
        <w:pStyle w:val="SCCNormalDoubleSpacing"/>
        <w:spacing w:line="240" w:lineRule="auto"/>
        <w:rPr>
          <w:sz w:val="20"/>
          <w:lang w:val="fr-CA"/>
        </w:rPr>
      </w:pPr>
    </w:p>
    <w:p w:rsidR="00A56AC7" w:rsidRPr="00D2105C" w:rsidRDefault="00A56AC7" w:rsidP="00A56AC7">
      <w:pPr>
        <w:pStyle w:val="SCCNormalDoubleSpacing"/>
        <w:spacing w:line="240" w:lineRule="auto"/>
        <w:rPr>
          <w:sz w:val="20"/>
          <w:lang w:val="fr-CA"/>
        </w:rPr>
      </w:pPr>
      <w:r w:rsidRPr="00D2105C">
        <w:rPr>
          <w:sz w:val="20"/>
          <w:lang w:val="fr-CA"/>
        </w:rPr>
        <w:tab/>
        <w:t>POURVOI contre un arrêt de la Cour d’appel du Québec (les juges Morissette, Fournier et St</w:t>
      </w:r>
      <w:r w:rsidRPr="00D2105C">
        <w:rPr>
          <w:sz w:val="20"/>
          <w:lang w:val="fr-CA"/>
        </w:rPr>
        <w:noBreakHyphen/>
        <w:t>Pierre), 2012 QCCA 1822, [2012] AZ</w:t>
      </w:r>
      <w:r w:rsidRPr="00D2105C">
        <w:rPr>
          <w:sz w:val="20"/>
          <w:lang w:val="fr-CA"/>
        </w:rPr>
        <w:noBreakHyphen/>
        <w:t>50901334, [2012] J.Q. n</w:t>
      </w:r>
      <w:r w:rsidRPr="00D2105C">
        <w:rPr>
          <w:sz w:val="20"/>
          <w:vertAlign w:val="superscript"/>
          <w:lang w:val="fr-CA"/>
        </w:rPr>
        <w:t>o</w:t>
      </w:r>
      <w:r w:rsidRPr="00D2105C">
        <w:rPr>
          <w:sz w:val="20"/>
          <w:lang w:val="fr-CA"/>
        </w:rPr>
        <w:t> 9717 (QL), 2012 CarswellQue 10069, qui a infirmé une décision de la juge Perrault, 2012 QCCS 128, [2012] AZ</w:t>
      </w:r>
      <w:r w:rsidRPr="00D2105C">
        <w:rPr>
          <w:sz w:val="20"/>
          <w:lang w:val="fr-CA"/>
        </w:rPr>
        <w:noBreakHyphen/>
        <w:t>50823420, [2012] J.Q. n</w:t>
      </w:r>
      <w:r w:rsidRPr="00D2105C">
        <w:rPr>
          <w:sz w:val="20"/>
          <w:vertAlign w:val="superscript"/>
          <w:lang w:val="fr-CA"/>
        </w:rPr>
        <w:t>o</w:t>
      </w:r>
      <w:r w:rsidRPr="00D2105C">
        <w:rPr>
          <w:sz w:val="20"/>
          <w:lang w:val="fr-CA"/>
        </w:rPr>
        <w:t> 341 (QL), 2012 CarswellQue 261.  Pourvoi accueilli.</w:t>
      </w:r>
    </w:p>
    <w:p w:rsidR="00A56AC7" w:rsidRDefault="00A56AC7" w:rsidP="00A56AC7">
      <w:pPr>
        <w:pStyle w:val="SCCNormalDoubleSpacing"/>
        <w:spacing w:line="240" w:lineRule="auto"/>
        <w:rPr>
          <w:rStyle w:val="SCCCounselNameChar"/>
          <w:sz w:val="20"/>
          <w:lang w:val="fr-CA"/>
        </w:rPr>
      </w:pPr>
    </w:p>
    <w:p w:rsidR="00A56AC7" w:rsidRPr="00D2105C" w:rsidRDefault="00A56AC7" w:rsidP="00A56AC7">
      <w:pPr>
        <w:pStyle w:val="SCCNormalDoubleSpacing"/>
        <w:spacing w:line="240" w:lineRule="auto"/>
        <w:rPr>
          <w:sz w:val="20"/>
          <w:lang w:val="fr-CA"/>
        </w:rPr>
      </w:pPr>
      <w:r w:rsidRPr="00D2105C">
        <w:rPr>
          <w:rStyle w:val="SCCCounselNameChar"/>
          <w:sz w:val="20"/>
          <w:lang w:val="fr-CA"/>
        </w:rPr>
        <w:tab/>
        <w:t>René LeBlanc</w:t>
      </w:r>
      <w:r w:rsidRPr="00D2105C">
        <w:rPr>
          <w:rStyle w:val="SCCCounselSeparatorChar"/>
          <w:sz w:val="20"/>
        </w:rPr>
        <w:t xml:space="preserve"> et </w:t>
      </w:r>
      <w:r w:rsidRPr="00D2105C">
        <w:rPr>
          <w:rStyle w:val="SCCCounselNameChar"/>
          <w:sz w:val="20"/>
          <w:lang w:val="fr-CA"/>
        </w:rPr>
        <w:t>Pierre Salois</w:t>
      </w:r>
      <w:r w:rsidRPr="00D2105C">
        <w:rPr>
          <w:rStyle w:val="SCCCounselPartyRoleChar"/>
          <w:sz w:val="20"/>
          <w:lang w:val="fr-CA"/>
        </w:rPr>
        <w:t>, pour l’appelant.</w:t>
      </w:r>
    </w:p>
    <w:p w:rsidR="00A56AC7" w:rsidRDefault="00A56AC7" w:rsidP="00A56AC7">
      <w:pPr>
        <w:pStyle w:val="SCCNormalDoubleSpacing"/>
        <w:spacing w:line="240" w:lineRule="auto"/>
        <w:rPr>
          <w:rStyle w:val="SCCCounselNameChar"/>
          <w:sz w:val="20"/>
          <w:lang w:val="fr-CA"/>
        </w:rPr>
      </w:pPr>
    </w:p>
    <w:p w:rsidR="00A56AC7" w:rsidRPr="00D2105C" w:rsidRDefault="00A56AC7" w:rsidP="00A56AC7">
      <w:pPr>
        <w:pStyle w:val="SCCNormalDoubleSpacing"/>
        <w:spacing w:line="240" w:lineRule="auto"/>
        <w:rPr>
          <w:sz w:val="20"/>
          <w:lang w:val="fr-CA"/>
        </w:rPr>
      </w:pPr>
      <w:r w:rsidRPr="00D2105C">
        <w:rPr>
          <w:rStyle w:val="SCCCounselNameChar"/>
          <w:sz w:val="20"/>
          <w:lang w:val="fr-CA"/>
        </w:rPr>
        <w:tab/>
        <w:t>Guy Martin</w:t>
      </w:r>
      <w:r w:rsidRPr="00D2105C">
        <w:rPr>
          <w:rStyle w:val="SCCCounselPartyRoleChar"/>
          <w:sz w:val="20"/>
          <w:lang w:val="fr-CA"/>
        </w:rPr>
        <w:t xml:space="preserve">, pour l’intimée la </w:t>
      </w:r>
      <w:r w:rsidRPr="00D2105C">
        <w:rPr>
          <w:sz w:val="20"/>
          <w:lang w:val="fr-CA"/>
        </w:rPr>
        <w:t>Confédération des syndicats nationaux</w:t>
      </w:r>
      <w:r w:rsidRPr="00D2105C">
        <w:rPr>
          <w:rStyle w:val="SCCCounselPartyRoleChar"/>
          <w:sz w:val="20"/>
          <w:lang w:val="fr-CA"/>
        </w:rPr>
        <w:t>.</w:t>
      </w:r>
    </w:p>
    <w:p w:rsidR="00A56AC7" w:rsidRDefault="00A56AC7" w:rsidP="00A56AC7">
      <w:pPr>
        <w:pStyle w:val="SCCNormalDoubleSpacing"/>
        <w:spacing w:line="240" w:lineRule="auto"/>
        <w:rPr>
          <w:rStyle w:val="SCCCounselNameChar"/>
          <w:sz w:val="20"/>
          <w:lang w:val="fr-CA"/>
        </w:rPr>
      </w:pPr>
    </w:p>
    <w:p w:rsidR="00A56AC7" w:rsidRPr="00D2105C" w:rsidRDefault="00A56AC7" w:rsidP="00A56AC7">
      <w:pPr>
        <w:pStyle w:val="SCCNormalDoubleSpacing"/>
        <w:spacing w:line="240" w:lineRule="auto"/>
        <w:rPr>
          <w:sz w:val="20"/>
          <w:lang w:val="fr-CA"/>
        </w:rPr>
      </w:pPr>
      <w:r w:rsidRPr="00D2105C">
        <w:rPr>
          <w:rStyle w:val="SCCCounselNameChar"/>
          <w:sz w:val="20"/>
          <w:lang w:val="fr-CA"/>
        </w:rPr>
        <w:tab/>
        <w:t>Jean Guy Ouellet</w:t>
      </w:r>
      <w:r w:rsidRPr="00D2105C">
        <w:rPr>
          <w:rStyle w:val="SCCCounselPartyRoleChar"/>
          <w:sz w:val="20"/>
          <w:lang w:val="fr-CA"/>
        </w:rPr>
        <w:t xml:space="preserve">, pour l’intimée la </w:t>
      </w:r>
      <w:r w:rsidRPr="00D2105C">
        <w:rPr>
          <w:sz w:val="20"/>
          <w:lang w:val="fr-CA"/>
        </w:rPr>
        <w:t>Fédération des travailleurs et travailleuses du Québec</w:t>
      </w:r>
      <w:r w:rsidRPr="00D2105C">
        <w:rPr>
          <w:rStyle w:val="SCCCounselPartyRoleChar"/>
          <w:sz w:val="20"/>
          <w:lang w:val="fr-CA"/>
        </w:rPr>
        <w:t>.</w:t>
      </w:r>
    </w:p>
    <w:p w:rsidR="00A56AC7" w:rsidRDefault="00A56AC7" w:rsidP="00A56AC7">
      <w:pPr>
        <w:pStyle w:val="SCCLawFirm"/>
        <w:spacing w:line="240" w:lineRule="auto"/>
        <w:rPr>
          <w:sz w:val="20"/>
          <w:lang w:val="fr-CA"/>
        </w:rPr>
      </w:pPr>
    </w:p>
    <w:p w:rsidR="00A56AC7" w:rsidRPr="00D2105C" w:rsidRDefault="00A56AC7" w:rsidP="00A56AC7">
      <w:pPr>
        <w:pStyle w:val="SCCLawFirm"/>
        <w:spacing w:line="240" w:lineRule="auto"/>
        <w:rPr>
          <w:sz w:val="20"/>
          <w:lang w:val="fr-CA"/>
        </w:rPr>
      </w:pPr>
      <w:r w:rsidRPr="00D2105C">
        <w:rPr>
          <w:sz w:val="20"/>
          <w:lang w:val="fr-CA"/>
        </w:rPr>
        <w:tab/>
        <w:t>Procureur de l’appelant : Procureur général du Canada, Ottawa et Montréal.</w:t>
      </w:r>
    </w:p>
    <w:p w:rsidR="00A56AC7" w:rsidRDefault="00A56AC7" w:rsidP="00A56AC7">
      <w:pPr>
        <w:pStyle w:val="SCCLawFirm"/>
        <w:spacing w:line="240" w:lineRule="auto"/>
        <w:rPr>
          <w:sz w:val="20"/>
          <w:lang w:val="fr-CA"/>
        </w:rPr>
      </w:pPr>
    </w:p>
    <w:p w:rsidR="00A56AC7" w:rsidRPr="00D2105C" w:rsidRDefault="00A56AC7" w:rsidP="00A56AC7">
      <w:pPr>
        <w:pStyle w:val="SCCLawFirm"/>
        <w:spacing w:line="240" w:lineRule="auto"/>
        <w:rPr>
          <w:sz w:val="20"/>
          <w:lang w:val="fr-CA"/>
        </w:rPr>
      </w:pPr>
      <w:r w:rsidRPr="00D2105C">
        <w:rPr>
          <w:sz w:val="20"/>
          <w:lang w:val="fr-CA"/>
        </w:rPr>
        <w:tab/>
        <w:t>Procureurs de l’intimée la Confédération des syndicats nationaux : Roy Évangéliste avocats, Montréal.</w:t>
      </w:r>
    </w:p>
    <w:p w:rsidR="00A56AC7" w:rsidRDefault="00A56AC7" w:rsidP="00A56AC7">
      <w:pPr>
        <w:pStyle w:val="SCCLawFirm"/>
        <w:spacing w:line="240" w:lineRule="auto"/>
        <w:rPr>
          <w:sz w:val="20"/>
          <w:lang w:val="fr-CA"/>
        </w:rPr>
      </w:pPr>
    </w:p>
    <w:p w:rsidR="00A56AC7" w:rsidRDefault="00A56AC7" w:rsidP="00A56AC7">
      <w:pPr>
        <w:pStyle w:val="SCCLawFirm"/>
        <w:spacing w:line="240" w:lineRule="auto"/>
        <w:rPr>
          <w:sz w:val="20"/>
          <w:lang w:val="fr-CA"/>
        </w:rPr>
      </w:pPr>
      <w:r w:rsidRPr="00D2105C">
        <w:rPr>
          <w:sz w:val="20"/>
          <w:lang w:val="fr-CA"/>
        </w:rPr>
        <w:tab/>
        <w:t>Procureurs de l’intimée la Fédération des travailleurs et travailleuses du Québec : Ouellet, Nadon &amp; Associés, Montréal.</w:t>
      </w:r>
    </w:p>
    <w:p w:rsidR="0052229C" w:rsidRPr="00822540" w:rsidRDefault="0052229C" w:rsidP="0052229C">
      <w:pPr>
        <w:rPr>
          <w:rFonts w:cs="Times New Roman"/>
          <w:sz w:val="20"/>
          <w:szCs w:val="20"/>
        </w:rPr>
      </w:pPr>
      <w:r w:rsidRPr="00822540">
        <w:rPr>
          <w:rFonts w:cs="Times New Roman"/>
          <w:sz w:val="20"/>
          <w:szCs w:val="20"/>
        </w:rPr>
        <w:t>________________________</w:t>
      </w:r>
    </w:p>
    <w:p w:rsidR="0052229C" w:rsidRPr="00822540" w:rsidRDefault="0052229C" w:rsidP="0052229C">
      <w:pPr>
        <w:rPr>
          <w:rFonts w:cs="Times New Roman"/>
          <w:sz w:val="20"/>
          <w:szCs w:val="20"/>
        </w:rPr>
      </w:pPr>
    </w:p>
    <w:p w:rsidR="00A56AC7" w:rsidRPr="004534B1" w:rsidRDefault="00A56AC7" w:rsidP="00A56AC7">
      <w:pPr>
        <w:jc w:val="both"/>
        <w:rPr>
          <w:sz w:val="20"/>
          <w:szCs w:val="20"/>
        </w:rPr>
      </w:pPr>
      <w:r w:rsidRPr="004534B1">
        <w:rPr>
          <w:sz w:val="20"/>
          <w:szCs w:val="20"/>
        </w:rPr>
        <w:t>Present:  McLachlin C.J. and LeBel, Abella, Rothstein, Moldaver, Karakatsanis and Wagner JJ.</w:t>
      </w:r>
    </w:p>
    <w:p w:rsidR="00A56AC7" w:rsidRDefault="00A56AC7" w:rsidP="00A56AC7">
      <w:pPr>
        <w:pStyle w:val="SCCNormalDoubleSpacing"/>
        <w:spacing w:line="240" w:lineRule="auto"/>
        <w:rPr>
          <w:i/>
          <w:sz w:val="20"/>
        </w:rPr>
      </w:pPr>
    </w:p>
    <w:p w:rsidR="00A56AC7" w:rsidRPr="004534B1" w:rsidRDefault="00A56AC7" w:rsidP="00A56AC7">
      <w:pPr>
        <w:pStyle w:val="SCCNormalDoubleSpacing"/>
        <w:spacing w:line="240" w:lineRule="auto"/>
        <w:rPr>
          <w:i/>
          <w:sz w:val="20"/>
        </w:rPr>
      </w:pPr>
      <w:r w:rsidRPr="004534B1">
        <w:rPr>
          <w:i/>
          <w:sz w:val="20"/>
        </w:rPr>
        <w:tab/>
        <w:t>Civil procedure — Motion to dismiss — Stare decisis — Action to have certain statutory provisions relating to employment insurance declared unconstitutional — Motion to dismiss on basis that issues being raised had already been decided by Supreme Court of Canada in earlier decision — Whether motion to institute proceedings is correct in law even if alleged facts are assumed to be true — Code of Civil Procedure, CQLR, c. C</w:t>
      </w:r>
      <w:r w:rsidRPr="004534B1">
        <w:rPr>
          <w:i/>
          <w:sz w:val="20"/>
        </w:rPr>
        <w:noBreakHyphen/>
        <w:t>25, art. 165(4).</w:t>
      </w:r>
    </w:p>
    <w:p w:rsidR="00A56AC7" w:rsidRDefault="00A56AC7" w:rsidP="00A56AC7">
      <w:pPr>
        <w:pStyle w:val="SCCNormalDoubleSpacing"/>
        <w:spacing w:line="240" w:lineRule="auto"/>
        <w:rPr>
          <w:sz w:val="20"/>
        </w:rPr>
      </w:pPr>
    </w:p>
    <w:p w:rsidR="00A56AC7" w:rsidRPr="004534B1" w:rsidRDefault="00A56AC7" w:rsidP="00A56AC7">
      <w:pPr>
        <w:pStyle w:val="SCCNormalDoubleSpacing"/>
        <w:spacing w:line="240" w:lineRule="auto"/>
        <w:rPr>
          <w:sz w:val="20"/>
        </w:rPr>
      </w:pPr>
      <w:r w:rsidRPr="004534B1">
        <w:rPr>
          <w:sz w:val="20"/>
        </w:rPr>
        <w:tab/>
        <w:t xml:space="preserve">In 1998 and 1999, some unions went to court to strike down certain provisions of the </w:t>
      </w:r>
      <w:r w:rsidRPr="004534B1">
        <w:rPr>
          <w:i/>
          <w:sz w:val="20"/>
        </w:rPr>
        <w:t>Employment Insurance Act</w:t>
      </w:r>
      <w:r w:rsidRPr="004534B1">
        <w:rPr>
          <w:sz w:val="20"/>
        </w:rPr>
        <w:t>, S.C. 1996, c. 23, in particular those relating to the premium</w:t>
      </w:r>
      <w:r w:rsidRPr="004534B1">
        <w:rPr>
          <w:sz w:val="20"/>
        </w:rPr>
        <w:noBreakHyphen/>
        <w:t xml:space="preserve">setting mechanism, which had made it possible to accumulate surpluses totalling several billion dollars.  In their view, the government was reallocating these surpluses to its general expenses, which constituted a misappropriation of monies that were supposed to be earmarked for employment insurance.  In 2008, in </w:t>
      </w:r>
      <w:r w:rsidRPr="004534B1">
        <w:rPr>
          <w:i/>
          <w:sz w:val="20"/>
        </w:rPr>
        <w:t>Confédération des syndicats nationaux v. Canada (Attorney General)</w:t>
      </w:r>
      <w:r w:rsidRPr="004534B1">
        <w:rPr>
          <w:sz w:val="20"/>
        </w:rPr>
        <w:t>, 2008 SCC 68, [2008] 3 S.C.R. 511 (“</w:t>
      </w:r>
      <w:r w:rsidRPr="004534B1">
        <w:rPr>
          <w:i/>
          <w:sz w:val="20"/>
        </w:rPr>
        <w:t>CSN v. Canada</w:t>
      </w:r>
      <w:r w:rsidRPr="004534B1">
        <w:rPr>
          <w:sz w:val="20"/>
        </w:rPr>
        <w:t xml:space="preserve">”), the Court declared that the measures adopted in the </w:t>
      </w:r>
      <w:r w:rsidRPr="004534B1">
        <w:rPr>
          <w:i/>
          <w:sz w:val="20"/>
        </w:rPr>
        <w:t>1996 Act</w:t>
      </w:r>
      <w:r w:rsidRPr="004534B1">
        <w:rPr>
          <w:sz w:val="20"/>
        </w:rPr>
        <w:t xml:space="preserve"> were valid and constitutional, with the exception of those that applied in 2002, 2003 and 2005, and it suspended the effect of the declaration of invalidity for 12 months to enable Parliament to rectify the situation.  In 2010, Parliament enacted the </w:t>
      </w:r>
      <w:r w:rsidRPr="004534B1">
        <w:rPr>
          <w:i/>
          <w:sz w:val="20"/>
        </w:rPr>
        <w:t xml:space="preserve">Jobs and Economic Growth </w:t>
      </w:r>
      <w:r w:rsidRPr="004534B1">
        <w:rPr>
          <w:i/>
          <w:iCs/>
          <w:sz w:val="20"/>
        </w:rPr>
        <w:t>Act</w:t>
      </w:r>
      <w:r w:rsidRPr="004534B1">
        <w:rPr>
          <w:iCs/>
          <w:sz w:val="20"/>
        </w:rPr>
        <w:t>, S</w:t>
      </w:r>
      <w:r w:rsidRPr="004534B1">
        <w:rPr>
          <w:sz w:val="20"/>
        </w:rPr>
        <w:t xml:space="preserve">.C. 2010, c. 12, which closed the Employment Insurance Account and created a new Employment Insurance Operating Account, retroactive to January 1, 2009.  The </w:t>
      </w:r>
      <w:r w:rsidRPr="004534B1">
        <w:rPr>
          <w:i/>
          <w:sz w:val="20"/>
        </w:rPr>
        <w:t>2010 Act</w:t>
      </w:r>
      <w:r w:rsidRPr="004534B1">
        <w:rPr>
          <w:sz w:val="20"/>
        </w:rPr>
        <w:t xml:space="preserve"> did not specify that the balance of the Employment Insurance Account, which at that point amounted to over $57 billion, was to be transferred to the new Employment Insurance Operating Account.  The CSN and the FTQ (the “unions”) then filed a motion to institute proceedings in order to have certain provisions of the </w:t>
      </w:r>
      <w:r w:rsidRPr="004534B1">
        <w:rPr>
          <w:i/>
          <w:sz w:val="20"/>
        </w:rPr>
        <w:t>2010 Act</w:t>
      </w:r>
      <w:r w:rsidRPr="004534B1">
        <w:rPr>
          <w:sz w:val="20"/>
        </w:rPr>
        <w:t xml:space="preserve"> declared unconstitutional.  The Attorney General of Canada submitted that the issues raised by the unions had already been decided by the Court in </w:t>
      </w:r>
      <w:r w:rsidRPr="004534B1">
        <w:rPr>
          <w:i/>
          <w:sz w:val="20"/>
        </w:rPr>
        <w:t>CSN v. Canada</w:t>
      </w:r>
      <w:r w:rsidRPr="004534B1">
        <w:rPr>
          <w:sz w:val="20"/>
        </w:rPr>
        <w:t xml:space="preserve"> and moved to dismiss the action under art. 165(4) </w:t>
      </w:r>
      <w:r w:rsidRPr="004534B1">
        <w:rPr>
          <w:i/>
          <w:sz w:val="20"/>
        </w:rPr>
        <w:t xml:space="preserve">C.C.P. </w:t>
      </w:r>
      <w:r w:rsidRPr="004534B1">
        <w:rPr>
          <w:sz w:val="20"/>
        </w:rPr>
        <w:t xml:space="preserve"> The motion to dismiss was granted by the Quebec Superior Court, but the Court of Appeal set aside that decision.  It found that the action was concerned with the effects of the act of eliminating the balance in the Employment Insurance Account and the resulting accounting entries, an issue that had not been disposed of in </w:t>
      </w:r>
      <w:r w:rsidRPr="004534B1">
        <w:rPr>
          <w:i/>
          <w:sz w:val="20"/>
        </w:rPr>
        <w:t>CSN v. Canada</w:t>
      </w:r>
      <w:r w:rsidRPr="004534B1">
        <w:rPr>
          <w:sz w:val="20"/>
        </w:rPr>
        <w:t>.</w:t>
      </w:r>
    </w:p>
    <w:p w:rsidR="00A56AC7" w:rsidRDefault="00A56AC7" w:rsidP="00A56AC7">
      <w:pPr>
        <w:pStyle w:val="SCCNormalDoubleSpacing"/>
        <w:spacing w:line="240" w:lineRule="auto"/>
        <w:rPr>
          <w:sz w:val="20"/>
        </w:rPr>
      </w:pPr>
    </w:p>
    <w:p w:rsidR="00A56AC7" w:rsidRPr="004534B1" w:rsidRDefault="00A56AC7" w:rsidP="00A56AC7">
      <w:pPr>
        <w:pStyle w:val="SCCNormalDoubleSpacing"/>
        <w:spacing w:line="240" w:lineRule="auto"/>
        <w:rPr>
          <w:sz w:val="20"/>
        </w:rPr>
      </w:pPr>
      <w:r w:rsidRPr="004534B1">
        <w:rPr>
          <w:sz w:val="20"/>
        </w:rPr>
        <w:tab/>
      </w:r>
      <w:r w:rsidRPr="004534B1">
        <w:rPr>
          <w:i/>
          <w:sz w:val="20"/>
        </w:rPr>
        <w:t>Held</w:t>
      </w:r>
      <w:r w:rsidRPr="004534B1">
        <w:rPr>
          <w:sz w:val="20"/>
        </w:rPr>
        <w:t>:  The appeal should be allowed.</w:t>
      </w:r>
    </w:p>
    <w:p w:rsidR="00A56AC7" w:rsidRDefault="00A56AC7" w:rsidP="00A56AC7">
      <w:pPr>
        <w:pStyle w:val="SCCNormalDoubleSpacing"/>
        <w:spacing w:line="240" w:lineRule="auto"/>
        <w:rPr>
          <w:sz w:val="20"/>
        </w:rPr>
      </w:pPr>
    </w:p>
    <w:p w:rsidR="00A56AC7" w:rsidRPr="004534B1" w:rsidRDefault="00A56AC7" w:rsidP="00A56AC7">
      <w:pPr>
        <w:pStyle w:val="SCCNormalDoubleSpacing"/>
        <w:spacing w:line="240" w:lineRule="auto"/>
        <w:rPr>
          <w:sz w:val="20"/>
        </w:rPr>
      </w:pPr>
      <w:r w:rsidRPr="004534B1">
        <w:rPr>
          <w:sz w:val="20"/>
        </w:rPr>
        <w:tab/>
        <w:t>Before granting a motion to dismiss on the basis that an authoritative decision has already resolved the issue before him or her, the judge must be satisfied in light of the record and the alleged facts that the precedent relied on by the applicant concerns the entire dispute that it should normally resolve, and that it provides a complete, certain and final solution to the dispute.</w:t>
      </w:r>
    </w:p>
    <w:p w:rsidR="00A56AC7" w:rsidRDefault="00A56AC7" w:rsidP="00A56AC7">
      <w:pPr>
        <w:pStyle w:val="SCCNormalDoubleSpacing"/>
        <w:spacing w:line="240" w:lineRule="auto"/>
        <w:rPr>
          <w:sz w:val="20"/>
        </w:rPr>
      </w:pPr>
    </w:p>
    <w:p w:rsidR="00A56AC7" w:rsidRDefault="00A56AC7" w:rsidP="00A56AC7">
      <w:pPr>
        <w:pStyle w:val="SCCNormalDoubleSpacing"/>
        <w:spacing w:line="240" w:lineRule="auto"/>
        <w:rPr>
          <w:sz w:val="20"/>
        </w:rPr>
      </w:pPr>
      <w:r w:rsidRPr="004534B1">
        <w:rPr>
          <w:sz w:val="20"/>
        </w:rPr>
        <w:lastRenderedPageBreak/>
        <w:tab/>
        <w:t xml:space="preserve">In this case, the unions’ action is bound to fail.  The action’s underlying premise is that a balance in the Employment Insurance Account is a debt owed by the Consolidated Revenue Fund to that account.  In the unions’ view, the premiums paid in the context of the employment insurance program are constitutionally valid only if they are properly accounted for.  However, </w:t>
      </w:r>
      <w:r w:rsidRPr="004534B1">
        <w:rPr>
          <w:i/>
          <w:sz w:val="20"/>
        </w:rPr>
        <w:t>CSN v. Canada</w:t>
      </w:r>
      <w:r w:rsidRPr="004534B1">
        <w:rPr>
          <w:sz w:val="20"/>
        </w:rPr>
        <w:t xml:space="preserve"> settled the law in this regard, and it deprives the motion to institute proceedings of any legal basis.  In that case, the Court held that the amounts collected as contributions to the employment insurance program form part of the government’s revenues and can be used for purposes other than paying benefits.  Although the connection between the program and the premiums is a factor that can be considered in determining the nature of the levies, it is wrong to say that the validity of these levies depends on the existence of that connection.  Furthermore, no debt of the Consolidated Revenue Fund to the Employment Insurance Account ever existed, since the government cannot be indebted to itself.  Because the action has no reasonable chance of success, art. 165(4) </w:t>
      </w:r>
      <w:r w:rsidRPr="004534B1">
        <w:rPr>
          <w:i/>
          <w:sz w:val="20"/>
        </w:rPr>
        <w:t>C.C.P. </w:t>
      </w:r>
      <w:r w:rsidRPr="004534B1">
        <w:rPr>
          <w:sz w:val="20"/>
        </w:rPr>
        <w:t>applied and it was appropriate to dismiss the action at this preliminary stage.</w:t>
      </w:r>
    </w:p>
    <w:p w:rsidR="00A56AC7" w:rsidRDefault="00A56AC7" w:rsidP="00A56AC7">
      <w:pPr>
        <w:pStyle w:val="SCCNormalDoubleSpacing"/>
        <w:spacing w:line="240" w:lineRule="auto"/>
        <w:rPr>
          <w:sz w:val="20"/>
        </w:rPr>
      </w:pPr>
    </w:p>
    <w:p w:rsidR="00A56AC7" w:rsidRPr="004534B1" w:rsidRDefault="00A56AC7" w:rsidP="00A56AC7">
      <w:pPr>
        <w:pStyle w:val="SCCNormalDoubleSpacing"/>
        <w:spacing w:line="240" w:lineRule="auto"/>
        <w:rPr>
          <w:sz w:val="20"/>
          <w:lang w:val="fr-CA"/>
        </w:rPr>
      </w:pPr>
      <w:r w:rsidRPr="004534B1">
        <w:rPr>
          <w:sz w:val="20"/>
          <w:lang w:val="en-US"/>
        </w:rPr>
        <w:tab/>
      </w:r>
      <w:r w:rsidRPr="004534B1">
        <w:rPr>
          <w:sz w:val="20"/>
        </w:rPr>
        <w:t>APPEAL from a judgment of the Quebec Court of Appeal (Morissette, Fournier and St</w:t>
      </w:r>
      <w:r w:rsidRPr="004534B1">
        <w:rPr>
          <w:sz w:val="20"/>
        </w:rPr>
        <w:noBreakHyphen/>
        <w:t>Pierre JJ.A.), 2012 QCCA 1822, [2012] AZ</w:t>
      </w:r>
      <w:r w:rsidRPr="004534B1">
        <w:rPr>
          <w:sz w:val="20"/>
        </w:rPr>
        <w:noBreakHyphen/>
        <w:t>50901334, [2012] J.Q. n</w:t>
      </w:r>
      <w:r w:rsidRPr="004534B1">
        <w:rPr>
          <w:sz w:val="20"/>
          <w:vertAlign w:val="superscript"/>
        </w:rPr>
        <w:t>o</w:t>
      </w:r>
      <w:r w:rsidRPr="004534B1">
        <w:rPr>
          <w:sz w:val="20"/>
        </w:rPr>
        <w:t> 9717 (QL), 2012 CarswellQue 10069, setting aside a decision of Perrault J., 2012 QCCS 128, [2012] AZ</w:t>
      </w:r>
      <w:r w:rsidRPr="004534B1">
        <w:rPr>
          <w:sz w:val="20"/>
        </w:rPr>
        <w:noBreakHyphen/>
        <w:t>50823420, [2012] J.Q. n</w:t>
      </w:r>
      <w:r w:rsidRPr="004534B1">
        <w:rPr>
          <w:sz w:val="20"/>
          <w:vertAlign w:val="superscript"/>
        </w:rPr>
        <w:t>o</w:t>
      </w:r>
      <w:r w:rsidRPr="004534B1">
        <w:rPr>
          <w:sz w:val="20"/>
        </w:rPr>
        <w:t xml:space="preserve"> 341 (QL), 2012 CarswellQue 261.  </w:t>
      </w:r>
      <w:r w:rsidRPr="004534B1">
        <w:rPr>
          <w:sz w:val="20"/>
          <w:lang w:val="fr-CA"/>
        </w:rPr>
        <w:t>Appeal allowed.</w:t>
      </w:r>
    </w:p>
    <w:p w:rsidR="00A56AC7" w:rsidRDefault="00A56AC7" w:rsidP="00A56AC7">
      <w:pPr>
        <w:pStyle w:val="SCCNormalDoubleSpacing"/>
        <w:spacing w:line="240" w:lineRule="auto"/>
        <w:rPr>
          <w:rStyle w:val="SCCCounselNameChar"/>
          <w:sz w:val="20"/>
          <w:lang w:val="fr-CA"/>
        </w:rPr>
      </w:pPr>
    </w:p>
    <w:p w:rsidR="00A56AC7" w:rsidRPr="004534B1" w:rsidRDefault="00A56AC7" w:rsidP="00A56AC7">
      <w:pPr>
        <w:pStyle w:val="SCCNormalDoubleSpacing"/>
        <w:spacing w:line="240" w:lineRule="auto"/>
        <w:rPr>
          <w:sz w:val="20"/>
          <w:lang w:val="fr-CA"/>
        </w:rPr>
      </w:pPr>
      <w:r w:rsidRPr="004534B1">
        <w:rPr>
          <w:rStyle w:val="SCCCounselNameChar"/>
          <w:sz w:val="20"/>
          <w:lang w:val="fr-CA"/>
        </w:rPr>
        <w:tab/>
        <w:t>René LeBlanc</w:t>
      </w:r>
      <w:r w:rsidRPr="004534B1">
        <w:rPr>
          <w:rStyle w:val="SCCCounselSeparatorChar"/>
          <w:sz w:val="20"/>
        </w:rPr>
        <w:t xml:space="preserve"> and </w:t>
      </w:r>
      <w:r w:rsidRPr="004534B1">
        <w:rPr>
          <w:rStyle w:val="SCCCounselNameChar"/>
          <w:sz w:val="20"/>
          <w:lang w:val="fr-CA"/>
        </w:rPr>
        <w:t>Pierre Salois</w:t>
      </w:r>
      <w:r w:rsidRPr="004534B1">
        <w:rPr>
          <w:rStyle w:val="SCCCounselPartyRoleChar"/>
          <w:sz w:val="20"/>
          <w:lang w:val="fr-CA"/>
        </w:rPr>
        <w:t>, for the appellant.</w:t>
      </w:r>
    </w:p>
    <w:p w:rsidR="00A56AC7" w:rsidRDefault="00A56AC7" w:rsidP="00A56AC7">
      <w:pPr>
        <w:pStyle w:val="SCCNormalDoubleSpacing"/>
        <w:spacing w:line="240" w:lineRule="auto"/>
        <w:rPr>
          <w:rStyle w:val="SCCCounselNameChar"/>
          <w:sz w:val="20"/>
          <w:lang w:val="fr-CA"/>
        </w:rPr>
      </w:pPr>
    </w:p>
    <w:p w:rsidR="00A56AC7" w:rsidRPr="004534B1" w:rsidRDefault="00A56AC7" w:rsidP="00A56AC7">
      <w:pPr>
        <w:pStyle w:val="SCCNormalDoubleSpacing"/>
        <w:spacing w:line="240" w:lineRule="auto"/>
        <w:rPr>
          <w:sz w:val="20"/>
          <w:lang w:val="fr-CA"/>
        </w:rPr>
      </w:pPr>
      <w:r w:rsidRPr="004534B1">
        <w:rPr>
          <w:rStyle w:val="SCCCounselNameChar"/>
          <w:sz w:val="20"/>
          <w:lang w:val="fr-CA"/>
        </w:rPr>
        <w:tab/>
        <w:t>Guy Martin</w:t>
      </w:r>
      <w:r w:rsidRPr="004534B1">
        <w:rPr>
          <w:rStyle w:val="SCCCounselPartyRoleChar"/>
          <w:sz w:val="20"/>
          <w:lang w:val="fr-CA"/>
        </w:rPr>
        <w:t xml:space="preserve">, for the respondent </w:t>
      </w:r>
      <w:r w:rsidRPr="004534B1">
        <w:rPr>
          <w:sz w:val="20"/>
          <w:lang w:val="fr-CA"/>
        </w:rPr>
        <w:t>Confédération des syndicats nationaux</w:t>
      </w:r>
      <w:r w:rsidRPr="004534B1">
        <w:rPr>
          <w:rStyle w:val="SCCCounselPartyRoleChar"/>
          <w:sz w:val="20"/>
          <w:lang w:val="fr-CA"/>
        </w:rPr>
        <w:t>.</w:t>
      </w:r>
    </w:p>
    <w:p w:rsidR="00A56AC7" w:rsidRDefault="00A56AC7" w:rsidP="00A56AC7">
      <w:pPr>
        <w:pStyle w:val="SCCNormalDoubleSpacing"/>
        <w:spacing w:line="240" w:lineRule="auto"/>
        <w:rPr>
          <w:rStyle w:val="SCCCounselNameChar"/>
          <w:sz w:val="20"/>
          <w:lang w:val="fr-CA"/>
        </w:rPr>
      </w:pPr>
    </w:p>
    <w:p w:rsidR="00A56AC7" w:rsidRPr="004534B1" w:rsidRDefault="00A56AC7" w:rsidP="00A56AC7">
      <w:pPr>
        <w:pStyle w:val="SCCNormalDoubleSpacing"/>
        <w:spacing w:line="240" w:lineRule="auto"/>
        <w:rPr>
          <w:sz w:val="20"/>
          <w:lang w:val="fr-CA"/>
        </w:rPr>
      </w:pPr>
      <w:r w:rsidRPr="004534B1">
        <w:rPr>
          <w:rStyle w:val="SCCCounselNameChar"/>
          <w:sz w:val="20"/>
          <w:lang w:val="fr-CA"/>
        </w:rPr>
        <w:tab/>
        <w:t>Jean Guy Ouellet</w:t>
      </w:r>
      <w:r w:rsidRPr="004534B1">
        <w:rPr>
          <w:rStyle w:val="SCCCounselPartyRoleChar"/>
          <w:sz w:val="20"/>
          <w:lang w:val="fr-CA"/>
        </w:rPr>
        <w:t xml:space="preserve">, for the respondent </w:t>
      </w:r>
      <w:r w:rsidRPr="004534B1">
        <w:rPr>
          <w:sz w:val="20"/>
          <w:lang w:val="fr-CA"/>
        </w:rPr>
        <w:t>Fédération des travailleurs et travailleuses du Québec</w:t>
      </w:r>
      <w:r w:rsidRPr="004534B1">
        <w:rPr>
          <w:rStyle w:val="SCCCounselPartyRoleChar"/>
          <w:sz w:val="20"/>
          <w:lang w:val="fr-CA"/>
        </w:rPr>
        <w:t>.</w:t>
      </w:r>
    </w:p>
    <w:p w:rsidR="00A56AC7" w:rsidRDefault="00A56AC7" w:rsidP="00A56AC7">
      <w:pPr>
        <w:pStyle w:val="SCCLawFirm"/>
        <w:spacing w:line="240" w:lineRule="auto"/>
        <w:rPr>
          <w:sz w:val="20"/>
          <w:lang w:val="fr-CA"/>
        </w:rPr>
      </w:pPr>
    </w:p>
    <w:p w:rsidR="00A56AC7" w:rsidRPr="004534B1" w:rsidRDefault="00A56AC7" w:rsidP="00A56AC7">
      <w:pPr>
        <w:pStyle w:val="SCCLawFirm"/>
        <w:spacing w:line="240" w:lineRule="auto"/>
        <w:rPr>
          <w:sz w:val="20"/>
        </w:rPr>
      </w:pPr>
      <w:r w:rsidRPr="004534B1">
        <w:rPr>
          <w:sz w:val="20"/>
          <w:lang w:val="fr-CA"/>
        </w:rPr>
        <w:tab/>
      </w:r>
      <w:r w:rsidRPr="004534B1">
        <w:rPr>
          <w:sz w:val="20"/>
        </w:rPr>
        <w:t>Solicitor for the appellant:  Attorney General of Canada, Ottawa and Montréal.</w:t>
      </w:r>
    </w:p>
    <w:p w:rsidR="00A56AC7" w:rsidRDefault="00A56AC7" w:rsidP="00A56AC7">
      <w:pPr>
        <w:pStyle w:val="SCCLawFirm"/>
        <w:spacing w:line="240" w:lineRule="auto"/>
        <w:rPr>
          <w:sz w:val="20"/>
        </w:rPr>
      </w:pPr>
    </w:p>
    <w:p w:rsidR="00A56AC7" w:rsidRPr="004534B1" w:rsidRDefault="00A56AC7" w:rsidP="00A56AC7">
      <w:pPr>
        <w:pStyle w:val="SCCLawFirm"/>
        <w:spacing w:line="240" w:lineRule="auto"/>
        <w:rPr>
          <w:sz w:val="20"/>
          <w:lang w:val="fr-CA"/>
        </w:rPr>
      </w:pPr>
      <w:r w:rsidRPr="004534B1">
        <w:rPr>
          <w:sz w:val="20"/>
        </w:rPr>
        <w:tab/>
      </w:r>
      <w:r w:rsidRPr="004534B1">
        <w:rPr>
          <w:sz w:val="20"/>
          <w:lang w:val="fr-CA"/>
        </w:rPr>
        <w:t>Solicitors for the respondent Confédération des syndicats nationaux:  Roy Évangéliste avocats, Montréal.</w:t>
      </w:r>
    </w:p>
    <w:p w:rsidR="00A56AC7" w:rsidRDefault="00A56AC7" w:rsidP="00A56AC7">
      <w:pPr>
        <w:pStyle w:val="SCCLawFirm"/>
        <w:spacing w:line="240" w:lineRule="auto"/>
        <w:rPr>
          <w:sz w:val="20"/>
          <w:lang w:val="fr-CA"/>
        </w:rPr>
      </w:pPr>
    </w:p>
    <w:p w:rsidR="00A56AC7" w:rsidRDefault="00A56AC7" w:rsidP="00A56AC7">
      <w:pPr>
        <w:pStyle w:val="SCCLawFirm"/>
        <w:spacing w:line="240" w:lineRule="auto"/>
        <w:rPr>
          <w:sz w:val="20"/>
          <w:lang w:val="fr-CA"/>
        </w:rPr>
      </w:pPr>
      <w:r w:rsidRPr="004534B1">
        <w:rPr>
          <w:sz w:val="20"/>
          <w:lang w:val="fr-CA"/>
        </w:rPr>
        <w:tab/>
        <w:t>Solicitors for the respondent Fédération des travailleurs et travailleuses du Québec:  Ouellet, Nadon &amp; Associés, Montréal.</w:t>
      </w:r>
    </w:p>
    <w:p w:rsidR="003B3977" w:rsidRPr="00A56AC7" w:rsidRDefault="003B3977" w:rsidP="005C6840">
      <w:pPr>
        <w:rPr>
          <w:rFonts w:cs="Times New Roman"/>
          <w:sz w:val="20"/>
          <w:szCs w:val="20"/>
          <w:lang w:val="fr-CA"/>
        </w:rPr>
      </w:pPr>
    </w:p>
    <w:p w:rsidR="005C6840" w:rsidRDefault="00944C2E" w:rsidP="005C6840">
      <w:pPr>
        <w:rPr>
          <w:lang w:val="fr-CA"/>
        </w:rPr>
      </w:pPr>
      <w:r>
        <w:rPr>
          <w:rFonts w:cs="Times New Roman"/>
          <w:sz w:val="20"/>
          <w:szCs w:val="20"/>
          <w:lang w:val="fr-CA"/>
        </w:rPr>
        <w:pict>
          <v:rect id="_x0000_i1076" style="width:144.3pt;height:1pt" o:hrpct="300" o:hralign="center" o:hrstd="t" o:hrnoshade="t" o:hr="t" fillcolor="black [3213]" stroked="f"/>
        </w:pict>
      </w:r>
      <w:r w:rsidR="005C6840">
        <w:rPr>
          <w:lang w:val="fr-CA"/>
        </w:rPr>
        <w:br w:type="page"/>
      </w:r>
    </w:p>
    <w:p w:rsidR="00942EF1" w:rsidRPr="000C6C82" w:rsidRDefault="00942EF1" w:rsidP="00942EF1">
      <w:pPr>
        <w:jc w:val="both"/>
        <w:rPr>
          <w:sz w:val="20"/>
          <w:szCs w:val="20"/>
        </w:rPr>
      </w:pPr>
      <w:r w:rsidRPr="000C6C82">
        <w:rPr>
          <w:i/>
          <w:sz w:val="20"/>
          <w:szCs w:val="20"/>
        </w:rPr>
        <w:lastRenderedPageBreak/>
        <w:t>Her Majesty the Queen v. Jamie Kenneth Taylor</w:t>
      </w:r>
      <w:r w:rsidRPr="000C6C82">
        <w:rPr>
          <w:sz w:val="20"/>
          <w:szCs w:val="20"/>
        </w:rPr>
        <w:t xml:space="preserve"> (Alta)</w:t>
      </w:r>
      <w:r w:rsidRPr="000C6C82">
        <w:rPr>
          <w:bCs/>
          <w:color w:val="000000"/>
          <w:sz w:val="20"/>
          <w:szCs w:val="20"/>
        </w:rPr>
        <w:t xml:space="preserve"> (</w:t>
      </w:r>
      <w:hyperlink r:id="rId65" w:history="1">
        <w:r w:rsidRPr="000C6C82">
          <w:rPr>
            <w:rStyle w:val="Hyperlink"/>
            <w:bCs/>
            <w:sz w:val="20"/>
            <w:szCs w:val="20"/>
          </w:rPr>
          <w:t>35609</w:t>
        </w:r>
      </w:hyperlink>
      <w:r w:rsidRPr="000C6C82">
        <w:rPr>
          <w:bCs/>
          <w:color w:val="000000"/>
          <w:sz w:val="20"/>
          <w:szCs w:val="20"/>
        </w:rPr>
        <w:t>)</w:t>
      </w:r>
    </w:p>
    <w:p w:rsidR="00822B8B" w:rsidRPr="00822B8B" w:rsidRDefault="00822B8B" w:rsidP="00822B8B">
      <w:pPr>
        <w:jc w:val="both"/>
        <w:rPr>
          <w:b/>
          <w:sz w:val="20"/>
          <w:szCs w:val="20"/>
        </w:rPr>
      </w:pPr>
      <w:r w:rsidRPr="00635D7E">
        <w:rPr>
          <w:b/>
          <w:sz w:val="20"/>
          <w:szCs w:val="20"/>
        </w:rPr>
        <w:t xml:space="preserve">Indexed as:  R. </w:t>
      </w:r>
      <w:r w:rsidRPr="00635D7E">
        <w:rPr>
          <w:b/>
          <w:i/>
          <w:sz w:val="20"/>
          <w:szCs w:val="20"/>
        </w:rPr>
        <w:t>v.</w:t>
      </w:r>
      <w:r w:rsidRPr="00635D7E">
        <w:rPr>
          <w:b/>
          <w:sz w:val="20"/>
          <w:szCs w:val="20"/>
        </w:rPr>
        <w:t xml:space="preserve"> Taylor</w:t>
      </w:r>
      <w:r>
        <w:rPr>
          <w:b/>
          <w:sz w:val="20"/>
          <w:szCs w:val="20"/>
        </w:rPr>
        <w:t xml:space="preserve"> / </w:t>
      </w:r>
      <w:r w:rsidRPr="00822B8B">
        <w:rPr>
          <w:b/>
          <w:sz w:val="20"/>
          <w:szCs w:val="20"/>
        </w:rPr>
        <w:t xml:space="preserve">Répertorié : R. </w:t>
      </w:r>
      <w:r w:rsidRPr="00822B8B">
        <w:rPr>
          <w:b/>
          <w:i/>
          <w:sz w:val="20"/>
          <w:szCs w:val="20"/>
        </w:rPr>
        <w:t>c.</w:t>
      </w:r>
      <w:r w:rsidRPr="00822B8B">
        <w:rPr>
          <w:b/>
          <w:sz w:val="20"/>
          <w:szCs w:val="20"/>
        </w:rPr>
        <w:t xml:space="preserve"> Taylor</w:t>
      </w:r>
    </w:p>
    <w:p w:rsidR="0052229C" w:rsidRPr="00352A49" w:rsidRDefault="0052229C" w:rsidP="0052229C">
      <w:pPr>
        <w:pStyle w:val="SCCSystemYear"/>
        <w:jc w:val="both"/>
        <w:rPr>
          <w:sz w:val="20"/>
        </w:rPr>
      </w:pPr>
      <w:r w:rsidRPr="00352A49">
        <w:rPr>
          <w:sz w:val="20"/>
        </w:rPr>
        <w:t>Neutral citation:  201</w:t>
      </w:r>
      <w:r>
        <w:rPr>
          <w:sz w:val="20"/>
        </w:rPr>
        <w:t>4</w:t>
      </w:r>
      <w:r w:rsidRPr="00352A49">
        <w:rPr>
          <w:sz w:val="20"/>
        </w:rPr>
        <w:t xml:space="preserve"> SCC </w:t>
      </w:r>
      <w:r w:rsidR="00942EF1">
        <w:rPr>
          <w:sz w:val="20"/>
        </w:rPr>
        <w:t>50</w:t>
      </w:r>
      <w:r w:rsidRPr="00352A49">
        <w:rPr>
          <w:sz w:val="20"/>
        </w:rPr>
        <w:t xml:space="preserve"> / Référence neutre : 201</w:t>
      </w:r>
      <w:r>
        <w:rPr>
          <w:sz w:val="20"/>
        </w:rPr>
        <w:t>4</w:t>
      </w:r>
      <w:r w:rsidRPr="00352A49">
        <w:rPr>
          <w:sz w:val="20"/>
        </w:rPr>
        <w:t xml:space="preserve"> CSC </w:t>
      </w:r>
      <w:r w:rsidR="00942EF1">
        <w:rPr>
          <w:sz w:val="20"/>
        </w:rPr>
        <w:t>50</w:t>
      </w:r>
    </w:p>
    <w:p w:rsidR="0061713C" w:rsidRPr="0061713C" w:rsidRDefault="0061713C" w:rsidP="0061713C">
      <w:pPr>
        <w:rPr>
          <w:rFonts w:cs="Times New Roman"/>
          <w:sz w:val="20"/>
          <w:szCs w:val="20"/>
          <w:lang w:val="fr-CA"/>
        </w:rPr>
      </w:pPr>
      <w:r w:rsidRPr="0061713C">
        <w:rPr>
          <w:rFonts w:cs="Times New Roman"/>
          <w:sz w:val="20"/>
          <w:szCs w:val="20"/>
          <w:lang w:val="fr-CA"/>
        </w:rPr>
        <w:t>Hearing:  April 2</w:t>
      </w:r>
      <w:r w:rsidR="00822B8B">
        <w:rPr>
          <w:rFonts w:cs="Times New Roman"/>
          <w:sz w:val="20"/>
          <w:szCs w:val="20"/>
          <w:lang w:val="fr-CA"/>
        </w:rPr>
        <w:t>3</w:t>
      </w:r>
      <w:r w:rsidRPr="0061713C">
        <w:rPr>
          <w:rFonts w:cs="Times New Roman"/>
          <w:sz w:val="20"/>
          <w:szCs w:val="20"/>
          <w:lang w:val="fr-CA"/>
        </w:rPr>
        <w:t>, 201</w:t>
      </w:r>
      <w:r w:rsidR="00822B8B">
        <w:rPr>
          <w:rFonts w:cs="Times New Roman"/>
          <w:sz w:val="20"/>
          <w:szCs w:val="20"/>
          <w:lang w:val="fr-CA"/>
        </w:rPr>
        <w:t>4</w:t>
      </w:r>
      <w:r w:rsidRPr="0061713C">
        <w:rPr>
          <w:rFonts w:cs="Times New Roman"/>
          <w:sz w:val="20"/>
          <w:szCs w:val="20"/>
          <w:lang w:val="fr-CA"/>
        </w:rPr>
        <w:t xml:space="preserve"> / Judgment:  July 1</w:t>
      </w:r>
      <w:r>
        <w:rPr>
          <w:rFonts w:cs="Times New Roman"/>
          <w:sz w:val="20"/>
          <w:szCs w:val="20"/>
          <w:lang w:val="fr-CA"/>
        </w:rPr>
        <w:t>8</w:t>
      </w:r>
      <w:r w:rsidRPr="0061713C">
        <w:rPr>
          <w:rFonts w:cs="Times New Roman"/>
          <w:sz w:val="20"/>
          <w:szCs w:val="20"/>
          <w:lang w:val="fr-CA"/>
        </w:rPr>
        <w:t>, 2014</w:t>
      </w:r>
    </w:p>
    <w:p w:rsidR="0052229C" w:rsidRPr="003B3977" w:rsidRDefault="0061713C" w:rsidP="0061713C">
      <w:pPr>
        <w:rPr>
          <w:sz w:val="20"/>
          <w:szCs w:val="20"/>
          <w:lang w:val="fr-CA"/>
        </w:rPr>
      </w:pPr>
      <w:r w:rsidRPr="003B3977">
        <w:rPr>
          <w:rFonts w:cs="Times New Roman"/>
          <w:sz w:val="20"/>
          <w:szCs w:val="20"/>
          <w:lang w:val="fr-CA"/>
        </w:rPr>
        <w:t xml:space="preserve">Audition : Le </w:t>
      </w:r>
      <w:r>
        <w:rPr>
          <w:rFonts w:cs="Times New Roman"/>
          <w:sz w:val="20"/>
          <w:szCs w:val="20"/>
          <w:lang w:val="fr-CA"/>
        </w:rPr>
        <w:t>2</w:t>
      </w:r>
      <w:r w:rsidR="00822B8B">
        <w:rPr>
          <w:rFonts w:cs="Times New Roman"/>
          <w:sz w:val="20"/>
          <w:szCs w:val="20"/>
          <w:lang w:val="fr-CA"/>
        </w:rPr>
        <w:t>3</w:t>
      </w:r>
      <w:r w:rsidRPr="003B3977">
        <w:rPr>
          <w:rFonts w:cs="Times New Roman"/>
          <w:sz w:val="20"/>
          <w:szCs w:val="20"/>
          <w:lang w:val="fr-CA"/>
        </w:rPr>
        <w:t xml:space="preserve"> </w:t>
      </w:r>
      <w:r>
        <w:rPr>
          <w:rFonts w:cs="Times New Roman"/>
          <w:sz w:val="20"/>
          <w:szCs w:val="20"/>
          <w:lang w:val="fr-CA"/>
        </w:rPr>
        <w:t>av</w:t>
      </w:r>
      <w:r w:rsidRPr="003B3977">
        <w:rPr>
          <w:rFonts w:cs="Times New Roman"/>
          <w:sz w:val="20"/>
          <w:szCs w:val="20"/>
          <w:lang w:val="fr-CA"/>
        </w:rPr>
        <w:t>r</w:t>
      </w:r>
      <w:r>
        <w:rPr>
          <w:rFonts w:cs="Times New Roman"/>
          <w:sz w:val="20"/>
          <w:szCs w:val="20"/>
          <w:lang w:val="fr-CA"/>
        </w:rPr>
        <w:t>il</w:t>
      </w:r>
      <w:r w:rsidRPr="003B3977">
        <w:rPr>
          <w:rFonts w:cs="Times New Roman"/>
          <w:sz w:val="20"/>
          <w:szCs w:val="20"/>
          <w:lang w:val="fr-CA"/>
        </w:rPr>
        <w:t xml:space="preserve"> 201</w:t>
      </w:r>
      <w:r w:rsidR="00822B8B">
        <w:rPr>
          <w:rFonts w:cs="Times New Roman"/>
          <w:sz w:val="20"/>
          <w:szCs w:val="20"/>
          <w:lang w:val="fr-CA"/>
        </w:rPr>
        <w:t>4</w:t>
      </w:r>
      <w:r w:rsidRPr="003B3977">
        <w:rPr>
          <w:rFonts w:cs="Times New Roman"/>
          <w:sz w:val="20"/>
          <w:szCs w:val="20"/>
          <w:lang w:val="fr-CA"/>
        </w:rPr>
        <w:t xml:space="preserve"> / Jugement : Le </w:t>
      </w:r>
      <w:r>
        <w:rPr>
          <w:rFonts w:cs="Times New Roman"/>
          <w:sz w:val="20"/>
          <w:szCs w:val="20"/>
          <w:lang w:val="fr-CA"/>
        </w:rPr>
        <w:t>18 juill</w:t>
      </w:r>
      <w:r w:rsidRPr="003B3977">
        <w:rPr>
          <w:rFonts w:cs="Times New Roman"/>
          <w:sz w:val="20"/>
          <w:szCs w:val="20"/>
          <w:lang w:val="fr-CA"/>
        </w:rPr>
        <w:t>e</w:t>
      </w:r>
      <w:r>
        <w:rPr>
          <w:rFonts w:cs="Times New Roman"/>
          <w:sz w:val="20"/>
          <w:szCs w:val="20"/>
          <w:lang w:val="fr-CA"/>
        </w:rPr>
        <w:t>t</w:t>
      </w:r>
      <w:r w:rsidRPr="003B3977">
        <w:rPr>
          <w:rFonts w:cs="Times New Roman"/>
          <w:sz w:val="20"/>
          <w:szCs w:val="20"/>
          <w:lang w:val="fr-CA"/>
        </w:rPr>
        <w:t xml:space="preserve"> 201</w:t>
      </w:r>
      <w:r>
        <w:rPr>
          <w:rFonts w:cs="Times New Roman"/>
          <w:sz w:val="20"/>
          <w:szCs w:val="20"/>
          <w:lang w:val="fr-CA"/>
        </w:rPr>
        <w:t>4</w:t>
      </w:r>
    </w:p>
    <w:p w:rsidR="005C6840" w:rsidRPr="003B3977" w:rsidRDefault="00944C2E" w:rsidP="005C6840">
      <w:pPr>
        <w:rPr>
          <w:sz w:val="20"/>
          <w:szCs w:val="20"/>
          <w:lang w:val="fr-CA"/>
        </w:rPr>
      </w:pPr>
      <w:r>
        <w:rPr>
          <w:i/>
          <w:sz w:val="20"/>
          <w:szCs w:val="20"/>
        </w:rPr>
        <w:pict>
          <v:rect id="_x0000_i1077"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822B8B" w:rsidRPr="00635D7E" w:rsidRDefault="00822B8B" w:rsidP="00822B8B">
      <w:pPr>
        <w:jc w:val="both"/>
        <w:rPr>
          <w:sz w:val="20"/>
          <w:szCs w:val="20"/>
        </w:rPr>
      </w:pPr>
      <w:r w:rsidRPr="00635D7E">
        <w:rPr>
          <w:sz w:val="20"/>
          <w:szCs w:val="20"/>
        </w:rPr>
        <w:t>Present:  Abella, Rothstein, Moldaver, Karakatsanis and Wagner JJ.</w:t>
      </w:r>
    </w:p>
    <w:p w:rsidR="00822B8B" w:rsidRDefault="00822B8B" w:rsidP="00822B8B">
      <w:pPr>
        <w:pStyle w:val="SCCLowerCourtNameLowercase"/>
        <w:spacing w:line="240" w:lineRule="auto"/>
        <w:rPr>
          <w:sz w:val="20"/>
        </w:rPr>
      </w:pPr>
    </w:p>
    <w:p w:rsidR="00822B8B" w:rsidRPr="00635D7E" w:rsidRDefault="00822B8B" w:rsidP="00822B8B">
      <w:pPr>
        <w:pStyle w:val="SCCNormalDoubleSpacing"/>
        <w:spacing w:line="240" w:lineRule="auto"/>
        <w:rPr>
          <w:i/>
          <w:sz w:val="20"/>
          <w:lang w:val="en-US"/>
        </w:rPr>
      </w:pPr>
      <w:r w:rsidRPr="00635D7E">
        <w:rPr>
          <w:sz w:val="20"/>
        </w:rPr>
        <w:tab/>
      </w:r>
      <w:r w:rsidRPr="00635D7E">
        <w:rPr>
          <w:i/>
          <w:sz w:val="20"/>
          <w:lang w:val="en-US"/>
        </w:rPr>
        <w:t>Constitutional law — Charter of Rights — Right to counsel — Accused informed by police of his right to counsel — Accused informing police that he wished to speak to counsel — Police failing to facilitate contact with counsel at scene of accident and hospital — Blood drawn from accused at hospital without accused being able to consult counsel and used as basis for conviction — Whether police’s failure to implement or facilitate access to counsel was in breach of accused’s right to retain and instruct counsel without delay — If so, whether evidence should be excluded — Canadian Charter of Rights and Freedoms, ss. 10(b) and 24(2).</w:t>
      </w:r>
    </w:p>
    <w:p w:rsidR="00822B8B" w:rsidRDefault="00822B8B" w:rsidP="00822B8B">
      <w:pPr>
        <w:pStyle w:val="SCCNormalDoubleSpacing"/>
        <w:spacing w:line="240" w:lineRule="auto"/>
        <w:rPr>
          <w:sz w:val="20"/>
          <w:lang w:val="en-US"/>
        </w:rPr>
      </w:pPr>
    </w:p>
    <w:p w:rsidR="00822B8B" w:rsidRPr="00635D7E" w:rsidRDefault="00822B8B" w:rsidP="00822B8B">
      <w:pPr>
        <w:pStyle w:val="SCCNormalDoubleSpacing"/>
        <w:spacing w:line="240" w:lineRule="auto"/>
        <w:rPr>
          <w:sz w:val="20"/>
          <w:lang w:val="en-US"/>
        </w:rPr>
      </w:pPr>
      <w:r w:rsidRPr="00635D7E">
        <w:rPr>
          <w:sz w:val="20"/>
          <w:lang w:val="en-US"/>
        </w:rPr>
        <w:tab/>
        <w:t xml:space="preserve">The accused was arrested for impaired driving causing bodily harm when he lost control of his vehicle injuring three of his passengers. At the time of his arrest, he was informed of his </w:t>
      </w:r>
      <w:r w:rsidRPr="00635D7E">
        <w:rPr>
          <w:i/>
          <w:sz w:val="20"/>
          <w:lang w:val="en-US"/>
        </w:rPr>
        <w:t>Charter</w:t>
      </w:r>
      <w:r w:rsidRPr="00635D7E">
        <w:rPr>
          <w:sz w:val="20"/>
          <w:lang w:val="en-US"/>
        </w:rPr>
        <w:t xml:space="preserve"> rights, including his right to counsel, and was asked whether he wanted to call a lawyer. The accused responded that he wanted to speak both to his father and to his lawyer. At no time was the accused given access to a phone while at the scene of the accident. As a precaution and in accordance with normal practice, the accused was taken by ambulance to the hospital for examination. At the hospital, a nurse took five vials of blood from the accused. The police later demanded and obtained a second set of samples of the accused’s blood for investigative purposes. At no point during the accused’s time in hospital did the police attempt to provide him with an opportunity to speak to his lawyer or determine whether such an opportunity was even logistically or medically feasible. The police successfully applied for a warrant to seize the first vials of blood the hospital took from the accused. The trial judge agreed with the Crown that the second set of blood samples were taken in violation of the accused’s s. 10(</w:t>
      </w:r>
      <w:r w:rsidRPr="00635D7E">
        <w:rPr>
          <w:i/>
          <w:sz w:val="20"/>
          <w:lang w:val="en-US"/>
        </w:rPr>
        <w:t>b</w:t>
      </w:r>
      <w:r w:rsidRPr="00635D7E">
        <w:rPr>
          <w:sz w:val="20"/>
          <w:lang w:val="en-US"/>
        </w:rPr>
        <w:t>) rights, but found that there was no breach of the accused’s s. 10(</w:t>
      </w:r>
      <w:r w:rsidRPr="00635D7E">
        <w:rPr>
          <w:i/>
          <w:sz w:val="20"/>
          <w:lang w:val="en-US"/>
        </w:rPr>
        <w:t>b</w:t>
      </w:r>
      <w:r w:rsidRPr="00635D7E">
        <w:rPr>
          <w:sz w:val="20"/>
          <w:lang w:val="en-US"/>
        </w:rPr>
        <w:t>) rights prior to the first samples being taken. This was based on the trial judge’s assumption that where an accused is awaiting or receiving medical treatment, there is no reasonable opportunity to provide private access to the accused to a telephone to implement his right to instruct counsel. The first set of blood samples were admitted at trial. On the basis of this evidence, the accused was convicted of three counts of impaired driving causing bodily harm. A majority in the Court of Appeal allowed the appeal, finding that the trial judge erred when he concluded that there was no reasonable opportunity to facilitate access to a lawyer prior to the taking of these blood samples. The evidence was excluded, the conviction set aside, and an acquittal entered.</w:t>
      </w:r>
    </w:p>
    <w:p w:rsidR="00822B8B" w:rsidRDefault="00822B8B" w:rsidP="00822B8B">
      <w:pPr>
        <w:pStyle w:val="SCCNormalDoubleSpacing"/>
        <w:spacing w:line="240" w:lineRule="auto"/>
        <w:rPr>
          <w:i/>
          <w:sz w:val="20"/>
          <w:lang w:val="en-US"/>
        </w:rPr>
      </w:pPr>
    </w:p>
    <w:p w:rsidR="00822B8B" w:rsidRPr="00635D7E" w:rsidRDefault="00822B8B" w:rsidP="00822B8B">
      <w:pPr>
        <w:pStyle w:val="SCCNormalDoubleSpacing"/>
        <w:spacing w:line="240" w:lineRule="auto"/>
        <w:rPr>
          <w:sz w:val="20"/>
          <w:lang w:val="en-US"/>
        </w:rPr>
      </w:pPr>
      <w:r w:rsidRPr="00635D7E">
        <w:rPr>
          <w:i/>
          <w:sz w:val="20"/>
          <w:lang w:val="en-US"/>
        </w:rPr>
        <w:tab/>
        <w:t>Held</w:t>
      </w:r>
      <w:r w:rsidRPr="00635D7E">
        <w:rPr>
          <w:sz w:val="20"/>
          <w:lang w:val="en-US"/>
        </w:rPr>
        <w:t>:  The appeal should be dismissed.</w:t>
      </w:r>
    </w:p>
    <w:p w:rsidR="00822B8B" w:rsidRDefault="00822B8B" w:rsidP="00822B8B">
      <w:pPr>
        <w:pStyle w:val="SCCNormalDoubleSpacing"/>
        <w:spacing w:line="240" w:lineRule="auto"/>
        <w:rPr>
          <w:sz w:val="20"/>
          <w:lang w:val="en-US"/>
        </w:rPr>
      </w:pPr>
    </w:p>
    <w:p w:rsidR="00822B8B" w:rsidRPr="00635D7E" w:rsidRDefault="00822B8B" w:rsidP="00822B8B">
      <w:pPr>
        <w:pStyle w:val="SCCNormalDoubleSpacing"/>
        <w:spacing w:line="240" w:lineRule="auto"/>
        <w:rPr>
          <w:sz w:val="20"/>
          <w:lang w:val="en-US"/>
        </w:rPr>
      </w:pPr>
      <w:r w:rsidRPr="00635D7E">
        <w:rPr>
          <w:sz w:val="20"/>
          <w:lang w:val="en-US"/>
        </w:rPr>
        <w:tab/>
        <w:t>Section 10(</w:t>
      </w:r>
      <w:r w:rsidRPr="00635D7E">
        <w:rPr>
          <w:i/>
          <w:sz w:val="20"/>
          <w:lang w:val="en-US"/>
        </w:rPr>
        <w:t>b</w:t>
      </w:r>
      <w:r w:rsidRPr="00635D7E">
        <w:rPr>
          <w:sz w:val="20"/>
          <w:lang w:val="en-US"/>
        </w:rPr>
        <w:t xml:space="preserve">) of the </w:t>
      </w:r>
      <w:r w:rsidRPr="00635D7E">
        <w:rPr>
          <w:i/>
          <w:sz w:val="20"/>
          <w:lang w:val="en-US"/>
        </w:rPr>
        <w:t>Charter</w:t>
      </w:r>
      <w:r w:rsidRPr="00635D7E">
        <w:rPr>
          <w:sz w:val="20"/>
          <w:lang w:val="en-US"/>
        </w:rPr>
        <w:t xml:space="preserve"> provides that everyone has the right on arrest or detention to retain and instruct counsel without delay and to be informed of that right. The purpose of the s. 10(</w:t>
      </w:r>
      <w:r w:rsidRPr="00635D7E">
        <w:rPr>
          <w:i/>
          <w:sz w:val="20"/>
          <w:lang w:val="en-US"/>
        </w:rPr>
        <w:t>b</w:t>
      </w:r>
      <w:r w:rsidRPr="00635D7E">
        <w:rPr>
          <w:sz w:val="20"/>
          <w:lang w:val="en-US"/>
        </w:rPr>
        <w:t xml:space="preserve">) </w:t>
      </w:r>
      <w:r w:rsidRPr="00635D7E">
        <w:rPr>
          <w:i/>
          <w:sz w:val="20"/>
          <w:lang w:val="en-US"/>
        </w:rPr>
        <w:t>Charter</w:t>
      </w:r>
      <w:r w:rsidRPr="00635D7E">
        <w:rPr>
          <w:sz w:val="20"/>
          <w:lang w:val="en-US"/>
        </w:rPr>
        <w:t xml:space="preserve"> right is to allow an arrested or detained individual not only to be informed of his other rights and obligations under the law but also to obtain advice as to how to exercise those rights. Access to legal advice ensures that an individual who is under control of the state and in a situation of legal jeopardy is able to make a free and informed choice whether to cooperate with the police. The duty to inform a detained person of his or her right to counsel arises immediately upon arrest or detention and the duty to facilitate access to a lawyer, in turn, arises immediately upon the detainee’s request to speak to counsel. The arresting officer is therefore under a constitutional obligation to facilitate the requested access to a lawyer at the first reasonably available opportunity. Until the requested access to counsel is provided, it is uncontroversial that there is an obligation on the police to refrain from taking further investigative steps to elicit evidence.</w:t>
      </w:r>
    </w:p>
    <w:p w:rsidR="00822B8B" w:rsidRDefault="00822B8B" w:rsidP="00822B8B">
      <w:pPr>
        <w:pStyle w:val="SCCNormalDoubleSpacing"/>
        <w:spacing w:line="240" w:lineRule="auto"/>
        <w:rPr>
          <w:sz w:val="20"/>
          <w:lang w:val="en-US"/>
        </w:rPr>
      </w:pPr>
    </w:p>
    <w:p w:rsidR="00822B8B" w:rsidRPr="00635D7E" w:rsidRDefault="00822B8B" w:rsidP="00822B8B">
      <w:pPr>
        <w:pStyle w:val="SCCNormalDoubleSpacing"/>
        <w:spacing w:line="240" w:lineRule="auto"/>
        <w:rPr>
          <w:sz w:val="20"/>
          <w:lang w:val="en-US"/>
        </w:rPr>
      </w:pPr>
      <w:r w:rsidRPr="00635D7E">
        <w:rPr>
          <w:sz w:val="20"/>
          <w:lang w:val="en-US"/>
        </w:rPr>
        <w:tab/>
        <w:t>While the police are under no legal duty to provide their own cell phone to an arrested or detained individual, they nonetheless have a duty both to provide phone access at the first reasonable opportunity to avoid self</w:t>
      </w:r>
      <w:r w:rsidRPr="00635D7E">
        <w:rPr>
          <w:sz w:val="20"/>
          <w:lang w:val="en-US"/>
        </w:rPr>
        <w:noBreakHyphen/>
        <w:t>incrimination and to refrain from eliciting evidence from the individual before access to counsel has been facilitated. While s. 10(</w:t>
      </w:r>
      <w:r w:rsidRPr="00635D7E">
        <w:rPr>
          <w:i/>
          <w:sz w:val="20"/>
          <w:lang w:val="en-US"/>
        </w:rPr>
        <w:t>b</w:t>
      </w:r>
      <w:r w:rsidRPr="00635D7E">
        <w:rPr>
          <w:sz w:val="20"/>
          <w:lang w:val="en-US"/>
        </w:rPr>
        <w:t xml:space="preserve">) of the </w:t>
      </w:r>
      <w:r w:rsidRPr="00635D7E">
        <w:rPr>
          <w:i/>
          <w:sz w:val="20"/>
          <w:lang w:val="en-US"/>
        </w:rPr>
        <w:t>Charter</w:t>
      </w:r>
      <w:r w:rsidRPr="00635D7E">
        <w:rPr>
          <w:sz w:val="20"/>
          <w:lang w:val="en-US"/>
        </w:rPr>
        <w:t xml:space="preserve"> does not create a right to use a specific phone, it does guarantee that the individual will have access to a phone to exercise his right to counsel. </w:t>
      </w:r>
      <w:r w:rsidRPr="00635D7E">
        <w:rPr>
          <w:sz w:val="20"/>
        </w:rPr>
        <w:t>The burden is on the Crown to show that a given delay was reasonable in the circumstances.</w:t>
      </w:r>
    </w:p>
    <w:p w:rsidR="00822B8B" w:rsidRDefault="00822B8B" w:rsidP="00822B8B">
      <w:pPr>
        <w:pStyle w:val="SCCNormalDoubleSpacing"/>
        <w:spacing w:line="240" w:lineRule="auto"/>
        <w:rPr>
          <w:sz w:val="20"/>
          <w:lang w:val="en-US"/>
        </w:rPr>
      </w:pPr>
    </w:p>
    <w:p w:rsidR="00822B8B" w:rsidRPr="00635D7E" w:rsidRDefault="00822B8B" w:rsidP="00822B8B">
      <w:pPr>
        <w:pStyle w:val="SCCNormalDoubleSpacing"/>
        <w:spacing w:line="240" w:lineRule="auto"/>
        <w:rPr>
          <w:sz w:val="20"/>
          <w:lang w:val="en-US"/>
        </w:rPr>
      </w:pPr>
      <w:r w:rsidRPr="00635D7E">
        <w:rPr>
          <w:sz w:val="20"/>
          <w:lang w:val="en-US"/>
        </w:rPr>
        <w:lastRenderedPageBreak/>
        <w:tab/>
        <w:t xml:space="preserve">An individual who enters a hospital to receive medical treatment is not in a </w:t>
      </w:r>
      <w:r w:rsidRPr="00635D7E">
        <w:rPr>
          <w:i/>
          <w:sz w:val="20"/>
          <w:lang w:val="en-US"/>
        </w:rPr>
        <w:t>Charter-</w:t>
      </w:r>
      <w:r w:rsidRPr="00635D7E">
        <w:rPr>
          <w:sz w:val="20"/>
          <w:lang w:val="en-US"/>
        </w:rPr>
        <w:t>free zone. Where the individual has requested access to counsel and is in custody at the hospital, the police have an obligation under s. 10(</w:t>
      </w:r>
      <w:r w:rsidRPr="00635D7E">
        <w:rPr>
          <w:i/>
          <w:sz w:val="20"/>
          <w:lang w:val="en-US"/>
        </w:rPr>
        <w:t>b</w:t>
      </w:r>
      <w:r w:rsidRPr="00635D7E">
        <w:rPr>
          <w:sz w:val="20"/>
          <w:lang w:val="en-US"/>
        </w:rPr>
        <w:t>) to take steps to ascertain whether private access to a phone is in fact available. In this case, one of the police officers admitted that at the hospital, he made a mistake and that he would have and could have given the accused the requested access if he had remembered to do so. Once at the hospital, it was 20 to 30 minutes before the hospital took any blood from the accused, more than enough time for the police to make inquiries as to whether a phone was available or a phone call medically feasible. At no point did the police even turn their minds to the obligation to provide access. </w:t>
      </w:r>
    </w:p>
    <w:p w:rsidR="00822B8B" w:rsidRDefault="00822B8B" w:rsidP="00822B8B">
      <w:pPr>
        <w:pStyle w:val="SCCNormalDoubleSpacing"/>
        <w:spacing w:line="240" w:lineRule="auto"/>
        <w:rPr>
          <w:sz w:val="20"/>
          <w:lang w:val="en-US"/>
        </w:rPr>
      </w:pPr>
    </w:p>
    <w:p w:rsidR="00822B8B" w:rsidRDefault="00822B8B" w:rsidP="00822B8B">
      <w:pPr>
        <w:pStyle w:val="SCCNormalDoubleSpacing"/>
        <w:spacing w:line="240" w:lineRule="auto"/>
        <w:rPr>
          <w:sz w:val="20"/>
          <w:lang w:val="en-US"/>
        </w:rPr>
      </w:pPr>
      <w:r w:rsidRPr="00635D7E">
        <w:rPr>
          <w:sz w:val="20"/>
          <w:lang w:val="en-US"/>
        </w:rPr>
        <w:tab/>
        <w:t xml:space="preserve">This is a case not so much about delay in facilitating access, but about its complete denial. This ongoing failure cannot be characterized as reasonable. </w:t>
      </w:r>
      <w:r w:rsidRPr="00635D7E">
        <w:rPr>
          <w:sz w:val="20"/>
        </w:rPr>
        <w:t xml:space="preserve">Constitutional rights cannot be displaced by assumptions of impracticality. Barriers to access must be proven, not assumed, and proactive steps are required to turn the </w:t>
      </w:r>
      <w:r w:rsidRPr="00635D7E">
        <w:rPr>
          <w:i/>
          <w:sz w:val="20"/>
        </w:rPr>
        <w:t>right</w:t>
      </w:r>
      <w:r w:rsidRPr="00635D7E">
        <w:rPr>
          <w:sz w:val="20"/>
        </w:rPr>
        <w:t xml:space="preserve"> to counsel into </w:t>
      </w:r>
      <w:r w:rsidRPr="00635D7E">
        <w:rPr>
          <w:i/>
          <w:sz w:val="20"/>
        </w:rPr>
        <w:t>access</w:t>
      </w:r>
      <w:r w:rsidRPr="00635D7E">
        <w:rPr>
          <w:sz w:val="20"/>
        </w:rPr>
        <w:t xml:space="preserve"> to counsel. </w:t>
      </w:r>
      <w:r w:rsidRPr="00635D7E">
        <w:rPr>
          <w:sz w:val="20"/>
          <w:lang w:val="en-US"/>
        </w:rPr>
        <w:t>The accused’s s. 10(</w:t>
      </w:r>
      <w:r w:rsidRPr="00635D7E">
        <w:rPr>
          <w:i/>
          <w:sz w:val="20"/>
          <w:lang w:val="en-US"/>
        </w:rPr>
        <w:t>b</w:t>
      </w:r>
      <w:r w:rsidRPr="00635D7E">
        <w:rPr>
          <w:sz w:val="20"/>
          <w:lang w:val="en-US"/>
        </w:rPr>
        <w:t xml:space="preserve">) rights were clearly violated. The seriousness of the </w:t>
      </w:r>
      <w:r w:rsidRPr="00635D7E">
        <w:rPr>
          <w:i/>
          <w:sz w:val="20"/>
          <w:lang w:val="en-US"/>
        </w:rPr>
        <w:t>Charter</w:t>
      </w:r>
      <w:r w:rsidRPr="00635D7E">
        <w:rPr>
          <w:sz w:val="20"/>
          <w:lang w:val="en-US"/>
        </w:rPr>
        <w:t xml:space="preserve"> breach and the impact of the police conduct on the accused’s interests warrant the exclusion of the evidence.</w:t>
      </w:r>
    </w:p>
    <w:p w:rsidR="00822B8B" w:rsidRDefault="00822B8B" w:rsidP="00822B8B">
      <w:pPr>
        <w:pStyle w:val="SCCNormalDoubleSpacing"/>
        <w:spacing w:line="240" w:lineRule="auto"/>
        <w:rPr>
          <w:sz w:val="20"/>
          <w:lang w:val="en-US"/>
        </w:rPr>
      </w:pPr>
    </w:p>
    <w:p w:rsidR="00822B8B" w:rsidRPr="00635D7E" w:rsidRDefault="00822B8B" w:rsidP="00822B8B">
      <w:pPr>
        <w:pStyle w:val="SCCNormalDoubleSpacing"/>
        <w:spacing w:line="240" w:lineRule="auto"/>
        <w:rPr>
          <w:sz w:val="20"/>
        </w:rPr>
      </w:pPr>
      <w:r w:rsidRPr="00635D7E">
        <w:rPr>
          <w:sz w:val="20"/>
        </w:rPr>
        <w:tab/>
        <w:t>APPEAL from a judgment of the Alberta Court of Appeal (Berger, O’Brien and Slatter JJ.A.), 2013 ABCA 342, 87 Alta. L.R. (5th) 114, 561 A.R. 103, 594 W.A.C. 103, [2014] 1 W.W.R. 352, 302 C.C.C. (3d) 181, 7 C.R. (7th) 165, 293 C.R.R. (2d) 69, 54 M.V.R. (6th) 190, [2013] A.J. No. 1079 (QL), 2013 CarswellAlta 1933, setting aside the accused’s convictions for impaired driving causing bodily harm. Appeal dismissed.</w:t>
      </w:r>
    </w:p>
    <w:p w:rsidR="00822B8B" w:rsidRDefault="00822B8B" w:rsidP="00822B8B">
      <w:pPr>
        <w:pStyle w:val="SCCNormalDoubleSpacing"/>
        <w:spacing w:line="240" w:lineRule="auto"/>
        <w:rPr>
          <w:i/>
          <w:sz w:val="20"/>
        </w:rPr>
      </w:pPr>
    </w:p>
    <w:p w:rsidR="00822B8B" w:rsidRPr="00635D7E" w:rsidRDefault="00822B8B" w:rsidP="00822B8B">
      <w:pPr>
        <w:pStyle w:val="SCCNormalDoubleSpacing"/>
        <w:spacing w:line="240" w:lineRule="auto"/>
        <w:rPr>
          <w:sz w:val="20"/>
        </w:rPr>
      </w:pPr>
      <w:r w:rsidRPr="00635D7E">
        <w:rPr>
          <w:i/>
          <w:sz w:val="20"/>
        </w:rPr>
        <w:tab/>
        <w:t>Jason R. Russell</w:t>
      </w:r>
      <w:r w:rsidRPr="00635D7E">
        <w:rPr>
          <w:sz w:val="20"/>
        </w:rPr>
        <w:t>, for the appellant.</w:t>
      </w:r>
    </w:p>
    <w:p w:rsidR="00822B8B" w:rsidRDefault="00822B8B" w:rsidP="00822B8B">
      <w:pPr>
        <w:pStyle w:val="SCCNormalDoubleSpacing"/>
        <w:spacing w:line="240" w:lineRule="auto"/>
        <w:rPr>
          <w:i/>
          <w:sz w:val="20"/>
        </w:rPr>
      </w:pPr>
    </w:p>
    <w:p w:rsidR="00822B8B" w:rsidRPr="00635D7E" w:rsidRDefault="00822B8B" w:rsidP="00822B8B">
      <w:pPr>
        <w:pStyle w:val="SCCNormalDoubleSpacing"/>
        <w:spacing w:line="240" w:lineRule="auto"/>
        <w:rPr>
          <w:sz w:val="20"/>
        </w:rPr>
      </w:pPr>
      <w:r w:rsidRPr="00635D7E">
        <w:rPr>
          <w:i/>
          <w:sz w:val="20"/>
        </w:rPr>
        <w:tab/>
        <w:t>Patrick C. Fagan</w:t>
      </w:r>
      <w:r w:rsidRPr="00635D7E">
        <w:rPr>
          <w:sz w:val="20"/>
        </w:rPr>
        <w:t xml:space="preserve">, </w:t>
      </w:r>
      <w:r w:rsidRPr="00635D7E">
        <w:rPr>
          <w:i/>
          <w:sz w:val="20"/>
        </w:rPr>
        <w:t>Q.C.</w:t>
      </w:r>
      <w:r w:rsidRPr="00635D7E">
        <w:rPr>
          <w:sz w:val="20"/>
        </w:rPr>
        <w:t xml:space="preserve">, and </w:t>
      </w:r>
      <w:r w:rsidRPr="00635D7E">
        <w:rPr>
          <w:i/>
          <w:sz w:val="20"/>
        </w:rPr>
        <w:t>Kaysi Fagan</w:t>
      </w:r>
      <w:r w:rsidRPr="00635D7E">
        <w:rPr>
          <w:sz w:val="20"/>
        </w:rPr>
        <w:t>, for the respondent.</w:t>
      </w:r>
    </w:p>
    <w:p w:rsidR="00822B8B" w:rsidRDefault="00822B8B" w:rsidP="00822B8B">
      <w:pPr>
        <w:pStyle w:val="SCCNormalDoubleSpacing"/>
        <w:spacing w:line="240" w:lineRule="auto"/>
        <w:rPr>
          <w:i/>
          <w:sz w:val="20"/>
        </w:rPr>
      </w:pPr>
    </w:p>
    <w:p w:rsidR="00822B8B" w:rsidRPr="00635D7E" w:rsidRDefault="00822B8B" w:rsidP="00822B8B">
      <w:pPr>
        <w:pStyle w:val="SCCNormalDoubleSpacing"/>
        <w:spacing w:line="240" w:lineRule="auto"/>
        <w:rPr>
          <w:sz w:val="20"/>
        </w:rPr>
      </w:pPr>
      <w:r w:rsidRPr="00635D7E">
        <w:rPr>
          <w:i/>
          <w:sz w:val="20"/>
        </w:rPr>
        <w:tab/>
        <w:t>Nick Devlin</w:t>
      </w:r>
      <w:r w:rsidRPr="00635D7E">
        <w:rPr>
          <w:sz w:val="20"/>
        </w:rPr>
        <w:t xml:space="preserve"> and </w:t>
      </w:r>
      <w:r w:rsidRPr="00635D7E">
        <w:rPr>
          <w:i/>
          <w:sz w:val="20"/>
        </w:rPr>
        <w:t>Jennifer Conroy</w:t>
      </w:r>
      <w:r w:rsidRPr="00635D7E">
        <w:rPr>
          <w:sz w:val="20"/>
        </w:rPr>
        <w:t>, for the intervener the Director of Public Prosecutions of Canada.</w:t>
      </w:r>
    </w:p>
    <w:p w:rsidR="00822B8B" w:rsidRDefault="00822B8B" w:rsidP="00822B8B">
      <w:pPr>
        <w:pStyle w:val="SCCNormalDoubleSpacing"/>
        <w:spacing w:line="240" w:lineRule="auto"/>
        <w:rPr>
          <w:i/>
          <w:sz w:val="20"/>
        </w:rPr>
      </w:pPr>
    </w:p>
    <w:p w:rsidR="00822B8B" w:rsidRPr="00635D7E" w:rsidRDefault="00822B8B" w:rsidP="00822B8B">
      <w:pPr>
        <w:pStyle w:val="SCCNormalDoubleSpacing"/>
        <w:spacing w:line="240" w:lineRule="auto"/>
        <w:rPr>
          <w:sz w:val="20"/>
        </w:rPr>
      </w:pPr>
      <w:r w:rsidRPr="00635D7E">
        <w:rPr>
          <w:i/>
          <w:sz w:val="20"/>
        </w:rPr>
        <w:tab/>
        <w:t>Frank Au</w:t>
      </w:r>
      <w:r w:rsidRPr="00635D7E">
        <w:rPr>
          <w:sz w:val="20"/>
        </w:rPr>
        <w:t>, for the intervener the Attorney General of Ontario.</w:t>
      </w:r>
    </w:p>
    <w:p w:rsidR="00822B8B" w:rsidRDefault="00822B8B" w:rsidP="00822B8B">
      <w:pPr>
        <w:pStyle w:val="SCCNormalDoubleSpacing"/>
        <w:spacing w:line="240" w:lineRule="auto"/>
        <w:rPr>
          <w:i/>
          <w:sz w:val="20"/>
        </w:rPr>
      </w:pPr>
    </w:p>
    <w:p w:rsidR="00822B8B" w:rsidRPr="00635D7E" w:rsidRDefault="00822B8B" w:rsidP="00822B8B">
      <w:pPr>
        <w:pStyle w:val="SCCNormalDoubleSpacing"/>
        <w:spacing w:line="240" w:lineRule="auto"/>
        <w:rPr>
          <w:sz w:val="20"/>
        </w:rPr>
      </w:pPr>
      <w:r w:rsidRPr="00635D7E">
        <w:rPr>
          <w:i/>
          <w:sz w:val="20"/>
        </w:rPr>
        <w:tab/>
        <w:t>David S. Rose</w:t>
      </w:r>
      <w:r w:rsidRPr="00635D7E">
        <w:rPr>
          <w:sz w:val="20"/>
        </w:rPr>
        <w:t>, for the intervener the Canadian Civil Liberties Association.</w:t>
      </w:r>
    </w:p>
    <w:p w:rsidR="00822B8B" w:rsidRDefault="00822B8B" w:rsidP="00822B8B">
      <w:pPr>
        <w:pStyle w:val="SCCLawFirm"/>
        <w:spacing w:line="240" w:lineRule="auto"/>
        <w:rPr>
          <w:sz w:val="20"/>
        </w:rPr>
      </w:pPr>
    </w:p>
    <w:p w:rsidR="00822B8B" w:rsidRPr="00635D7E" w:rsidRDefault="00822B8B" w:rsidP="00822B8B">
      <w:pPr>
        <w:pStyle w:val="SCCLawFirm"/>
        <w:spacing w:line="240" w:lineRule="auto"/>
        <w:rPr>
          <w:sz w:val="20"/>
        </w:rPr>
      </w:pPr>
      <w:r w:rsidRPr="00635D7E">
        <w:rPr>
          <w:sz w:val="20"/>
        </w:rPr>
        <w:tab/>
        <w:t>Solicitor for the appellant:  Attorney General of Alberta, Edmonton.</w:t>
      </w:r>
    </w:p>
    <w:p w:rsidR="00822B8B" w:rsidRDefault="00822B8B" w:rsidP="00822B8B">
      <w:pPr>
        <w:pStyle w:val="SCCLawFirm"/>
        <w:spacing w:line="240" w:lineRule="auto"/>
        <w:rPr>
          <w:sz w:val="20"/>
        </w:rPr>
      </w:pPr>
    </w:p>
    <w:p w:rsidR="00822B8B" w:rsidRPr="00635D7E" w:rsidRDefault="00822B8B" w:rsidP="00822B8B">
      <w:pPr>
        <w:pStyle w:val="SCCLawFirm"/>
        <w:spacing w:line="240" w:lineRule="auto"/>
        <w:rPr>
          <w:sz w:val="20"/>
        </w:rPr>
      </w:pPr>
      <w:r w:rsidRPr="00635D7E">
        <w:rPr>
          <w:sz w:val="20"/>
        </w:rPr>
        <w:tab/>
        <w:t>Solicitors for the respondent:  Fagan &amp; McKay, Calgary.</w:t>
      </w:r>
    </w:p>
    <w:p w:rsidR="00822B8B" w:rsidRDefault="00822B8B" w:rsidP="00822B8B">
      <w:pPr>
        <w:pStyle w:val="SCCLawFirm"/>
        <w:spacing w:line="240" w:lineRule="auto"/>
        <w:rPr>
          <w:sz w:val="20"/>
        </w:rPr>
      </w:pPr>
    </w:p>
    <w:p w:rsidR="0055764B" w:rsidRDefault="00822B8B" w:rsidP="0055764B">
      <w:pPr>
        <w:pStyle w:val="SCCLawFirm"/>
        <w:spacing w:line="240" w:lineRule="auto"/>
        <w:rPr>
          <w:sz w:val="20"/>
        </w:rPr>
      </w:pPr>
      <w:r w:rsidRPr="00635D7E">
        <w:rPr>
          <w:sz w:val="20"/>
        </w:rPr>
        <w:tab/>
        <w:t>Solicitor for the intervener the Director of Public Prosecutions of Canada:  Public Prosecution Service of Canada, Toronto.</w:t>
      </w:r>
      <w:r w:rsidR="0055764B" w:rsidRPr="0055764B">
        <w:rPr>
          <w:sz w:val="20"/>
        </w:rPr>
        <w:t xml:space="preserve"> </w:t>
      </w:r>
    </w:p>
    <w:p w:rsidR="0055764B" w:rsidRPr="0055764B" w:rsidRDefault="0055764B" w:rsidP="0055764B">
      <w:pPr>
        <w:pStyle w:val="SCCNormalDoubleSpacing"/>
        <w:spacing w:line="240" w:lineRule="auto"/>
        <w:rPr>
          <w:sz w:val="20"/>
        </w:rPr>
      </w:pPr>
    </w:p>
    <w:p w:rsidR="0055764B" w:rsidRPr="0016093F" w:rsidRDefault="0055764B" w:rsidP="0055764B">
      <w:pPr>
        <w:pStyle w:val="SCCLawFirm"/>
        <w:spacing w:line="240" w:lineRule="auto"/>
        <w:rPr>
          <w:sz w:val="20"/>
        </w:rPr>
      </w:pPr>
      <w:r w:rsidRPr="0016093F">
        <w:rPr>
          <w:sz w:val="20"/>
        </w:rPr>
        <w:tab/>
        <w:t>Solicitor for the intervener the Attorney General of Ontario:  Attorney General of Ontario, Toronto.</w:t>
      </w:r>
    </w:p>
    <w:p w:rsidR="0055764B" w:rsidRDefault="0055764B" w:rsidP="0055764B">
      <w:pPr>
        <w:pStyle w:val="SCCLawFirm"/>
        <w:spacing w:line="240" w:lineRule="auto"/>
        <w:rPr>
          <w:sz w:val="20"/>
        </w:rPr>
      </w:pPr>
    </w:p>
    <w:p w:rsidR="0055764B" w:rsidRDefault="0055764B" w:rsidP="0055764B">
      <w:pPr>
        <w:pStyle w:val="SCCLawFirm"/>
        <w:spacing w:line="240" w:lineRule="auto"/>
        <w:rPr>
          <w:sz w:val="20"/>
        </w:rPr>
      </w:pPr>
      <w:r w:rsidRPr="0016093F">
        <w:rPr>
          <w:sz w:val="20"/>
        </w:rPr>
        <w:tab/>
        <w:t>Solicitors for the intervener the Canadian Civil Liberties Association:  David Rose Law, Toronto.</w:t>
      </w:r>
    </w:p>
    <w:p w:rsidR="0052229C" w:rsidRPr="00C42C54" w:rsidRDefault="0052229C" w:rsidP="0052229C">
      <w:pPr>
        <w:rPr>
          <w:sz w:val="20"/>
          <w:szCs w:val="20"/>
          <w:lang w:val="fr-CA"/>
        </w:rPr>
      </w:pPr>
      <w:r w:rsidRPr="00C42C54">
        <w:rPr>
          <w:sz w:val="20"/>
          <w:szCs w:val="20"/>
          <w:lang w:val="fr-CA"/>
        </w:rPr>
        <w:t>________________________</w:t>
      </w:r>
    </w:p>
    <w:p w:rsidR="0052229C" w:rsidRPr="00C42C54" w:rsidRDefault="0052229C" w:rsidP="0052229C">
      <w:pPr>
        <w:rPr>
          <w:sz w:val="20"/>
          <w:szCs w:val="20"/>
          <w:lang w:val="fr-CA"/>
        </w:rPr>
      </w:pPr>
    </w:p>
    <w:p w:rsidR="00822B8B" w:rsidRPr="00F66FB3" w:rsidRDefault="00822B8B" w:rsidP="00822B8B">
      <w:pPr>
        <w:jc w:val="both"/>
        <w:rPr>
          <w:sz w:val="20"/>
          <w:szCs w:val="20"/>
          <w:lang w:val="fr-CA"/>
        </w:rPr>
      </w:pPr>
      <w:r w:rsidRPr="00F66FB3">
        <w:rPr>
          <w:sz w:val="20"/>
          <w:szCs w:val="20"/>
          <w:lang w:val="fr-CA"/>
        </w:rPr>
        <w:t>Présents : Les juges Abella, Rothstein, Moldaver, Karakatsanis et Wagner.</w:t>
      </w:r>
    </w:p>
    <w:p w:rsidR="00822B8B" w:rsidRDefault="00822B8B" w:rsidP="00822B8B">
      <w:pPr>
        <w:jc w:val="both"/>
        <w:rPr>
          <w:smallCaps/>
          <w:sz w:val="20"/>
          <w:lang w:val="fr-CA"/>
        </w:rPr>
      </w:pPr>
    </w:p>
    <w:p w:rsidR="00822B8B" w:rsidRPr="00F66FB3" w:rsidRDefault="00822B8B" w:rsidP="00822B8B">
      <w:pPr>
        <w:pStyle w:val="SCCNormalDoubleSpacing"/>
        <w:spacing w:line="240" w:lineRule="auto"/>
        <w:rPr>
          <w:i/>
          <w:sz w:val="20"/>
          <w:lang w:val="fr-CA"/>
        </w:rPr>
      </w:pPr>
      <w:r w:rsidRPr="00F66FB3">
        <w:rPr>
          <w:sz w:val="20"/>
          <w:lang w:val="fr-CA"/>
        </w:rPr>
        <w:tab/>
      </w:r>
      <w:r w:rsidRPr="00F66FB3">
        <w:rPr>
          <w:i/>
          <w:sz w:val="20"/>
          <w:lang w:val="fr-CA"/>
        </w:rPr>
        <w:t>Droit constitutionnel — Charte des droits — Droit à l’assistance d’un avocat — Accusé informé par les policiers de son droit à l’assistance d’un avocat — Mention aux policiers par l’accusé de son désir de parler à un avocat — Omission par les policiers de faciliter la communication avec un avocat sur les lieux de l’accident et à l’hôpital — Du sang prélevé de l’accusé à l’hôpital sans que ce dernier ait été en mesure de consulter un avocat a ensuite été utilisé comme pièce à conviction — L’omission des policiers de donner à l’accusé accès à un avocat ou de faciliter cet accès a</w:t>
      </w:r>
      <w:r w:rsidRPr="00F66FB3">
        <w:rPr>
          <w:i/>
          <w:sz w:val="20"/>
          <w:lang w:val="fr-CA"/>
        </w:rPr>
        <w:noBreakHyphen/>
        <w:t>t</w:t>
      </w:r>
      <w:r w:rsidRPr="00F66FB3">
        <w:rPr>
          <w:i/>
          <w:sz w:val="20"/>
          <w:lang w:val="fr-CA"/>
        </w:rPr>
        <w:noBreakHyphen/>
        <w:t>elle entraîné la violation du droit de l’accusé d’avoir recours sans délai à l’assistance d’un avocat? — Dans l’affirmative, les éléments de preuve en cause devraient</w:t>
      </w:r>
      <w:r w:rsidRPr="00F66FB3">
        <w:rPr>
          <w:i/>
          <w:sz w:val="20"/>
          <w:lang w:val="fr-CA"/>
        </w:rPr>
        <w:noBreakHyphen/>
        <w:t>ils être écartés? — Charte canadienne des droits et libertés, art. 10b) et 24(2).</w:t>
      </w:r>
    </w:p>
    <w:p w:rsidR="00822B8B" w:rsidRDefault="00822B8B" w:rsidP="00822B8B">
      <w:pPr>
        <w:pStyle w:val="SCCNormalDoubleSpacing"/>
        <w:spacing w:line="240" w:lineRule="auto"/>
        <w:rPr>
          <w:sz w:val="20"/>
          <w:lang w:val="fr-CA"/>
        </w:rPr>
      </w:pPr>
    </w:p>
    <w:p w:rsidR="00822B8B" w:rsidRPr="00F66FB3" w:rsidRDefault="00822B8B" w:rsidP="00822B8B">
      <w:pPr>
        <w:pStyle w:val="SCCNormalDoubleSpacing"/>
        <w:spacing w:line="240" w:lineRule="auto"/>
        <w:rPr>
          <w:sz w:val="20"/>
          <w:lang w:val="fr-CA"/>
        </w:rPr>
      </w:pPr>
      <w:r w:rsidRPr="00F66FB3">
        <w:rPr>
          <w:sz w:val="20"/>
          <w:lang w:val="fr-CA"/>
        </w:rPr>
        <w:tab/>
        <w:t xml:space="preserve">L’accusé a été arrêté pour conduite avec facultés affaiblies causant des lésions corporelles lorsqu’il a perdu la maîtrise de son véhicule, blessant de ce fait trois de ses passagers. Au moment de son arrestation, il a été informé des droits que lui garantit la </w:t>
      </w:r>
      <w:r w:rsidRPr="00F66FB3">
        <w:rPr>
          <w:i/>
          <w:sz w:val="20"/>
          <w:lang w:val="fr-CA"/>
        </w:rPr>
        <w:t>Charte</w:t>
      </w:r>
      <w:r w:rsidRPr="00F66FB3">
        <w:rPr>
          <w:sz w:val="20"/>
          <w:lang w:val="fr-CA"/>
        </w:rPr>
        <w:t xml:space="preserve">, notamment de son droit à l’assistance d’un avocat, et on lui a demandé s’il voulait en </w:t>
      </w:r>
      <w:r w:rsidRPr="00F66FB3">
        <w:rPr>
          <w:sz w:val="20"/>
          <w:lang w:val="fr-CA"/>
        </w:rPr>
        <w:lastRenderedPageBreak/>
        <w:t>appeler un. L’accusé a répondu qu’il voulait parler à son père ainsi qu’à son avocat. À aucun moment l’accusé ne s’est vu donner accès à un téléphone pendant qu’il se trouvait sur les lieux de l’accident. Par souci de précaution et conformément à la pratique normale, l’accusé a été transporté à l’hôpital en ambulance afin d’y être examiné. À l’hôpital, une infirmière a prélevé cinq fioles de sang de l’accusé.  Les policiers ont par la suite demandé et obtenu une deuxième série d’échantillons du sang de l’accusé aux fins d’enquête. À aucun moment durant le temps qu’a passé l’accusé à l’hôpital, les policiers n’ont tenté de lui donner la possibilité de parler à son avocat ou de voir si cela était même faisable sur le plan logistique ou médical. Les policiers ont demandé avec succès la délivrance d’un mandat autorisant la saisie des cinq premières fioles contenant le sang prélevé de l’accusé par l’hôpital. Le juge du procès a conclu, point qu’avait d’ailleurs concédé le ministère public, que la deuxième série d’échantillons de sang avait été prélevée en violation de l’al. 10</w:t>
      </w:r>
      <w:r w:rsidRPr="00F66FB3">
        <w:rPr>
          <w:i/>
          <w:sz w:val="20"/>
          <w:lang w:val="fr-CA"/>
        </w:rPr>
        <w:t>b</w:t>
      </w:r>
      <w:r w:rsidRPr="00F66FB3">
        <w:rPr>
          <w:sz w:val="20"/>
          <w:lang w:val="fr-CA"/>
        </w:rPr>
        <w:t>), mais il a statué qu’il n’y avait pas eu violation de ces mêmes droits avant le prélèvement des premiers échantillons. Le juge du procès a tiré cette conclusion en supposant que, lorsqu’un accusé attend de recevoir ou reçoit des soins médicaux, il n’y a aucune possibilité raisonnable de lui fournir accès privément à un téléphone afin de donner effet à son droit à l’assistance d’un avocat. La première série d’échantillons de sang a été admise en preuve au procès. Sur la foi de ces éléments de preuve, l’accusé a été déclaré coupable de trois chefs de conduite avec facultés affaiblies causant des lésions corporelles. La Cour d’appel a accueilli l’appel à la majorité, statuant que le juge du procès avait commis une erreur en concluant qu’il n’y avait eu aucune possibilité raisonnable de faciliter l’accès à un avocat avant le prélèvement des premiers échantillons de sang.  Les éléments de preuve ont été écartés, la déclaration de culpabilité a été annulée et un verdict d’acquittement a été inscrit.</w:t>
      </w:r>
    </w:p>
    <w:p w:rsidR="00822B8B" w:rsidRDefault="00822B8B" w:rsidP="00822B8B">
      <w:pPr>
        <w:pStyle w:val="SCCNormalDoubleSpacing"/>
        <w:spacing w:line="240" w:lineRule="auto"/>
        <w:rPr>
          <w:i/>
          <w:sz w:val="20"/>
          <w:lang w:val="fr-CA"/>
        </w:rPr>
      </w:pPr>
    </w:p>
    <w:p w:rsidR="00822B8B" w:rsidRPr="00F66FB3" w:rsidRDefault="00822B8B" w:rsidP="00822B8B">
      <w:pPr>
        <w:pStyle w:val="SCCNormalDoubleSpacing"/>
        <w:spacing w:line="240" w:lineRule="auto"/>
        <w:rPr>
          <w:sz w:val="20"/>
          <w:lang w:val="fr-CA"/>
        </w:rPr>
      </w:pPr>
      <w:r w:rsidRPr="00F66FB3">
        <w:rPr>
          <w:i/>
          <w:sz w:val="20"/>
          <w:lang w:val="fr-CA"/>
        </w:rPr>
        <w:tab/>
        <w:t>Arrêt</w:t>
      </w:r>
      <w:r w:rsidRPr="00F66FB3">
        <w:rPr>
          <w:sz w:val="20"/>
          <w:lang w:val="fr-CA"/>
        </w:rPr>
        <w:t> : Le pourvoi est rejeté.</w:t>
      </w:r>
    </w:p>
    <w:p w:rsidR="00822B8B" w:rsidRDefault="00822B8B" w:rsidP="00822B8B">
      <w:pPr>
        <w:pStyle w:val="SCCNormalDoubleSpacing"/>
        <w:spacing w:line="240" w:lineRule="auto"/>
        <w:rPr>
          <w:sz w:val="20"/>
          <w:lang w:val="fr-CA"/>
        </w:rPr>
      </w:pPr>
    </w:p>
    <w:p w:rsidR="00822B8B" w:rsidRPr="00F66FB3" w:rsidRDefault="00822B8B" w:rsidP="00822B8B">
      <w:pPr>
        <w:pStyle w:val="SCCNormalDoubleSpacing"/>
        <w:spacing w:line="240" w:lineRule="auto"/>
        <w:rPr>
          <w:sz w:val="20"/>
          <w:lang w:val="fr-CA"/>
        </w:rPr>
      </w:pPr>
      <w:r w:rsidRPr="00F66FB3">
        <w:rPr>
          <w:sz w:val="20"/>
          <w:lang w:val="fr-CA"/>
        </w:rPr>
        <w:tab/>
        <w:t>Aux termes de l’al. 10</w:t>
      </w:r>
      <w:r w:rsidRPr="00F66FB3">
        <w:rPr>
          <w:i/>
          <w:sz w:val="20"/>
          <w:lang w:val="fr-CA"/>
        </w:rPr>
        <w:t>b</w:t>
      </w:r>
      <w:r w:rsidRPr="00F66FB3">
        <w:rPr>
          <w:sz w:val="20"/>
          <w:lang w:val="fr-CA"/>
        </w:rPr>
        <w:t xml:space="preserve">) de la </w:t>
      </w:r>
      <w:r w:rsidRPr="00F66FB3">
        <w:rPr>
          <w:i/>
          <w:sz w:val="20"/>
          <w:lang w:val="fr-CA"/>
        </w:rPr>
        <w:t>Charte</w:t>
      </w:r>
      <w:r w:rsidRPr="00F66FB3">
        <w:rPr>
          <w:sz w:val="20"/>
          <w:lang w:val="fr-CA"/>
        </w:rPr>
        <w:t xml:space="preserve">, chacun a le droit, en cas d’arrestation ou de détention, d’avoir recours sans délai à l’assistance d’un avocat et d’être informé de ce droit. Cette disposition </w:t>
      </w:r>
      <w:r w:rsidRPr="00F66FB3">
        <w:rPr>
          <w:spacing w:val="-3"/>
          <w:sz w:val="20"/>
          <w:lang w:val="fr-CA"/>
        </w:rPr>
        <w:t xml:space="preserve">a pour objet de permettre à la personne détenue ou arrêtée non seulement d’être informée de ses droits et de ses obligations en vertu de la loi, mais également d’obtenir des conseils sur la façon d’exercer ces droits. </w:t>
      </w:r>
      <w:r w:rsidRPr="00F66FB3">
        <w:rPr>
          <w:sz w:val="20"/>
          <w:lang w:val="fr-CA"/>
        </w:rPr>
        <w:t>L’accès à des conseils juridiques fait en sorte qu’une personne qui se trouve sous le contrôle de l’État et encourt un risque juridique soit en mesure d’exercer un choix libre et éclairé quant à la décision de coopérer ou non avec les policiers. L’obligation d’informer le détenu de son droit à l’assistance d’un avocat prend naissance immédiatement après l’arrestation ou la mise en détention, et celle de faciliter l’accès à un avocat prend pour sa part naissance immédiatement après que le détenu a demandé à parler à un avocat. Le policier qui procède à l’arrestation a donc l’obligation constitutionnelle de faciliter à la première occasion raisonnable l’accès demandé à l’assistance d’un avocat. Nul ne conteste que, tant que l’accès à un avocat qui est demandé n’a pas été fourni, les policiers doivent s’abstenir de prendre d’autres mesures d’investigation en vue de soutirer des éléments de preuve à l’interessé.</w:t>
      </w:r>
    </w:p>
    <w:p w:rsidR="00822B8B" w:rsidRDefault="00822B8B" w:rsidP="00822B8B">
      <w:pPr>
        <w:pStyle w:val="SCCNormalDoubleSpacing"/>
        <w:spacing w:line="240" w:lineRule="auto"/>
        <w:rPr>
          <w:sz w:val="20"/>
          <w:lang w:val="fr-CA"/>
        </w:rPr>
      </w:pPr>
    </w:p>
    <w:p w:rsidR="00822B8B" w:rsidRPr="00F66FB3" w:rsidRDefault="00822B8B" w:rsidP="00822B8B">
      <w:pPr>
        <w:pStyle w:val="SCCNormalDoubleSpacing"/>
        <w:spacing w:line="240" w:lineRule="auto"/>
        <w:rPr>
          <w:sz w:val="20"/>
          <w:lang w:val="fr-CA"/>
        </w:rPr>
      </w:pPr>
      <w:r w:rsidRPr="00F66FB3">
        <w:rPr>
          <w:sz w:val="20"/>
          <w:lang w:val="fr-CA"/>
        </w:rPr>
        <w:tab/>
        <w:t>Bien que les policiers ne soient pas légalement tenus de fournir leur propre téléphone cellulaire à une personne arrêtée ou détenue, ils ont néanmoins l’obligation de donner à une telle personne accès à un téléphone à la première occasion raisonnable afin de réduire le risque d’auto</w:t>
      </w:r>
      <w:r w:rsidRPr="00F66FB3">
        <w:rPr>
          <w:sz w:val="20"/>
          <w:lang w:val="fr-CA"/>
        </w:rPr>
        <w:noBreakHyphen/>
        <w:t>incrimination, ainsi que l’obligation de s’abstenir de tenter de lui soutirer des éléments de preuve tant qu’ils ne lui ont pas facilité l’accès à un avocat.  L’alinéa 10</w:t>
      </w:r>
      <w:r w:rsidRPr="00F66FB3">
        <w:rPr>
          <w:i/>
          <w:sz w:val="20"/>
          <w:lang w:val="fr-CA"/>
        </w:rPr>
        <w:t>b</w:t>
      </w:r>
      <w:r w:rsidRPr="00F66FB3">
        <w:rPr>
          <w:sz w:val="20"/>
          <w:lang w:val="fr-CA"/>
        </w:rPr>
        <w:t>) ne crée pas le droit d’utiliser un téléphone précis, mais il garantit effectivement à l’intéressé l’accès à un téléphone pour qu’il puisse exercer son droit à l’assistance d’un avocat. Il incombe au ministère public de démontrer qu’un délai donné était raisonnable dans les circonstances.</w:t>
      </w:r>
    </w:p>
    <w:p w:rsidR="00822B8B" w:rsidRDefault="00822B8B" w:rsidP="00822B8B">
      <w:pPr>
        <w:pStyle w:val="SCCNormalDoubleSpacing"/>
        <w:spacing w:line="240" w:lineRule="auto"/>
        <w:rPr>
          <w:sz w:val="20"/>
          <w:lang w:val="fr-CA"/>
        </w:rPr>
      </w:pPr>
    </w:p>
    <w:p w:rsidR="00822B8B" w:rsidRPr="00F66FB3" w:rsidRDefault="00822B8B" w:rsidP="00822B8B">
      <w:pPr>
        <w:pStyle w:val="SCCNormalDoubleSpacing"/>
        <w:spacing w:line="240" w:lineRule="auto"/>
        <w:rPr>
          <w:sz w:val="20"/>
          <w:lang w:val="fr-CA"/>
        </w:rPr>
      </w:pPr>
      <w:r w:rsidRPr="00F66FB3">
        <w:rPr>
          <w:sz w:val="20"/>
          <w:lang w:val="fr-CA"/>
        </w:rPr>
        <w:tab/>
        <w:t xml:space="preserve">La personne qui entre dans un l’hôpital pour y recevoir des soins médicaux ne se trouve pas dans une zone sans </w:t>
      </w:r>
      <w:r w:rsidRPr="00F66FB3">
        <w:rPr>
          <w:i/>
          <w:sz w:val="20"/>
          <w:lang w:val="fr-CA"/>
        </w:rPr>
        <w:t>Charte</w:t>
      </w:r>
      <w:r w:rsidRPr="00F66FB3">
        <w:rPr>
          <w:sz w:val="20"/>
          <w:lang w:val="fr-CA"/>
        </w:rPr>
        <w:t>. Lorsqu’une personne a demandé à avoir accès à un avocat et qu’elle est sous garde à l’hôpital, les policiers sont tenus par l’al. 10</w:t>
      </w:r>
      <w:r w:rsidRPr="00F66FB3">
        <w:rPr>
          <w:i/>
          <w:sz w:val="20"/>
          <w:lang w:val="fr-CA"/>
        </w:rPr>
        <w:t>b</w:t>
      </w:r>
      <w:r w:rsidRPr="00F66FB3">
        <w:rPr>
          <w:sz w:val="20"/>
          <w:lang w:val="fr-CA"/>
        </w:rPr>
        <w:t>) de prendre des mesures pour vérifier s’il est dans les faits possible à cette personne d’avoir accès privément à un téléphone. En l’espèce, un des policiers a admis qu’il avait commis une erreur à l’hôpital et qu’il aurait donné à l’accusé — et aurait pu lui donner</w:t>
      </w:r>
      <w:r w:rsidRPr="00F66FB3">
        <w:rPr>
          <w:i/>
          <w:sz w:val="20"/>
          <w:lang w:val="fr-CA"/>
        </w:rPr>
        <w:t xml:space="preserve"> </w:t>
      </w:r>
      <w:r w:rsidRPr="00F66FB3">
        <w:rPr>
          <w:sz w:val="20"/>
          <w:lang w:val="fr-CA"/>
        </w:rPr>
        <w:t>— l’accès que demandait celui</w:t>
      </w:r>
      <w:r w:rsidRPr="00F66FB3">
        <w:rPr>
          <w:sz w:val="20"/>
          <w:lang w:val="fr-CA"/>
        </w:rPr>
        <w:noBreakHyphen/>
        <w:t>ci s’il s’était rappelé de le faire. Une fois l’accusé arrivé à l’hôpital, il s’est écoulé de 20 à 30 minutes avant que le personnel de l’hôpital prélève du sang de celui</w:t>
      </w:r>
      <w:r w:rsidRPr="00F66FB3">
        <w:rPr>
          <w:sz w:val="20"/>
          <w:lang w:val="fr-CA"/>
        </w:rPr>
        <w:noBreakHyphen/>
        <w:t>ci, soit plus de temps qu’il n’en fallait aux policiers pour demander si un téléphone était disponible ou si l’accusé était médicalement apte à faire un appel téléphonique. À aucun moment les policiers n’ont songé à l’obligation de donner accès à l’assistance d’un avocat.</w:t>
      </w:r>
    </w:p>
    <w:p w:rsidR="00822B8B" w:rsidRDefault="00822B8B" w:rsidP="00822B8B">
      <w:pPr>
        <w:pStyle w:val="SCCNormalDoubleSpacing"/>
        <w:spacing w:line="240" w:lineRule="auto"/>
        <w:rPr>
          <w:sz w:val="20"/>
          <w:lang w:val="fr-CA"/>
        </w:rPr>
      </w:pPr>
    </w:p>
    <w:p w:rsidR="00822B8B" w:rsidRDefault="00822B8B" w:rsidP="00822B8B">
      <w:pPr>
        <w:pStyle w:val="SCCNormalDoubleSpacing"/>
        <w:spacing w:line="240" w:lineRule="auto"/>
        <w:rPr>
          <w:sz w:val="20"/>
          <w:lang w:val="fr-CA"/>
        </w:rPr>
      </w:pPr>
      <w:r w:rsidRPr="00F66FB3">
        <w:rPr>
          <w:sz w:val="20"/>
          <w:lang w:val="fr-CA"/>
        </w:rPr>
        <w:tab/>
        <w:t xml:space="preserve">La présente affaire ne porte pas tant sur le temps mis à faciliter l’accès à un avocat que sur le déni complet de cet accès. L’omission persistante de donner accès ne peut être qualifiée de raisonnable. Des droits constitutionnels ne sauraient être écartés sur la base de suppositions d’impossibilité pratique. L’existence d’obstacles à l’accès doit être </w:t>
      </w:r>
      <w:r w:rsidRPr="00F66FB3">
        <w:rPr>
          <w:sz w:val="20"/>
          <w:lang w:val="fr-CA"/>
        </w:rPr>
        <w:lastRenderedPageBreak/>
        <w:t xml:space="preserve">prouvée — et non pas supposée —, et des mesures proactives sont requises pour que le </w:t>
      </w:r>
      <w:r w:rsidRPr="00F66FB3">
        <w:rPr>
          <w:i/>
          <w:sz w:val="20"/>
          <w:lang w:val="fr-CA"/>
        </w:rPr>
        <w:t>droit</w:t>
      </w:r>
      <w:r w:rsidRPr="00F66FB3">
        <w:rPr>
          <w:sz w:val="20"/>
          <w:lang w:val="fr-CA"/>
        </w:rPr>
        <w:t xml:space="preserve"> à un avocat se concrétise en </w:t>
      </w:r>
      <w:r w:rsidRPr="00F66FB3">
        <w:rPr>
          <w:i/>
          <w:sz w:val="20"/>
          <w:lang w:val="fr-CA"/>
        </w:rPr>
        <w:t>accès</w:t>
      </w:r>
      <w:r w:rsidRPr="00F66FB3">
        <w:rPr>
          <w:sz w:val="20"/>
          <w:lang w:val="fr-CA"/>
        </w:rPr>
        <w:t xml:space="preserve"> à un avocat. Les droits garantis à l’accusé par l’al. 10</w:t>
      </w:r>
      <w:r w:rsidRPr="00F66FB3">
        <w:rPr>
          <w:i/>
          <w:sz w:val="20"/>
          <w:lang w:val="fr-CA"/>
        </w:rPr>
        <w:t>b</w:t>
      </w:r>
      <w:r w:rsidRPr="00F66FB3">
        <w:rPr>
          <w:sz w:val="20"/>
          <w:lang w:val="fr-CA"/>
        </w:rPr>
        <w:t xml:space="preserve">) ont été manifestement violés. La gravité de la violation de la </w:t>
      </w:r>
      <w:r w:rsidRPr="00F66FB3">
        <w:rPr>
          <w:i/>
          <w:sz w:val="20"/>
          <w:lang w:val="fr-CA"/>
        </w:rPr>
        <w:t>Charte</w:t>
      </w:r>
      <w:r w:rsidRPr="00F66FB3">
        <w:rPr>
          <w:sz w:val="20"/>
          <w:lang w:val="fr-CA"/>
        </w:rPr>
        <w:t xml:space="preserve"> et l’incidence de la conduite des policiers sur les intérêts de l’accusé justifient l’exclusion des éléments de preuve.</w:t>
      </w:r>
    </w:p>
    <w:p w:rsidR="00822B8B" w:rsidRDefault="00822B8B" w:rsidP="00822B8B">
      <w:pPr>
        <w:pStyle w:val="SCCNormalDoubleSpacing"/>
        <w:spacing w:line="240" w:lineRule="auto"/>
        <w:rPr>
          <w:sz w:val="20"/>
          <w:lang w:val="fr-CA"/>
        </w:rPr>
      </w:pPr>
    </w:p>
    <w:p w:rsidR="00822B8B" w:rsidRPr="00F66FB3" w:rsidRDefault="00822B8B" w:rsidP="00822B8B">
      <w:pPr>
        <w:pStyle w:val="SCCNormalDoubleSpacing"/>
        <w:spacing w:line="240" w:lineRule="auto"/>
        <w:rPr>
          <w:sz w:val="20"/>
          <w:lang w:val="fr-CA"/>
        </w:rPr>
      </w:pPr>
      <w:r w:rsidRPr="00F66FB3">
        <w:rPr>
          <w:sz w:val="20"/>
          <w:lang w:val="fr-CA"/>
        </w:rPr>
        <w:tab/>
        <w:t>POURVOI contre un arrêt de la Cour d’appel de l’Alberta (les juges Berger, O’Brien et Slatter), 2013 ABCA 342, 87 Alta. L.R. (5th) 114, 561 A.R. 103, 594 W.A.C. 103, [2014] 1 W.W.R. 352, 302 C.C.C. (3d) 181, 7 C.R. (7th) 165, 293 C.R.R. (2d) 69, 54 M.V.R. (6th) 190, [2013] A.J. No. 1079 (QL), 2013 CarswellAlta 1933, qui a annulé les déclarations de culpabilité pour conduite avec facultés affaiblies causant des lésions corporelles prononcées contre l’accusé.  Pourvoi rejeté.</w:t>
      </w:r>
    </w:p>
    <w:p w:rsidR="00822B8B" w:rsidRDefault="00822B8B" w:rsidP="00822B8B">
      <w:pPr>
        <w:pStyle w:val="SCCNormalDoubleSpacing"/>
        <w:spacing w:line="240" w:lineRule="auto"/>
        <w:rPr>
          <w:i/>
          <w:sz w:val="20"/>
          <w:lang w:val="fr-CA"/>
        </w:rPr>
      </w:pPr>
    </w:p>
    <w:p w:rsidR="00822B8B" w:rsidRPr="00F66FB3" w:rsidRDefault="00822B8B" w:rsidP="00822B8B">
      <w:pPr>
        <w:pStyle w:val="SCCNormalDoubleSpacing"/>
        <w:spacing w:line="240" w:lineRule="auto"/>
        <w:rPr>
          <w:sz w:val="20"/>
          <w:lang w:val="fr-CA"/>
        </w:rPr>
      </w:pPr>
      <w:r w:rsidRPr="00F66FB3">
        <w:rPr>
          <w:i/>
          <w:sz w:val="20"/>
          <w:lang w:val="fr-CA"/>
        </w:rPr>
        <w:tab/>
        <w:t>Jason R. Russell</w:t>
      </w:r>
      <w:r w:rsidRPr="00F66FB3">
        <w:rPr>
          <w:sz w:val="20"/>
          <w:lang w:val="fr-CA"/>
        </w:rPr>
        <w:t>, pour l’appelante.</w:t>
      </w:r>
    </w:p>
    <w:p w:rsidR="00822B8B" w:rsidRDefault="00822B8B" w:rsidP="00822B8B">
      <w:pPr>
        <w:pStyle w:val="SCCNormalDoubleSpacing"/>
        <w:spacing w:line="240" w:lineRule="auto"/>
        <w:rPr>
          <w:i/>
          <w:sz w:val="20"/>
          <w:lang w:val="fr-CA"/>
        </w:rPr>
      </w:pPr>
    </w:p>
    <w:p w:rsidR="00822B8B" w:rsidRPr="00F66FB3" w:rsidRDefault="00822B8B" w:rsidP="00822B8B">
      <w:pPr>
        <w:pStyle w:val="SCCNormalDoubleSpacing"/>
        <w:spacing w:line="240" w:lineRule="auto"/>
        <w:rPr>
          <w:sz w:val="20"/>
          <w:lang w:val="fr-CA"/>
        </w:rPr>
      </w:pPr>
      <w:r w:rsidRPr="00F66FB3">
        <w:rPr>
          <w:i/>
          <w:sz w:val="20"/>
          <w:lang w:val="fr-CA"/>
        </w:rPr>
        <w:tab/>
        <w:t>Patrick C. Fagan</w:t>
      </w:r>
      <w:r w:rsidRPr="00F66FB3">
        <w:rPr>
          <w:sz w:val="20"/>
          <w:lang w:val="fr-CA"/>
        </w:rPr>
        <w:t xml:space="preserve">, </w:t>
      </w:r>
      <w:r w:rsidRPr="00F66FB3">
        <w:rPr>
          <w:i/>
          <w:sz w:val="20"/>
          <w:lang w:val="fr-CA"/>
        </w:rPr>
        <w:t>c.r.</w:t>
      </w:r>
      <w:r w:rsidRPr="00F66FB3">
        <w:rPr>
          <w:sz w:val="20"/>
          <w:lang w:val="fr-CA"/>
        </w:rPr>
        <w:t xml:space="preserve">, et </w:t>
      </w:r>
      <w:r w:rsidRPr="00F66FB3">
        <w:rPr>
          <w:i/>
          <w:sz w:val="20"/>
          <w:lang w:val="fr-CA"/>
        </w:rPr>
        <w:t>Kaysi Fagan</w:t>
      </w:r>
      <w:r w:rsidRPr="00F66FB3">
        <w:rPr>
          <w:sz w:val="20"/>
          <w:lang w:val="fr-CA"/>
        </w:rPr>
        <w:t>, pour l’intimé.</w:t>
      </w:r>
    </w:p>
    <w:p w:rsidR="00822B8B" w:rsidRDefault="00822B8B" w:rsidP="00822B8B">
      <w:pPr>
        <w:pStyle w:val="SCCNormalDoubleSpacing"/>
        <w:spacing w:line="240" w:lineRule="auto"/>
        <w:rPr>
          <w:i/>
          <w:sz w:val="20"/>
          <w:lang w:val="fr-CA"/>
        </w:rPr>
      </w:pPr>
    </w:p>
    <w:p w:rsidR="00822B8B" w:rsidRPr="00F66FB3" w:rsidRDefault="00822B8B" w:rsidP="00822B8B">
      <w:pPr>
        <w:pStyle w:val="SCCNormalDoubleSpacing"/>
        <w:spacing w:line="240" w:lineRule="auto"/>
        <w:rPr>
          <w:sz w:val="20"/>
          <w:lang w:val="fr-CA"/>
        </w:rPr>
      </w:pPr>
      <w:r w:rsidRPr="00F66FB3">
        <w:rPr>
          <w:i/>
          <w:sz w:val="20"/>
          <w:lang w:val="fr-CA"/>
        </w:rPr>
        <w:tab/>
        <w:t>Nick Devlin</w:t>
      </w:r>
      <w:r w:rsidRPr="00F66FB3">
        <w:rPr>
          <w:sz w:val="20"/>
          <w:lang w:val="fr-CA"/>
        </w:rPr>
        <w:t xml:space="preserve"> et </w:t>
      </w:r>
      <w:r w:rsidRPr="00F66FB3">
        <w:rPr>
          <w:i/>
          <w:sz w:val="20"/>
          <w:lang w:val="fr-CA"/>
        </w:rPr>
        <w:t>Jennifer Conroy</w:t>
      </w:r>
      <w:r w:rsidRPr="00F66FB3">
        <w:rPr>
          <w:sz w:val="20"/>
          <w:lang w:val="fr-CA"/>
        </w:rPr>
        <w:t>, pour l’intervenant le directeur des poursuites pénales du Canada.</w:t>
      </w:r>
    </w:p>
    <w:p w:rsidR="00822B8B" w:rsidRDefault="00822B8B" w:rsidP="00822B8B">
      <w:pPr>
        <w:pStyle w:val="SCCNormalDoubleSpacing"/>
        <w:spacing w:line="240" w:lineRule="auto"/>
        <w:rPr>
          <w:i/>
          <w:sz w:val="20"/>
          <w:lang w:val="fr-CA"/>
        </w:rPr>
      </w:pPr>
    </w:p>
    <w:p w:rsidR="00822B8B" w:rsidRPr="00F66FB3" w:rsidRDefault="00822B8B" w:rsidP="00822B8B">
      <w:pPr>
        <w:pStyle w:val="SCCNormalDoubleSpacing"/>
        <w:spacing w:line="240" w:lineRule="auto"/>
        <w:rPr>
          <w:sz w:val="20"/>
          <w:lang w:val="fr-CA"/>
        </w:rPr>
      </w:pPr>
      <w:r w:rsidRPr="00F66FB3">
        <w:rPr>
          <w:i/>
          <w:sz w:val="20"/>
          <w:lang w:val="fr-CA"/>
        </w:rPr>
        <w:tab/>
        <w:t>Frank Au</w:t>
      </w:r>
      <w:r w:rsidRPr="00F66FB3">
        <w:rPr>
          <w:sz w:val="20"/>
          <w:lang w:val="fr-CA"/>
        </w:rPr>
        <w:t>, pour l’intervenant le procureur général de l’Ontario.</w:t>
      </w:r>
    </w:p>
    <w:p w:rsidR="00822B8B" w:rsidRDefault="00822B8B" w:rsidP="00822B8B">
      <w:pPr>
        <w:pStyle w:val="SCCNormalDoubleSpacing"/>
        <w:spacing w:line="240" w:lineRule="auto"/>
        <w:rPr>
          <w:i/>
          <w:sz w:val="20"/>
          <w:lang w:val="fr-CA"/>
        </w:rPr>
      </w:pPr>
    </w:p>
    <w:p w:rsidR="00822B8B" w:rsidRPr="00F66FB3" w:rsidRDefault="00822B8B" w:rsidP="00822B8B">
      <w:pPr>
        <w:pStyle w:val="SCCNormalDoubleSpacing"/>
        <w:spacing w:line="240" w:lineRule="auto"/>
        <w:rPr>
          <w:sz w:val="20"/>
          <w:lang w:val="fr-CA"/>
        </w:rPr>
      </w:pPr>
      <w:r w:rsidRPr="00F66FB3">
        <w:rPr>
          <w:i/>
          <w:sz w:val="20"/>
          <w:lang w:val="fr-CA"/>
        </w:rPr>
        <w:tab/>
        <w:t>David S. Rose</w:t>
      </w:r>
      <w:r w:rsidRPr="00F66FB3">
        <w:rPr>
          <w:sz w:val="20"/>
          <w:lang w:val="fr-CA"/>
        </w:rPr>
        <w:t>, pour l’intervenante l’Association canadienne des libertés civiles.</w:t>
      </w:r>
    </w:p>
    <w:p w:rsidR="00822B8B" w:rsidRDefault="00822B8B" w:rsidP="00822B8B">
      <w:pPr>
        <w:pStyle w:val="SCCLawFirm"/>
        <w:spacing w:line="240" w:lineRule="auto"/>
        <w:rPr>
          <w:sz w:val="20"/>
          <w:lang w:val="fr-CA"/>
        </w:rPr>
      </w:pPr>
    </w:p>
    <w:p w:rsidR="00822B8B" w:rsidRPr="00F66FB3" w:rsidRDefault="00822B8B" w:rsidP="00822B8B">
      <w:pPr>
        <w:pStyle w:val="SCCLawFirm"/>
        <w:spacing w:line="240" w:lineRule="auto"/>
        <w:rPr>
          <w:sz w:val="20"/>
          <w:lang w:val="fr-CA"/>
        </w:rPr>
      </w:pPr>
      <w:r w:rsidRPr="00F66FB3">
        <w:rPr>
          <w:sz w:val="20"/>
          <w:lang w:val="fr-CA"/>
        </w:rPr>
        <w:tab/>
        <w:t>Procureur de l’appelante : Procureur général de l’Alberta, Edmonton.</w:t>
      </w:r>
    </w:p>
    <w:p w:rsidR="00822B8B" w:rsidRDefault="00822B8B" w:rsidP="00822B8B">
      <w:pPr>
        <w:pStyle w:val="SCCLawFirm"/>
        <w:spacing w:line="240" w:lineRule="auto"/>
        <w:rPr>
          <w:sz w:val="20"/>
          <w:lang w:val="fr-CA"/>
        </w:rPr>
      </w:pPr>
    </w:p>
    <w:p w:rsidR="00822B8B" w:rsidRPr="00F66FB3" w:rsidRDefault="00822B8B" w:rsidP="00822B8B">
      <w:pPr>
        <w:pStyle w:val="SCCLawFirm"/>
        <w:spacing w:line="240" w:lineRule="auto"/>
        <w:rPr>
          <w:sz w:val="20"/>
          <w:lang w:val="fr-CA"/>
        </w:rPr>
      </w:pPr>
      <w:r w:rsidRPr="00F66FB3">
        <w:rPr>
          <w:sz w:val="20"/>
          <w:lang w:val="fr-CA"/>
        </w:rPr>
        <w:tab/>
        <w:t>Procureurs de l’intimé : Fagan &amp; McKay, Calgary.</w:t>
      </w:r>
    </w:p>
    <w:p w:rsidR="00822B8B" w:rsidRDefault="00822B8B" w:rsidP="00822B8B">
      <w:pPr>
        <w:pStyle w:val="SCCLawFirm"/>
        <w:spacing w:line="240" w:lineRule="auto"/>
        <w:rPr>
          <w:sz w:val="20"/>
          <w:lang w:val="fr-CA"/>
        </w:rPr>
      </w:pPr>
    </w:p>
    <w:p w:rsidR="00822B8B" w:rsidRPr="00F66FB3" w:rsidRDefault="00822B8B" w:rsidP="00822B8B">
      <w:pPr>
        <w:pStyle w:val="SCCLawFirm"/>
        <w:spacing w:line="240" w:lineRule="auto"/>
        <w:rPr>
          <w:sz w:val="20"/>
          <w:lang w:val="fr-CA"/>
        </w:rPr>
      </w:pPr>
      <w:r w:rsidRPr="00F66FB3">
        <w:rPr>
          <w:sz w:val="20"/>
          <w:lang w:val="fr-CA"/>
        </w:rPr>
        <w:tab/>
        <w:t>Procureur de l’intervenant le directeur des poursuites pénales du Canada : Service des poursuites pénales du Canada, Toronto.</w:t>
      </w:r>
    </w:p>
    <w:p w:rsidR="00822B8B" w:rsidRDefault="00822B8B" w:rsidP="00822B8B">
      <w:pPr>
        <w:pStyle w:val="SCCLawFirm"/>
        <w:spacing w:line="240" w:lineRule="auto"/>
        <w:rPr>
          <w:sz w:val="20"/>
          <w:lang w:val="fr-CA"/>
        </w:rPr>
      </w:pPr>
    </w:p>
    <w:p w:rsidR="00822B8B" w:rsidRPr="00F66FB3" w:rsidRDefault="00822B8B" w:rsidP="00822B8B">
      <w:pPr>
        <w:pStyle w:val="SCCLawFirm"/>
        <w:spacing w:line="240" w:lineRule="auto"/>
        <w:rPr>
          <w:sz w:val="20"/>
          <w:lang w:val="fr-CA"/>
        </w:rPr>
      </w:pPr>
      <w:r w:rsidRPr="00F66FB3">
        <w:rPr>
          <w:sz w:val="20"/>
          <w:lang w:val="fr-CA"/>
        </w:rPr>
        <w:tab/>
        <w:t>Procureur de l’intervenant le procureur général de l’Ontario : Procureur général de l’Ontario, Toronto.</w:t>
      </w:r>
    </w:p>
    <w:p w:rsidR="00822B8B" w:rsidRDefault="00822B8B" w:rsidP="00822B8B">
      <w:pPr>
        <w:pStyle w:val="SCCLawFirm"/>
        <w:spacing w:line="240" w:lineRule="auto"/>
        <w:rPr>
          <w:sz w:val="20"/>
          <w:lang w:val="fr-CA"/>
        </w:rPr>
      </w:pPr>
    </w:p>
    <w:p w:rsidR="00822B8B" w:rsidRDefault="00822B8B" w:rsidP="00822B8B">
      <w:pPr>
        <w:pStyle w:val="SCCLawFirm"/>
        <w:spacing w:line="240" w:lineRule="auto"/>
        <w:rPr>
          <w:sz w:val="20"/>
          <w:lang w:val="fr-CA"/>
        </w:rPr>
      </w:pPr>
      <w:r w:rsidRPr="00F66FB3">
        <w:rPr>
          <w:sz w:val="20"/>
          <w:lang w:val="fr-CA"/>
        </w:rPr>
        <w:tab/>
        <w:t>Procureurs de l’intervenante l’Association canadienne des libertés civiles : David Rose Law, Toronto.</w:t>
      </w:r>
    </w:p>
    <w:p w:rsidR="00902E51" w:rsidRPr="00352A49" w:rsidRDefault="00902E51" w:rsidP="00902E51">
      <w:pPr>
        <w:rPr>
          <w:sz w:val="20"/>
          <w:szCs w:val="20"/>
          <w:lang w:val="fr-CA"/>
        </w:rPr>
      </w:pPr>
    </w:p>
    <w:p w:rsidR="00902E51" w:rsidRDefault="00944C2E" w:rsidP="00902E51">
      <w:pPr>
        <w:rPr>
          <w:rFonts w:cs="Times New Roman"/>
          <w:sz w:val="20"/>
          <w:szCs w:val="20"/>
          <w:lang w:val="fr-CA"/>
        </w:rPr>
      </w:pPr>
      <w:r>
        <w:rPr>
          <w:rFonts w:cs="Times New Roman"/>
          <w:sz w:val="20"/>
          <w:szCs w:val="20"/>
          <w:lang w:val="fr-CA"/>
        </w:rPr>
        <w:pict>
          <v:rect id="_x0000_i1078"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66"/>
          <w:headerReference w:type="default" r:id="rId67"/>
          <w:footerReference w:type="even" r:id="rId68"/>
          <w:footerReference w:type="default" r:id="rId69"/>
          <w:headerReference w:type="first" r:id="rId70"/>
          <w:footerReference w:type="first" r:id="rId71"/>
          <w:pgSz w:w="12240" w:h="15840"/>
          <w:pgMar w:top="720" w:right="965" w:bottom="1080" w:left="1656" w:header="576" w:footer="960" w:gutter="0"/>
          <w:cols w:space="720"/>
          <w:titlePg/>
          <w:docGrid w:linePitch="272"/>
        </w:sectPr>
      </w:pPr>
    </w:p>
    <w:p w:rsidR="00370220" w:rsidRPr="008868E4" w:rsidRDefault="00935682" w:rsidP="00370220">
      <w:pPr>
        <w:widowControl w:val="0"/>
        <w:spacing w:line="180" w:lineRule="auto"/>
        <w:jc w:val="center"/>
        <w:rPr>
          <w:rFonts w:asciiTheme="minorHAnsi" w:hAnsiTheme="minorHAnsi" w:cstheme="minorHAnsi"/>
          <w:b/>
          <w:szCs w:val="24"/>
          <w:lang w:val="fr-CA"/>
        </w:rPr>
      </w:pPr>
      <w:r w:rsidRPr="002E0C7E">
        <w:rPr>
          <w:rFonts w:asciiTheme="minorHAnsi" w:hAnsiTheme="minorHAnsi" w:cstheme="minorHAnsi"/>
          <w:b/>
          <w:szCs w:val="24"/>
        </w:rPr>
        <w:lastRenderedPageBreak/>
        <w:fldChar w:fldCharType="begin"/>
      </w:r>
      <w:r w:rsidR="00370220" w:rsidRPr="008868E4">
        <w:rPr>
          <w:rFonts w:asciiTheme="minorHAnsi" w:hAnsiTheme="minorHAnsi" w:cstheme="minorHAnsi"/>
          <w:b/>
          <w:szCs w:val="24"/>
          <w:lang w:val="fr-CA"/>
        </w:rPr>
        <w:instrText xml:space="preserve"> SEQ CHAPTER \h \r 1</w:instrText>
      </w:r>
      <w:r w:rsidRPr="002E0C7E">
        <w:rPr>
          <w:rFonts w:asciiTheme="minorHAnsi" w:hAnsiTheme="minorHAnsi" w:cstheme="minorHAnsi"/>
          <w:b/>
          <w:szCs w:val="24"/>
        </w:rPr>
        <w:fldChar w:fldCharType="end"/>
      </w:r>
      <w:r w:rsidR="00370220" w:rsidRPr="008868E4">
        <w:rPr>
          <w:rFonts w:asciiTheme="minorHAnsi" w:hAnsiTheme="minorHAnsi" w:cstheme="minorHAnsi"/>
          <w:b/>
          <w:szCs w:val="24"/>
          <w:lang w:val="fr-CA"/>
        </w:rPr>
        <w:t>SUPREME COURT OF CANADA SCHEDULE / CALENDRIER DE LA COUR SUPREME</w:t>
      </w:r>
    </w:p>
    <w:p w:rsidR="00370220" w:rsidRPr="008868E4" w:rsidRDefault="00370220" w:rsidP="00370220">
      <w:pPr>
        <w:widowControl w:val="0"/>
        <w:spacing w:line="180" w:lineRule="auto"/>
        <w:rPr>
          <w:rFonts w:asciiTheme="minorHAnsi" w:hAnsiTheme="minorHAnsi" w:cstheme="minorHAnsi"/>
          <w:szCs w:val="24"/>
          <w:lang w:val="fr-CA"/>
        </w:rPr>
      </w:pPr>
    </w:p>
    <w:p w:rsidR="00370220" w:rsidRPr="008868E4" w:rsidRDefault="00370220" w:rsidP="00370220">
      <w:pPr>
        <w:widowControl w:val="0"/>
        <w:tabs>
          <w:tab w:val="center" w:pos="5400"/>
          <w:tab w:val="right" w:pos="10440"/>
        </w:tabs>
        <w:rPr>
          <w:rFonts w:ascii="Arial" w:hAnsi="Arial"/>
          <w:sz w:val="18"/>
          <w:lang w:val="fr-CA"/>
        </w:rPr>
      </w:pPr>
      <w:r w:rsidRPr="008868E4">
        <w:rPr>
          <w:rFonts w:ascii="Arial" w:hAnsi="Arial"/>
          <w:sz w:val="18"/>
          <w:lang w:val="fr-CA"/>
        </w:rPr>
        <w:tab/>
      </w:r>
      <w:r w:rsidRPr="008868E4">
        <w:rPr>
          <w:rFonts w:ascii="Arial" w:hAnsi="Arial"/>
          <w:i/>
          <w:sz w:val="36"/>
          <w:lang w:val="fr-CA"/>
        </w:rPr>
        <w:t xml:space="preserve">- </w:t>
      </w:r>
      <w:r w:rsidRPr="008868E4">
        <w:rPr>
          <w:rFonts w:ascii="Arial" w:hAnsi="Arial"/>
          <w:b/>
          <w:i/>
          <w:sz w:val="36"/>
          <w:lang w:val="fr-CA"/>
        </w:rPr>
        <w:t>2014</w:t>
      </w:r>
      <w:r w:rsidRPr="008868E4">
        <w:rPr>
          <w:rFonts w:ascii="Arial" w:hAnsi="Arial"/>
          <w:i/>
          <w:sz w:val="36"/>
          <w:lang w:val="fr-CA"/>
        </w:rPr>
        <w:t xml:space="preserve"> -</w:t>
      </w:r>
      <w:r w:rsidRPr="008868E4">
        <w:rPr>
          <w:rFonts w:ascii="Arial" w:hAnsi="Arial"/>
          <w:sz w:val="18"/>
          <w:lang w:val="fr-CA"/>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370220" w:rsidRPr="002E0C7E" w:rsidTr="0097756E">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370220" w:rsidRPr="002E0C7E" w:rsidRDefault="00370220" w:rsidP="0097756E">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370220" w:rsidRPr="002E0C7E" w:rsidRDefault="00370220" w:rsidP="0097756E">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370220" w:rsidRPr="002E0C7E" w:rsidRDefault="00370220" w:rsidP="0097756E">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370220" w:rsidRPr="002E0C7E" w:rsidRDefault="00370220" w:rsidP="0097756E">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370220" w:rsidRPr="002E0C7E" w:rsidRDefault="00370220" w:rsidP="0097756E">
            <w:pPr>
              <w:widowControl w:val="0"/>
              <w:jc w:val="center"/>
              <w:rPr>
                <w:rFonts w:ascii="Arial" w:hAnsi="Arial"/>
                <w:sz w:val="14"/>
              </w:rPr>
            </w:pPr>
            <w:r w:rsidRPr="002E0C7E">
              <w:rPr>
                <w:rFonts w:ascii="Arial" w:hAnsi="Arial"/>
                <w:b/>
                <w:sz w:val="14"/>
              </w:rPr>
              <w:t>DECEMBER - DÉCEMBRE</w:t>
            </w:r>
          </w:p>
        </w:tc>
      </w:tr>
      <w:tr w:rsidR="00370220" w:rsidRPr="002E0C7E" w:rsidTr="0097756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S</w:t>
            </w:r>
          </w:p>
          <w:p w:rsidR="00370220" w:rsidRPr="002E0C7E" w:rsidRDefault="00370220" w:rsidP="0097756E">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M</w:t>
            </w:r>
          </w:p>
          <w:p w:rsidR="00370220" w:rsidRPr="002E0C7E" w:rsidRDefault="00370220" w:rsidP="0097756E">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T</w:t>
            </w:r>
          </w:p>
          <w:p w:rsidR="00370220" w:rsidRPr="002E0C7E" w:rsidRDefault="00370220" w:rsidP="0097756E">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W</w:t>
            </w:r>
          </w:p>
          <w:p w:rsidR="00370220" w:rsidRPr="002E0C7E" w:rsidRDefault="00370220" w:rsidP="0097756E">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T</w:t>
            </w:r>
          </w:p>
          <w:p w:rsidR="00370220" w:rsidRPr="002E0C7E" w:rsidRDefault="00370220" w:rsidP="0097756E">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F</w:t>
            </w:r>
          </w:p>
          <w:p w:rsidR="00370220" w:rsidRPr="002E0C7E" w:rsidRDefault="00370220" w:rsidP="0097756E">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S</w:t>
            </w:r>
          </w:p>
          <w:p w:rsidR="00370220" w:rsidRPr="002E0C7E" w:rsidRDefault="00370220" w:rsidP="0097756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S</w:t>
            </w:r>
          </w:p>
          <w:p w:rsidR="00370220" w:rsidRPr="002E0C7E" w:rsidRDefault="00370220" w:rsidP="0097756E">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M</w:t>
            </w:r>
          </w:p>
          <w:p w:rsidR="00370220" w:rsidRPr="002E0C7E" w:rsidRDefault="00370220" w:rsidP="0097756E">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T</w:t>
            </w:r>
          </w:p>
          <w:p w:rsidR="00370220" w:rsidRPr="002E0C7E" w:rsidRDefault="00370220" w:rsidP="0097756E">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W</w:t>
            </w:r>
          </w:p>
          <w:p w:rsidR="00370220" w:rsidRPr="002E0C7E" w:rsidRDefault="00370220" w:rsidP="0097756E">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T</w:t>
            </w:r>
          </w:p>
          <w:p w:rsidR="00370220" w:rsidRPr="002E0C7E" w:rsidRDefault="00370220" w:rsidP="0097756E">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F</w:t>
            </w:r>
          </w:p>
          <w:p w:rsidR="00370220" w:rsidRPr="002E0C7E" w:rsidRDefault="00370220" w:rsidP="0097756E">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S</w:t>
            </w:r>
          </w:p>
          <w:p w:rsidR="00370220" w:rsidRPr="002E0C7E" w:rsidRDefault="00370220" w:rsidP="0097756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S</w:t>
            </w:r>
          </w:p>
          <w:p w:rsidR="00370220" w:rsidRPr="002E0C7E" w:rsidRDefault="00370220" w:rsidP="0097756E">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M</w:t>
            </w:r>
          </w:p>
          <w:p w:rsidR="00370220" w:rsidRPr="002E0C7E" w:rsidRDefault="00370220" w:rsidP="0097756E">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T</w:t>
            </w:r>
          </w:p>
          <w:p w:rsidR="00370220" w:rsidRPr="002E0C7E" w:rsidRDefault="00370220" w:rsidP="0097756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W</w:t>
            </w:r>
          </w:p>
          <w:p w:rsidR="00370220" w:rsidRPr="002E0C7E" w:rsidRDefault="00370220" w:rsidP="0097756E">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T</w:t>
            </w:r>
          </w:p>
          <w:p w:rsidR="00370220" w:rsidRPr="002E0C7E" w:rsidRDefault="00370220" w:rsidP="0097756E">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F</w:t>
            </w:r>
          </w:p>
          <w:p w:rsidR="00370220" w:rsidRPr="002E0C7E" w:rsidRDefault="00370220" w:rsidP="0097756E">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S</w:t>
            </w:r>
          </w:p>
          <w:p w:rsidR="00370220" w:rsidRPr="002E0C7E" w:rsidRDefault="00370220" w:rsidP="0097756E">
            <w:pPr>
              <w:widowControl w:val="0"/>
              <w:jc w:val="center"/>
              <w:rPr>
                <w:rFonts w:ascii="Arial" w:hAnsi="Arial"/>
                <w:sz w:val="14"/>
              </w:rPr>
            </w:pPr>
            <w:r w:rsidRPr="002E0C7E">
              <w:rPr>
                <w:rFonts w:ascii="Arial" w:hAnsi="Arial"/>
                <w:sz w:val="14"/>
              </w:rPr>
              <w:t>S</w:t>
            </w:r>
          </w:p>
        </w:tc>
      </w:tr>
      <w:tr w:rsidR="00370220" w:rsidRPr="002E0C7E" w:rsidTr="0097756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370220"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370220" w:rsidRPr="00035CC4" w:rsidRDefault="00370220" w:rsidP="0097756E">
            <w:pPr>
              <w:widowControl w:val="0"/>
              <w:jc w:val="center"/>
              <w:rPr>
                <w:rFonts w:ascii="Arial" w:hAnsi="Arial"/>
                <w:b/>
                <w:sz w:val="14"/>
              </w:rPr>
            </w:pPr>
            <w:r>
              <w:rPr>
                <w:rFonts w:ascii="Arial" w:hAnsi="Arial"/>
                <w:b/>
                <w:sz w:val="14"/>
              </w:rPr>
              <w:t>M</w:t>
            </w:r>
          </w:p>
          <w:p w:rsidR="00370220" w:rsidRPr="002E0C7E" w:rsidRDefault="00370220" w:rsidP="0097756E">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6</w:t>
            </w:r>
          </w:p>
        </w:tc>
      </w:tr>
      <w:tr w:rsidR="00370220" w:rsidRPr="002E0C7E" w:rsidTr="0097756E">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370220" w:rsidRPr="000C583B" w:rsidRDefault="00370220" w:rsidP="0097756E">
            <w:pPr>
              <w:widowControl w:val="0"/>
              <w:jc w:val="center"/>
              <w:rPr>
                <w:rFonts w:ascii="Arial" w:hAnsi="Arial"/>
                <w:b/>
                <w:sz w:val="14"/>
              </w:rPr>
            </w:pPr>
            <w:r>
              <w:rPr>
                <w:rFonts w:ascii="Arial" w:hAnsi="Arial"/>
                <w:b/>
                <w:sz w:val="14"/>
              </w:rPr>
              <w:t>M</w:t>
            </w:r>
          </w:p>
          <w:p w:rsidR="00370220" w:rsidRPr="002E0C7E" w:rsidRDefault="00370220" w:rsidP="0097756E">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370220" w:rsidRPr="000C583B" w:rsidRDefault="00370220" w:rsidP="0097756E">
            <w:pPr>
              <w:widowControl w:val="0"/>
              <w:jc w:val="center"/>
              <w:rPr>
                <w:rFonts w:ascii="Arial" w:hAnsi="Arial"/>
                <w:b/>
                <w:sz w:val="14"/>
              </w:rPr>
            </w:pPr>
          </w:p>
          <w:p w:rsidR="00370220" w:rsidRPr="002E0C7E" w:rsidRDefault="00370220" w:rsidP="0097756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b/>
                <w:sz w:val="14"/>
              </w:rPr>
              <w:t>M</w:t>
            </w:r>
          </w:p>
          <w:p w:rsidR="00370220" w:rsidRPr="002E0C7E" w:rsidRDefault="00370220" w:rsidP="0097756E">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13</w:t>
            </w:r>
          </w:p>
        </w:tc>
      </w:tr>
      <w:tr w:rsidR="00370220" w:rsidRPr="002E0C7E" w:rsidTr="0097756E">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370220" w:rsidRPr="000C583B" w:rsidRDefault="00370220" w:rsidP="0097756E">
            <w:pPr>
              <w:widowControl w:val="0"/>
              <w:jc w:val="center"/>
              <w:rPr>
                <w:rFonts w:ascii="Arial" w:hAnsi="Arial"/>
                <w:b/>
                <w:sz w:val="14"/>
              </w:rPr>
            </w:pPr>
            <w:r>
              <w:rPr>
                <w:rFonts w:ascii="Arial" w:hAnsi="Arial"/>
                <w:b/>
                <w:sz w:val="14"/>
              </w:rPr>
              <w:t>H</w:t>
            </w: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0C583B"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370220" w:rsidRPr="004030BA"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370220" w:rsidRPr="004F066E" w:rsidRDefault="00370220" w:rsidP="0097756E">
            <w:pPr>
              <w:widowControl w:val="0"/>
              <w:jc w:val="center"/>
              <w:rPr>
                <w:rFonts w:ascii="Arial" w:hAnsi="Arial"/>
                <w:b/>
                <w:sz w:val="14"/>
              </w:rPr>
            </w:pPr>
            <w:r w:rsidRPr="004F066E">
              <w:rPr>
                <w:rFonts w:ascii="Arial" w:hAnsi="Arial"/>
                <w:b/>
                <w:sz w:val="14"/>
              </w:rPr>
              <w:t>H</w:t>
            </w:r>
          </w:p>
          <w:p w:rsidR="00370220" w:rsidRPr="002E0C7E" w:rsidRDefault="00370220" w:rsidP="0097756E">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20</w:t>
            </w:r>
          </w:p>
        </w:tc>
      </w:tr>
      <w:tr w:rsidR="00370220" w:rsidRPr="002E0C7E" w:rsidTr="0097756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370220" w:rsidRPr="00D23ECF" w:rsidRDefault="00370220" w:rsidP="0097756E">
            <w:pPr>
              <w:widowControl w:val="0"/>
              <w:jc w:val="center"/>
              <w:rPr>
                <w:rFonts w:ascii="Arial" w:hAnsi="Arial"/>
                <w:b/>
                <w:sz w:val="14"/>
              </w:rPr>
            </w:pPr>
          </w:p>
          <w:p w:rsidR="00370220" w:rsidRPr="002E0C7E" w:rsidRDefault="00370220" w:rsidP="0097756E">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370220" w:rsidRPr="00D23ECF" w:rsidRDefault="00370220" w:rsidP="0097756E">
            <w:pPr>
              <w:widowControl w:val="0"/>
              <w:jc w:val="center"/>
              <w:rPr>
                <w:rFonts w:ascii="Arial" w:hAnsi="Arial"/>
                <w:b/>
                <w:sz w:val="14"/>
              </w:rPr>
            </w:pPr>
            <w:r>
              <w:rPr>
                <w:rFonts w:ascii="Arial" w:hAnsi="Arial"/>
                <w:b/>
                <w:sz w:val="14"/>
              </w:rPr>
              <w:t>H</w:t>
            </w:r>
          </w:p>
          <w:p w:rsidR="00370220" w:rsidRPr="002E0C7E" w:rsidRDefault="00370220" w:rsidP="0097756E">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370220" w:rsidRPr="00D23ECF" w:rsidRDefault="00370220" w:rsidP="0097756E">
            <w:pPr>
              <w:widowControl w:val="0"/>
              <w:jc w:val="center"/>
              <w:rPr>
                <w:rFonts w:ascii="Arial" w:hAnsi="Arial"/>
                <w:b/>
                <w:sz w:val="14"/>
              </w:rPr>
            </w:pPr>
            <w:r>
              <w:rPr>
                <w:rFonts w:ascii="Arial" w:hAnsi="Arial"/>
                <w:b/>
                <w:sz w:val="14"/>
              </w:rPr>
              <w:t>H</w:t>
            </w:r>
          </w:p>
          <w:p w:rsidR="00370220" w:rsidRPr="002E0C7E" w:rsidRDefault="00370220" w:rsidP="0097756E">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7</w:t>
            </w:r>
          </w:p>
        </w:tc>
      </w:tr>
      <w:tr w:rsidR="00370220" w:rsidRPr="002E0C7E" w:rsidTr="0097756E">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370220" w:rsidRDefault="00370220" w:rsidP="0097756E">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370220" w:rsidRPr="002E0C7E" w:rsidRDefault="00370220" w:rsidP="0097756E">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r>
    </w:tbl>
    <w:p w:rsidR="00370220" w:rsidRPr="002E0C7E" w:rsidRDefault="00370220" w:rsidP="00370220">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370220" w:rsidRPr="002E0C7E" w:rsidTr="0097756E">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370220" w:rsidRPr="002E0C7E" w:rsidRDefault="00370220" w:rsidP="0097756E">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370220" w:rsidRPr="002E0C7E" w:rsidRDefault="00370220" w:rsidP="0097756E">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370220" w:rsidRPr="002E0C7E" w:rsidRDefault="00370220" w:rsidP="0097756E">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370220" w:rsidRPr="002E0C7E" w:rsidRDefault="00370220" w:rsidP="0097756E">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370220" w:rsidRPr="002E0C7E" w:rsidRDefault="00370220" w:rsidP="0097756E">
            <w:pPr>
              <w:widowControl w:val="0"/>
              <w:jc w:val="center"/>
              <w:rPr>
                <w:rFonts w:ascii="Arial" w:hAnsi="Arial"/>
                <w:sz w:val="14"/>
              </w:rPr>
            </w:pPr>
            <w:r w:rsidRPr="002E0C7E">
              <w:rPr>
                <w:rFonts w:ascii="Arial" w:hAnsi="Arial"/>
                <w:b/>
                <w:sz w:val="14"/>
              </w:rPr>
              <w:t>MARCH - MARS</w:t>
            </w:r>
          </w:p>
        </w:tc>
      </w:tr>
      <w:tr w:rsidR="00370220" w:rsidRPr="002E0C7E" w:rsidTr="0097756E">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S</w:t>
            </w:r>
          </w:p>
          <w:p w:rsidR="00370220" w:rsidRPr="002E0C7E" w:rsidRDefault="00370220" w:rsidP="0097756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M</w:t>
            </w:r>
          </w:p>
          <w:p w:rsidR="00370220" w:rsidRPr="002E0C7E" w:rsidRDefault="00370220" w:rsidP="0097756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T</w:t>
            </w:r>
          </w:p>
          <w:p w:rsidR="00370220" w:rsidRPr="002E0C7E" w:rsidRDefault="00370220" w:rsidP="0097756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W</w:t>
            </w:r>
          </w:p>
          <w:p w:rsidR="00370220" w:rsidRPr="002E0C7E" w:rsidRDefault="00370220" w:rsidP="0097756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T</w:t>
            </w:r>
          </w:p>
          <w:p w:rsidR="00370220" w:rsidRPr="002E0C7E" w:rsidRDefault="00370220" w:rsidP="0097756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F</w:t>
            </w:r>
          </w:p>
          <w:p w:rsidR="00370220" w:rsidRPr="002E0C7E" w:rsidRDefault="00370220" w:rsidP="0097756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S</w:t>
            </w:r>
          </w:p>
          <w:p w:rsidR="00370220" w:rsidRPr="002E0C7E" w:rsidRDefault="00370220" w:rsidP="0097756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S</w:t>
            </w:r>
          </w:p>
          <w:p w:rsidR="00370220" w:rsidRPr="002E0C7E" w:rsidRDefault="00370220" w:rsidP="0097756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M</w:t>
            </w:r>
          </w:p>
          <w:p w:rsidR="00370220" w:rsidRPr="002E0C7E" w:rsidRDefault="00370220" w:rsidP="0097756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T</w:t>
            </w:r>
          </w:p>
          <w:p w:rsidR="00370220" w:rsidRPr="002E0C7E" w:rsidRDefault="00370220" w:rsidP="0097756E">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W</w:t>
            </w:r>
          </w:p>
          <w:p w:rsidR="00370220" w:rsidRPr="002E0C7E" w:rsidRDefault="00370220" w:rsidP="0097756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T</w:t>
            </w:r>
          </w:p>
          <w:p w:rsidR="00370220" w:rsidRPr="002E0C7E" w:rsidRDefault="00370220" w:rsidP="0097756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F</w:t>
            </w:r>
          </w:p>
          <w:p w:rsidR="00370220" w:rsidRPr="002E0C7E" w:rsidRDefault="00370220" w:rsidP="0097756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S</w:t>
            </w:r>
          </w:p>
          <w:p w:rsidR="00370220" w:rsidRPr="002E0C7E" w:rsidRDefault="00370220" w:rsidP="0097756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S</w:t>
            </w:r>
          </w:p>
          <w:p w:rsidR="00370220" w:rsidRPr="002E0C7E" w:rsidRDefault="00370220" w:rsidP="0097756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M</w:t>
            </w:r>
          </w:p>
          <w:p w:rsidR="00370220" w:rsidRPr="002E0C7E" w:rsidRDefault="00370220" w:rsidP="0097756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T</w:t>
            </w:r>
          </w:p>
          <w:p w:rsidR="00370220" w:rsidRPr="002E0C7E" w:rsidRDefault="00370220" w:rsidP="0097756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W</w:t>
            </w:r>
          </w:p>
          <w:p w:rsidR="00370220" w:rsidRPr="002E0C7E" w:rsidRDefault="00370220" w:rsidP="0097756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T</w:t>
            </w:r>
          </w:p>
          <w:p w:rsidR="00370220" w:rsidRPr="002E0C7E" w:rsidRDefault="00370220" w:rsidP="0097756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F</w:t>
            </w:r>
          </w:p>
          <w:p w:rsidR="00370220" w:rsidRPr="002E0C7E" w:rsidRDefault="00370220" w:rsidP="0097756E">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S</w:t>
            </w:r>
          </w:p>
          <w:p w:rsidR="00370220" w:rsidRPr="002E0C7E" w:rsidRDefault="00370220" w:rsidP="0097756E">
            <w:pPr>
              <w:widowControl w:val="0"/>
              <w:jc w:val="center"/>
              <w:rPr>
                <w:rFonts w:ascii="Arial" w:hAnsi="Arial"/>
                <w:sz w:val="14"/>
              </w:rPr>
            </w:pPr>
            <w:r w:rsidRPr="002E0C7E">
              <w:rPr>
                <w:rFonts w:ascii="Arial" w:hAnsi="Arial"/>
                <w:sz w:val="14"/>
              </w:rPr>
              <w:t>S</w:t>
            </w:r>
          </w:p>
        </w:tc>
      </w:tr>
      <w:tr w:rsidR="00370220" w:rsidRPr="002E0C7E" w:rsidTr="0097756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370220" w:rsidRPr="00317A69" w:rsidRDefault="00370220" w:rsidP="0097756E">
            <w:pPr>
              <w:widowControl w:val="0"/>
              <w:jc w:val="center"/>
              <w:rPr>
                <w:rFonts w:ascii="Arial" w:hAnsi="Arial"/>
                <w:b/>
                <w:sz w:val="14"/>
              </w:rPr>
            </w:pPr>
          </w:p>
          <w:p w:rsidR="00370220" w:rsidRPr="002E0C7E" w:rsidRDefault="00370220" w:rsidP="0097756E">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370220" w:rsidRPr="00D23ECF" w:rsidRDefault="00370220" w:rsidP="0097756E">
            <w:pPr>
              <w:widowControl w:val="0"/>
              <w:jc w:val="center"/>
              <w:rPr>
                <w:rFonts w:ascii="Arial" w:hAnsi="Arial"/>
                <w:b/>
                <w:sz w:val="14"/>
              </w:rPr>
            </w:pPr>
          </w:p>
          <w:p w:rsidR="00370220" w:rsidRPr="002E0C7E" w:rsidRDefault="00370220" w:rsidP="0097756E">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370220" w:rsidRPr="004F066E" w:rsidRDefault="00370220" w:rsidP="0097756E">
            <w:pPr>
              <w:widowControl w:val="0"/>
              <w:jc w:val="center"/>
              <w:rPr>
                <w:rFonts w:ascii="Arial" w:hAnsi="Arial"/>
                <w:b/>
                <w:sz w:val="14"/>
              </w:rPr>
            </w:pPr>
            <w:r w:rsidRPr="004F066E">
              <w:rPr>
                <w:rFonts w:ascii="Arial" w:hAnsi="Arial"/>
                <w:b/>
                <w:sz w:val="14"/>
              </w:rPr>
              <w:t>H</w:t>
            </w:r>
          </w:p>
          <w:p w:rsidR="00370220" w:rsidRPr="002E0C7E" w:rsidRDefault="00370220" w:rsidP="0097756E">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7</w:t>
            </w:r>
          </w:p>
        </w:tc>
      </w:tr>
      <w:tr w:rsidR="00370220" w:rsidRPr="002E0C7E" w:rsidTr="0097756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370220" w:rsidRPr="00645AC1" w:rsidRDefault="00370220" w:rsidP="0097756E">
            <w:pPr>
              <w:widowControl w:val="0"/>
              <w:jc w:val="center"/>
              <w:rPr>
                <w:rFonts w:ascii="Arial" w:hAnsi="Arial"/>
                <w:b/>
                <w:sz w:val="14"/>
              </w:rPr>
            </w:pPr>
            <w:r>
              <w:rPr>
                <w:rFonts w:ascii="Arial" w:hAnsi="Arial"/>
                <w:b/>
                <w:sz w:val="14"/>
              </w:rPr>
              <w:t>M</w:t>
            </w:r>
          </w:p>
          <w:p w:rsidR="00370220" w:rsidRPr="002E0C7E" w:rsidRDefault="00370220" w:rsidP="0097756E">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14</w:t>
            </w:r>
          </w:p>
        </w:tc>
      </w:tr>
      <w:tr w:rsidR="00370220" w:rsidRPr="002E0C7E" w:rsidTr="0097756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370220" w:rsidRPr="007255AD" w:rsidRDefault="00370220" w:rsidP="0097756E">
            <w:pPr>
              <w:widowControl w:val="0"/>
              <w:jc w:val="center"/>
              <w:rPr>
                <w:rFonts w:ascii="Arial" w:hAnsi="Arial"/>
                <w:b/>
                <w:sz w:val="14"/>
              </w:rPr>
            </w:pPr>
            <w:r>
              <w:rPr>
                <w:rFonts w:ascii="Arial" w:hAnsi="Arial"/>
                <w:b/>
                <w:sz w:val="14"/>
              </w:rPr>
              <w:t>M</w:t>
            </w: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0E2B85" w:rsidRDefault="00370220" w:rsidP="0097756E">
            <w:pPr>
              <w:widowControl w:val="0"/>
              <w:jc w:val="center"/>
              <w:rPr>
                <w:rFonts w:ascii="Arial" w:hAnsi="Arial"/>
                <w:b/>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370220" w:rsidRPr="009900C5" w:rsidRDefault="00370220" w:rsidP="0097756E">
            <w:pPr>
              <w:widowControl w:val="0"/>
              <w:jc w:val="center"/>
              <w:rPr>
                <w:rFonts w:ascii="Arial" w:hAnsi="Arial"/>
                <w:b/>
                <w:sz w:val="14"/>
              </w:rPr>
            </w:pPr>
            <w:r w:rsidRPr="009900C5">
              <w:rPr>
                <w:rFonts w:ascii="Arial" w:hAnsi="Arial"/>
                <w:b/>
                <w:sz w:val="14"/>
              </w:rPr>
              <w:t>M</w:t>
            </w: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w:t>
            </w:r>
            <w:r w:rsidRPr="002E0C7E">
              <w:rPr>
                <w:rFonts w:ascii="Arial" w:hAnsi="Arial"/>
                <w:sz w:val="14"/>
              </w:rPr>
              <w:t>1</w:t>
            </w:r>
          </w:p>
        </w:tc>
      </w:tr>
      <w:tr w:rsidR="00370220" w:rsidRPr="002E0C7E" w:rsidTr="0097756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D34238" w:rsidRDefault="00370220" w:rsidP="0097756E">
            <w:pPr>
              <w:widowControl w:val="0"/>
              <w:jc w:val="center"/>
              <w:rPr>
                <w:rFonts w:ascii="Arial" w:hAnsi="Arial"/>
                <w:b/>
                <w:sz w:val="14"/>
              </w:rPr>
            </w:pPr>
          </w:p>
          <w:p w:rsidR="00370220" w:rsidRPr="002E0C7E" w:rsidRDefault="00370220" w:rsidP="0097756E">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8</w:t>
            </w:r>
          </w:p>
        </w:tc>
      </w:tr>
      <w:tr w:rsidR="00370220" w:rsidRPr="002E0C7E" w:rsidTr="0097756E">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370220"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370220" w:rsidRPr="00261B35" w:rsidRDefault="00370220" w:rsidP="0097756E">
            <w:pPr>
              <w:widowControl w:val="0"/>
              <w:jc w:val="center"/>
              <w:rPr>
                <w:rFonts w:ascii="Arial" w:hAnsi="Arial"/>
                <w:b/>
                <w:sz w:val="14"/>
              </w:rPr>
            </w:pPr>
          </w:p>
          <w:p w:rsidR="00370220" w:rsidRPr="002E0C7E" w:rsidRDefault="00370220" w:rsidP="0097756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r>
    </w:tbl>
    <w:p w:rsidR="00370220" w:rsidRPr="002E0C7E" w:rsidRDefault="00370220" w:rsidP="00370220">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370220" w:rsidRPr="002E0C7E" w:rsidTr="0097756E">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370220" w:rsidRPr="002E0C7E" w:rsidRDefault="00370220" w:rsidP="0097756E">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370220" w:rsidRPr="002E0C7E" w:rsidRDefault="00370220" w:rsidP="0097756E">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370220" w:rsidRPr="002E0C7E" w:rsidRDefault="00370220" w:rsidP="0097756E">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370220" w:rsidRPr="002E0C7E" w:rsidRDefault="00370220" w:rsidP="0097756E">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370220" w:rsidRPr="002E0C7E" w:rsidRDefault="00370220" w:rsidP="0097756E">
            <w:pPr>
              <w:widowControl w:val="0"/>
              <w:jc w:val="center"/>
              <w:rPr>
                <w:rFonts w:ascii="Arial" w:hAnsi="Arial"/>
                <w:sz w:val="14"/>
              </w:rPr>
            </w:pPr>
            <w:r w:rsidRPr="002E0C7E">
              <w:rPr>
                <w:rFonts w:ascii="Arial" w:hAnsi="Arial"/>
                <w:b/>
                <w:sz w:val="14"/>
              </w:rPr>
              <w:t>JUNE - JUIN</w:t>
            </w:r>
          </w:p>
        </w:tc>
      </w:tr>
      <w:tr w:rsidR="00370220" w:rsidRPr="002E0C7E" w:rsidTr="0097756E">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S</w:t>
            </w:r>
          </w:p>
          <w:p w:rsidR="00370220" w:rsidRPr="002E0C7E" w:rsidRDefault="00370220" w:rsidP="0097756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M</w:t>
            </w:r>
          </w:p>
          <w:p w:rsidR="00370220" w:rsidRPr="002E0C7E" w:rsidRDefault="00370220" w:rsidP="0097756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T</w:t>
            </w:r>
          </w:p>
          <w:p w:rsidR="00370220" w:rsidRPr="002E0C7E" w:rsidRDefault="00370220" w:rsidP="0097756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W</w:t>
            </w:r>
          </w:p>
          <w:p w:rsidR="00370220" w:rsidRPr="002E0C7E" w:rsidRDefault="00370220" w:rsidP="0097756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T</w:t>
            </w:r>
          </w:p>
          <w:p w:rsidR="00370220" w:rsidRPr="002E0C7E" w:rsidRDefault="00370220" w:rsidP="0097756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F</w:t>
            </w:r>
          </w:p>
          <w:p w:rsidR="00370220" w:rsidRPr="002E0C7E" w:rsidRDefault="00370220" w:rsidP="0097756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S</w:t>
            </w:r>
          </w:p>
          <w:p w:rsidR="00370220" w:rsidRPr="002E0C7E" w:rsidRDefault="00370220" w:rsidP="0097756E">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S</w:t>
            </w:r>
          </w:p>
          <w:p w:rsidR="00370220" w:rsidRPr="002E0C7E" w:rsidRDefault="00370220" w:rsidP="0097756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M</w:t>
            </w:r>
          </w:p>
          <w:p w:rsidR="00370220" w:rsidRPr="002E0C7E" w:rsidRDefault="00370220" w:rsidP="0097756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T</w:t>
            </w:r>
          </w:p>
          <w:p w:rsidR="00370220" w:rsidRPr="002E0C7E" w:rsidRDefault="00370220" w:rsidP="0097756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W</w:t>
            </w:r>
          </w:p>
          <w:p w:rsidR="00370220" w:rsidRPr="002E0C7E" w:rsidRDefault="00370220" w:rsidP="0097756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T</w:t>
            </w:r>
          </w:p>
          <w:p w:rsidR="00370220" w:rsidRPr="002E0C7E" w:rsidRDefault="00370220" w:rsidP="0097756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F</w:t>
            </w:r>
          </w:p>
          <w:p w:rsidR="00370220" w:rsidRPr="002E0C7E" w:rsidRDefault="00370220" w:rsidP="0097756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S</w:t>
            </w:r>
          </w:p>
          <w:p w:rsidR="00370220" w:rsidRPr="002E0C7E" w:rsidRDefault="00370220" w:rsidP="0097756E">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S</w:t>
            </w:r>
          </w:p>
          <w:p w:rsidR="00370220" w:rsidRPr="002E0C7E" w:rsidRDefault="00370220" w:rsidP="0097756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M</w:t>
            </w:r>
          </w:p>
          <w:p w:rsidR="00370220" w:rsidRPr="002E0C7E" w:rsidRDefault="00370220" w:rsidP="0097756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T</w:t>
            </w:r>
          </w:p>
          <w:p w:rsidR="00370220" w:rsidRPr="002E0C7E" w:rsidRDefault="00370220" w:rsidP="0097756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W</w:t>
            </w:r>
          </w:p>
          <w:p w:rsidR="00370220" w:rsidRPr="002E0C7E" w:rsidRDefault="00370220" w:rsidP="0097756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T</w:t>
            </w:r>
          </w:p>
          <w:p w:rsidR="00370220" w:rsidRPr="002E0C7E" w:rsidRDefault="00370220" w:rsidP="0097756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sidRPr="002E0C7E">
              <w:rPr>
                <w:rFonts w:ascii="Arial" w:hAnsi="Arial"/>
                <w:sz w:val="14"/>
              </w:rPr>
              <w:t>F</w:t>
            </w:r>
          </w:p>
          <w:p w:rsidR="00370220" w:rsidRPr="002E0C7E" w:rsidRDefault="00370220" w:rsidP="0097756E">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r>
              <w:rPr>
                <w:rFonts w:ascii="Arial" w:hAnsi="Arial"/>
                <w:sz w:val="14"/>
              </w:rPr>
              <w:t>S</w:t>
            </w:r>
          </w:p>
          <w:p w:rsidR="00370220" w:rsidRPr="002E0C7E" w:rsidRDefault="00370220" w:rsidP="0097756E">
            <w:pPr>
              <w:widowControl w:val="0"/>
              <w:jc w:val="center"/>
              <w:rPr>
                <w:rFonts w:ascii="Arial" w:hAnsi="Arial"/>
                <w:sz w:val="14"/>
              </w:rPr>
            </w:pPr>
            <w:r>
              <w:rPr>
                <w:rFonts w:ascii="Arial" w:hAnsi="Arial"/>
                <w:sz w:val="14"/>
              </w:rPr>
              <w:t>S</w:t>
            </w:r>
          </w:p>
        </w:tc>
      </w:tr>
      <w:tr w:rsidR="00370220" w:rsidRPr="002E0C7E" w:rsidTr="0097756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370220" w:rsidRPr="00072FEE" w:rsidRDefault="00370220" w:rsidP="0097756E">
            <w:pPr>
              <w:widowControl w:val="0"/>
              <w:jc w:val="center"/>
              <w:rPr>
                <w:rFonts w:ascii="Arial" w:hAnsi="Arial"/>
                <w:b/>
                <w:sz w:val="14"/>
              </w:rPr>
            </w:pPr>
            <w:r>
              <w:rPr>
                <w:rFonts w:ascii="Arial" w:hAnsi="Arial"/>
                <w:b/>
                <w:sz w:val="14"/>
              </w:rPr>
              <w:t>H</w:t>
            </w:r>
          </w:p>
          <w:p w:rsidR="00370220" w:rsidRPr="002E0C7E" w:rsidRDefault="00370220" w:rsidP="0097756E">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b/>
                <w:sz w:val="14"/>
              </w:rPr>
            </w:pPr>
          </w:p>
          <w:p w:rsidR="00370220" w:rsidRPr="002E0C7E" w:rsidRDefault="00370220" w:rsidP="0097756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6</w:t>
            </w:r>
          </w:p>
        </w:tc>
      </w:tr>
      <w:tr w:rsidR="00370220" w:rsidRPr="002E0C7E" w:rsidTr="0097756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370220" w:rsidRPr="00710C8B" w:rsidRDefault="00370220" w:rsidP="0097756E">
            <w:pPr>
              <w:widowControl w:val="0"/>
              <w:jc w:val="center"/>
              <w:rPr>
                <w:rFonts w:ascii="Arial" w:hAnsi="Arial"/>
                <w:b/>
                <w:sz w:val="14"/>
              </w:rPr>
            </w:pPr>
            <w:r>
              <w:rPr>
                <w:rFonts w:ascii="Arial" w:hAnsi="Arial"/>
                <w:b/>
                <w:sz w:val="14"/>
              </w:rPr>
              <w:t>H</w:t>
            </w:r>
          </w:p>
          <w:p w:rsidR="00370220" w:rsidRPr="002E0C7E" w:rsidRDefault="00370220" w:rsidP="0097756E">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370220" w:rsidRPr="006D6F71" w:rsidRDefault="00370220" w:rsidP="0097756E">
            <w:pPr>
              <w:widowControl w:val="0"/>
              <w:jc w:val="center"/>
              <w:rPr>
                <w:rFonts w:ascii="Arial" w:hAnsi="Arial"/>
                <w:b/>
                <w:sz w:val="14"/>
              </w:rPr>
            </w:pPr>
            <w:r>
              <w:rPr>
                <w:rFonts w:ascii="Arial" w:hAnsi="Arial"/>
                <w:b/>
                <w:sz w:val="14"/>
              </w:rPr>
              <w:t>M</w:t>
            </w:r>
          </w:p>
          <w:p w:rsidR="00370220" w:rsidRPr="002E0C7E" w:rsidRDefault="00370220" w:rsidP="0097756E">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13</w:t>
            </w:r>
          </w:p>
        </w:tc>
      </w:tr>
      <w:tr w:rsidR="00370220" w:rsidRPr="002E0C7E" w:rsidTr="0097756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370220" w:rsidRPr="00DB5777" w:rsidRDefault="00370220" w:rsidP="0097756E">
            <w:pPr>
              <w:widowControl w:val="0"/>
              <w:jc w:val="center"/>
              <w:rPr>
                <w:rFonts w:ascii="Arial" w:hAnsi="Arial"/>
                <w:b/>
                <w:sz w:val="14"/>
              </w:rPr>
            </w:pPr>
            <w:r>
              <w:rPr>
                <w:rFonts w:ascii="Arial" w:hAnsi="Arial"/>
                <w:b/>
                <w:sz w:val="14"/>
              </w:rPr>
              <w:t>M</w:t>
            </w: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370220" w:rsidRPr="00852172" w:rsidRDefault="00370220" w:rsidP="0097756E">
            <w:pPr>
              <w:widowControl w:val="0"/>
              <w:jc w:val="center"/>
              <w:rPr>
                <w:rFonts w:ascii="Arial" w:hAnsi="Arial"/>
                <w:b/>
                <w:sz w:val="14"/>
              </w:rPr>
            </w:pPr>
          </w:p>
          <w:p w:rsidR="00370220" w:rsidRPr="002E0C7E" w:rsidRDefault="00370220" w:rsidP="0097756E">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370220" w:rsidRPr="002453E3" w:rsidRDefault="00370220" w:rsidP="0097756E">
            <w:pPr>
              <w:widowControl w:val="0"/>
              <w:jc w:val="center"/>
              <w:rPr>
                <w:rFonts w:ascii="Arial" w:hAnsi="Arial"/>
                <w:b/>
                <w:sz w:val="14"/>
              </w:rPr>
            </w:pPr>
            <w:r w:rsidRPr="002453E3">
              <w:rPr>
                <w:rFonts w:ascii="Arial" w:hAnsi="Arial"/>
                <w:b/>
                <w:sz w:val="14"/>
              </w:rPr>
              <w:t>M</w:t>
            </w: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20</w:t>
            </w:r>
          </w:p>
        </w:tc>
      </w:tr>
      <w:tr w:rsidR="00370220" w:rsidRPr="002E0C7E" w:rsidTr="0097756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370220" w:rsidRPr="00CD57C3" w:rsidRDefault="00370220" w:rsidP="0097756E">
            <w:pPr>
              <w:widowControl w:val="0"/>
              <w:jc w:val="center"/>
              <w:rPr>
                <w:rFonts w:ascii="Arial" w:hAnsi="Arial"/>
                <w:b/>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370220" w:rsidRPr="002453E3" w:rsidRDefault="00370220" w:rsidP="0097756E">
            <w:pPr>
              <w:widowControl w:val="0"/>
              <w:jc w:val="center"/>
              <w:rPr>
                <w:rFonts w:ascii="Arial" w:hAnsi="Arial"/>
                <w:b/>
                <w:sz w:val="14"/>
              </w:rPr>
            </w:pPr>
            <w:r>
              <w:rPr>
                <w:rFonts w:ascii="Arial" w:hAnsi="Arial"/>
                <w:b/>
                <w:sz w:val="14"/>
              </w:rPr>
              <w:t>H</w:t>
            </w:r>
          </w:p>
          <w:p w:rsidR="00370220" w:rsidRPr="002E0C7E" w:rsidRDefault="00370220" w:rsidP="0097756E">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370220"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7</w:t>
            </w:r>
          </w:p>
        </w:tc>
      </w:tr>
      <w:tr w:rsidR="00370220" w:rsidRPr="002E0C7E" w:rsidTr="0097756E">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370220" w:rsidRDefault="00370220" w:rsidP="0097756E">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370220" w:rsidRPr="002E0C7E" w:rsidRDefault="00370220" w:rsidP="0097756E">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370220" w:rsidRPr="002E0C7E" w:rsidRDefault="00370220" w:rsidP="0097756E">
            <w:pPr>
              <w:widowControl w:val="0"/>
              <w:jc w:val="center"/>
              <w:rPr>
                <w:rFonts w:ascii="Arial" w:hAnsi="Arial"/>
                <w:sz w:val="14"/>
              </w:rPr>
            </w:pPr>
          </w:p>
          <w:p w:rsidR="00370220" w:rsidRPr="002E0C7E" w:rsidRDefault="00370220" w:rsidP="0097756E">
            <w:pPr>
              <w:widowControl w:val="0"/>
              <w:jc w:val="center"/>
              <w:rPr>
                <w:rFonts w:ascii="Arial" w:hAnsi="Arial"/>
                <w:sz w:val="14"/>
              </w:rPr>
            </w:pPr>
          </w:p>
        </w:tc>
      </w:tr>
    </w:tbl>
    <w:p w:rsidR="00370220" w:rsidRPr="002E0C7E" w:rsidRDefault="00370220" w:rsidP="00370220">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370220" w:rsidRPr="002E0C7E" w:rsidTr="0097756E">
        <w:trPr>
          <w:cantSplit/>
        </w:trPr>
        <w:tc>
          <w:tcPr>
            <w:tcW w:w="1710" w:type="dxa"/>
            <w:tcBorders>
              <w:top w:val="nil"/>
              <w:left w:val="nil"/>
              <w:bottom w:val="nil"/>
              <w:right w:val="nil"/>
            </w:tcBorders>
            <w:tcMar>
              <w:top w:w="43" w:type="dxa"/>
              <w:left w:w="120" w:type="dxa"/>
              <w:bottom w:w="29" w:type="dxa"/>
              <w:right w:w="120" w:type="dxa"/>
            </w:tcMar>
          </w:tcPr>
          <w:p w:rsidR="00370220" w:rsidRPr="002E0C7E" w:rsidRDefault="00370220" w:rsidP="0097756E">
            <w:pPr>
              <w:widowControl w:val="0"/>
              <w:rPr>
                <w:rFonts w:ascii="Arial" w:hAnsi="Arial"/>
                <w:sz w:val="16"/>
              </w:rPr>
            </w:pPr>
            <w:r w:rsidRPr="002E0C7E">
              <w:rPr>
                <w:rFonts w:ascii="Arial" w:hAnsi="Arial"/>
                <w:sz w:val="16"/>
              </w:rPr>
              <w:t>Sittings of the court:</w:t>
            </w:r>
          </w:p>
          <w:p w:rsidR="00370220" w:rsidRPr="002E0C7E" w:rsidRDefault="00370220" w:rsidP="0097756E">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370220" w:rsidRPr="002E0C7E" w:rsidRDefault="00370220" w:rsidP="0097756E">
            <w:pPr>
              <w:widowControl w:val="0"/>
              <w:rPr>
                <w:rFonts w:ascii="Arial" w:hAnsi="Arial"/>
                <w:sz w:val="16"/>
              </w:rPr>
            </w:pPr>
          </w:p>
          <w:p w:rsidR="00370220" w:rsidRPr="002E0C7E" w:rsidRDefault="00370220" w:rsidP="0097756E">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370220" w:rsidRPr="00B058C3" w:rsidRDefault="00370220" w:rsidP="009775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370220" w:rsidRPr="00B058C3" w:rsidRDefault="00370220" w:rsidP="009775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370220" w:rsidRPr="00B058C3" w:rsidRDefault="00370220" w:rsidP="009775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370220" w:rsidRPr="002E0C7E" w:rsidRDefault="00370220" w:rsidP="009775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370220" w:rsidRPr="002E0C7E" w:rsidRDefault="00370220" w:rsidP="009775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370220" w:rsidRPr="002E0C7E" w:rsidTr="0097756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370220" w:rsidRPr="002E0C7E" w:rsidRDefault="00370220" w:rsidP="009775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370220" w:rsidRPr="002E0C7E" w:rsidRDefault="00370220" w:rsidP="009775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370220" w:rsidRPr="002E0C7E" w:rsidRDefault="00370220" w:rsidP="009775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370220" w:rsidRPr="002E0C7E" w:rsidRDefault="00370220" w:rsidP="009775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370220" w:rsidRPr="002E0C7E" w:rsidTr="0097756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370220" w:rsidRPr="002E0C7E" w:rsidRDefault="00370220" w:rsidP="009775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370220" w:rsidRPr="002E0C7E" w:rsidRDefault="00370220" w:rsidP="009775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370220" w:rsidRPr="002E0C7E" w:rsidRDefault="00370220" w:rsidP="0097756E">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370220" w:rsidRPr="002E0C7E" w:rsidRDefault="00370220" w:rsidP="009775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370220" w:rsidRPr="002E0C7E" w:rsidRDefault="00370220" w:rsidP="00370220">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72"/>
      <w:footerReference w:type="default" r:id="rId73"/>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894" w:rsidRDefault="00260894" w:rsidP="00A87207">
      <w:r>
        <w:separator/>
      </w:r>
    </w:p>
  </w:endnote>
  <w:endnote w:type="continuationSeparator" w:id="0">
    <w:p w:rsidR="00260894" w:rsidRDefault="0026089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26089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944C2E">
    <w:pPr>
      <w:pStyle w:val="Footer"/>
      <w:rPr>
        <w:lang w:val="fr-CA"/>
      </w:rPr>
    </w:pPr>
    <w:r>
      <w:rPr>
        <w:lang w:val="fr-CA"/>
      </w:rPr>
      <w:pict>
        <v:rect id="_x0000_i1062" style="width:480.95pt;height:1pt" o:hralign="center" o:hrstd="t" o:hrnoshade="t" o:hr="t" fillcolor="black [3213]" stroked="f"/>
      </w:pict>
    </w:r>
  </w:p>
  <w:p w:rsidR="00260894" w:rsidRDefault="00260894" w:rsidP="00245129">
    <w:pPr>
      <w:tabs>
        <w:tab w:val="center" w:pos="4680"/>
      </w:tabs>
    </w:pPr>
    <w:r>
      <w:tab/>
    </w:r>
    <w:r w:rsidRPr="0009648D">
      <w:t xml:space="preserve">- </w:t>
    </w:r>
    <w:r w:rsidR="00944C2E">
      <w:fldChar w:fldCharType="begin"/>
    </w:r>
    <w:r w:rsidR="00944C2E">
      <w:instrText xml:space="preserve"> PAGE   \* MERGEFORMAT </w:instrText>
    </w:r>
    <w:r w:rsidR="00944C2E">
      <w:fldChar w:fldCharType="separate"/>
    </w:r>
    <w:r w:rsidR="00944C2E">
      <w:rPr>
        <w:noProof/>
      </w:rPr>
      <w:t>1154</w:t>
    </w:r>
    <w:r w:rsidR="00944C2E">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2608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60894" w:rsidRDefault="002608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60894" w:rsidRDefault="00260894">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944C2E" w:rsidP="00755F22">
    <w:pPr>
      <w:tabs>
        <w:tab w:val="left" w:pos="-1440"/>
        <w:tab w:val="left" w:pos="-720"/>
      </w:tabs>
    </w:pPr>
    <w:r>
      <w:pict>
        <v:rect id="_x0000_i1066" style="width:480.95pt;height:1pt" o:hralign="center" o:hrstd="t" o:hrnoshade="t" o:hr="t" fillcolor="black [3213]" stroked="f"/>
      </w:pict>
    </w:r>
  </w:p>
  <w:p w:rsidR="00260894" w:rsidRDefault="00260894" w:rsidP="00EB2B90">
    <w:pPr>
      <w:tabs>
        <w:tab w:val="center" w:pos="4680"/>
      </w:tabs>
    </w:pPr>
    <w:r>
      <w:tab/>
      <w:t xml:space="preserve">- </w:t>
    </w:r>
    <w:r w:rsidR="00944C2E">
      <w:fldChar w:fldCharType="begin"/>
    </w:r>
    <w:r w:rsidR="00944C2E">
      <w:instrText xml:space="preserve"> PAGE   \* MERGEFORMAT </w:instrText>
    </w:r>
    <w:r w:rsidR="00944C2E">
      <w:fldChar w:fldCharType="separate"/>
    </w:r>
    <w:r w:rsidR="00944C2E">
      <w:rPr>
        <w:noProof/>
      </w:rPr>
      <w:t>1179</w:t>
    </w:r>
    <w:r w:rsidR="00944C2E">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944C2E" w:rsidP="00EB2B90">
    <w:pPr>
      <w:tabs>
        <w:tab w:val="center" w:pos="4680"/>
      </w:tabs>
    </w:pPr>
    <w:r>
      <w:pict>
        <v:rect id="_x0000_i1067" style="width:480.95pt;height:1pt" o:hralign="center" o:hrstd="t" o:hrnoshade="t" o:hr="t" fillcolor="black [3213]" stroked="f"/>
      </w:pict>
    </w:r>
  </w:p>
  <w:p w:rsidR="00260894" w:rsidRPr="0031432F" w:rsidRDefault="00260894" w:rsidP="00EB2B90">
    <w:pPr>
      <w:tabs>
        <w:tab w:val="center" w:pos="4680"/>
      </w:tabs>
    </w:pPr>
    <w:r>
      <w:tab/>
      <w:t xml:space="preserve">- </w:t>
    </w:r>
    <w:r w:rsidR="00944C2E">
      <w:fldChar w:fldCharType="begin"/>
    </w:r>
    <w:r w:rsidR="00944C2E">
      <w:instrText xml:space="preserve"> PAGE   \* MERGEFORMAT </w:instrText>
    </w:r>
    <w:r w:rsidR="00944C2E">
      <w:fldChar w:fldCharType="separate"/>
    </w:r>
    <w:r w:rsidR="00944C2E">
      <w:rPr>
        <w:noProof/>
      </w:rPr>
      <w:t>1175</w:t>
    </w:r>
    <w:r w:rsidR="00944C2E">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2608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60894" w:rsidRDefault="002608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60894" w:rsidRDefault="00260894">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944C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9" style="width:480.95pt;height:1pt" o:hralign="center" o:hrstd="t" o:hrnoshade="t" o:hr="t" fillcolor="black [3213]" stroked="f"/>
      </w:pict>
    </w:r>
  </w:p>
  <w:p w:rsidR="00260894" w:rsidRDefault="00260894" w:rsidP="00EB2B90">
    <w:pPr>
      <w:tabs>
        <w:tab w:val="center" w:pos="4680"/>
      </w:tabs>
    </w:pPr>
    <w:r>
      <w:tab/>
      <w:t xml:space="preserve">- </w:t>
    </w:r>
    <w:r w:rsidR="00944C2E">
      <w:fldChar w:fldCharType="begin"/>
    </w:r>
    <w:r w:rsidR="00944C2E">
      <w:instrText xml:space="preserve"> PAGE   \* MERGEFORMAT </w:instrText>
    </w:r>
    <w:r w:rsidR="00944C2E">
      <w:fldChar w:fldCharType="separate"/>
    </w:r>
    <w:r>
      <w:rPr>
        <w:noProof/>
      </w:rPr>
      <w:t>524</w:t>
    </w:r>
    <w:r w:rsidR="00944C2E">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944C2E">
    <w:pPr>
      <w:pStyle w:val="Footer"/>
      <w:rPr>
        <w:lang w:val="fr-CA"/>
      </w:rPr>
    </w:pPr>
    <w:r>
      <w:rPr>
        <w:lang w:val="fr-CA"/>
      </w:rPr>
      <w:pict>
        <v:rect id="_x0000_i1070" style="width:480.95pt;height:1pt" o:hralign="center" o:hrstd="t" o:hrnoshade="t" o:hr="t" fillcolor="black [3213]" stroked="f"/>
      </w:pict>
    </w:r>
  </w:p>
  <w:p w:rsidR="00260894" w:rsidRDefault="00260894" w:rsidP="00EB2B90">
    <w:pPr>
      <w:tabs>
        <w:tab w:val="center" w:pos="4680"/>
      </w:tabs>
    </w:pPr>
    <w:r>
      <w:tab/>
      <w:t xml:space="preserve">- </w:t>
    </w:r>
    <w:r w:rsidR="00944C2E">
      <w:fldChar w:fldCharType="begin"/>
    </w:r>
    <w:r w:rsidR="00944C2E">
      <w:instrText xml:space="preserve"> PAGE   \* MERGEFORMAT </w:instrText>
    </w:r>
    <w:r w:rsidR="00944C2E">
      <w:fldChar w:fldCharType="separate"/>
    </w:r>
    <w:r w:rsidR="00944C2E">
      <w:rPr>
        <w:noProof/>
      </w:rPr>
      <w:t>1180</w:t>
    </w:r>
    <w:r w:rsidR="00944C2E">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2608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60894" w:rsidRDefault="002608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60894" w:rsidRDefault="00260894">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944C2E" w:rsidP="00732DB7">
    <w:r>
      <w:pict>
        <v:rect id="_x0000_i1073" style="width:480.95pt;height:1pt" o:hralign="center" o:hrstd="t" o:hrnoshade="t" o:hr="t" fillcolor="black" stroked="f"/>
      </w:pict>
    </w:r>
  </w:p>
  <w:p w:rsidR="00260894" w:rsidRDefault="00260894">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944C2E">
    <w:pPr>
      <w:pStyle w:val="Footer"/>
    </w:pPr>
    <w:r>
      <w:pict>
        <v:rect id="_x0000_i1074" style="width:480.95pt;height:1pt" o:hralign="center" o:hrstd="t" o:hrnoshade="t" o:hr="t" fillcolor="black [3213]" stroked="f"/>
      </w:pict>
    </w:r>
  </w:p>
  <w:p w:rsidR="00260894" w:rsidRPr="003C2C0F" w:rsidRDefault="00260894" w:rsidP="00697C62">
    <w:pPr>
      <w:tabs>
        <w:tab w:val="center" w:pos="4680"/>
      </w:tabs>
    </w:pPr>
    <w:r>
      <w:tab/>
      <w:t xml:space="preserve">- </w:t>
    </w:r>
    <w:r w:rsidR="00944C2E">
      <w:fldChar w:fldCharType="begin"/>
    </w:r>
    <w:r w:rsidR="00944C2E">
      <w:instrText xml:space="preserve"> PAGE   \* MERGEFORMAT </w:instrText>
    </w:r>
    <w:r w:rsidR="00944C2E">
      <w:fldChar w:fldCharType="separate"/>
    </w:r>
    <w:r w:rsidR="00944C2E">
      <w:rPr>
        <w:noProof/>
      </w:rPr>
      <w:t>1181</w:t>
    </w:r>
    <w:r w:rsidR="00944C2E">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260894">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2608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60894" w:rsidRDefault="002608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60894" w:rsidRDefault="00260894">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2608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60894" w:rsidRDefault="00944C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9" style="width:480.95pt;height:1pt" o:hralign="center" o:hrstd="t" o:hrnoshade="t" o:hr="t" fillcolor="black [3213]" stroked="f"/>
      </w:pict>
    </w:r>
  </w:p>
  <w:p w:rsidR="00260894" w:rsidRDefault="00260894" w:rsidP="00782AE4">
    <w:pPr>
      <w:tabs>
        <w:tab w:val="center" w:pos="4680"/>
      </w:tabs>
    </w:pPr>
    <w:r>
      <w:tab/>
      <w:t xml:space="preserve">- </w:t>
    </w:r>
    <w:r w:rsidR="00935682" w:rsidRPr="001775C1">
      <w:rPr>
        <w:szCs w:val="24"/>
      </w:rPr>
      <w:fldChar w:fldCharType="begin"/>
    </w:r>
    <w:r w:rsidRPr="001775C1">
      <w:rPr>
        <w:szCs w:val="24"/>
      </w:rPr>
      <w:instrText xml:space="preserve"> PAGE   \* MERGEFORMAT </w:instrText>
    </w:r>
    <w:r w:rsidR="00935682" w:rsidRPr="001775C1">
      <w:rPr>
        <w:szCs w:val="24"/>
      </w:rPr>
      <w:fldChar w:fldCharType="separate"/>
    </w:r>
    <w:r w:rsidR="00944C2E">
      <w:rPr>
        <w:noProof/>
        <w:szCs w:val="24"/>
      </w:rPr>
      <w:t>1188</w:t>
    </w:r>
    <w:r w:rsidR="00935682"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944C2E" w:rsidP="00782AE4">
    <w:pPr>
      <w:tabs>
        <w:tab w:val="center" w:pos="4680"/>
      </w:tabs>
    </w:pPr>
    <w:r>
      <w:pict>
        <v:rect id="_x0000_i1080" style="width:480.95pt;height:1pt" o:hralign="center" o:hrstd="t" o:hrnoshade="t" o:hr="t" fillcolor="black [3213]" stroked="f"/>
      </w:pict>
    </w:r>
  </w:p>
  <w:p w:rsidR="00260894" w:rsidRDefault="00260894" w:rsidP="00782AE4">
    <w:pPr>
      <w:tabs>
        <w:tab w:val="center" w:pos="4680"/>
      </w:tabs>
    </w:pPr>
    <w:r>
      <w:tab/>
      <w:t xml:space="preserve">- </w:t>
    </w:r>
    <w:r w:rsidR="00935682" w:rsidRPr="001775C1">
      <w:rPr>
        <w:szCs w:val="24"/>
      </w:rPr>
      <w:fldChar w:fldCharType="begin"/>
    </w:r>
    <w:r w:rsidRPr="001775C1">
      <w:rPr>
        <w:szCs w:val="24"/>
      </w:rPr>
      <w:instrText xml:space="preserve"> PAGE   \* MERGEFORMAT </w:instrText>
    </w:r>
    <w:r w:rsidR="00935682" w:rsidRPr="001775C1">
      <w:rPr>
        <w:szCs w:val="24"/>
      </w:rPr>
      <w:fldChar w:fldCharType="separate"/>
    </w:r>
    <w:r w:rsidR="00944C2E">
      <w:rPr>
        <w:noProof/>
        <w:szCs w:val="24"/>
      </w:rPr>
      <w:t>1182</w:t>
    </w:r>
    <w:r w:rsidR="00935682"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Pr="00924065" w:rsidRDefault="00260894"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2608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944C2E" w:rsidP="00A87207">
    <w:pPr>
      <w:pStyle w:val="Footer"/>
    </w:pPr>
    <w:r>
      <w:pict>
        <v:rect id="_x0000_i1036" style="width:480.95pt;height:1pt" o:hralign="center" o:hrstd="t" o:hrnoshade="t" o:hr="t" fillcolor="black [3213]" stroked="f"/>
      </w:pict>
    </w:r>
  </w:p>
  <w:p w:rsidR="00260894" w:rsidRPr="00B7374B" w:rsidRDefault="00260894" w:rsidP="00B7374B">
    <w:pPr>
      <w:tabs>
        <w:tab w:val="center" w:pos="4680"/>
      </w:tabs>
      <w:rPr>
        <w:szCs w:val="24"/>
      </w:rPr>
    </w:pPr>
    <w:r w:rsidRPr="00954D22">
      <w:rPr>
        <w:szCs w:val="24"/>
      </w:rPr>
      <w:tab/>
      <w:t xml:space="preserve">- </w:t>
    </w:r>
    <w:r w:rsidR="00935682" w:rsidRPr="00954D22">
      <w:rPr>
        <w:szCs w:val="24"/>
      </w:rPr>
      <w:fldChar w:fldCharType="begin"/>
    </w:r>
    <w:r w:rsidRPr="00954D22">
      <w:rPr>
        <w:szCs w:val="24"/>
      </w:rPr>
      <w:instrText xml:space="preserve"> PAGE   \* MERGEFORMAT </w:instrText>
    </w:r>
    <w:r w:rsidR="00935682" w:rsidRPr="00954D22">
      <w:rPr>
        <w:szCs w:val="24"/>
      </w:rPr>
      <w:fldChar w:fldCharType="separate"/>
    </w:r>
    <w:r w:rsidR="00944C2E">
      <w:rPr>
        <w:noProof/>
        <w:szCs w:val="24"/>
      </w:rPr>
      <w:t>1152</w:t>
    </w:r>
    <w:r w:rsidR="00935682"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944C2E" w:rsidP="00755F22">
    <w:pPr>
      <w:tabs>
        <w:tab w:val="left" w:pos="-1440"/>
        <w:tab w:val="left" w:pos="-720"/>
      </w:tabs>
    </w:pPr>
    <w:r>
      <w:pict>
        <v:rect id="_x0000_i1037" style="width:480.95pt;height:1pt" o:hralign="center" o:hrstd="t" o:hrnoshade="t" o:hr="t" fillcolor="black [3213]" stroked="f"/>
      </w:pict>
    </w:r>
  </w:p>
  <w:p w:rsidR="00260894" w:rsidRPr="00954D22" w:rsidRDefault="00260894" w:rsidP="00B7374B">
    <w:pPr>
      <w:tabs>
        <w:tab w:val="center" w:pos="4680"/>
      </w:tabs>
      <w:rPr>
        <w:szCs w:val="24"/>
      </w:rPr>
    </w:pPr>
    <w:r w:rsidRPr="00954D22">
      <w:rPr>
        <w:szCs w:val="24"/>
      </w:rPr>
      <w:tab/>
      <w:t xml:space="preserve">- </w:t>
    </w:r>
    <w:r w:rsidR="00935682">
      <w:rPr>
        <w:szCs w:val="24"/>
      </w:rPr>
      <w:fldChar w:fldCharType="begin"/>
    </w:r>
    <w:r>
      <w:rPr>
        <w:szCs w:val="24"/>
      </w:rPr>
      <w:instrText xml:space="preserve"> PAGE   \* MERGEFORMAT </w:instrText>
    </w:r>
    <w:r w:rsidR="00935682">
      <w:rPr>
        <w:szCs w:val="24"/>
      </w:rPr>
      <w:fldChar w:fldCharType="separate"/>
    </w:r>
    <w:r w:rsidR="00944C2E">
      <w:rPr>
        <w:noProof/>
        <w:szCs w:val="24"/>
      </w:rPr>
      <w:t>1151</w:t>
    </w:r>
    <w:r w:rsidR="00935682">
      <w:rPr>
        <w:szCs w:val="24"/>
      </w:rPr>
      <w:fldChar w:fldCharType="end"/>
    </w:r>
    <w:r w:rsidRPr="00954D22">
      <w:rPr>
        <w:szCs w:val="24"/>
      </w:rPr>
      <w:t xml:space="preserve"> -</w:t>
    </w:r>
  </w:p>
  <w:p w:rsidR="00260894" w:rsidRDefault="0026089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944C2E" w:rsidP="00A87207">
    <w:pPr>
      <w:pStyle w:val="Footer"/>
    </w:pPr>
    <w:r>
      <w:pict>
        <v:rect id="_x0000_i1039" style="width:480.95pt;height:1pt" o:hralign="center" o:hrstd="t" o:hrnoshade="t" o:hr="t" fillcolor="black [3213]" stroked="f"/>
      </w:pict>
    </w:r>
  </w:p>
  <w:p w:rsidR="00260894" w:rsidRPr="00B7374B" w:rsidRDefault="00260894" w:rsidP="00B7374B">
    <w:pPr>
      <w:tabs>
        <w:tab w:val="center" w:pos="4680"/>
      </w:tabs>
      <w:rPr>
        <w:szCs w:val="24"/>
      </w:rPr>
    </w:pPr>
    <w:r w:rsidRPr="00954D22">
      <w:rPr>
        <w:szCs w:val="24"/>
      </w:rPr>
      <w:tab/>
      <w:t xml:space="preserve">- </w:t>
    </w:r>
    <w:r w:rsidR="00935682" w:rsidRPr="00954D22">
      <w:rPr>
        <w:szCs w:val="24"/>
      </w:rPr>
      <w:fldChar w:fldCharType="begin"/>
    </w:r>
    <w:r w:rsidRPr="00954D22">
      <w:rPr>
        <w:szCs w:val="24"/>
      </w:rPr>
      <w:instrText xml:space="preserve"> PAGE   \* MERGEFORMAT </w:instrText>
    </w:r>
    <w:r w:rsidR="00935682" w:rsidRPr="00954D22">
      <w:rPr>
        <w:szCs w:val="24"/>
      </w:rPr>
      <w:fldChar w:fldCharType="separate"/>
    </w:r>
    <w:r>
      <w:rPr>
        <w:noProof/>
        <w:szCs w:val="24"/>
      </w:rPr>
      <w:t>503</w:t>
    </w:r>
    <w:r w:rsidR="00935682"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944C2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0" style="width:480.95pt;height:1pt" o:hralign="center" o:hrstd="t" o:hrnoshade="t" o:hr="t" fillcolor="black [3213]" stroked="f"/>
      </w:pict>
    </w:r>
  </w:p>
  <w:p w:rsidR="00260894" w:rsidRPr="00954D22" w:rsidRDefault="00260894" w:rsidP="00B7374B">
    <w:pPr>
      <w:tabs>
        <w:tab w:val="center" w:pos="4680"/>
      </w:tabs>
      <w:rPr>
        <w:szCs w:val="24"/>
      </w:rPr>
    </w:pPr>
    <w:r w:rsidRPr="00954D22">
      <w:rPr>
        <w:szCs w:val="24"/>
      </w:rPr>
      <w:tab/>
      <w:t xml:space="preserve">- </w:t>
    </w:r>
    <w:r w:rsidR="00935682" w:rsidRPr="00954D22">
      <w:rPr>
        <w:szCs w:val="24"/>
      </w:rPr>
      <w:fldChar w:fldCharType="begin"/>
    </w:r>
    <w:r w:rsidRPr="00954D22">
      <w:rPr>
        <w:szCs w:val="24"/>
      </w:rPr>
      <w:instrText xml:space="preserve"> PAGE   \* MERGEFORMAT </w:instrText>
    </w:r>
    <w:r w:rsidR="00935682" w:rsidRPr="00954D22">
      <w:rPr>
        <w:szCs w:val="24"/>
      </w:rPr>
      <w:fldChar w:fldCharType="separate"/>
    </w:r>
    <w:r w:rsidR="00944C2E">
      <w:rPr>
        <w:noProof/>
        <w:szCs w:val="24"/>
      </w:rPr>
      <w:t>1153</w:t>
    </w:r>
    <w:r w:rsidR="00935682"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2608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60894" w:rsidRDefault="002608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60894" w:rsidRDefault="00260894">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944C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1" style="width:480.95pt;height:1pt" o:hralign="center" o:hrstd="t" o:hrnoshade="t" o:hr="t" fillcolor="black [3213]" stroked="f"/>
      </w:pict>
    </w:r>
  </w:p>
  <w:p w:rsidR="00260894" w:rsidRPr="0009648D" w:rsidRDefault="00260894" w:rsidP="00ED7E83">
    <w:pPr>
      <w:tabs>
        <w:tab w:val="center" w:pos="4680"/>
      </w:tabs>
    </w:pPr>
    <w:r>
      <w:tab/>
    </w:r>
    <w:r w:rsidRPr="0009648D">
      <w:t xml:space="preserve">- </w:t>
    </w:r>
    <w:r w:rsidR="00944C2E">
      <w:fldChar w:fldCharType="begin"/>
    </w:r>
    <w:r w:rsidR="00944C2E">
      <w:instrText xml:space="preserve"> PAGE   \* MERGEFORMAT </w:instrText>
    </w:r>
    <w:r w:rsidR="00944C2E">
      <w:fldChar w:fldCharType="separate"/>
    </w:r>
    <w:r w:rsidR="00944C2E">
      <w:rPr>
        <w:noProof/>
      </w:rPr>
      <w:t>1174</w:t>
    </w:r>
    <w:r w:rsidR="00944C2E">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894" w:rsidRDefault="00260894" w:rsidP="00A87207">
      <w:r>
        <w:separator/>
      </w:r>
    </w:p>
  </w:footnote>
  <w:footnote w:type="continuationSeparator" w:id="0">
    <w:p w:rsidR="00260894" w:rsidRDefault="0026089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26089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26089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60894">
      <w:tc>
        <w:tcPr>
          <w:tcW w:w="4230" w:type="dxa"/>
          <w:tcMar>
            <w:left w:w="0" w:type="dxa"/>
            <w:right w:w="0" w:type="dxa"/>
          </w:tcMar>
        </w:tcPr>
        <w:p w:rsidR="00260894" w:rsidRDefault="0026089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60894" w:rsidRDefault="0026089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60894" w:rsidRDefault="0026089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60894">
      <w:trPr>
        <w:gridAfter w:val="2"/>
        <w:wAfter w:w="5250" w:type="dxa"/>
      </w:trPr>
      <w:tc>
        <w:tcPr>
          <w:tcW w:w="4230" w:type="dxa"/>
          <w:tcMar>
            <w:left w:w="0" w:type="dxa"/>
            <w:right w:w="0" w:type="dxa"/>
          </w:tcMar>
        </w:tcPr>
        <w:p w:rsidR="00260894" w:rsidRDefault="002608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60894" w:rsidRDefault="002608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60894" w:rsidRPr="00755F22" w:rsidTr="00245129">
      <w:tc>
        <w:tcPr>
          <w:tcW w:w="4230" w:type="dxa"/>
          <w:tcMar>
            <w:left w:w="0" w:type="dxa"/>
            <w:right w:w="0" w:type="dxa"/>
          </w:tcMar>
        </w:tcPr>
        <w:p w:rsidR="00260894" w:rsidRPr="00755F22" w:rsidRDefault="00260894" w:rsidP="00831CA9">
          <w:pPr>
            <w:keepNext/>
            <w:keepLines/>
            <w:rPr>
              <w:sz w:val="20"/>
              <w:szCs w:val="20"/>
            </w:rPr>
          </w:pPr>
          <w:r w:rsidRPr="00755F22">
            <w:rPr>
              <w:sz w:val="20"/>
              <w:szCs w:val="20"/>
            </w:rPr>
            <w:t>MOTIONS</w:t>
          </w:r>
        </w:p>
      </w:tc>
      <w:tc>
        <w:tcPr>
          <w:tcW w:w="1170" w:type="dxa"/>
          <w:tcMar>
            <w:left w:w="0" w:type="dxa"/>
            <w:right w:w="0" w:type="dxa"/>
          </w:tcMar>
        </w:tcPr>
        <w:p w:rsidR="00260894" w:rsidRPr="00755F22" w:rsidRDefault="00260894" w:rsidP="00831CA9">
          <w:pPr>
            <w:keepLines/>
            <w:jc w:val="center"/>
            <w:rPr>
              <w:sz w:val="20"/>
              <w:szCs w:val="20"/>
            </w:rPr>
          </w:pPr>
        </w:p>
        <w:p w:rsidR="00260894" w:rsidRPr="00755F22" w:rsidRDefault="00260894" w:rsidP="00831CA9">
          <w:pPr>
            <w:keepLines/>
            <w:tabs>
              <w:tab w:val="left" w:pos="-1440"/>
              <w:tab w:val="left" w:pos="-720"/>
            </w:tabs>
            <w:jc w:val="center"/>
            <w:rPr>
              <w:sz w:val="20"/>
              <w:szCs w:val="20"/>
            </w:rPr>
          </w:pPr>
        </w:p>
      </w:tc>
      <w:tc>
        <w:tcPr>
          <w:tcW w:w="4080" w:type="dxa"/>
          <w:tcMar>
            <w:left w:w="0" w:type="dxa"/>
            <w:right w:w="0" w:type="dxa"/>
          </w:tcMar>
        </w:tcPr>
        <w:p w:rsidR="00260894" w:rsidRPr="00BA6468" w:rsidRDefault="00260894" w:rsidP="00BA6468">
          <w:pPr>
            <w:keepLines/>
            <w:rPr>
              <w:sz w:val="20"/>
              <w:szCs w:val="20"/>
              <w:lang w:val="fr-CA"/>
            </w:rPr>
          </w:pPr>
          <w:r w:rsidRPr="00BA6468">
            <w:rPr>
              <w:sz w:val="20"/>
              <w:szCs w:val="20"/>
              <w:lang w:val="fr-CA"/>
            </w:rPr>
            <w:t>REQUÊTES</w:t>
          </w:r>
        </w:p>
      </w:tc>
    </w:tr>
  </w:tbl>
  <w:p w:rsidR="00260894" w:rsidRDefault="00260894"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26089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60894" w:rsidRPr="00944C2E">
      <w:tc>
        <w:tcPr>
          <w:tcW w:w="4200" w:type="dxa"/>
          <w:tcMar>
            <w:left w:w="0" w:type="dxa"/>
            <w:right w:w="0" w:type="dxa"/>
          </w:tcMar>
        </w:tcPr>
        <w:p w:rsidR="00260894" w:rsidRDefault="0026089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260894" w:rsidRDefault="0026089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60894" w:rsidRPr="00B01A03" w:rsidRDefault="0026089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260894" w:rsidRPr="00B01A03" w:rsidRDefault="002608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60894" w:rsidRPr="00B01A03" w:rsidRDefault="002608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260894" w:rsidRPr="00944C2E" w:rsidTr="00245129">
      <w:tc>
        <w:tcPr>
          <w:tcW w:w="4200" w:type="dxa"/>
          <w:tcMar>
            <w:left w:w="0" w:type="dxa"/>
            <w:right w:w="0" w:type="dxa"/>
          </w:tcMar>
        </w:tcPr>
        <w:p w:rsidR="00260894" w:rsidRPr="00F40249" w:rsidRDefault="00260894"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260894" w:rsidRDefault="00260894" w:rsidP="00102926">
          <w:pPr>
            <w:keepNext/>
            <w:keepLines/>
            <w:tabs>
              <w:tab w:val="left" w:pos="-1440"/>
              <w:tab w:val="left" w:pos="-720"/>
            </w:tabs>
            <w:jc w:val="center"/>
            <w:rPr>
              <w:sz w:val="20"/>
              <w:szCs w:val="20"/>
            </w:rPr>
          </w:pPr>
        </w:p>
        <w:p w:rsidR="00260894" w:rsidRDefault="00260894" w:rsidP="00102926">
          <w:pPr>
            <w:keepNext/>
            <w:keepLines/>
            <w:tabs>
              <w:tab w:val="left" w:pos="-1440"/>
              <w:tab w:val="left" w:pos="-720"/>
            </w:tabs>
            <w:jc w:val="center"/>
            <w:rPr>
              <w:sz w:val="20"/>
              <w:szCs w:val="20"/>
            </w:rPr>
          </w:pPr>
        </w:p>
        <w:p w:rsidR="00260894" w:rsidRPr="00F40249" w:rsidRDefault="00260894" w:rsidP="00102926">
          <w:pPr>
            <w:keepNext/>
            <w:keepLines/>
            <w:tabs>
              <w:tab w:val="left" w:pos="-1440"/>
              <w:tab w:val="left" w:pos="-720"/>
            </w:tabs>
            <w:jc w:val="center"/>
            <w:rPr>
              <w:sz w:val="20"/>
              <w:szCs w:val="20"/>
            </w:rPr>
          </w:pPr>
        </w:p>
      </w:tc>
      <w:tc>
        <w:tcPr>
          <w:tcW w:w="4230" w:type="dxa"/>
          <w:tcMar>
            <w:left w:w="0" w:type="dxa"/>
            <w:right w:w="0" w:type="dxa"/>
          </w:tcMar>
        </w:tcPr>
        <w:p w:rsidR="00260894" w:rsidRPr="00F40249" w:rsidRDefault="00260894"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260894" w:rsidRPr="00B01A03" w:rsidRDefault="00260894"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26089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60894" w:rsidRPr="00944C2E">
      <w:tc>
        <w:tcPr>
          <w:tcW w:w="4200" w:type="dxa"/>
          <w:tcMar>
            <w:left w:w="0" w:type="dxa"/>
            <w:right w:w="0" w:type="dxa"/>
          </w:tcMar>
        </w:tcPr>
        <w:p w:rsidR="00260894" w:rsidRDefault="0026089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260894" w:rsidRDefault="0026089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260894" w:rsidRDefault="0026089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260894" w:rsidRPr="003C2C0F" w:rsidRDefault="0026089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260894" w:rsidRPr="003C2C0F" w:rsidRDefault="002608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260894" w:rsidRPr="003C2C0F" w:rsidRDefault="002608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60894" w:rsidRPr="00944C2E" w:rsidTr="00245129">
      <w:tc>
        <w:tcPr>
          <w:tcW w:w="4200" w:type="dxa"/>
          <w:tcMar>
            <w:left w:w="0" w:type="dxa"/>
            <w:right w:w="0" w:type="dxa"/>
          </w:tcMar>
        </w:tcPr>
        <w:p w:rsidR="00260894" w:rsidRPr="00FF6EEC" w:rsidRDefault="00260894" w:rsidP="00FF6EEC">
          <w:pPr>
            <w:rPr>
              <w:sz w:val="20"/>
              <w:szCs w:val="20"/>
            </w:rPr>
          </w:pPr>
          <w:r w:rsidRPr="00FF6EEC">
            <w:rPr>
              <w:sz w:val="20"/>
              <w:szCs w:val="20"/>
            </w:rPr>
            <w:t>PRONOUNCEMENTS OF APPEALS RESERVED</w:t>
          </w:r>
        </w:p>
      </w:tc>
      <w:tc>
        <w:tcPr>
          <w:tcW w:w="1200" w:type="dxa"/>
          <w:tcMar>
            <w:left w:w="0" w:type="dxa"/>
            <w:right w:w="0" w:type="dxa"/>
          </w:tcMar>
        </w:tcPr>
        <w:p w:rsidR="00260894" w:rsidRPr="00FF6EEC" w:rsidRDefault="00260894" w:rsidP="00FF6EEC">
          <w:pPr>
            <w:jc w:val="center"/>
            <w:rPr>
              <w:sz w:val="20"/>
              <w:szCs w:val="20"/>
            </w:rPr>
          </w:pPr>
        </w:p>
        <w:p w:rsidR="00260894" w:rsidRPr="00FF6EEC" w:rsidRDefault="00260894" w:rsidP="00FF6EEC">
          <w:pPr>
            <w:jc w:val="center"/>
            <w:rPr>
              <w:sz w:val="20"/>
              <w:szCs w:val="20"/>
            </w:rPr>
          </w:pPr>
        </w:p>
        <w:p w:rsidR="00260894" w:rsidRPr="00FF6EEC" w:rsidRDefault="00260894" w:rsidP="00FF6EEC">
          <w:pPr>
            <w:jc w:val="center"/>
            <w:rPr>
              <w:sz w:val="20"/>
              <w:szCs w:val="20"/>
            </w:rPr>
          </w:pPr>
        </w:p>
      </w:tc>
      <w:tc>
        <w:tcPr>
          <w:tcW w:w="4080" w:type="dxa"/>
          <w:tcMar>
            <w:left w:w="0" w:type="dxa"/>
            <w:right w:w="0" w:type="dxa"/>
          </w:tcMar>
        </w:tcPr>
        <w:p w:rsidR="00260894" w:rsidRPr="00FF6EEC" w:rsidRDefault="00260894" w:rsidP="00FF6EEC">
          <w:pPr>
            <w:rPr>
              <w:sz w:val="20"/>
              <w:szCs w:val="20"/>
              <w:lang w:val="fr-CA"/>
            </w:rPr>
          </w:pPr>
          <w:r w:rsidRPr="00FF6EEC">
            <w:rPr>
              <w:sz w:val="20"/>
              <w:szCs w:val="20"/>
              <w:lang w:val="fr-CA"/>
            </w:rPr>
            <w:t>JUGEMENTS RENDUS SUR LES APPELS EN DÉLIBÉRÉ</w:t>
          </w:r>
        </w:p>
      </w:tc>
    </w:tr>
  </w:tbl>
  <w:p w:rsidR="00260894" w:rsidRPr="003C2C0F" w:rsidRDefault="00260894"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260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26089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60894">
      <w:tc>
        <w:tcPr>
          <w:tcW w:w="4230" w:type="dxa"/>
          <w:tcMar>
            <w:left w:w="0" w:type="dxa"/>
            <w:right w:w="0" w:type="dxa"/>
          </w:tcMar>
        </w:tcPr>
        <w:p w:rsidR="00260894" w:rsidRDefault="0026089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260894" w:rsidRDefault="0026089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260894" w:rsidRDefault="0026089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260894" w:rsidRDefault="0026089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60894" w:rsidRDefault="0026089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260894" w:rsidRDefault="0026089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260894" w:rsidRDefault="002608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60894" w:rsidRDefault="002608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60894" w:rsidRPr="00782AE4" w:rsidTr="00245129">
      <w:tc>
        <w:tcPr>
          <w:tcW w:w="4230" w:type="dxa"/>
          <w:tcMar>
            <w:left w:w="0" w:type="dxa"/>
            <w:right w:w="0" w:type="dxa"/>
          </w:tcMar>
        </w:tcPr>
        <w:p w:rsidR="00260894" w:rsidRPr="00782AE4" w:rsidRDefault="00260894" w:rsidP="00102926">
          <w:pPr>
            <w:keepNext/>
            <w:keepLines/>
            <w:tabs>
              <w:tab w:val="left" w:pos="-1440"/>
              <w:tab w:val="left" w:pos="-720"/>
            </w:tabs>
            <w:rPr>
              <w:sz w:val="20"/>
              <w:szCs w:val="20"/>
            </w:rPr>
          </w:pPr>
          <w:r w:rsidRPr="00782AE4">
            <w:rPr>
              <w:sz w:val="20"/>
              <w:szCs w:val="20"/>
            </w:rPr>
            <w:t xml:space="preserve">HEADNOTES OF RECENT </w:t>
          </w:r>
        </w:p>
        <w:p w:rsidR="00260894" w:rsidRPr="00782AE4" w:rsidRDefault="0026089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260894" w:rsidRDefault="00260894" w:rsidP="00102926">
          <w:pPr>
            <w:keepNext/>
            <w:keepLines/>
            <w:tabs>
              <w:tab w:val="left" w:pos="-1440"/>
              <w:tab w:val="left" w:pos="-720"/>
            </w:tabs>
            <w:jc w:val="center"/>
            <w:rPr>
              <w:sz w:val="20"/>
              <w:szCs w:val="20"/>
            </w:rPr>
          </w:pPr>
        </w:p>
        <w:p w:rsidR="00260894" w:rsidRDefault="00260894" w:rsidP="00102926">
          <w:pPr>
            <w:keepNext/>
            <w:keepLines/>
            <w:tabs>
              <w:tab w:val="left" w:pos="-1440"/>
              <w:tab w:val="left" w:pos="-720"/>
            </w:tabs>
            <w:jc w:val="center"/>
            <w:rPr>
              <w:sz w:val="20"/>
              <w:szCs w:val="20"/>
            </w:rPr>
          </w:pPr>
        </w:p>
        <w:p w:rsidR="00260894" w:rsidRPr="00782AE4" w:rsidRDefault="00260894" w:rsidP="00102926">
          <w:pPr>
            <w:keepNext/>
            <w:keepLines/>
            <w:tabs>
              <w:tab w:val="left" w:pos="-1440"/>
              <w:tab w:val="left" w:pos="-720"/>
            </w:tabs>
            <w:jc w:val="center"/>
            <w:rPr>
              <w:sz w:val="20"/>
              <w:szCs w:val="20"/>
            </w:rPr>
          </w:pPr>
        </w:p>
      </w:tc>
      <w:tc>
        <w:tcPr>
          <w:tcW w:w="4080" w:type="dxa"/>
          <w:tcMar>
            <w:left w:w="0" w:type="dxa"/>
            <w:right w:w="0" w:type="dxa"/>
          </w:tcMar>
        </w:tcPr>
        <w:p w:rsidR="00260894" w:rsidRPr="00102926" w:rsidRDefault="0026089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260894" w:rsidRPr="00782AE4" w:rsidRDefault="00260894" w:rsidP="00102926">
          <w:pPr>
            <w:keepLines/>
            <w:tabs>
              <w:tab w:val="left" w:pos="-1440"/>
              <w:tab w:val="left" w:pos="-720"/>
            </w:tabs>
            <w:rPr>
              <w:sz w:val="20"/>
              <w:szCs w:val="20"/>
            </w:rPr>
          </w:pPr>
          <w:r w:rsidRPr="00102926">
            <w:rPr>
              <w:sz w:val="20"/>
              <w:szCs w:val="20"/>
              <w:lang w:val="fr-CA"/>
            </w:rPr>
            <w:t>RÉCENTS</w:t>
          </w:r>
        </w:p>
      </w:tc>
    </w:tr>
  </w:tbl>
  <w:p w:rsidR="00260894" w:rsidRDefault="00260894"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26089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2608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2608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60894" w:rsidRPr="0044776A" w:rsidTr="00245129">
      <w:tc>
        <w:tcPr>
          <w:tcW w:w="4290" w:type="dxa"/>
          <w:tcMar>
            <w:left w:w="0" w:type="dxa"/>
            <w:right w:w="0" w:type="dxa"/>
          </w:tcMar>
        </w:tcPr>
        <w:p w:rsidR="00260894" w:rsidRPr="0044776A" w:rsidRDefault="0026089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260894" w:rsidRPr="0044776A" w:rsidRDefault="00260894" w:rsidP="002E2327">
          <w:pPr>
            <w:keepNext/>
            <w:keepLines/>
            <w:tabs>
              <w:tab w:val="left" w:pos="-1440"/>
              <w:tab w:val="left" w:pos="-720"/>
            </w:tabs>
            <w:jc w:val="center"/>
            <w:rPr>
              <w:sz w:val="20"/>
              <w:szCs w:val="20"/>
            </w:rPr>
          </w:pPr>
        </w:p>
        <w:p w:rsidR="00260894" w:rsidRPr="0044776A" w:rsidRDefault="00260894" w:rsidP="002E2327">
          <w:pPr>
            <w:keepNext/>
            <w:keepLines/>
            <w:tabs>
              <w:tab w:val="left" w:pos="-1440"/>
              <w:tab w:val="left" w:pos="-720"/>
            </w:tabs>
            <w:jc w:val="center"/>
            <w:rPr>
              <w:sz w:val="20"/>
              <w:szCs w:val="20"/>
            </w:rPr>
          </w:pPr>
        </w:p>
        <w:p w:rsidR="00260894" w:rsidRPr="0044776A" w:rsidRDefault="00260894" w:rsidP="002E2327">
          <w:pPr>
            <w:keepNext/>
            <w:keepLines/>
            <w:tabs>
              <w:tab w:val="left" w:pos="-1440"/>
              <w:tab w:val="left" w:pos="-720"/>
            </w:tabs>
            <w:jc w:val="center"/>
            <w:rPr>
              <w:sz w:val="20"/>
              <w:szCs w:val="20"/>
            </w:rPr>
          </w:pPr>
        </w:p>
      </w:tc>
      <w:tc>
        <w:tcPr>
          <w:tcW w:w="4320" w:type="dxa"/>
          <w:tcMar>
            <w:left w:w="0" w:type="dxa"/>
            <w:right w:w="0" w:type="dxa"/>
          </w:tcMar>
        </w:tcPr>
        <w:p w:rsidR="00260894" w:rsidRPr="0044776A" w:rsidRDefault="00260894" w:rsidP="002E2327">
          <w:pPr>
            <w:keepLines/>
            <w:rPr>
              <w:sz w:val="20"/>
              <w:szCs w:val="20"/>
              <w:lang w:val="fr-CA"/>
            </w:rPr>
          </w:pPr>
          <w:r w:rsidRPr="0044776A">
            <w:rPr>
              <w:sz w:val="20"/>
              <w:szCs w:val="20"/>
              <w:lang w:val="fr-CA"/>
            </w:rPr>
            <w:t>DEMANDES D'AUTORISATION D'APPEL DÉPOSÉES</w:t>
          </w:r>
        </w:p>
      </w:tc>
    </w:tr>
  </w:tbl>
  <w:p w:rsidR="00260894" w:rsidRDefault="002608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2608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60894" w:rsidRPr="00944C2E" w:rsidTr="00245129">
      <w:tc>
        <w:tcPr>
          <w:tcW w:w="4200" w:type="dxa"/>
          <w:tcMar>
            <w:left w:w="0" w:type="dxa"/>
            <w:right w:w="0" w:type="dxa"/>
          </w:tcMar>
        </w:tcPr>
        <w:p w:rsidR="00260894" w:rsidRPr="0044776A" w:rsidRDefault="00260894" w:rsidP="0044776A">
          <w:pPr>
            <w:keepNext/>
            <w:keepLines/>
            <w:widowControl w:val="0"/>
            <w:rPr>
              <w:sz w:val="20"/>
              <w:szCs w:val="20"/>
            </w:rPr>
          </w:pPr>
          <w:r>
            <w:rPr>
              <w:sz w:val="20"/>
              <w:szCs w:val="20"/>
            </w:rPr>
            <w:t>APPLICATIONS FOR LEAVE</w:t>
          </w:r>
        </w:p>
        <w:p w:rsidR="00260894" w:rsidRPr="0044776A" w:rsidRDefault="00260894"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260894" w:rsidRPr="0044776A" w:rsidRDefault="00260894" w:rsidP="0044776A">
          <w:pPr>
            <w:keepNext/>
            <w:keepLines/>
            <w:widowControl w:val="0"/>
            <w:jc w:val="center"/>
            <w:rPr>
              <w:sz w:val="20"/>
              <w:szCs w:val="20"/>
            </w:rPr>
          </w:pPr>
        </w:p>
        <w:p w:rsidR="00260894" w:rsidRPr="0044776A" w:rsidRDefault="00260894" w:rsidP="0044776A">
          <w:pPr>
            <w:keepNext/>
            <w:keepLines/>
            <w:widowControl w:val="0"/>
            <w:jc w:val="center"/>
            <w:rPr>
              <w:sz w:val="20"/>
              <w:szCs w:val="20"/>
            </w:rPr>
          </w:pPr>
        </w:p>
        <w:p w:rsidR="00260894" w:rsidRPr="0044776A" w:rsidRDefault="00260894" w:rsidP="0044776A">
          <w:pPr>
            <w:keepNext/>
            <w:keepLines/>
            <w:widowControl w:val="0"/>
            <w:jc w:val="center"/>
            <w:rPr>
              <w:sz w:val="20"/>
              <w:szCs w:val="20"/>
            </w:rPr>
          </w:pPr>
        </w:p>
      </w:tc>
      <w:tc>
        <w:tcPr>
          <w:tcW w:w="4080" w:type="dxa"/>
          <w:tcMar>
            <w:left w:w="0" w:type="dxa"/>
            <w:right w:w="0" w:type="dxa"/>
          </w:tcMar>
        </w:tcPr>
        <w:p w:rsidR="00260894" w:rsidRPr="0044776A" w:rsidRDefault="00260894" w:rsidP="0044776A">
          <w:pPr>
            <w:keepLines/>
            <w:widowControl w:val="0"/>
            <w:rPr>
              <w:sz w:val="20"/>
              <w:szCs w:val="20"/>
              <w:lang w:val="fr-CA"/>
            </w:rPr>
          </w:pPr>
          <w:r w:rsidRPr="0044776A">
            <w:rPr>
              <w:sz w:val="20"/>
              <w:szCs w:val="20"/>
              <w:lang w:val="fr-CA"/>
            </w:rPr>
            <w:t>DEMANDES SOUMISES À LA COUR DEPUIS LA DERNIÈRE PARUTION</w:t>
          </w:r>
        </w:p>
        <w:p w:rsidR="00260894" w:rsidRPr="0044776A" w:rsidRDefault="00260894" w:rsidP="0044776A">
          <w:pPr>
            <w:widowControl w:val="0"/>
            <w:rPr>
              <w:sz w:val="20"/>
              <w:szCs w:val="20"/>
              <w:lang w:val="fr-CA"/>
            </w:rPr>
          </w:pPr>
        </w:p>
      </w:tc>
    </w:tr>
  </w:tbl>
  <w:p w:rsidR="00260894" w:rsidRPr="002E2327" w:rsidRDefault="00260894">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94" w:rsidRDefault="0026089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60894" w:rsidRPr="00944C2E">
      <w:tc>
        <w:tcPr>
          <w:tcW w:w="4200" w:type="dxa"/>
          <w:tcMar>
            <w:left w:w="0" w:type="dxa"/>
            <w:right w:w="0" w:type="dxa"/>
          </w:tcMar>
        </w:tcPr>
        <w:p w:rsidR="00260894" w:rsidRDefault="0026089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60894" w:rsidRDefault="0026089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60894" w:rsidRDefault="0026089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60894" w:rsidRPr="00FF6BA5" w:rsidRDefault="0026089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60894" w:rsidRPr="00FF6BA5" w:rsidRDefault="002608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60894" w:rsidRPr="00FF6BA5" w:rsidRDefault="002608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60894" w:rsidRPr="00FF6BA5" w:rsidRDefault="002608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60894" w:rsidRPr="00944C2E" w:rsidTr="00245129">
      <w:tc>
        <w:tcPr>
          <w:tcW w:w="4200" w:type="dxa"/>
          <w:tcMar>
            <w:left w:w="0" w:type="dxa"/>
            <w:right w:w="0" w:type="dxa"/>
          </w:tcMar>
        </w:tcPr>
        <w:p w:rsidR="00260894" w:rsidRPr="00755F22" w:rsidRDefault="0026089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260894" w:rsidRPr="00755F22" w:rsidRDefault="0026089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260894" w:rsidRPr="00755F22" w:rsidRDefault="0026089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60894" w:rsidRPr="00755F22" w:rsidRDefault="0026089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60894" w:rsidRPr="00755F22" w:rsidRDefault="0026089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60894" w:rsidRPr="00755F22" w:rsidRDefault="0026089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260894" w:rsidRPr="00FF6BA5" w:rsidRDefault="00260894"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67599"/>
  </w:hdrShapeDefaults>
  <w:footnotePr>
    <w:footnote w:id="-1"/>
    <w:footnote w:id="0"/>
  </w:footnotePr>
  <w:endnotePr>
    <w:endnote w:id="-1"/>
    <w:endnote w:id="0"/>
  </w:endnotePr>
  <w:compat>
    <w:compatSetting w:name="compatibilityMode" w:uri="http://schemas.microsoft.com/office/word" w:val="12"/>
  </w:compat>
  <w:rsids>
    <w:rsidRoot w:val="00CD7089"/>
    <w:rsid w:val="00015B40"/>
    <w:rsid w:val="0003223B"/>
    <w:rsid w:val="000327B2"/>
    <w:rsid w:val="0004528B"/>
    <w:rsid w:val="00091FA6"/>
    <w:rsid w:val="00096BD9"/>
    <w:rsid w:val="000B3C9A"/>
    <w:rsid w:val="000B40A2"/>
    <w:rsid w:val="000B4624"/>
    <w:rsid w:val="000C0ACD"/>
    <w:rsid w:val="000C0D2A"/>
    <w:rsid w:val="000C5CE8"/>
    <w:rsid w:val="000E2959"/>
    <w:rsid w:val="000F0B60"/>
    <w:rsid w:val="00102926"/>
    <w:rsid w:val="0010587F"/>
    <w:rsid w:val="00111C6B"/>
    <w:rsid w:val="0012102B"/>
    <w:rsid w:val="0013369E"/>
    <w:rsid w:val="00164E6D"/>
    <w:rsid w:val="00183454"/>
    <w:rsid w:val="00186320"/>
    <w:rsid w:val="001B157C"/>
    <w:rsid w:val="001B4006"/>
    <w:rsid w:val="001B5C23"/>
    <w:rsid w:val="001D0D5F"/>
    <w:rsid w:val="001D6B8C"/>
    <w:rsid w:val="001F1F83"/>
    <w:rsid w:val="001F40DF"/>
    <w:rsid w:val="002021A9"/>
    <w:rsid w:val="002139A7"/>
    <w:rsid w:val="002148DC"/>
    <w:rsid w:val="00215F7C"/>
    <w:rsid w:val="0022323B"/>
    <w:rsid w:val="002410B8"/>
    <w:rsid w:val="00242AEE"/>
    <w:rsid w:val="00245129"/>
    <w:rsid w:val="00245879"/>
    <w:rsid w:val="0025004E"/>
    <w:rsid w:val="00260894"/>
    <w:rsid w:val="00267FD5"/>
    <w:rsid w:val="00274D34"/>
    <w:rsid w:val="00283ED8"/>
    <w:rsid w:val="002868D0"/>
    <w:rsid w:val="002A008C"/>
    <w:rsid w:val="002A27D1"/>
    <w:rsid w:val="002A4AFA"/>
    <w:rsid w:val="002B516C"/>
    <w:rsid w:val="002D72EB"/>
    <w:rsid w:val="002E2327"/>
    <w:rsid w:val="002E3583"/>
    <w:rsid w:val="002E5576"/>
    <w:rsid w:val="00331B52"/>
    <w:rsid w:val="003359D3"/>
    <w:rsid w:val="003528CB"/>
    <w:rsid w:val="00355967"/>
    <w:rsid w:val="00370220"/>
    <w:rsid w:val="00382C47"/>
    <w:rsid w:val="00384384"/>
    <w:rsid w:val="00386319"/>
    <w:rsid w:val="003866AE"/>
    <w:rsid w:val="003A05F8"/>
    <w:rsid w:val="003B3977"/>
    <w:rsid w:val="003D6A2C"/>
    <w:rsid w:val="003E1D4C"/>
    <w:rsid w:val="003F4694"/>
    <w:rsid w:val="004058EA"/>
    <w:rsid w:val="00432989"/>
    <w:rsid w:val="00434F44"/>
    <w:rsid w:val="00440E24"/>
    <w:rsid w:val="0044776A"/>
    <w:rsid w:val="00460AFC"/>
    <w:rsid w:val="00474128"/>
    <w:rsid w:val="0047471F"/>
    <w:rsid w:val="00481BC9"/>
    <w:rsid w:val="004B195E"/>
    <w:rsid w:val="004B66B4"/>
    <w:rsid w:val="004B7F60"/>
    <w:rsid w:val="004C1AAC"/>
    <w:rsid w:val="004E1E0A"/>
    <w:rsid w:val="004F090E"/>
    <w:rsid w:val="00501F3C"/>
    <w:rsid w:val="0052229C"/>
    <w:rsid w:val="00527CC7"/>
    <w:rsid w:val="0054503C"/>
    <w:rsid w:val="0055764B"/>
    <w:rsid w:val="00571CA4"/>
    <w:rsid w:val="00576B07"/>
    <w:rsid w:val="00582136"/>
    <w:rsid w:val="005C6840"/>
    <w:rsid w:val="005F1ED8"/>
    <w:rsid w:val="005F263E"/>
    <w:rsid w:val="00600252"/>
    <w:rsid w:val="00602E5C"/>
    <w:rsid w:val="00612A40"/>
    <w:rsid w:val="0061713C"/>
    <w:rsid w:val="0062714A"/>
    <w:rsid w:val="00636E24"/>
    <w:rsid w:val="00675479"/>
    <w:rsid w:val="00680709"/>
    <w:rsid w:val="00696BF9"/>
    <w:rsid w:val="00697C62"/>
    <w:rsid w:val="006A329B"/>
    <w:rsid w:val="006A7EB8"/>
    <w:rsid w:val="006B6926"/>
    <w:rsid w:val="006C3F47"/>
    <w:rsid w:val="006C5F7A"/>
    <w:rsid w:val="006C7864"/>
    <w:rsid w:val="006E06AF"/>
    <w:rsid w:val="006F350F"/>
    <w:rsid w:val="00717E77"/>
    <w:rsid w:val="007278E7"/>
    <w:rsid w:val="00732DB7"/>
    <w:rsid w:val="0074238B"/>
    <w:rsid w:val="007436B7"/>
    <w:rsid w:val="00745EF7"/>
    <w:rsid w:val="0075097F"/>
    <w:rsid w:val="00755F22"/>
    <w:rsid w:val="00761841"/>
    <w:rsid w:val="007622FA"/>
    <w:rsid w:val="00766E4A"/>
    <w:rsid w:val="007820CE"/>
    <w:rsid w:val="00782AE4"/>
    <w:rsid w:val="0079724F"/>
    <w:rsid w:val="007A3EAE"/>
    <w:rsid w:val="007B1227"/>
    <w:rsid w:val="007C04FC"/>
    <w:rsid w:val="007C47C2"/>
    <w:rsid w:val="007D08D6"/>
    <w:rsid w:val="007D3E0F"/>
    <w:rsid w:val="007D5B4B"/>
    <w:rsid w:val="007E4282"/>
    <w:rsid w:val="007F387B"/>
    <w:rsid w:val="00802863"/>
    <w:rsid w:val="00815B3C"/>
    <w:rsid w:val="0081610A"/>
    <w:rsid w:val="00822B8B"/>
    <w:rsid w:val="0082783A"/>
    <w:rsid w:val="00831CA9"/>
    <w:rsid w:val="00850E1F"/>
    <w:rsid w:val="0085476B"/>
    <w:rsid w:val="0086340B"/>
    <w:rsid w:val="008868E4"/>
    <w:rsid w:val="00890FEB"/>
    <w:rsid w:val="00895E7E"/>
    <w:rsid w:val="008A5C1A"/>
    <w:rsid w:val="008A6F0A"/>
    <w:rsid w:val="008C1249"/>
    <w:rsid w:val="008D292F"/>
    <w:rsid w:val="008E03DC"/>
    <w:rsid w:val="00902E51"/>
    <w:rsid w:val="00924065"/>
    <w:rsid w:val="009302C0"/>
    <w:rsid w:val="00930D68"/>
    <w:rsid w:val="00932DB4"/>
    <w:rsid w:val="00935682"/>
    <w:rsid w:val="00941A4B"/>
    <w:rsid w:val="00942EF1"/>
    <w:rsid w:val="00944C2E"/>
    <w:rsid w:val="00946242"/>
    <w:rsid w:val="0095096B"/>
    <w:rsid w:val="00965AE9"/>
    <w:rsid w:val="00970CD3"/>
    <w:rsid w:val="009723FA"/>
    <w:rsid w:val="0097756E"/>
    <w:rsid w:val="00984546"/>
    <w:rsid w:val="00996510"/>
    <w:rsid w:val="009D1F15"/>
    <w:rsid w:val="009D555E"/>
    <w:rsid w:val="009F3024"/>
    <w:rsid w:val="00A0198D"/>
    <w:rsid w:val="00A0355E"/>
    <w:rsid w:val="00A33032"/>
    <w:rsid w:val="00A375D1"/>
    <w:rsid w:val="00A40C7F"/>
    <w:rsid w:val="00A51D10"/>
    <w:rsid w:val="00A52A83"/>
    <w:rsid w:val="00A5501D"/>
    <w:rsid w:val="00A56AC7"/>
    <w:rsid w:val="00A6552C"/>
    <w:rsid w:val="00A87207"/>
    <w:rsid w:val="00A935AA"/>
    <w:rsid w:val="00A956D3"/>
    <w:rsid w:val="00AB2201"/>
    <w:rsid w:val="00AD3259"/>
    <w:rsid w:val="00AF1715"/>
    <w:rsid w:val="00AF3904"/>
    <w:rsid w:val="00B010C0"/>
    <w:rsid w:val="00B208BC"/>
    <w:rsid w:val="00B308F6"/>
    <w:rsid w:val="00B4740D"/>
    <w:rsid w:val="00B61629"/>
    <w:rsid w:val="00B7374B"/>
    <w:rsid w:val="00B83AD6"/>
    <w:rsid w:val="00B90DC0"/>
    <w:rsid w:val="00B93670"/>
    <w:rsid w:val="00BA116A"/>
    <w:rsid w:val="00BA5582"/>
    <w:rsid w:val="00BA6468"/>
    <w:rsid w:val="00BB1D44"/>
    <w:rsid w:val="00BD00ED"/>
    <w:rsid w:val="00BD06DA"/>
    <w:rsid w:val="00BD17DE"/>
    <w:rsid w:val="00BD4217"/>
    <w:rsid w:val="00BF25F3"/>
    <w:rsid w:val="00C0097E"/>
    <w:rsid w:val="00C1697B"/>
    <w:rsid w:val="00C21644"/>
    <w:rsid w:val="00C21CB5"/>
    <w:rsid w:val="00C46376"/>
    <w:rsid w:val="00C46B17"/>
    <w:rsid w:val="00C50A5C"/>
    <w:rsid w:val="00C50FDF"/>
    <w:rsid w:val="00C51E34"/>
    <w:rsid w:val="00C57032"/>
    <w:rsid w:val="00C63381"/>
    <w:rsid w:val="00C73D06"/>
    <w:rsid w:val="00C73E1B"/>
    <w:rsid w:val="00C759B4"/>
    <w:rsid w:val="00C77713"/>
    <w:rsid w:val="00C85BB7"/>
    <w:rsid w:val="00CA2DEA"/>
    <w:rsid w:val="00CA514B"/>
    <w:rsid w:val="00CB3520"/>
    <w:rsid w:val="00CB43D5"/>
    <w:rsid w:val="00CC4D84"/>
    <w:rsid w:val="00CD7089"/>
    <w:rsid w:val="00CE198A"/>
    <w:rsid w:val="00CE5245"/>
    <w:rsid w:val="00CE73E0"/>
    <w:rsid w:val="00CE76F4"/>
    <w:rsid w:val="00CF08C8"/>
    <w:rsid w:val="00D004FC"/>
    <w:rsid w:val="00D302DB"/>
    <w:rsid w:val="00D64901"/>
    <w:rsid w:val="00D76BDF"/>
    <w:rsid w:val="00D862C1"/>
    <w:rsid w:val="00D93B50"/>
    <w:rsid w:val="00D94028"/>
    <w:rsid w:val="00D94670"/>
    <w:rsid w:val="00DA46F6"/>
    <w:rsid w:val="00DA7B3D"/>
    <w:rsid w:val="00DC7FC5"/>
    <w:rsid w:val="00DD0B49"/>
    <w:rsid w:val="00DE0502"/>
    <w:rsid w:val="00DE349D"/>
    <w:rsid w:val="00DE7E07"/>
    <w:rsid w:val="00E06DFA"/>
    <w:rsid w:val="00E2016D"/>
    <w:rsid w:val="00E20A0A"/>
    <w:rsid w:val="00E240C2"/>
    <w:rsid w:val="00E356C7"/>
    <w:rsid w:val="00E41A5A"/>
    <w:rsid w:val="00E42409"/>
    <w:rsid w:val="00E45FE4"/>
    <w:rsid w:val="00E64FA7"/>
    <w:rsid w:val="00E7259A"/>
    <w:rsid w:val="00E770CB"/>
    <w:rsid w:val="00E903A1"/>
    <w:rsid w:val="00E940EB"/>
    <w:rsid w:val="00E9703F"/>
    <w:rsid w:val="00EB2B90"/>
    <w:rsid w:val="00ED7E83"/>
    <w:rsid w:val="00EE091F"/>
    <w:rsid w:val="00EF4B63"/>
    <w:rsid w:val="00F0068D"/>
    <w:rsid w:val="00F028AB"/>
    <w:rsid w:val="00F0576D"/>
    <w:rsid w:val="00F14E6D"/>
    <w:rsid w:val="00F15EA8"/>
    <w:rsid w:val="00F16C8D"/>
    <w:rsid w:val="00F26C61"/>
    <w:rsid w:val="00F33CCE"/>
    <w:rsid w:val="00F34F2D"/>
    <w:rsid w:val="00F40249"/>
    <w:rsid w:val="00F47C13"/>
    <w:rsid w:val="00F526C8"/>
    <w:rsid w:val="00F761A3"/>
    <w:rsid w:val="00F9272D"/>
    <w:rsid w:val="00F9518C"/>
    <w:rsid w:val="00FA316E"/>
    <w:rsid w:val="00FA59EF"/>
    <w:rsid w:val="00FB19A2"/>
    <w:rsid w:val="00FE750C"/>
    <w:rsid w:val="00FE78FC"/>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75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B308F6"/>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9302C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9302C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A5501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A5501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A5501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A5501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474128"/>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474128"/>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015B4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434F4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en/on/oncj/doc/2011/2011canlii82625/2011canlii82625.html" TargetMode="External"/><Relationship Id="rId39" Type="http://schemas.openxmlformats.org/officeDocument/2006/relationships/hyperlink" Target="http://www.canlii.org/fr/qc/qcca/doc/2014/2014qcca588/2014qcca588.html" TargetMode="External"/><Relationship Id="rId21" Type="http://schemas.openxmlformats.org/officeDocument/2006/relationships/footer" Target="footer6.xml"/><Relationship Id="rId34" Type="http://schemas.openxmlformats.org/officeDocument/2006/relationships/hyperlink" Target="http://canlii.ca/t/g2r9k" TargetMode="External"/><Relationship Id="rId42" Type="http://schemas.openxmlformats.org/officeDocument/2006/relationships/footer" Target="footer8.xml"/><Relationship Id="rId47" Type="http://schemas.openxmlformats.org/officeDocument/2006/relationships/header" Target="header12.xml"/><Relationship Id="rId50" Type="http://schemas.openxmlformats.org/officeDocument/2006/relationships/header" Target="header13.xml"/><Relationship Id="rId55" Type="http://schemas.openxmlformats.org/officeDocument/2006/relationships/footer" Target="footer15.xml"/><Relationship Id="rId63" Type="http://schemas.openxmlformats.org/officeDocument/2006/relationships/footer" Target="footer19.xml"/><Relationship Id="rId68" Type="http://schemas.openxmlformats.org/officeDocument/2006/relationships/footer" Target="footer20.xml"/><Relationship Id="rId7" Type="http://schemas.openxmlformats.org/officeDocument/2006/relationships/image" Target="media/image1.wmf"/><Relationship Id="rId71" Type="http://schemas.openxmlformats.org/officeDocument/2006/relationships/footer" Target="footer22.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en/bc/bcca/doc/2014/2014bcca26/2014bcca26.html" TargetMode="External"/><Relationship Id="rId11" Type="http://schemas.openxmlformats.org/officeDocument/2006/relationships/header" Target="header2.xml"/><Relationship Id="rId24" Type="http://schemas.openxmlformats.org/officeDocument/2006/relationships/hyperlink" Target="http://www.canlii.org/en/ca/fca/doc/2014/2014fca39/2014fca39.html" TargetMode="External"/><Relationship Id="rId32" Type="http://schemas.openxmlformats.org/officeDocument/2006/relationships/hyperlink" Target="http://canlii.ca/t/29jzr" TargetMode="External"/><Relationship Id="rId37" Type="http://schemas.openxmlformats.org/officeDocument/2006/relationships/hyperlink" Target="http://www.canlii.org/fr/qc/qcca/doc/2014/2014qcca588/2014qcca588.html" TargetMode="External"/><Relationship Id="rId40" Type="http://schemas.openxmlformats.org/officeDocument/2006/relationships/header" Target="header8.xml"/><Relationship Id="rId45" Type="http://schemas.openxmlformats.org/officeDocument/2006/relationships/footer" Target="footer10.xml"/><Relationship Id="rId53" Type="http://schemas.openxmlformats.org/officeDocument/2006/relationships/header" Target="header15.xml"/><Relationship Id="rId58" Type="http://schemas.openxmlformats.org/officeDocument/2006/relationships/header" Target="header17.xml"/><Relationship Id="rId66" Type="http://schemas.openxmlformats.org/officeDocument/2006/relationships/header" Target="header20.xm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en/bc/bcca/doc/2014/2014bcca26/2014bcca26.html" TargetMode="External"/><Relationship Id="rId36" Type="http://schemas.openxmlformats.org/officeDocument/2006/relationships/hyperlink" Target="http://www.canlii.org/fr/qc/qccs/doc/2012/2012qccs476/2012qccs476.html" TargetMode="External"/><Relationship Id="rId49" Type="http://schemas.openxmlformats.org/officeDocument/2006/relationships/footer" Target="footer12.xml"/><Relationship Id="rId57" Type="http://schemas.openxmlformats.org/officeDocument/2006/relationships/footer" Target="footer16.xml"/><Relationship Id="rId61" Type="http://schemas.openxmlformats.org/officeDocument/2006/relationships/footer" Target="foot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canlii.ca/t/g2v3x" TargetMode="External"/><Relationship Id="rId44" Type="http://schemas.openxmlformats.org/officeDocument/2006/relationships/header" Target="header10.xml"/><Relationship Id="rId52" Type="http://schemas.openxmlformats.org/officeDocument/2006/relationships/header" Target="header14.xml"/><Relationship Id="rId60" Type="http://schemas.openxmlformats.org/officeDocument/2006/relationships/footer" Target="footer17.xml"/><Relationship Id="rId65" Type="http://schemas.openxmlformats.org/officeDocument/2006/relationships/hyperlink" Target="http://www.scc-csc.ca/case-dossier/info/sum-som-eng.aspx?cas=35609" TargetMode="External"/><Relationship Id="rId73"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on/oncj/doc/2011/2011canlii82625/2011canlii82625.html" TargetMode="External"/><Relationship Id="rId30" Type="http://schemas.openxmlformats.org/officeDocument/2006/relationships/hyperlink" Target="http://canlii.ca/t/29jzr" TargetMode="External"/><Relationship Id="rId35" Type="http://schemas.openxmlformats.org/officeDocument/2006/relationships/hyperlink" Target="http://canlii.ca/t/g2r9k" TargetMode="External"/><Relationship Id="rId43" Type="http://schemas.openxmlformats.org/officeDocument/2006/relationships/footer" Target="footer9.xml"/><Relationship Id="rId48" Type="http://schemas.openxmlformats.org/officeDocument/2006/relationships/footer" Target="footer11.xml"/><Relationship Id="rId56" Type="http://schemas.openxmlformats.org/officeDocument/2006/relationships/header" Target="header16.xml"/><Relationship Id="rId64" Type="http://schemas.openxmlformats.org/officeDocument/2006/relationships/hyperlink" Target="http://www.scc-csc.ca/case-dossier/info/sum-som-fra.aspx?cas=35124" TargetMode="External"/><Relationship Id="rId69" Type="http://schemas.openxmlformats.org/officeDocument/2006/relationships/footer" Target="footer21.xml"/><Relationship Id="rId8" Type="http://schemas.openxmlformats.org/officeDocument/2006/relationships/hyperlink" Target="http://www.scc-csc.ca" TargetMode="External"/><Relationship Id="rId51" Type="http://schemas.openxmlformats.org/officeDocument/2006/relationships/footer" Target="footer13.xml"/><Relationship Id="rId72"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fr/ca/caf/doc/2014/2014caf39/2014caf39.html" TargetMode="External"/><Relationship Id="rId33" Type="http://schemas.openxmlformats.org/officeDocument/2006/relationships/hyperlink" Target="http://canlii.ca/t/g2v3x" TargetMode="External"/><Relationship Id="rId38" Type="http://schemas.openxmlformats.org/officeDocument/2006/relationships/hyperlink" Target="http://www.canlii.org/fr/qc/qccs/doc/2012/2012qccs476/2012qccs476.html" TargetMode="External"/><Relationship Id="rId46" Type="http://schemas.openxmlformats.org/officeDocument/2006/relationships/header" Target="header11.xml"/><Relationship Id="rId59" Type="http://schemas.openxmlformats.org/officeDocument/2006/relationships/header" Target="header18.xml"/><Relationship Id="rId67" Type="http://schemas.openxmlformats.org/officeDocument/2006/relationships/header" Target="header21.xml"/><Relationship Id="rId20" Type="http://schemas.openxmlformats.org/officeDocument/2006/relationships/header" Target="header6.xml"/><Relationship Id="rId41" Type="http://schemas.openxmlformats.org/officeDocument/2006/relationships/header" Target="header9.xml"/><Relationship Id="rId54" Type="http://schemas.openxmlformats.org/officeDocument/2006/relationships/footer" Target="footer14.xml"/><Relationship Id="rId62" Type="http://schemas.openxmlformats.org/officeDocument/2006/relationships/header" Target="header19.xml"/><Relationship Id="rId70" Type="http://schemas.openxmlformats.org/officeDocument/2006/relationships/header" Target="header22.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15479</Words>
  <Characters>88235</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2014-07-07T17:31:00Z</dcterms:created>
  <dcterms:modified xsi:type="dcterms:W3CDTF">2015-12-04T16:16:00Z</dcterms:modified>
</cp:coreProperties>
</file>