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054A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054A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054A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054A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054A6" w:rsidTr="002E5576">
        <w:tc>
          <w:tcPr>
            <w:tcW w:w="4518" w:type="dxa"/>
          </w:tcPr>
          <w:p w:rsidR="00BF25F3" w:rsidRPr="002E2327" w:rsidRDefault="0084732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4732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054A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054A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054A6">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054A6">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300C8"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12</w:t>
      </w:r>
      <w:r w:rsidR="00440E24" w:rsidRPr="00675479">
        <w:rPr>
          <w:lang w:val="fr-CA"/>
        </w:rPr>
        <w:t>, 201</w:t>
      </w:r>
      <w:r w:rsidR="00501F3C">
        <w:rPr>
          <w:lang w:val="fr-CA"/>
        </w:rPr>
        <w:t>4</w:t>
      </w:r>
      <w:r w:rsidR="00F0068D" w:rsidRPr="00675479">
        <w:rPr>
          <w:lang w:val="fr-CA"/>
        </w:rPr>
        <w:tab/>
        <w:t>1</w:t>
      </w:r>
      <w:r>
        <w:rPr>
          <w:lang w:val="fr-CA"/>
        </w:rPr>
        <w:t>37</w:t>
      </w:r>
      <w:r w:rsidR="00B76BB5">
        <w:rPr>
          <w:lang w:val="fr-CA"/>
        </w:rPr>
        <w:t>8</w:t>
      </w:r>
      <w:r w:rsidR="00F0068D" w:rsidRPr="00675479">
        <w:rPr>
          <w:lang w:val="fr-CA"/>
        </w:rPr>
        <w:t xml:space="preserve"> - </w:t>
      </w:r>
      <w:r w:rsidR="00E62B53">
        <w:rPr>
          <w:lang w:val="fr-CA"/>
        </w:rPr>
        <w:t>139</w:t>
      </w:r>
      <w:r w:rsidR="00B76BB5">
        <w:rPr>
          <w:lang w:val="fr-CA"/>
        </w:rPr>
        <w:t>5</w:t>
      </w:r>
      <w:r w:rsidR="00440E24" w:rsidRPr="00675479">
        <w:rPr>
          <w:lang w:val="fr-CA"/>
        </w:rPr>
        <w:tab/>
      </w:r>
      <w:r w:rsidR="00440E24" w:rsidRPr="002E2327">
        <w:rPr>
          <w:lang w:val="fr-CA"/>
        </w:rPr>
        <w:t>Le</w:t>
      </w:r>
      <w:r w:rsidR="00C73D06">
        <w:rPr>
          <w:lang w:val="fr-CA"/>
        </w:rPr>
        <w:t xml:space="preserve"> </w:t>
      </w:r>
      <w:r>
        <w:rPr>
          <w:lang w:val="fr-CA"/>
        </w:rPr>
        <w:t>12 septembre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FB44C0">
            <w:pPr>
              <w:tabs>
                <w:tab w:val="right" w:pos="9360"/>
              </w:tabs>
              <w:rPr>
                <w:rFonts w:cs="Times New Roman"/>
                <w:sz w:val="20"/>
                <w:szCs w:val="20"/>
              </w:rPr>
            </w:pPr>
          </w:p>
        </w:tc>
        <w:tc>
          <w:tcPr>
            <w:tcW w:w="1980" w:type="dxa"/>
          </w:tcPr>
          <w:p w:rsidR="0095096B" w:rsidRPr="002E2327" w:rsidRDefault="00FB44C0" w:rsidP="0095096B">
            <w:pPr>
              <w:jc w:val="center"/>
              <w:rPr>
                <w:rFonts w:cs="Times New Roman"/>
                <w:sz w:val="20"/>
                <w:szCs w:val="20"/>
              </w:rPr>
            </w:pPr>
            <w:r>
              <w:rPr>
                <w:rFonts w:cs="Times New Roman"/>
                <w:sz w:val="20"/>
                <w:szCs w:val="20"/>
              </w:rPr>
              <w:t>137</w:t>
            </w:r>
            <w:r w:rsidR="00B76BB5">
              <w:rPr>
                <w:rFonts w:cs="Times New Roman"/>
                <w:sz w:val="20"/>
                <w:szCs w:val="20"/>
              </w:rPr>
              <w:t>8</w:t>
            </w:r>
            <w:r>
              <w:rPr>
                <w:rFonts w:cs="Times New Roman"/>
                <w:sz w:val="20"/>
                <w:szCs w:val="20"/>
              </w:rPr>
              <w:t xml:space="preserve"> </w:t>
            </w:r>
            <w:r w:rsidR="0084732B" w:rsidRPr="002E2327">
              <w:rPr>
                <w:rFonts w:cs="Times New Roman"/>
                <w:sz w:val="20"/>
                <w:szCs w:val="20"/>
              </w:rPr>
              <w:fldChar w:fldCharType="begin"/>
            </w:r>
            <w:r w:rsidR="0095096B" w:rsidRPr="002E2327">
              <w:rPr>
                <w:rFonts w:cs="Times New Roman"/>
                <w:sz w:val="20"/>
                <w:szCs w:val="20"/>
              </w:rPr>
              <w:instrText xml:space="preserve"> SEQ CHAPTER \h \r 1</w:instrText>
            </w:r>
            <w:r w:rsidR="0084732B"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w:t>
            </w:r>
            <w:r w:rsidR="00B76BB5">
              <w:rPr>
                <w:rFonts w:cs="Times New Roman"/>
                <w:sz w:val="20"/>
                <w:szCs w:val="20"/>
              </w:rPr>
              <w:t>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44C0" w:rsidP="0095096B">
            <w:pPr>
              <w:jc w:val="center"/>
              <w:rPr>
                <w:rFonts w:cs="Times New Roman"/>
                <w:sz w:val="20"/>
                <w:szCs w:val="20"/>
              </w:rPr>
            </w:pPr>
            <w:r>
              <w:rPr>
                <w:rFonts w:cs="Times New Roman"/>
                <w:sz w:val="20"/>
                <w:szCs w:val="20"/>
              </w:rPr>
              <w:t>138</w:t>
            </w:r>
            <w:r w:rsidR="00B76BB5">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44C0" w:rsidP="0095096B">
            <w:pPr>
              <w:jc w:val="center"/>
              <w:rPr>
                <w:rFonts w:cs="Times New Roman"/>
                <w:sz w:val="20"/>
                <w:szCs w:val="20"/>
              </w:rPr>
            </w:pPr>
            <w:r>
              <w:rPr>
                <w:rFonts w:cs="Times New Roman"/>
                <w:sz w:val="20"/>
                <w:szCs w:val="20"/>
              </w:rPr>
              <w:t>138</w:t>
            </w:r>
            <w:r w:rsidR="00B76BB5">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E62B53">
              <w:rPr>
                <w:rFonts w:cs="Times New Roman"/>
                <w:sz w:val="20"/>
                <w:szCs w:val="20"/>
              </w:rPr>
              <w:t>13</w:t>
            </w:r>
            <w:r>
              <w:rPr>
                <w:rFonts w:cs="Times New Roman"/>
                <w:sz w:val="20"/>
                <w:szCs w:val="20"/>
              </w:rPr>
              <w:t>8</w:t>
            </w:r>
            <w:r w:rsidR="00B76BB5">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E62B53" w:rsidP="0095096B">
            <w:pPr>
              <w:jc w:val="center"/>
              <w:rPr>
                <w:rFonts w:cs="Times New Roman"/>
                <w:sz w:val="20"/>
                <w:szCs w:val="20"/>
              </w:rPr>
            </w:pPr>
            <w:r>
              <w:rPr>
                <w:rFonts w:cs="Times New Roman"/>
                <w:sz w:val="20"/>
                <w:szCs w:val="20"/>
              </w:rPr>
              <w:t>138</w:t>
            </w:r>
            <w:r w:rsidR="00B76BB5">
              <w:rPr>
                <w:rFonts w:cs="Times New Roman"/>
                <w:sz w:val="20"/>
                <w:szCs w:val="20"/>
              </w:rPr>
              <w:t>8</w:t>
            </w:r>
            <w:r>
              <w:rPr>
                <w:rFonts w:cs="Times New Roman"/>
                <w:sz w:val="20"/>
                <w:szCs w:val="20"/>
              </w:rPr>
              <w:t xml:space="preserve"> </w:t>
            </w:r>
            <w:r w:rsidR="0095096B" w:rsidRPr="002E2327">
              <w:rPr>
                <w:rFonts w:cs="Times New Roman"/>
                <w:sz w:val="20"/>
                <w:szCs w:val="20"/>
              </w:rPr>
              <w:t>-</w:t>
            </w:r>
            <w:r w:rsidR="00FB44C0">
              <w:rPr>
                <w:rFonts w:cs="Times New Roman"/>
                <w:sz w:val="20"/>
                <w:szCs w:val="20"/>
              </w:rPr>
              <w:t xml:space="preserve"> </w:t>
            </w:r>
            <w:r>
              <w:rPr>
                <w:rFonts w:cs="Times New Roman"/>
                <w:sz w:val="20"/>
                <w:szCs w:val="20"/>
              </w:rPr>
              <w:t>13</w:t>
            </w:r>
            <w:r w:rsidR="00FB44C0">
              <w:rPr>
                <w:rFonts w:cs="Times New Roman"/>
                <w:sz w:val="20"/>
                <w:szCs w:val="20"/>
              </w:rPr>
              <w:t>8</w:t>
            </w:r>
            <w:r w:rsidR="00B76BB5">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2B53" w:rsidP="0095096B">
            <w:pPr>
              <w:jc w:val="center"/>
              <w:rPr>
                <w:rFonts w:cs="Times New Roman"/>
                <w:sz w:val="20"/>
                <w:szCs w:val="20"/>
              </w:rPr>
            </w:pPr>
            <w:r>
              <w:rPr>
                <w:rFonts w:cs="Times New Roman"/>
                <w:sz w:val="20"/>
                <w:szCs w:val="20"/>
              </w:rPr>
              <w:t>139</w:t>
            </w:r>
            <w:r w:rsidR="00B76BB5">
              <w:rPr>
                <w:rFonts w:cs="Times New Roman"/>
                <w:sz w:val="20"/>
                <w:szCs w:val="20"/>
              </w:rPr>
              <w:t>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2B53" w:rsidP="0095096B">
            <w:pPr>
              <w:jc w:val="center"/>
              <w:rPr>
                <w:rFonts w:cs="Times New Roman"/>
                <w:sz w:val="20"/>
                <w:szCs w:val="20"/>
              </w:rPr>
            </w:pPr>
            <w:r>
              <w:rPr>
                <w:rFonts w:cs="Times New Roman"/>
                <w:sz w:val="20"/>
                <w:szCs w:val="20"/>
              </w:rPr>
              <w:t>139</w:t>
            </w:r>
            <w:r w:rsidR="00B76BB5">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139</w:t>
            </w:r>
            <w:r w:rsidR="00B76BB5">
              <w:rPr>
                <w:rFonts w:cs="Times New Roman"/>
                <w:sz w:val="20"/>
                <w:szCs w:val="20"/>
              </w:rPr>
              <w:t>5</w:t>
            </w:r>
          </w:p>
          <w:p w:rsidR="00A87207" w:rsidRPr="002E2327" w:rsidRDefault="00A87207" w:rsidP="00FB44C0">
            <w:pPr>
              <w:tabs>
                <w:tab w:val="right" w:pos="9360"/>
              </w:tabs>
              <w:jc w:val="center"/>
              <w:rPr>
                <w:rFonts w:cs="Times New Roman"/>
                <w:sz w:val="20"/>
                <w:szCs w:val="20"/>
              </w:rPr>
            </w:pPr>
          </w:p>
        </w:tc>
        <w:tc>
          <w:tcPr>
            <w:tcW w:w="3888" w:type="dxa"/>
          </w:tcPr>
          <w:p w:rsidR="0095096B" w:rsidRPr="002E2327" w:rsidRDefault="0084732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B44C0">
            <w:pPr>
              <w:tabs>
                <w:tab w:val="right" w:pos="9360"/>
              </w:tabs>
              <w:rPr>
                <w:rFonts w:cs="Times New Roman"/>
                <w:sz w:val="20"/>
                <w:szCs w:val="20"/>
                <w:lang w:val="fr-CA"/>
              </w:rPr>
            </w:pPr>
          </w:p>
        </w:tc>
      </w:tr>
    </w:tbl>
    <w:p w:rsidR="0095096B" w:rsidRDefault="0095096B" w:rsidP="0095096B">
      <w:pPr>
        <w:tabs>
          <w:tab w:val="right" w:pos="9360"/>
        </w:tabs>
      </w:pPr>
    </w:p>
    <w:p w:rsidR="001D1618" w:rsidRDefault="001D1618" w:rsidP="0095096B">
      <w:pPr>
        <w:tabs>
          <w:tab w:val="right" w:pos="9360"/>
        </w:tabs>
      </w:pPr>
    </w:p>
    <w:p w:rsidR="001D1618" w:rsidRDefault="001D1618" w:rsidP="0095096B">
      <w:pPr>
        <w:tabs>
          <w:tab w:val="right" w:pos="9360"/>
        </w:tabs>
      </w:pPr>
    </w:p>
    <w:p w:rsidR="001D1618" w:rsidRPr="002E2327" w:rsidRDefault="001D1618" w:rsidP="0095096B">
      <w:pPr>
        <w:tabs>
          <w:tab w:val="right" w:pos="9360"/>
        </w:tabs>
      </w:pPr>
    </w:p>
    <w:tbl>
      <w:tblPr>
        <w:tblStyle w:val="TableGrid"/>
        <w:tblW w:w="0" w:type="auto"/>
        <w:tblLook w:val="04A0" w:firstRow="1" w:lastRow="0" w:firstColumn="1" w:lastColumn="0" w:noHBand="0" w:noVBand="1"/>
      </w:tblPr>
      <w:tblGrid>
        <w:gridCol w:w="9576"/>
      </w:tblGrid>
      <w:tr w:rsidR="0079724F" w:rsidRPr="007054A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595008" w:rsidRDefault="00595008" w:rsidP="005F1ED8">
            <w:pPr>
              <w:rPr>
                <w:b/>
                <w:sz w:val="20"/>
                <w:szCs w:val="20"/>
              </w:rPr>
            </w:pPr>
            <w:r w:rsidRPr="00595008">
              <w:rPr>
                <w:b/>
                <w:sz w:val="20"/>
                <w:szCs w:val="20"/>
              </w:rPr>
              <w:t>Thomas Leslie Armstrong</w:t>
            </w:r>
          </w:p>
          <w:p w:rsidR="00C21644" w:rsidRPr="00550991" w:rsidRDefault="00C21644" w:rsidP="005F1ED8">
            <w:pPr>
              <w:tabs>
                <w:tab w:val="left" w:pos="-1440"/>
                <w:tab w:val="left" w:pos="-720"/>
              </w:tabs>
              <w:rPr>
                <w:sz w:val="20"/>
                <w:szCs w:val="20"/>
                <w:lang w:val="en-US"/>
              </w:rPr>
            </w:pPr>
            <w:r w:rsidRPr="00595008">
              <w:rPr>
                <w:sz w:val="20"/>
                <w:szCs w:val="20"/>
              </w:rPr>
              <w:tab/>
            </w:r>
            <w:r w:rsidR="00595008" w:rsidRPr="00550991">
              <w:rPr>
                <w:sz w:val="20"/>
                <w:szCs w:val="20"/>
                <w:lang w:val="en-US"/>
              </w:rPr>
              <w:t>Roger P. Thirkell</w:t>
            </w:r>
            <w:r w:rsidRPr="00550991">
              <w:rPr>
                <w:sz w:val="20"/>
                <w:szCs w:val="20"/>
                <w:lang w:val="en-US"/>
              </w:rPr>
              <w:t xml:space="preserve"> </w:t>
            </w:r>
          </w:p>
          <w:p w:rsidR="00C21644" w:rsidRPr="00550991" w:rsidRDefault="00C21644" w:rsidP="005F1ED8">
            <w:pPr>
              <w:tabs>
                <w:tab w:val="left" w:pos="-1440"/>
                <w:tab w:val="left" w:pos="-720"/>
              </w:tabs>
              <w:rPr>
                <w:sz w:val="20"/>
                <w:szCs w:val="20"/>
                <w:lang w:val="en-US"/>
              </w:rPr>
            </w:pPr>
            <w:r w:rsidRPr="00550991">
              <w:rPr>
                <w:sz w:val="20"/>
                <w:szCs w:val="20"/>
                <w:lang w:val="en-US"/>
              </w:rPr>
              <w:tab/>
            </w:r>
            <w:r w:rsidR="00595008" w:rsidRPr="00550991">
              <w:rPr>
                <w:sz w:val="20"/>
                <w:szCs w:val="20"/>
                <w:lang w:val="en-US"/>
              </w:rPr>
              <w:t>Thirkell &amp; Company</w:t>
            </w:r>
          </w:p>
          <w:p w:rsidR="00C21644" w:rsidRPr="00550991" w:rsidRDefault="00C21644" w:rsidP="005F1ED8">
            <w:pPr>
              <w:tabs>
                <w:tab w:val="left" w:pos="-1440"/>
                <w:tab w:val="left" w:pos="-720"/>
              </w:tabs>
              <w:rPr>
                <w:sz w:val="20"/>
                <w:szCs w:val="20"/>
                <w:lang w:val="en-US"/>
              </w:rPr>
            </w:pPr>
          </w:p>
          <w:p w:rsidR="00C21644" w:rsidRPr="00550991" w:rsidRDefault="00C21644" w:rsidP="005F1ED8">
            <w:pPr>
              <w:tabs>
                <w:tab w:val="left" w:pos="-1440"/>
                <w:tab w:val="left" w:pos="-720"/>
              </w:tabs>
              <w:rPr>
                <w:sz w:val="20"/>
                <w:szCs w:val="20"/>
                <w:lang w:val="en-US"/>
              </w:rPr>
            </w:pPr>
            <w:r w:rsidRPr="00550991">
              <w:rPr>
                <w:sz w:val="20"/>
                <w:szCs w:val="20"/>
                <w:lang w:val="en-US"/>
              </w:rPr>
              <w:tab/>
              <w:t>v. (35</w:t>
            </w:r>
            <w:r w:rsidR="00595008" w:rsidRPr="00550991">
              <w:rPr>
                <w:sz w:val="20"/>
                <w:szCs w:val="20"/>
                <w:lang w:val="en-US"/>
              </w:rPr>
              <w:t>129</w:t>
            </w:r>
            <w:r w:rsidRPr="00550991">
              <w:rPr>
                <w:sz w:val="20"/>
                <w:szCs w:val="20"/>
                <w:lang w:val="en-US"/>
              </w:rPr>
              <w:t>)</w:t>
            </w:r>
          </w:p>
          <w:p w:rsidR="00C21644" w:rsidRPr="00550991" w:rsidRDefault="00C21644" w:rsidP="005F1ED8">
            <w:pPr>
              <w:tabs>
                <w:tab w:val="left" w:pos="-1440"/>
                <w:tab w:val="left" w:pos="-720"/>
              </w:tabs>
              <w:rPr>
                <w:sz w:val="20"/>
                <w:szCs w:val="20"/>
                <w:lang w:val="en-US"/>
              </w:rPr>
            </w:pPr>
          </w:p>
          <w:p w:rsidR="00C21644" w:rsidRPr="00550991" w:rsidRDefault="00595008" w:rsidP="005F1ED8">
            <w:pPr>
              <w:tabs>
                <w:tab w:val="left" w:pos="-1440"/>
                <w:tab w:val="left" w:pos="-720"/>
              </w:tabs>
              <w:rPr>
                <w:b/>
                <w:sz w:val="20"/>
                <w:szCs w:val="20"/>
                <w:lang w:val="en-US"/>
              </w:rPr>
            </w:pPr>
            <w:r w:rsidRPr="00550991">
              <w:rPr>
                <w:b/>
                <w:sz w:val="20"/>
                <w:szCs w:val="20"/>
                <w:lang w:val="en-US"/>
              </w:rPr>
              <w:t xml:space="preserve">Her Majesty the Queen </w:t>
            </w:r>
            <w:r w:rsidR="00C21644" w:rsidRPr="00550991">
              <w:rPr>
                <w:b/>
                <w:sz w:val="20"/>
                <w:szCs w:val="20"/>
                <w:lang w:val="en-US"/>
              </w:rPr>
              <w:t>(</w:t>
            </w:r>
            <w:r w:rsidRPr="00550991">
              <w:rPr>
                <w:b/>
                <w:sz w:val="20"/>
                <w:szCs w:val="20"/>
                <w:lang w:val="en-US"/>
              </w:rPr>
              <w:t>B.C</w:t>
            </w:r>
            <w:r w:rsidR="00C21644" w:rsidRPr="00550991">
              <w:rPr>
                <w:b/>
                <w:sz w:val="20"/>
                <w:szCs w:val="20"/>
                <w:lang w:val="en-US"/>
              </w:rPr>
              <w:t>.)</w:t>
            </w:r>
          </w:p>
          <w:p w:rsidR="00C21644" w:rsidRPr="00595008" w:rsidRDefault="00C21644" w:rsidP="005F1ED8">
            <w:pPr>
              <w:tabs>
                <w:tab w:val="left" w:pos="-1440"/>
                <w:tab w:val="left" w:pos="-720"/>
              </w:tabs>
              <w:rPr>
                <w:sz w:val="20"/>
                <w:szCs w:val="20"/>
                <w:lang w:val="en-US"/>
              </w:rPr>
            </w:pPr>
            <w:r w:rsidRPr="00550991">
              <w:rPr>
                <w:sz w:val="20"/>
                <w:szCs w:val="20"/>
                <w:lang w:val="en-US"/>
              </w:rPr>
              <w:tab/>
            </w:r>
            <w:r w:rsidR="00595008" w:rsidRPr="00595008">
              <w:rPr>
                <w:sz w:val="20"/>
                <w:szCs w:val="20"/>
                <w:lang w:val="en-US"/>
              </w:rPr>
              <w:t>Michael B</w:t>
            </w:r>
            <w:r w:rsidR="000241BE">
              <w:rPr>
                <w:sz w:val="20"/>
                <w:szCs w:val="20"/>
                <w:lang w:val="en-US"/>
              </w:rPr>
              <w:t>r</w:t>
            </w:r>
            <w:r w:rsidR="00595008" w:rsidRPr="00595008">
              <w:rPr>
                <w:sz w:val="20"/>
                <w:szCs w:val="20"/>
                <w:lang w:val="en-US"/>
              </w:rPr>
              <w:t>undrett</w:t>
            </w:r>
          </w:p>
          <w:p w:rsidR="00C21644" w:rsidRPr="00595008" w:rsidRDefault="00C21644" w:rsidP="005F1ED8">
            <w:pPr>
              <w:tabs>
                <w:tab w:val="left" w:pos="-1440"/>
                <w:tab w:val="left" w:pos="-720"/>
              </w:tabs>
              <w:rPr>
                <w:sz w:val="20"/>
                <w:szCs w:val="20"/>
                <w:lang w:val="en-US"/>
              </w:rPr>
            </w:pPr>
            <w:r w:rsidRPr="00595008">
              <w:rPr>
                <w:sz w:val="20"/>
                <w:szCs w:val="20"/>
                <w:lang w:val="en-US"/>
              </w:rPr>
              <w:tab/>
            </w:r>
            <w:r w:rsidR="00595008" w:rsidRPr="00595008">
              <w:rPr>
                <w:sz w:val="20"/>
                <w:szCs w:val="20"/>
                <w:lang w:val="en-US"/>
              </w:rPr>
              <w:t>A.G. of British Columbia</w:t>
            </w:r>
          </w:p>
          <w:p w:rsidR="00C21644" w:rsidRPr="00595008" w:rsidRDefault="00C21644" w:rsidP="005F1ED8">
            <w:pPr>
              <w:tabs>
                <w:tab w:val="left" w:pos="-1440"/>
                <w:tab w:val="left" w:pos="-720"/>
              </w:tabs>
              <w:rPr>
                <w:sz w:val="20"/>
                <w:szCs w:val="20"/>
                <w:lang w:val="en-US"/>
              </w:rPr>
            </w:pPr>
          </w:p>
          <w:p w:rsidR="00C21644" w:rsidRPr="000241BE" w:rsidRDefault="00C21644" w:rsidP="005F1ED8">
            <w:pPr>
              <w:rPr>
                <w:sz w:val="20"/>
                <w:szCs w:val="20"/>
                <w:lang w:val="en-US"/>
              </w:rPr>
            </w:pPr>
            <w:r w:rsidRPr="000241BE">
              <w:rPr>
                <w:sz w:val="20"/>
                <w:szCs w:val="20"/>
                <w:lang w:val="en-US"/>
              </w:rPr>
              <w:t xml:space="preserve">FILING DATE: </w:t>
            </w:r>
            <w:r w:rsidR="00595008" w:rsidRPr="000241BE">
              <w:rPr>
                <w:sz w:val="20"/>
                <w:szCs w:val="20"/>
                <w:lang w:val="en-US"/>
              </w:rPr>
              <w:t>31</w:t>
            </w:r>
            <w:r w:rsidRPr="000241BE">
              <w:rPr>
                <w:sz w:val="20"/>
                <w:szCs w:val="20"/>
                <w:lang w:val="en-US"/>
              </w:rPr>
              <w:t>.</w:t>
            </w:r>
            <w:r w:rsidR="00595008" w:rsidRPr="000241BE">
              <w:rPr>
                <w:sz w:val="20"/>
                <w:szCs w:val="20"/>
                <w:lang w:val="en-US"/>
              </w:rPr>
              <w:t>07</w:t>
            </w:r>
            <w:r w:rsidRPr="000241BE">
              <w:rPr>
                <w:sz w:val="20"/>
                <w:szCs w:val="20"/>
                <w:lang w:val="en-US"/>
              </w:rPr>
              <w:t>.201</w:t>
            </w:r>
            <w:r w:rsidR="00595008" w:rsidRPr="000241BE">
              <w:rPr>
                <w:sz w:val="20"/>
                <w:szCs w:val="20"/>
                <w:lang w:val="en-US"/>
              </w:rPr>
              <w:t>4</w:t>
            </w:r>
          </w:p>
          <w:p w:rsidR="00C21644" w:rsidRPr="00595008" w:rsidRDefault="007054A6"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p w:rsidR="00C21644" w:rsidRPr="00595008" w:rsidRDefault="00C21644" w:rsidP="00242AEE">
            <w:pPr>
              <w:jc w:val="center"/>
              <w:rPr>
                <w:sz w:val="20"/>
                <w:szCs w:val="20"/>
                <w:lang w:val="fr-CA"/>
              </w:rPr>
            </w:pPr>
          </w:p>
        </w:tc>
        <w:tc>
          <w:tcPr>
            <w:tcW w:w="4320" w:type="dxa"/>
            <w:shd w:val="clear" w:color="auto" w:fill="auto"/>
          </w:tcPr>
          <w:p w:rsidR="00D64DF5" w:rsidRPr="00A935AA" w:rsidRDefault="00D64DF5" w:rsidP="00D64DF5">
            <w:pPr>
              <w:rPr>
                <w:b/>
                <w:sz w:val="20"/>
                <w:szCs w:val="20"/>
              </w:rPr>
            </w:pPr>
            <w:r w:rsidRPr="00B8724A">
              <w:rPr>
                <w:b/>
                <w:sz w:val="20"/>
                <w:szCs w:val="20"/>
              </w:rPr>
              <w:t>William Bruce</w:t>
            </w:r>
            <w:r>
              <w:rPr>
                <w:b/>
                <w:sz w:val="20"/>
                <w:szCs w:val="20"/>
              </w:rPr>
              <w:t xml:space="preserve"> Montague</w:t>
            </w:r>
            <w:r w:rsidR="000241BE">
              <w:rPr>
                <w:b/>
                <w:sz w:val="20"/>
                <w:szCs w:val="20"/>
              </w:rPr>
              <w:t xml:space="preserve"> et al.</w:t>
            </w:r>
          </w:p>
          <w:p w:rsidR="00D64DF5" w:rsidRPr="00A935AA" w:rsidRDefault="00D64DF5" w:rsidP="00D64DF5">
            <w:pPr>
              <w:tabs>
                <w:tab w:val="left" w:pos="-1440"/>
                <w:tab w:val="left" w:pos="-720"/>
              </w:tabs>
              <w:rPr>
                <w:sz w:val="20"/>
                <w:szCs w:val="20"/>
              </w:rPr>
            </w:pPr>
            <w:r w:rsidRPr="00A935AA">
              <w:rPr>
                <w:sz w:val="20"/>
                <w:szCs w:val="20"/>
              </w:rPr>
              <w:tab/>
            </w:r>
            <w:r>
              <w:rPr>
                <w:sz w:val="20"/>
                <w:szCs w:val="20"/>
              </w:rPr>
              <w:t>Mark A. Gelowitz</w:t>
            </w:r>
          </w:p>
          <w:p w:rsidR="00D64DF5" w:rsidRPr="00A935AA" w:rsidRDefault="00D64DF5" w:rsidP="00D64DF5">
            <w:pPr>
              <w:tabs>
                <w:tab w:val="left" w:pos="-1440"/>
                <w:tab w:val="left" w:pos="-720"/>
              </w:tabs>
              <w:rPr>
                <w:sz w:val="20"/>
                <w:szCs w:val="20"/>
              </w:rPr>
            </w:pPr>
            <w:r w:rsidRPr="00A935AA">
              <w:rPr>
                <w:sz w:val="20"/>
                <w:szCs w:val="20"/>
              </w:rPr>
              <w:tab/>
            </w:r>
            <w:r>
              <w:rPr>
                <w:sz w:val="20"/>
                <w:szCs w:val="20"/>
              </w:rPr>
              <w:t>Osler, Hoskin &amp; Harcourt LLP</w:t>
            </w:r>
          </w:p>
          <w:p w:rsidR="00D64DF5" w:rsidRPr="00A935AA" w:rsidRDefault="00D64DF5" w:rsidP="00D64DF5">
            <w:pPr>
              <w:tabs>
                <w:tab w:val="left" w:pos="-1440"/>
                <w:tab w:val="left" w:pos="-720"/>
              </w:tabs>
              <w:rPr>
                <w:sz w:val="20"/>
                <w:szCs w:val="20"/>
              </w:rPr>
            </w:pPr>
          </w:p>
          <w:p w:rsidR="00D64DF5" w:rsidRPr="00A935AA" w:rsidRDefault="00D64DF5" w:rsidP="00D64DF5">
            <w:pPr>
              <w:tabs>
                <w:tab w:val="left" w:pos="-1440"/>
                <w:tab w:val="left" w:pos="-720"/>
              </w:tabs>
              <w:rPr>
                <w:sz w:val="20"/>
                <w:szCs w:val="20"/>
              </w:rPr>
            </w:pPr>
            <w:r w:rsidRPr="00A935AA">
              <w:rPr>
                <w:sz w:val="20"/>
                <w:szCs w:val="20"/>
              </w:rPr>
              <w:tab/>
              <w:t>v. (</w:t>
            </w:r>
            <w:r>
              <w:rPr>
                <w:sz w:val="20"/>
                <w:szCs w:val="20"/>
              </w:rPr>
              <w:t>36022</w:t>
            </w:r>
            <w:r w:rsidRPr="00A935AA">
              <w:rPr>
                <w:sz w:val="20"/>
                <w:szCs w:val="20"/>
              </w:rPr>
              <w:t>)</w:t>
            </w:r>
          </w:p>
          <w:p w:rsidR="00D64DF5" w:rsidRPr="00A935AA" w:rsidRDefault="00D64DF5" w:rsidP="00D64DF5">
            <w:pPr>
              <w:tabs>
                <w:tab w:val="left" w:pos="-1440"/>
                <w:tab w:val="left" w:pos="-720"/>
              </w:tabs>
              <w:rPr>
                <w:sz w:val="20"/>
                <w:szCs w:val="20"/>
              </w:rPr>
            </w:pPr>
          </w:p>
          <w:p w:rsidR="00D64DF5" w:rsidRPr="00A935AA" w:rsidRDefault="00D64DF5" w:rsidP="00D64DF5">
            <w:pPr>
              <w:tabs>
                <w:tab w:val="left" w:pos="-1440"/>
                <w:tab w:val="left" w:pos="-720"/>
              </w:tabs>
              <w:rPr>
                <w:b/>
                <w:sz w:val="20"/>
                <w:szCs w:val="20"/>
              </w:rPr>
            </w:pPr>
            <w:r w:rsidRPr="00B8724A">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D64DF5" w:rsidRPr="00A935AA" w:rsidRDefault="00D64DF5" w:rsidP="00D64DF5">
            <w:pPr>
              <w:tabs>
                <w:tab w:val="left" w:pos="-1440"/>
                <w:tab w:val="left" w:pos="-720"/>
              </w:tabs>
              <w:rPr>
                <w:sz w:val="20"/>
                <w:szCs w:val="20"/>
              </w:rPr>
            </w:pPr>
            <w:r w:rsidRPr="00A935AA">
              <w:rPr>
                <w:sz w:val="20"/>
                <w:szCs w:val="20"/>
              </w:rPr>
              <w:tab/>
            </w:r>
            <w:r>
              <w:rPr>
                <w:sz w:val="20"/>
                <w:szCs w:val="20"/>
              </w:rPr>
              <w:t>Roger Shallow</w:t>
            </w:r>
          </w:p>
          <w:p w:rsidR="00D64DF5" w:rsidRPr="00A935AA" w:rsidRDefault="00D64DF5" w:rsidP="00D64DF5">
            <w:pPr>
              <w:tabs>
                <w:tab w:val="left" w:pos="-1440"/>
                <w:tab w:val="left" w:pos="-720"/>
              </w:tabs>
              <w:rPr>
                <w:sz w:val="20"/>
                <w:szCs w:val="20"/>
              </w:rPr>
            </w:pPr>
            <w:r w:rsidRPr="00A935AA">
              <w:rPr>
                <w:sz w:val="20"/>
                <w:szCs w:val="20"/>
              </w:rPr>
              <w:tab/>
            </w:r>
            <w:r>
              <w:rPr>
                <w:sz w:val="20"/>
                <w:szCs w:val="20"/>
              </w:rPr>
              <w:t>A.G. of Ontario</w:t>
            </w:r>
          </w:p>
          <w:p w:rsidR="00D64DF5" w:rsidRPr="00A935AA" w:rsidRDefault="00D64DF5" w:rsidP="00D64DF5">
            <w:pPr>
              <w:tabs>
                <w:tab w:val="left" w:pos="-1440"/>
                <w:tab w:val="left" w:pos="-720"/>
              </w:tabs>
              <w:rPr>
                <w:sz w:val="20"/>
                <w:szCs w:val="20"/>
              </w:rPr>
            </w:pPr>
          </w:p>
          <w:p w:rsidR="00D64DF5" w:rsidRDefault="00D64DF5" w:rsidP="00D64DF5">
            <w:pPr>
              <w:keepNext/>
              <w:keepLines/>
              <w:tabs>
                <w:tab w:val="left" w:pos="-1440"/>
                <w:tab w:val="left" w:pos="-720"/>
              </w:tabs>
              <w:rPr>
                <w:b/>
                <w:sz w:val="20"/>
                <w:szCs w:val="20"/>
                <w:lang w:val="en-US"/>
              </w:rPr>
            </w:pPr>
            <w:r w:rsidRPr="00A935AA">
              <w:rPr>
                <w:sz w:val="20"/>
                <w:szCs w:val="20"/>
              </w:rPr>
              <w:t>FILING DATE: 2</w:t>
            </w:r>
            <w:r>
              <w:rPr>
                <w:sz w:val="20"/>
                <w:szCs w:val="20"/>
              </w:rPr>
              <w:t>7</w:t>
            </w:r>
            <w:r w:rsidRPr="00A935AA">
              <w:rPr>
                <w:sz w:val="20"/>
                <w:szCs w:val="20"/>
              </w:rPr>
              <w:t>.0</w:t>
            </w:r>
            <w:r>
              <w:rPr>
                <w:sz w:val="20"/>
                <w:szCs w:val="20"/>
              </w:rPr>
              <w:t>8</w:t>
            </w:r>
            <w:r w:rsidRPr="00A935AA">
              <w:rPr>
                <w:sz w:val="20"/>
                <w:szCs w:val="20"/>
              </w:rPr>
              <w:t>.201</w:t>
            </w:r>
            <w:r>
              <w:rPr>
                <w:sz w:val="20"/>
                <w:szCs w:val="20"/>
              </w:rPr>
              <w:t>4</w:t>
            </w:r>
            <w:r w:rsidRPr="00D64DF5">
              <w:rPr>
                <w:b/>
                <w:sz w:val="20"/>
                <w:szCs w:val="20"/>
                <w:lang w:val="en-US"/>
              </w:rPr>
              <w:t xml:space="preserve"> </w:t>
            </w:r>
          </w:p>
          <w:p w:rsidR="00C21644" w:rsidRPr="00806A5B" w:rsidRDefault="007054A6" w:rsidP="00A055EE">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550991" w:rsidRDefault="00595008" w:rsidP="003B3977">
            <w:pPr>
              <w:rPr>
                <w:b/>
                <w:sz w:val="20"/>
                <w:szCs w:val="20"/>
                <w:lang w:val="en-US"/>
              </w:rPr>
            </w:pPr>
            <w:r w:rsidRPr="00550991">
              <w:rPr>
                <w:b/>
                <w:sz w:val="20"/>
                <w:szCs w:val="20"/>
                <w:lang w:val="en-US"/>
              </w:rPr>
              <w:t>Sylvester Dennis</w:t>
            </w:r>
          </w:p>
          <w:p w:rsidR="00C21644" w:rsidRPr="00550991" w:rsidRDefault="00C21644" w:rsidP="003B3977">
            <w:pPr>
              <w:tabs>
                <w:tab w:val="left" w:pos="-1440"/>
                <w:tab w:val="left" w:pos="-720"/>
              </w:tabs>
              <w:rPr>
                <w:sz w:val="20"/>
                <w:szCs w:val="20"/>
                <w:lang w:val="en-US"/>
              </w:rPr>
            </w:pPr>
            <w:r w:rsidRPr="00550991">
              <w:rPr>
                <w:sz w:val="20"/>
                <w:szCs w:val="20"/>
                <w:lang w:val="en-US"/>
              </w:rPr>
              <w:tab/>
            </w:r>
            <w:r w:rsidR="00595008" w:rsidRPr="00550991">
              <w:rPr>
                <w:sz w:val="20"/>
                <w:szCs w:val="20"/>
                <w:lang w:val="en-US"/>
              </w:rPr>
              <w:t>Sylvester Dennis</w:t>
            </w:r>
          </w:p>
          <w:p w:rsidR="00C21644" w:rsidRPr="00550991" w:rsidRDefault="00C21644" w:rsidP="003B3977">
            <w:pPr>
              <w:tabs>
                <w:tab w:val="left" w:pos="-1440"/>
                <w:tab w:val="left" w:pos="-720"/>
              </w:tabs>
              <w:rPr>
                <w:sz w:val="20"/>
                <w:szCs w:val="20"/>
                <w:lang w:val="en-US"/>
              </w:rPr>
            </w:pPr>
          </w:p>
          <w:p w:rsidR="00C21644" w:rsidRPr="00A935AA" w:rsidRDefault="00C21644" w:rsidP="003B3977">
            <w:pPr>
              <w:tabs>
                <w:tab w:val="left" w:pos="-1440"/>
                <w:tab w:val="left" w:pos="-720"/>
              </w:tabs>
              <w:rPr>
                <w:sz w:val="20"/>
                <w:szCs w:val="20"/>
              </w:rPr>
            </w:pPr>
            <w:r w:rsidRPr="00550991">
              <w:rPr>
                <w:sz w:val="20"/>
                <w:szCs w:val="20"/>
                <w:lang w:val="en-US"/>
              </w:rPr>
              <w:tab/>
            </w:r>
            <w:r w:rsidRPr="00A935AA">
              <w:rPr>
                <w:sz w:val="20"/>
                <w:szCs w:val="20"/>
              </w:rPr>
              <w:t>v. (3</w:t>
            </w:r>
            <w:r w:rsidR="00595008">
              <w:rPr>
                <w:sz w:val="20"/>
                <w:szCs w:val="20"/>
              </w:rPr>
              <w:t>6029)</w:t>
            </w:r>
          </w:p>
          <w:p w:rsidR="00C21644" w:rsidRPr="00A935AA" w:rsidRDefault="00C21644" w:rsidP="003B3977">
            <w:pPr>
              <w:tabs>
                <w:tab w:val="left" w:pos="-1440"/>
                <w:tab w:val="left" w:pos="-720"/>
              </w:tabs>
              <w:rPr>
                <w:sz w:val="20"/>
                <w:szCs w:val="20"/>
              </w:rPr>
            </w:pPr>
          </w:p>
          <w:p w:rsidR="00C21644" w:rsidRPr="00A935AA" w:rsidRDefault="00595008" w:rsidP="003B3977">
            <w:pPr>
              <w:tabs>
                <w:tab w:val="left" w:pos="-1440"/>
                <w:tab w:val="left" w:pos="-720"/>
              </w:tabs>
              <w:rPr>
                <w:b/>
                <w:sz w:val="20"/>
                <w:szCs w:val="20"/>
              </w:rPr>
            </w:pPr>
            <w:r w:rsidRPr="00595008">
              <w:rPr>
                <w:b/>
                <w:sz w:val="20"/>
                <w:szCs w:val="20"/>
              </w:rPr>
              <w:t xml:space="preserve">Lana Marlene </w:t>
            </w:r>
            <w:r>
              <w:rPr>
                <w:b/>
                <w:sz w:val="20"/>
                <w:szCs w:val="20"/>
              </w:rPr>
              <w:t xml:space="preserve">Dennis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595008">
              <w:rPr>
                <w:sz w:val="20"/>
                <w:szCs w:val="20"/>
              </w:rPr>
              <w:t>Mahzulfah S. Uppal</w:t>
            </w:r>
          </w:p>
          <w:p w:rsidR="00C21644" w:rsidRPr="00A935AA" w:rsidRDefault="00C21644" w:rsidP="003B3977">
            <w:pPr>
              <w:tabs>
                <w:tab w:val="left" w:pos="-1440"/>
                <w:tab w:val="left" w:pos="-720"/>
              </w:tabs>
              <w:rPr>
                <w:sz w:val="20"/>
                <w:szCs w:val="20"/>
              </w:rPr>
            </w:pPr>
            <w:r w:rsidRPr="00A935AA">
              <w:rPr>
                <w:sz w:val="20"/>
                <w:szCs w:val="20"/>
              </w:rPr>
              <w:tab/>
            </w:r>
            <w:r w:rsidR="00595008">
              <w:rPr>
                <w:sz w:val="20"/>
                <w:szCs w:val="20"/>
              </w:rPr>
              <w:t>Prouse, Dash &amp; Crouch LLP</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FILING DATE: 2</w:t>
            </w:r>
            <w:r w:rsidR="00595008">
              <w:rPr>
                <w:sz w:val="20"/>
                <w:szCs w:val="20"/>
              </w:rPr>
              <w:t>3</w:t>
            </w:r>
            <w:r w:rsidRPr="00A935AA">
              <w:rPr>
                <w:sz w:val="20"/>
                <w:szCs w:val="20"/>
              </w:rPr>
              <w:t>.</w:t>
            </w:r>
            <w:r w:rsidR="00595008">
              <w:rPr>
                <w:sz w:val="20"/>
                <w:szCs w:val="20"/>
              </w:rPr>
              <w:t>04</w:t>
            </w:r>
            <w:r w:rsidRPr="00A935AA">
              <w:rPr>
                <w:sz w:val="20"/>
                <w:szCs w:val="20"/>
              </w:rPr>
              <w:t>.201</w:t>
            </w:r>
            <w:r>
              <w:rPr>
                <w:sz w:val="20"/>
                <w:szCs w:val="20"/>
              </w:rPr>
              <w:t>4</w:t>
            </w:r>
          </w:p>
          <w:p w:rsidR="00C21644" w:rsidRPr="00A935AA" w:rsidRDefault="007054A6"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550991" w:rsidRDefault="00595008" w:rsidP="003B3977">
            <w:pPr>
              <w:keepNext/>
              <w:keepLines/>
              <w:tabs>
                <w:tab w:val="left" w:pos="-1440"/>
                <w:tab w:val="left" w:pos="-720"/>
              </w:tabs>
              <w:rPr>
                <w:sz w:val="20"/>
                <w:szCs w:val="20"/>
                <w:lang w:val="en-US"/>
              </w:rPr>
            </w:pPr>
            <w:r w:rsidRPr="00550991">
              <w:rPr>
                <w:b/>
                <w:sz w:val="20"/>
                <w:szCs w:val="20"/>
                <w:lang w:val="en-US"/>
              </w:rPr>
              <w:t>Ganna Begman</w:t>
            </w:r>
          </w:p>
          <w:p w:rsidR="00A055EE" w:rsidRPr="00550991" w:rsidRDefault="00C21644" w:rsidP="00A055EE">
            <w:pPr>
              <w:keepNext/>
              <w:keepLines/>
              <w:tabs>
                <w:tab w:val="left" w:pos="-1440"/>
                <w:tab w:val="left" w:pos="-720"/>
              </w:tabs>
              <w:rPr>
                <w:sz w:val="20"/>
                <w:szCs w:val="20"/>
                <w:lang w:val="en-US"/>
              </w:rPr>
            </w:pPr>
            <w:r w:rsidRPr="00550991">
              <w:rPr>
                <w:sz w:val="20"/>
                <w:szCs w:val="20"/>
                <w:lang w:val="en-US"/>
              </w:rPr>
              <w:tab/>
            </w:r>
            <w:r w:rsidR="00A055EE" w:rsidRPr="00550991">
              <w:rPr>
                <w:sz w:val="20"/>
                <w:szCs w:val="20"/>
                <w:lang w:val="en-US"/>
              </w:rPr>
              <w:t>Ganna Begman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A055EE">
              <w:rPr>
                <w:sz w:val="20"/>
                <w:szCs w:val="20"/>
              </w:rPr>
              <w:t>6014</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A055EE" w:rsidP="003B3977">
            <w:pPr>
              <w:keepNext/>
              <w:keepLines/>
              <w:tabs>
                <w:tab w:val="left" w:pos="-1440"/>
                <w:tab w:val="left" w:pos="-720"/>
              </w:tabs>
              <w:rPr>
                <w:b/>
                <w:sz w:val="20"/>
                <w:szCs w:val="20"/>
              </w:rPr>
            </w:pPr>
            <w:r w:rsidRPr="00A055EE">
              <w:rPr>
                <w:b/>
                <w:sz w:val="20"/>
                <w:szCs w:val="20"/>
              </w:rPr>
              <w:t xml:space="preserve">Vladek </w:t>
            </w:r>
            <w:r>
              <w:rPr>
                <w:b/>
                <w:sz w:val="20"/>
                <w:szCs w:val="20"/>
              </w:rPr>
              <w:t xml:space="preserve">Mejery </w:t>
            </w:r>
            <w:r w:rsidR="00C21644" w:rsidRPr="00A935AA">
              <w:rPr>
                <w:b/>
                <w:sz w:val="20"/>
                <w:szCs w:val="20"/>
              </w:rPr>
              <w:t>(</w:t>
            </w:r>
            <w:r>
              <w:rPr>
                <w:b/>
                <w:sz w:val="20"/>
                <w:szCs w:val="20"/>
              </w:rPr>
              <w:t>Ont</w:t>
            </w:r>
            <w:r w:rsidR="00C21644" w:rsidRPr="00A935AA">
              <w:rPr>
                <w:b/>
                <w:sz w:val="20"/>
                <w:szCs w:val="20"/>
              </w:rPr>
              <w:t>.)</w:t>
            </w:r>
          </w:p>
          <w:p w:rsidR="00C21644" w:rsidRPr="00A055EE" w:rsidRDefault="00C21644" w:rsidP="003B3977">
            <w:pPr>
              <w:keepNext/>
              <w:keepLines/>
              <w:tabs>
                <w:tab w:val="left" w:pos="-1440"/>
                <w:tab w:val="left" w:pos="-720"/>
              </w:tabs>
              <w:rPr>
                <w:sz w:val="20"/>
                <w:szCs w:val="20"/>
                <w:lang w:val="en-US"/>
              </w:rPr>
            </w:pPr>
            <w:r w:rsidRPr="00A935AA">
              <w:rPr>
                <w:sz w:val="20"/>
                <w:szCs w:val="20"/>
              </w:rPr>
              <w:tab/>
            </w:r>
            <w:r w:rsidR="00A055EE" w:rsidRPr="00A055EE">
              <w:rPr>
                <w:sz w:val="20"/>
                <w:szCs w:val="20"/>
                <w:lang w:val="en-US"/>
              </w:rPr>
              <w:t xml:space="preserve">Eric S. </w:t>
            </w:r>
            <w:r w:rsidR="00A055EE">
              <w:rPr>
                <w:sz w:val="20"/>
                <w:szCs w:val="20"/>
                <w:lang w:val="en-US"/>
              </w:rPr>
              <w:t>Baum</w:t>
            </w:r>
          </w:p>
          <w:p w:rsidR="00C21644" w:rsidRPr="00A935AA" w:rsidRDefault="00C21644" w:rsidP="003B3977">
            <w:pPr>
              <w:keepNext/>
              <w:keepLines/>
              <w:tabs>
                <w:tab w:val="left" w:pos="-1440"/>
                <w:tab w:val="left" w:pos="-720"/>
              </w:tabs>
              <w:rPr>
                <w:sz w:val="20"/>
                <w:szCs w:val="20"/>
              </w:rPr>
            </w:pPr>
            <w:r w:rsidRPr="00A935AA">
              <w:rPr>
                <w:sz w:val="20"/>
                <w:szCs w:val="20"/>
              </w:rPr>
              <w:tab/>
            </w:r>
            <w:r w:rsidR="00A055EE">
              <w:rPr>
                <w:sz w:val="20"/>
                <w:szCs w:val="20"/>
              </w:rPr>
              <w:t>Brunner &amp; Lundy</w:t>
            </w:r>
          </w:p>
          <w:p w:rsidR="00C21644" w:rsidRPr="00A935AA" w:rsidRDefault="00C21644" w:rsidP="003B3977">
            <w:pPr>
              <w:keepNext/>
              <w:keepLines/>
              <w:tabs>
                <w:tab w:val="left" w:pos="-1440"/>
                <w:tab w:val="left" w:pos="-720"/>
              </w:tabs>
              <w:rPr>
                <w:sz w:val="20"/>
                <w:szCs w:val="20"/>
              </w:rPr>
            </w:pPr>
          </w:p>
          <w:p w:rsidR="00C21644" w:rsidRPr="00A935AA" w:rsidRDefault="00A055EE" w:rsidP="00A055EE">
            <w:pPr>
              <w:rPr>
                <w:sz w:val="20"/>
                <w:szCs w:val="20"/>
              </w:rPr>
            </w:pPr>
            <w:r>
              <w:rPr>
                <w:sz w:val="20"/>
                <w:szCs w:val="20"/>
              </w:rPr>
              <w:t>FILING DATE: 14</w:t>
            </w:r>
            <w:r w:rsidR="00C21644" w:rsidRPr="00A935AA">
              <w:rPr>
                <w:sz w:val="20"/>
                <w:szCs w:val="20"/>
              </w:rPr>
              <w:t>.0</w:t>
            </w:r>
            <w:r>
              <w:rPr>
                <w:sz w:val="20"/>
                <w:szCs w:val="20"/>
              </w:rPr>
              <w:t>7</w:t>
            </w:r>
            <w:r w:rsidR="00C21644" w:rsidRPr="00A935AA">
              <w:rPr>
                <w:sz w:val="20"/>
                <w:szCs w:val="20"/>
              </w:rPr>
              <w:t>.201</w:t>
            </w:r>
            <w:r w:rsidR="00C21644">
              <w:rPr>
                <w:sz w:val="20"/>
                <w:szCs w:val="20"/>
              </w:rPr>
              <w:t>4</w:t>
            </w:r>
            <w:r w:rsidR="007054A6">
              <w:rPr>
                <w:sz w:val="20"/>
                <w:szCs w:val="20"/>
                <w:lang w:val="fr-CA"/>
              </w:rPr>
              <w:pict>
                <v:rect id="_x0000_i1028"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D64DF5" w:rsidRPr="00D64DF5" w:rsidRDefault="00D64DF5" w:rsidP="00D64DF5">
            <w:pPr>
              <w:keepNext/>
              <w:keepLines/>
              <w:tabs>
                <w:tab w:val="left" w:pos="-1440"/>
                <w:tab w:val="left" w:pos="-720"/>
              </w:tabs>
              <w:rPr>
                <w:b/>
                <w:sz w:val="20"/>
                <w:szCs w:val="20"/>
                <w:lang w:val="en-US"/>
              </w:rPr>
            </w:pPr>
            <w:r w:rsidRPr="00D64DF5">
              <w:rPr>
                <w:b/>
                <w:sz w:val="20"/>
                <w:szCs w:val="20"/>
                <w:lang w:val="en-US"/>
              </w:rPr>
              <w:t>Sibylla Giulia Hughes</w:t>
            </w:r>
          </w:p>
          <w:p w:rsidR="00D64DF5" w:rsidRPr="00A055EE" w:rsidRDefault="00D64DF5" w:rsidP="00D64DF5">
            <w:pPr>
              <w:keepNext/>
              <w:keepLines/>
              <w:tabs>
                <w:tab w:val="left" w:pos="-1440"/>
                <w:tab w:val="left" w:pos="-720"/>
              </w:tabs>
              <w:rPr>
                <w:sz w:val="20"/>
                <w:szCs w:val="20"/>
                <w:lang w:val="en-US"/>
              </w:rPr>
            </w:pPr>
            <w:r w:rsidRPr="00D64DF5">
              <w:rPr>
                <w:sz w:val="20"/>
                <w:szCs w:val="20"/>
                <w:lang w:val="en-US"/>
              </w:rPr>
              <w:tab/>
            </w:r>
            <w:r w:rsidRPr="00A055EE">
              <w:rPr>
                <w:sz w:val="20"/>
                <w:szCs w:val="20"/>
                <w:lang w:val="en-US"/>
              </w:rPr>
              <w:t>Claire E. Hunter</w:t>
            </w:r>
          </w:p>
          <w:p w:rsidR="00D64DF5" w:rsidRPr="00A055EE" w:rsidRDefault="00D64DF5" w:rsidP="00D64DF5">
            <w:pPr>
              <w:keepNext/>
              <w:keepLines/>
              <w:tabs>
                <w:tab w:val="left" w:pos="-1440"/>
                <w:tab w:val="left" w:pos="-720"/>
              </w:tabs>
              <w:rPr>
                <w:sz w:val="20"/>
                <w:szCs w:val="20"/>
                <w:lang w:val="en-US"/>
              </w:rPr>
            </w:pPr>
            <w:r w:rsidRPr="00A055EE">
              <w:rPr>
                <w:sz w:val="20"/>
                <w:szCs w:val="20"/>
                <w:lang w:val="en-US"/>
              </w:rPr>
              <w:tab/>
              <w:t xml:space="preserve">Hunter Litigation Chambers Law </w:t>
            </w:r>
            <w:r>
              <w:rPr>
                <w:sz w:val="20"/>
                <w:szCs w:val="20"/>
                <w:lang w:val="en-US"/>
              </w:rPr>
              <w:tab/>
            </w:r>
            <w:r w:rsidRPr="00A055EE">
              <w:rPr>
                <w:sz w:val="20"/>
                <w:szCs w:val="20"/>
                <w:lang w:val="en-US"/>
              </w:rPr>
              <w:t>Corporation</w:t>
            </w:r>
          </w:p>
          <w:p w:rsidR="00D64DF5" w:rsidRPr="00A055EE" w:rsidRDefault="00D64DF5" w:rsidP="00D64DF5">
            <w:pPr>
              <w:keepNext/>
              <w:keepLines/>
              <w:tabs>
                <w:tab w:val="left" w:pos="-1440"/>
                <w:tab w:val="left" w:pos="-720"/>
              </w:tabs>
              <w:rPr>
                <w:sz w:val="20"/>
                <w:szCs w:val="20"/>
                <w:lang w:val="en-US"/>
              </w:rPr>
            </w:pPr>
          </w:p>
          <w:p w:rsidR="00D64DF5" w:rsidRPr="002D1312" w:rsidRDefault="00D64DF5" w:rsidP="00D64DF5">
            <w:pPr>
              <w:keepNext/>
              <w:keepLines/>
              <w:tabs>
                <w:tab w:val="left" w:pos="-1440"/>
                <w:tab w:val="left" w:pos="-720"/>
              </w:tabs>
              <w:rPr>
                <w:sz w:val="20"/>
                <w:szCs w:val="20"/>
                <w:lang w:val="en-US"/>
              </w:rPr>
            </w:pPr>
            <w:r w:rsidRPr="00A055EE">
              <w:rPr>
                <w:sz w:val="20"/>
                <w:szCs w:val="20"/>
                <w:lang w:val="en-US"/>
              </w:rPr>
              <w:tab/>
            </w:r>
            <w:r>
              <w:rPr>
                <w:sz w:val="20"/>
                <w:szCs w:val="20"/>
                <w:lang w:val="en-US"/>
              </w:rPr>
              <w:t>v</w:t>
            </w:r>
            <w:r w:rsidRPr="002D1312">
              <w:rPr>
                <w:sz w:val="20"/>
                <w:szCs w:val="20"/>
                <w:lang w:val="en-US"/>
              </w:rPr>
              <w:t>. (36020)</w:t>
            </w:r>
          </w:p>
          <w:p w:rsidR="00D64DF5" w:rsidRPr="002D1312" w:rsidRDefault="00D64DF5" w:rsidP="00D64DF5">
            <w:pPr>
              <w:keepNext/>
              <w:keepLines/>
              <w:tabs>
                <w:tab w:val="left" w:pos="-1440"/>
                <w:tab w:val="left" w:pos="-720"/>
              </w:tabs>
              <w:rPr>
                <w:sz w:val="20"/>
                <w:szCs w:val="20"/>
                <w:lang w:val="en-US"/>
              </w:rPr>
            </w:pPr>
          </w:p>
          <w:p w:rsidR="00D64DF5" w:rsidRPr="002D1312" w:rsidRDefault="00D64DF5" w:rsidP="00D64DF5">
            <w:pPr>
              <w:keepNext/>
              <w:keepLines/>
              <w:tabs>
                <w:tab w:val="left" w:pos="-1440"/>
                <w:tab w:val="left" w:pos="-720"/>
              </w:tabs>
              <w:rPr>
                <w:b/>
                <w:sz w:val="20"/>
                <w:szCs w:val="20"/>
                <w:lang w:val="en-US"/>
              </w:rPr>
            </w:pPr>
            <w:r w:rsidRPr="002D1312">
              <w:rPr>
                <w:b/>
                <w:sz w:val="20"/>
                <w:szCs w:val="20"/>
                <w:lang w:val="en-US"/>
              </w:rPr>
              <w:t>Calum James Hughes (</w:t>
            </w:r>
            <w:r>
              <w:rPr>
                <w:b/>
                <w:sz w:val="20"/>
                <w:szCs w:val="20"/>
                <w:lang w:val="en-US"/>
              </w:rPr>
              <w:t>B.C.</w:t>
            </w:r>
            <w:r w:rsidRPr="002D1312">
              <w:rPr>
                <w:b/>
                <w:sz w:val="20"/>
                <w:szCs w:val="20"/>
                <w:lang w:val="en-US"/>
              </w:rPr>
              <w:t>)</w:t>
            </w:r>
          </w:p>
          <w:p w:rsidR="00D64DF5" w:rsidRPr="00A055EE" w:rsidRDefault="00D64DF5" w:rsidP="00D64DF5">
            <w:pPr>
              <w:keepNext/>
              <w:keepLines/>
              <w:tabs>
                <w:tab w:val="left" w:pos="-1440"/>
                <w:tab w:val="left" w:pos="-720"/>
              </w:tabs>
              <w:rPr>
                <w:sz w:val="20"/>
                <w:szCs w:val="20"/>
                <w:lang w:val="en-US"/>
              </w:rPr>
            </w:pPr>
            <w:r w:rsidRPr="002D1312">
              <w:rPr>
                <w:sz w:val="20"/>
                <w:szCs w:val="20"/>
                <w:lang w:val="en-US"/>
              </w:rPr>
              <w:tab/>
            </w:r>
            <w:r w:rsidRPr="00A055EE">
              <w:rPr>
                <w:sz w:val="20"/>
                <w:szCs w:val="20"/>
                <w:lang w:val="en-US"/>
              </w:rPr>
              <w:t>Wesley C. Shields</w:t>
            </w:r>
          </w:p>
          <w:p w:rsidR="00D64DF5" w:rsidRPr="00A055EE" w:rsidRDefault="00D64DF5" w:rsidP="00D64DF5">
            <w:pPr>
              <w:keepNext/>
              <w:keepLines/>
              <w:tabs>
                <w:tab w:val="left" w:pos="-1440"/>
                <w:tab w:val="left" w:pos="-720"/>
              </w:tabs>
              <w:rPr>
                <w:sz w:val="20"/>
                <w:szCs w:val="20"/>
                <w:lang w:val="en-US"/>
              </w:rPr>
            </w:pPr>
            <w:r w:rsidRPr="00A055EE">
              <w:rPr>
                <w:sz w:val="20"/>
                <w:szCs w:val="20"/>
                <w:lang w:val="en-US"/>
              </w:rPr>
              <w:tab/>
              <w:t>FH &amp; P Lawyers LLP</w:t>
            </w:r>
          </w:p>
          <w:p w:rsidR="00D64DF5" w:rsidRPr="00A055EE" w:rsidRDefault="00D64DF5" w:rsidP="00D64DF5">
            <w:pPr>
              <w:keepNext/>
              <w:keepLines/>
              <w:tabs>
                <w:tab w:val="left" w:pos="-1440"/>
                <w:tab w:val="left" w:pos="-720"/>
              </w:tabs>
              <w:rPr>
                <w:sz w:val="20"/>
                <w:szCs w:val="20"/>
                <w:lang w:val="en-US"/>
              </w:rPr>
            </w:pPr>
          </w:p>
          <w:p w:rsidR="00C21644" w:rsidRPr="00A935AA" w:rsidRDefault="00D64DF5" w:rsidP="00D64DF5">
            <w:pPr>
              <w:rPr>
                <w:sz w:val="20"/>
                <w:szCs w:val="20"/>
              </w:rPr>
            </w:pPr>
            <w:r>
              <w:rPr>
                <w:sz w:val="20"/>
                <w:szCs w:val="20"/>
              </w:rPr>
              <w:t>FILING DATE: 26</w:t>
            </w:r>
            <w:r w:rsidRPr="00A935AA">
              <w:rPr>
                <w:sz w:val="20"/>
                <w:szCs w:val="20"/>
              </w:rPr>
              <w:t>.0</w:t>
            </w:r>
            <w:r>
              <w:rPr>
                <w:sz w:val="20"/>
                <w:szCs w:val="20"/>
              </w:rPr>
              <w:t>8</w:t>
            </w:r>
            <w:r w:rsidRPr="00A935AA">
              <w:rPr>
                <w:sz w:val="20"/>
                <w:szCs w:val="20"/>
              </w:rPr>
              <w:t>.201</w:t>
            </w:r>
            <w:r>
              <w:rPr>
                <w:sz w:val="20"/>
                <w:szCs w:val="20"/>
              </w:rPr>
              <w:t>4</w:t>
            </w:r>
          </w:p>
          <w:p w:rsidR="00C21644" w:rsidRPr="00A935AA" w:rsidRDefault="007054A6"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D64DF5" w:rsidRPr="00A935AA" w:rsidRDefault="00D64DF5"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550991" w:rsidRDefault="00B43553" w:rsidP="005F1ED8">
            <w:pPr>
              <w:rPr>
                <w:b/>
                <w:sz w:val="20"/>
                <w:szCs w:val="20"/>
                <w:lang w:val="fr-CA"/>
              </w:rPr>
            </w:pPr>
            <w:r w:rsidRPr="00550991">
              <w:rPr>
                <w:b/>
                <w:sz w:val="20"/>
                <w:szCs w:val="20"/>
                <w:lang w:val="fr-CA"/>
              </w:rPr>
              <w:t>Provigo Québec inc.</w:t>
            </w:r>
          </w:p>
          <w:p w:rsidR="00C21644" w:rsidRPr="00550991" w:rsidRDefault="00C21644" w:rsidP="005F1ED8">
            <w:pPr>
              <w:tabs>
                <w:tab w:val="left" w:pos="-1440"/>
                <w:tab w:val="left" w:pos="-720"/>
              </w:tabs>
              <w:rPr>
                <w:sz w:val="20"/>
                <w:szCs w:val="20"/>
                <w:lang w:val="fr-CA"/>
              </w:rPr>
            </w:pPr>
            <w:r w:rsidRPr="00550991">
              <w:rPr>
                <w:sz w:val="20"/>
                <w:szCs w:val="20"/>
                <w:lang w:val="fr-CA"/>
              </w:rPr>
              <w:tab/>
            </w:r>
            <w:r w:rsidR="00287674" w:rsidRPr="00550991">
              <w:rPr>
                <w:sz w:val="20"/>
                <w:szCs w:val="20"/>
                <w:lang w:val="fr-CA"/>
              </w:rPr>
              <w:t>Richard Gaudreault</w:t>
            </w:r>
          </w:p>
          <w:p w:rsidR="00C21644" w:rsidRPr="00550991" w:rsidRDefault="00C21644" w:rsidP="005F1ED8">
            <w:pPr>
              <w:tabs>
                <w:tab w:val="left" w:pos="-1440"/>
                <w:tab w:val="left" w:pos="-720"/>
              </w:tabs>
              <w:rPr>
                <w:sz w:val="20"/>
                <w:szCs w:val="20"/>
                <w:lang w:val="fr-CA"/>
              </w:rPr>
            </w:pPr>
            <w:r w:rsidRPr="00550991">
              <w:rPr>
                <w:sz w:val="20"/>
                <w:szCs w:val="20"/>
                <w:lang w:val="fr-CA"/>
              </w:rPr>
              <w:tab/>
            </w:r>
            <w:r w:rsidR="00287674" w:rsidRPr="00550991">
              <w:rPr>
                <w:sz w:val="20"/>
                <w:szCs w:val="20"/>
                <w:lang w:val="fr-CA"/>
              </w:rPr>
              <w:t>Cain Lamarre Casgrain Wells</w:t>
            </w:r>
          </w:p>
          <w:p w:rsidR="00C21644" w:rsidRPr="00550991" w:rsidRDefault="00C21644" w:rsidP="005F1ED8">
            <w:pPr>
              <w:tabs>
                <w:tab w:val="left" w:pos="-1440"/>
                <w:tab w:val="left" w:pos="-720"/>
              </w:tabs>
              <w:rPr>
                <w:sz w:val="20"/>
                <w:szCs w:val="20"/>
                <w:lang w:val="fr-CA"/>
              </w:rPr>
            </w:pPr>
          </w:p>
          <w:p w:rsidR="00C21644" w:rsidRPr="00550991" w:rsidRDefault="00287674" w:rsidP="005F1ED8">
            <w:pPr>
              <w:tabs>
                <w:tab w:val="left" w:pos="-1440"/>
                <w:tab w:val="left" w:pos="-720"/>
              </w:tabs>
              <w:rPr>
                <w:sz w:val="20"/>
                <w:szCs w:val="20"/>
                <w:lang w:val="fr-CA"/>
              </w:rPr>
            </w:pPr>
            <w:r w:rsidRPr="00550991">
              <w:rPr>
                <w:sz w:val="20"/>
                <w:szCs w:val="20"/>
                <w:lang w:val="fr-CA"/>
              </w:rPr>
              <w:tab/>
              <w:t>c</w:t>
            </w:r>
            <w:r w:rsidR="00C21644" w:rsidRPr="00550991">
              <w:rPr>
                <w:sz w:val="20"/>
                <w:szCs w:val="20"/>
                <w:lang w:val="fr-CA"/>
              </w:rPr>
              <w:t>. (3</w:t>
            </w:r>
            <w:r w:rsidRPr="00550991">
              <w:rPr>
                <w:sz w:val="20"/>
                <w:szCs w:val="20"/>
                <w:lang w:val="fr-CA"/>
              </w:rPr>
              <w:t>6024)</w:t>
            </w:r>
          </w:p>
          <w:p w:rsidR="00C21644" w:rsidRPr="00550991" w:rsidRDefault="00C21644" w:rsidP="005F1ED8">
            <w:pPr>
              <w:tabs>
                <w:tab w:val="left" w:pos="-1440"/>
                <w:tab w:val="left" w:pos="-720"/>
              </w:tabs>
              <w:rPr>
                <w:sz w:val="20"/>
                <w:szCs w:val="20"/>
                <w:lang w:val="fr-CA"/>
              </w:rPr>
            </w:pPr>
          </w:p>
          <w:p w:rsidR="00C21644" w:rsidRPr="00287674" w:rsidRDefault="00287674" w:rsidP="005F1ED8">
            <w:pPr>
              <w:tabs>
                <w:tab w:val="left" w:pos="-1440"/>
                <w:tab w:val="left" w:pos="-720"/>
              </w:tabs>
              <w:rPr>
                <w:b/>
                <w:sz w:val="20"/>
                <w:szCs w:val="20"/>
                <w:lang w:val="fr-CA"/>
              </w:rPr>
            </w:pPr>
            <w:r w:rsidRPr="00287674">
              <w:rPr>
                <w:b/>
                <w:sz w:val="20"/>
                <w:szCs w:val="20"/>
                <w:lang w:val="fr-CA"/>
              </w:rPr>
              <w:t xml:space="preserve">Syndicat des travailleurs et travailleuses de Provigo, Entrepôt Armand-Viau </w:t>
            </w:r>
            <w:r w:rsidR="00C21644" w:rsidRPr="00287674">
              <w:rPr>
                <w:b/>
                <w:sz w:val="20"/>
                <w:szCs w:val="20"/>
                <w:lang w:val="fr-CA"/>
              </w:rPr>
              <w:t>(</w:t>
            </w:r>
            <w:r>
              <w:rPr>
                <w:b/>
                <w:sz w:val="20"/>
                <w:szCs w:val="20"/>
                <w:lang w:val="fr-CA"/>
              </w:rPr>
              <w:t>Qc</w:t>
            </w:r>
            <w:r w:rsidR="00C21644" w:rsidRPr="00287674">
              <w:rPr>
                <w:b/>
                <w:sz w:val="20"/>
                <w:szCs w:val="20"/>
                <w:lang w:val="fr-CA"/>
              </w:rPr>
              <w:t>)</w:t>
            </w:r>
          </w:p>
          <w:p w:rsidR="00C21644" w:rsidRPr="00287674" w:rsidRDefault="00C21644" w:rsidP="005F1ED8">
            <w:pPr>
              <w:tabs>
                <w:tab w:val="left" w:pos="-1440"/>
                <w:tab w:val="left" w:pos="-720"/>
              </w:tabs>
              <w:rPr>
                <w:sz w:val="20"/>
                <w:szCs w:val="20"/>
                <w:lang w:val="fr-CA"/>
              </w:rPr>
            </w:pPr>
            <w:r w:rsidRPr="00287674">
              <w:rPr>
                <w:sz w:val="20"/>
                <w:szCs w:val="20"/>
                <w:lang w:val="fr-CA"/>
              </w:rPr>
              <w:tab/>
            </w:r>
            <w:r w:rsidR="00287674">
              <w:rPr>
                <w:sz w:val="20"/>
                <w:szCs w:val="20"/>
                <w:lang w:val="fr-CA"/>
              </w:rPr>
              <w:t>Isabelle Lanson</w:t>
            </w:r>
          </w:p>
          <w:p w:rsidR="00C21644" w:rsidRPr="00287674" w:rsidRDefault="00C21644" w:rsidP="005F1ED8">
            <w:pPr>
              <w:tabs>
                <w:tab w:val="left" w:pos="-1440"/>
                <w:tab w:val="left" w:pos="-720"/>
              </w:tabs>
              <w:rPr>
                <w:sz w:val="20"/>
                <w:szCs w:val="20"/>
                <w:lang w:val="fr-CA"/>
              </w:rPr>
            </w:pPr>
            <w:r w:rsidRPr="00287674">
              <w:rPr>
                <w:sz w:val="20"/>
                <w:szCs w:val="20"/>
                <w:lang w:val="fr-CA"/>
              </w:rPr>
              <w:tab/>
            </w:r>
            <w:r w:rsidR="00287674">
              <w:rPr>
                <w:sz w:val="20"/>
                <w:szCs w:val="20"/>
                <w:lang w:val="fr-CA"/>
              </w:rPr>
              <w:t>Laroche Martin</w:t>
            </w:r>
          </w:p>
          <w:p w:rsidR="00C21644" w:rsidRPr="00287674" w:rsidRDefault="00C21644" w:rsidP="005F1ED8">
            <w:pPr>
              <w:tabs>
                <w:tab w:val="left" w:pos="-1440"/>
                <w:tab w:val="left" w:pos="-720"/>
              </w:tabs>
              <w:rPr>
                <w:sz w:val="20"/>
                <w:szCs w:val="20"/>
                <w:lang w:val="fr-CA"/>
              </w:rPr>
            </w:pPr>
          </w:p>
          <w:p w:rsidR="00C21644" w:rsidRPr="00287674" w:rsidRDefault="00287674" w:rsidP="005F1ED8">
            <w:pPr>
              <w:rPr>
                <w:sz w:val="20"/>
                <w:szCs w:val="20"/>
                <w:lang w:val="fr-CA"/>
              </w:rPr>
            </w:pPr>
            <w:r w:rsidRPr="00A055EE">
              <w:rPr>
                <w:sz w:val="20"/>
                <w:szCs w:val="20"/>
                <w:lang w:val="fr-CA"/>
              </w:rPr>
              <w:t>DATE DE PRODUCTION</w:t>
            </w:r>
            <w:r w:rsidR="00C21644" w:rsidRPr="00287674">
              <w:rPr>
                <w:sz w:val="20"/>
                <w:szCs w:val="20"/>
                <w:lang w:val="fr-CA"/>
              </w:rPr>
              <w:t>: 2</w:t>
            </w:r>
            <w:r w:rsidRPr="00287674">
              <w:rPr>
                <w:sz w:val="20"/>
                <w:szCs w:val="20"/>
                <w:lang w:val="fr-CA"/>
              </w:rPr>
              <w:t>7</w:t>
            </w:r>
            <w:r w:rsidR="00C21644" w:rsidRPr="00287674">
              <w:rPr>
                <w:sz w:val="20"/>
                <w:szCs w:val="20"/>
                <w:lang w:val="fr-CA"/>
              </w:rPr>
              <w:t>.0</w:t>
            </w:r>
            <w:r w:rsidRPr="00287674">
              <w:rPr>
                <w:sz w:val="20"/>
                <w:szCs w:val="20"/>
                <w:lang w:val="fr-CA"/>
              </w:rPr>
              <w:t>8</w:t>
            </w:r>
            <w:r w:rsidR="00C21644" w:rsidRPr="00287674">
              <w:rPr>
                <w:sz w:val="20"/>
                <w:szCs w:val="20"/>
                <w:lang w:val="fr-CA"/>
              </w:rPr>
              <w:t>.2014</w:t>
            </w:r>
          </w:p>
          <w:p w:rsidR="00C21644" w:rsidRPr="00A935AA" w:rsidRDefault="007054A6"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550991" w:rsidRDefault="00287674" w:rsidP="005F1ED8">
            <w:pPr>
              <w:rPr>
                <w:b/>
                <w:sz w:val="20"/>
                <w:szCs w:val="20"/>
                <w:lang w:val="fr-CA"/>
              </w:rPr>
            </w:pPr>
            <w:r w:rsidRPr="00550991">
              <w:rPr>
                <w:b/>
                <w:sz w:val="20"/>
                <w:szCs w:val="20"/>
                <w:lang w:val="fr-CA"/>
              </w:rPr>
              <w:t>Joel Ifergan</w:t>
            </w:r>
          </w:p>
          <w:p w:rsidR="00C21644" w:rsidRPr="00550991" w:rsidRDefault="00C21644" w:rsidP="005F1ED8">
            <w:pPr>
              <w:tabs>
                <w:tab w:val="left" w:pos="-1440"/>
                <w:tab w:val="left" w:pos="-720"/>
              </w:tabs>
              <w:rPr>
                <w:sz w:val="20"/>
                <w:szCs w:val="20"/>
                <w:lang w:val="fr-CA"/>
              </w:rPr>
            </w:pPr>
            <w:r w:rsidRPr="00550991">
              <w:rPr>
                <w:sz w:val="20"/>
                <w:szCs w:val="20"/>
                <w:lang w:val="fr-CA"/>
              </w:rPr>
              <w:tab/>
            </w:r>
            <w:r w:rsidR="00287674" w:rsidRPr="00550991">
              <w:rPr>
                <w:sz w:val="20"/>
                <w:szCs w:val="20"/>
                <w:lang w:val="fr-CA"/>
              </w:rPr>
              <w:t>Michael A. Eizenga</w:t>
            </w:r>
          </w:p>
          <w:p w:rsidR="00C21644" w:rsidRPr="00287674" w:rsidRDefault="00C21644" w:rsidP="005F1ED8">
            <w:pPr>
              <w:tabs>
                <w:tab w:val="left" w:pos="-1440"/>
                <w:tab w:val="left" w:pos="-720"/>
              </w:tabs>
              <w:rPr>
                <w:sz w:val="20"/>
                <w:szCs w:val="20"/>
                <w:lang w:val="fr-CA"/>
              </w:rPr>
            </w:pPr>
            <w:r w:rsidRPr="00550991">
              <w:rPr>
                <w:sz w:val="20"/>
                <w:szCs w:val="20"/>
                <w:lang w:val="fr-CA"/>
              </w:rPr>
              <w:tab/>
            </w:r>
            <w:r w:rsidR="00287674" w:rsidRPr="00287674">
              <w:rPr>
                <w:sz w:val="20"/>
                <w:szCs w:val="20"/>
                <w:lang w:val="fr-CA"/>
              </w:rPr>
              <w:t>Bennett Jones LLP</w:t>
            </w:r>
          </w:p>
          <w:p w:rsidR="00C21644" w:rsidRPr="00287674" w:rsidRDefault="00C21644" w:rsidP="005F1ED8">
            <w:pPr>
              <w:tabs>
                <w:tab w:val="left" w:pos="-1440"/>
                <w:tab w:val="left" w:pos="-720"/>
              </w:tabs>
              <w:rPr>
                <w:sz w:val="20"/>
                <w:szCs w:val="20"/>
                <w:lang w:val="fr-CA"/>
              </w:rPr>
            </w:pPr>
          </w:p>
          <w:p w:rsidR="00C21644" w:rsidRPr="00287674" w:rsidRDefault="00C21644" w:rsidP="005F1ED8">
            <w:pPr>
              <w:tabs>
                <w:tab w:val="left" w:pos="-1440"/>
                <w:tab w:val="left" w:pos="-720"/>
              </w:tabs>
              <w:rPr>
                <w:sz w:val="20"/>
                <w:szCs w:val="20"/>
                <w:lang w:val="fr-CA"/>
              </w:rPr>
            </w:pPr>
            <w:r w:rsidRPr="00287674">
              <w:rPr>
                <w:sz w:val="20"/>
                <w:szCs w:val="20"/>
                <w:lang w:val="fr-CA"/>
              </w:rPr>
              <w:tab/>
              <w:t>v. (3</w:t>
            </w:r>
            <w:r w:rsidR="00287674" w:rsidRPr="00287674">
              <w:rPr>
                <w:sz w:val="20"/>
                <w:szCs w:val="20"/>
                <w:lang w:val="fr-CA"/>
              </w:rPr>
              <w:t>6023</w:t>
            </w:r>
            <w:r w:rsidRPr="00287674">
              <w:rPr>
                <w:sz w:val="20"/>
                <w:szCs w:val="20"/>
                <w:lang w:val="fr-CA"/>
              </w:rPr>
              <w:t>)</w:t>
            </w:r>
          </w:p>
          <w:p w:rsidR="00C21644" w:rsidRPr="00287674" w:rsidRDefault="00C21644" w:rsidP="005F1ED8">
            <w:pPr>
              <w:tabs>
                <w:tab w:val="left" w:pos="-1440"/>
                <w:tab w:val="left" w:pos="-720"/>
              </w:tabs>
              <w:rPr>
                <w:sz w:val="20"/>
                <w:szCs w:val="20"/>
                <w:lang w:val="fr-CA"/>
              </w:rPr>
            </w:pPr>
          </w:p>
          <w:p w:rsidR="00C21644" w:rsidRPr="00287674" w:rsidRDefault="00287674" w:rsidP="005F1ED8">
            <w:pPr>
              <w:tabs>
                <w:tab w:val="left" w:pos="-1440"/>
                <w:tab w:val="left" w:pos="-720"/>
              </w:tabs>
              <w:rPr>
                <w:b/>
                <w:sz w:val="20"/>
                <w:szCs w:val="20"/>
                <w:lang w:val="fr-CA"/>
              </w:rPr>
            </w:pPr>
            <w:r w:rsidRPr="00287674">
              <w:rPr>
                <w:b/>
                <w:sz w:val="20"/>
                <w:szCs w:val="20"/>
                <w:lang w:val="fr-CA"/>
              </w:rPr>
              <w:t xml:space="preserve">Société des Loteries du Québec </w:t>
            </w:r>
            <w:r w:rsidR="00C21644" w:rsidRPr="00287674">
              <w:rPr>
                <w:b/>
                <w:sz w:val="20"/>
                <w:szCs w:val="20"/>
                <w:lang w:val="fr-CA"/>
              </w:rPr>
              <w:t>(</w:t>
            </w:r>
            <w:r w:rsidRPr="00287674">
              <w:rPr>
                <w:b/>
                <w:sz w:val="20"/>
                <w:szCs w:val="20"/>
                <w:lang w:val="fr-CA"/>
              </w:rPr>
              <w:t>Que.</w:t>
            </w:r>
            <w:r w:rsidR="00C21644" w:rsidRPr="00287674">
              <w:rPr>
                <w:b/>
                <w:sz w:val="20"/>
                <w:szCs w:val="20"/>
                <w:lang w:val="fr-CA"/>
              </w:rPr>
              <w:t>)</w:t>
            </w:r>
          </w:p>
          <w:p w:rsidR="00C21644" w:rsidRPr="00287674" w:rsidRDefault="00C21644" w:rsidP="005F1ED8">
            <w:pPr>
              <w:tabs>
                <w:tab w:val="left" w:pos="-1440"/>
                <w:tab w:val="left" w:pos="-720"/>
              </w:tabs>
              <w:rPr>
                <w:sz w:val="20"/>
                <w:szCs w:val="20"/>
                <w:lang w:val="en-US"/>
              </w:rPr>
            </w:pPr>
            <w:r w:rsidRPr="00287674">
              <w:rPr>
                <w:sz w:val="20"/>
                <w:szCs w:val="20"/>
                <w:lang w:val="fr-CA"/>
              </w:rPr>
              <w:tab/>
            </w:r>
            <w:r w:rsidR="00287674" w:rsidRPr="00287674">
              <w:rPr>
                <w:sz w:val="20"/>
                <w:szCs w:val="20"/>
                <w:lang w:val="en-US"/>
              </w:rPr>
              <w:t>Olivier F. Kott</w:t>
            </w:r>
          </w:p>
          <w:p w:rsidR="00C21644" w:rsidRPr="00287674" w:rsidRDefault="00C21644" w:rsidP="005F1ED8">
            <w:pPr>
              <w:tabs>
                <w:tab w:val="left" w:pos="-1440"/>
                <w:tab w:val="left" w:pos="-720"/>
              </w:tabs>
              <w:rPr>
                <w:sz w:val="20"/>
                <w:szCs w:val="20"/>
                <w:lang w:val="en-US"/>
              </w:rPr>
            </w:pPr>
            <w:r w:rsidRPr="00287674">
              <w:rPr>
                <w:sz w:val="20"/>
                <w:szCs w:val="20"/>
                <w:lang w:val="en-US"/>
              </w:rPr>
              <w:tab/>
            </w:r>
            <w:r w:rsidR="00287674" w:rsidRPr="00287674">
              <w:rPr>
                <w:sz w:val="20"/>
                <w:szCs w:val="20"/>
                <w:lang w:val="en-US"/>
              </w:rPr>
              <w:t>Norton Rose Fullbright Canada LLP</w:t>
            </w:r>
          </w:p>
          <w:p w:rsidR="00C21644" w:rsidRPr="00287674" w:rsidRDefault="00C21644" w:rsidP="005F1ED8">
            <w:pPr>
              <w:tabs>
                <w:tab w:val="left" w:pos="-1440"/>
                <w:tab w:val="left" w:pos="-720"/>
              </w:tabs>
              <w:rPr>
                <w:sz w:val="20"/>
                <w:szCs w:val="20"/>
                <w:lang w:val="en-US"/>
              </w:rPr>
            </w:pPr>
          </w:p>
          <w:p w:rsidR="00C21644" w:rsidRPr="00287674" w:rsidRDefault="00C21644" w:rsidP="005F1ED8">
            <w:pPr>
              <w:rPr>
                <w:sz w:val="20"/>
                <w:szCs w:val="20"/>
                <w:lang w:val="fr-CA"/>
              </w:rPr>
            </w:pPr>
            <w:r w:rsidRPr="00287674">
              <w:rPr>
                <w:sz w:val="20"/>
                <w:szCs w:val="20"/>
                <w:lang w:val="fr-CA"/>
              </w:rPr>
              <w:t>FILING DATE: 28.0</w:t>
            </w:r>
            <w:r w:rsidR="00287674">
              <w:rPr>
                <w:sz w:val="20"/>
                <w:szCs w:val="20"/>
                <w:lang w:val="fr-CA"/>
              </w:rPr>
              <w:t>8</w:t>
            </w:r>
            <w:r w:rsidRPr="00287674">
              <w:rPr>
                <w:sz w:val="20"/>
                <w:szCs w:val="20"/>
                <w:lang w:val="fr-CA"/>
              </w:rPr>
              <w:t>.2014</w:t>
            </w:r>
          </w:p>
          <w:p w:rsidR="00C21644" w:rsidRPr="00287674" w:rsidRDefault="007054A6"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p w:rsidR="00C21644" w:rsidRPr="00287674" w:rsidRDefault="00C21644" w:rsidP="00242AEE">
            <w:pPr>
              <w:jc w:val="center"/>
              <w:rPr>
                <w:sz w:val="20"/>
                <w:szCs w:val="20"/>
                <w:lang w:val="fr-CA"/>
              </w:rPr>
            </w:pPr>
          </w:p>
        </w:tc>
        <w:tc>
          <w:tcPr>
            <w:tcW w:w="4320" w:type="dxa"/>
            <w:shd w:val="clear" w:color="auto" w:fill="auto"/>
          </w:tcPr>
          <w:p w:rsidR="00C21644" w:rsidRPr="00D43E69" w:rsidRDefault="00D43E69" w:rsidP="005F1ED8">
            <w:pPr>
              <w:rPr>
                <w:b/>
                <w:sz w:val="20"/>
                <w:szCs w:val="20"/>
                <w:lang w:val="en-US"/>
              </w:rPr>
            </w:pPr>
            <w:r w:rsidRPr="00D43E69">
              <w:rPr>
                <w:b/>
                <w:sz w:val="20"/>
                <w:szCs w:val="20"/>
                <w:lang w:val="en-US"/>
              </w:rPr>
              <w:t>572757 Alberta Ltd. et al.</w:t>
            </w:r>
          </w:p>
          <w:p w:rsidR="00C21644" w:rsidRPr="00D43E69" w:rsidRDefault="00C21644" w:rsidP="005F1ED8">
            <w:pPr>
              <w:tabs>
                <w:tab w:val="left" w:pos="-1440"/>
                <w:tab w:val="left" w:pos="-720"/>
              </w:tabs>
              <w:rPr>
                <w:sz w:val="20"/>
                <w:szCs w:val="20"/>
                <w:lang w:val="en-US"/>
              </w:rPr>
            </w:pPr>
            <w:r w:rsidRPr="00D43E69">
              <w:rPr>
                <w:sz w:val="20"/>
                <w:szCs w:val="20"/>
                <w:lang w:val="en-US"/>
              </w:rPr>
              <w:tab/>
            </w:r>
            <w:r w:rsidR="00D43E69">
              <w:rPr>
                <w:sz w:val="20"/>
                <w:szCs w:val="20"/>
                <w:lang w:val="en-US"/>
              </w:rPr>
              <w:t>Jeremy H. Hockin, Q.C.</w:t>
            </w:r>
          </w:p>
          <w:p w:rsidR="00C21644" w:rsidRPr="00D43E69" w:rsidRDefault="00C21644" w:rsidP="005F1ED8">
            <w:pPr>
              <w:tabs>
                <w:tab w:val="left" w:pos="-1440"/>
                <w:tab w:val="left" w:pos="-720"/>
              </w:tabs>
              <w:rPr>
                <w:sz w:val="20"/>
                <w:szCs w:val="20"/>
                <w:lang w:val="en-US"/>
              </w:rPr>
            </w:pPr>
            <w:r w:rsidRPr="00D43E69">
              <w:rPr>
                <w:sz w:val="20"/>
                <w:szCs w:val="20"/>
                <w:lang w:val="en-US"/>
              </w:rPr>
              <w:tab/>
            </w:r>
            <w:r w:rsidR="00D43E69">
              <w:rPr>
                <w:sz w:val="20"/>
                <w:szCs w:val="20"/>
                <w:lang w:val="en-US"/>
              </w:rPr>
              <w:t>Parlee McLaws LLP</w:t>
            </w:r>
          </w:p>
          <w:p w:rsidR="00C21644" w:rsidRPr="00D43E69" w:rsidRDefault="00C21644" w:rsidP="005F1ED8">
            <w:pPr>
              <w:tabs>
                <w:tab w:val="left" w:pos="-1440"/>
                <w:tab w:val="left" w:pos="-720"/>
              </w:tabs>
              <w:rPr>
                <w:sz w:val="20"/>
                <w:szCs w:val="20"/>
                <w:lang w:val="en-US"/>
              </w:rPr>
            </w:pPr>
          </w:p>
          <w:p w:rsidR="00C21644" w:rsidRPr="00A935AA" w:rsidRDefault="00C21644" w:rsidP="005F1ED8">
            <w:pPr>
              <w:tabs>
                <w:tab w:val="left" w:pos="-1440"/>
                <w:tab w:val="left" w:pos="-720"/>
              </w:tabs>
              <w:rPr>
                <w:sz w:val="20"/>
                <w:szCs w:val="20"/>
              </w:rPr>
            </w:pPr>
            <w:r w:rsidRPr="00D43E69">
              <w:rPr>
                <w:sz w:val="20"/>
                <w:szCs w:val="20"/>
                <w:lang w:val="en-US"/>
              </w:rPr>
              <w:tab/>
            </w:r>
            <w:r w:rsidRPr="00A935AA">
              <w:rPr>
                <w:sz w:val="20"/>
                <w:szCs w:val="20"/>
              </w:rPr>
              <w:t>v. (3</w:t>
            </w:r>
            <w:r w:rsidR="00D43E69">
              <w:rPr>
                <w:sz w:val="20"/>
                <w:szCs w:val="20"/>
              </w:rPr>
              <w:t>6025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43E69" w:rsidP="005F1ED8">
            <w:pPr>
              <w:tabs>
                <w:tab w:val="left" w:pos="-1440"/>
                <w:tab w:val="left" w:pos="-720"/>
              </w:tabs>
              <w:rPr>
                <w:b/>
                <w:sz w:val="20"/>
                <w:szCs w:val="20"/>
              </w:rPr>
            </w:pPr>
            <w:r w:rsidRPr="00D43E69">
              <w:rPr>
                <w:b/>
                <w:sz w:val="20"/>
                <w:szCs w:val="20"/>
              </w:rPr>
              <w:t xml:space="preserve">Sprague-Rosser Contracting Co. Ltd.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43E69">
              <w:rPr>
                <w:sz w:val="20"/>
                <w:szCs w:val="20"/>
              </w:rPr>
              <w:t>Dennis R. Schmidt</w:t>
            </w:r>
          </w:p>
          <w:p w:rsidR="00C21644" w:rsidRPr="00A935AA" w:rsidRDefault="00C21644" w:rsidP="005F1ED8">
            <w:pPr>
              <w:tabs>
                <w:tab w:val="left" w:pos="-1440"/>
                <w:tab w:val="left" w:pos="-720"/>
              </w:tabs>
              <w:rPr>
                <w:sz w:val="20"/>
                <w:szCs w:val="20"/>
              </w:rPr>
            </w:pPr>
            <w:r w:rsidRPr="00A935AA">
              <w:rPr>
                <w:sz w:val="20"/>
                <w:szCs w:val="20"/>
              </w:rPr>
              <w:tab/>
            </w:r>
            <w:r w:rsidR="00D43E69">
              <w:rPr>
                <w:sz w:val="20"/>
                <w:szCs w:val="20"/>
              </w:rPr>
              <w:t>Dentons Canada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.0</w:t>
            </w:r>
            <w:r w:rsidR="00D43E69">
              <w:rPr>
                <w:sz w:val="20"/>
                <w:szCs w:val="20"/>
              </w:rPr>
              <w:t>8</w:t>
            </w:r>
            <w:r w:rsidRPr="00A935AA">
              <w:rPr>
                <w:sz w:val="20"/>
                <w:szCs w:val="20"/>
              </w:rPr>
              <w:t>.201</w:t>
            </w:r>
            <w:r>
              <w:rPr>
                <w:sz w:val="20"/>
                <w:szCs w:val="20"/>
              </w:rPr>
              <w:t>4</w:t>
            </w:r>
          </w:p>
          <w:p w:rsidR="00C21644" w:rsidRPr="00A935AA" w:rsidRDefault="007054A6" w:rsidP="005F1ED8">
            <w:pPr>
              <w:rPr>
                <w:sz w:val="20"/>
                <w:szCs w:val="20"/>
              </w:rPr>
            </w:pPr>
            <w:r>
              <w:rPr>
                <w:sz w:val="20"/>
                <w:szCs w:val="20"/>
                <w:lang w:val="fr-CA"/>
              </w:rPr>
              <w:pict>
                <v:rect id="_x0000_i1032" style="width:108pt;height:1pt" o:hrpct="0" o:hralign="center" o:hrstd="t" o:hrnoshade="t" o:hr="t" fillcolor="black [3213]" stroked="f"/>
              </w:pict>
            </w:r>
          </w:p>
        </w:tc>
      </w:tr>
      <w:tr w:rsidR="00D64DF5" w:rsidRPr="00A935AA" w:rsidTr="003B3977">
        <w:trPr>
          <w:cantSplit/>
        </w:trPr>
        <w:tc>
          <w:tcPr>
            <w:tcW w:w="4320" w:type="dxa"/>
            <w:shd w:val="clear" w:color="auto" w:fill="auto"/>
          </w:tcPr>
          <w:p w:rsidR="00D64DF5" w:rsidRPr="003636C8" w:rsidRDefault="00D64DF5" w:rsidP="00B45DC0">
            <w:pPr>
              <w:tabs>
                <w:tab w:val="left" w:pos="-1440"/>
                <w:tab w:val="left" w:pos="-720"/>
              </w:tabs>
              <w:rPr>
                <w:b/>
                <w:sz w:val="20"/>
                <w:szCs w:val="20"/>
                <w:lang w:val="fr-CA"/>
              </w:rPr>
            </w:pPr>
            <w:r w:rsidRPr="003636C8">
              <w:rPr>
                <w:b/>
                <w:sz w:val="20"/>
                <w:szCs w:val="20"/>
                <w:lang w:val="fr-CA"/>
              </w:rPr>
              <w:lastRenderedPageBreak/>
              <w:t>Hector Davila Santos et al.</w:t>
            </w:r>
          </w:p>
          <w:p w:rsidR="00D64DF5" w:rsidRPr="003636C8" w:rsidRDefault="00D64DF5" w:rsidP="00B45DC0">
            <w:pPr>
              <w:tabs>
                <w:tab w:val="left" w:pos="-1440"/>
                <w:tab w:val="left" w:pos="-720"/>
              </w:tabs>
              <w:rPr>
                <w:sz w:val="20"/>
                <w:szCs w:val="20"/>
                <w:lang w:val="en-US"/>
              </w:rPr>
            </w:pPr>
            <w:r w:rsidRPr="003636C8">
              <w:rPr>
                <w:sz w:val="20"/>
                <w:szCs w:val="20"/>
                <w:lang w:val="fr-CA"/>
              </w:rPr>
              <w:tab/>
            </w:r>
            <w:r w:rsidRPr="003636C8">
              <w:rPr>
                <w:sz w:val="20"/>
                <w:szCs w:val="20"/>
                <w:lang w:val="en-US"/>
              </w:rPr>
              <w:t>David P. Church, Q.C.</w:t>
            </w:r>
          </w:p>
          <w:p w:rsidR="00D64DF5" w:rsidRPr="003636C8" w:rsidRDefault="00D64DF5" w:rsidP="00B45DC0">
            <w:pPr>
              <w:tabs>
                <w:tab w:val="left" w:pos="-1440"/>
                <w:tab w:val="left" w:pos="-720"/>
              </w:tabs>
              <w:rPr>
                <w:sz w:val="20"/>
                <w:szCs w:val="20"/>
                <w:lang w:val="en-US"/>
              </w:rPr>
            </w:pPr>
            <w:r w:rsidRPr="003636C8">
              <w:rPr>
                <w:sz w:val="20"/>
                <w:szCs w:val="20"/>
                <w:lang w:val="en-US"/>
              </w:rPr>
              <w:tab/>
              <w:t>Church &amp; Company</w:t>
            </w:r>
          </w:p>
          <w:p w:rsidR="00D64DF5" w:rsidRPr="003636C8" w:rsidRDefault="00D64DF5" w:rsidP="00B45DC0">
            <w:pPr>
              <w:tabs>
                <w:tab w:val="left" w:pos="-1440"/>
                <w:tab w:val="left" w:pos="-720"/>
              </w:tabs>
              <w:rPr>
                <w:sz w:val="20"/>
                <w:szCs w:val="20"/>
                <w:lang w:val="en-US"/>
              </w:rPr>
            </w:pPr>
          </w:p>
          <w:p w:rsidR="00D64DF5" w:rsidRPr="003636C8" w:rsidRDefault="00D64DF5" w:rsidP="00B45DC0">
            <w:pPr>
              <w:tabs>
                <w:tab w:val="left" w:pos="-1440"/>
                <w:tab w:val="left" w:pos="-720"/>
              </w:tabs>
              <w:rPr>
                <w:sz w:val="20"/>
                <w:szCs w:val="20"/>
              </w:rPr>
            </w:pPr>
            <w:r w:rsidRPr="003636C8">
              <w:rPr>
                <w:sz w:val="20"/>
                <w:szCs w:val="20"/>
                <w:lang w:val="en-US"/>
              </w:rPr>
              <w:tab/>
            </w:r>
            <w:r w:rsidRPr="003636C8">
              <w:rPr>
                <w:sz w:val="20"/>
                <w:szCs w:val="20"/>
              </w:rPr>
              <w:t>v. (35962)</w:t>
            </w:r>
          </w:p>
          <w:p w:rsidR="00D64DF5" w:rsidRPr="003636C8" w:rsidRDefault="00D64DF5" w:rsidP="00B45DC0">
            <w:pPr>
              <w:tabs>
                <w:tab w:val="left" w:pos="-1440"/>
                <w:tab w:val="left" w:pos="-720"/>
              </w:tabs>
              <w:rPr>
                <w:sz w:val="20"/>
                <w:szCs w:val="20"/>
              </w:rPr>
            </w:pPr>
          </w:p>
          <w:p w:rsidR="00D64DF5" w:rsidRPr="003636C8" w:rsidRDefault="00D64DF5" w:rsidP="00B45DC0">
            <w:pPr>
              <w:tabs>
                <w:tab w:val="left" w:pos="-1440"/>
                <w:tab w:val="left" w:pos="-720"/>
              </w:tabs>
              <w:rPr>
                <w:b/>
                <w:sz w:val="20"/>
                <w:szCs w:val="20"/>
                <w:lang w:val="en-US"/>
              </w:rPr>
            </w:pPr>
            <w:r w:rsidRPr="003636C8">
              <w:rPr>
                <w:b/>
                <w:sz w:val="20"/>
                <w:szCs w:val="20"/>
                <w:lang w:val="en-US"/>
              </w:rPr>
              <w:t>First Majestic Silver Corp. et al. (B.C.)</w:t>
            </w:r>
          </w:p>
          <w:p w:rsidR="00D64DF5" w:rsidRPr="003636C8" w:rsidRDefault="00D64DF5" w:rsidP="00B45DC0">
            <w:pPr>
              <w:tabs>
                <w:tab w:val="left" w:pos="-1440"/>
                <w:tab w:val="left" w:pos="-720"/>
              </w:tabs>
              <w:rPr>
                <w:sz w:val="20"/>
                <w:szCs w:val="20"/>
                <w:lang w:val="en-US"/>
              </w:rPr>
            </w:pPr>
            <w:r w:rsidRPr="003636C8">
              <w:rPr>
                <w:sz w:val="20"/>
                <w:szCs w:val="20"/>
                <w:lang w:val="en-US"/>
              </w:rPr>
              <w:tab/>
              <w:t>Howard Shapray, Q.C.</w:t>
            </w:r>
          </w:p>
          <w:p w:rsidR="00D64DF5" w:rsidRPr="003636C8" w:rsidRDefault="00D64DF5" w:rsidP="00B45DC0">
            <w:pPr>
              <w:tabs>
                <w:tab w:val="left" w:pos="-1440"/>
                <w:tab w:val="left" w:pos="-720"/>
              </w:tabs>
              <w:rPr>
                <w:sz w:val="20"/>
                <w:szCs w:val="20"/>
                <w:lang w:val="en-US"/>
              </w:rPr>
            </w:pPr>
            <w:r w:rsidRPr="003636C8">
              <w:rPr>
                <w:sz w:val="20"/>
                <w:szCs w:val="20"/>
                <w:lang w:val="en-US"/>
              </w:rPr>
              <w:tab/>
              <w:t>Shapray Cramer Fitterman Lamer LLP</w:t>
            </w:r>
          </w:p>
          <w:p w:rsidR="00D64DF5" w:rsidRPr="003636C8" w:rsidRDefault="00D64DF5" w:rsidP="00B45DC0">
            <w:pPr>
              <w:tabs>
                <w:tab w:val="left" w:pos="-1440"/>
                <w:tab w:val="left" w:pos="-720"/>
              </w:tabs>
              <w:rPr>
                <w:sz w:val="20"/>
                <w:szCs w:val="20"/>
                <w:lang w:val="en-US"/>
              </w:rPr>
            </w:pPr>
          </w:p>
          <w:p w:rsidR="00D64DF5" w:rsidRPr="003636C8" w:rsidRDefault="00D64DF5" w:rsidP="00B45DC0">
            <w:pPr>
              <w:rPr>
                <w:sz w:val="20"/>
                <w:szCs w:val="20"/>
                <w:lang w:val="en-US"/>
              </w:rPr>
            </w:pPr>
            <w:r w:rsidRPr="003636C8">
              <w:rPr>
                <w:sz w:val="20"/>
                <w:szCs w:val="20"/>
                <w:lang w:val="en-US"/>
              </w:rPr>
              <w:t>FILING DATE: 27.08.2014</w:t>
            </w:r>
          </w:p>
          <w:p w:rsidR="00D64DF5" w:rsidRPr="003636C8" w:rsidRDefault="007054A6" w:rsidP="00B45DC0">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p w:rsidR="00D64DF5" w:rsidRPr="00B8724A" w:rsidRDefault="00D64DF5" w:rsidP="00B45DC0">
            <w:pPr>
              <w:jc w:val="center"/>
              <w:rPr>
                <w:sz w:val="20"/>
                <w:szCs w:val="20"/>
                <w:lang w:val="fr-CA"/>
              </w:rPr>
            </w:pPr>
          </w:p>
        </w:tc>
        <w:tc>
          <w:tcPr>
            <w:tcW w:w="4320" w:type="dxa"/>
            <w:shd w:val="clear" w:color="auto" w:fill="auto"/>
          </w:tcPr>
          <w:p w:rsidR="002F4600" w:rsidRPr="003636C8" w:rsidRDefault="002F4600" w:rsidP="002F4600">
            <w:pPr>
              <w:tabs>
                <w:tab w:val="left" w:pos="-1440"/>
                <w:tab w:val="left" w:pos="-720"/>
              </w:tabs>
              <w:rPr>
                <w:b/>
                <w:sz w:val="20"/>
                <w:szCs w:val="20"/>
                <w:lang w:val="fr-CA"/>
              </w:rPr>
            </w:pPr>
            <w:r w:rsidRPr="003636C8">
              <w:rPr>
                <w:b/>
                <w:sz w:val="20"/>
                <w:szCs w:val="20"/>
                <w:lang w:val="fr-CA"/>
              </w:rPr>
              <w:t>Rogers Communications Inc.</w:t>
            </w:r>
          </w:p>
          <w:p w:rsidR="002F4600" w:rsidRPr="003636C8" w:rsidRDefault="002F4600" w:rsidP="002F4600">
            <w:pPr>
              <w:tabs>
                <w:tab w:val="left" w:pos="-1440"/>
                <w:tab w:val="left" w:pos="-720"/>
              </w:tabs>
              <w:rPr>
                <w:sz w:val="20"/>
                <w:szCs w:val="20"/>
                <w:lang w:val="fr-CA"/>
              </w:rPr>
            </w:pPr>
            <w:r w:rsidRPr="003636C8">
              <w:rPr>
                <w:sz w:val="20"/>
                <w:szCs w:val="20"/>
                <w:lang w:val="fr-CA"/>
              </w:rPr>
              <w:tab/>
              <w:t>Pierre Y. Lefebvre</w:t>
            </w:r>
          </w:p>
          <w:p w:rsidR="002F4600" w:rsidRPr="003636C8" w:rsidRDefault="002F4600" w:rsidP="002F4600">
            <w:pPr>
              <w:tabs>
                <w:tab w:val="left" w:pos="-1440"/>
                <w:tab w:val="left" w:pos="-720"/>
              </w:tabs>
              <w:rPr>
                <w:sz w:val="20"/>
                <w:szCs w:val="20"/>
                <w:lang w:val="fr-CA"/>
              </w:rPr>
            </w:pPr>
            <w:r w:rsidRPr="003636C8">
              <w:rPr>
                <w:sz w:val="20"/>
                <w:szCs w:val="20"/>
                <w:lang w:val="fr-CA"/>
              </w:rPr>
              <w:tab/>
              <w:t>Faskin Martineau DuMoulin LLP</w:t>
            </w:r>
          </w:p>
          <w:p w:rsidR="002F4600" w:rsidRPr="003636C8" w:rsidRDefault="002F4600" w:rsidP="002F4600">
            <w:pPr>
              <w:tabs>
                <w:tab w:val="left" w:pos="-1440"/>
                <w:tab w:val="left" w:pos="-720"/>
              </w:tabs>
              <w:rPr>
                <w:sz w:val="20"/>
                <w:szCs w:val="20"/>
                <w:lang w:val="fr-CA"/>
              </w:rPr>
            </w:pPr>
          </w:p>
          <w:p w:rsidR="002F4600" w:rsidRPr="002F4600" w:rsidRDefault="002F4600" w:rsidP="002F4600">
            <w:pPr>
              <w:tabs>
                <w:tab w:val="left" w:pos="-1440"/>
                <w:tab w:val="left" w:pos="-720"/>
              </w:tabs>
              <w:rPr>
                <w:sz w:val="20"/>
                <w:szCs w:val="20"/>
                <w:lang w:val="fr-CA"/>
              </w:rPr>
            </w:pPr>
            <w:r w:rsidRPr="003636C8">
              <w:rPr>
                <w:sz w:val="20"/>
                <w:szCs w:val="20"/>
                <w:lang w:val="fr-CA"/>
              </w:rPr>
              <w:tab/>
            </w:r>
            <w:r w:rsidRPr="002F4600">
              <w:rPr>
                <w:sz w:val="20"/>
                <w:szCs w:val="20"/>
                <w:lang w:val="fr-CA"/>
              </w:rPr>
              <w:t>v. (36027)</w:t>
            </w:r>
          </w:p>
          <w:p w:rsidR="002F4600" w:rsidRPr="002F4600" w:rsidRDefault="002F4600" w:rsidP="002F4600">
            <w:pPr>
              <w:tabs>
                <w:tab w:val="left" w:pos="-1440"/>
                <w:tab w:val="left" w:pos="-720"/>
              </w:tabs>
              <w:rPr>
                <w:sz w:val="20"/>
                <w:szCs w:val="20"/>
                <w:lang w:val="fr-CA"/>
              </w:rPr>
            </w:pPr>
          </w:p>
          <w:p w:rsidR="002F4600" w:rsidRPr="003636C8" w:rsidRDefault="002F4600" w:rsidP="002F4600">
            <w:pPr>
              <w:tabs>
                <w:tab w:val="left" w:pos="-1440"/>
                <w:tab w:val="left" w:pos="-720"/>
              </w:tabs>
              <w:rPr>
                <w:b/>
                <w:sz w:val="20"/>
                <w:szCs w:val="20"/>
                <w:lang w:val="fr-CA"/>
              </w:rPr>
            </w:pPr>
            <w:r w:rsidRPr="003636C8">
              <w:rPr>
                <w:b/>
                <w:sz w:val="20"/>
                <w:szCs w:val="20"/>
                <w:lang w:val="en-US"/>
              </w:rPr>
              <w:t xml:space="preserve">City of Châteauguay et al. </w:t>
            </w:r>
            <w:r w:rsidRPr="003636C8">
              <w:rPr>
                <w:b/>
                <w:sz w:val="20"/>
                <w:szCs w:val="20"/>
                <w:lang w:val="fr-CA"/>
              </w:rPr>
              <w:t>(Que.)</w:t>
            </w:r>
          </w:p>
          <w:p w:rsidR="002F4600" w:rsidRPr="003636C8" w:rsidRDefault="002F4600" w:rsidP="002F4600">
            <w:pPr>
              <w:tabs>
                <w:tab w:val="left" w:pos="-1440"/>
                <w:tab w:val="left" w:pos="-720"/>
              </w:tabs>
              <w:rPr>
                <w:sz w:val="20"/>
                <w:szCs w:val="20"/>
                <w:lang w:val="fr-CA"/>
              </w:rPr>
            </w:pPr>
            <w:r w:rsidRPr="003636C8">
              <w:rPr>
                <w:sz w:val="20"/>
                <w:szCs w:val="20"/>
                <w:lang w:val="fr-CA"/>
              </w:rPr>
              <w:tab/>
              <w:t>Patrice Gladu</w:t>
            </w:r>
          </w:p>
          <w:p w:rsidR="002F4600" w:rsidRPr="003636C8" w:rsidRDefault="002F4600" w:rsidP="002F4600">
            <w:pPr>
              <w:tabs>
                <w:tab w:val="left" w:pos="-1440"/>
                <w:tab w:val="left" w:pos="-720"/>
              </w:tabs>
              <w:rPr>
                <w:sz w:val="20"/>
                <w:szCs w:val="20"/>
                <w:lang w:val="fr-CA"/>
              </w:rPr>
            </w:pPr>
            <w:r w:rsidRPr="003636C8">
              <w:rPr>
                <w:sz w:val="20"/>
                <w:szCs w:val="20"/>
                <w:lang w:val="fr-CA"/>
              </w:rPr>
              <w:tab/>
              <w:t>Dunton Rainville</w:t>
            </w:r>
          </w:p>
          <w:p w:rsidR="002F4600" w:rsidRPr="003636C8" w:rsidRDefault="002F4600" w:rsidP="002F4600">
            <w:pPr>
              <w:tabs>
                <w:tab w:val="left" w:pos="-1440"/>
                <w:tab w:val="left" w:pos="-720"/>
              </w:tabs>
              <w:rPr>
                <w:sz w:val="20"/>
                <w:szCs w:val="20"/>
                <w:lang w:val="fr-CA"/>
              </w:rPr>
            </w:pPr>
          </w:p>
          <w:p w:rsidR="002F4600" w:rsidRPr="003636C8" w:rsidRDefault="002F4600" w:rsidP="002F4600">
            <w:pPr>
              <w:rPr>
                <w:sz w:val="20"/>
                <w:szCs w:val="20"/>
                <w:lang w:val="fr-CA"/>
              </w:rPr>
            </w:pPr>
            <w:r w:rsidRPr="003636C8">
              <w:rPr>
                <w:sz w:val="20"/>
                <w:szCs w:val="20"/>
                <w:lang w:val="fr-CA"/>
              </w:rPr>
              <w:t>FILING DATE: 29.08.2014</w:t>
            </w:r>
          </w:p>
          <w:p w:rsidR="00D64DF5" w:rsidRPr="00A935AA" w:rsidRDefault="007054A6" w:rsidP="00B45DC0">
            <w:pPr>
              <w:rPr>
                <w:sz w:val="20"/>
                <w:szCs w:val="20"/>
              </w:rPr>
            </w:pPr>
            <w:r>
              <w:rPr>
                <w:sz w:val="20"/>
                <w:szCs w:val="20"/>
                <w:lang w:val="fr-CA"/>
              </w:rPr>
              <w:pict>
                <v:rect id="_x0000_i1034" style="width:108pt;height:1pt" o:hrpct="0" o:hralign="center" o:hrstd="t" o:hrnoshade="t" o:hr="t" fillcolor="black [3213]" stroked="f"/>
              </w:pict>
            </w:r>
          </w:p>
        </w:tc>
      </w:tr>
      <w:tr w:rsidR="00360551" w:rsidRPr="00A935AA" w:rsidTr="003B3977">
        <w:trPr>
          <w:cantSplit/>
        </w:trPr>
        <w:tc>
          <w:tcPr>
            <w:tcW w:w="4320" w:type="dxa"/>
            <w:shd w:val="clear" w:color="auto" w:fill="auto"/>
          </w:tcPr>
          <w:p w:rsidR="00F76B08" w:rsidRPr="00550991" w:rsidRDefault="00F76B08" w:rsidP="00360551">
            <w:pPr>
              <w:tabs>
                <w:tab w:val="left" w:pos="-1440"/>
                <w:tab w:val="left" w:pos="-720"/>
              </w:tabs>
              <w:rPr>
                <w:b/>
                <w:sz w:val="20"/>
                <w:szCs w:val="20"/>
                <w:lang w:val="fr-CA"/>
              </w:rPr>
            </w:pPr>
            <w:r w:rsidRPr="00550991">
              <w:rPr>
                <w:b/>
                <w:sz w:val="20"/>
                <w:szCs w:val="20"/>
                <w:lang w:val="fr-CA"/>
              </w:rPr>
              <w:t>Osmose-Pentox Inc.</w:t>
            </w:r>
          </w:p>
          <w:p w:rsidR="00360551" w:rsidRPr="00550991" w:rsidRDefault="00360551" w:rsidP="00360551">
            <w:pPr>
              <w:tabs>
                <w:tab w:val="left" w:pos="-1440"/>
                <w:tab w:val="left" w:pos="-720"/>
              </w:tabs>
              <w:rPr>
                <w:sz w:val="20"/>
                <w:szCs w:val="20"/>
                <w:lang w:val="fr-CA"/>
              </w:rPr>
            </w:pPr>
            <w:r w:rsidRPr="00550991">
              <w:rPr>
                <w:sz w:val="20"/>
                <w:szCs w:val="20"/>
                <w:lang w:val="fr-CA"/>
              </w:rPr>
              <w:tab/>
            </w:r>
            <w:r w:rsidR="00F76B08" w:rsidRPr="00550991">
              <w:rPr>
                <w:sz w:val="20"/>
                <w:szCs w:val="20"/>
                <w:lang w:val="fr-CA"/>
              </w:rPr>
              <w:t>Greg Moore</w:t>
            </w:r>
          </w:p>
          <w:p w:rsidR="00360551" w:rsidRPr="00F76B08" w:rsidRDefault="00360551" w:rsidP="00360551">
            <w:pPr>
              <w:tabs>
                <w:tab w:val="left" w:pos="-1440"/>
                <w:tab w:val="left" w:pos="-720"/>
              </w:tabs>
              <w:rPr>
                <w:sz w:val="20"/>
                <w:szCs w:val="20"/>
                <w:lang w:val="fr-CA"/>
              </w:rPr>
            </w:pPr>
            <w:r w:rsidRPr="00550991">
              <w:rPr>
                <w:sz w:val="20"/>
                <w:szCs w:val="20"/>
                <w:lang w:val="fr-CA"/>
              </w:rPr>
              <w:tab/>
            </w:r>
            <w:r w:rsidR="00F76B08" w:rsidRPr="00F76B08">
              <w:rPr>
                <w:sz w:val="20"/>
                <w:szCs w:val="20"/>
                <w:lang w:val="fr-CA"/>
              </w:rPr>
              <w:t>Joli-C</w:t>
            </w:r>
            <w:r w:rsidR="00F76B08">
              <w:rPr>
                <w:rFonts w:cs="Times New Roman"/>
                <w:sz w:val="20"/>
                <w:szCs w:val="20"/>
                <w:lang w:val="fr-CA"/>
              </w:rPr>
              <w:t>œ</w:t>
            </w:r>
            <w:r w:rsidR="00F76B08" w:rsidRPr="00F76B08">
              <w:rPr>
                <w:sz w:val="20"/>
                <w:szCs w:val="20"/>
                <w:lang w:val="fr-CA"/>
              </w:rPr>
              <w:t>ur Lacasse S.E.N.C.R.L.</w:t>
            </w:r>
          </w:p>
          <w:p w:rsidR="00360551" w:rsidRPr="00F76B08" w:rsidRDefault="00360551" w:rsidP="00360551">
            <w:pPr>
              <w:tabs>
                <w:tab w:val="left" w:pos="-1440"/>
                <w:tab w:val="left" w:pos="-720"/>
              </w:tabs>
              <w:rPr>
                <w:sz w:val="20"/>
                <w:szCs w:val="20"/>
                <w:lang w:val="fr-CA"/>
              </w:rPr>
            </w:pPr>
          </w:p>
          <w:p w:rsidR="00360551" w:rsidRPr="00550991" w:rsidRDefault="00360551" w:rsidP="00360551">
            <w:pPr>
              <w:tabs>
                <w:tab w:val="left" w:pos="-1440"/>
                <w:tab w:val="left" w:pos="-720"/>
              </w:tabs>
              <w:rPr>
                <w:sz w:val="20"/>
                <w:szCs w:val="20"/>
                <w:lang w:val="fr-CA"/>
              </w:rPr>
            </w:pPr>
            <w:r w:rsidRPr="00F76B08">
              <w:rPr>
                <w:sz w:val="20"/>
                <w:szCs w:val="20"/>
                <w:lang w:val="fr-CA"/>
              </w:rPr>
              <w:tab/>
            </w:r>
            <w:r w:rsidRPr="00550991">
              <w:rPr>
                <w:sz w:val="20"/>
                <w:szCs w:val="20"/>
                <w:lang w:val="fr-CA"/>
              </w:rPr>
              <w:t>v. (3</w:t>
            </w:r>
            <w:r w:rsidR="00F76B08" w:rsidRPr="00550991">
              <w:rPr>
                <w:sz w:val="20"/>
                <w:szCs w:val="20"/>
                <w:lang w:val="fr-CA"/>
              </w:rPr>
              <w:t>6033</w:t>
            </w:r>
            <w:r w:rsidRPr="00550991">
              <w:rPr>
                <w:sz w:val="20"/>
                <w:szCs w:val="20"/>
                <w:lang w:val="fr-CA"/>
              </w:rPr>
              <w:t>)</w:t>
            </w:r>
          </w:p>
          <w:p w:rsidR="00360551" w:rsidRPr="00550991" w:rsidRDefault="00360551" w:rsidP="00360551">
            <w:pPr>
              <w:tabs>
                <w:tab w:val="left" w:pos="-1440"/>
                <w:tab w:val="left" w:pos="-720"/>
              </w:tabs>
              <w:rPr>
                <w:sz w:val="20"/>
                <w:szCs w:val="20"/>
                <w:lang w:val="fr-CA"/>
              </w:rPr>
            </w:pPr>
          </w:p>
          <w:p w:rsidR="00360551" w:rsidRPr="00F76B08" w:rsidRDefault="00F76B08" w:rsidP="00360551">
            <w:pPr>
              <w:tabs>
                <w:tab w:val="left" w:pos="-1440"/>
                <w:tab w:val="left" w:pos="-720"/>
              </w:tabs>
              <w:rPr>
                <w:b/>
                <w:sz w:val="20"/>
                <w:szCs w:val="20"/>
                <w:lang w:val="fr-CA"/>
              </w:rPr>
            </w:pPr>
            <w:r w:rsidRPr="00F76B08">
              <w:rPr>
                <w:b/>
                <w:sz w:val="20"/>
                <w:szCs w:val="20"/>
                <w:lang w:val="fr-CA"/>
              </w:rPr>
              <w:t>Société Laurentides Inc.</w:t>
            </w:r>
            <w:r w:rsidR="00360551" w:rsidRPr="00F76B08">
              <w:rPr>
                <w:b/>
                <w:sz w:val="20"/>
                <w:szCs w:val="20"/>
                <w:lang w:val="fr-CA"/>
              </w:rPr>
              <w:t xml:space="preserve"> (</w:t>
            </w:r>
            <w:r w:rsidRPr="00F76B08">
              <w:rPr>
                <w:b/>
                <w:sz w:val="20"/>
                <w:szCs w:val="20"/>
                <w:lang w:val="fr-CA"/>
              </w:rPr>
              <w:t>F</w:t>
            </w:r>
            <w:r w:rsidR="00360551" w:rsidRPr="00F76B08">
              <w:rPr>
                <w:b/>
                <w:sz w:val="20"/>
                <w:szCs w:val="20"/>
                <w:lang w:val="fr-CA"/>
              </w:rPr>
              <w:t>.C.)</w:t>
            </w:r>
          </w:p>
          <w:p w:rsidR="00360551" w:rsidRPr="00F76B08" w:rsidRDefault="00360551" w:rsidP="00360551">
            <w:pPr>
              <w:tabs>
                <w:tab w:val="left" w:pos="-1440"/>
                <w:tab w:val="left" w:pos="-720"/>
              </w:tabs>
              <w:rPr>
                <w:sz w:val="20"/>
                <w:szCs w:val="20"/>
                <w:lang w:val="en-US"/>
              </w:rPr>
            </w:pPr>
            <w:r w:rsidRPr="00F76B08">
              <w:rPr>
                <w:sz w:val="20"/>
                <w:szCs w:val="20"/>
                <w:lang w:val="fr-CA"/>
              </w:rPr>
              <w:tab/>
            </w:r>
            <w:r w:rsidR="00F76B08">
              <w:rPr>
                <w:sz w:val="20"/>
                <w:szCs w:val="20"/>
                <w:lang w:val="en-US"/>
              </w:rPr>
              <w:t>Pierre Archambault</w:t>
            </w:r>
          </w:p>
          <w:p w:rsidR="00360551" w:rsidRPr="00F76B08" w:rsidRDefault="00360551" w:rsidP="00360551">
            <w:pPr>
              <w:tabs>
                <w:tab w:val="left" w:pos="-1440"/>
                <w:tab w:val="left" w:pos="-720"/>
              </w:tabs>
              <w:rPr>
                <w:sz w:val="20"/>
                <w:szCs w:val="20"/>
                <w:lang w:val="en-US"/>
              </w:rPr>
            </w:pPr>
            <w:r w:rsidRPr="00F76B08">
              <w:rPr>
                <w:sz w:val="20"/>
                <w:szCs w:val="20"/>
                <w:lang w:val="en-US"/>
              </w:rPr>
              <w:tab/>
            </w:r>
            <w:r w:rsidR="00F76B08" w:rsidRPr="003636C8">
              <w:rPr>
                <w:sz w:val="20"/>
                <w:szCs w:val="20"/>
                <w:lang w:val="fr-CA"/>
              </w:rPr>
              <w:t>Dunton Rainville</w:t>
            </w:r>
          </w:p>
          <w:p w:rsidR="00360551" w:rsidRPr="00F76B08" w:rsidRDefault="00360551" w:rsidP="00360551">
            <w:pPr>
              <w:tabs>
                <w:tab w:val="left" w:pos="-1440"/>
                <w:tab w:val="left" w:pos="-720"/>
              </w:tabs>
              <w:rPr>
                <w:sz w:val="20"/>
                <w:szCs w:val="20"/>
                <w:lang w:val="en-US"/>
              </w:rPr>
            </w:pPr>
          </w:p>
          <w:p w:rsidR="00360551" w:rsidRPr="00F76B08" w:rsidRDefault="00360551" w:rsidP="00360551">
            <w:pPr>
              <w:rPr>
                <w:sz w:val="20"/>
                <w:szCs w:val="20"/>
                <w:lang w:val="en-US"/>
              </w:rPr>
            </w:pPr>
            <w:r w:rsidRPr="00F76B08">
              <w:rPr>
                <w:sz w:val="20"/>
                <w:szCs w:val="20"/>
                <w:lang w:val="en-US"/>
              </w:rPr>
              <w:t xml:space="preserve">FILING DATE: </w:t>
            </w:r>
            <w:r w:rsidR="00F76B08">
              <w:rPr>
                <w:sz w:val="20"/>
                <w:szCs w:val="20"/>
                <w:lang w:val="en-US"/>
              </w:rPr>
              <w:t>0</w:t>
            </w:r>
            <w:r w:rsidRPr="00F76B08">
              <w:rPr>
                <w:sz w:val="20"/>
                <w:szCs w:val="20"/>
                <w:lang w:val="en-US"/>
              </w:rPr>
              <w:t>2.0</w:t>
            </w:r>
            <w:r w:rsidR="00F76B08">
              <w:rPr>
                <w:sz w:val="20"/>
                <w:szCs w:val="20"/>
                <w:lang w:val="en-US"/>
              </w:rPr>
              <w:t>9</w:t>
            </w:r>
            <w:r w:rsidRPr="00F76B08">
              <w:rPr>
                <w:sz w:val="20"/>
                <w:szCs w:val="20"/>
                <w:lang w:val="en-US"/>
              </w:rPr>
              <w:t>.2014</w:t>
            </w:r>
          </w:p>
          <w:p w:rsidR="00360551" w:rsidRPr="00F76B08" w:rsidRDefault="007054A6" w:rsidP="00360551">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p w:rsidR="00360551" w:rsidRPr="00E12173" w:rsidRDefault="00360551" w:rsidP="00360551">
            <w:pPr>
              <w:jc w:val="center"/>
              <w:rPr>
                <w:sz w:val="20"/>
                <w:szCs w:val="20"/>
                <w:lang w:val="fr-CA"/>
              </w:rPr>
            </w:pPr>
          </w:p>
        </w:tc>
        <w:tc>
          <w:tcPr>
            <w:tcW w:w="4320" w:type="dxa"/>
            <w:shd w:val="clear" w:color="auto" w:fill="auto"/>
          </w:tcPr>
          <w:p w:rsidR="002F4600" w:rsidRDefault="002F4600" w:rsidP="002F4600">
            <w:pPr>
              <w:tabs>
                <w:tab w:val="left" w:pos="-1440"/>
                <w:tab w:val="left" w:pos="-720"/>
              </w:tabs>
              <w:rPr>
                <w:b/>
                <w:sz w:val="20"/>
                <w:szCs w:val="20"/>
              </w:rPr>
            </w:pPr>
            <w:r w:rsidRPr="002F4600">
              <w:rPr>
                <w:b/>
                <w:sz w:val="20"/>
                <w:szCs w:val="20"/>
              </w:rPr>
              <w:t>Joseph Burnell</w:t>
            </w:r>
            <w:r>
              <w:rPr>
                <w:b/>
                <w:sz w:val="20"/>
                <w:szCs w:val="20"/>
              </w:rPr>
              <w:t xml:space="preserve"> Head</w:t>
            </w:r>
          </w:p>
          <w:p w:rsidR="002F4600" w:rsidRPr="00A935AA" w:rsidRDefault="002F4600" w:rsidP="002F4600">
            <w:pPr>
              <w:tabs>
                <w:tab w:val="left" w:pos="-1440"/>
                <w:tab w:val="left" w:pos="-720"/>
              </w:tabs>
              <w:rPr>
                <w:sz w:val="20"/>
                <w:szCs w:val="20"/>
              </w:rPr>
            </w:pPr>
            <w:r w:rsidRPr="00A935AA">
              <w:rPr>
                <w:sz w:val="20"/>
                <w:szCs w:val="20"/>
              </w:rPr>
              <w:tab/>
            </w:r>
            <w:r>
              <w:rPr>
                <w:sz w:val="20"/>
                <w:szCs w:val="20"/>
              </w:rPr>
              <w:t>G. Greg Brodsky</w:t>
            </w:r>
            <w:r w:rsidR="000241BE">
              <w:rPr>
                <w:sz w:val="20"/>
                <w:szCs w:val="20"/>
              </w:rPr>
              <w:t>, Q.C.</w:t>
            </w:r>
          </w:p>
          <w:p w:rsidR="002F4600" w:rsidRDefault="002F4600" w:rsidP="002F4600">
            <w:pPr>
              <w:tabs>
                <w:tab w:val="left" w:pos="-1440"/>
                <w:tab w:val="left" w:pos="-720"/>
              </w:tabs>
              <w:rPr>
                <w:sz w:val="20"/>
                <w:szCs w:val="20"/>
              </w:rPr>
            </w:pPr>
            <w:r w:rsidRPr="00A935AA">
              <w:rPr>
                <w:sz w:val="20"/>
                <w:szCs w:val="20"/>
              </w:rPr>
              <w:tab/>
            </w:r>
            <w:r>
              <w:rPr>
                <w:sz w:val="20"/>
                <w:szCs w:val="20"/>
              </w:rPr>
              <w:t>Brodsky</w:t>
            </w:r>
            <w:r w:rsidRPr="00A935AA">
              <w:rPr>
                <w:sz w:val="20"/>
                <w:szCs w:val="20"/>
              </w:rPr>
              <w:t xml:space="preserve"> </w:t>
            </w:r>
            <w:r>
              <w:rPr>
                <w:sz w:val="20"/>
                <w:szCs w:val="20"/>
              </w:rPr>
              <w:t>&amp; Company</w:t>
            </w:r>
          </w:p>
          <w:p w:rsidR="002F4600" w:rsidRPr="00A935AA" w:rsidRDefault="002F4600" w:rsidP="002F4600">
            <w:pPr>
              <w:tabs>
                <w:tab w:val="left" w:pos="-1440"/>
                <w:tab w:val="left" w:pos="-720"/>
              </w:tabs>
              <w:rPr>
                <w:sz w:val="20"/>
                <w:szCs w:val="20"/>
              </w:rPr>
            </w:pPr>
          </w:p>
          <w:p w:rsidR="002F4600" w:rsidRPr="00A935AA" w:rsidRDefault="002F4600" w:rsidP="002F4600">
            <w:pPr>
              <w:tabs>
                <w:tab w:val="left" w:pos="-1440"/>
                <w:tab w:val="left" w:pos="-720"/>
              </w:tabs>
              <w:rPr>
                <w:sz w:val="20"/>
                <w:szCs w:val="20"/>
              </w:rPr>
            </w:pPr>
            <w:r w:rsidRPr="00A935AA">
              <w:rPr>
                <w:sz w:val="20"/>
                <w:szCs w:val="20"/>
              </w:rPr>
              <w:tab/>
              <w:t>v. (</w:t>
            </w:r>
            <w:r>
              <w:rPr>
                <w:sz w:val="20"/>
                <w:szCs w:val="20"/>
              </w:rPr>
              <w:t>36036</w:t>
            </w:r>
            <w:r w:rsidRPr="00A935AA">
              <w:rPr>
                <w:sz w:val="20"/>
                <w:szCs w:val="20"/>
              </w:rPr>
              <w:t>)</w:t>
            </w:r>
          </w:p>
          <w:p w:rsidR="002F4600" w:rsidRPr="00A935AA" w:rsidRDefault="002F4600" w:rsidP="002F4600">
            <w:pPr>
              <w:tabs>
                <w:tab w:val="left" w:pos="-1440"/>
                <w:tab w:val="left" w:pos="-720"/>
              </w:tabs>
              <w:rPr>
                <w:sz w:val="20"/>
                <w:szCs w:val="20"/>
              </w:rPr>
            </w:pPr>
          </w:p>
          <w:p w:rsidR="002F4600" w:rsidRPr="00A935AA" w:rsidRDefault="002F4600" w:rsidP="002F4600">
            <w:pPr>
              <w:tabs>
                <w:tab w:val="left" w:pos="-1440"/>
                <w:tab w:val="left" w:pos="-720"/>
              </w:tabs>
              <w:rPr>
                <w:b/>
                <w:sz w:val="20"/>
                <w:szCs w:val="20"/>
              </w:rPr>
            </w:pPr>
            <w:r w:rsidRPr="00B8724A">
              <w:rPr>
                <w:b/>
                <w:sz w:val="20"/>
                <w:szCs w:val="20"/>
              </w:rPr>
              <w:t xml:space="preserve">Her Majesty the Queen </w:t>
            </w:r>
            <w:r w:rsidRPr="00A935AA">
              <w:rPr>
                <w:b/>
                <w:sz w:val="20"/>
                <w:szCs w:val="20"/>
              </w:rPr>
              <w:t>(</w:t>
            </w:r>
            <w:r w:rsidR="000241BE">
              <w:rPr>
                <w:b/>
                <w:sz w:val="20"/>
                <w:szCs w:val="20"/>
              </w:rPr>
              <w:t>Man</w:t>
            </w:r>
            <w:r w:rsidRPr="00A935AA">
              <w:rPr>
                <w:b/>
                <w:sz w:val="20"/>
                <w:szCs w:val="20"/>
              </w:rPr>
              <w:t>.)</w:t>
            </w:r>
          </w:p>
          <w:p w:rsidR="002F4600" w:rsidRPr="00A935AA" w:rsidRDefault="002F4600" w:rsidP="002F4600">
            <w:pPr>
              <w:tabs>
                <w:tab w:val="left" w:pos="-1440"/>
                <w:tab w:val="left" w:pos="-720"/>
              </w:tabs>
              <w:rPr>
                <w:sz w:val="20"/>
                <w:szCs w:val="20"/>
              </w:rPr>
            </w:pPr>
            <w:r w:rsidRPr="00A935AA">
              <w:rPr>
                <w:sz w:val="20"/>
                <w:szCs w:val="20"/>
              </w:rPr>
              <w:tab/>
            </w:r>
            <w:r>
              <w:rPr>
                <w:sz w:val="20"/>
                <w:szCs w:val="20"/>
              </w:rPr>
              <w:t>Amiram Kotler</w:t>
            </w:r>
          </w:p>
          <w:p w:rsidR="002F4600" w:rsidRPr="00A935AA" w:rsidRDefault="002F4600" w:rsidP="002F4600">
            <w:pPr>
              <w:tabs>
                <w:tab w:val="left" w:pos="-1440"/>
                <w:tab w:val="left" w:pos="-720"/>
              </w:tabs>
              <w:rPr>
                <w:sz w:val="20"/>
                <w:szCs w:val="20"/>
              </w:rPr>
            </w:pPr>
            <w:r w:rsidRPr="00A935AA">
              <w:rPr>
                <w:sz w:val="20"/>
                <w:szCs w:val="20"/>
              </w:rPr>
              <w:tab/>
            </w:r>
            <w:r>
              <w:rPr>
                <w:sz w:val="20"/>
                <w:szCs w:val="20"/>
              </w:rPr>
              <w:t>A.G. of Manitoba</w:t>
            </w:r>
          </w:p>
          <w:p w:rsidR="002F4600" w:rsidRPr="00A935AA" w:rsidRDefault="002F4600" w:rsidP="002F4600">
            <w:pPr>
              <w:tabs>
                <w:tab w:val="left" w:pos="-1440"/>
                <w:tab w:val="left" w:pos="-720"/>
              </w:tabs>
              <w:rPr>
                <w:sz w:val="20"/>
                <w:szCs w:val="20"/>
              </w:rPr>
            </w:pPr>
          </w:p>
          <w:p w:rsidR="002F4600" w:rsidRDefault="002F4600" w:rsidP="002F4600">
            <w:pPr>
              <w:keepNext/>
              <w:keepLines/>
              <w:tabs>
                <w:tab w:val="left" w:pos="-1440"/>
                <w:tab w:val="left" w:pos="-720"/>
              </w:tabs>
              <w:rPr>
                <w:b/>
                <w:sz w:val="20"/>
                <w:szCs w:val="20"/>
                <w:lang w:val="en-US"/>
              </w:rPr>
            </w:pPr>
            <w:r w:rsidRPr="00A935AA">
              <w:rPr>
                <w:sz w:val="20"/>
                <w:szCs w:val="20"/>
              </w:rPr>
              <w:t xml:space="preserve">FILING DATE: </w:t>
            </w:r>
            <w:r>
              <w:rPr>
                <w:sz w:val="20"/>
                <w:szCs w:val="20"/>
              </w:rPr>
              <w:t>04</w:t>
            </w:r>
            <w:r w:rsidRPr="00A935AA">
              <w:rPr>
                <w:sz w:val="20"/>
                <w:szCs w:val="20"/>
              </w:rPr>
              <w:t>.0</w:t>
            </w:r>
            <w:r>
              <w:rPr>
                <w:sz w:val="20"/>
                <w:szCs w:val="20"/>
              </w:rPr>
              <w:t>9</w:t>
            </w:r>
            <w:r w:rsidRPr="00A935AA">
              <w:rPr>
                <w:sz w:val="20"/>
                <w:szCs w:val="20"/>
              </w:rPr>
              <w:t>.201</w:t>
            </w:r>
            <w:r>
              <w:rPr>
                <w:sz w:val="20"/>
                <w:szCs w:val="20"/>
              </w:rPr>
              <w:t>4</w:t>
            </w:r>
            <w:r w:rsidRPr="00D64DF5">
              <w:rPr>
                <w:b/>
                <w:sz w:val="20"/>
                <w:szCs w:val="20"/>
                <w:lang w:val="en-US"/>
              </w:rPr>
              <w:t xml:space="preserve"> </w:t>
            </w:r>
          </w:p>
          <w:p w:rsidR="00360551" w:rsidRPr="00E12173" w:rsidRDefault="007054A6" w:rsidP="00FF099B">
            <w:pPr>
              <w:rPr>
                <w:sz w:val="20"/>
                <w:szCs w:val="20"/>
              </w:rPr>
            </w:pPr>
            <w:r>
              <w:rPr>
                <w:sz w:val="20"/>
                <w:szCs w:val="20"/>
                <w:lang w:val="fr-CA"/>
              </w:rPr>
              <w:pict>
                <v:rect id="_x0000_i1036" style="width:108pt;height:1pt" o:hrpct="0" o:hralign="center" o:hrstd="t" o:hrnoshade="t" o:hr="t" fillcolor="black [3213]" stroked="f"/>
              </w:pict>
            </w:r>
          </w:p>
        </w:tc>
      </w:tr>
      <w:tr w:rsidR="00401381" w:rsidRPr="00A935AA" w:rsidTr="003B3977">
        <w:trPr>
          <w:cantSplit/>
        </w:trPr>
        <w:tc>
          <w:tcPr>
            <w:tcW w:w="4320" w:type="dxa"/>
            <w:shd w:val="clear" w:color="auto" w:fill="auto"/>
          </w:tcPr>
          <w:p w:rsidR="00401381" w:rsidRPr="00F32AE4" w:rsidRDefault="00401381" w:rsidP="00E72A89">
            <w:pPr>
              <w:rPr>
                <w:b/>
                <w:sz w:val="20"/>
                <w:szCs w:val="20"/>
                <w:lang w:val="en-US"/>
              </w:rPr>
            </w:pPr>
            <w:r w:rsidRPr="00F32AE4">
              <w:rPr>
                <w:b/>
                <w:sz w:val="20"/>
                <w:szCs w:val="20"/>
                <w:lang w:val="en-US"/>
              </w:rPr>
              <w:t>Pharmaprix Inc. et al.</w:t>
            </w:r>
          </w:p>
          <w:p w:rsidR="00401381" w:rsidRPr="00F32AE4" w:rsidRDefault="00401381" w:rsidP="00E72A89">
            <w:pPr>
              <w:rPr>
                <w:sz w:val="20"/>
                <w:szCs w:val="20"/>
                <w:lang w:val="en-US"/>
              </w:rPr>
            </w:pPr>
            <w:r w:rsidRPr="00F32AE4">
              <w:rPr>
                <w:sz w:val="20"/>
                <w:szCs w:val="20"/>
                <w:lang w:val="en-US"/>
              </w:rPr>
              <w:tab/>
              <w:t>George R. Hendy</w:t>
            </w:r>
          </w:p>
          <w:p w:rsidR="00401381" w:rsidRPr="00F32AE4" w:rsidRDefault="00401381" w:rsidP="00E72A89">
            <w:pPr>
              <w:rPr>
                <w:sz w:val="20"/>
                <w:szCs w:val="20"/>
                <w:lang w:val="en-US"/>
              </w:rPr>
            </w:pPr>
            <w:r w:rsidRPr="00F32AE4">
              <w:rPr>
                <w:sz w:val="20"/>
                <w:szCs w:val="20"/>
                <w:lang w:val="en-US"/>
              </w:rPr>
              <w:tab/>
              <w:t>Osler, Hoskin &amp; Harcourt LLP</w:t>
            </w:r>
          </w:p>
          <w:p w:rsidR="00401381" w:rsidRPr="00F32AE4" w:rsidRDefault="00401381" w:rsidP="00E72A89">
            <w:pPr>
              <w:tabs>
                <w:tab w:val="left" w:pos="-1440"/>
                <w:tab w:val="left" w:pos="-720"/>
              </w:tabs>
              <w:rPr>
                <w:sz w:val="20"/>
                <w:szCs w:val="20"/>
                <w:lang w:val="en-US"/>
              </w:rPr>
            </w:pPr>
          </w:p>
          <w:p w:rsidR="00401381" w:rsidRPr="002D1312" w:rsidRDefault="00401381" w:rsidP="00E72A89">
            <w:pPr>
              <w:tabs>
                <w:tab w:val="left" w:pos="-1440"/>
                <w:tab w:val="left" w:pos="-720"/>
              </w:tabs>
              <w:rPr>
                <w:sz w:val="20"/>
                <w:szCs w:val="20"/>
                <w:lang w:val="fr-CA"/>
              </w:rPr>
            </w:pPr>
            <w:r w:rsidRPr="00F32AE4">
              <w:rPr>
                <w:sz w:val="20"/>
                <w:szCs w:val="20"/>
                <w:lang w:val="en-US"/>
              </w:rPr>
              <w:tab/>
            </w:r>
            <w:r>
              <w:rPr>
                <w:sz w:val="20"/>
                <w:szCs w:val="20"/>
                <w:lang w:val="fr-CA"/>
              </w:rPr>
              <w:t>v</w:t>
            </w:r>
            <w:r w:rsidRPr="002D1312">
              <w:rPr>
                <w:sz w:val="20"/>
                <w:szCs w:val="20"/>
                <w:lang w:val="fr-CA"/>
              </w:rPr>
              <w:t>. (3604</w:t>
            </w:r>
            <w:r>
              <w:rPr>
                <w:sz w:val="20"/>
                <w:szCs w:val="20"/>
                <w:lang w:val="fr-CA"/>
              </w:rPr>
              <w:t>0</w:t>
            </w:r>
            <w:r w:rsidRPr="002D1312">
              <w:rPr>
                <w:sz w:val="20"/>
                <w:szCs w:val="20"/>
                <w:lang w:val="fr-CA"/>
              </w:rPr>
              <w:t>)</w:t>
            </w:r>
          </w:p>
          <w:p w:rsidR="00401381" w:rsidRPr="002D1312" w:rsidRDefault="00401381" w:rsidP="00E72A89">
            <w:pPr>
              <w:tabs>
                <w:tab w:val="left" w:pos="-1440"/>
                <w:tab w:val="left" w:pos="-720"/>
              </w:tabs>
              <w:rPr>
                <w:sz w:val="20"/>
                <w:szCs w:val="20"/>
                <w:lang w:val="fr-CA"/>
              </w:rPr>
            </w:pPr>
          </w:p>
          <w:p w:rsidR="00401381" w:rsidRPr="002D1312" w:rsidRDefault="00401381" w:rsidP="00E72A89">
            <w:pPr>
              <w:tabs>
                <w:tab w:val="left" w:pos="-1440"/>
                <w:tab w:val="left" w:pos="-720"/>
              </w:tabs>
              <w:rPr>
                <w:b/>
                <w:sz w:val="20"/>
                <w:szCs w:val="20"/>
                <w:lang w:val="fr-CA"/>
              </w:rPr>
            </w:pPr>
            <w:r w:rsidRPr="00550991">
              <w:rPr>
                <w:b/>
                <w:sz w:val="20"/>
                <w:szCs w:val="20"/>
                <w:lang w:val="fr-CA"/>
              </w:rPr>
              <w:t>Régie de l’assurance maladie du Québec</w:t>
            </w:r>
            <w:r>
              <w:rPr>
                <w:b/>
                <w:sz w:val="20"/>
                <w:szCs w:val="20"/>
                <w:lang w:val="fr-CA"/>
              </w:rPr>
              <w:t xml:space="preserve"> et al</w:t>
            </w:r>
            <w:r w:rsidRPr="00550991">
              <w:rPr>
                <w:b/>
                <w:sz w:val="20"/>
                <w:szCs w:val="20"/>
                <w:lang w:val="fr-CA"/>
              </w:rPr>
              <w:t xml:space="preserve"> </w:t>
            </w:r>
            <w:r w:rsidRPr="002D1312">
              <w:rPr>
                <w:b/>
                <w:sz w:val="20"/>
                <w:szCs w:val="20"/>
                <w:lang w:val="fr-CA"/>
              </w:rPr>
              <w:t>(Q</w:t>
            </w:r>
            <w:r>
              <w:rPr>
                <w:b/>
                <w:sz w:val="20"/>
                <w:szCs w:val="20"/>
                <w:lang w:val="fr-CA"/>
              </w:rPr>
              <w:t>ue.</w:t>
            </w:r>
            <w:r w:rsidRPr="002D1312">
              <w:rPr>
                <w:b/>
                <w:sz w:val="20"/>
                <w:szCs w:val="20"/>
                <w:lang w:val="fr-CA"/>
              </w:rPr>
              <w:t>)</w:t>
            </w:r>
          </w:p>
          <w:p w:rsidR="00401381" w:rsidRPr="002D1312" w:rsidRDefault="00401381" w:rsidP="00E72A89">
            <w:pPr>
              <w:tabs>
                <w:tab w:val="left" w:pos="-1440"/>
                <w:tab w:val="left" w:pos="-720"/>
              </w:tabs>
              <w:rPr>
                <w:sz w:val="20"/>
                <w:szCs w:val="20"/>
                <w:lang w:val="fr-CA"/>
              </w:rPr>
            </w:pPr>
            <w:r w:rsidRPr="002D1312">
              <w:rPr>
                <w:sz w:val="20"/>
                <w:szCs w:val="20"/>
                <w:lang w:val="fr-CA"/>
              </w:rPr>
              <w:tab/>
            </w:r>
            <w:r>
              <w:rPr>
                <w:sz w:val="20"/>
                <w:szCs w:val="20"/>
                <w:lang w:val="fr-CA"/>
              </w:rPr>
              <w:t>Suzanne Gagné</w:t>
            </w:r>
          </w:p>
          <w:p w:rsidR="00401381" w:rsidRDefault="00401381" w:rsidP="00E72A89">
            <w:pPr>
              <w:tabs>
                <w:tab w:val="left" w:pos="-1440"/>
                <w:tab w:val="left" w:pos="-720"/>
              </w:tabs>
              <w:rPr>
                <w:sz w:val="20"/>
                <w:szCs w:val="20"/>
                <w:lang w:val="fr-CA"/>
              </w:rPr>
            </w:pPr>
            <w:r w:rsidRPr="002D1312">
              <w:rPr>
                <w:sz w:val="20"/>
                <w:szCs w:val="20"/>
                <w:lang w:val="fr-CA"/>
              </w:rPr>
              <w:tab/>
            </w:r>
            <w:r>
              <w:rPr>
                <w:sz w:val="20"/>
                <w:szCs w:val="20"/>
                <w:lang w:val="fr-CA"/>
              </w:rPr>
              <w:t>Létourneau &amp; Gagné</w:t>
            </w:r>
          </w:p>
          <w:p w:rsidR="00401381" w:rsidRDefault="00401381" w:rsidP="00E72A89">
            <w:pPr>
              <w:tabs>
                <w:tab w:val="left" w:pos="-1440"/>
                <w:tab w:val="left" w:pos="-720"/>
              </w:tabs>
              <w:rPr>
                <w:sz w:val="20"/>
                <w:szCs w:val="20"/>
                <w:lang w:val="fr-CA"/>
              </w:rPr>
            </w:pPr>
          </w:p>
          <w:p w:rsidR="00401381" w:rsidRPr="00B76BB5" w:rsidRDefault="00401381" w:rsidP="00E72A89">
            <w:pPr>
              <w:tabs>
                <w:tab w:val="left" w:pos="-1440"/>
                <w:tab w:val="left" w:pos="-720"/>
              </w:tabs>
              <w:rPr>
                <w:sz w:val="20"/>
                <w:szCs w:val="20"/>
                <w:lang w:val="fr-CA"/>
              </w:rPr>
            </w:pPr>
            <w:r w:rsidRPr="00B76BB5">
              <w:rPr>
                <w:sz w:val="20"/>
                <w:szCs w:val="20"/>
                <w:lang w:val="fr-CA"/>
              </w:rPr>
              <w:t xml:space="preserve"> - and between – </w:t>
            </w:r>
          </w:p>
          <w:p w:rsidR="00401381" w:rsidRDefault="00401381" w:rsidP="00E72A89">
            <w:pPr>
              <w:rPr>
                <w:b/>
                <w:sz w:val="20"/>
                <w:szCs w:val="20"/>
                <w:lang w:val="fr-CA"/>
              </w:rPr>
            </w:pPr>
          </w:p>
          <w:p w:rsidR="00401381" w:rsidRPr="00B8724A" w:rsidRDefault="00401381" w:rsidP="00401381">
            <w:pPr>
              <w:rPr>
                <w:b/>
                <w:sz w:val="20"/>
                <w:szCs w:val="20"/>
                <w:lang w:val="fr-CA"/>
              </w:rPr>
            </w:pPr>
            <w:r w:rsidRPr="00842C6A">
              <w:rPr>
                <w:b/>
                <w:sz w:val="20"/>
                <w:szCs w:val="20"/>
                <w:lang w:val="fr-CA"/>
              </w:rPr>
              <w:t>Sandoz Canada Inc. et al.</w:t>
            </w:r>
          </w:p>
        </w:tc>
        <w:tc>
          <w:tcPr>
            <w:tcW w:w="1181" w:type="dxa"/>
            <w:shd w:val="clear" w:color="auto" w:fill="auto"/>
          </w:tcPr>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Default="00401381" w:rsidP="00360551">
            <w:pPr>
              <w:jc w:val="center"/>
              <w:rPr>
                <w:sz w:val="20"/>
                <w:szCs w:val="20"/>
                <w:lang w:val="fr-CA"/>
              </w:rPr>
            </w:pPr>
          </w:p>
          <w:p w:rsidR="00401381" w:rsidRPr="00E12173" w:rsidRDefault="00401381" w:rsidP="00360551">
            <w:pPr>
              <w:jc w:val="center"/>
              <w:rPr>
                <w:sz w:val="20"/>
                <w:szCs w:val="20"/>
                <w:lang w:val="fr-CA"/>
              </w:rPr>
            </w:pPr>
          </w:p>
        </w:tc>
        <w:tc>
          <w:tcPr>
            <w:tcW w:w="4320" w:type="dxa"/>
            <w:shd w:val="clear" w:color="auto" w:fill="auto"/>
          </w:tcPr>
          <w:p w:rsidR="00401381" w:rsidRDefault="00401381" w:rsidP="00E72A89">
            <w:pPr>
              <w:rPr>
                <w:b/>
                <w:sz w:val="20"/>
                <w:szCs w:val="20"/>
                <w:lang w:val="en-US"/>
              </w:rPr>
            </w:pPr>
            <w:r w:rsidRPr="003636C8">
              <w:rPr>
                <w:b/>
                <w:sz w:val="20"/>
                <w:szCs w:val="20"/>
                <w:lang w:val="en-US"/>
              </w:rPr>
              <w:t>Pakistan Steel Mills Corporation (Private) Limited</w:t>
            </w:r>
          </w:p>
          <w:p w:rsidR="00401381" w:rsidRPr="003636C8" w:rsidRDefault="00401381" w:rsidP="00E72A89">
            <w:pPr>
              <w:rPr>
                <w:sz w:val="20"/>
                <w:szCs w:val="20"/>
                <w:lang w:val="en-US"/>
              </w:rPr>
            </w:pPr>
            <w:r w:rsidRPr="003636C8">
              <w:rPr>
                <w:sz w:val="20"/>
                <w:szCs w:val="20"/>
                <w:lang w:val="en-US"/>
              </w:rPr>
              <w:tab/>
            </w:r>
            <w:r>
              <w:rPr>
                <w:sz w:val="20"/>
                <w:szCs w:val="20"/>
                <w:lang w:val="en-US"/>
              </w:rPr>
              <w:t>Herman H. Van Ommen, Q.C.</w:t>
            </w:r>
          </w:p>
          <w:p w:rsidR="00401381" w:rsidRPr="003636C8" w:rsidRDefault="00401381" w:rsidP="00E72A89">
            <w:pPr>
              <w:rPr>
                <w:sz w:val="20"/>
                <w:szCs w:val="20"/>
                <w:lang w:val="en-US"/>
              </w:rPr>
            </w:pPr>
            <w:r w:rsidRPr="003636C8">
              <w:rPr>
                <w:sz w:val="20"/>
                <w:szCs w:val="20"/>
                <w:lang w:val="en-US"/>
              </w:rPr>
              <w:tab/>
            </w:r>
            <w:r>
              <w:rPr>
                <w:sz w:val="20"/>
                <w:szCs w:val="20"/>
                <w:lang w:val="en-US"/>
              </w:rPr>
              <w:t>McCarthy Tétrault LLP</w:t>
            </w:r>
          </w:p>
          <w:p w:rsidR="00401381" w:rsidRPr="003636C8" w:rsidRDefault="00401381" w:rsidP="00E72A89">
            <w:pPr>
              <w:tabs>
                <w:tab w:val="left" w:pos="-1440"/>
                <w:tab w:val="left" w:pos="-720"/>
              </w:tabs>
              <w:rPr>
                <w:sz w:val="20"/>
                <w:szCs w:val="20"/>
                <w:lang w:val="en-US"/>
              </w:rPr>
            </w:pPr>
          </w:p>
          <w:p w:rsidR="00401381" w:rsidRPr="003636C8" w:rsidRDefault="00401381" w:rsidP="00E72A89">
            <w:pPr>
              <w:tabs>
                <w:tab w:val="left" w:pos="-1440"/>
                <w:tab w:val="left" w:pos="-720"/>
              </w:tabs>
              <w:rPr>
                <w:sz w:val="20"/>
                <w:szCs w:val="20"/>
                <w:lang w:val="en-US"/>
              </w:rPr>
            </w:pPr>
            <w:r w:rsidRPr="003636C8">
              <w:rPr>
                <w:sz w:val="20"/>
                <w:szCs w:val="20"/>
                <w:lang w:val="en-US"/>
              </w:rPr>
              <w:tab/>
              <w:t>c. (36032)</w:t>
            </w:r>
          </w:p>
          <w:p w:rsidR="00401381" w:rsidRPr="003636C8" w:rsidRDefault="00401381" w:rsidP="00E72A89">
            <w:pPr>
              <w:tabs>
                <w:tab w:val="left" w:pos="-1440"/>
                <w:tab w:val="left" w:pos="-720"/>
              </w:tabs>
              <w:rPr>
                <w:sz w:val="20"/>
                <w:szCs w:val="20"/>
                <w:lang w:val="en-US"/>
              </w:rPr>
            </w:pPr>
          </w:p>
          <w:p w:rsidR="00401381" w:rsidRPr="003636C8" w:rsidRDefault="00401381" w:rsidP="00E72A89">
            <w:pPr>
              <w:tabs>
                <w:tab w:val="left" w:pos="-1440"/>
                <w:tab w:val="left" w:pos="-720"/>
              </w:tabs>
              <w:rPr>
                <w:b/>
                <w:sz w:val="20"/>
                <w:szCs w:val="20"/>
                <w:lang w:val="en-US"/>
              </w:rPr>
            </w:pPr>
            <w:r w:rsidRPr="003636C8">
              <w:rPr>
                <w:b/>
                <w:sz w:val="20"/>
                <w:szCs w:val="20"/>
                <w:lang w:val="en-US"/>
              </w:rPr>
              <w:t>Sociedade-de-Fomento Industrial Private Limited (B.C.)</w:t>
            </w:r>
          </w:p>
          <w:p w:rsidR="00401381" w:rsidRPr="003636C8" w:rsidRDefault="00401381" w:rsidP="00E72A89">
            <w:pPr>
              <w:tabs>
                <w:tab w:val="left" w:pos="-1440"/>
                <w:tab w:val="left" w:pos="-720"/>
              </w:tabs>
              <w:rPr>
                <w:sz w:val="20"/>
                <w:szCs w:val="20"/>
                <w:lang w:val="en-US"/>
              </w:rPr>
            </w:pPr>
            <w:r w:rsidRPr="003636C8">
              <w:rPr>
                <w:sz w:val="20"/>
                <w:szCs w:val="20"/>
                <w:lang w:val="en-US"/>
              </w:rPr>
              <w:tab/>
              <w:t>Matthew Latella</w:t>
            </w:r>
          </w:p>
          <w:p w:rsidR="00401381" w:rsidRPr="003636C8" w:rsidRDefault="00401381" w:rsidP="00E72A89">
            <w:pPr>
              <w:tabs>
                <w:tab w:val="left" w:pos="-1440"/>
                <w:tab w:val="left" w:pos="-720"/>
              </w:tabs>
              <w:rPr>
                <w:sz w:val="20"/>
                <w:szCs w:val="20"/>
                <w:lang w:val="en-US"/>
              </w:rPr>
            </w:pPr>
            <w:r w:rsidRPr="003636C8">
              <w:rPr>
                <w:sz w:val="20"/>
                <w:szCs w:val="20"/>
                <w:lang w:val="en-US"/>
              </w:rPr>
              <w:tab/>
              <w:t>Baker &amp; McKenzie LLP</w:t>
            </w:r>
          </w:p>
          <w:p w:rsidR="00401381" w:rsidRPr="003636C8" w:rsidRDefault="00401381" w:rsidP="00E72A89">
            <w:pPr>
              <w:tabs>
                <w:tab w:val="left" w:pos="-1440"/>
                <w:tab w:val="left" w:pos="-720"/>
              </w:tabs>
              <w:rPr>
                <w:sz w:val="20"/>
                <w:szCs w:val="20"/>
                <w:lang w:val="en-US"/>
              </w:rPr>
            </w:pPr>
          </w:p>
          <w:p w:rsidR="00401381" w:rsidRDefault="00401381" w:rsidP="00E72A89">
            <w:pPr>
              <w:rPr>
                <w:sz w:val="20"/>
                <w:szCs w:val="20"/>
                <w:lang w:val="fr-CA"/>
              </w:rPr>
            </w:pPr>
            <w:r>
              <w:rPr>
                <w:sz w:val="20"/>
                <w:szCs w:val="20"/>
                <w:lang w:val="fr-CA"/>
              </w:rPr>
              <w:t>FILING DATE</w:t>
            </w:r>
            <w:r w:rsidRPr="003636C8">
              <w:rPr>
                <w:sz w:val="20"/>
                <w:szCs w:val="20"/>
                <w:lang w:val="fr-CA"/>
              </w:rPr>
              <w:t xml:space="preserve">: </w:t>
            </w:r>
            <w:r>
              <w:rPr>
                <w:sz w:val="20"/>
                <w:szCs w:val="20"/>
                <w:lang w:val="fr-CA"/>
              </w:rPr>
              <w:t>0</w:t>
            </w:r>
            <w:r w:rsidRPr="003636C8">
              <w:rPr>
                <w:sz w:val="20"/>
                <w:szCs w:val="20"/>
                <w:lang w:val="fr-CA"/>
              </w:rPr>
              <w:t>2.0</w:t>
            </w:r>
            <w:r>
              <w:rPr>
                <w:sz w:val="20"/>
                <w:szCs w:val="20"/>
                <w:lang w:val="fr-CA"/>
              </w:rPr>
              <w:t>9</w:t>
            </w:r>
            <w:r w:rsidRPr="003636C8">
              <w:rPr>
                <w:sz w:val="20"/>
                <w:szCs w:val="20"/>
                <w:lang w:val="fr-CA"/>
              </w:rPr>
              <w:t>.2014</w:t>
            </w:r>
          </w:p>
          <w:p w:rsidR="00401381" w:rsidRPr="00550991" w:rsidRDefault="007054A6" w:rsidP="00E72A89">
            <w:pPr>
              <w:rPr>
                <w:b/>
                <w:sz w:val="20"/>
                <w:szCs w:val="20"/>
                <w:lang w:val="fr-CA"/>
              </w:rPr>
            </w:pPr>
            <w:r>
              <w:rPr>
                <w:sz w:val="20"/>
                <w:szCs w:val="20"/>
                <w:lang w:val="fr-CA"/>
              </w:rPr>
              <w:pict>
                <v:rect id="_x0000_i1037" style="width:108pt;height:1pt" o:hrpct="0" o:hralign="center" o:hrstd="t" o:hrnoshade="t" o:hr="t" fillcolor="black [3213]" stroked="f"/>
              </w:pict>
            </w:r>
          </w:p>
        </w:tc>
      </w:tr>
      <w:tr w:rsidR="00401381" w:rsidRPr="00A935AA" w:rsidTr="003B3977">
        <w:trPr>
          <w:cantSplit/>
        </w:trPr>
        <w:tc>
          <w:tcPr>
            <w:tcW w:w="4320" w:type="dxa"/>
            <w:shd w:val="clear" w:color="auto" w:fill="auto"/>
          </w:tcPr>
          <w:p w:rsidR="00401381" w:rsidRPr="00842C6A" w:rsidRDefault="00401381" w:rsidP="00401381">
            <w:pPr>
              <w:rPr>
                <w:sz w:val="20"/>
                <w:szCs w:val="20"/>
                <w:lang w:val="fr-CA"/>
              </w:rPr>
            </w:pPr>
            <w:r w:rsidRPr="00842C6A">
              <w:rPr>
                <w:sz w:val="20"/>
                <w:szCs w:val="20"/>
                <w:lang w:val="fr-CA"/>
              </w:rPr>
              <w:tab/>
              <w:t>Irwin L. Liebman</w:t>
            </w:r>
          </w:p>
          <w:p w:rsidR="00401381" w:rsidRPr="00842C6A" w:rsidRDefault="00401381" w:rsidP="00401381">
            <w:pPr>
              <w:tabs>
                <w:tab w:val="left" w:pos="-1440"/>
                <w:tab w:val="left" w:pos="-720"/>
              </w:tabs>
              <w:rPr>
                <w:sz w:val="20"/>
                <w:szCs w:val="20"/>
                <w:lang w:val="fr-CA"/>
              </w:rPr>
            </w:pPr>
            <w:r w:rsidRPr="00842C6A">
              <w:rPr>
                <w:sz w:val="20"/>
                <w:szCs w:val="20"/>
                <w:lang w:val="fr-CA"/>
              </w:rPr>
              <w:tab/>
              <w:t>Liebman &amp; Légale inc.</w:t>
            </w:r>
          </w:p>
          <w:p w:rsidR="00401381" w:rsidRPr="00842C6A" w:rsidRDefault="00401381" w:rsidP="00401381">
            <w:pPr>
              <w:tabs>
                <w:tab w:val="left" w:pos="-1440"/>
                <w:tab w:val="left" w:pos="-720"/>
              </w:tabs>
              <w:rPr>
                <w:sz w:val="20"/>
                <w:szCs w:val="20"/>
                <w:lang w:val="fr-CA"/>
              </w:rPr>
            </w:pPr>
            <w:r w:rsidRPr="00842C6A">
              <w:rPr>
                <w:sz w:val="20"/>
                <w:szCs w:val="20"/>
                <w:lang w:val="fr-CA"/>
              </w:rPr>
              <w:tab/>
              <w:t>v. (36040)</w:t>
            </w:r>
          </w:p>
          <w:p w:rsidR="00401381" w:rsidRPr="00842C6A" w:rsidRDefault="00401381" w:rsidP="00401381">
            <w:pPr>
              <w:tabs>
                <w:tab w:val="left" w:pos="-1440"/>
                <w:tab w:val="left" w:pos="-720"/>
              </w:tabs>
              <w:rPr>
                <w:sz w:val="20"/>
                <w:szCs w:val="20"/>
                <w:lang w:val="fr-CA"/>
              </w:rPr>
            </w:pPr>
          </w:p>
          <w:p w:rsidR="00401381" w:rsidRPr="002D1312" w:rsidRDefault="00401381" w:rsidP="00401381">
            <w:pPr>
              <w:tabs>
                <w:tab w:val="left" w:pos="-1440"/>
                <w:tab w:val="left" w:pos="-720"/>
              </w:tabs>
              <w:rPr>
                <w:b/>
                <w:sz w:val="20"/>
                <w:szCs w:val="20"/>
                <w:lang w:val="fr-CA"/>
              </w:rPr>
            </w:pPr>
            <w:r w:rsidRPr="00550991">
              <w:rPr>
                <w:b/>
                <w:sz w:val="20"/>
                <w:szCs w:val="20"/>
                <w:lang w:val="fr-CA"/>
              </w:rPr>
              <w:t>Régie de l’assurance maladie du Québec</w:t>
            </w:r>
            <w:r>
              <w:rPr>
                <w:b/>
                <w:sz w:val="20"/>
                <w:szCs w:val="20"/>
                <w:lang w:val="fr-CA"/>
              </w:rPr>
              <w:t xml:space="preserve"> et al</w:t>
            </w:r>
            <w:r w:rsidRPr="00550991">
              <w:rPr>
                <w:b/>
                <w:sz w:val="20"/>
                <w:szCs w:val="20"/>
                <w:lang w:val="fr-CA"/>
              </w:rPr>
              <w:t xml:space="preserve"> </w:t>
            </w:r>
            <w:r w:rsidRPr="002D1312">
              <w:rPr>
                <w:b/>
                <w:sz w:val="20"/>
                <w:szCs w:val="20"/>
                <w:lang w:val="fr-CA"/>
              </w:rPr>
              <w:t>(Q</w:t>
            </w:r>
            <w:r>
              <w:rPr>
                <w:b/>
                <w:sz w:val="20"/>
                <w:szCs w:val="20"/>
                <w:lang w:val="fr-CA"/>
              </w:rPr>
              <w:t>ue.</w:t>
            </w:r>
            <w:r w:rsidRPr="002D1312">
              <w:rPr>
                <w:b/>
                <w:sz w:val="20"/>
                <w:szCs w:val="20"/>
                <w:lang w:val="fr-CA"/>
              </w:rPr>
              <w:t>)</w:t>
            </w:r>
          </w:p>
          <w:p w:rsidR="00401381" w:rsidRPr="002D1312" w:rsidRDefault="00401381" w:rsidP="00401381">
            <w:pPr>
              <w:tabs>
                <w:tab w:val="left" w:pos="-1440"/>
                <w:tab w:val="left" w:pos="-720"/>
              </w:tabs>
              <w:rPr>
                <w:sz w:val="20"/>
                <w:szCs w:val="20"/>
                <w:lang w:val="fr-CA"/>
              </w:rPr>
            </w:pPr>
            <w:r w:rsidRPr="002D1312">
              <w:rPr>
                <w:sz w:val="20"/>
                <w:szCs w:val="20"/>
                <w:lang w:val="fr-CA"/>
              </w:rPr>
              <w:tab/>
            </w:r>
            <w:r>
              <w:rPr>
                <w:sz w:val="20"/>
                <w:szCs w:val="20"/>
                <w:lang w:val="fr-CA"/>
              </w:rPr>
              <w:t>Suzanne Gagné</w:t>
            </w:r>
          </w:p>
          <w:p w:rsidR="00401381" w:rsidRPr="002D1312" w:rsidRDefault="00401381" w:rsidP="00401381">
            <w:pPr>
              <w:tabs>
                <w:tab w:val="left" w:pos="-1440"/>
                <w:tab w:val="left" w:pos="-720"/>
              </w:tabs>
              <w:rPr>
                <w:sz w:val="20"/>
                <w:szCs w:val="20"/>
                <w:lang w:val="fr-CA"/>
              </w:rPr>
            </w:pPr>
            <w:r w:rsidRPr="002D1312">
              <w:rPr>
                <w:sz w:val="20"/>
                <w:szCs w:val="20"/>
                <w:lang w:val="fr-CA"/>
              </w:rPr>
              <w:tab/>
            </w:r>
            <w:r>
              <w:rPr>
                <w:sz w:val="20"/>
                <w:szCs w:val="20"/>
                <w:lang w:val="fr-CA"/>
              </w:rPr>
              <w:t>Létourneau &amp; Gagné</w:t>
            </w:r>
          </w:p>
          <w:p w:rsidR="00401381" w:rsidRPr="002D1312" w:rsidRDefault="00401381" w:rsidP="00401381">
            <w:pPr>
              <w:tabs>
                <w:tab w:val="left" w:pos="-1440"/>
                <w:tab w:val="left" w:pos="-720"/>
              </w:tabs>
              <w:rPr>
                <w:sz w:val="20"/>
                <w:szCs w:val="20"/>
                <w:lang w:val="fr-CA"/>
              </w:rPr>
            </w:pPr>
          </w:p>
          <w:p w:rsidR="00401381" w:rsidRDefault="00401381" w:rsidP="00401381">
            <w:pPr>
              <w:keepNext/>
              <w:keepLines/>
              <w:tabs>
                <w:tab w:val="left" w:pos="-1440"/>
                <w:tab w:val="left" w:pos="-720"/>
              </w:tabs>
              <w:rPr>
                <w:sz w:val="20"/>
                <w:szCs w:val="20"/>
                <w:lang w:val="fr-CA"/>
              </w:rPr>
            </w:pPr>
            <w:r>
              <w:rPr>
                <w:sz w:val="20"/>
                <w:szCs w:val="20"/>
                <w:lang w:val="fr-CA"/>
              </w:rPr>
              <w:t xml:space="preserve">FILING </w:t>
            </w:r>
            <w:r w:rsidRPr="00A055EE">
              <w:rPr>
                <w:sz w:val="20"/>
                <w:szCs w:val="20"/>
                <w:lang w:val="fr-CA"/>
              </w:rPr>
              <w:t xml:space="preserve">DATE: </w:t>
            </w:r>
            <w:r>
              <w:rPr>
                <w:sz w:val="20"/>
                <w:szCs w:val="20"/>
                <w:lang w:val="fr-CA"/>
              </w:rPr>
              <w:t>04</w:t>
            </w:r>
            <w:r w:rsidRPr="00A055EE">
              <w:rPr>
                <w:sz w:val="20"/>
                <w:szCs w:val="20"/>
                <w:lang w:val="fr-CA"/>
              </w:rPr>
              <w:t>.0</w:t>
            </w:r>
            <w:r>
              <w:rPr>
                <w:sz w:val="20"/>
                <w:szCs w:val="20"/>
                <w:lang w:val="fr-CA"/>
              </w:rPr>
              <w:t>9</w:t>
            </w:r>
            <w:r w:rsidRPr="00A055EE">
              <w:rPr>
                <w:sz w:val="20"/>
                <w:szCs w:val="20"/>
                <w:lang w:val="fr-CA"/>
              </w:rPr>
              <w:t>.2014</w:t>
            </w:r>
          </w:p>
          <w:p w:rsidR="00401381" w:rsidRPr="00B8724A" w:rsidRDefault="007054A6" w:rsidP="00401381">
            <w:pPr>
              <w:rPr>
                <w:b/>
                <w:sz w:val="20"/>
                <w:szCs w:val="20"/>
                <w:lang w:val="fr-CA"/>
              </w:rPr>
            </w:pPr>
            <w:r>
              <w:rPr>
                <w:sz w:val="20"/>
                <w:szCs w:val="20"/>
                <w:lang w:val="fr-CA"/>
              </w:rPr>
              <w:pict>
                <v:rect id="_x0000_i1038" style="width:108pt;height:1pt" o:hrpct="0" o:hralign="center" o:hrstd="t" o:hrnoshade="t" o:hr="t" fillcolor="black [3213]" stroked="f"/>
              </w:pict>
            </w:r>
          </w:p>
        </w:tc>
        <w:tc>
          <w:tcPr>
            <w:tcW w:w="1181" w:type="dxa"/>
            <w:shd w:val="clear" w:color="auto" w:fill="auto"/>
          </w:tcPr>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Default="00401381" w:rsidP="00897D0B">
            <w:pPr>
              <w:jc w:val="center"/>
              <w:rPr>
                <w:sz w:val="20"/>
                <w:szCs w:val="20"/>
                <w:lang w:val="en-US"/>
              </w:rPr>
            </w:pPr>
          </w:p>
          <w:p w:rsidR="00401381" w:rsidRPr="002F4600" w:rsidRDefault="00401381" w:rsidP="00897D0B">
            <w:pPr>
              <w:jc w:val="center"/>
              <w:rPr>
                <w:sz w:val="20"/>
                <w:szCs w:val="20"/>
                <w:lang w:val="en-US"/>
              </w:rPr>
            </w:pPr>
          </w:p>
        </w:tc>
        <w:tc>
          <w:tcPr>
            <w:tcW w:w="4320" w:type="dxa"/>
            <w:shd w:val="clear" w:color="auto" w:fill="auto"/>
          </w:tcPr>
          <w:p w:rsidR="00401381" w:rsidRDefault="00401381" w:rsidP="00E72A89">
            <w:pPr>
              <w:rPr>
                <w:b/>
                <w:sz w:val="20"/>
                <w:szCs w:val="20"/>
                <w:lang w:val="fr-CA"/>
              </w:rPr>
            </w:pPr>
          </w:p>
          <w:p w:rsidR="00401381" w:rsidRPr="00B8724A" w:rsidRDefault="00401381" w:rsidP="00E72A89">
            <w:pPr>
              <w:rPr>
                <w:b/>
                <w:sz w:val="20"/>
                <w:szCs w:val="20"/>
                <w:lang w:val="fr-CA"/>
              </w:rPr>
            </w:pPr>
            <w:r w:rsidRPr="00B8724A">
              <w:rPr>
                <w:b/>
                <w:sz w:val="20"/>
                <w:szCs w:val="20"/>
                <w:lang w:val="fr-CA"/>
              </w:rPr>
              <w:t>Gilles Patenaude</w:t>
            </w:r>
          </w:p>
          <w:p w:rsidR="00401381" w:rsidRPr="00B8724A" w:rsidRDefault="00401381" w:rsidP="00E72A89">
            <w:pPr>
              <w:rPr>
                <w:sz w:val="20"/>
                <w:szCs w:val="20"/>
                <w:lang w:val="fr-CA"/>
              </w:rPr>
            </w:pPr>
            <w:r w:rsidRPr="00B8724A">
              <w:rPr>
                <w:sz w:val="20"/>
                <w:szCs w:val="20"/>
                <w:lang w:val="fr-CA"/>
              </w:rPr>
              <w:tab/>
              <w:t>Gilles Patenaude</w:t>
            </w:r>
          </w:p>
          <w:p w:rsidR="00401381" w:rsidRPr="00B8724A" w:rsidRDefault="00401381" w:rsidP="00E72A89">
            <w:pPr>
              <w:tabs>
                <w:tab w:val="left" w:pos="-1440"/>
                <w:tab w:val="left" w:pos="-720"/>
              </w:tabs>
              <w:rPr>
                <w:sz w:val="20"/>
                <w:szCs w:val="20"/>
                <w:lang w:val="fr-CA"/>
              </w:rPr>
            </w:pPr>
          </w:p>
          <w:p w:rsidR="00401381" w:rsidRPr="002D1312" w:rsidRDefault="00401381" w:rsidP="00E72A89">
            <w:pPr>
              <w:tabs>
                <w:tab w:val="left" w:pos="-1440"/>
                <w:tab w:val="left" w:pos="-720"/>
              </w:tabs>
              <w:rPr>
                <w:sz w:val="20"/>
                <w:szCs w:val="20"/>
                <w:lang w:val="fr-CA"/>
              </w:rPr>
            </w:pPr>
            <w:r w:rsidRPr="00B8724A">
              <w:rPr>
                <w:sz w:val="20"/>
                <w:szCs w:val="20"/>
                <w:lang w:val="fr-CA"/>
              </w:rPr>
              <w:tab/>
            </w:r>
            <w:r w:rsidRPr="002D1312">
              <w:rPr>
                <w:sz w:val="20"/>
                <w:szCs w:val="20"/>
                <w:lang w:val="fr-CA"/>
              </w:rPr>
              <w:t>c. (36034)</w:t>
            </w:r>
          </w:p>
          <w:p w:rsidR="00401381" w:rsidRPr="002D1312" w:rsidRDefault="00401381" w:rsidP="00E72A89">
            <w:pPr>
              <w:tabs>
                <w:tab w:val="left" w:pos="-1440"/>
                <w:tab w:val="left" w:pos="-720"/>
              </w:tabs>
              <w:rPr>
                <w:sz w:val="20"/>
                <w:szCs w:val="20"/>
                <w:lang w:val="fr-CA"/>
              </w:rPr>
            </w:pPr>
          </w:p>
          <w:p w:rsidR="00401381" w:rsidRPr="002D1312" w:rsidRDefault="00401381" w:rsidP="00E72A89">
            <w:pPr>
              <w:tabs>
                <w:tab w:val="left" w:pos="-1440"/>
                <w:tab w:val="left" w:pos="-720"/>
              </w:tabs>
              <w:rPr>
                <w:b/>
                <w:sz w:val="20"/>
                <w:szCs w:val="20"/>
                <w:lang w:val="fr-CA"/>
              </w:rPr>
            </w:pPr>
            <w:r w:rsidRPr="002D1312">
              <w:rPr>
                <w:b/>
                <w:sz w:val="20"/>
                <w:szCs w:val="20"/>
                <w:lang w:val="fr-CA"/>
              </w:rPr>
              <w:t>P</w:t>
            </w:r>
            <w:r>
              <w:rPr>
                <w:b/>
                <w:sz w:val="20"/>
                <w:szCs w:val="20"/>
                <w:lang w:val="fr-CA"/>
              </w:rPr>
              <w:t xml:space="preserve">.G. </w:t>
            </w:r>
            <w:r w:rsidRPr="002D1312">
              <w:rPr>
                <w:b/>
                <w:sz w:val="20"/>
                <w:szCs w:val="20"/>
                <w:lang w:val="fr-CA"/>
              </w:rPr>
              <w:t>du Québec (Qc)</w:t>
            </w:r>
          </w:p>
          <w:p w:rsidR="00401381" w:rsidRPr="002D1312" w:rsidRDefault="00401381" w:rsidP="00E72A89">
            <w:pPr>
              <w:tabs>
                <w:tab w:val="left" w:pos="-1440"/>
                <w:tab w:val="left" w:pos="-720"/>
              </w:tabs>
              <w:rPr>
                <w:sz w:val="20"/>
                <w:szCs w:val="20"/>
                <w:lang w:val="fr-CA"/>
              </w:rPr>
            </w:pPr>
            <w:r w:rsidRPr="002D1312">
              <w:rPr>
                <w:sz w:val="20"/>
                <w:szCs w:val="20"/>
                <w:lang w:val="fr-CA"/>
              </w:rPr>
              <w:tab/>
            </w:r>
            <w:r>
              <w:rPr>
                <w:sz w:val="20"/>
                <w:szCs w:val="20"/>
                <w:lang w:val="fr-CA"/>
              </w:rPr>
              <w:t>Anne Bélanger</w:t>
            </w:r>
          </w:p>
          <w:p w:rsidR="00401381" w:rsidRPr="002D1312" w:rsidRDefault="00401381" w:rsidP="00E72A89">
            <w:pPr>
              <w:tabs>
                <w:tab w:val="left" w:pos="-1440"/>
                <w:tab w:val="left" w:pos="-720"/>
              </w:tabs>
              <w:rPr>
                <w:sz w:val="20"/>
                <w:szCs w:val="20"/>
                <w:lang w:val="fr-CA"/>
              </w:rPr>
            </w:pPr>
            <w:r w:rsidRPr="002D1312">
              <w:rPr>
                <w:sz w:val="20"/>
                <w:szCs w:val="20"/>
                <w:lang w:val="fr-CA"/>
              </w:rPr>
              <w:tab/>
            </w:r>
            <w:r>
              <w:rPr>
                <w:sz w:val="20"/>
                <w:szCs w:val="20"/>
                <w:lang w:val="fr-CA"/>
              </w:rPr>
              <w:t>Procureur générale du Québec</w:t>
            </w:r>
          </w:p>
          <w:p w:rsidR="00401381" w:rsidRPr="002D1312" w:rsidRDefault="00401381" w:rsidP="00E72A89">
            <w:pPr>
              <w:tabs>
                <w:tab w:val="left" w:pos="-1440"/>
                <w:tab w:val="left" w:pos="-720"/>
              </w:tabs>
              <w:rPr>
                <w:sz w:val="20"/>
                <w:szCs w:val="20"/>
                <w:lang w:val="fr-CA"/>
              </w:rPr>
            </w:pPr>
          </w:p>
          <w:p w:rsidR="00401381" w:rsidRDefault="00401381" w:rsidP="00E72A89">
            <w:pPr>
              <w:keepNext/>
              <w:keepLines/>
              <w:tabs>
                <w:tab w:val="left" w:pos="-1440"/>
                <w:tab w:val="left" w:pos="-720"/>
              </w:tabs>
              <w:rPr>
                <w:sz w:val="20"/>
                <w:szCs w:val="20"/>
                <w:lang w:val="fr-CA"/>
              </w:rPr>
            </w:pPr>
            <w:r w:rsidRPr="00A055EE">
              <w:rPr>
                <w:sz w:val="20"/>
                <w:szCs w:val="20"/>
                <w:lang w:val="fr-CA"/>
              </w:rPr>
              <w:t xml:space="preserve">DATE DE PRODUCTION: </w:t>
            </w:r>
            <w:r>
              <w:rPr>
                <w:sz w:val="20"/>
                <w:szCs w:val="20"/>
                <w:lang w:val="fr-CA"/>
              </w:rPr>
              <w:t>26</w:t>
            </w:r>
            <w:r w:rsidRPr="00A055EE">
              <w:rPr>
                <w:sz w:val="20"/>
                <w:szCs w:val="20"/>
                <w:lang w:val="fr-CA"/>
              </w:rPr>
              <w:t>.0</w:t>
            </w:r>
            <w:r>
              <w:rPr>
                <w:sz w:val="20"/>
                <w:szCs w:val="20"/>
                <w:lang w:val="fr-CA"/>
              </w:rPr>
              <w:t>8</w:t>
            </w:r>
            <w:r w:rsidRPr="00A055EE">
              <w:rPr>
                <w:sz w:val="20"/>
                <w:szCs w:val="20"/>
                <w:lang w:val="fr-CA"/>
              </w:rPr>
              <w:t>.2014</w:t>
            </w:r>
          </w:p>
          <w:p w:rsidR="00401381" w:rsidRDefault="007054A6" w:rsidP="00E72A89">
            <w:pPr>
              <w:rPr>
                <w:b/>
                <w:sz w:val="20"/>
                <w:szCs w:val="20"/>
                <w:lang w:val="en-US"/>
              </w:rPr>
            </w:pPr>
            <w:r>
              <w:rPr>
                <w:sz w:val="20"/>
                <w:szCs w:val="20"/>
                <w:lang w:val="fr-CA"/>
              </w:rPr>
              <w:pict>
                <v:rect id="_x0000_i1039" style="width:108pt;height:1pt" o:hrpct="0" o:hralign="center" o:hrstd="t" o:hrnoshade="t" o:hr="t" fillcolor="black [3213]" stroked="f"/>
              </w:pict>
            </w:r>
          </w:p>
          <w:p w:rsidR="00401381" w:rsidRPr="003636C8" w:rsidRDefault="00401381" w:rsidP="00E72A89">
            <w:pPr>
              <w:rPr>
                <w:sz w:val="20"/>
                <w:szCs w:val="20"/>
              </w:rPr>
            </w:pPr>
          </w:p>
        </w:tc>
      </w:tr>
      <w:tr w:rsidR="00401381" w:rsidRPr="00A935AA" w:rsidTr="003B3977">
        <w:trPr>
          <w:cantSplit/>
        </w:trPr>
        <w:tc>
          <w:tcPr>
            <w:tcW w:w="4320" w:type="dxa"/>
            <w:shd w:val="clear" w:color="auto" w:fill="auto"/>
          </w:tcPr>
          <w:p w:rsidR="00401381" w:rsidRDefault="00401381" w:rsidP="00842C6A">
            <w:pPr>
              <w:rPr>
                <w:b/>
                <w:sz w:val="20"/>
                <w:szCs w:val="20"/>
                <w:lang w:val="en-US"/>
              </w:rPr>
            </w:pPr>
            <w:r w:rsidRPr="00FF099B">
              <w:rPr>
                <w:b/>
                <w:sz w:val="20"/>
                <w:szCs w:val="20"/>
                <w:lang w:val="en-US"/>
              </w:rPr>
              <w:lastRenderedPageBreak/>
              <w:t>Ontario Federation of Anglers and Hunters</w:t>
            </w:r>
          </w:p>
          <w:p w:rsidR="00401381" w:rsidRPr="00FF099B" w:rsidRDefault="00401381" w:rsidP="00842C6A">
            <w:pPr>
              <w:rPr>
                <w:sz w:val="20"/>
                <w:szCs w:val="20"/>
                <w:lang w:val="fr-CA"/>
              </w:rPr>
            </w:pPr>
            <w:r w:rsidRPr="00E12173">
              <w:rPr>
                <w:sz w:val="20"/>
                <w:szCs w:val="20"/>
                <w:lang w:val="en-US"/>
              </w:rPr>
              <w:tab/>
            </w:r>
            <w:r w:rsidRPr="00FF099B">
              <w:rPr>
                <w:sz w:val="20"/>
                <w:szCs w:val="20"/>
                <w:lang w:val="fr-CA"/>
              </w:rPr>
              <w:t>Timothy S.B. Danson</w:t>
            </w:r>
          </w:p>
          <w:p w:rsidR="00401381" w:rsidRPr="00FF099B" w:rsidRDefault="00401381" w:rsidP="00842C6A">
            <w:pPr>
              <w:rPr>
                <w:sz w:val="20"/>
                <w:szCs w:val="20"/>
                <w:lang w:val="fr-CA"/>
              </w:rPr>
            </w:pPr>
            <w:r w:rsidRPr="00FF099B">
              <w:rPr>
                <w:sz w:val="20"/>
                <w:szCs w:val="20"/>
                <w:lang w:val="fr-CA"/>
              </w:rPr>
              <w:tab/>
              <w:t>Danson, Recht &amp; Voudouris</w:t>
            </w:r>
            <w:r>
              <w:rPr>
                <w:sz w:val="20"/>
                <w:szCs w:val="20"/>
                <w:lang w:val="fr-CA"/>
              </w:rPr>
              <w:t xml:space="preserve"> LLP</w:t>
            </w:r>
          </w:p>
          <w:p w:rsidR="00401381" w:rsidRPr="00FF099B" w:rsidRDefault="00401381" w:rsidP="00842C6A">
            <w:pPr>
              <w:tabs>
                <w:tab w:val="left" w:pos="-1440"/>
                <w:tab w:val="left" w:pos="-720"/>
              </w:tabs>
              <w:rPr>
                <w:sz w:val="20"/>
                <w:szCs w:val="20"/>
                <w:lang w:val="fr-CA"/>
              </w:rPr>
            </w:pPr>
          </w:p>
          <w:p w:rsidR="00401381" w:rsidRPr="00FF099B" w:rsidRDefault="00401381" w:rsidP="00842C6A">
            <w:pPr>
              <w:tabs>
                <w:tab w:val="left" w:pos="-1440"/>
                <w:tab w:val="left" w:pos="-720"/>
              </w:tabs>
              <w:rPr>
                <w:sz w:val="20"/>
                <w:szCs w:val="20"/>
                <w:lang w:val="en-US"/>
              </w:rPr>
            </w:pPr>
            <w:r w:rsidRPr="00FF099B">
              <w:rPr>
                <w:sz w:val="20"/>
                <w:szCs w:val="20"/>
                <w:lang w:val="fr-CA"/>
              </w:rPr>
              <w:tab/>
            </w:r>
            <w:r w:rsidRPr="00FF099B">
              <w:rPr>
                <w:sz w:val="20"/>
                <w:szCs w:val="20"/>
                <w:lang w:val="en-US"/>
              </w:rPr>
              <w:t>v. (36035)</w:t>
            </w:r>
          </w:p>
          <w:p w:rsidR="00401381" w:rsidRPr="00FF099B" w:rsidRDefault="00401381" w:rsidP="00842C6A">
            <w:pPr>
              <w:tabs>
                <w:tab w:val="left" w:pos="-1440"/>
                <w:tab w:val="left" w:pos="-720"/>
              </w:tabs>
              <w:rPr>
                <w:sz w:val="20"/>
                <w:szCs w:val="20"/>
                <w:lang w:val="en-US"/>
              </w:rPr>
            </w:pPr>
          </w:p>
          <w:p w:rsidR="00401381" w:rsidRPr="00FF099B" w:rsidRDefault="00401381" w:rsidP="00842C6A">
            <w:pPr>
              <w:rPr>
                <w:b/>
                <w:sz w:val="20"/>
                <w:szCs w:val="20"/>
                <w:lang w:val="en-US"/>
              </w:rPr>
            </w:pPr>
            <w:r w:rsidRPr="00E12173">
              <w:rPr>
                <w:b/>
                <w:sz w:val="20"/>
                <w:szCs w:val="20"/>
                <w:lang w:val="en-US"/>
              </w:rPr>
              <w:t>AlLDERVILLE INDIAN BAND now known as Mississaugas of Alderville First Nation, Gimaa Jim Bob Marsden suing on his own behalf and on behalf of the members of the Mississaugas of Alderville First Nation</w:t>
            </w:r>
            <w:r>
              <w:rPr>
                <w:b/>
                <w:sz w:val="20"/>
                <w:szCs w:val="20"/>
                <w:lang w:val="en-US"/>
              </w:rPr>
              <w:t xml:space="preserve"> </w:t>
            </w:r>
            <w:r w:rsidRPr="00FF099B">
              <w:rPr>
                <w:b/>
                <w:sz w:val="20"/>
                <w:szCs w:val="20"/>
                <w:lang w:val="en-US"/>
              </w:rPr>
              <w:t>(</w:t>
            </w:r>
            <w:r>
              <w:rPr>
                <w:b/>
                <w:sz w:val="20"/>
                <w:szCs w:val="20"/>
                <w:lang w:val="en-US"/>
              </w:rPr>
              <w:t>F.C.</w:t>
            </w:r>
            <w:r w:rsidRPr="00FF099B">
              <w:rPr>
                <w:b/>
                <w:sz w:val="20"/>
                <w:szCs w:val="20"/>
                <w:lang w:val="en-US"/>
              </w:rPr>
              <w:t>)</w:t>
            </w:r>
          </w:p>
          <w:p w:rsidR="00401381" w:rsidRPr="00FF099B" w:rsidRDefault="00401381" w:rsidP="00842C6A">
            <w:pPr>
              <w:tabs>
                <w:tab w:val="left" w:pos="-1440"/>
                <w:tab w:val="left" w:pos="-720"/>
              </w:tabs>
              <w:rPr>
                <w:sz w:val="20"/>
                <w:szCs w:val="20"/>
                <w:lang w:val="en-US"/>
              </w:rPr>
            </w:pPr>
            <w:r w:rsidRPr="00FF099B">
              <w:rPr>
                <w:sz w:val="20"/>
                <w:szCs w:val="20"/>
                <w:lang w:val="en-US"/>
              </w:rPr>
              <w:tab/>
              <w:t>Peter W. Hutchins</w:t>
            </w:r>
          </w:p>
          <w:p w:rsidR="00401381" w:rsidRPr="00FF099B" w:rsidRDefault="00401381" w:rsidP="00842C6A">
            <w:pPr>
              <w:tabs>
                <w:tab w:val="left" w:pos="-1440"/>
                <w:tab w:val="left" w:pos="-720"/>
              </w:tabs>
              <w:rPr>
                <w:sz w:val="20"/>
                <w:szCs w:val="20"/>
                <w:lang w:val="en-US"/>
              </w:rPr>
            </w:pPr>
            <w:r w:rsidRPr="00FF099B">
              <w:rPr>
                <w:sz w:val="20"/>
                <w:szCs w:val="20"/>
                <w:lang w:val="en-US"/>
              </w:rPr>
              <w:tab/>
              <w:t>Hutchins Légal inc.</w:t>
            </w:r>
          </w:p>
          <w:p w:rsidR="00401381" w:rsidRPr="00FF099B" w:rsidRDefault="00401381" w:rsidP="00842C6A">
            <w:pPr>
              <w:tabs>
                <w:tab w:val="left" w:pos="-1440"/>
                <w:tab w:val="left" w:pos="-720"/>
              </w:tabs>
              <w:rPr>
                <w:sz w:val="20"/>
                <w:szCs w:val="20"/>
                <w:lang w:val="en-US"/>
              </w:rPr>
            </w:pPr>
          </w:p>
          <w:p w:rsidR="00401381" w:rsidRPr="00842C6A" w:rsidRDefault="00401381" w:rsidP="00842C6A">
            <w:pPr>
              <w:rPr>
                <w:sz w:val="20"/>
                <w:szCs w:val="20"/>
                <w:lang w:val="en-US"/>
              </w:rPr>
            </w:pPr>
            <w:r w:rsidRPr="00FF099B">
              <w:rPr>
                <w:sz w:val="20"/>
                <w:szCs w:val="20"/>
                <w:lang w:val="en-US"/>
              </w:rPr>
              <w:t>FILING DATE: 03.09.2014</w:t>
            </w:r>
          </w:p>
          <w:p w:rsidR="00401381" w:rsidRDefault="007054A6" w:rsidP="00842C6A">
            <w:pPr>
              <w:keepNext/>
              <w:keepLines/>
              <w:tabs>
                <w:tab w:val="left" w:pos="-1440"/>
                <w:tab w:val="left" w:pos="-720"/>
              </w:tabs>
              <w:rPr>
                <w:sz w:val="20"/>
                <w:szCs w:val="20"/>
                <w:lang w:val="fr-CA"/>
              </w:rPr>
            </w:pPr>
            <w:r>
              <w:rPr>
                <w:sz w:val="20"/>
                <w:szCs w:val="20"/>
                <w:lang w:val="fr-CA"/>
              </w:rPr>
              <w:pict>
                <v:rect id="_x0000_i1040" style="width:108pt;height:1pt" o:hrpct="0" o:hralign="center" o:hrstd="t" o:hrnoshade="t" o:hr="t" fillcolor="black [3213]" stroked="f"/>
              </w:pict>
            </w:r>
          </w:p>
          <w:p w:rsidR="00401381" w:rsidRPr="002F4600" w:rsidRDefault="00401381" w:rsidP="00842C6A">
            <w:pPr>
              <w:keepNext/>
              <w:keepLines/>
              <w:tabs>
                <w:tab w:val="left" w:pos="-1440"/>
                <w:tab w:val="left" w:pos="-720"/>
              </w:tabs>
              <w:rPr>
                <w:sz w:val="20"/>
                <w:szCs w:val="20"/>
                <w:lang w:val="en-US"/>
              </w:rPr>
            </w:pPr>
          </w:p>
        </w:tc>
        <w:tc>
          <w:tcPr>
            <w:tcW w:w="1181" w:type="dxa"/>
            <w:shd w:val="clear" w:color="auto" w:fill="auto"/>
          </w:tcPr>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Default="00401381" w:rsidP="00360551">
            <w:pPr>
              <w:jc w:val="center"/>
              <w:rPr>
                <w:sz w:val="20"/>
                <w:szCs w:val="20"/>
                <w:lang w:val="en-US"/>
              </w:rPr>
            </w:pPr>
          </w:p>
          <w:p w:rsidR="00401381" w:rsidRPr="002F4600" w:rsidRDefault="00401381" w:rsidP="00360551">
            <w:pPr>
              <w:jc w:val="center"/>
              <w:rPr>
                <w:sz w:val="20"/>
                <w:szCs w:val="20"/>
                <w:lang w:val="en-US"/>
              </w:rPr>
            </w:pPr>
          </w:p>
          <w:p w:rsidR="00401381" w:rsidRPr="002F4600" w:rsidRDefault="00401381" w:rsidP="00360551">
            <w:pPr>
              <w:jc w:val="center"/>
              <w:rPr>
                <w:sz w:val="20"/>
                <w:szCs w:val="20"/>
                <w:lang w:val="en-US"/>
              </w:rPr>
            </w:pPr>
          </w:p>
        </w:tc>
        <w:tc>
          <w:tcPr>
            <w:tcW w:w="4320" w:type="dxa"/>
            <w:shd w:val="clear" w:color="auto" w:fill="auto"/>
          </w:tcPr>
          <w:p w:rsidR="00401381" w:rsidRPr="00FF099B" w:rsidRDefault="00401381" w:rsidP="00842C6A">
            <w:pPr>
              <w:rPr>
                <w:sz w:val="20"/>
                <w:szCs w:val="20"/>
              </w:rPr>
            </w:pPr>
          </w:p>
        </w:tc>
      </w:tr>
    </w:tbl>
    <w:p w:rsidR="00242AEE" w:rsidRDefault="00242AEE" w:rsidP="0095096B">
      <w:pPr>
        <w:tabs>
          <w:tab w:val="right" w:pos="9360"/>
        </w:tabs>
        <w:rPr>
          <w:sz w:val="20"/>
          <w:szCs w:val="20"/>
        </w:rPr>
      </w:pPr>
    </w:p>
    <w:p w:rsidR="00F32AE4" w:rsidRDefault="00F32AE4" w:rsidP="0095096B">
      <w:pPr>
        <w:tabs>
          <w:tab w:val="right" w:pos="9360"/>
        </w:tabs>
        <w:rPr>
          <w:sz w:val="20"/>
          <w:szCs w:val="20"/>
        </w:rPr>
      </w:pPr>
    </w:p>
    <w:p w:rsidR="00F32AE4" w:rsidRDefault="00F32AE4" w:rsidP="0095096B">
      <w:pPr>
        <w:tabs>
          <w:tab w:val="right" w:pos="9360"/>
        </w:tabs>
        <w:rPr>
          <w:sz w:val="20"/>
          <w:szCs w:val="20"/>
        </w:rPr>
      </w:pPr>
    </w:p>
    <w:p w:rsidR="00F32AE4" w:rsidRDefault="00F32AE4"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76BB5">
          <w:headerReference w:type="default" r:id="rId17"/>
          <w:footerReference w:type="default" r:id="rId18"/>
          <w:headerReference w:type="first" r:id="rId19"/>
          <w:footerReference w:type="first" r:id="rId20"/>
          <w:pgSz w:w="12240" w:h="15840"/>
          <w:pgMar w:top="720" w:right="965" w:bottom="1080" w:left="1656" w:header="706" w:footer="706" w:gutter="0"/>
          <w:pgNumType w:start="137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054A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A6597" w:rsidP="00CB3520">
      <w:pPr>
        <w:widowControl w:val="0"/>
        <w:rPr>
          <w:b/>
          <w:sz w:val="20"/>
          <w:szCs w:val="20"/>
        </w:rPr>
      </w:pPr>
      <w:r>
        <w:rPr>
          <w:b/>
          <w:sz w:val="20"/>
          <w:szCs w:val="20"/>
        </w:rPr>
        <w:t>SEPTEMBER</w:t>
      </w:r>
      <w:r w:rsidR="00CB3520">
        <w:rPr>
          <w:b/>
          <w:sz w:val="20"/>
          <w:szCs w:val="20"/>
        </w:rPr>
        <w:t xml:space="preserve"> </w:t>
      </w:r>
      <w:r>
        <w:rPr>
          <w:b/>
          <w:sz w:val="20"/>
          <w:szCs w:val="20"/>
        </w:rPr>
        <w:t>8</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8 SEPTEMBRE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5A6597" w:rsidRDefault="005A6597" w:rsidP="005A6597">
      <w:pPr>
        <w:pStyle w:val="ListParagraph"/>
        <w:widowControl w:val="0"/>
        <w:numPr>
          <w:ilvl w:val="0"/>
          <w:numId w:val="1"/>
        </w:numPr>
        <w:ind w:hanging="720"/>
        <w:jc w:val="both"/>
        <w:rPr>
          <w:sz w:val="20"/>
          <w:szCs w:val="20"/>
        </w:rPr>
      </w:pPr>
      <w:r w:rsidRPr="00CE231C">
        <w:rPr>
          <w:i/>
          <w:sz w:val="20"/>
          <w:szCs w:val="20"/>
        </w:rPr>
        <w:t>Gerald Robert Ryan v. Her Majesty the Queen</w:t>
      </w:r>
      <w:r w:rsidRPr="005A6597">
        <w:rPr>
          <w:sz w:val="20"/>
          <w:szCs w:val="20"/>
        </w:rPr>
        <w:t xml:space="preserve"> (Alta.) (Crim</w:t>
      </w:r>
      <w:r>
        <w:rPr>
          <w:sz w:val="20"/>
          <w:szCs w:val="20"/>
        </w:rPr>
        <w:t>.</w:t>
      </w:r>
      <w:r w:rsidRPr="005A6597">
        <w:rPr>
          <w:sz w:val="20"/>
          <w:szCs w:val="20"/>
        </w:rPr>
        <w:t xml:space="preserve">) (By Leave) </w:t>
      </w:r>
      <w:r>
        <w:rPr>
          <w:sz w:val="20"/>
          <w:szCs w:val="20"/>
        </w:rPr>
        <w:t>(</w:t>
      </w:r>
      <w:r w:rsidRPr="005A6597">
        <w:rPr>
          <w:sz w:val="20"/>
          <w:szCs w:val="20"/>
        </w:rPr>
        <w:t>35915</w:t>
      </w:r>
      <w:r>
        <w:rPr>
          <w:sz w:val="20"/>
          <w:szCs w:val="20"/>
        </w:rPr>
        <w:t>)</w:t>
      </w:r>
    </w:p>
    <w:p w:rsidR="00CB3520" w:rsidRPr="00C50A5C" w:rsidRDefault="00CB3520" w:rsidP="00CB3520">
      <w:pPr>
        <w:widowControl w:val="0"/>
        <w:jc w:val="both"/>
        <w:rPr>
          <w:sz w:val="20"/>
          <w:szCs w:val="20"/>
        </w:rPr>
      </w:pPr>
    </w:p>
    <w:p w:rsidR="00CB3520" w:rsidRPr="005A6597" w:rsidRDefault="005A6597" w:rsidP="005A6597">
      <w:pPr>
        <w:pStyle w:val="ListParagraph"/>
        <w:widowControl w:val="0"/>
        <w:numPr>
          <w:ilvl w:val="0"/>
          <w:numId w:val="1"/>
        </w:numPr>
        <w:ind w:hanging="720"/>
        <w:jc w:val="both"/>
        <w:rPr>
          <w:sz w:val="20"/>
          <w:szCs w:val="20"/>
        </w:rPr>
      </w:pPr>
      <w:r w:rsidRPr="00CE231C">
        <w:rPr>
          <w:i/>
          <w:sz w:val="20"/>
          <w:szCs w:val="20"/>
        </w:rPr>
        <w:t>Mixail Gladuhov v. Sylvia Swider</w:t>
      </w:r>
      <w:r w:rsidRPr="005A6597">
        <w:rPr>
          <w:sz w:val="20"/>
          <w:szCs w:val="20"/>
        </w:rPr>
        <w:t xml:space="preserve"> (Ont.) (Civil) (By Leave)</w:t>
      </w:r>
      <w:r>
        <w:rPr>
          <w:sz w:val="20"/>
          <w:szCs w:val="20"/>
        </w:rPr>
        <w:t xml:space="preserve"> (</w:t>
      </w:r>
      <w:r w:rsidRPr="005A6597">
        <w:rPr>
          <w:sz w:val="20"/>
          <w:szCs w:val="20"/>
        </w:rPr>
        <w:t>35949</w:t>
      </w:r>
      <w:r>
        <w:rPr>
          <w:sz w:val="20"/>
          <w:szCs w:val="20"/>
        </w:rPr>
        <w:t xml:space="preserve">) </w:t>
      </w:r>
    </w:p>
    <w:p w:rsidR="00CB3520" w:rsidRPr="00C612D0" w:rsidRDefault="00CB3520" w:rsidP="00CB3520">
      <w:pPr>
        <w:widowControl w:val="0"/>
        <w:jc w:val="both"/>
        <w:rPr>
          <w:sz w:val="20"/>
          <w:szCs w:val="20"/>
        </w:rPr>
      </w:pPr>
    </w:p>
    <w:p w:rsidR="00CB3520" w:rsidRPr="005A6597" w:rsidRDefault="005A6597" w:rsidP="005A6597">
      <w:pPr>
        <w:pStyle w:val="ListParagraph"/>
        <w:widowControl w:val="0"/>
        <w:numPr>
          <w:ilvl w:val="0"/>
          <w:numId w:val="1"/>
        </w:numPr>
        <w:ind w:hanging="720"/>
        <w:jc w:val="both"/>
        <w:rPr>
          <w:sz w:val="20"/>
          <w:szCs w:val="20"/>
        </w:rPr>
      </w:pPr>
      <w:r w:rsidRPr="00CE231C">
        <w:rPr>
          <w:i/>
          <w:sz w:val="20"/>
          <w:szCs w:val="20"/>
        </w:rPr>
        <w:t>Danny Moss v. Keith G. Collins Ltd., as Trustee of the Estate of Daniel Moss, a Bankrupt</w:t>
      </w:r>
      <w:r w:rsidRPr="005A6597">
        <w:rPr>
          <w:sz w:val="20"/>
          <w:szCs w:val="20"/>
        </w:rPr>
        <w:t xml:space="preserve"> (Man.) (Civil) (By Leave) </w:t>
      </w:r>
      <w:r>
        <w:rPr>
          <w:sz w:val="20"/>
          <w:szCs w:val="20"/>
        </w:rPr>
        <w:t>(</w:t>
      </w:r>
      <w:r w:rsidRPr="005A6597">
        <w:rPr>
          <w:sz w:val="20"/>
          <w:szCs w:val="20"/>
        </w:rPr>
        <w:t>35953</w:t>
      </w:r>
      <w:r>
        <w:rPr>
          <w:sz w:val="20"/>
          <w:szCs w:val="20"/>
        </w:rPr>
        <w:t>)</w:t>
      </w:r>
    </w:p>
    <w:p w:rsidR="00CB3520" w:rsidRPr="00C50A5C" w:rsidRDefault="00CB3520" w:rsidP="00CB3520">
      <w:pPr>
        <w:widowControl w:val="0"/>
        <w:rPr>
          <w:sz w:val="20"/>
          <w:szCs w:val="20"/>
        </w:rPr>
      </w:pPr>
    </w:p>
    <w:p w:rsidR="00CB3520" w:rsidRPr="005A6597" w:rsidRDefault="005A6597" w:rsidP="005A6597">
      <w:pPr>
        <w:pStyle w:val="ListParagraph"/>
        <w:widowControl w:val="0"/>
        <w:numPr>
          <w:ilvl w:val="0"/>
          <w:numId w:val="1"/>
        </w:numPr>
        <w:ind w:hanging="720"/>
        <w:jc w:val="both"/>
        <w:rPr>
          <w:sz w:val="20"/>
          <w:szCs w:val="20"/>
        </w:rPr>
      </w:pPr>
      <w:r w:rsidRPr="00550991">
        <w:rPr>
          <w:i/>
          <w:sz w:val="20"/>
          <w:szCs w:val="20"/>
          <w:lang w:val="fr-CA"/>
        </w:rPr>
        <w:t>Paul Abi-Mansour v. Public Service Commission</w:t>
      </w:r>
      <w:r w:rsidRPr="00550991">
        <w:rPr>
          <w:sz w:val="20"/>
          <w:szCs w:val="20"/>
          <w:lang w:val="fr-CA"/>
        </w:rPr>
        <w:t xml:space="preserve"> (F</w:t>
      </w:r>
      <w:r w:rsidR="00CE231C" w:rsidRPr="00550991">
        <w:rPr>
          <w:sz w:val="20"/>
          <w:szCs w:val="20"/>
          <w:lang w:val="fr-CA"/>
        </w:rPr>
        <w:t>.</w:t>
      </w:r>
      <w:r w:rsidRPr="00550991">
        <w:rPr>
          <w:sz w:val="20"/>
          <w:szCs w:val="20"/>
          <w:lang w:val="fr-CA"/>
        </w:rPr>
        <w:t>C</w:t>
      </w:r>
      <w:r w:rsidR="00CE231C" w:rsidRPr="00550991">
        <w:rPr>
          <w:sz w:val="20"/>
          <w:szCs w:val="20"/>
          <w:lang w:val="fr-CA"/>
        </w:rPr>
        <w:t>.</w:t>
      </w:r>
      <w:r w:rsidRPr="00550991">
        <w:rPr>
          <w:sz w:val="20"/>
          <w:szCs w:val="20"/>
          <w:lang w:val="fr-CA"/>
        </w:rPr>
        <w:t xml:space="preserve">) </w:t>
      </w:r>
      <w:r w:rsidRPr="005A6597">
        <w:rPr>
          <w:sz w:val="20"/>
          <w:szCs w:val="20"/>
        </w:rPr>
        <w:t xml:space="preserve">(Civil) (By Leave) </w:t>
      </w:r>
      <w:r>
        <w:rPr>
          <w:sz w:val="20"/>
          <w:szCs w:val="20"/>
        </w:rPr>
        <w:t>(</w:t>
      </w:r>
      <w:r w:rsidRPr="005A6597">
        <w:rPr>
          <w:sz w:val="20"/>
          <w:szCs w:val="20"/>
        </w:rPr>
        <w:t>35936</w:t>
      </w:r>
      <w:r>
        <w:rPr>
          <w:sz w:val="20"/>
          <w:szCs w:val="20"/>
        </w:rPr>
        <w:t>)</w:t>
      </w:r>
    </w:p>
    <w:p w:rsidR="00CB352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sidR="00E240C2">
        <w:rPr>
          <w:b/>
          <w:sz w:val="20"/>
          <w:szCs w:val="20"/>
        </w:rPr>
        <w:t>G</w:t>
      </w:r>
      <w:r>
        <w:rPr>
          <w:b/>
          <w:sz w:val="20"/>
          <w:szCs w:val="20"/>
        </w:rPr>
        <w:t>a</w:t>
      </w:r>
      <w:r w:rsidR="00E240C2">
        <w:rPr>
          <w:b/>
          <w:sz w:val="20"/>
          <w:szCs w:val="20"/>
        </w:rPr>
        <w:t>sco</w:t>
      </w:r>
      <w:r>
        <w:rPr>
          <w:b/>
          <w:sz w:val="20"/>
          <w:szCs w:val="20"/>
        </w:rPr>
        <w:t>n</w:t>
      </w:r>
      <w:r w:rsidRPr="00C50A5C">
        <w:rPr>
          <w:b/>
          <w:sz w:val="20"/>
          <w:szCs w:val="20"/>
        </w:rPr>
        <w:t xml:space="preserve"> JJ.</w:t>
      </w:r>
    </w:p>
    <w:p w:rsidR="00CB3520" w:rsidRPr="00550991" w:rsidRDefault="00CB3520" w:rsidP="00CB3520">
      <w:pPr>
        <w:widowControl w:val="0"/>
        <w:jc w:val="center"/>
        <w:rPr>
          <w:b/>
          <w:sz w:val="20"/>
          <w:szCs w:val="20"/>
          <w:lang w:val="fr-CA"/>
        </w:rPr>
      </w:pPr>
      <w:r w:rsidRPr="00550991">
        <w:rPr>
          <w:b/>
          <w:sz w:val="20"/>
          <w:szCs w:val="20"/>
          <w:lang w:val="fr-CA"/>
        </w:rPr>
        <w:t xml:space="preserve">Les juges LeBel, Karakatsanis et </w:t>
      </w:r>
      <w:r w:rsidR="00E240C2" w:rsidRPr="00550991">
        <w:rPr>
          <w:b/>
          <w:sz w:val="20"/>
          <w:szCs w:val="20"/>
          <w:lang w:val="fr-CA"/>
        </w:rPr>
        <w:t>G</w:t>
      </w:r>
      <w:r w:rsidRPr="00550991">
        <w:rPr>
          <w:b/>
          <w:sz w:val="20"/>
          <w:szCs w:val="20"/>
          <w:lang w:val="fr-CA"/>
        </w:rPr>
        <w:t>a</w:t>
      </w:r>
      <w:r w:rsidR="00E240C2" w:rsidRPr="00550991">
        <w:rPr>
          <w:b/>
          <w:sz w:val="20"/>
          <w:szCs w:val="20"/>
          <w:lang w:val="fr-CA"/>
        </w:rPr>
        <w:t>sco</w:t>
      </w:r>
      <w:r w:rsidRPr="00550991">
        <w:rPr>
          <w:b/>
          <w:sz w:val="20"/>
          <w:szCs w:val="20"/>
          <w:lang w:val="fr-CA"/>
        </w:rPr>
        <w:t>n</w:t>
      </w:r>
    </w:p>
    <w:p w:rsidR="00CB3520" w:rsidRPr="00550991" w:rsidRDefault="00CB3520" w:rsidP="00CB3520">
      <w:pPr>
        <w:widowControl w:val="0"/>
        <w:jc w:val="both"/>
        <w:rPr>
          <w:sz w:val="20"/>
          <w:szCs w:val="20"/>
          <w:lang w:val="fr-CA"/>
        </w:rPr>
      </w:pPr>
    </w:p>
    <w:p w:rsidR="00CB3520" w:rsidRPr="005A6597" w:rsidRDefault="005A6597" w:rsidP="005A6597">
      <w:pPr>
        <w:pStyle w:val="ListParagraph"/>
        <w:widowControl w:val="0"/>
        <w:numPr>
          <w:ilvl w:val="0"/>
          <w:numId w:val="1"/>
        </w:numPr>
        <w:ind w:hanging="720"/>
        <w:jc w:val="both"/>
        <w:rPr>
          <w:sz w:val="20"/>
          <w:szCs w:val="20"/>
          <w:lang w:val="fr-CA"/>
        </w:rPr>
      </w:pPr>
      <w:r w:rsidRPr="00CE231C">
        <w:rPr>
          <w:i/>
          <w:sz w:val="20"/>
          <w:szCs w:val="20"/>
          <w:lang w:val="en-US"/>
        </w:rPr>
        <w:t>Percy Cain v. Her Majesty the Queen</w:t>
      </w:r>
      <w:r w:rsidRPr="005A6597">
        <w:rPr>
          <w:sz w:val="20"/>
          <w:szCs w:val="20"/>
          <w:lang w:val="en-US"/>
        </w:rPr>
        <w:t xml:space="preserve"> (N.S.) (Crim</w:t>
      </w:r>
      <w:r>
        <w:rPr>
          <w:sz w:val="20"/>
          <w:szCs w:val="20"/>
          <w:lang w:val="en-US"/>
        </w:rPr>
        <w:t>.</w:t>
      </w:r>
      <w:r w:rsidRPr="005A6597">
        <w:rPr>
          <w:sz w:val="20"/>
          <w:szCs w:val="20"/>
          <w:lang w:val="en-US"/>
        </w:rPr>
        <w:t>) (By Leave)</w:t>
      </w:r>
      <w:r>
        <w:rPr>
          <w:sz w:val="20"/>
          <w:szCs w:val="20"/>
          <w:lang w:val="en-US"/>
        </w:rPr>
        <w:t xml:space="preserve"> (</w:t>
      </w:r>
      <w:r w:rsidRPr="005A6597">
        <w:rPr>
          <w:sz w:val="20"/>
          <w:szCs w:val="20"/>
          <w:lang w:val="fr-CA"/>
        </w:rPr>
        <w:t>35903</w:t>
      </w:r>
      <w:r>
        <w:rPr>
          <w:sz w:val="20"/>
          <w:szCs w:val="20"/>
          <w:lang w:val="fr-CA"/>
        </w:rPr>
        <w:t>)</w:t>
      </w:r>
    </w:p>
    <w:p w:rsidR="00CB3520" w:rsidRPr="00115C9E" w:rsidRDefault="00CB3520" w:rsidP="00CB3520">
      <w:pPr>
        <w:widowControl w:val="0"/>
        <w:jc w:val="both"/>
        <w:rPr>
          <w:sz w:val="20"/>
          <w:szCs w:val="20"/>
          <w:lang w:val="fr-CA"/>
        </w:rPr>
      </w:pPr>
    </w:p>
    <w:p w:rsidR="00CB3520" w:rsidRPr="005A6597" w:rsidRDefault="005A6597" w:rsidP="005A6597">
      <w:pPr>
        <w:pStyle w:val="ListParagraph"/>
        <w:widowControl w:val="0"/>
        <w:numPr>
          <w:ilvl w:val="0"/>
          <w:numId w:val="1"/>
        </w:numPr>
        <w:ind w:hanging="720"/>
        <w:jc w:val="both"/>
        <w:rPr>
          <w:sz w:val="20"/>
          <w:szCs w:val="20"/>
          <w:lang w:val="fr-CA"/>
        </w:rPr>
      </w:pPr>
      <w:r w:rsidRPr="00CE231C">
        <w:rPr>
          <w:i/>
          <w:sz w:val="20"/>
          <w:szCs w:val="20"/>
          <w:lang w:val="en-US"/>
        </w:rPr>
        <w:t>Helen Kim v. Her Majesty the Queen</w:t>
      </w:r>
      <w:r w:rsidRPr="005A6597">
        <w:rPr>
          <w:sz w:val="20"/>
          <w:szCs w:val="20"/>
          <w:lang w:val="en-US"/>
        </w:rPr>
        <w:t xml:space="preserve"> (Ont.) </w:t>
      </w:r>
      <w:r w:rsidRPr="005A6597">
        <w:rPr>
          <w:sz w:val="20"/>
          <w:szCs w:val="20"/>
          <w:lang w:val="fr-CA"/>
        </w:rPr>
        <w:t>(Crim</w:t>
      </w:r>
      <w:r>
        <w:rPr>
          <w:sz w:val="20"/>
          <w:szCs w:val="20"/>
          <w:lang w:val="fr-CA"/>
        </w:rPr>
        <w:t>.</w:t>
      </w:r>
      <w:r w:rsidRPr="005A6597">
        <w:rPr>
          <w:sz w:val="20"/>
          <w:szCs w:val="20"/>
          <w:lang w:val="fr-CA"/>
        </w:rPr>
        <w:t>) (By Leave)</w:t>
      </w:r>
      <w:r>
        <w:rPr>
          <w:sz w:val="20"/>
          <w:szCs w:val="20"/>
          <w:lang w:val="fr-CA"/>
        </w:rPr>
        <w:t xml:space="preserve"> (</w:t>
      </w:r>
      <w:r w:rsidRPr="005A6597">
        <w:rPr>
          <w:sz w:val="20"/>
          <w:szCs w:val="20"/>
          <w:lang w:val="fr-CA"/>
        </w:rPr>
        <w:t>35899</w:t>
      </w:r>
      <w:r>
        <w:rPr>
          <w:sz w:val="20"/>
          <w:szCs w:val="20"/>
          <w:lang w:val="fr-CA"/>
        </w:rPr>
        <w:t>)</w:t>
      </w:r>
    </w:p>
    <w:p w:rsidR="00CB3520" w:rsidRPr="005A6597" w:rsidRDefault="00CB3520" w:rsidP="00CB3520">
      <w:pPr>
        <w:widowControl w:val="0"/>
        <w:jc w:val="both"/>
        <w:rPr>
          <w:sz w:val="20"/>
          <w:szCs w:val="20"/>
          <w:lang w:val="fr-CA"/>
        </w:rPr>
      </w:pPr>
    </w:p>
    <w:p w:rsidR="00CB3520" w:rsidRPr="005A6597" w:rsidRDefault="005A6597" w:rsidP="005A6597">
      <w:pPr>
        <w:pStyle w:val="ListParagraph"/>
        <w:widowControl w:val="0"/>
        <w:numPr>
          <w:ilvl w:val="0"/>
          <w:numId w:val="1"/>
        </w:numPr>
        <w:ind w:hanging="720"/>
        <w:jc w:val="both"/>
        <w:rPr>
          <w:sz w:val="20"/>
          <w:szCs w:val="20"/>
          <w:lang w:val="en-US"/>
        </w:rPr>
      </w:pPr>
      <w:r w:rsidRPr="00CE231C">
        <w:rPr>
          <w:i/>
          <w:sz w:val="20"/>
          <w:szCs w:val="20"/>
          <w:lang w:val="en-US"/>
        </w:rPr>
        <w:t>Kris Rana v. Her Majesty the Queen in Right of the Province of</w:t>
      </w:r>
      <w:r w:rsidRPr="005A6597">
        <w:rPr>
          <w:sz w:val="20"/>
          <w:szCs w:val="20"/>
          <w:lang w:val="en-US"/>
        </w:rPr>
        <w:t xml:space="preserve"> Ontario (Ont.) (Crim</w:t>
      </w:r>
      <w:r>
        <w:rPr>
          <w:sz w:val="20"/>
          <w:szCs w:val="20"/>
          <w:lang w:val="en-US"/>
        </w:rPr>
        <w:t>.</w:t>
      </w:r>
      <w:r w:rsidRPr="005A6597">
        <w:rPr>
          <w:sz w:val="20"/>
          <w:szCs w:val="20"/>
          <w:lang w:val="en-US"/>
        </w:rPr>
        <w:t>) (By Leave)</w:t>
      </w:r>
      <w:r>
        <w:rPr>
          <w:sz w:val="20"/>
          <w:szCs w:val="20"/>
          <w:lang w:val="en-US"/>
        </w:rPr>
        <w:t xml:space="preserve"> (</w:t>
      </w:r>
      <w:r w:rsidRPr="005A6597">
        <w:rPr>
          <w:sz w:val="20"/>
          <w:szCs w:val="20"/>
          <w:lang w:val="en-US"/>
        </w:rPr>
        <w:t>35973)</w:t>
      </w:r>
    </w:p>
    <w:p w:rsidR="00CB3520" w:rsidRPr="005A6597" w:rsidRDefault="00CB3520" w:rsidP="00CB3520">
      <w:pPr>
        <w:widowControl w:val="0"/>
        <w:rPr>
          <w:sz w:val="20"/>
          <w:szCs w:val="20"/>
          <w:lang w:val="en-US"/>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A8251C" w:rsidRDefault="00CB3520" w:rsidP="00CB3520">
      <w:pPr>
        <w:widowControl w:val="0"/>
        <w:jc w:val="both"/>
        <w:rPr>
          <w:sz w:val="20"/>
          <w:szCs w:val="20"/>
          <w:lang w:val="fr-CA"/>
        </w:rPr>
      </w:pPr>
    </w:p>
    <w:p w:rsidR="00CB3520" w:rsidRPr="00CE231C" w:rsidRDefault="00CE231C" w:rsidP="00CE231C">
      <w:pPr>
        <w:pStyle w:val="ListParagraph"/>
        <w:widowControl w:val="0"/>
        <w:numPr>
          <w:ilvl w:val="0"/>
          <w:numId w:val="1"/>
        </w:numPr>
        <w:ind w:hanging="720"/>
        <w:jc w:val="both"/>
        <w:rPr>
          <w:sz w:val="20"/>
          <w:szCs w:val="20"/>
        </w:rPr>
      </w:pPr>
      <w:r w:rsidRPr="00CE231C">
        <w:rPr>
          <w:i/>
          <w:sz w:val="20"/>
          <w:szCs w:val="20"/>
        </w:rPr>
        <w:t>M.M. v. Minister of Justice Canada on behalf of the United States of America</w:t>
      </w:r>
      <w:r w:rsidRPr="00CE231C">
        <w:rPr>
          <w:sz w:val="20"/>
          <w:szCs w:val="20"/>
        </w:rPr>
        <w:t xml:space="preserve"> (Que.) (Crim</w:t>
      </w:r>
      <w:r>
        <w:rPr>
          <w:sz w:val="20"/>
          <w:szCs w:val="20"/>
        </w:rPr>
        <w:t>.</w:t>
      </w:r>
      <w:r w:rsidRPr="00CE231C">
        <w:rPr>
          <w:sz w:val="20"/>
          <w:szCs w:val="20"/>
        </w:rPr>
        <w:t>) (By Leave)</w:t>
      </w:r>
      <w:r>
        <w:rPr>
          <w:sz w:val="20"/>
          <w:szCs w:val="20"/>
        </w:rPr>
        <w:t xml:space="preserve"> (</w:t>
      </w:r>
      <w:r w:rsidRPr="00CE231C">
        <w:rPr>
          <w:sz w:val="20"/>
          <w:szCs w:val="20"/>
        </w:rPr>
        <w:t>35838</w:t>
      </w:r>
      <w:r>
        <w:rPr>
          <w:sz w:val="20"/>
          <w:szCs w:val="20"/>
        </w:rPr>
        <w:t>)</w:t>
      </w:r>
    </w:p>
    <w:p w:rsidR="00CB3520" w:rsidRPr="00115C9E" w:rsidRDefault="00CB3520" w:rsidP="00CB3520">
      <w:pPr>
        <w:widowControl w:val="0"/>
        <w:jc w:val="both"/>
        <w:rPr>
          <w:sz w:val="20"/>
          <w:szCs w:val="20"/>
        </w:rPr>
      </w:pPr>
    </w:p>
    <w:p w:rsidR="00CB3520" w:rsidRPr="00CE231C" w:rsidRDefault="00CE231C" w:rsidP="00CE231C">
      <w:pPr>
        <w:pStyle w:val="ListParagraph"/>
        <w:widowControl w:val="0"/>
        <w:numPr>
          <w:ilvl w:val="0"/>
          <w:numId w:val="1"/>
        </w:numPr>
        <w:ind w:hanging="720"/>
        <w:jc w:val="both"/>
        <w:rPr>
          <w:sz w:val="20"/>
          <w:szCs w:val="20"/>
        </w:rPr>
      </w:pPr>
      <w:r w:rsidRPr="00CE231C">
        <w:rPr>
          <w:i/>
          <w:sz w:val="20"/>
          <w:szCs w:val="20"/>
        </w:rPr>
        <w:t>Joseph Ryan Lloyd v. Her Majesty the Queen</w:t>
      </w:r>
      <w:r w:rsidRPr="00CE231C">
        <w:rPr>
          <w:sz w:val="20"/>
          <w:szCs w:val="20"/>
        </w:rPr>
        <w:t xml:space="preserve"> (B.C.) (Crim</w:t>
      </w:r>
      <w:r>
        <w:rPr>
          <w:sz w:val="20"/>
          <w:szCs w:val="20"/>
        </w:rPr>
        <w:t>.</w:t>
      </w:r>
      <w:r w:rsidRPr="00CE231C">
        <w:rPr>
          <w:sz w:val="20"/>
          <w:szCs w:val="20"/>
        </w:rPr>
        <w:t xml:space="preserve">) (By Leave) </w:t>
      </w:r>
      <w:r>
        <w:rPr>
          <w:sz w:val="20"/>
          <w:szCs w:val="20"/>
        </w:rPr>
        <w:t>(</w:t>
      </w:r>
      <w:r w:rsidRPr="00CE231C">
        <w:rPr>
          <w:sz w:val="20"/>
          <w:szCs w:val="20"/>
        </w:rPr>
        <w:t>35982</w:t>
      </w:r>
      <w:r>
        <w:rPr>
          <w:sz w:val="20"/>
          <w:szCs w:val="20"/>
        </w:rPr>
        <w:t>)</w:t>
      </w:r>
    </w:p>
    <w:p w:rsidR="00CB3520" w:rsidRPr="00CE231C" w:rsidRDefault="00CB3520" w:rsidP="00CB3520">
      <w:pPr>
        <w:widowControl w:val="0"/>
        <w:rPr>
          <w:i/>
          <w:sz w:val="20"/>
          <w:szCs w:val="20"/>
        </w:rPr>
      </w:pPr>
    </w:p>
    <w:p w:rsidR="00CB3520" w:rsidRPr="00CE231C" w:rsidRDefault="00CE231C" w:rsidP="00CE231C">
      <w:pPr>
        <w:pStyle w:val="ListParagraph"/>
        <w:widowControl w:val="0"/>
        <w:numPr>
          <w:ilvl w:val="0"/>
          <w:numId w:val="1"/>
        </w:numPr>
        <w:ind w:hanging="720"/>
        <w:jc w:val="both"/>
        <w:rPr>
          <w:sz w:val="20"/>
          <w:szCs w:val="20"/>
        </w:rPr>
      </w:pPr>
      <w:r w:rsidRPr="00CE231C">
        <w:rPr>
          <w:i/>
          <w:sz w:val="20"/>
          <w:szCs w:val="20"/>
        </w:rPr>
        <w:t>Joseph Stephen Rooke v. University of Waterloo</w:t>
      </w:r>
      <w:r w:rsidRPr="00CE231C">
        <w:rPr>
          <w:sz w:val="20"/>
          <w:szCs w:val="20"/>
        </w:rPr>
        <w:t xml:space="preserve"> (Ont.) (Civil) (By Leave) </w:t>
      </w:r>
      <w:r>
        <w:rPr>
          <w:sz w:val="20"/>
          <w:szCs w:val="20"/>
        </w:rPr>
        <w:t>(</w:t>
      </w:r>
      <w:r w:rsidRPr="00CE231C">
        <w:rPr>
          <w:sz w:val="20"/>
          <w:szCs w:val="20"/>
        </w:rPr>
        <w:t>35922</w:t>
      </w:r>
      <w:r>
        <w:rPr>
          <w:sz w:val="20"/>
          <w:szCs w:val="20"/>
        </w:rPr>
        <w:t>)</w:t>
      </w:r>
    </w:p>
    <w:p w:rsidR="00CB3520" w:rsidRPr="009C5D38" w:rsidRDefault="00CB3520" w:rsidP="00CB3520">
      <w:pPr>
        <w:widowControl w:val="0"/>
        <w:jc w:val="both"/>
        <w:rPr>
          <w:sz w:val="20"/>
          <w:szCs w:val="20"/>
        </w:rPr>
      </w:pPr>
    </w:p>
    <w:p w:rsidR="00CB3520" w:rsidRPr="00CE231C" w:rsidRDefault="00CE231C" w:rsidP="00CE231C">
      <w:pPr>
        <w:pStyle w:val="ListParagraph"/>
        <w:widowControl w:val="0"/>
        <w:numPr>
          <w:ilvl w:val="0"/>
          <w:numId w:val="1"/>
        </w:numPr>
        <w:ind w:hanging="720"/>
        <w:jc w:val="both"/>
        <w:rPr>
          <w:sz w:val="20"/>
          <w:szCs w:val="20"/>
          <w:lang w:val="en-US"/>
        </w:rPr>
      </w:pPr>
      <w:r w:rsidRPr="00CE231C">
        <w:rPr>
          <w:i/>
          <w:sz w:val="20"/>
          <w:szCs w:val="20"/>
          <w:lang w:val="en-US"/>
        </w:rPr>
        <w:t>S.H. et al. v. Minister of Social Development</w:t>
      </w:r>
      <w:r w:rsidRPr="00CE231C">
        <w:rPr>
          <w:sz w:val="20"/>
          <w:szCs w:val="20"/>
          <w:lang w:val="en-US"/>
        </w:rPr>
        <w:t xml:space="preserve"> (N.B.) (Civil) (By Leave)</w:t>
      </w:r>
      <w:r>
        <w:rPr>
          <w:sz w:val="20"/>
          <w:szCs w:val="20"/>
          <w:lang w:val="en-US"/>
        </w:rPr>
        <w:t xml:space="preserve"> (</w:t>
      </w:r>
      <w:r w:rsidRPr="00CE231C">
        <w:rPr>
          <w:sz w:val="20"/>
          <w:szCs w:val="20"/>
          <w:lang w:val="en-US"/>
        </w:rPr>
        <w:t>35928</w:t>
      </w:r>
      <w:r>
        <w:rPr>
          <w:sz w:val="20"/>
          <w:szCs w:val="20"/>
          <w:lang w:val="en-US"/>
        </w:rPr>
        <w:t>)</w:t>
      </w:r>
    </w:p>
    <w:p w:rsidR="002E2327" w:rsidRDefault="002E2327" w:rsidP="002E2327">
      <w:pPr>
        <w:widowControl w:val="0"/>
        <w:rPr>
          <w:sz w:val="20"/>
          <w:szCs w:val="20"/>
          <w:lang w:val="en-US"/>
        </w:rPr>
      </w:pPr>
    </w:p>
    <w:p w:rsidR="002E2327" w:rsidRDefault="007054A6"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04.09.2014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eastAsia="en-CA"/>
        </w:rPr>
      </w:pPr>
      <w:r w:rsidRPr="00C566A3">
        <w:rPr>
          <w:rFonts w:eastAsia="Times New Roman" w:cs="Times New Roman"/>
          <w:sz w:val="20"/>
          <w:szCs w:val="20"/>
          <w:lang w:val="fr-CA" w:eastAsia="en-CA"/>
        </w:rPr>
        <w:t xml:space="preserve">Before / Devant:   </w:t>
      </w:r>
      <w:r w:rsidRPr="00C566A3">
        <w:rPr>
          <w:rFonts w:eastAsia="Times New Roman" w:cs="Times New Roman"/>
          <w:sz w:val="20"/>
          <w:szCs w:val="20"/>
          <w:lang w:eastAsia="en-CA"/>
        </w:rPr>
        <w:t>THE REGISTRAR / LE REGISTRAIRE</w:t>
      </w:r>
    </w:p>
    <w:p w:rsidR="00C566A3" w:rsidRPr="00C566A3" w:rsidRDefault="00C566A3" w:rsidP="00C566A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566A3" w:rsidRPr="007054A6" w:rsidTr="000B112E">
        <w:trPr>
          <w:trHeight w:val="151"/>
        </w:trPr>
        <w:tc>
          <w:tcPr>
            <w:tcW w:w="4338" w:type="dxa"/>
          </w:tcPr>
          <w:p w:rsidR="00C566A3" w:rsidRPr="00C566A3" w:rsidRDefault="00C566A3" w:rsidP="00C566A3">
            <w:pPr>
              <w:tabs>
                <w:tab w:val="left" w:pos="-1440"/>
                <w:tab w:val="left" w:pos="-720"/>
              </w:tabs>
              <w:jc w:val="both"/>
              <w:rPr>
                <w:lang w:val="en-US"/>
              </w:rPr>
            </w:pPr>
            <w:r w:rsidRPr="00C566A3">
              <w:rPr>
                <w:b/>
                <w:bCs/>
                <w:color w:val="000000"/>
                <w:lang w:val="en-US"/>
              </w:rPr>
              <w:t>Motion to extend the time to serve and file the respondents’ records, factums, and books of authorities to September 30, 2014</w:t>
            </w:r>
            <w:r w:rsidR="0084732B" w:rsidRPr="00C566A3">
              <w:rPr>
                <w:lang w:val="en-US"/>
              </w:rPr>
              <w:fldChar w:fldCharType="begin"/>
            </w:r>
            <w:r w:rsidRPr="00C566A3">
              <w:rPr>
                <w:lang w:val="en-US"/>
              </w:rPr>
              <w:instrText xml:space="preserve"> SEQ CHAPTER \h \r 1</w:instrText>
            </w:r>
            <w:r w:rsidR="0084732B" w:rsidRPr="00C566A3">
              <w:rPr>
                <w:lang w:val="en-US"/>
              </w:rPr>
              <w:fldChar w:fldCharType="end"/>
            </w:r>
          </w:p>
        </w:tc>
        <w:tc>
          <w:tcPr>
            <w:tcW w:w="1170" w:type="dxa"/>
          </w:tcPr>
          <w:p w:rsidR="00C566A3" w:rsidRPr="00C566A3" w:rsidRDefault="00C566A3" w:rsidP="00C566A3">
            <w:pPr>
              <w:jc w:val="both"/>
              <w:rPr>
                <w:lang w:val="en-US"/>
              </w:rPr>
            </w:pPr>
          </w:p>
          <w:p w:rsidR="00C566A3" w:rsidRPr="00C566A3" w:rsidRDefault="00C566A3" w:rsidP="00C566A3">
            <w:pPr>
              <w:jc w:val="both"/>
              <w:rPr>
                <w:lang w:val="en-US"/>
              </w:rPr>
            </w:pPr>
          </w:p>
        </w:tc>
        <w:tc>
          <w:tcPr>
            <w:tcW w:w="4327" w:type="dxa"/>
          </w:tcPr>
          <w:p w:rsidR="00C566A3" w:rsidRPr="00C566A3" w:rsidRDefault="00C566A3" w:rsidP="00C566A3">
            <w:pPr>
              <w:jc w:val="both"/>
              <w:rPr>
                <w:b/>
                <w:bCs/>
                <w:color w:val="000000"/>
                <w:lang w:val="fr-CA"/>
              </w:rPr>
            </w:pPr>
            <w:r w:rsidRPr="00C566A3">
              <w:rPr>
                <w:b/>
                <w:bCs/>
                <w:color w:val="000000"/>
                <w:lang w:val="fr-CA"/>
              </w:rPr>
              <w:t>Requête de l’intimé en prorogation du délai de signification et de dépôt de ses dossier,  mémoire et recueil de sources jusqu’au 30 septembre 2014</w:t>
            </w:r>
          </w:p>
          <w:p w:rsidR="00C566A3" w:rsidRPr="00C566A3" w:rsidRDefault="0084732B" w:rsidP="00C566A3">
            <w:pPr>
              <w:jc w:val="both"/>
              <w:rPr>
                <w:b/>
                <w:lang w:val="fr-CA"/>
              </w:rPr>
            </w:pPr>
            <w:r w:rsidRPr="00C566A3">
              <w:rPr>
                <w:b/>
                <w:lang w:val="en-US"/>
              </w:rPr>
              <w:fldChar w:fldCharType="begin"/>
            </w:r>
            <w:r w:rsidR="00C566A3" w:rsidRPr="00C566A3">
              <w:rPr>
                <w:b/>
                <w:lang w:val="fr-CA"/>
              </w:rPr>
              <w:instrText xml:space="preserve"> SEQ CHAPTER \h \r 1</w:instrText>
            </w:r>
            <w:r w:rsidRPr="00C566A3">
              <w:rPr>
                <w:b/>
                <w:lang w:val="en-US"/>
              </w:rPr>
              <w:fldChar w:fldCharType="end"/>
            </w:r>
            <w:r w:rsidRPr="00C566A3">
              <w:rPr>
                <w:b/>
                <w:lang w:val="en-US"/>
              </w:rPr>
              <w:fldChar w:fldCharType="begin"/>
            </w:r>
            <w:r w:rsidR="00C566A3" w:rsidRPr="00C566A3">
              <w:rPr>
                <w:b/>
                <w:lang w:val="fr-CA"/>
              </w:rPr>
              <w:instrText xml:space="preserve"> SEQ CHAPTER \h \r 1</w:instrText>
            </w:r>
            <w:r w:rsidRPr="00C566A3">
              <w:rPr>
                <w:b/>
                <w:lang w:val="en-US"/>
              </w:rPr>
              <w:fldChar w:fldCharType="end"/>
            </w:r>
          </w:p>
        </w:tc>
      </w:tr>
      <w:tr w:rsidR="00C566A3" w:rsidRPr="00C566A3" w:rsidTr="000B112E">
        <w:trPr>
          <w:trHeight w:val="150"/>
        </w:trPr>
        <w:tc>
          <w:tcPr>
            <w:tcW w:w="4338" w:type="dxa"/>
          </w:tcPr>
          <w:p w:rsidR="00C566A3" w:rsidRPr="00C566A3" w:rsidRDefault="00C566A3" w:rsidP="00C566A3">
            <w:pPr>
              <w:tabs>
                <w:tab w:val="left" w:pos="-1440"/>
                <w:tab w:val="left" w:pos="-720"/>
              </w:tabs>
              <w:jc w:val="both"/>
              <w:rPr>
                <w:lang w:val="en-US"/>
              </w:rPr>
            </w:pPr>
            <w:r w:rsidRPr="00C566A3">
              <w:rPr>
                <w:lang w:val="en-US"/>
              </w:rPr>
              <w:t>Ontario Energy Board</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rPr>
                <w:lang w:val="en-US"/>
              </w:rPr>
            </w:pPr>
            <w:r w:rsidRPr="00C566A3">
              <w:rPr>
                <w:lang w:val="en-US"/>
              </w:rPr>
              <w:tab/>
              <w:t>v. (35506)</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rPr>
                <w:lang w:val="en-US"/>
              </w:rPr>
            </w:pPr>
            <w:r w:rsidRPr="00C566A3">
              <w:rPr>
                <w:lang w:val="en-US"/>
              </w:rPr>
              <w:t>Ontario Power Generation Inc. et al. (Ont.)</w:t>
            </w:r>
          </w:p>
        </w:tc>
        <w:tc>
          <w:tcPr>
            <w:tcW w:w="1170" w:type="dxa"/>
          </w:tcPr>
          <w:p w:rsidR="00C566A3" w:rsidRPr="00C566A3" w:rsidRDefault="00C566A3" w:rsidP="00C566A3">
            <w:pPr>
              <w:jc w:val="both"/>
              <w:rPr>
                <w:lang w:val="en-US"/>
              </w:rPr>
            </w:pPr>
          </w:p>
        </w:tc>
        <w:tc>
          <w:tcPr>
            <w:tcW w:w="4327" w:type="dxa"/>
          </w:tcPr>
          <w:p w:rsidR="00C566A3" w:rsidRPr="00C566A3" w:rsidRDefault="00C566A3" w:rsidP="00C566A3">
            <w:pPr>
              <w:jc w:val="both"/>
              <w:rPr>
                <w:lang w:val="en-US"/>
              </w:rPr>
            </w:pPr>
          </w:p>
        </w:tc>
      </w:tr>
    </w:tbl>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r w:rsidRPr="00C566A3">
        <w:rPr>
          <w:rFonts w:eastAsia="Times New Roman" w:cs="Times New Roman"/>
          <w:b/>
          <w:sz w:val="20"/>
          <w:szCs w:val="20"/>
          <w:lang w:val="en-US" w:eastAsia="en-CA"/>
        </w:rPr>
        <w:t>GRANTED / ACCORDÉE</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en-US"/>
        </w:rPr>
      </w:pPr>
      <w:r w:rsidRPr="00C566A3">
        <w:rPr>
          <w:rFonts w:eastAsiaTheme="minorEastAsia" w:cs="Times New Roman"/>
          <w:b/>
          <w:bCs/>
          <w:sz w:val="20"/>
          <w:szCs w:val="20"/>
          <w:lang w:val="en-US"/>
        </w:rPr>
        <w:t xml:space="preserve">UPON APPLICATION </w:t>
      </w:r>
      <w:r w:rsidRPr="00C566A3">
        <w:rPr>
          <w:rFonts w:eastAsiaTheme="minorEastAsia" w:cs="Times New Roman"/>
          <w:bCs/>
          <w:sz w:val="20"/>
          <w:szCs w:val="20"/>
          <w:lang w:val="en-US"/>
        </w:rPr>
        <w:t>by the respondent, Ontario Power Generation, on behalf of itself and the other respondents for an Order</w:t>
      </w:r>
      <w:r w:rsidRPr="00C566A3">
        <w:rPr>
          <w:rFonts w:eastAsiaTheme="minorEastAsia" w:cs="Times New Roman"/>
          <w:b/>
          <w:bCs/>
          <w:sz w:val="20"/>
          <w:szCs w:val="20"/>
          <w:lang w:val="en-US"/>
        </w:rPr>
        <w:t xml:space="preserve"> </w:t>
      </w:r>
      <w:r w:rsidRPr="00C566A3">
        <w:rPr>
          <w:rFonts w:eastAsiaTheme="minorEastAsia" w:cs="Times New Roman"/>
          <w:bCs/>
          <w:sz w:val="20"/>
          <w:szCs w:val="20"/>
          <w:lang w:val="en-US"/>
        </w:rPr>
        <w:t>extending the time to serve and file the respondents’ records, factums and books of authorities to September 30, 2014;</w:t>
      </w: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en-US"/>
        </w:rPr>
      </w:pPr>
      <w:r w:rsidRPr="00C566A3">
        <w:rPr>
          <w:rFonts w:eastAsiaTheme="minorEastAsia" w:cs="Times New Roman"/>
          <w:b/>
          <w:bCs/>
          <w:sz w:val="20"/>
          <w:szCs w:val="20"/>
          <w:lang w:val="en-US"/>
        </w:rPr>
        <w:t xml:space="preserve">AND THE MATERIAL FILED </w:t>
      </w:r>
      <w:r w:rsidRPr="00C566A3">
        <w:rPr>
          <w:rFonts w:eastAsiaTheme="minorEastAsia" w:cs="Times New Roman"/>
          <w:bCs/>
          <w:sz w:val="20"/>
          <w:szCs w:val="20"/>
          <w:lang w:val="en-US"/>
        </w:rPr>
        <w:t>having been read;</w:t>
      </w:r>
    </w:p>
    <w:p w:rsidR="00C566A3" w:rsidRPr="00C566A3" w:rsidRDefault="00C566A3" w:rsidP="00C566A3">
      <w:pPr>
        <w:widowControl w:val="0"/>
        <w:autoSpaceDE w:val="0"/>
        <w:autoSpaceDN w:val="0"/>
        <w:adjustRightInd w:val="0"/>
        <w:spacing w:line="233" w:lineRule="auto"/>
        <w:jc w:val="both"/>
        <w:rPr>
          <w:rFonts w:eastAsiaTheme="minorEastAsia" w:cs="Times New Roman"/>
          <w:b/>
          <w:bCs/>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en-US"/>
        </w:rPr>
      </w:pPr>
      <w:r w:rsidRPr="00C566A3">
        <w:rPr>
          <w:rFonts w:eastAsiaTheme="minorEastAsia" w:cs="Times New Roman"/>
          <w:b/>
          <w:bCs/>
          <w:sz w:val="20"/>
          <w:szCs w:val="20"/>
          <w:lang w:val="en-US"/>
        </w:rPr>
        <w:t>AND UPON</w:t>
      </w:r>
      <w:r w:rsidRPr="00C566A3">
        <w:rPr>
          <w:rFonts w:eastAsiaTheme="minorEastAsia" w:cs="Times New Roman"/>
          <w:bCs/>
          <w:sz w:val="20"/>
          <w:szCs w:val="20"/>
          <w:lang w:val="en-US"/>
        </w:rPr>
        <w:t xml:space="preserve"> the request of the intervener, Ontario Education Services Corporation, for an extension of time to serve and file their factum and book of authorities to September 30, 2014;</w:t>
      </w:r>
    </w:p>
    <w:p w:rsidR="00C566A3" w:rsidRPr="00C566A3" w:rsidRDefault="00C566A3" w:rsidP="00C566A3">
      <w:pPr>
        <w:widowControl w:val="0"/>
        <w:autoSpaceDE w:val="0"/>
        <w:autoSpaceDN w:val="0"/>
        <w:adjustRightInd w:val="0"/>
        <w:spacing w:line="233" w:lineRule="auto"/>
        <w:jc w:val="both"/>
        <w:rPr>
          <w:rFonts w:eastAsiaTheme="minorEastAsia" w:cs="Times New Roman"/>
          <w:b/>
          <w:bCs/>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AND UPON</w:t>
      </w:r>
      <w:r w:rsidRPr="00C566A3">
        <w:rPr>
          <w:rFonts w:eastAsiaTheme="minorEastAsia" w:cs="Times New Roman"/>
          <w:bCs/>
          <w:sz w:val="20"/>
          <w:szCs w:val="20"/>
          <w:lang w:val="en-US"/>
        </w:rPr>
        <w:t xml:space="preserve"> the consent of the appellant;</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 xml:space="preserve">IT IS HEREBY ORDERED THAT: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rPr>
          <w:rFonts w:eastAsiaTheme="minorEastAsia" w:cs="Times New Roman"/>
          <w:sz w:val="20"/>
          <w:szCs w:val="20"/>
          <w:lang w:val="fr-CA"/>
        </w:rPr>
      </w:pPr>
      <w:r w:rsidRPr="00C566A3">
        <w:rPr>
          <w:rFonts w:eastAsiaTheme="minorEastAsia" w:cs="Times New Roman"/>
          <w:sz w:val="20"/>
          <w:szCs w:val="20"/>
          <w:lang w:val="en-US"/>
        </w:rPr>
        <w:tab/>
      </w:r>
      <w:r w:rsidRPr="00C566A3">
        <w:rPr>
          <w:rFonts w:eastAsiaTheme="minorEastAsia" w:cs="Times New Roman"/>
          <w:sz w:val="20"/>
          <w:szCs w:val="20"/>
          <w:lang w:val="fr-CA"/>
        </w:rPr>
        <w:t>The motion is granted.</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fr-CA"/>
        </w:rPr>
      </w:pPr>
      <w:r w:rsidRPr="00C566A3">
        <w:rPr>
          <w:rFonts w:eastAsiaTheme="minorEastAsia" w:cs="Times New Roman"/>
          <w:b/>
          <w:bCs/>
          <w:sz w:val="20"/>
          <w:szCs w:val="20"/>
          <w:lang w:val="fr-CA"/>
        </w:rPr>
        <w:t xml:space="preserve">À LA SUITE DE LA REQUÊTE </w:t>
      </w:r>
      <w:r w:rsidRPr="00C566A3">
        <w:rPr>
          <w:rFonts w:eastAsiaTheme="minorEastAsia" w:cs="Times New Roman"/>
          <w:bCs/>
          <w:sz w:val="20"/>
          <w:szCs w:val="20"/>
          <w:lang w:val="fr-CA"/>
        </w:rPr>
        <w:t>présentée par l’intimée Ontario Power Generation, en son nom et au nom des autres intimés, pour faire proroger au 30 septembre 2014 le délai de signification et de dépôt des dossiers, mémoires et recueils de sources des intimés;</w:t>
      </w: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fr-CA"/>
        </w:rPr>
      </w:pPr>
      <w:r w:rsidRPr="00C566A3">
        <w:rPr>
          <w:rFonts w:eastAsiaTheme="minorEastAsia" w:cs="Times New Roman"/>
          <w:b/>
          <w:bCs/>
          <w:sz w:val="20"/>
          <w:szCs w:val="20"/>
          <w:lang w:val="fr-CA"/>
        </w:rPr>
        <w:t xml:space="preserve">ET APRÈS EXAMEN </w:t>
      </w:r>
      <w:r w:rsidRPr="00C566A3">
        <w:rPr>
          <w:rFonts w:eastAsiaTheme="minorEastAsia" w:cs="Times New Roman"/>
          <w:bCs/>
          <w:sz w:val="20"/>
          <w:szCs w:val="20"/>
          <w:lang w:val="fr-CA"/>
        </w:rPr>
        <w:t>des documents déposés;</w:t>
      </w:r>
    </w:p>
    <w:p w:rsidR="00C566A3" w:rsidRPr="00C566A3" w:rsidRDefault="00C566A3" w:rsidP="00C566A3">
      <w:pPr>
        <w:widowControl w:val="0"/>
        <w:autoSpaceDE w:val="0"/>
        <w:autoSpaceDN w:val="0"/>
        <w:adjustRightInd w:val="0"/>
        <w:spacing w:line="233" w:lineRule="auto"/>
        <w:jc w:val="both"/>
        <w:rPr>
          <w:rFonts w:eastAsiaTheme="minorEastAsia" w:cs="Times New Roman"/>
          <w:b/>
          <w:bCs/>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bCs/>
          <w:sz w:val="20"/>
          <w:szCs w:val="20"/>
          <w:lang w:val="fr-CA"/>
        </w:rPr>
      </w:pPr>
      <w:r w:rsidRPr="00C566A3">
        <w:rPr>
          <w:rFonts w:eastAsiaTheme="minorEastAsia" w:cs="Times New Roman"/>
          <w:b/>
          <w:bCs/>
          <w:sz w:val="20"/>
          <w:szCs w:val="20"/>
          <w:lang w:val="fr-CA"/>
        </w:rPr>
        <w:t xml:space="preserve">ET À LA SUITE </w:t>
      </w:r>
      <w:r w:rsidRPr="00C566A3">
        <w:rPr>
          <w:rFonts w:eastAsiaTheme="minorEastAsia" w:cs="Times New Roman"/>
          <w:bCs/>
          <w:sz w:val="20"/>
          <w:szCs w:val="20"/>
          <w:lang w:val="fr-CA"/>
        </w:rPr>
        <w:t>de la demande de l’intervenante, la Corporation des services en éducation de l’Ontario, pour faire proroger au 30 septembre 2014 le délai de signification et de dépôt de ses mémoire et recueil de sources;</w:t>
      </w:r>
    </w:p>
    <w:p w:rsidR="00C566A3" w:rsidRPr="00C566A3" w:rsidRDefault="00C566A3" w:rsidP="00C566A3">
      <w:pPr>
        <w:widowControl w:val="0"/>
        <w:autoSpaceDE w:val="0"/>
        <w:autoSpaceDN w:val="0"/>
        <w:adjustRightInd w:val="0"/>
        <w:spacing w:line="233" w:lineRule="auto"/>
        <w:jc w:val="both"/>
        <w:rPr>
          <w:rFonts w:eastAsiaTheme="minorEastAsia" w:cs="Times New Roman"/>
          <w:b/>
          <w:bCs/>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bCs/>
          <w:sz w:val="20"/>
          <w:szCs w:val="20"/>
          <w:lang w:val="fr-CA"/>
        </w:rPr>
        <w:t>ET SUR</w:t>
      </w:r>
      <w:r w:rsidRPr="00C566A3">
        <w:rPr>
          <w:rFonts w:eastAsiaTheme="minorEastAsia" w:cs="Times New Roman"/>
          <w:bCs/>
          <w:sz w:val="20"/>
          <w:szCs w:val="20"/>
          <w:lang w:val="fr-CA"/>
        </w:rPr>
        <w:t xml:space="preserve"> consentement de l’appelante;</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bCs/>
          <w:sz w:val="20"/>
          <w:szCs w:val="20"/>
          <w:lang w:val="fr-CA"/>
        </w:rPr>
        <w:t xml:space="preserve">IL EST ORDONNÉ CE QUI SUIT :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tabs>
          <w:tab w:val="left" w:pos="-1440"/>
          <w:tab w:val="left" w:pos="-720"/>
        </w:tabs>
        <w:jc w:val="both"/>
        <w:rPr>
          <w:rFonts w:eastAsiaTheme="minorEastAsia" w:cs="Times New Roman"/>
          <w:sz w:val="20"/>
          <w:szCs w:val="20"/>
          <w:lang w:val="fr-CA"/>
        </w:rPr>
      </w:pPr>
      <w:r w:rsidRPr="00C566A3">
        <w:rPr>
          <w:rFonts w:eastAsiaTheme="minorEastAsia" w:cs="Times New Roman"/>
          <w:sz w:val="20"/>
          <w:szCs w:val="20"/>
          <w:lang w:val="fr-CA"/>
        </w:rPr>
        <w:tab/>
        <w:t>La requête est accueillie.</w: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Default="007054A6" w:rsidP="00C566A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rPr>
          <w:rFonts w:eastAsia="Times New Roman" w:cs="Times New Roman"/>
          <w:sz w:val="20"/>
          <w:szCs w:val="20"/>
          <w:lang w:val="fr-CA" w:eastAsia="en-CA"/>
        </w:rPr>
      </w:pPr>
      <w:r w:rsidRPr="00C566A3">
        <w:rPr>
          <w:rFonts w:eastAsia="Times New Roman" w:cs="Times New Roman"/>
          <w:sz w:val="20"/>
          <w:szCs w:val="20"/>
          <w:lang w:val="fr-CA" w:eastAsia="en-CA"/>
        </w:rPr>
        <w:br w:type="page"/>
      </w: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lastRenderedPageBreak/>
        <w:t>04.09.2014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Before / Devant :   ROTHSTEIN J. / LE JUGE ROTHSTEIN</w:t>
      </w:r>
    </w:p>
    <w:p w:rsidR="00C566A3" w:rsidRPr="00C566A3" w:rsidRDefault="00C566A3" w:rsidP="00C566A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566A3" w:rsidRPr="00C566A3" w:rsidTr="000B112E">
        <w:trPr>
          <w:trHeight w:val="151"/>
        </w:trPr>
        <w:tc>
          <w:tcPr>
            <w:tcW w:w="4338" w:type="dxa"/>
          </w:tcPr>
          <w:p w:rsidR="00C566A3" w:rsidRPr="00C566A3" w:rsidRDefault="0084732B" w:rsidP="00C566A3">
            <w:pPr>
              <w:tabs>
                <w:tab w:val="left" w:pos="-1440"/>
                <w:tab w:val="left" w:pos="-720"/>
              </w:tabs>
              <w:jc w:val="both"/>
              <w:rPr>
                <w:lang w:val="fr-CA"/>
              </w:rPr>
            </w:pPr>
            <w:r w:rsidRPr="00C566A3">
              <w:rPr>
                <w:lang w:val="en-US"/>
              </w:rPr>
              <w:fldChar w:fldCharType="begin"/>
            </w:r>
            <w:r w:rsidR="00C566A3" w:rsidRPr="00C566A3">
              <w:rPr>
                <w:lang w:val="fr-CA"/>
              </w:rPr>
              <w:instrText xml:space="preserve"> SEQ CHAPTER \h \r 1</w:instrText>
            </w:r>
            <w:r w:rsidRPr="00C566A3">
              <w:rPr>
                <w:lang w:val="en-US"/>
              </w:rPr>
              <w:fldChar w:fldCharType="end"/>
            </w:r>
            <w:r w:rsidR="00C566A3" w:rsidRPr="00C566A3">
              <w:rPr>
                <w:b/>
                <w:bCs/>
                <w:lang w:val="fr-CA"/>
              </w:rPr>
              <w:t>Miscellaneous motion</w:t>
            </w:r>
          </w:p>
          <w:p w:rsidR="00C566A3" w:rsidRPr="00C566A3" w:rsidRDefault="0084732B" w:rsidP="00C566A3">
            <w:pPr>
              <w:tabs>
                <w:tab w:val="left" w:pos="-1440"/>
                <w:tab w:val="left" w:pos="-720"/>
              </w:tabs>
              <w:jc w:val="both"/>
              <w:rPr>
                <w:lang w:val="fr-CA"/>
              </w:rPr>
            </w:pPr>
            <w:r w:rsidRPr="00C566A3">
              <w:rPr>
                <w:lang w:val="en-US"/>
              </w:rPr>
              <w:fldChar w:fldCharType="begin"/>
            </w:r>
            <w:r w:rsidR="00C566A3" w:rsidRPr="00C566A3">
              <w:rPr>
                <w:lang w:val="fr-CA"/>
              </w:rPr>
              <w:instrText xml:space="preserve"> SEQ CHAPTER \h \r 1</w:instrText>
            </w:r>
            <w:r w:rsidRPr="00C566A3">
              <w:rPr>
                <w:lang w:val="en-US"/>
              </w:rPr>
              <w:fldChar w:fldCharType="end"/>
            </w:r>
          </w:p>
        </w:tc>
        <w:tc>
          <w:tcPr>
            <w:tcW w:w="1170" w:type="dxa"/>
          </w:tcPr>
          <w:p w:rsidR="00C566A3" w:rsidRPr="00C566A3" w:rsidRDefault="00C566A3" w:rsidP="00C566A3">
            <w:pPr>
              <w:jc w:val="both"/>
              <w:rPr>
                <w:lang w:val="fr-CA"/>
              </w:rPr>
            </w:pPr>
          </w:p>
          <w:p w:rsidR="00C566A3" w:rsidRPr="00C566A3" w:rsidRDefault="00C566A3" w:rsidP="00C566A3">
            <w:pPr>
              <w:jc w:val="both"/>
              <w:rPr>
                <w:lang w:val="fr-CA"/>
              </w:rPr>
            </w:pPr>
          </w:p>
        </w:tc>
        <w:tc>
          <w:tcPr>
            <w:tcW w:w="4327" w:type="dxa"/>
          </w:tcPr>
          <w:p w:rsidR="00C566A3" w:rsidRPr="00C566A3" w:rsidRDefault="0084732B" w:rsidP="00C566A3">
            <w:pPr>
              <w:jc w:val="both"/>
              <w:rPr>
                <w:b/>
                <w:lang w:val="fr-CA"/>
              </w:rPr>
            </w:pPr>
            <w:r w:rsidRPr="00C566A3">
              <w:rPr>
                <w:lang w:val="en-US"/>
              </w:rPr>
              <w:fldChar w:fldCharType="begin"/>
            </w:r>
            <w:r w:rsidR="00C566A3" w:rsidRPr="00C566A3">
              <w:rPr>
                <w:lang w:val="fr-CA"/>
              </w:rPr>
              <w:instrText xml:space="preserve"> SEQ CHAPTER \h \r 1</w:instrText>
            </w:r>
            <w:r w:rsidRPr="00C566A3">
              <w:rPr>
                <w:lang w:val="en-US"/>
              </w:rPr>
              <w:fldChar w:fldCharType="end"/>
            </w:r>
            <w:r w:rsidR="00C566A3" w:rsidRPr="00C566A3">
              <w:rPr>
                <w:b/>
                <w:bCs/>
                <w:lang w:val="fr-CA"/>
              </w:rPr>
              <w:t>Requête diverse</w:t>
            </w:r>
          </w:p>
          <w:p w:rsidR="00C566A3" w:rsidRPr="00C566A3" w:rsidRDefault="0084732B" w:rsidP="00C566A3">
            <w:pPr>
              <w:jc w:val="both"/>
              <w:rPr>
                <w:b/>
                <w:lang w:val="fr-CA"/>
              </w:rPr>
            </w:pPr>
            <w:r w:rsidRPr="00C566A3">
              <w:rPr>
                <w:b/>
                <w:lang w:val="en-US"/>
              </w:rPr>
              <w:fldChar w:fldCharType="begin"/>
            </w:r>
            <w:r w:rsidR="00C566A3" w:rsidRPr="00C566A3">
              <w:rPr>
                <w:b/>
                <w:lang w:val="fr-CA"/>
              </w:rPr>
              <w:instrText xml:space="preserve"> SEQ CHAPTER \h \r 1</w:instrText>
            </w:r>
            <w:r w:rsidRPr="00C566A3">
              <w:rPr>
                <w:b/>
                <w:lang w:val="en-US"/>
              </w:rPr>
              <w:fldChar w:fldCharType="end"/>
            </w:r>
            <w:r w:rsidRPr="00C566A3">
              <w:rPr>
                <w:b/>
                <w:lang w:val="en-US"/>
              </w:rPr>
              <w:fldChar w:fldCharType="begin"/>
            </w:r>
            <w:r w:rsidR="00C566A3" w:rsidRPr="00C566A3">
              <w:rPr>
                <w:b/>
                <w:lang w:val="fr-CA"/>
              </w:rPr>
              <w:instrText xml:space="preserve"> SEQ CHAPTER \h \r 1</w:instrText>
            </w:r>
            <w:r w:rsidRPr="00C566A3">
              <w:rPr>
                <w:b/>
                <w:lang w:val="en-US"/>
              </w:rPr>
              <w:fldChar w:fldCharType="end"/>
            </w:r>
          </w:p>
        </w:tc>
      </w:tr>
      <w:tr w:rsidR="00C566A3" w:rsidRPr="00C566A3" w:rsidTr="000B112E">
        <w:trPr>
          <w:trHeight w:val="150"/>
        </w:trPr>
        <w:tc>
          <w:tcPr>
            <w:tcW w:w="4338" w:type="dxa"/>
          </w:tcPr>
          <w:p w:rsidR="00C566A3" w:rsidRPr="00C566A3" w:rsidRDefault="00C566A3" w:rsidP="00C566A3">
            <w:pPr>
              <w:tabs>
                <w:tab w:val="left" w:pos="-1440"/>
                <w:tab w:val="left" w:pos="-720"/>
              </w:tabs>
              <w:jc w:val="both"/>
              <w:rPr>
                <w:lang w:val="fr-CA"/>
              </w:rPr>
            </w:pPr>
            <w:r w:rsidRPr="00C566A3">
              <w:rPr>
                <w:lang w:val="fr-CA"/>
              </w:rPr>
              <w:t>Lee Carter et al.</w:t>
            </w:r>
          </w:p>
          <w:p w:rsidR="00C566A3" w:rsidRPr="00C566A3" w:rsidRDefault="00C566A3" w:rsidP="00C566A3">
            <w:pPr>
              <w:tabs>
                <w:tab w:val="left" w:pos="-1440"/>
                <w:tab w:val="left" w:pos="-720"/>
              </w:tabs>
              <w:jc w:val="both"/>
              <w:rPr>
                <w:lang w:val="fr-CA"/>
              </w:rPr>
            </w:pPr>
          </w:p>
          <w:p w:rsidR="00C566A3" w:rsidRPr="00C566A3" w:rsidRDefault="00C566A3" w:rsidP="00C566A3">
            <w:pPr>
              <w:tabs>
                <w:tab w:val="left" w:pos="-1440"/>
                <w:tab w:val="left" w:pos="-720"/>
              </w:tabs>
              <w:jc w:val="both"/>
              <w:rPr>
                <w:lang w:val="fr-CA"/>
              </w:rPr>
            </w:pPr>
            <w:r w:rsidRPr="00C566A3">
              <w:rPr>
                <w:lang w:val="fr-CA"/>
              </w:rPr>
              <w:tab/>
              <w:t>v. (35591)</w:t>
            </w:r>
          </w:p>
          <w:p w:rsidR="00C566A3" w:rsidRPr="00C566A3" w:rsidRDefault="00C566A3" w:rsidP="00C566A3">
            <w:pPr>
              <w:tabs>
                <w:tab w:val="left" w:pos="-1440"/>
                <w:tab w:val="left" w:pos="-720"/>
              </w:tabs>
              <w:jc w:val="both"/>
              <w:rPr>
                <w:lang w:val="fr-CA"/>
              </w:rPr>
            </w:pPr>
          </w:p>
          <w:p w:rsidR="00C566A3" w:rsidRPr="00C566A3" w:rsidRDefault="00C566A3" w:rsidP="00C566A3">
            <w:pPr>
              <w:tabs>
                <w:tab w:val="left" w:pos="-1440"/>
                <w:tab w:val="left" w:pos="-720"/>
              </w:tabs>
              <w:jc w:val="both"/>
              <w:rPr>
                <w:lang w:val="fr-CA"/>
              </w:rPr>
            </w:pPr>
            <w:r w:rsidRPr="00C566A3">
              <w:rPr>
                <w:lang w:val="en-US"/>
              </w:rPr>
              <w:t xml:space="preserve">Attorney General of Canada et al. </w:t>
            </w:r>
            <w:r w:rsidRPr="00C566A3">
              <w:rPr>
                <w:lang w:val="fr-CA"/>
              </w:rPr>
              <w:t>(B.C.)</w:t>
            </w:r>
          </w:p>
        </w:tc>
        <w:tc>
          <w:tcPr>
            <w:tcW w:w="1170" w:type="dxa"/>
          </w:tcPr>
          <w:p w:rsidR="00C566A3" w:rsidRPr="00C566A3" w:rsidRDefault="00C566A3" w:rsidP="00C566A3">
            <w:pPr>
              <w:jc w:val="both"/>
              <w:rPr>
                <w:lang w:val="fr-CA"/>
              </w:rPr>
            </w:pPr>
          </w:p>
        </w:tc>
        <w:tc>
          <w:tcPr>
            <w:tcW w:w="4327" w:type="dxa"/>
          </w:tcPr>
          <w:p w:rsidR="00C566A3" w:rsidRPr="00C566A3" w:rsidRDefault="00C566A3" w:rsidP="00C566A3">
            <w:pPr>
              <w:jc w:val="both"/>
              <w:rPr>
                <w:lang w:val="fr-CA"/>
              </w:rPr>
            </w:pPr>
          </w:p>
        </w:tc>
      </w:tr>
    </w:tbl>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r w:rsidRPr="00C566A3">
        <w:rPr>
          <w:rFonts w:eastAsia="Times New Roman" w:cs="Times New Roman"/>
          <w:b/>
          <w:sz w:val="20"/>
          <w:szCs w:val="20"/>
          <w:lang w:val="en-US" w:eastAsia="en-CA"/>
        </w:rPr>
        <w:t>GRANTED / ACCORDÉE</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widowControl w:val="0"/>
        <w:autoSpaceDE w:val="0"/>
        <w:autoSpaceDN w:val="0"/>
        <w:adjustRightInd w:val="0"/>
        <w:jc w:val="both"/>
        <w:rPr>
          <w:rFonts w:eastAsiaTheme="minorEastAsia" w:cs="Times New Roman"/>
          <w:sz w:val="20"/>
          <w:szCs w:val="20"/>
          <w:lang w:val="en-US"/>
        </w:rPr>
      </w:pPr>
      <w:r w:rsidRPr="00C566A3">
        <w:rPr>
          <w:rFonts w:eastAsiaTheme="minorEastAsia" w:cs="Times New Roman"/>
          <w:b/>
          <w:bCs/>
          <w:sz w:val="20"/>
          <w:szCs w:val="20"/>
          <w:lang w:val="en-US"/>
        </w:rPr>
        <w:t xml:space="preserve">UPON APPLICATION </w:t>
      </w:r>
      <w:r w:rsidRPr="00C566A3">
        <w:rPr>
          <w:rFonts w:eastAsiaTheme="minorEastAsia" w:cs="Times New Roman"/>
          <w:sz w:val="20"/>
          <w:szCs w:val="20"/>
          <w:lang w:val="en-US"/>
        </w:rPr>
        <w:t>by the appellants for an order to adduce new evidence by way of a rebuttal affidavit to respond to the recently admitted evidence of Professor Etienne Montero, namely the affidavit of Jacqueline Herremans, sworn on July 30, 2014;</w:t>
      </w:r>
    </w:p>
    <w:p w:rsidR="00C566A3" w:rsidRPr="00C566A3" w:rsidRDefault="00C566A3" w:rsidP="00C566A3">
      <w:pPr>
        <w:widowControl w:val="0"/>
        <w:autoSpaceDE w:val="0"/>
        <w:autoSpaceDN w:val="0"/>
        <w:adjustRightInd w:val="0"/>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jc w:val="both"/>
        <w:rPr>
          <w:rFonts w:eastAsiaTheme="minorEastAsia" w:cs="Times New Roman"/>
          <w:b/>
          <w:bCs/>
          <w:sz w:val="20"/>
          <w:szCs w:val="20"/>
          <w:lang w:val="en-US"/>
        </w:rPr>
      </w:pPr>
      <w:r w:rsidRPr="00C566A3">
        <w:rPr>
          <w:rFonts w:eastAsiaTheme="minorEastAsia" w:cs="Times New Roman"/>
          <w:b/>
          <w:sz w:val="20"/>
          <w:szCs w:val="20"/>
          <w:lang w:val="en-US"/>
        </w:rPr>
        <w:t>AND UPON APPLICATION</w:t>
      </w:r>
      <w:r w:rsidRPr="00C566A3">
        <w:rPr>
          <w:rFonts w:eastAsiaTheme="minorEastAsia" w:cs="Times New Roman"/>
          <w:sz w:val="20"/>
          <w:szCs w:val="20"/>
          <w:lang w:val="en-US"/>
        </w:rPr>
        <w:t xml:space="preserve"> for an extension of time to serve and file a reply factum pursuant to Rule 29 (4) of the </w:t>
      </w:r>
      <w:r w:rsidRPr="00C566A3">
        <w:rPr>
          <w:rFonts w:eastAsiaTheme="minorEastAsia" w:cs="Times New Roman"/>
          <w:i/>
          <w:sz w:val="20"/>
          <w:szCs w:val="20"/>
          <w:lang w:val="en-US"/>
        </w:rPr>
        <w:t>Rules of the Supreme Court of Canada</w:t>
      </w:r>
      <w:r w:rsidRPr="00C566A3">
        <w:rPr>
          <w:rFonts w:eastAsiaTheme="minorEastAsia" w:cs="Times New Roman"/>
          <w:sz w:val="20"/>
          <w:szCs w:val="20"/>
          <w:lang w:val="en-US"/>
        </w:rPr>
        <w:t xml:space="preserve"> or, in the alternative, for leave to file a reply factum;</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AND THE MATERIAL FILED</w:t>
      </w:r>
      <w:r w:rsidRPr="00C566A3">
        <w:rPr>
          <w:rFonts w:eastAsiaTheme="minorEastAsia" w:cs="Times New Roman"/>
          <w:sz w:val="20"/>
          <w:szCs w:val="20"/>
          <w:lang w:val="en-US"/>
        </w:rPr>
        <w:t xml:space="preserve"> having been read;</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sz w:val="20"/>
          <w:szCs w:val="20"/>
          <w:lang w:val="en-US"/>
        </w:rPr>
        <w:t>AND THE</w:t>
      </w:r>
      <w:r w:rsidRPr="00C566A3">
        <w:rPr>
          <w:rFonts w:eastAsiaTheme="minorEastAsia" w:cs="Times New Roman"/>
          <w:sz w:val="20"/>
          <w:szCs w:val="20"/>
          <w:lang w:val="en-US"/>
        </w:rPr>
        <w:t xml:space="preserve"> Attorney General of Canada not opposing the motion to adduce new evidence;</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sz w:val="20"/>
          <w:szCs w:val="20"/>
          <w:lang w:val="en-US"/>
        </w:rPr>
        <w:t>AND THE</w:t>
      </w:r>
      <w:r w:rsidRPr="00C566A3">
        <w:rPr>
          <w:rFonts w:eastAsiaTheme="minorEastAsia" w:cs="Times New Roman"/>
          <w:sz w:val="20"/>
          <w:szCs w:val="20"/>
          <w:lang w:val="en-US"/>
        </w:rPr>
        <w:t xml:space="preserve"> Attorney General of British Columbia not responding to the motions;</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IT IS HEREBY ORDERED THAT:</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sz w:val="20"/>
          <w:szCs w:val="20"/>
          <w:lang w:val="en-US"/>
        </w:rPr>
        <w:t xml:space="preserve">The motions are granted without costs.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sz w:val="20"/>
          <w:szCs w:val="20"/>
          <w:lang w:val="en-US"/>
        </w:rPr>
        <w:t xml:space="preserve">The appellants are permitted to serve and file a supplementary record containing the affidavit of Jacqueline Herremans, sworn on July 30, 2014.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sz w:val="20"/>
          <w:szCs w:val="20"/>
          <w:lang w:val="en-US"/>
        </w:rPr>
        <w:t xml:space="preserve">The appellants are also permitted to serve and file a reply factum not exceeding 5 pages on or before September 18, 2014. </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widowControl w:val="0"/>
        <w:autoSpaceDE w:val="0"/>
        <w:autoSpaceDN w:val="0"/>
        <w:adjustRightInd w:val="0"/>
        <w:jc w:val="both"/>
        <w:rPr>
          <w:rFonts w:eastAsiaTheme="minorEastAsia" w:cs="Times New Roman"/>
          <w:sz w:val="20"/>
          <w:szCs w:val="20"/>
          <w:lang w:val="fr-CA"/>
        </w:rPr>
      </w:pPr>
      <w:r w:rsidRPr="00C566A3">
        <w:rPr>
          <w:rFonts w:eastAsiaTheme="minorEastAsia" w:cs="Times New Roman"/>
          <w:b/>
          <w:bCs/>
          <w:sz w:val="20"/>
          <w:szCs w:val="20"/>
          <w:lang w:val="fr-CA"/>
        </w:rPr>
        <w:t xml:space="preserve">À LA SUITE DE LA REQUÊTE </w:t>
      </w:r>
      <w:r w:rsidRPr="00C566A3">
        <w:rPr>
          <w:rFonts w:eastAsiaTheme="minorEastAsia" w:cs="Times New Roman"/>
          <w:sz w:val="20"/>
          <w:szCs w:val="20"/>
          <w:lang w:val="fr-CA"/>
        </w:rPr>
        <w:t>présentée par les appelants pour être autorisés à produire une nouvelle preuve sous forme d’affidavit de réfutation, en l’occurrence l’affidavit signé par Jacqueline Herremans le 30 juillet 2014, visant à répondre à la preuve récemment admise du professeur Etienne Montero;</w:t>
      </w:r>
    </w:p>
    <w:p w:rsidR="00C566A3" w:rsidRPr="00C566A3" w:rsidRDefault="00C566A3" w:rsidP="00C566A3">
      <w:pPr>
        <w:widowControl w:val="0"/>
        <w:autoSpaceDE w:val="0"/>
        <w:autoSpaceDN w:val="0"/>
        <w:adjustRightInd w:val="0"/>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jc w:val="both"/>
        <w:rPr>
          <w:rFonts w:eastAsiaTheme="minorEastAsia" w:cs="Times New Roman"/>
          <w:b/>
          <w:bCs/>
          <w:sz w:val="20"/>
          <w:szCs w:val="20"/>
          <w:lang w:val="fr-CA"/>
        </w:rPr>
      </w:pPr>
      <w:r w:rsidRPr="00C566A3">
        <w:rPr>
          <w:rFonts w:eastAsiaTheme="minorEastAsia" w:cs="Times New Roman"/>
          <w:b/>
          <w:sz w:val="20"/>
          <w:szCs w:val="20"/>
          <w:lang w:val="fr-CA"/>
        </w:rPr>
        <w:t>ET À LA SUITE DE LA REQUÊTE</w:t>
      </w:r>
      <w:r w:rsidRPr="00C566A3">
        <w:rPr>
          <w:rFonts w:eastAsiaTheme="minorEastAsia" w:cs="Times New Roman"/>
          <w:sz w:val="20"/>
          <w:szCs w:val="20"/>
          <w:lang w:val="fr-CA"/>
        </w:rPr>
        <w:t xml:space="preserve"> pour faire proroger le délai de signification et de dépôt d’un mémoire en réplique en application du par. 29(4) des </w:t>
      </w:r>
      <w:r w:rsidRPr="00C566A3">
        <w:rPr>
          <w:rFonts w:eastAsiaTheme="minorEastAsia" w:cs="Times New Roman"/>
          <w:i/>
          <w:sz w:val="20"/>
          <w:szCs w:val="20"/>
          <w:lang w:val="fr-CA"/>
        </w:rPr>
        <w:t>Règles de la Cour suprême du Canada</w:t>
      </w:r>
      <w:r w:rsidRPr="00C566A3">
        <w:rPr>
          <w:rFonts w:eastAsiaTheme="minorEastAsia" w:cs="Times New Roman"/>
          <w:sz w:val="20"/>
          <w:szCs w:val="20"/>
          <w:lang w:val="fr-CA"/>
        </w:rPr>
        <w:t xml:space="preserve"> ou, subsidiairement, pour obtenir la permission de déposer un mémoire en réplique;</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bCs/>
          <w:sz w:val="20"/>
          <w:szCs w:val="20"/>
          <w:lang w:val="fr-CA"/>
        </w:rPr>
        <w:t>ET APRÈS EXAMEN</w:t>
      </w:r>
      <w:r w:rsidRPr="00C566A3">
        <w:rPr>
          <w:rFonts w:eastAsiaTheme="minorEastAsia" w:cs="Times New Roman"/>
          <w:sz w:val="20"/>
          <w:szCs w:val="20"/>
          <w:lang w:val="fr-CA"/>
        </w:rPr>
        <w:t xml:space="preserve"> des documents déposés;</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sz w:val="20"/>
          <w:szCs w:val="20"/>
          <w:lang w:val="fr-CA"/>
        </w:rPr>
        <w:t>ET CONSIDÉRANT QUE</w:t>
      </w:r>
      <w:r w:rsidRPr="00C566A3">
        <w:rPr>
          <w:rFonts w:eastAsiaTheme="minorEastAsia" w:cs="Times New Roman"/>
          <w:sz w:val="20"/>
          <w:szCs w:val="20"/>
          <w:lang w:val="fr-CA"/>
        </w:rPr>
        <w:t xml:space="preserve"> le procureur général du Canada ne s’est pas opposé à la requête pour produire une nouvelle preuve;</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sz w:val="20"/>
          <w:szCs w:val="20"/>
          <w:lang w:val="fr-CA"/>
        </w:rPr>
        <w:t>ET CONSIDÉRANT QUE</w:t>
      </w:r>
      <w:r w:rsidRPr="00C566A3">
        <w:rPr>
          <w:rFonts w:eastAsiaTheme="minorEastAsia" w:cs="Times New Roman"/>
          <w:sz w:val="20"/>
          <w:szCs w:val="20"/>
          <w:lang w:val="fr-CA"/>
        </w:rPr>
        <w:t xml:space="preserve"> le procureur général de la Colombie</w:t>
      </w:r>
      <w:r w:rsidRPr="00C566A3">
        <w:rPr>
          <w:rFonts w:eastAsiaTheme="minorEastAsia" w:cs="Times New Roman"/>
          <w:sz w:val="20"/>
          <w:szCs w:val="20"/>
          <w:lang w:val="fr-CA"/>
        </w:rPr>
        <w:noBreakHyphen/>
        <w:t>Britannique n’a pas répondu aux requêtes;</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Default="00C566A3">
      <w:pPr>
        <w:rPr>
          <w:rFonts w:eastAsiaTheme="minorEastAsia" w:cs="Times New Roman"/>
          <w:b/>
          <w:bCs/>
          <w:sz w:val="20"/>
          <w:szCs w:val="20"/>
          <w:lang w:val="fr-CA"/>
        </w:rPr>
      </w:pPr>
      <w:r>
        <w:rPr>
          <w:rFonts w:eastAsiaTheme="minorEastAsia" w:cs="Times New Roman"/>
          <w:b/>
          <w:bCs/>
          <w:sz w:val="20"/>
          <w:szCs w:val="20"/>
          <w:lang w:val="fr-CA"/>
        </w:rPr>
        <w:br w:type="page"/>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b/>
          <w:bCs/>
          <w:sz w:val="20"/>
          <w:szCs w:val="20"/>
          <w:lang w:val="fr-CA"/>
        </w:rPr>
        <w:lastRenderedPageBreak/>
        <w:t>IL EST ORDONNÉ CE QUI SUIT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sz w:val="20"/>
          <w:szCs w:val="20"/>
          <w:lang w:val="fr-CA"/>
        </w:rPr>
        <w:t xml:space="preserve">Les requêtes sont accueillies sans dépens.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sz w:val="20"/>
          <w:szCs w:val="20"/>
          <w:lang w:val="fr-CA"/>
        </w:rPr>
        <w:t xml:space="preserve">Les appelants sont autorisés à signifier et à déposer un dossier supplémentaire contenant l’affidavit signé par Jacqueline Herremans le 30 juillet 2014.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fr-CA"/>
        </w:rPr>
      </w:pPr>
      <w:r w:rsidRPr="00C566A3">
        <w:rPr>
          <w:rFonts w:eastAsiaTheme="minorEastAsia" w:cs="Times New Roman"/>
          <w:sz w:val="20"/>
          <w:szCs w:val="20"/>
          <w:lang w:val="fr-CA"/>
        </w:rPr>
        <w:t xml:space="preserve">Les appelants sont également autorisés à signifier et à déposer un mémoire en réplique d’au plus cinq pages au plus tard le 18 septembre 2014. </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7054A6" w:rsidP="00C566A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04.09.2014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Before / Devant :   ROTHSTEIN J. / LE JUGE ROTHSTEIN</w:t>
      </w:r>
    </w:p>
    <w:p w:rsidR="00C566A3" w:rsidRPr="00C566A3" w:rsidRDefault="00C566A3" w:rsidP="00C566A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566A3" w:rsidRPr="00C566A3" w:rsidTr="000B112E">
        <w:trPr>
          <w:trHeight w:val="151"/>
        </w:trPr>
        <w:tc>
          <w:tcPr>
            <w:tcW w:w="4338" w:type="dxa"/>
          </w:tcPr>
          <w:p w:rsidR="00C566A3" w:rsidRPr="00C566A3" w:rsidRDefault="00C566A3" w:rsidP="00C566A3">
            <w:pPr>
              <w:keepNext/>
              <w:keepLines/>
              <w:jc w:val="both"/>
              <w:rPr>
                <w:b/>
                <w:bCs/>
                <w:lang w:val="en-GB"/>
              </w:rPr>
            </w:pPr>
            <w:r w:rsidRPr="00C566A3">
              <w:rPr>
                <w:b/>
                <w:bCs/>
                <w:lang w:val="en-GB"/>
              </w:rPr>
              <w:t>Motion to strike</w:t>
            </w:r>
          </w:p>
        </w:tc>
        <w:tc>
          <w:tcPr>
            <w:tcW w:w="1170" w:type="dxa"/>
          </w:tcPr>
          <w:p w:rsidR="00C566A3" w:rsidRPr="00C566A3" w:rsidRDefault="00C566A3" w:rsidP="00C566A3">
            <w:pPr>
              <w:jc w:val="both"/>
              <w:rPr>
                <w:b/>
                <w:bCs/>
                <w:lang w:val="en-GB"/>
              </w:rPr>
            </w:pPr>
          </w:p>
        </w:tc>
        <w:tc>
          <w:tcPr>
            <w:tcW w:w="4327" w:type="dxa"/>
          </w:tcPr>
          <w:p w:rsidR="00C566A3" w:rsidRPr="00C566A3" w:rsidRDefault="00C566A3" w:rsidP="00C566A3">
            <w:pPr>
              <w:jc w:val="both"/>
              <w:rPr>
                <w:b/>
                <w:bCs/>
                <w:lang w:val="fr-CA"/>
              </w:rPr>
            </w:pPr>
            <w:r w:rsidRPr="00C566A3">
              <w:rPr>
                <w:b/>
                <w:bCs/>
                <w:lang w:val="fr-CA"/>
              </w:rPr>
              <w:t>Requête en radiation</w:t>
            </w:r>
          </w:p>
          <w:p w:rsidR="00C566A3" w:rsidRPr="00C566A3" w:rsidRDefault="00C566A3" w:rsidP="00C566A3">
            <w:pPr>
              <w:jc w:val="both"/>
              <w:rPr>
                <w:b/>
                <w:bCs/>
                <w:lang w:val="fr-CA"/>
              </w:rPr>
            </w:pPr>
          </w:p>
        </w:tc>
      </w:tr>
      <w:tr w:rsidR="00C566A3" w:rsidRPr="00C566A3" w:rsidTr="000B112E">
        <w:trPr>
          <w:trHeight w:val="150"/>
        </w:trPr>
        <w:tc>
          <w:tcPr>
            <w:tcW w:w="4338" w:type="dxa"/>
          </w:tcPr>
          <w:p w:rsidR="00C566A3" w:rsidRPr="00C566A3" w:rsidRDefault="00C566A3" w:rsidP="00C566A3">
            <w:pPr>
              <w:tabs>
                <w:tab w:val="left" w:pos="-1440"/>
                <w:tab w:val="left" w:pos="-720"/>
              </w:tabs>
              <w:jc w:val="both"/>
              <w:rPr>
                <w:lang w:val="fr-CA"/>
              </w:rPr>
            </w:pPr>
            <w:r w:rsidRPr="00C566A3">
              <w:rPr>
                <w:lang w:val="fr-CA"/>
              </w:rPr>
              <w:t>Lee Carter et al.</w:t>
            </w:r>
          </w:p>
          <w:p w:rsidR="00C566A3" w:rsidRPr="00C566A3" w:rsidRDefault="00C566A3" w:rsidP="00C566A3">
            <w:pPr>
              <w:tabs>
                <w:tab w:val="left" w:pos="-1440"/>
                <w:tab w:val="left" w:pos="-720"/>
              </w:tabs>
              <w:jc w:val="both"/>
              <w:rPr>
                <w:lang w:val="fr-CA"/>
              </w:rPr>
            </w:pPr>
          </w:p>
          <w:p w:rsidR="00C566A3" w:rsidRPr="00C566A3" w:rsidRDefault="00C566A3" w:rsidP="00C566A3">
            <w:pPr>
              <w:tabs>
                <w:tab w:val="left" w:pos="-1440"/>
                <w:tab w:val="left" w:pos="-720"/>
              </w:tabs>
              <w:jc w:val="both"/>
              <w:rPr>
                <w:lang w:val="fr-CA"/>
              </w:rPr>
            </w:pPr>
            <w:r w:rsidRPr="00C566A3">
              <w:rPr>
                <w:lang w:val="fr-CA"/>
              </w:rPr>
              <w:tab/>
              <w:t>v. (35591)</w:t>
            </w:r>
          </w:p>
          <w:p w:rsidR="00C566A3" w:rsidRPr="00C566A3" w:rsidRDefault="00C566A3" w:rsidP="00C566A3">
            <w:pPr>
              <w:tabs>
                <w:tab w:val="left" w:pos="-1440"/>
                <w:tab w:val="left" w:pos="-720"/>
              </w:tabs>
              <w:jc w:val="both"/>
              <w:rPr>
                <w:lang w:val="fr-CA"/>
              </w:rPr>
            </w:pPr>
          </w:p>
          <w:p w:rsidR="00C566A3" w:rsidRPr="00C566A3" w:rsidRDefault="00C566A3" w:rsidP="00C566A3">
            <w:pPr>
              <w:tabs>
                <w:tab w:val="left" w:pos="-1440"/>
                <w:tab w:val="left" w:pos="-720"/>
              </w:tabs>
              <w:jc w:val="both"/>
              <w:rPr>
                <w:lang w:val="fr-CA"/>
              </w:rPr>
            </w:pPr>
            <w:r w:rsidRPr="00C566A3">
              <w:rPr>
                <w:lang w:val="en-US"/>
              </w:rPr>
              <w:t xml:space="preserve">Attorney General of Canada et al. </w:t>
            </w:r>
            <w:r w:rsidRPr="00C566A3">
              <w:rPr>
                <w:lang w:val="fr-CA"/>
              </w:rPr>
              <w:t>(B.C.)</w:t>
            </w:r>
          </w:p>
        </w:tc>
        <w:tc>
          <w:tcPr>
            <w:tcW w:w="1170" w:type="dxa"/>
          </w:tcPr>
          <w:p w:rsidR="00C566A3" w:rsidRPr="00C566A3" w:rsidRDefault="00C566A3" w:rsidP="00C566A3">
            <w:pPr>
              <w:jc w:val="both"/>
              <w:rPr>
                <w:lang w:val="fr-CA"/>
              </w:rPr>
            </w:pPr>
          </w:p>
        </w:tc>
        <w:tc>
          <w:tcPr>
            <w:tcW w:w="4327" w:type="dxa"/>
          </w:tcPr>
          <w:p w:rsidR="00C566A3" w:rsidRPr="00C566A3" w:rsidRDefault="00C566A3" w:rsidP="00C566A3">
            <w:pPr>
              <w:jc w:val="both"/>
              <w:rPr>
                <w:lang w:val="fr-CA"/>
              </w:rPr>
            </w:pPr>
          </w:p>
        </w:tc>
      </w:tr>
    </w:tbl>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r w:rsidRPr="00C566A3">
        <w:rPr>
          <w:rFonts w:eastAsia="Times New Roman" w:cs="Times New Roman"/>
          <w:b/>
          <w:sz w:val="20"/>
          <w:szCs w:val="20"/>
          <w:lang w:val="en-US" w:eastAsia="en-CA"/>
        </w:rPr>
        <w:t>DISMISSED / REJETÉE</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widowControl w:val="0"/>
        <w:autoSpaceDE w:val="0"/>
        <w:autoSpaceDN w:val="0"/>
        <w:adjustRightInd w:val="0"/>
        <w:jc w:val="both"/>
        <w:rPr>
          <w:rFonts w:eastAsiaTheme="minorEastAsia" w:cs="Times New Roman"/>
          <w:b/>
          <w:bCs/>
          <w:sz w:val="20"/>
          <w:szCs w:val="20"/>
          <w:lang w:val="en-US"/>
        </w:rPr>
      </w:pPr>
      <w:r w:rsidRPr="00C566A3">
        <w:rPr>
          <w:rFonts w:eastAsiaTheme="minorEastAsia" w:cs="Times New Roman"/>
          <w:b/>
          <w:bCs/>
          <w:sz w:val="20"/>
          <w:szCs w:val="20"/>
          <w:lang w:val="en-US"/>
        </w:rPr>
        <w:t xml:space="preserve">UPON APPLICATION </w:t>
      </w:r>
      <w:r w:rsidRPr="00C566A3">
        <w:rPr>
          <w:rFonts w:eastAsiaTheme="minorEastAsia" w:cs="Times New Roman"/>
          <w:sz w:val="20"/>
          <w:szCs w:val="20"/>
          <w:lang w:val="en-US"/>
        </w:rPr>
        <w:t>by the appellants for an order striking the factum of the Attorney General of Ontario in its entirety;</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r w:rsidRPr="00C566A3">
        <w:rPr>
          <w:rFonts w:eastAsiaTheme="minorEastAsia" w:cs="Times New Roman"/>
          <w:b/>
          <w:bCs/>
          <w:sz w:val="20"/>
          <w:szCs w:val="20"/>
          <w:lang w:val="en-US"/>
        </w:rPr>
        <w:t>THE MATERIAL FILED</w:t>
      </w:r>
      <w:r w:rsidRPr="00C566A3">
        <w:rPr>
          <w:rFonts w:eastAsiaTheme="minorEastAsia" w:cs="Times New Roman"/>
          <w:sz w:val="20"/>
          <w:szCs w:val="20"/>
          <w:lang w:val="en-US"/>
        </w:rPr>
        <w:t xml:space="preserve"> having been read;</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r w:rsidRPr="00C566A3">
        <w:rPr>
          <w:rFonts w:eastAsiaTheme="minorEastAsia" w:cs="Times New Roman"/>
          <w:b/>
          <w:bCs/>
          <w:sz w:val="20"/>
          <w:szCs w:val="20"/>
          <w:lang w:val="en-US"/>
        </w:rPr>
        <w:t xml:space="preserve">WITHOUT DECIDING </w:t>
      </w:r>
      <w:r w:rsidRPr="00C566A3">
        <w:rPr>
          <w:rFonts w:eastAsiaTheme="minorEastAsia" w:cs="Times New Roman"/>
          <w:sz w:val="20"/>
          <w:szCs w:val="20"/>
          <w:lang w:val="en-US"/>
        </w:rPr>
        <w:t xml:space="preserve">the scope of interventions permitted under Rule 61 of the </w:t>
      </w:r>
      <w:r w:rsidRPr="00C566A3">
        <w:rPr>
          <w:rFonts w:eastAsiaTheme="minorEastAsia" w:cs="Times New Roman"/>
          <w:i/>
          <w:iCs/>
          <w:sz w:val="20"/>
          <w:szCs w:val="20"/>
          <w:lang w:val="en-US"/>
        </w:rPr>
        <w:t>Rules of the Supreme Court of Canada</w:t>
      </w:r>
      <w:r w:rsidRPr="00C566A3">
        <w:rPr>
          <w:rFonts w:eastAsiaTheme="minorEastAsia" w:cs="Times New Roman"/>
          <w:sz w:val="20"/>
          <w:szCs w:val="20"/>
          <w:lang w:val="en-US"/>
        </w:rPr>
        <w:t>;</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r w:rsidRPr="00C566A3">
        <w:rPr>
          <w:rFonts w:eastAsiaTheme="minorEastAsia" w:cs="Times New Roman"/>
          <w:b/>
          <w:bCs/>
          <w:sz w:val="20"/>
          <w:szCs w:val="20"/>
          <w:lang w:val="en-US"/>
        </w:rPr>
        <w:t xml:space="preserve">AND </w:t>
      </w:r>
      <w:r w:rsidRPr="00C566A3">
        <w:rPr>
          <w:rFonts w:eastAsiaTheme="minorEastAsia" w:cs="Times New Roman"/>
          <w:sz w:val="20"/>
          <w:szCs w:val="20"/>
          <w:lang w:val="en-US"/>
        </w:rPr>
        <w:t xml:space="preserve">there appearing to be a sufficient nexus between the written submissions of the Attorney General of Ontario and the constitutional issues raised in this appeal; </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r w:rsidRPr="00C566A3">
        <w:rPr>
          <w:rFonts w:eastAsiaTheme="minorEastAsia" w:cs="Times New Roman"/>
          <w:b/>
          <w:bCs/>
          <w:sz w:val="20"/>
          <w:szCs w:val="20"/>
          <w:lang w:val="en-US"/>
        </w:rPr>
        <w:t>IT IS HEREBY ORDERED THAT:</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ind w:left="360"/>
        <w:jc w:val="both"/>
        <w:rPr>
          <w:rFonts w:eastAsiaTheme="minorEastAsia" w:cs="Times New Roman"/>
          <w:sz w:val="20"/>
          <w:szCs w:val="20"/>
          <w:lang w:val="fr-CA"/>
        </w:rPr>
      </w:pPr>
      <w:r w:rsidRPr="00C566A3">
        <w:rPr>
          <w:rFonts w:eastAsiaTheme="minorEastAsia" w:cs="Times New Roman"/>
          <w:sz w:val="20"/>
          <w:szCs w:val="20"/>
          <w:lang w:val="fr-CA"/>
        </w:rPr>
        <w:t xml:space="preserve">The motion is dismissed. </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widowControl w:val="0"/>
        <w:autoSpaceDE w:val="0"/>
        <w:autoSpaceDN w:val="0"/>
        <w:adjustRightInd w:val="0"/>
        <w:jc w:val="both"/>
        <w:rPr>
          <w:rFonts w:eastAsiaTheme="minorEastAsia" w:cs="Times New Roman"/>
          <w:b/>
          <w:bCs/>
          <w:sz w:val="20"/>
          <w:szCs w:val="20"/>
          <w:lang w:val="fr-CA"/>
        </w:rPr>
      </w:pPr>
      <w:r w:rsidRPr="00C566A3">
        <w:rPr>
          <w:rFonts w:eastAsiaTheme="minorEastAsia" w:cs="Times New Roman"/>
          <w:b/>
          <w:bCs/>
          <w:sz w:val="20"/>
          <w:szCs w:val="20"/>
          <w:lang w:val="fr-CA"/>
        </w:rPr>
        <w:t xml:space="preserve">À LA SUITE DE LA REQUÊTE </w:t>
      </w:r>
      <w:r w:rsidRPr="00C566A3">
        <w:rPr>
          <w:rFonts w:eastAsiaTheme="minorEastAsia" w:cs="Times New Roman"/>
          <w:sz w:val="20"/>
          <w:szCs w:val="20"/>
          <w:lang w:val="fr-CA"/>
        </w:rPr>
        <w:t>présentée par les appelants pour faire radier l’ensemble du mémoire du procureur général de l’Ontario;</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r w:rsidRPr="00C566A3">
        <w:rPr>
          <w:rFonts w:eastAsiaTheme="minorEastAsia" w:cs="Times New Roman"/>
          <w:b/>
          <w:bCs/>
          <w:sz w:val="20"/>
          <w:szCs w:val="20"/>
          <w:lang w:val="fr-CA"/>
        </w:rPr>
        <w:t>APRÈS EXAMEN</w:t>
      </w:r>
      <w:r w:rsidRPr="00C566A3">
        <w:rPr>
          <w:rFonts w:eastAsiaTheme="minorEastAsia" w:cs="Times New Roman"/>
          <w:sz w:val="20"/>
          <w:szCs w:val="20"/>
          <w:lang w:val="fr-CA"/>
        </w:rPr>
        <w:t xml:space="preserve"> des documents déposés;</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r w:rsidRPr="00C566A3">
        <w:rPr>
          <w:rFonts w:eastAsiaTheme="minorEastAsia" w:cs="Times New Roman"/>
          <w:b/>
          <w:bCs/>
          <w:sz w:val="20"/>
          <w:szCs w:val="20"/>
          <w:lang w:val="fr-CA"/>
        </w:rPr>
        <w:t xml:space="preserve">SANS DÉCIDER </w:t>
      </w:r>
      <w:r w:rsidRPr="00C566A3">
        <w:rPr>
          <w:rFonts w:eastAsiaTheme="minorEastAsia" w:cs="Times New Roman"/>
          <w:sz w:val="20"/>
          <w:szCs w:val="20"/>
          <w:lang w:val="fr-CA"/>
        </w:rPr>
        <w:t xml:space="preserve">de l’étendue des interventions permises en vertu de l’art. 61 des </w:t>
      </w:r>
      <w:r w:rsidRPr="00C566A3">
        <w:rPr>
          <w:rFonts w:eastAsiaTheme="minorEastAsia" w:cs="Times New Roman"/>
          <w:i/>
          <w:iCs/>
          <w:sz w:val="20"/>
          <w:szCs w:val="20"/>
          <w:lang w:val="fr-CA"/>
        </w:rPr>
        <w:t>Règles de la Cour suprême du Canada</w:t>
      </w:r>
      <w:r w:rsidRPr="00C566A3">
        <w:rPr>
          <w:rFonts w:eastAsiaTheme="minorEastAsia" w:cs="Times New Roman"/>
          <w:sz w:val="20"/>
          <w:szCs w:val="20"/>
          <w:lang w:val="fr-CA"/>
        </w:rPr>
        <w:t>;</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r w:rsidRPr="00C566A3">
        <w:rPr>
          <w:rFonts w:eastAsiaTheme="minorEastAsia" w:cs="Times New Roman"/>
          <w:b/>
          <w:bCs/>
          <w:sz w:val="20"/>
          <w:szCs w:val="20"/>
          <w:lang w:val="fr-CA"/>
        </w:rPr>
        <w:t xml:space="preserve">ET CONSIDÉRANT </w:t>
      </w:r>
      <w:r w:rsidRPr="00C566A3">
        <w:rPr>
          <w:rFonts w:eastAsiaTheme="minorEastAsia" w:cs="Times New Roman"/>
          <w:sz w:val="20"/>
          <w:szCs w:val="20"/>
          <w:lang w:val="fr-CA"/>
        </w:rPr>
        <w:t xml:space="preserve">qu’il semble exister un lien suffisant entre les observations écrites du procureur général de l’Ontario et les questions constitutionnelles soulevées dans l’appel; </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p>
    <w:p w:rsidR="00401381" w:rsidRDefault="00401381">
      <w:pPr>
        <w:rPr>
          <w:rFonts w:eastAsiaTheme="minorEastAsia" w:cs="Times New Roman"/>
          <w:b/>
          <w:bCs/>
          <w:sz w:val="20"/>
          <w:szCs w:val="20"/>
          <w:lang w:val="fr-CA"/>
        </w:rPr>
      </w:pPr>
      <w:r>
        <w:rPr>
          <w:rFonts w:eastAsiaTheme="minorEastAsia" w:cs="Times New Roman"/>
          <w:b/>
          <w:bCs/>
          <w:sz w:val="20"/>
          <w:szCs w:val="20"/>
          <w:lang w:val="fr-CA"/>
        </w:rPr>
        <w:br w:type="page"/>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r w:rsidRPr="00C566A3">
        <w:rPr>
          <w:rFonts w:eastAsiaTheme="minorEastAsia" w:cs="Times New Roman"/>
          <w:b/>
          <w:bCs/>
          <w:sz w:val="20"/>
          <w:szCs w:val="20"/>
          <w:lang w:val="fr-CA"/>
        </w:rPr>
        <w:lastRenderedPageBreak/>
        <w:t>IL EST ORDONNÉ CE QUI SUIT :</w:t>
      </w:r>
    </w:p>
    <w:p w:rsidR="00C566A3" w:rsidRPr="00C566A3" w:rsidRDefault="00C566A3" w:rsidP="00C566A3">
      <w:pPr>
        <w:widowControl w:val="0"/>
        <w:autoSpaceDE w:val="0"/>
        <w:autoSpaceDN w:val="0"/>
        <w:adjustRightInd w:val="0"/>
        <w:spacing w:line="228" w:lineRule="auto"/>
        <w:jc w:val="both"/>
        <w:rPr>
          <w:rFonts w:eastAsiaTheme="minorEastAsia" w:cs="Times New Roman"/>
          <w:sz w:val="20"/>
          <w:szCs w:val="20"/>
          <w:lang w:val="fr-CA"/>
        </w:rPr>
      </w:pPr>
    </w:p>
    <w:p w:rsidR="00C566A3" w:rsidRPr="00C566A3" w:rsidRDefault="00C566A3" w:rsidP="00C566A3">
      <w:pPr>
        <w:widowControl w:val="0"/>
        <w:autoSpaceDE w:val="0"/>
        <w:autoSpaceDN w:val="0"/>
        <w:adjustRightInd w:val="0"/>
        <w:spacing w:line="233" w:lineRule="auto"/>
        <w:ind w:left="360"/>
        <w:jc w:val="both"/>
        <w:rPr>
          <w:rFonts w:eastAsiaTheme="minorEastAsia" w:cs="Times New Roman"/>
          <w:sz w:val="20"/>
          <w:szCs w:val="20"/>
          <w:lang w:val="fr-CA"/>
        </w:rPr>
      </w:pPr>
      <w:r w:rsidRPr="00C566A3">
        <w:rPr>
          <w:rFonts w:eastAsiaTheme="minorEastAsia" w:cs="Times New Roman"/>
          <w:sz w:val="20"/>
          <w:szCs w:val="20"/>
          <w:lang w:val="fr-CA"/>
        </w:rPr>
        <w:t xml:space="preserve">La requête est rejetée. </w: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Default="007054A6" w:rsidP="00C566A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03.09.2014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Before / Devant :   ROTHSTEIN J. / LE JUGE ROTHSTEIN</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566A3" w:rsidRPr="00C566A3" w:rsidTr="000B112E">
        <w:tc>
          <w:tcPr>
            <w:tcW w:w="4338" w:type="dxa"/>
            <w:gridSpan w:val="2"/>
          </w:tcPr>
          <w:p w:rsidR="00C566A3" w:rsidRPr="00C566A3" w:rsidRDefault="00C566A3" w:rsidP="00C566A3">
            <w:pPr>
              <w:rPr>
                <w:b/>
              </w:rPr>
            </w:pPr>
            <w:r w:rsidRPr="00C566A3">
              <w:rPr>
                <w:b/>
              </w:rPr>
              <w:t>Motion for leave to intervene</w:t>
            </w:r>
            <w:r w:rsidRPr="00C566A3">
              <w:rPr>
                <w:lang w:val="en-US"/>
              </w:rPr>
              <w:t xml:space="preserve"> </w:t>
            </w:r>
            <w:r w:rsidR="0084732B" w:rsidRPr="00C566A3">
              <w:rPr>
                <w:lang w:val="en-US"/>
              </w:rPr>
              <w:fldChar w:fldCharType="begin"/>
            </w:r>
            <w:r w:rsidRPr="00C566A3">
              <w:instrText xml:space="preserve"> SEQ CHAPTER \h \r 1</w:instrText>
            </w:r>
            <w:r w:rsidR="0084732B" w:rsidRPr="00C566A3">
              <w:rPr>
                <w:lang w:val="en-US"/>
              </w:rPr>
              <w:fldChar w:fldCharType="end"/>
            </w:r>
          </w:p>
        </w:tc>
        <w:tc>
          <w:tcPr>
            <w:tcW w:w="1170" w:type="dxa"/>
          </w:tcPr>
          <w:p w:rsidR="00C566A3" w:rsidRPr="00C566A3" w:rsidRDefault="00C566A3" w:rsidP="00C566A3"/>
          <w:p w:rsidR="00C566A3" w:rsidRPr="00C566A3" w:rsidRDefault="00C566A3" w:rsidP="00C566A3"/>
        </w:tc>
        <w:tc>
          <w:tcPr>
            <w:tcW w:w="4327" w:type="dxa"/>
          </w:tcPr>
          <w:p w:rsidR="00C566A3" w:rsidRPr="00C566A3" w:rsidRDefault="00C566A3" w:rsidP="00C566A3">
            <w:pPr>
              <w:rPr>
                <w:b/>
              </w:rPr>
            </w:pPr>
            <w:r w:rsidRPr="00C566A3">
              <w:rPr>
                <w:b/>
                <w:bCs/>
                <w:lang w:val="fr-CA"/>
              </w:rPr>
              <w:t>Requête en autorisation d’intervenir</w:t>
            </w:r>
            <w:r w:rsidRPr="00C566A3">
              <w:rPr>
                <w:lang w:val="en-US"/>
              </w:rPr>
              <w:t xml:space="preserve"> </w:t>
            </w:r>
            <w:r w:rsidR="0084732B" w:rsidRPr="00C566A3">
              <w:rPr>
                <w:lang w:val="en-US"/>
              </w:rPr>
              <w:fldChar w:fldCharType="begin"/>
            </w:r>
            <w:r w:rsidRPr="00C566A3">
              <w:instrText xml:space="preserve"> SEQ CHAPTER \h \r 1</w:instrText>
            </w:r>
            <w:r w:rsidR="0084732B" w:rsidRPr="00C566A3">
              <w:rPr>
                <w:lang w:val="en-US"/>
              </w:rPr>
              <w:fldChar w:fldCharType="end"/>
            </w:r>
          </w:p>
        </w:tc>
      </w:tr>
      <w:tr w:rsidR="00C566A3" w:rsidRPr="00C566A3" w:rsidTr="000B112E">
        <w:trPr>
          <w:trHeight w:hRule="exact" w:val="450"/>
        </w:trPr>
        <w:tc>
          <w:tcPr>
            <w:tcW w:w="1368" w:type="dxa"/>
          </w:tcPr>
          <w:p w:rsidR="00C566A3" w:rsidRPr="00C566A3" w:rsidRDefault="00C566A3" w:rsidP="00C566A3">
            <w:r w:rsidRPr="00C566A3">
              <w:t>BY / PAR</w:t>
            </w:r>
          </w:p>
        </w:tc>
        <w:tc>
          <w:tcPr>
            <w:tcW w:w="2970" w:type="dxa"/>
          </w:tcPr>
          <w:p w:rsidR="00C566A3" w:rsidRPr="00C566A3" w:rsidRDefault="00C566A3" w:rsidP="00C566A3">
            <w:r w:rsidRPr="00C566A3">
              <w:rPr>
                <w:lang w:val="en-US"/>
              </w:rPr>
              <w:t>West Coast Women's Legal Education and Action Fund</w:t>
            </w:r>
          </w:p>
        </w:tc>
        <w:tc>
          <w:tcPr>
            <w:tcW w:w="1170" w:type="dxa"/>
          </w:tcPr>
          <w:p w:rsidR="00C566A3" w:rsidRPr="00C566A3" w:rsidRDefault="00C566A3" w:rsidP="00C566A3"/>
        </w:tc>
        <w:tc>
          <w:tcPr>
            <w:tcW w:w="4327" w:type="dxa"/>
          </w:tcPr>
          <w:p w:rsidR="00C566A3" w:rsidRPr="00C566A3" w:rsidRDefault="00C566A3" w:rsidP="00C566A3"/>
        </w:tc>
      </w:tr>
      <w:tr w:rsidR="00C566A3" w:rsidRPr="00C566A3" w:rsidTr="000B112E">
        <w:tc>
          <w:tcPr>
            <w:tcW w:w="1368" w:type="dxa"/>
          </w:tcPr>
          <w:p w:rsidR="00C566A3" w:rsidRPr="00C566A3" w:rsidRDefault="00C566A3" w:rsidP="00C566A3"/>
        </w:tc>
        <w:tc>
          <w:tcPr>
            <w:tcW w:w="2970" w:type="dxa"/>
          </w:tcPr>
          <w:p w:rsidR="00C566A3" w:rsidRPr="00C566A3" w:rsidRDefault="00C566A3" w:rsidP="00C566A3">
            <w:pPr>
              <w:rPr>
                <w:lang w:val="en-US"/>
              </w:rPr>
            </w:pPr>
          </w:p>
        </w:tc>
        <w:tc>
          <w:tcPr>
            <w:tcW w:w="1170" w:type="dxa"/>
          </w:tcPr>
          <w:p w:rsidR="00C566A3" w:rsidRPr="00C566A3" w:rsidRDefault="00C566A3" w:rsidP="00C566A3"/>
        </w:tc>
        <w:tc>
          <w:tcPr>
            <w:tcW w:w="4327" w:type="dxa"/>
          </w:tcPr>
          <w:p w:rsidR="00C566A3" w:rsidRPr="00C566A3" w:rsidRDefault="00C566A3" w:rsidP="00C566A3"/>
        </w:tc>
      </w:tr>
      <w:tr w:rsidR="00C566A3" w:rsidRPr="00C566A3" w:rsidTr="000B112E">
        <w:tc>
          <w:tcPr>
            <w:tcW w:w="1368" w:type="dxa"/>
          </w:tcPr>
          <w:p w:rsidR="00C566A3" w:rsidRPr="00C566A3" w:rsidRDefault="00C566A3" w:rsidP="00C566A3">
            <w:r w:rsidRPr="00C566A3">
              <w:t>IN / DANS :</w:t>
            </w:r>
          </w:p>
        </w:tc>
        <w:tc>
          <w:tcPr>
            <w:tcW w:w="2970" w:type="dxa"/>
          </w:tcPr>
          <w:p w:rsidR="00C566A3" w:rsidRPr="00C566A3" w:rsidRDefault="00C566A3" w:rsidP="00C566A3">
            <w:r w:rsidRPr="00C566A3">
              <w:t>British Columbia Teachers' Federation et al.</w:t>
            </w:r>
          </w:p>
          <w:p w:rsidR="00C566A3" w:rsidRPr="00C566A3" w:rsidRDefault="00C566A3" w:rsidP="00C566A3"/>
          <w:p w:rsidR="00C566A3" w:rsidRPr="00C566A3" w:rsidRDefault="00C566A3" w:rsidP="00C566A3">
            <w:r w:rsidRPr="00C566A3">
              <w:tab/>
              <w:t>v. (35623)</w:t>
            </w:r>
          </w:p>
          <w:p w:rsidR="00C566A3" w:rsidRPr="00C566A3" w:rsidRDefault="00C566A3" w:rsidP="00C566A3"/>
          <w:p w:rsidR="00C566A3" w:rsidRPr="00C566A3" w:rsidRDefault="00C566A3" w:rsidP="00C566A3">
            <w:r w:rsidRPr="00C566A3">
              <w:t>British Columbia Public School Employers' Association et al. (B.C.)</w:t>
            </w:r>
          </w:p>
        </w:tc>
        <w:tc>
          <w:tcPr>
            <w:tcW w:w="1170" w:type="dxa"/>
          </w:tcPr>
          <w:p w:rsidR="00C566A3" w:rsidRPr="00C566A3" w:rsidRDefault="00C566A3" w:rsidP="00C566A3"/>
        </w:tc>
        <w:tc>
          <w:tcPr>
            <w:tcW w:w="4327" w:type="dxa"/>
          </w:tcPr>
          <w:p w:rsidR="00C566A3" w:rsidRPr="00C566A3" w:rsidRDefault="00C566A3" w:rsidP="00C566A3"/>
        </w:tc>
      </w:tr>
    </w:tbl>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tabs>
          <w:tab w:val="left" w:pos="-1440"/>
          <w:tab w:val="left" w:pos="-720"/>
        </w:tabs>
        <w:jc w:val="both"/>
        <w:rPr>
          <w:rFonts w:eastAsia="Times New Roman" w:cs="Times New Roman"/>
          <w:sz w:val="20"/>
          <w:szCs w:val="20"/>
          <w:lang w:eastAsia="en-CA"/>
        </w:rPr>
      </w:pPr>
      <w:r w:rsidRPr="00C566A3">
        <w:rPr>
          <w:rFonts w:eastAsia="Times New Roman" w:cs="Times New Roman"/>
          <w:b/>
          <w:sz w:val="20"/>
          <w:szCs w:val="20"/>
          <w:lang w:eastAsia="en-CA"/>
        </w:rPr>
        <w:t>GRANTED / ACCORDÉE</w: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 xml:space="preserve">UPON APPLICATION </w:t>
      </w:r>
      <w:r w:rsidRPr="00C566A3">
        <w:rPr>
          <w:rFonts w:eastAsiaTheme="minorEastAsia" w:cs="Times New Roman"/>
          <w:sz w:val="20"/>
          <w:szCs w:val="20"/>
          <w:lang w:val="en-US"/>
        </w:rPr>
        <w:t xml:space="preserve">by </w:t>
      </w:r>
      <w:r w:rsidRPr="00C566A3">
        <w:rPr>
          <w:rFonts w:eastAsiaTheme="minorEastAsia" w:cs="Times New Roman"/>
          <w:sz w:val="20"/>
          <w:szCs w:val="20"/>
        </w:rPr>
        <w:t xml:space="preserve">the West Coast Women’s Legal Education and Action Fund </w:t>
      </w:r>
      <w:r w:rsidRPr="00C566A3">
        <w:rPr>
          <w:rFonts w:eastAsiaTheme="minorEastAsia" w:cs="Times New Roman"/>
          <w:sz w:val="20"/>
          <w:szCs w:val="20"/>
          <w:lang w:val="en-US"/>
        </w:rPr>
        <w:t>for leave to intervene in the above appeal;</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AND THE MATERIAL FILED</w:t>
      </w:r>
      <w:r w:rsidRPr="00C566A3">
        <w:rPr>
          <w:rFonts w:eastAsiaTheme="minorEastAsia" w:cs="Times New Roman"/>
          <w:sz w:val="20"/>
          <w:szCs w:val="20"/>
          <w:lang w:val="en-US"/>
        </w:rPr>
        <w:t xml:space="preserve"> having been read;</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b/>
          <w:bCs/>
          <w:sz w:val="20"/>
          <w:szCs w:val="20"/>
          <w:lang w:val="en-US"/>
        </w:rPr>
        <w:t>IT IS HEREBY ORDERED THAT:</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sz w:val="20"/>
          <w:szCs w:val="20"/>
          <w:lang w:val="en-US"/>
        </w:rPr>
        <w:t xml:space="preserve">The motion for leave to intervene of </w:t>
      </w:r>
      <w:r w:rsidRPr="00C566A3">
        <w:rPr>
          <w:rFonts w:eastAsiaTheme="minorEastAsia" w:cs="Times New Roman"/>
          <w:sz w:val="20"/>
          <w:szCs w:val="20"/>
        </w:rPr>
        <w:t>the West Coast Women’s Legal Education and Action Fund is granted.</w:t>
      </w:r>
      <w:r w:rsidRPr="00C566A3">
        <w:rPr>
          <w:rFonts w:eastAsiaTheme="minorEastAsia" w:cs="Times New Roman"/>
          <w:sz w:val="20"/>
          <w:szCs w:val="20"/>
          <w:lang w:val="en-US"/>
        </w:rPr>
        <w:t xml:space="preserve"> The said intervener shall be entitled to serve and file a factum not exceeding 10 pages in length on or before October 29, 2014 and is granted permission to present oral argument not exceeding ten (10) minutes at the hearing of the appeal.</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401381"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401381">
        <w:rPr>
          <w:rFonts w:eastAsiaTheme="minorEastAsia" w:cs="Times New Roman"/>
          <w:sz w:val="20"/>
          <w:szCs w:val="20"/>
          <w:lang w:val="en-US"/>
        </w:rPr>
        <w:t xml:space="preserve">The intervener is not entitled to raise new issues or to adduce further evidence or otherwise to supplement the record of the parties. The intervener shall ensure that its submissions are not duplicative of those of the parties. </w:t>
      </w: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p>
    <w:p w:rsidR="00C566A3" w:rsidRPr="00C566A3" w:rsidRDefault="00C566A3" w:rsidP="00C566A3">
      <w:pPr>
        <w:widowControl w:val="0"/>
        <w:autoSpaceDE w:val="0"/>
        <w:autoSpaceDN w:val="0"/>
        <w:adjustRightInd w:val="0"/>
        <w:spacing w:line="233" w:lineRule="auto"/>
        <w:jc w:val="both"/>
        <w:rPr>
          <w:rFonts w:eastAsiaTheme="minorEastAsia" w:cs="Times New Roman"/>
          <w:sz w:val="20"/>
          <w:szCs w:val="20"/>
          <w:lang w:val="en-US"/>
        </w:rPr>
      </w:pPr>
      <w:r w:rsidRPr="00C566A3">
        <w:rPr>
          <w:rFonts w:eastAsiaTheme="minorEastAsia" w:cs="Times New Roman"/>
          <w:sz w:val="20"/>
          <w:szCs w:val="20"/>
          <w:lang w:val="en-US"/>
        </w:rPr>
        <w:t>Pursuant to Rule 59(1)(</w:t>
      </w:r>
      <w:r w:rsidRPr="00C566A3">
        <w:rPr>
          <w:rFonts w:eastAsiaTheme="minorEastAsia" w:cs="Times New Roman"/>
          <w:i/>
          <w:iCs/>
          <w:sz w:val="20"/>
          <w:szCs w:val="20"/>
          <w:lang w:val="en-US"/>
        </w:rPr>
        <w:t>a</w:t>
      </w:r>
      <w:r w:rsidRPr="00C566A3">
        <w:rPr>
          <w:rFonts w:eastAsiaTheme="minorEastAsia" w:cs="Times New Roman"/>
          <w:sz w:val="20"/>
          <w:szCs w:val="20"/>
          <w:lang w:val="en-US"/>
        </w:rPr>
        <w:t xml:space="preserve">) of the </w:t>
      </w:r>
      <w:r w:rsidRPr="00C566A3">
        <w:rPr>
          <w:rFonts w:eastAsiaTheme="minorEastAsia" w:cs="Times New Roman"/>
          <w:i/>
          <w:iCs/>
          <w:sz w:val="20"/>
          <w:szCs w:val="20"/>
          <w:lang w:val="en-US"/>
        </w:rPr>
        <w:t>Rules of the Supreme Court of Canada</w:t>
      </w:r>
      <w:r w:rsidRPr="00C566A3">
        <w:rPr>
          <w:rFonts w:eastAsiaTheme="minorEastAsia" w:cs="Times New Roman"/>
          <w:sz w:val="20"/>
          <w:szCs w:val="20"/>
          <w:lang w:val="en-US"/>
        </w:rPr>
        <w:t xml:space="preserve">, the intervener shall pay to the appellants and respondents any additional disbursements occasioned to the appellants and respondents by their intervention. </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spacing w:line="233" w:lineRule="auto"/>
        <w:jc w:val="both"/>
        <w:rPr>
          <w:rFonts w:eastAsia="Times New Roman" w:cs="Times New Roman"/>
          <w:sz w:val="20"/>
          <w:szCs w:val="20"/>
          <w:lang w:val="fr-CA" w:eastAsia="en-CA"/>
        </w:rPr>
      </w:pPr>
      <w:r w:rsidRPr="00C566A3">
        <w:rPr>
          <w:rFonts w:eastAsia="Times New Roman" w:cs="Times New Roman"/>
          <w:b/>
          <w:bCs/>
          <w:sz w:val="20"/>
          <w:szCs w:val="20"/>
          <w:lang w:val="fr-CA" w:eastAsia="en-CA"/>
        </w:rPr>
        <w:t xml:space="preserve">À LA SUITE DE LA REQUÊTE </w:t>
      </w:r>
      <w:r w:rsidRPr="00C566A3">
        <w:rPr>
          <w:rFonts w:eastAsia="Times New Roman" w:cs="Times New Roman"/>
          <w:sz w:val="20"/>
          <w:szCs w:val="20"/>
          <w:lang w:val="fr-CA" w:eastAsia="en-CA"/>
        </w:rPr>
        <w:t>présentée par le West Coast Women’s Legal Education and Action Fund en vue d’intervenir dans l’appel;</w:t>
      </w:r>
    </w:p>
    <w:p w:rsidR="00C566A3" w:rsidRPr="00C566A3" w:rsidRDefault="00C566A3" w:rsidP="00C566A3">
      <w:pPr>
        <w:spacing w:line="233" w:lineRule="auto"/>
        <w:jc w:val="both"/>
        <w:rPr>
          <w:rFonts w:eastAsia="Times New Roman" w:cs="Times New Roman"/>
          <w:sz w:val="20"/>
          <w:szCs w:val="20"/>
          <w:lang w:val="fr-CA" w:eastAsia="en-CA"/>
        </w:rPr>
      </w:pPr>
    </w:p>
    <w:p w:rsidR="00C566A3" w:rsidRPr="00C566A3" w:rsidRDefault="00C566A3" w:rsidP="00C566A3">
      <w:pPr>
        <w:spacing w:line="233" w:lineRule="auto"/>
        <w:jc w:val="both"/>
        <w:rPr>
          <w:rFonts w:eastAsia="Times New Roman" w:cs="Times New Roman"/>
          <w:sz w:val="20"/>
          <w:szCs w:val="20"/>
          <w:lang w:val="fr-CA" w:eastAsia="en-CA"/>
        </w:rPr>
      </w:pPr>
      <w:r w:rsidRPr="00C566A3">
        <w:rPr>
          <w:rFonts w:eastAsia="Times New Roman" w:cs="Times New Roman"/>
          <w:b/>
          <w:bCs/>
          <w:sz w:val="20"/>
          <w:szCs w:val="20"/>
          <w:lang w:val="fr-CA" w:eastAsia="en-CA"/>
        </w:rPr>
        <w:t>ET APRÈS EXAMEN</w:t>
      </w:r>
      <w:r w:rsidRPr="00C566A3">
        <w:rPr>
          <w:rFonts w:eastAsia="Times New Roman" w:cs="Times New Roman"/>
          <w:sz w:val="20"/>
          <w:szCs w:val="20"/>
          <w:lang w:val="fr-CA" w:eastAsia="en-CA"/>
        </w:rPr>
        <w:t xml:space="preserve"> des documents déposés;</w:t>
      </w:r>
    </w:p>
    <w:p w:rsidR="00C566A3" w:rsidRPr="00C566A3" w:rsidRDefault="00C566A3" w:rsidP="00C566A3">
      <w:pPr>
        <w:spacing w:line="233" w:lineRule="auto"/>
        <w:jc w:val="both"/>
        <w:rPr>
          <w:rFonts w:eastAsia="Times New Roman" w:cs="Times New Roman"/>
          <w:sz w:val="20"/>
          <w:szCs w:val="20"/>
          <w:lang w:val="fr-CA" w:eastAsia="en-CA"/>
        </w:rPr>
      </w:pPr>
    </w:p>
    <w:p w:rsidR="00C566A3" w:rsidRPr="00C566A3" w:rsidRDefault="00C566A3" w:rsidP="00C566A3">
      <w:pPr>
        <w:spacing w:line="233" w:lineRule="auto"/>
        <w:jc w:val="both"/>
        <w:rPr>
          <w:rFonts w:eastAsia="Times New Roman" w:cs="Times New Roman"/>
          <w:sz w:val="20"/>
          <w:szCs w:val="20"/>
          <w:lang w:val="fr-CA" w:eastAsia="en-CA"/>
        </w:rPr>
      </w:pPr>
      <w:r w:rsidRPr="00C566A3">
        <w:rPr>
          <w:rFonts w:eastAsia="Times New Roman" w:cs="Times New Roman"/>
          <w:b/>
          <w:bCs/>
          <w:sz w:val="20"/>
          <w:szCs w:val="20"/>
          <w:lang w:val="fr-CA" w:eastAsia="en-CA"/>
        </w:rPr>
        <w:t>IL EST ORDONNÉ CE QUI SUIT :</w:t>
      </w:r>
    </w:p>
    <w:p w:rsidR="00C566A3" w:rsidRPr="00C566A3" w:rsidRDefault="00C566A3" w:rsidP="00C566A3">
      <w:pPr>
        <w:spacing w:line="233" w:lineRule="auto"/>
        <w:jc w:val="both"/>
        <w:rPr>
          <w:rFonts w:eastAsia="Times New Roman" w:cs="Times New Roman"/>
          <w:sz w:val="20"/>
          <w:szCs w:val="20"/>
          <w:lang w:val="fr-CA" w:eastAsia="en-CA"/>
        </w:rPr>
      </w:pPr>
    </w:p>
    <w:p w:rsidR="00C566A3" w:rsidRPr="00C566A3" w:rsidRDefault="00C566A3" w:rsidP="00C566A3">
      <w:pPr>
        <w:spacing w:line="233" w:lineRule="auto"/>
        <w:jc w:val="both"/>
        <w:rPr>
          <w:rFonts w:eastAsia="Times New Roman" w:cs="Times New Roman"/>
          <w:sz w:val="20"/>
          <w:szCs w:val="20"/>
          <w:lang w:val="fr-CA" w:eastAsia="en-CA"/>
        </w:rPr>
      </w:pPr>
      <w:r w:rsidRPr="00C566A3">
        <w:rPr>
          <w:rFonts w:eastAsia="Times New Roman" w:cs="Times New Roman"/>
          <w:sz w:val="20"/>
          <w:szCs w:val="20"/>
          <w:lang w:val="fr-CA" w:eastAsia="en-CA"/>
        </w:rPr>
        <w:t>La requête en autorisation d’intervenir présentée par le West Coast Women’s Legal Education and Action Fund est accueillie.  Cet intervenant est autorisé à signifier et à déposer un mémoire d’au plus 10 pages au plus tard le 29 octobre 2014, et est autorisé à présenter une plaidoirie orale d’au plus dix (10) minutes lors de l’audition de l’appel.</w:t>
      </w:r>
    </w:p>
    <w:p w:rsidR="00C566A3" w:rsidRPr="00C566A3" w:rsidRDefault="00C566A3" w:rsidP="00C566A3">
      <w:pPr>
        <w:spacing w:line="233" w:lineRule="auto"/>
        <w:jc w:val="both"/>
        <w:rPr>
          <w:rFonts w:eastAsia="Times New Roman" w:cs="Times New Roman"/>
          <w:sz w:val="20"/>
          <w:szCs w:val="20"/>
          <w:lang w:val="fr-CA" w:eastAsia="en-CA"/>
        </w:rPr>
      </w:pPr>
    </w:p>
    <w:p w:rsidR="00C566A3" w:rsidRPr="00401381" w:rsidRDefault="00C566A3" w:rsidP="00C566A3">
      <w:pPr>
        <w:spacing w:line="233" w:lineRule="auto"/>
        <w:jc w:val="both"/>
        <w:rPr>
          <w:rFonts w:eastAsia="Times New Roman" w:cs="Times New Roman"/>
          <w:sz w:val="20"/>
          <w:szCs w:val="20"/>
          <w:lang w:val="fr-CA" w:eastAsia="en-CA"/>
        </w:rPr>
      </w:pPr>
      <w:r w:rsidRPr="00401381">
        <w:rPr>
          <w:rFonts w:eastAsia="Times New Roman" w:cs="Times New Roman"/>
          <w:sz w:val="20"/>
          <w:szCs w:val="20"/>
          <w:lang w:val="fr-CA" w:eastAsia="en-CA"/>
        </w:rPr>
        <w:lastRenderedPageBreak/>
        <w:t xml:space="preserve">L’intervenant n’a pas le droit de soulever de nouvelles questions, de produire d’autres éléments de preuve ni de compléter de quelque autre façon le dossier des parties, et devra s’assurer que ses observations diffèrent de celles des parties. </w:t>
      </w:r>
    </w:p>
    <w:p w:rsidR="00C566A3" w:rsidRPr="00C566A3" w:rsidRDefault="00C566A3" w:rsidP="00C566A3">
      <w:pPr>
        <w:spacing w:line="233" w:lineRule="auto"/>
        <w:jc w:val="both"/>
        <w:rPr>
          <w:rFonts w:eastAsia="Times New Roman" w:cs="Times New Roman"/>
          <w:sz w:val="20"/>
          <w:szCs w:val="20"/>
          <w:lang w:val="fr-CA" w:eastAsia="en-CA"/>
        </w:rPr>
      </w:pPr>
    </w:p>
    <w:p w:rsidR="00C566A3" w:rsidRPr="00C566A3" w:rsidRDefault="00C566A3" w:rsidP="00C566A3">
      <w:pPr>
        <w:spacing w:line="233" w:lineRule="auto"/>
        <w:jc w:val="both"/>
        <w:rPr>
          <w:rFonts w:eastAsia="Times New Roman" w:cs="Times New Roman"/>
          <w:sz w:val="20"/>
          <w:szCs w:val="20"/>
          <w:lang w:val="fr-CA" w:eastAsia="en-CA"/>
        </w:rPr>
      </w:pPr>
      <w:r w:rsidRPr="00C566A3">
        <w:rPr>
          <w:rFonts w:eastAsia="Times New Roman" w:cs="Times New Roman"/>
          <w:sz w:val="20"/>
          <w:szCs w:val="20"/>
          <w:lang w:val="fr-CA" w:eastAsia="en-CA"/>
        </w:rPr>
        <w:t>Conformément à l’al. 59(1)</w:t>
      </w:r>
      <w:r w:rsidRPr="00C566A3">
        <w:rPr>
          <w:rFonts w:eastAsia="Times New Roman" w:cs="Times New Roman"/>
          <w:i/>
          <w:iCs/>
          <w:sz w:val="20"/>
          <w:szCs w:val="20"/>
          <w:lang w:val="fr-CA" w:eastAsia="en-CA"/>
        </w:rPr>
        <w:t>a</w:t>
      </w:r>
      <w:r w:rsidRPr="00C566A3">
        <w:rPr>
          <w:rFonts w:eastAsia="Times New Roman" w:cs="Times New Roman"/>
          <w:sz w:val="20"/>
          <w:szCs w:val="20"/>
          <w:lang w:val="fr-CA" w:eastAsia="en-CA"/>
        </w:rPr>
        <w:t xml:space="preserve">) des </w:t>
      </w:r>
      <w:r w:rsidRPr="00C566A3">
        <w:rPr>
          <w:rFonts w:eastAsia="Times New Roman" w:cs="Times New Roman"/>
          <w:i/>
          <w:iCs/>
          <w:sz w:val="20"/>
          <w:szCs w:val="20"/>
          <w:lang w:val="fr-CA" w:eastAsia="en-CA"/>
        </w:rPr>
        <w:t>Règles de la Cour suprême du Canada</w:t>
      </w:r>
      <w:r w:rsidRPr="00C566A3">
        <w:rPr>
          <w:rFonts w:eastAsia="Times New Roman" w:cs="Times New Roman"/>
          <w:sz w:val="20"/>
          <w:szCs w:val="20"/>
          <w:lang w:val="fr-CA" w:eastAsia="en-CA"/>
        </w:rPr>
        <w:t xml:space="preserve">, l’intervenant paiera aux appelantes et aux intimés tous débours supplémentaires résultant de son intervention. </w:t>
      </w:r>
    </w:p>
    <w:p w:rsidR="00C566A3" w:rsidRPr="00C566A3" w:rsidRDefault="00C566A3" w:rsidP="00C566A3">
      <w:pPr>
        <w:spacing w:line="233" w:lineRule="auto"/>
        <w:rPr>
          <w:rFonts w:eastAsia="Times New Roman" w:cs="Times New Roman"/>
          <w:sz w:val="20"/>
          <w:szCs w:val="20"/>
          <w:lang w:val="fr-CA" w:eastAsia="en-CA"/>
        </w:rPr>
      </w:pPr>
    </w:p>
    <w:p w:rsidR="00C566A3" w:rsidRPr="00C566A3" w:rsidRDefault="007054A6" w:rsidP="00C566A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29.08.2014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C566A3" w:rsidP="00C566A3">
      <w:pPr>
        <w:tabs>
          <w:tab w:val="left" w:pos="-1440"/>
          <w:tab w:val="left" w:pos="-720"/>
        </w:tabs>
        <w:jc w:val="both"/>
        <w:rPr>
          <w:rFonts w:eastAsia="Times New Roman" w:cs="Times New Roman"/>
          <w:sz w:val="20"/>
          <w:szCs w:val="20"/>
          <w:lang w:val="fr-CA" w:eastAsia="en-CA"/>
        </w:rPr>
      </w:pPr>
      <w:r w:rsidRPr="00C566A3">
        <w:rPr>
          <w:rFonts w:eastAsia="Times New Roman" w:cs="Times New Roman"/>
          <w:sz w:val="20"/>
          <w:szCs w:val="20"/>
          <w:lang w:val="fr-CA" w:eastAsia="en-CA"/>
        </w:rPr>
        <w:t>Before / Devant :   THE CHIEF JUSTICE / LA JUGE EN CHEF</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566A3" w:rsidRPr="007054A6" w:rsidTr="000B112E">
        <w:tc>
          <w:tcPr>
            <w:tcW w:w="4338" w:type="dxa"/>
          </w:tcPr>
          <w:p w:rsidR="00C566A3" w:rsidRPr="00C566A3" w:rsidRDefault="0084732B" w:rsidP="00C566A3">
            <w:pPr>
              <w:tabs>
                <w:tab w:val="left" w:pos="-1440"/>
                <w:tab w:val="left" w:pos="-720"/>
              </w:tabs>
              <w:jc w:val="both"/>
              <w:rPr>
                <w:b/>
              </w:rPr>
            </w:pPr>
            <w:r w:rsidRPr="00C566A3">
              <w:rPr>
                <w:lang w:val="en-US"/>
              </w:rPr>
              <w:fldChar w:fldCharType="begin"/>
            </w:r>
            <w:r w:rsidR="00C566A3" w:rsidRPr="00C566A3">
              <w:rPr>
                <w:lang w:val="en-US"/>
              </w:rPr>
              <w:instrText xml:space="preserve"> SEQ CHAPTER \h \r 1</w:instrText>
            </w:r>
            <w:r w:rsidRPr="00C566A3">
              <w:rPr>
                <w:lang w:val="en-US"/>
              </w:rPr>
              <w:fldChar w:fldCharType="end"/>
            </w:r>
            <w:r w:rsidR="00C566A3" w:rsidRPr="00C566A3">
              <w:rPr>
                <w:b/>
                <w:bCs/>
                <w:lang w:val="en-US"/>
              </w:rPr>
              <w:t>Motions to extend time</w:t>
            </w:r>
          </w:p>
        </w:tc>
        <w:tc>
          <w:tcPr>
            <w:tcW w:w="1170" w:type="dxa"/>
          </w:tcPr>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pPr>
          </w:p>
        </w:tc>
        <w:tc>
          <w:tcPr>
            <w:tcW w:w="4327" w:type="dxa"/>
          </w:tcPr>
          <w:p w:rsidR="00C566A3" w:rsidRPr="00C566A3" w:rsidRDefault="00C566A3" w:rsidP="00C566A3">
            <w:pPr>
              <w:tabs>
                <w:tab w:val="left" w:pos="-1440"/>
                <w:tab w:val="left" w:pos="-720"/>
              </w:tabs>
              <w:jc w:val="both"/>
              <w:rPr>
                <w:lang w:val="fr-CA"/>
              </w:rPr>
            </w:pPr>
            <w:r w:rsidRPr="00C566A3">
              <w:rPr>
                <w:b/>
                <w:bCs/>
                <w:color w:val="000000"/>
                <w:lang w:val="fr-CA"/>
              </w:rPr>
              <w:t>Requêtes en prorogation de délai</w:t>
            </w:r>
            <w:r w:rsidRPr="00C566A3">
              <w:rPr>
                <w:lang w:val="fr-CA"/>
              </w:rPr>
              <w:t xml:space="preserve"> </w:t>
            </w:r>
            <w:r w:rsidR="0084732B" w:rsidRPr="00C566A3">
              <w:rPr>
                <w:lang w:val="en-US"/>
              </w:rPr>
              <w:fldChar w:fldCharType="begin"/>
            </w:r>
            <w:r w:rsidRPr="00C566A3">
              <w:rPr>
                <w:lang w:val="fr-CA"/>
              </w:rPr>
              <w:instrText xml:space="preserve"> SEQ CHAPTER \h \r 1</w:instrText>
            </w:r>
            <w:r w:rsidR="0084732B" w:rsidRPr="00C566A3">
              <w:rPr>
                <w:lang w:val="en-US"/>
              </w:rPr>
              <w:fldChar w:fldCharType="end"/>
            </w:r>
            <w:r w:rsidR="0084732B" w:rsidRPr="00C566A3">
              <w:rPr>
                <w:lang w:val="en-US"/>
              </w:rPr>
              <w:fldChar w:fldCharType="begin"/>
            </w:r>
            <w:r w:rsidRPr="00C566A3">
              <w:rPr>
                <w:lang w:val="fr-CA"/>
              </w:rPr>
              <w:instrText xml:space="preserve"> SEQ CHAPTER \h \r 1</w:instrText>
            </w:r>
            <w:r w:rsidR="0084732B" w:rsidRPr="00C566A3">
              <w:rPr>
                <w:lang w:val="en-US"/>
              </w:rPr>
              <w:fldChar w:fldCharType="end"/>
            </w:r>
          </w:p>
        </w:tc>
      </w:tr>
      <w:tr w:rsidR="00C566A3" w:rsidRPr="00C566A3" w:rsidTr="000B112E">
        <w:tc>
          <w:tcPr>
            <w:tcW w:w="4338" w:type="dxa"/>
          </w:tcPr>
          <w:p w:rsidR="00C566A3" w:rsidRPr="00C566A3" w:rsidRDefault="00C566A3" w:rsidP="00C566A3">
            <w:pPr>
              <w:tabs>
                <w:tab w:val="left" w:pos="-1440"/>
                <w:tab w:val="left" w:pos="-720"/>
              </w:tabs>
              <w:jc w:val="both"/>
            </w:pPr>
            <w:r w:rsidRPr="00C566A3">
              <w:t>Jesus Rodriguez Hernandez</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pPr>
            <w:r w:rsidRPr="00C566A3">
              <w:tab/>
              <w:t>v. (35677)</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rPr>
                <w:lang w:val="en-US"/>
              </w:rPr>
            </w:pPr>
            <w:r w:rsidRPr="00C566A3">
              <w:t xml:space="preserve">Minister of Public Safety and Emergency Preparedness </w:t>
            </w:r>
            <w:r w:rsidRPr="00C566A3">
              <w:rPr>
                <w:lang w:val="en-US"/>
              </w:rPr>
              <w:t>(F.C.)</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rPr>
                <w:lang w:val="en-US"/>
              </w:rPr>
            </w:pPr>
            <w:r w:rsidRPr="00C566A3">
              <w:rPr>
                <w:lang w:val="en-US"/>
              </w:rPr>
              <w:t xml:space="preserve">– and between – </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pPr>
            <w:r w:rsidRPr="00C566A3">
              <w:t>B306</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pPr>
            <w:r w:rsidRPr="00C566A3">
              <w:tab/>
              <w:t>v. (35685)</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rPr>
                <w:lang w:val="en-US"/>
              </w:rPr>
            </w:pPr>
            <w:r w:rsidRPr="00C566A3">
              <w:t xml:space="preserve">Minister of Public Safety and Emergency Preparedness </w:t>
            </w:r>
            <w:r w:rsidRPr="00C566A3">
              <w:rPr>
                <w:lang w:val="en-US"/>
              </w:rPr>
              <w:t>(F.C.)</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rPr>
                <w:lang w:val="en-US"/>
              </w:rPr>
            </w:pPr>
            <w:r w:rsidRPr="00C566A3">
              <w:rPr>
                <w:lang w:val="en-US"/>
              </w:rPr>
              <w:t xml:space="preserve">– and between – </w:t>
            </w:r>
          </w:p>
          <w:p w:rsidR="00C566A3" w:rsidRPr="00C566A3" w:rsidRDefault="00C566A3" w:rsidP="00C566A3">
            <w:pPr>
              <w:tabs>
                <w:tab w:val="left" w:pos="-1440"/>
                <w:tab w:val="left" w:pos="-720"/>
              </w:tabs>
              <w:jc w:val="both"/>
              <w:rPr>
                <w:lang w:val="en-US"/>
              </w:rPr>
            </w:pPr>
          </w:p>
          <w:p w:rsidR="00C566A3" w:rsidRPr="00C566A3" w:rsidRDefault="00C566A3" w:rsidP="00C566A3">
            <w:pPr>
              <w:tabs>
                <w:tab w:val="left" w:pos="-1440"/>
                <w:tab w:val="left" w:pos="-720"/>
              </w:tabs>
              <w:jc w:val="both"/>
            </w:pPr>
            <w:r w:rsidRPr="00C566A3">
              <w:t>J.P. et al.</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pPr>
            <w:r w:rsidRPr="00C566A3">
              <w:tab/>
              <w:t>v. (35688)</w:t>
            </w:r>
          </w:p>
          <w:p w:rsidR="00C566A3" w:rsidRPr="00C566A3" w:rsidRDefault="00C566A3" w:rsidP="00C566A3">
            <w:pPr>
              <w:tabs>
                <w:tab w:val="left" w:pos="-1440"/>
                <w:tab w:val="left" w:pos="-720"/>
              </w:tabs>
              <w:jc w:val="both"/>
            </w:pPr>
          </w:p>
          <w:p w:rsidR="00C566A3" w:rsidRPr="00C566A3" w:rsidRDefault="00C566A3" w:rsidP="00C566A3">
            <w:pPr>
              <w:tabs>
                <w:tab w:val="left" w:pos="-1440"/>
                <w:tab w:val="left" w:pos="-720"/>
              </w:tabs>
              <w:jc w:val="both"/>
              <w:rPr>
                <w:lang w:val="en-US"/>
              </w:rPr>
            </w:pPr>
            <w:r w:rsidRPr="00C566A3">
              <w:t xml:space="preserve">Minister of Public Safety and Emergency Preparedness </w:t>
            </w:r>
            <w:r w:rsidRPr="00C566A3">
              <w:rPr>
                <w:lang w:val="en-US"/>
              </w:rPr>
              <w:t>(F.C.)</w:t>
            </w:r>
          </w:p>
        </w:tc>
        <w:tc>
          <w:tcPr>
            <w:tcW w:w="1170" w:type="dxa"/>
          </w:tcPr>
          <w:p w:rsidR="00C566A3" w:rsidRPr="00C566A3" w:rsidRDefault="00C566A3" w:rsidP="00C566A3">
            <w:pPr>
              <w:tabs>
                <w:tab w:val="left" w:pos="-1440"/>
                <w:tab w:val="left" w:pos="-720"/>
              </w:tabs>
              <w:jc w:val="both"/>
              <w:rPr>
                <w:lang w:val="en-US"/>
              </w:rPr>
            </w:pPr>
          </w:p>
        </w:tc>
        <w:tc>
          <w:tcPr>
            <w:tcW w:w="4327" w:type="dxa"/>
          </w:tcPr>
          <w:p w:rsidR="00C566A3" w:rsidRPr="00C566A3" w:rsidRDefault="00C566A3" w:rsidP="00C566A3">
            <w:pPr>
              <w:tabs>
                <w:tab w:val="left" w:pos="-1440"/>
                <w:tab w:val="left" w:pos="-720"/>
              </w:tabs>
              <w:jc w:val="both"/>
              <w:rPr>
                <w:lang w:val="en-US"/>
              </w:rPr>
            </w:pPr>
          </w:p>
        </w:tc>
      </w:tr>
    </w:tbl>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b/>
          <w:sz w:val="20"/>
          <w:szCs w:val="20"/>
          <w:lang w:eastAsia="en-CA"/>
        </w:rPr>
      </w:pPr>
      <w:r w:rsidRPr="00C566A3">
        <w:rPr>
          <w:rFonts w:eastAsia="Times New Roman" w:cs="Times New Roman"/>
          <w:b/>
          <w:sz w:val="20"/>
          <w:szCs w:val="20"/>
          <w:lang w:eastAsia="en-CA"/>
        </w:rPr>
        <w:t>GRANTED / ACCORDÉE</w:t>
      </w:r>
    </w:p>
    <w:p w:rsidR="00C566A3" w:rsidRPr="00C566A3" w:rsidRDefault="00C566A3" w:rsidP="00C566A3">
      <w:pPr>
        <w:tabs>
          <w:tab w:val="left" w:pos="-1440"/>
          <w:tab w:val="left" w:pos="-720"/>
        </w:tabs>
        <w:jc w:val="both"/>
        <w:rPr>
          <w:rFonts w:eastAsia="Times New Roman" w:cs="Times New Roman"/>
          <w:sz w:val="20"/>
          <w:szCs w:val="20"/>
          <w:lang w:eastAsia="en-CA"/>
        </w:rPr>
      </w:pPr>
    </w:p>
    <w:p w:rsidR="00C566A3" w:rsidRPr="00C566A3" w:rsidRDefault="00C566A3" w:rsidP="00C566A3">
      <w:pPr>
        <w:autoSpaceDE w:val="0"/>
        <w:autoSpaceDN w:val="0"/>
        <w:adjustRightInd w:val="0"/>
        <w:jc w:val="both"/>
        <w:rPr>
          <w:rFonts w:eastAsiaTheme="minorEastAsia" w:cs="Times New Roman"/>
          <w:sz w:val="20"/>
          <w:szCs w:val="20"/>
          <w:lang w:val="en-US"/>
        </w:rPr>
      </w:pPr>
      <w:r w:rsidRPr="00C566A3">
        <w:rPr>
          <w:rFonts w:eastAsiaTheme="minorEastAsia" w:cs="Times New Roman"/>
          <w:b/>
          <w:bCs/>
          <w:sz w:val="20"/>
          <w:szCs w:val="20"/>
          <w:lang w:val="en-US"/>
        </w:rPr>
        <w:t>UPON APPLICATION</w:t>
      </w:r>
      <w:r w:rsidRPr="00C566A3">
        <w:rPr>
          <w:rFonts w:eastAsiaTheme="minorEastAsia" w:cs="Times New Roman"/>
          <w:sz w:val="20"/>
          <w:szCs w:val="20"/>
          <w:lang w:val="en-US"/>
        </w:rPr>
        <w:t xml:space="preserve"> by all appellants and the respondent in the</w:t>
      </w:r>
      <w:r w:rsidR="0084732B" w:rsidRPr="00C566A3">
        <w:rPr>
          <w:rFonts w:eastAsiaTheme="minorEastAsia" w:cs="Times New Roman"/>
          <w:sz w:val="20"/>
          <w:szCs w:val="20"/>
        </w:rPr>
        <w:fldChar w:fldCharType="begin"/>
      </w:r>
      <w:r w:rsidRPr="00C566A3">
        <w:rPr>
          <w:rFonts w:eastAsiaTheme="minorEastAsia" w:cs="Times New Roman"/>
          <w:sz w:val="20"/>
          <w:szCs w:val="20"/>
        </w:rPr>
        <w:instrText xml:space="preserve"> SEQ CHAPTER \h \r 1</w:instrText>
      </w:r>
      <w:r w:rsidR="0084732B" w:rsidRPr="00C566A3">
        <w:rPr>
          <w:rFonts w:eastAsiaTheme="minorEastAsia" w:cs="Times New Roman"/>
          <w:sz w:val="20"/>
          <w:szCs w:val="20"/>
        </w:rPr>
        <w:fldChar w:fldCharType="end"/>
      </w:r>
      <w:r w:rsidRPr="00C566A3">
        <w:rPr>
          <w:rFonts w:eastAsiaTheme="minorEastAsia" w:cs="Times New Roman"/>
          <w:sz w:val="20"/>
          <w:szCs w:val="20"/>
          <w:lang w:val="en-US"/>
        </w:rPr>
        <w:t xml:space="preserve"> above appeals for an order extending 1) the time to serve and file their appeal materials in each appeal; 2) the deadline for serving and filing any motion for leave to intervene; and 3) other deadlines set out in the order dated June 9, 2014;</w:t>
      </w:r>
    </w:p>
    <w:p w:rsidR="00C566A3" w:rsidRPr="00C566A3" w:rsidRDefault="00C566A3" w:rsidP="00C566A3">
      <w:pPr>
        <w:autoSpaceDE w:val="0"/>
        <w:autoSpaceDN w:val="0"/>
        <w:adjustRightInd w:val="0"/>
        <w:jc w:val="both"/>
        <w:rPr>
          <w:rFonts w:eastAsiaTheme="minorEastAsia" w:cs="Times New Roman"/>
          <w:b/>
          <w:bCs/>
          <w:sz w:val="20"/>
          <w:szCs w:val="20"/>
          <w:lang w:val="en-US"/>
        </w:rPr>
      </w:pPr>
    </w:p>
    <w:p w:rsidR="00C566A3" w:rsidRPr="00C566A3" w:rsidRDefault="00C566A3" w:rsidP="00C566A3">
      <w:pPr>
        <w:autoSpaceDE w:val="0"/>
        <w:autoSpaceDN w:val="0"/>
        <w:adjustRightInd w:val="0"/>
        <w:jc w:val="both"/>
        <w:rPr>
          <w:rFonts w:eastAsiaTheme="minorEastAsia" w:cs="Times New Roman"/>
          <w:sz w:val="20"/>
          <w:szCs w:val="20"/>
          <w:lang w:val="en-US"/>
        </w:rPr>
      </w:pPr>
      <w:r w:rsidRPr="00C566A3">
        <w:rPr>
          <w:rFonts w:eastAsiaTheme="minorEastAsia" w:cs="Times New Roman"/>
          <w:b/>
          <w:bCs/>
          <w:sz w:val="20"/>
          <w:szCs w:val="20"/>
          <w:lang w:val="en-US"/>
        </w:rPr>
        <w:t>AND THE MATERIAL FILED</w:t>
      </w:r>
      <w:r w:rsidRPr="00C566A3">
        <w:rPr>
          <w:rFonts w:eastAsiaTheme="minorEastAsia" w:cs="Times New Roman"/>
          <w:sz w:val="20"/>
          <w:szCs w:val="20"/>
          <w:lang w:val="en-US"/>
        </w:rPr>
        <w:t xml:space="preserve"> having been read;</w:t>
      </w:r>
    </w:p>
    <w:p w:rsidR="00C566A3" w:rsidRPr="00C566A3" w:rsidRDefault="00C566A3" w:rsidP="00C566A3">
      <w:pPr>
        <w:autoSpaceDE w:val="0"/>
        <w:autoSpaceDN w:val="0"/>
        <w:adjustRightInd w:val="0"/>
        <w:jc w:val="both"/>
        <w:rPr>
          <w:rFonts w:eastAsiaTheme="minorEastAsia" w:cs="Times New Roman"/>
          <w:b/>
          <w:sz w:val="20"/>
          <w:szCs w:val="20"/>
          <w:lang w:val="en-US"/>
        </w:rPr>
      </w:pPr>
    </w:p>
    <w:p w:rsidR="00C566A3" w:rsidRPr="00C566A3" w:rsidRDefault="00C566A3" w:rsidP="00C566A3">
      <w:pPr>
        <w:autoSpaceDE w:val="0"/>
        <w:autoSpaceDN w:val="0"/>
        <w:adjustRightInd w:val="0"/>
        <w:jc w:val="both"/>
        <w:rPr>
          <w:rFonts w:eastAsiaTheme="minorEastAsia" w:cs="Times New Roman"/>
          <w:sz w:val="20"/>
          <w:szCs w:val="20"/>
          <w:lang w:val="en-US"/>
        </w:rPr>
      </w:pPr>
      <w:r w:rsidRPr="00C566A3">
        <w:rPr>
          <w:rFonts w:eastAsiaTheme="minorEastAsia" w:cs="Times New Roman"/>
          <w:b/>
          <w:sz w:val="20"/>
          <w:szCs w:val="20"/>
          <w:lang w:val="en-US"/>
        </w:rPr>
        <w:t>AND UPON THE CONSENT</w:t>
      </w:r>
      <w:r w:rsidRPr="00C566A3">
        <w:rPr>
          <w:rFonts w:eastAsiaTheme="minorEastAsia" w:cs="Times New Roman"/>
          <w:sz w:val="20"/>
          <w:szCs w:val="20"/>
          <w:lang w:val="en-US"/>
        </w:rPr>
        <w:t xml:space="preserve"> of all parties;</w:t>
      </w:r>
    </w:p>
    <w:p w:rsidR="00C566A3" w:rsidRPr="00C566A3" w:rsidRDefault="00C566A3" w:rsidP="00C566A3">
      <w:pPr>
        <w:autoSpaceDE w:val="0"/>
        <w:autoSpaceDN w:val="0"/>
        <w:adjustRightInd w:val="0"/>
        <w:jc w:val="both"/>
        <w:rPr>
          <w:rFonts w:eastAsiaTheme="minorEastAsia" w:cs="Times New Roman"/>
          <w:sz w:val="20"/>
          <w:szCs w:val="20"/>
          <w:lang w:val="en-US"/>
        </w:rPr>
      </w:pPr>
    </w:p>
    <w:p w:rsidR="00C566A3" w:rsidRPr="00C566A3" w:rsidRDefault="00C566A3" w:rsidP="00C566A3">
      <w:pPr>
        <w:autoSpaceDE w:val="0"/>
        <w:autoSpaceDN w:val="0"/>
        <w:adjustRightInd w:val="0"/>
        <w:jc w:val="both"/>
        <w:rPr>
          <w:rFonts w:eastAsiaTheme="minorEastAsia" w:cs="Times New Roman"/>
          <w:bCs/>
          <w:sz w:val="20"/>
          <w:szCs w:val="20"/>
          <w:lang w:val="en-US"/>
        </w:rPr>
      </w:pPr>
      <w:r w:rsidRPr="00C566A3">
        <w:rPr>
          <w:rFonts w:eastAsiaTheme="minorEastAsia" w:cs="Times New Roman"/>
          <w:b/>
          <w:bCs/>
          <w:sz w:val="20"/>
          <w:szCs w:val="20"/>
          <w:lang w:val="en-US"/>
        </w:rPr>
        <w:t>IT IS HEREBY ORDERED THAT:</w:t>
      </w:r>
    </w:p>
    <w:p w:rsidR="00C566A3" w:rsidRPr="00C566A3" w:rsidRDefault="00C566A3" w:rsidP="00C566A3">
      <w:pPr>
        <w:autoSpaceDE w:val="0"/>
        <w:autoSpaceDN w:val="0"/>
        <w:adjustRightInd w:val="0"/>
        <w:jc w:val="both"/>
        <w:rPr>
          <w:rFonts w:eastAsiaTheme="minorEastAsia" w:cs="Times New Roman"/>
          <w:bCs/>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The appellants’ records, factums and books of authorities shall be served and filed on or before September 16,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 xml:space="preserve">Any person wishing to intervene in these appeals under Rule 55 of the </w:t>
      </w:r>
      <w:r w:rsidRPr="00C566A3">
        <w:rPr>
          <w:rFonts w:eastAsiaTheme="minorEastAsia" w:cs="Times New Roman"/>
          <w:i/>
          <w:sz w:val="20"/>
          <w:szCs w:val="20"/>
          <w:lang w:val="en-US"/>
        </w:rPr>
        <w:t xml:space="preserve">Rules of the Supreme Court of </w:t>
      </w:r>
      <w:r w:rsidRPr="00C566A3">
        <w:rPr>
          <w:rFonts w:eastAsiaTheme="minorEastAsia" w:cs="Times New Roman"/>
          <w:i/>
          <w:sz w:val="20"/>
          <w:szCs w:val="20"/>
          <w:lang w:val="en-US"/>
        </w:rPr>
        <w:lastRenderedPageBreak/>
        <w:t>Canada</w:t>
      </w:r>
      <w:r w:rsidRPr="00C566A3">
        <w:rPr>
          <w:rFonts w:eastAsiaTheme="minorEastAsia" w:cs="Times New Roman"/>
          <w:sz w:val="20"/>
          <w:szCs w:val="20"/>
          <w:lang w:val="en-US"/>
        </w:rPr>
        <w:t xml:space="preserve"> shall serve and file a motion for leave to intervene on or before October 14, 2014. </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 xml:space="preserve">The appellants and respondent shall serve and file their responses, if any, to the motions for leave to intervene on or before October 24, 2014. </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Replies to any responses to the motions for leave to intervene shall be served and filed on or before October 29,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The respondent’s records, factums and books of authorities shall be served and filed on or before November 25,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C566A3" w:rsidRPr="00C566A3" w:rsidRDefault="00C566A3" w:rsidP="00C566A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C566A3">
        <w:rPr>
          <w:rFonts w:eastAsiaTheme="minorEastAsia" w:cs="Times New Roman"/>
          <w:sz w:val="20"/>
          <w:szCs w:val="20"/>
          <w:lang w:val="en-US"/>
        </w:rPr>
        <w:t xml:space="preserve">Any attorney general wishing to intervene pursuant to par. 61(4) of the </w:t>
      </w:r>
      <w:r w:rsidRPr="00C566A3">
        <w:rPr>
          <w:rFonts w:eastAsiaTheme="minorEastAsia" w:cs="Times New Roman"/>
          <w:i/>
          <w:sz w:val="20"/>
          <w:szCs w:val="20"/>
          <w:lang w:val="en-US"/>
        </w:rPr>
        <w:t>Rules of the Supreme Court of Canada</w:t>
      </w:r>
      <w:r w:rsidRPr="00C566A3">
        <w:rPr>
          <w:rFonts w:eastAsiaTheme="minorEastAsia" w:cs="Times New Roman"/>
          <w:sz w:val="20"/>
          <w:szCs w:val="20"/>
          <w:lang w:val="en-US"/>
        </w:rPr>
        <w:t xml:space="preserve"> shall serve and file their factum and book of authorities on or before December 23, 2014.</w: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566A3" w:rsidRPr="00C566A3" w:rsidRDefault="00C566A3" w:rsidP="00C566A3">
      <w:pPr>
        <w:autoSpaceDE w:val="0"/>
        <w:autoSpaceDN w:val="0"/>
        <w:adjustRightInd w:val="0"/>
        <w:jc w:val="both"/>
        <w:rPr>
          <w:rFonts w:eastAsiaTheme="minorEastAsia" w:cs="Times New Roman"/>
          <w:sz w:val="20"/>
          <w:szCs w:val="20"/>
          <w:lang w:val="fr-CA"/>
        </w:rPr>
      </w:pPr>
      <w:r w:rsidRPr="00C566A3">
        <w:rPr>
          <w:rFonts w:eastAsiaTheme="minorEastAsia" w:cs="Times New Roman"/>
          <w:b/>
          <w:bCs/>
          <w:sz w:val="20"/>
          <w:szCs w:val="20"/>
          <w:lang w:val="fr-CA"/>
        </w:rPr>
        <w:t>À LA SUITE DE LA DEMANDE</w:t>
      </w:r>
      <w:r w:rsidRPr="00C566A3">
        <w:rPr>
          <w:rFonts w:eastAsiaTheme="minorEastAsia" w:cs="Times New Roman"/>
          <w:sz w:val="20"/>
          <w:szCs w:val="20"/>
          <w:lang w:val="fr-CA"/>
        </w:rPr>
        <w:t xml:space="preserve"> présentée par tous les appelants et l’intimé pour obtenir la prorogation 1) du délai de signification et de dépôt de leurs documents dans chacun des appels; 2) du délai de signification et de dépôt d’une demande en autorisation d’intervenir; et 3) d’autres délais prévus dans l’ordonnance datée du 9 juin 2014;</w:t>
      </w:r>
    </w:p>
    <w:p w:rsidR="00C566A3" w:rsidRPr="00C566A3" w:rsidRDefault="00C566A3" w:rsidP="00C566A3">
      <w:pPr>
        <w:autoSpaceDE w:val="0"/>
        <w:autoSpaceDN w:val="0"/>
        <w:adjustRightInd w:val="0"/>
        <w:jc w:val="both"/>
        <w:rPr>
          <w:rFonts w:eastAsiaTheme="minorEastAsia" w:cs="Times New Roman"/>
          <w:b/>
          <w:bCs/>
          <w:sz w:val="20"/>
          <w:szCs w:val="20"/>
          <w:lang w:val="fr-CA"/>
        </w:rPr>
      </w:pPr>
    </w:p>
    <w:p w:rsidR="00C566A3" w:rsidRPr="00C566A3" w:rsidRDefault="00C566A3" w:rsidP="00C566A3">
      <w:pPr>
        <w:autoSpaceDE w:val="0"/>
        <w:autoSpaceDN w:val="0"/>
        <w:adjustRightInd w:val="0"/>
        <w:jc w:val="both"/>
        <w:rPr>
          <w:rFonts w:eastAsiaTheme="minorEastAsia" w:cs="Times New Roman"/>
          <w:sz w:val="20"/>
          <w:szCs w:val="20"/>
          <w:lang w:val="fr-CA"/>
        </w:rPr>
      </w:pPr>
      <w:r w:rsidRPr="00C566A3">
        <w:rPr>
          <w:rFonts w:eastAsiaTheme="minorEastAsia" w:cs="Times New Roman"/>
          <w:b/>
          <w:bCs/>
          <w:sz w:val="20"/>
          <w:szCs w:val="20"/>
          <w:lang w:val="fr-CA"/>
        </w:rPr>
        <w:t xml:space="preserve">ET APRÈS EXAMEN </w:t>
      </w:r>
      <w:r w:rsidRPr="00C566A3">
        <w:rPr>
          <w:rFonts w:eastAsiaTheme="minorEastAsia" w:cs="Times New Roman"/>
          <w:sz w:val="20"/>
          <w:szCs w:val="20"/>
          <w:lang w:val="fr-CA"/>
        </w:rPr>
        <w:t>des documents déposés;</w:t>
      </w:r>
    </w:p>
    <w:p w:rsidR="00C566A3" w:rsidRPr="00C566A3" w:rsidRDefault="00C566A3" w:rsidP="00C566A3">
      <w:pPr>
        <w:autoSpaceDE w:val="0"/>
        <w:autoSpaceDN w:val="0"/>
        <w:adjustRightInd w:val="0"/>
        <w:jc w:val="both"/>
        <w:rPr>
          <w:rFonts w:eastAsiaTheme="minorEastAsia" w:cs="Times New Roman"/>
          <w:b/>
          <w:sz w:val="20"/>
          <w:szCs w:val="20"/>
          <w:lang w:val="fr-CA"/>
        </w:rPr>
      </w:pPr>
    </w:p>
    <w:p w:rsidR="00C566A3" w:rsidRPr="00C566A3" w:rsidRDefault="00C566A3" w:rsidP="00C566A3">
      <w:pPr>
        <w:autoSpaceDE w:val="0"/>
        <w:autoSpaceDN w:val="0"/>
        <w:adjustRightInd w:val="0"/>
        <w:jc w:val="both"/>
        <w:rPr>
          <w:rFonts w:eastAsiaTheme="minorEastAsia" w:cs="Times New Roman"/>
          <w:sz w:val="20"/>
          <w:szCs w:val="20"/>
          <w:lang w:val="fr-CA"/>
        </w:rPr>
      </w:pPr>
      <w:r w:rsidRPr="00C566A3">
        <w:rPr>
          <w:rFonts w:eastAsiaTheme="minorEastAsia" w:cs="Times New Roman"/>
          <w:b/>
          <w:sz w:val="20"/>
          <w:szCs w:val="20"/>
          <w:lang w:val="fr-CA"/>
        </w:rPr>
        <w:t>ET SUR CONSENTEMENT</w:t>
      </w:r>
      <w:r w:rsidRPr="00C566A3">
        <w:rPr>
          <w:rFonts w:eastAsiaTheme="minorEastAsia" w:cs="Times New Roman"/>
          <w:sz w:val="20"/>
          <w:szCs w:val="20"/>
          <w:lang w:val="fr-CA"/>
        </w:rPr>
        <w:t xml:space="preserve"> de toutes les parties;</w:t>
      </w:r>
    </w:p>
    <w:p w:rsidR="00C566A3" w:rsidRPr="00C566A3" w:rsidRDefault="00C566A3" w:rsidP="00C566A3">
      <w:pPr>
        <w:autoSpaceDE w:val="0"/>
        <w:autoSpaceDN w:val="0"/>
        <w:adjustRightInd w:val="0"/>
        <w:jc w:val="both"/>
        <w:rPr>
          <w:rFonts w:eastAsiaTheme="minorEastAsia" w:cs="Times New Roman"/>
          <w:sz w:val="20"/>
          <w:szCs w:val="20"/>
          <w:lang w:val="fr-CA"/>
        </w:rPr>
      </w:pPr>
    </w:p>
    <w:p w:rsidR="00C566A3" w:rsidRPr="00C566A3" w:rsidRDefault="00C566A3" w:rsidP="00C566A3">
      <w:pPr>
        <w:autoSpaceDE w:val="0"/>
        <w:autoSpaceDN w:val="0"/>
        <w:adjustRightInd w:val="0"/>
        <w:jc w:val="both"/>
        <w:rPr>
          <w:rFonts w:eastAsiaTheme="minorEastAsia" w:cs="Times New Roman"/>
          <w:bCs/>
          <w:sz w:val="20"/>
          <w:szCs w:val="20"/>
          <w:lang w:val="fr-CA"/>
        </w:rPr>
      </w:pPr>
      <w:r w:rsidRPr="00C566A3">
        <w:rPr>
          <w:rFonts w:eastAsiaTheme="minorEastAsia" w:cs="Times New Roman"/>
          <w:b/>
          <w:bCs/>
          <w:sz w:val="20"/>
          <w:szCs w:val="20"/>
          <w:lang w:val="fr-CA"/>
        </w:rPr>
        <w:t>IL EST ORDONNÉ CE QUI SUIT :</w:t>
      </w:r>
    </w:p>
    <w:p w:rsidR="00C566A3" w:rsidRPr="00C566A3" w:rsidRDefault="00C566A3" w:rsidP="00C566A3">
      <w:pPr>
        <w:autoSpaceDE w:val="0"/>
        <w:autoSpaceDN w:val="0"/>
        <w:adjustRightInd w:val="0"/>
        <w:jc w:val="both"/>
        <w:rPr>
          <w:rFonts w:eastAsiaTheme="minorEastAsia" w:cs="Times New Roman"/>
          <w:bCs/>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Les dossiers, mémoires et recueils de sources des appelants seront signifiés et déposés au plus tard le 16 septembre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 xml:space="preserve">Toute personne qui souhaite intervenir dans les présents appels en vertu de l’art. 55 des </w:t>
      </w:r>
      <w:r w:rsidRPr="00C566A3">
        <w:rPr>
          <w:rFonts w:eastAsiaTheme="minorEastAsia" w:cs="Times New Roman"/>
          <w:i/>
          <w:sz w:val="20"/>
          <w:szCs w:val="20"/>
          <w:lang w:val="fr-CA"/>
        </w:rPr>
        <w:t>Règles de la Cour suprême du Canada</w:t>
      </w:r>
      <w:r w:rsidRPr="00C566A3">
        <w:rPr>
          <w:rFonts w:eastAsiaTheme="minorEastAsia" w:cs="Times New Roman"/>
          <w:sz w:val="20"/>
          <w:szCs w:val="20"/>
          <w:lang w:val="fr-CA"/>
        </w:rPr>
        <w:t xml:space="preserve"> signifiera et déposera une demande en autorisation d’intervenir au plus tard le 14 octobre 2014. </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 xml:space="preserve">Les appelants et l’intimé signifieront et déposeront leurs réponses aux demandes d’autorisation d’intervenir, le cas échéant, au plus tard le 24 octobre 2014. </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Les répliques à toute réponse aux demandes d’autorisation d’intervenir seront signifiées et déposées au plus tard le 29 octobre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Les dossiers, mémoires et recueils de sources de l’intimé seront signifiés et déposés au plus tard le 25 novembre 2014.</w:t>
      </w:r>
    </w:p>
    <w:p w:rsidR="00C566A3" w:rsidRPr="00C566A3" w:rsidRDefault="00C566A3" w:rsidP="00C566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C566A3" w:rsidRPr="00C566A3" w:rsidRDefault="00C566A3" w:rsidP="00C566A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C566A3">
        <w:rPr>
          <w:rFonts w:eastAsiaTheme="minorEastAsia" w:cs="Times New Roman"/>
          <w:sz w:val="20"/>
          <w:szCs w:val="20"/>
          <w:lang w:val="fr-CA"/>
        </w:rPr>
        <w:t xml:space="preserve">Tout procureur général qui interviendra en vertu du par. 61(4) des </w:t>
      </w:r>
      <w:r w:rsidRPr="00C566A3">
        <w:rPr>
          <w:rFonts w:eastAsiaTheme="minorEastAsia" w:cs="Times New Roman"/>
          <w:i/>
          <w:sz w:val="20"/>
          <w:szCs w:val="20"/>
          <w:lang w:val="fr-CA"/>
        </w:rPr>
        <w:t>Règles de la Cour suprême du Canada</w:t>
      </w:r>
      <w:r w:rsidRPr="00C566A3">
        <w:rPr>
          <w:rFonts w:eastAsiaTheme="minorEastAsia" w:cs="Times New Roman"/>
          <w:sz w:val="20"/>
          <w:szCs w:val="20"/>
          <w:lang w:val="fr-CA"/>
        </w:rPr>
        <w:t xml:space="preserve"> devra signifier et déposer son mémoire et son recueil de sources au plus tard le 23 décembre 2014.</w:t>
      </w:r>
    </w:p>
    <w:p w:rsidR="00C566A3" w:rsidRPr="00C566A3" w:rsidRDefault="00C566A3" w:rsidP="00C566A3">
      <w:pPr>
        <w:tabs>
          <w:tab w:val="left" w:pos="-1440"/>
          <w:tab w:val="left" w:pos="-720"/>
        </w:tabs>
        <w:jc w:val="both"/>
        <w:rPr>
          <w:rFonts w:eastAsia="Times New Roman" w:cs="Times New Roman"/>
          <w:sz w:val="20"/>
          <w:szCs w:val="20"/>
          <w:lang w:val="fr-CA" w:eastAsia="en-CA"/>
        </w:rPr>
      </w:pPr>
    </w:p>
    <w:p w:rsidR="00C566A3" w:rsidRPr="00C566A3" w:rsidRDefault="007054A6" w:rsidP="00C566A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C566A3" w:rsidRPr="00C566A3" w:rsidRDefault="00C566A3" w:rsidP="00C566A3">
      <w:pPr>
        <w:tabs>
          <w:tab w:val="left" w:pos="-1440"/>
          <w:tab w:val="left" w:pos="-720"/>
        </w:tabs>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054A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B45DC0" w:rsidP="005F1ED8">
            <w:pPr>
              <w:rPr>
                <w:sz w:val="20"/>
                <w:szCs w:val="20"/>
              </w:rPr>
            </w:pPr>
            <w:r>
              <w:rPr>
                <w:sz w:val="20"/>
                <w:szCs w:val="20"/>
              </w:rPr>
              <w:t>02</w:t>
            </w:r>
            <w:r w:rsidR="0086340B" w:rsidRPr="003B3977">
              <w:rPr>
                <w:sz w:val="20"/>
                <w:szCs w:val="20"/>
              </w:rPr>
              <w:t>.</w:t>
            </w:r>
            <w:r>
              <w:rPr>
                <w:sz w:val="20"/>
                <w:szCs w:val="20"/>
              </w:rPr>
              <w:t>09</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B45DC0" w:rsidP="005F1ED8">
            <w:pPr>
              <w:rPr>
                <w:b/>
                <w:sz w:val="20"/>
                <w:szCs w:val="20"/>
              </w:rPr>
            </w:pPr>
            <w:r w:rsidRPr="00B45DC0">
              <w:rPr>
                <w:b/>
                <w:sz w:val="20"/>
                <w:szCs w:val="20"/>
              </w:rPr>
              <w:t>Grant Anthony</w:t>
            </w:r>
            <w:r>
              <w:rPr>
                <w:b/>
                <w:sz w:val="20"/>
                <w:szCs w:val="20"/>
              </w:rPr>
              <w:t xml:space="preserve"> Goleski </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B45DC0">
              <w:rPr>
                <w:b/>
                <w:sz w:val="20"/>
                <w:szCs w:val="20"/>
              </w:rPr>
              <w:t>862</w:t>
            </w:r>
            <w:r w:rsidRPr="003B3977">
              <w:rPr>
                <w:b/>
                <w:sz w:val="20"/>
                <w:szCs w:val="20"/>
              </w:rPr>
              <w:t>)</w:t>
            </w:r>
          </w:p>
          <w:p w:rsidR="0086340B" w:rsidRPr="003B3977" w:rsidRDefault="0086340B" w:rsidP="005F1ED8">
            <w:pPr>
              <w:rPr>
                <w:b/>
                <w:sz w:val="20"/>
                <w:szCs w:val="20"/>
              </w:rPr>
            </w:pPr>
          </w:p>
          <w:p w:rsidR="0086340B" w:rsidRPr="003B3977" w:rsidRDefault="00B45DC0" w:rsidP="005F1ED8">
            <w:pPr>
              <w:rPr>
                <w:b/>
                <w:sz w:val="20"/>
                <w:szCs w:val="20"/>
              </w:rPr>
            </w:pPr>
            <w:r w:rsidRPr="00B45DC0">
              <w:rPr>
                <w:b/>
                <w:sz w:val="20"/>
                <w:szCs w:val="20"/>
              </w:rPr>
              <w:t>Her Majesty the Queen</w:t>
            </w:r>
            <w:r w:rsidR="0086340B" w:rsidRPr="003B3977">
              <w:rPr>
                <w:b/>
                <w:sz w:val="20"/>
                <w:szCs w:val="20"/>
              </w:rPr>
              <w:t xml:space="preserve"> (</w:t>
            </w:r>
            <w:r>
              <w:rPr>
                <w:b/>
                <w:sz w:val="20"/>
                <w:szCs w:val="20"/>
              </w:rPr>
              <w:t>B.C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7054A6" w:rsidP="005F1ED8">
            <w:pPr>
              <w:rPr>
                <w:sz w:val="20"/>
                <w:szCs w:val="20"/>
                <w:lang w:val="fr-CA"/>
              </w:rPr>
            </w:pPr>
            <w:r>
              <w:rPr>
                <w:sz w:val="20"/>
                <w:szCs w:val="20"/>
                <w:lang w:val="fr-CA"/>
              </w:rPr>
              <w:pict>
                <v:rect id="_x0000_i105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550991" w:rsidRDefault="00B45DC0" w:rsidP="005F1ED8">
            <w:pPr>
              <w:rPr>
                <w:sz w:val="20"/>
                <w:szCs w:val="20"/>
                <w:lang w:val="fr-CA"/>
              </w:rPr>
            </w:pPr>
            <w:r w:rsidRPr="00550991">
              <w:rPr>
                <w:sz w:val="20"/>
                <w:szCs w:val="20"/>
                <w:lang w:val="fr-CA"/>
              </w:rPr>
              <w:t>27</w:t>
            </w:r>
            <w:r w:rsidR="0086340B" w:rsidRPr="00550991">
              <w:rPr>
                <w:sz w:val="20"/>
                <w:szCs w:val="20"/>
                <w:lang w:val="fr-CA"/>
              </w:rPr>
              <w:t>.</w:t>
            </w:r>
            <w:r w:rsidRPr="00550991">
              <w:rPr>
                <w:sz w:val="20"/>
                <w:szCs w:val="20"/>
                <w:lang w:val="fr-CA"/>
              </w:rPr>
              <w:t>08</w:t>
            </w:r>
            <w:r w:rsidR="0086340B" w:rsidRPr="00550991">
              <w:rPr>
                <w:sz w:val="20"/>
                <w:szCs w:val="20"/>
                <w:lang w:val="fr-CA"/>
              </w:rPr>
              <w:t>.201</w:t>
            </w:r>
            <w:r w:rsidRPr="00550991">
              <w:rPr>
                <w:sz w:val="20"/>
                <w:szCs w:val="20"/>
                <w:lang w:val="fr-CA"/>
              </w:rPr>
              <w:t>4</w:t>
            </w:r>
          </w:p>
          <w:p w:rsidR="0086340B" w:rsidRPr="00550991" w:rsidRDefault="0086340B" w:rsidP="005F1ED8">
            <w:pPr>
              <w:rPr>
                <w:sz w:val="20"/>
                <w:szCs w:val="20"/>
                <w:lang w:val="fr-CA"/>
              </w:rPr>
            </w:pPr>
          </w:p>
          <w:p w:rsidR="0086340B" w:rsidRPr="00550991" w:rsidRDefault="00B45DC0" w:rsidP="005F1ED8">
            <w:pPr>
              <w:rPr>
                <w:b/>
                <w:sz w:val="20"/>
                <w:szCs w:val="20"/>
                <w:lang w:val="fr-CA"/>
              </w:rPr>
            </w:pPr>
            <w:r w:rsidRPr="00550991">
              <w:rPr>
                <w:b/>
                <w:sz w:val="20"/>
                <w:szCs w:val="20"/>
                <w:lang w:val="fr-CA"/>
              </w:rPr>
              <w:t xml:space="preserve">Second Lieutenant Moriarity et al. </w:t>
            </w:r>
          </w:p>
          <w:p w:rsidR="00B45DC0" w:rsidRPr="00550991" w:rsidRDefault="00B45DC0" w:rsidP="005F1ED8">
            <w:pPr>
              <w:rPr>
                <w:b/>
                <w:sz w:val="20"/>
                <w:szCs w:val="20"/>
                <w:lang w:val="fr-CA"/>
              </w:rPr>
            </w:pPr>
          </w:p>
          <w:p w:rsidR="0086340B" w:rsidRPr="00B45DC0" w:rsidRDefault="0086340B" w:rsidP="005F1ED8">
            <w:pPr>
              <w:rPr>
                <w:b/>
                <w:sz w:val="20"/>
                <w:szCs w:val="20"/>
              </w:rPr>
            </w:pPr>
            <w:r w:rsidRPr="00550991">
              <w:rPr>
                <w:b/>
                <w:sz w:val="20"/>
                <w:szCs w:val="20"/>
                <w:lang w:val="fr-CA"/>
              </w:rPr>
              <w:tab/>
            </w:r>
            <w:r w:rsidR="00B45DC0">
              <w:rPr>
                <w:b/>
                <w:sz w:val="20"/>
                <w:szCs w:val="20"/>
              </w:rPr>
              <w:t>v</w:t>
            </w:r>
            <w:r w:rsidRPr="00B45DC0">
              <w:rPr>
                <w:b/>
                <w:sz w:val="20"/>
                <w:szCs w:val="20"/>
              </w:rPr>
              <w:t>. (35</w:t>
            </w:r>
            <w:r w:rsidR="00B45DC0">
              <w:rPr>
                <w:b/>
                <w:sz w:val="20"/>
                <w:szCs w:val="20"/>
              </w:rPr>
              <w:t>755</w:t>
            </w:r>
            <w:r w:rsidRPr="00B45DC0">
              <w:rPr>
                <w:b/>
                <w:sz w:val="20"/>
                <w:szCs w:val="20"/>
              </w:rPr>
              <w:t>)</w:t>
            </w:r>
          </w:p>
          <w:p w:rsidR="0086340B" w:rsidRPr="00B45DC0" w:rsidRDefault="0086340B" w:rsidP="005F1ED8">
            <w:pPr>
              <w:rPr>
                <w:b/>
                <w:sz w:val="20"/>
                <w:szCs w:val="20"/>
              </w:rPr>
            </w:pPr>
          </w:p>
          <w:p w:rsidR="0086340B" w:rsidRPr="00B45DC0" w:rsidRDefault="00B45DC0" w:rsidP="005F1ED8">
            <w:pPr>
              <w:rPr>
                <w:b/>
                <w:sz w:val="20"/>
                <w:szCs w:val="20"/>
              </w:rPr>
            </w:pPr>
            <w:r w:rsidRPr="00B45DC0">
              <w:rPr>
                <w:b/>
                <w:sz w:val="20"/>
                <w:szCs w:val="20"/>
              </w:rPr>
              <w:t>Her Majesty the Queen</w:t>
            </w:r>
            <w:r w:rsidR="00635CA4">
              <w:rPr>
                <w:b/>
                <w:sz w:val="20"/>
                <w:szCs w:val="20"/>
              </w:rPr>
              <w:t xml:space="preserve"> </w:t>
            </w:r>
            <w:r w:rsidR="0086340B" w:rsidRPr="00B45DC0">
              <w:rPr>
                <w:b/>
                <w:sz w:val="20"/>
                <w:szCs w:val="20"/>
              </w:rPr>
              <w:t>(</w:t>
            </w:r>
            <w:r w:rsidR="00635CA4">
              <w:rPr>
                <w:b/>
                <w:sz w:val="20"/>
                <w:szCs w:val="20"/>
              </w:rPr>
              <w:t>F.C.)</w:t>
            </w:r>
          </w:p>
          <w:p w:rsidR="0086340B" w:rsidRPr="00B45DC0" w:rsidRDefault="0086340B" w:rsidP="005F1ED8">
            <w:pPr>
              <w:rPr>
                <w:sz w:val="20"/>
                <w:szCs w:val="20"/>
              </w:rPr>
            </w:pPr>
          </w:p>
          <w:p w:rsidR="0086340B" w:rsidRPr="003B3977" w:rsidRDefault="0086340B" w:rsidP="005F1ED8">
            <w:pPr>
              <w:rPr>
                <w:sz w:val="20"/>
                <w:szCs w:val="20"/>
              </w:rPr>
            </w:pPr>
            <w:r w:rsidRPr="003B3977">
              <w:rPr>
                <w:sz w:val="20"/>
                <w:szCs w:val="20"/>
              </w:rPr>
              <w:t>(</w:t>
            </w:r>
            <w:r w:rsidR="00635CA4">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7054A6" w:rsidP="005F1ED8">
            <w:pPr>
              <w:rPr>
                <w:sz w:val="20"/>
                <w:szCs w:val="20"/>
              </w:rPr>
            </w:pPr>
            <w:r>
              <w:rPr>
                <w:sz w:val="20"/>
                <w:szCs w:val="20"/>
                <w:lang w:val="fr-CA"/>
              </w:rPr>
              <w:pict>
                <v:rect id="_x0000_i1054"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635CA4" w:rsidRDefault="0086340B" w:rsidP="005F1ED8">
            <w:pPr>
              <w:rPr>
                <w:sz w:val="20"/>
                <w:szCs w:val="20"/>
              </w:rPr>
            </w:pPr>
            <w:r w:rsidRPr="00635CA4">
              <w:rPr>
                <w:sz w:val="20"/>
                <w:szCs w:val="20"/>
              </w:rPr>
              <w:t>2</w:t>
            </w:r>
            <w:r w:rsidR="00635CA4">
              <w:rPr>
                <w:sz w:val="20"/>
                <w:szCs w:val="20"/>
              </w:rPr>
              <w:t>2.08</w:t>
            </w:r>
            <w:r w:rsidRPr="00635CA4">
              <w:rPr>
                <w:sz w:val="20"/>
                <w:szCs w:val="20"/>
              </w:rPr>
              <w:t>.201</w:t>
            </w:r>
            <w:r w:rsidR="00635CA4">
              <w:rPr>
                <w:sz w:val="20"/>
                <w:szCs w:val="20"/>
              </w:rPr>
              <w:t>4</w:t>
            </w:r>
          </w:p>
          <w:p w:rsidR="0086340B" w:rsidRPr="00635CA4" w:rsidRDefault="0086340B" w:rsidP="005F1ED8">
            <w:pPr>
              <w:rPr>
                <w:sz w:val="20"/>
                <w:szCs w:val="20"/>
              </w:rPr>
            </w:pPr>
          </w:p>
          <w:p w:rsidR="0086340B" w:rsidRPr="00635CA4" w:rsidRDefault="00635CA4" w:rsidP="005F1ED8">
            <w:pPr>
              <w:rPr>
                <w:b/>
                <w:sz w:val="20"/>
                <w:szCs w:val="20"/>
              </w:rPr>
            </w:pPr>
            <w:r>
              <w:rPr>
                <w:b/>
                <w:sz w:val="20"/>
                <w:szCs w:val="20"/>
              </w:rPr>
              <w:t xml:space="preserve">Savdip </w:t>
            </w:r>
            <w:r w:rsidRPr="00635CA4">
              <w:rPr>
                <w:b/>
                <w:sz w:val="20"/>
                <w:szCs w:val="20"/>
              </w:rPr>
              <w:t>Sanghera</w:t>
            </w:r>
          </w:p>
          <w:p w:rsidR="0086340B" w:rsidRPr="00635CA4" w:rsidRDefault="0086340B" w:rsidP="005F1ED8">
            <w:pPr>
              <w:rPr>
                <w:b/>
                <w:sz w:val="20"/>
                <w:szCs w:val="20"/>
              </w:rPr>
            </w:pPr>
          </w:p>
          <w:p w:rsidR="0086340B" w:rsidRPr="00635CA4" w:rsidRDefault="0086340B" w:rsidP="005F1ED8">
            <w:pPr>
              <w:rPr>
                <w:b/>
                <w:sz w:val="20"/>
                <w:szCs w:val="20"/>
              </w:rPr>
            </w:pPr>
            <w:r w:rsidRPr="00635CA4">
              <w:rPr>
                <w:b/>
                <w:sz w:val="20"/>
                <w:szCs w:val="20"/>
              </w:rPr>
              <w:tab/>
              <w:t>v. (3</w:t>
            </w:r>
            <w:r w:rsidR="00635CA4">
              <w:rPr>
                <w:b/>
                <w:sz w:val="20"/>
                <w:szCs w:val="20"/>
              </w:rPr>
              <w:t>6017</w:t>
            </w:r>
            <w:r w:rsidRPr="00635CA4">
              <w:rPr>
                <w:b/>
                <w:sz w:val="20"/>
                <w:szCs w:val="20"/>
              </w:rPr>
              <w:t>)</w:t>
            </w:r>
          </w:p>
          <w:p w:rsidR="0086340B" w:rsidRPr="00635CA4" w:rsidRDefault="0086340B" w:rsidP="005F1ED8">
            <w:pPr>
              <w:rPr>
                <w:b/>
                <w:sz w:val="20"/>
                <w:szCs w:val="20"/>
              </w:rPr>
            </w:pPr>
          </w:p>
          <w:p w:rsidR="0086340B" w:rsidRPr="00635CA4" w:rsidRDefault="0086340B" w:rsidP="005F1ED8">
            <w:pPr>
              <w:rPr>
                <w:b/>
                <w:sz w:val="20"/>
                <w:szCs w:val="20"/>
              </w:rPr>
            </w:pPr>
            <w:r w:rsidRPr="00635CA4">
              <w:rPr>
                <w:b/>
                <w:sz w:val="20"/>
                <w:szCs w:val="20"/>
              </w:rPr>
              <w:t>Her Majesty the Queen (</w:t>
            </w:r>
            <w:r w:rsidR="00635CA4">
              <w:rPr>
                <w:b/>
                <w:sz w:val="20"/>
                <w:szCs w:val="20"/>
              </w:rPr>
              <w:t>B.C</w:t>
            </w:r>
            <w:r w:rsidRPr="00635CA4">
              <w:rPr>
                <w:b/>
                <w:sz w:val="20"/>
                <w:szCs w:val="20"/>
              </w:rPr>
              <w:t>.)</w:t>
            </w:r>
          </w:p>
          <w:p w:rsidR="0086340B" w:rsidRPr="00635CA4" w:rsidRDefault="0086340B" w:rsidP="005F1ED8">
            <w:pPr>
              <w:rPr>
                <w:sz w:val="20"/>
                <w:szCs w:val="20"/>
              </w:rPr>
            </w:pPr>
          </w:p>
          <w:p w:rsidR="0086340B" w:rsidRPr="00635CA4" w:rsidRDefault="0086340B" w:rsidP="005F1ED8">
            <w:pPr>
              <w:rPr>
                <w:sz w:val="20"/>
                <w:szCs w:val="20"/>
              </w:rPr>
            </w:pPr>
            <w:r w:rsidRPr="00635CA4">
              <w:rPr>
                <w:sz w:val="20"/>
                <w:szCs w:val="20"/>
              </w:rPr>
              <w:t>(As of Right)</w:t>
            </w:r>
          </w:p>
          <w:p w:rsidR="0086340B" w:rsidRPr="00635CA4" w:rsidRDefault="0086340B" w:rsidP="005F1ED8">
            <w:pPr>
              <w:rPr>
                <w:sz w:val="20"/>
                <w:szCs w:val="20"/>
              </w:rPr>
            </w:pPr>
          </w:p>
          <w:p w:rsidR="0086340B" w:rsidRPr="00B45DC0" w:rsidRDefault="007054A6" w:rsidP="005F1ED8">
            <w:pPr>
              <w:rPr>
                <w:color w:val="FF0000"/>
                <w:sz w:val="20"/>
                <w:szCs w:val="20"/>
              </w:rPr>
            </w:pPr>
            <w:r>
              <w:rPr>
                <w:color w:val="FF0000"/>
                <w:sz w:val="20"/>
                <w:szCs w:val="20"/>
                <w:lang w:val="fr-CA"/>
              </w:rPr>
              <w:pict>
                <v:rect id="_x0000_i1055" style="width:106.1pt;height:1pt" o:hrpct="500" o:hralign="center" o:hrstd="t" o:hrnoshade="t" o:hr="t" fillcolor="black [3213]" stroked="f"/>
              </w:pict>
            </w:r>
          </w:p>
        </w:tc>
        <w:tc>
          <w:tcPr>
            <w:tcW w:w="588" w:type="pct"/>
          </w:tcPr>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p w:rsidR="0086340B" w:rsidRPr="00635CA4" w:rsidRDefault="0086340B" w:rsidP="005F1ED8">
            <w:pPr>
              <w:jc w:val="center"/>
              <w:rPr>
                <w:sz w:val="20"/>
                <w:szCs w:val="20"/>
              </w:rPr>
            </w:pPr>
          </w:p>
        </w:tc>
        <w:tc>
          <w:tcPr>
            <w:tcW w:w="2206" w:type="pct"/>
          </w:tcPr>
          <w:p w:rsidR="0086340B" w:rsidRPr="00550991" w:rsidRDefault="0086340B" w:rsidP="005F1ED8">
            <w:pPr>
              <w:rPr>
                <w:sz w:val="20"/>
                <w:szCs w:val="20"/>
                <w:lang w:val="fr-CA"/>
              </w:rPr>
            </w:pPr>
            <w:r w:rsidRPr="00550991">
              <w:rPr>
                <w:sz w:val="20"/>
                <w:szCs w:val="20"/>
                <w:lang w:val="fr-CA"/>
              </w:rPr>
              <w:t>2</w:t>
            </w:r>
            <w:r w:rsidR="00635CA4" w:rsidRPr="00550991">
              <w:rPr>
                <w:sz w:val="20"/>
                <w:szCs w:val="20"/>
                <w:lang w:val="fr-CA"/>
              </w:rPr>
              <w:t>7</w:t>
            </w:r>
            <w:r w:rsidRPr="00550991">
              <w:rPr>
                <w:sz w:val="20"/>
                <w:szCs w:val="20"/>
                <w:lang w:val="fr-CA"/>
              </w:rPr>
              <w:t>.0</w:t>
            </w:r>
            <w:r w:rsidR="00635CA4" w:rsidRPr="00550991">
              <w:rPr>
                <w:sz w:val="20"/>
                <w:szCs w:val="20"/>
                <w:lang w:val="fr-CA"/>
              </w:rPr>
              <w:t>8</w:t>
            </w:r>
            <w:r w:rsidRPr="00550991">
              <w:rPr>
                <w:sz w:val="20"/>
                <w:szCs w:val="20"/>
                <w:lang w:val="fr-CA"/>
              </w:rPr>
              <w:t>.2014</w:t>
            </w:r>
          </w:p>
          <w:p w:rsidR="0086340B" w:rsidRPr="00550991" w:rsidRDefault="0086340B" w:rsidP="005F1ED8">
            <w:pPr>
              <w:rPr>
                <w:sz w:val="20"/>
                <w:szCs w:val="20"/>
                <w:lang w:val="fr-CA"/>
              </w:rPr>
            </w:pPr>
          </w:p>
          <w:p w:rsidR="0086340B" w:rsidRPr="00550991" w:rsidRDefault="00635CA4" w:rsidP="005F1ED8">
            <w:pPr>
              <w:rPr>
                <w:b/>
                <w:sz w:val="20"/>
                <w:szCs w:val="20"/>
                <w:lang w:val="fr-CA"/>
              </w:rPr>
            </w:pPr>
            <w:r w:rsidRPr="00550991">
              <w:rPr>
                <w:b/>
                <w:sz w:val="20"/>
                <w:szCs w:val="20"/>
                <w:lang w:val="fr-CA"/>
              </w:rPr>
              <w:t>David Caplin</w:t>
            </w:r>
          </w:p>
          <w:p w:rsidR="0086340B" w:rsidRPr="00550991" w:rsidRDefault="0086340B" w:rsidP="005F1ED8">
            <w:pPr>
              <w:rPr>
                <w:b/>
                <w:sz w:val="20"/>
                <w:szCs w:val="20"/>
                <w:lang w:val="fr-CA"/>
              </w:rPr>
            </w:pPr>
          </w:p>
          <w:p w:rsidR="0086340B" w:rsidRPr="00635CA4" w:rsidRDefault="00635CA4" w:rsidP="005F1ED8">
            <w:pPr>
              <w:rPr>
                <w:b/>
                <w:sz w:val="20"/>
                <w:szCs w:val="20"/>
                <w:lang w:val="fr-CA"/>
              </w:rPr>
            </w:pPr>
            <w:r w:rsidRPr="00550991">
              <w:rPr>
                <w:b/>
                <w:sz w:val="20"/>
                <w:szCs w:val="20"/>
                <w:lang w:val="fr-CA"/>
              </w:rPr>
              <w:tab/>
            </w:r>
            <w:r w:rsidRPr="00635CA4">
              <w:rPr>
                <w:b/>
                <w:sz w:val="20"/>
                <w:szCs w:val="20"/>
                <w:lang w:val="fr-CA"/>
              </w:rPr>
              <w:t>c</w:t>
            </w:r>
            <w:r w:rsidR="0086340B" w:rsidRPr="00635CA4">
              <w:rPr>
                <w:b/>
                <w:sz w:val="20"/>
                <w:szCs w:val="20"/>
                <w:lang w:val="fr-CA"/>
              </w:rPr>
              <w:t>. (35</w:t>
            </w:r>
            <w:r w:rsidRPr="00635CA4">
              <w:rPr>
                <w:b/>
                <w:sz w:val="20"/>
                <w:szCs w:val="20"/>
                <w:lang w:val="fr-CA"/>
              </w:rPr>
              <w:t>527</w:t>
            </w:r>
            <w:r w:rsidR="0086340B" w:rsidRPr="00635CA4">
              <w:rPr>
                <w:b/>
                <w:sz w:val="20"/>
                <w:szCs w:val="20"/>
                <w:lang w:val="fr-CA"/>
              </w:rPr>
              <w:t>)</w:t>
            </w:r>
          </w:p>
          <w:p w:rsidR="0086340B" w:rsidRPr="00635CA4" w:rsidRDefault="0086340B" w:rsidP="005F1ED8">
            <w:pPr>
              <w:rPr>
                <w:b/>
                <w:sz w:val="20"/>
                <w:szCs w:val="20"/>
                <w:lang w:val="fr-CA"/>
              </w:rPr>
            </w:pPr>
          </w:p>
          <w:p w:rsidR="0086340B" w:rsidRPr="00635CA4" w:rsidRDefault="00635CA4" w:rsidP="005F1ED8">
            <w:pPr>
              <w:rPr>
                <w:b/>
                <w:sz w:val="20"/>
                <w:szCs w:val="20"/>
                <w:lang w:val="fr-CA"/>
              </w:rPr>
            </w:pPr>
            <w:r w:rsidRPr="00635CA4">
              <w:rPr>
                <w:b/>
                <w:sz w:val="20"/>
                <w:szCs w:val="20"/>
                <w:lang w:val="fr-CA"/>
              </w:rPr>
              <w:t xml:space="preserve">Ministre de la justice du Canada </w:t>
            </w:r>
            <w:r w:rsidR="0086340B" w:rsidRPr="00635CA4">
              <w:rPr>
                <w:b/>
                <w:sz w:val="20"/>
                <w:szCs w:val="20"/>
                <w:lang w:val="fr-CA"/>
              </w:rPr>
              <w:t>(Qc)</w:t>
            </w:r>
          </w:p>
          <w:p w:rsidR="0086340B" w:rsidRPr="00635CA4" w:rsidRDefault="0086340B" w:rsidP="005F1ED8">
            <w:pPr>
              <w:rPr>
                <w:sz w:val="20"/>
                <w:szCs w:val="20"/>
                <w:lang w:val="fr-CA"/>
              </w:rPr>
            </w:pPr>
          </w:p>
          <w:p w:rsidR="0086340B" w:rsidRPr="00635CA4" w:rsidRDefault="0086340B" w:rsidP="005F1ED8">
            <w:pPr>
              <w:rPr>
                <w:sz w:val="20"/>
                <w:szCs w:val="20"/>
              </w:rPr>
            </w:pPr>
            <w:r w:rsidRPr="00635CA4">
              <w:rPr>
                <w:sz w:val="20"/>
                <w:szCs w:val="20"/>
              </w:rPr>
              <w:t>(</w:t>
            </w:r>
            <w:r w:rsidR="00635CA4">
              <w:rPr>
                <w:sz w:val="20"/>
                <w:szCs w:val="20"/>
              </w:rPr>
              <w:t>Autorisation</w:t>
            </w:r>
            <w:r w:rsidRPr="00635CA4">
              <w:rPr>
                <w:sz w:val="20"/>
                <w:szCs w:val="20"/>
              </w:rPr>
              <w:t>)</w:t>
            </w:r>
          </w:p>
          <w:p w:rsidR="0086340B" w:rsidRPr="00635CA4" w:rsidRDefault="0086340B" w:rsidP="005F1ED8">
            <w:pPr>
              <w:rPr>
                <w:sz w:val="20"/>
                <w:szCs w:val="20"/>
              </w:rPr>
            </w:pPr>
          </w:p>
          <w:p w:rsidR="0086340B" w:rsidRPr="00635CA4" w:rsidRDefault="007054A6" w:rsidP="005F1ED8">
            <w:pPr>
              <w:rPr>
                <w:sz w:val="20"/>
                <w:szCs w:val="20"/>
                <w:lang w:val="en-US"/>
              </w:rPr>
            </w:pPr>
            <w:r>
              <w:rPr>
                <w:sz w:val="20"/>
                <w:szCs w:val="20"/>
                <w:lang w:val="fr-CA"/>
              </w:rPr>
              <w:pict>
                <v:rect id="_x0000_i1056" style="width:106.1pt;height:1pt" o:hrpct="500" o:hralign="center" o:hrstd="t" o:hrnoshade="t" o:hr="t" fillcolor="black [3213]" stroked="f"/>
              </w:pict>
            </w:r>
          </w:p>
        </w:tc>
      </w:tr>
      <w:tr w:rsidR="00BC6B6E" w:rsidRPr="00130B0E" w:rsidTr="005F1ED8">
        <w:trPr>
          <w:cantSplit/>
        </w:trPr>
        <w:tc>
          <w:tcPr>
            <w:tcW w:w="2206" w:type="pct"/>
            <w:tcMar>
              <w:left w:w="0" w:type="dxa"/>
              <w:right w:w="0" w:type="dxa"/>
            </w:tcMar>
          </w:tcPr>
          <w:p w:rsidR="00BC6B6E" w:rsidRPr="003B3977" w:rsidRDefault="00BC6B6E" w:rsidP="00BC6B6E">
            <w:pPr>
              <w:rPr>
                <w:sz w:val="20"/>
                <w:szCs w:val="20"/>
              </w:rPr>
            </w:pPr>
            <w:r>
              <w:rPr>
                <w:sz w:val="20"/>
                <w:szCs w:val="20"/>
              </w:rPr>
              <w:t>26</w:t>
            </w:r>
            <w:r w:rsidRPr="003B3977">
              <w:rPr>
                <w:sz w:val="20"/>
                <w:szCs w:val="20"/>
              </w:rPr>
              <w:t>.</w:t>
            </w:r>
            <w:r>
              <w:rPr>
                <w:sz w:val="20"/>
                <w:szCs w:val="20"/>
              </w:rPr>
              <w:t>08</w:t>
            </w:r>
            <w:r w:rsidRPr="003B3977">
              <w:rPr>
                <w:sz w:val="20"/>
                <w:szCs w:val="20"/>
              </w:rPr>
              <w:t>.201</w:t>
            </w:r>
            <w:r>
              <w:rPr>
                <w:sz w:val="20"/>
                <w:szCs w:val="20"/>
              </w:rPr>
              <w:t>4</w:t>
            </w:r>
          </w:p>
          <w:p w:rsidR="00BC6B6E" w:rsidRPr="003B3977" w:rsidRDefault="00BC6B6E" w:rsidP="00BC6B6E">
            <w:pPr>
              <w:rPr>
                <w:sz w:val="20"/>
                <w:szCs w:val="20"/>
              </w:rPr>
            </w:pPr>
          </w:p>
          <w:p w:rsidR="00BC6B6E" w:rsidRPr="003B3977" w:rsidRDefault="00BC6B6E" w:rsidP="00BC6B6E">
            <w:pPr>
              <w:rPr>
                <w:b/>
                <w:sz w:val="20"/>
                <w:szCs w:val="20"/>
              </w:rPr>
            </w:pPr>
            <w:r w:rsidRPr="00BC6B6E">
              <w:rPr>
                <w:b/>
                <w:sz w:val="20"/>
                <w:szCs w:val="20"/>
              </w:rPr>
              <w:t>Cladinoro</w:t>
            </w:r>
            <w:r>
              <w:rPr>
                <w:b/>
                <w:sz w:val="20"/>
                <w:szCs w:val="20"/>
              </w:rPr>
              <w:t xml:space="preserve"> Perrone </w:t>
            </w:r>
          </w:p>
          <w:p w:rsidR="00BC6B6E" w:rsidRPr="003B3977" w:rsidRDefault="00BC6B6E" w:rsidP="00BC6B6E">
            <w:pPr>
              <w:rPr>
                <w:b/>
                <w:sz w:val="20"/>
                <w:szCs w:val="20"/>
              </w:rPr>
            </w:pPr>
          </w:p>
          <w:p w:rsidR="00BC6B6E" w:rsidRPr="003B3977" w:rsidRDefault="00BC6B6E" w:rsidP="00BC6B6E">
            <w:pPr>
              <w:rPr>
                <w:b/>
                <w:sz w:val="20"/>
                <w:szCs w:val="20"/>
              </w:rPr>
            </w:pPr>
            <w:r w:rsidRPr="003B3977">
              <w:rPr>
                <w:b/>
                <w:sz w:val="20"/>
                <w:szCs w:val="20"/>
              </w:rPr>
              <w:tab/>
              <w:t>v. (3</w:t>
            </w:r>
            <w:r>
              <w:rPr>
                <w:b/>
                <w:sz w:val="20"/>
                <w:szCs w:val="20"/>
              </w:rPr>
              <w:t>6021</w:t>
            </w:r>
            <w:r w:rsidRPr="003B3977">
              <w:rPr>
                <w:b/>
                <w:sz w:val="20"/>
                <w:szCs w:val="20"/>
              </w:rPr>
              <w:t>)</w:t>
            </w:r>
          </w:p>
          <w:p w:rsidR="00BC6B6E" w:rsidRPr="003B3977" w:rsidRDefault="00BC6B6E" w:rsidP="00BC6B6E">
            <w:pPr>
              <w:rPr>
                <w:b/>
                <w:sz w:val="20"/>
                <w:szCs w:val="20"/>
              </w:rPr>
            </w:pPr>
          </w:p>
          <w:p w:rsidR="00BC6B6E" w:rsidRPr="003B3977" w:rsidRDefault="00BC6B6E" w:rsidP="00BC6B6E">
            <w:pPr>
              <w:rPr>
                <w:b/>
                <w:sz w:val="20"/>
                <w:szCs w:val="20"/>
              </w:rPr>
            </w:pPr>
            <w:r w:rsidRPr="00B45DC0">
              <w:rPr>
                <w:b/>
                <w:sz w:val="20"/>
                <w:szCs w:val="20"/>
              </w:rPr>
              <w:t>Her Majesty the Queen</w:t>
            </w:r>
            <w:r w:rsidRPr="003B3977">
              <w:rPr>
                <w:b/>
                <w:sz w:val="20"/>
                <w:szCs w:val="20"/>
              </w:rPr>
              <w:t xml:space="preserve"> (</w:t>
            </w:r>
            <w:r>
              <w:rPr>
                <w:b/>
                <w:sz w:val="20"/>
                <w:szCs w:val="20"/>
              </w:rPr>
              <w:t>Man</w:t>
            </w:r>
            <w:r w:rsidRPr="003B3977">
              <w:rPr>
                <w:b/>
                <w:sz w:val="20"/>
                <w:szCs w:val="20"/>
              </w:rPr>
              <w:t>.)</w:t>
            </w:r>
          </w:p>
          <w:p w:rsidR="00BC6B6E" w:rsidRPr="003B3977" w:rsidRDefault="00BC6B6E" w:rsidP="00BC6B6E">
            <w:pPr>
              <w:rPr>
                <w:sz w:val="20"/>
                <w:szCs w:val="20"/>
              </w:rPr>
            </w:pPr>
          </w:p>
          <w:p w:rsidR="00BC6B6E" w:rsidRPr="003B3977" w:rsidRDefault="00BC6B6E" w:rsidP="00BC6B6E">
            <w:pPr>
              <w:rPr>
                <w:sz w:val="20"/>
                <w:szCs w:val="20"/>
              </w:rPr>
            </w:pPr>
            <w:r w:rsidRPr="003B3977">
              <w:rPr>
                <w:sz w:val="20"/>
                <w:szCs w:val="20"/>
              </w:rPr>
              <w:t>(</w:t>
            </w:r>
            <w:r>
              <w:rPr>
                <w:sz w:val="20"/>
                <w:szCs w:val="20"/>
              </w:rPr>
              <w:t>As of Right</w:t>
            </w:r>
            <w:r w:rsidRPr="003B3977">
              <w:rPr>
                <w:sz w:val="20"/>
                <w:szCs w:val="20"/>
              </w:rPr>
              <w:t>)</w:t>
            </w:r>
          </w:p>
          <w:p w:rsidR="00BC6B6E" w:rsidRPr="003B3977" w:rsidRDefault="00BC6B6E" w:rsidP="00BC6B6E">
            <w:pPr>
              <w:rPr>
                <w:sz w:val="20"/>
                <w:szCs w:val="20"/>
              </w:rPr>
            </w:pPr>
          </w:p>
          <w:p w:rsidR="00BC6B6E" w:rsidRPr="003B3977" w:rsidRDefault="007054A6" w:rsidP="00BC6B6E">
            <w:pPr>
              <w:rPr>
                <w:sz w:val="20"/>
                <w:szCs w:val="20"/>
                <w:lang w:val="fr-CA"/>
              </w:rPr>
            </w:pPr>
            <w:r>
              <w:rPr>
                <w:sz w:val="20"/>
                <w:szCs w:val="20"/>
                <w:lang w:val="fr-CA"/>
              </w:rPr>
              <w:pict>
                <v:rect id="_x0000_i1057" style="width:106.1pt;height:1pt" o:hrpct="500" o:hralign="center" o:hrstd="t" o:hrnoshade="t" o:hr="t" fillcolor="black [3213]" stroked="f"/>
              </w:pict>
            </w:r>
          </w:p>
        </w:tc>
        <w:tc>
          <w:tcPr>
            <w:tcW w:w="588" w:type="pct"/>
          </w:tcPr>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Pr="003B3977" w:rsidRDefault="00BC6B6E" w:rsidP="00BC6B6E">
            <w:pPr>
              <w:jc w:val="center"/>
              <w:rPr>
                <w:sz w:val="20"/>
                <w:szCs w:val="20"/>
              </w:rPr>
            </w:pPr>
          </w:p>
          <w:p w:rsidR="00BC6B6E" w:rsidRDefault="00BC6B6E" w:rsidP="00BC6B6E">
            <w:pPr>
              <w:jc w:val="center"/>
              <w:rPr>
                <w:sz w:val="20"/>
                <w:szCs w:val="20"/>
              </w:rPr>
            </w:pPr>
          </w:p>
          <w:p w:rsidR="00BC6B6E" w:rsidRDefault="00BC6B6E" w:rsidP="00BC6B6E">
            <w:pPr>
              <w:jc w:val="center"/>
              <w:rPr>
                <w:sz w:val="20"/>
                <w:szCs w:val="20"/>
              </w:rPr>
            </w:pPr>
          </w:p>
          <w:p w:rsidR="00BC6B6E" w:rsidRPr="003B3977" w:rsidRDefault="00BC6B6E" w:rsidP="00BC6B6E">
            <w:pPr>
              <w:jc w:val="center"/>
              <w:rPr>
                <w:sz w:val="20"/>
                <w:szCs w:val="20"/>
              </w:rPr>
            </w:pPr>
          </w:p>
        </w:tc>
        <w:tc>
          <w:tcPr>
            <w:tcW w:w="2206" w:type="pct"/>
          </w:tcPr>
          <w:p w:rsidR="00BC6B6E" w:rsidRPr="00550991" w:rsidRDefault="00BC6B6E" w:rsidP="00BC6B6E">
            <w:pPr>
              <w:rPr>
                <w:sz w:val="20"/>
                <w:szCs w:val="20"/>
                <w:lang w:val="en-US"/>
              </w:rPr>
            </w:pPr>
            <w:r w:rsidRPr="00550991">
              <w:rPr>
                <w:sz w:val="20"/>
                <w:szCs w:val="20"/>
                <w:lang w:val="en-US"/>
              </w:rPr>
              <w:t>27.08.2014</w:t>
            </w:r>
          </w:p>
          <w:p w:rsidR="00BC6B6E" w:rsidRPr="00550991" w:rsidRDefault="00BC6B6E" w:rsidP="00BC6B6E">
            <w:pPr>
              <w:rPr>
                <w:sz w:val="20"/>
                <w:szCs w:val="20"/>
                <w:lang w:val="en-US"/>
              </w:rPr>
            </w:pPr>
          </w:p>
          <w:p w:rsidR="00BC6B6E" w:rsidRPr="00BC6B6E" w:rsidRDefault="00BC6B6E" w:rsidP="00BC6B6E">
            <w:pPr>
              <w:rPr>
                <w:b/>
                <w:sz w:val="20"/>
                <w:szCs w:val="20"/>
                <w:lang w:val="en-US"/>
              </w:rPr>
            </w:pPr>
            <w:r w:rsidRPr="00BC6B6E">
              <w:rPr>
                <w:b/>
                <w:sz w:val="20"/>
                <w:szCs w:val="20"/>
                <w:lang w:val="en-US"/>
              </w:rPr>
              <w:t xml:space="preserve">Private Alexandra Vezina </w:t>
            </w:r>
          </w:p>
          <w:p w:rsidR="00BC6B6E" w:rsidRPr="00BC6B6E" w:rsidRDefault="00BC6B6E" w:rsidP="00BC6B6E">
            <w:pPr>
              <w:rPr>
                <w:b/>
                <w:sz w:val="20"/>
                <w:szCs w:val="20"/>
                <w:lang w:val="en-US"/>
              </w:rPr>
            </w:pPr>
          </w:p>
          <w:p w:rsidR="00BC6B6E" w:rsidRPr="00B45DC0" w:rsidRDefault="00BC6B6E" w:rsidP="00BC6B6E">
            <w:pPr>
              <w:rPr>
                <w:b/>
                <w:sz w:val="20"/>
                <w:szCs w:val="20"/>
              </w:rPr>
            </w:pPr>
            <w:r w:rsidRPr="00BC6B6E">
              <w:rPr>
                <w:b/>
                <w:sz w:val="20"/>
                <w:szCs w:val="20"/>
                <w:lang w:val="en-US"/>
              </w:rPr>
              <w:tab/>
            </w:r>
            <w:r>
              <w:rPr>
                <w:b/>
                <w:sz w:val="20"/>
                <w:szCs w:val="20"/>
              </w:rPr>
              <w:t>v</w:t>
            </w:r>
            <w:r w:rsidRPr="00B45DC0">
              <w:rPr>
                <w:b/>
                <w:sz w:val="20"/>
                <w:szCs w:val="20"/>
              </w:rPr>
              <w:t>. (35</w:t>
            </w:r>
            <w:r>
              <w:rPr>
                <w:b/>
                <w:sz w:val="20"/>
                <w:szCs w:val="20"/>
              </w:rPr>
              <w:t>873</w:t>
            </w:r>
            <w:r w:rsidRPr="00B45DC0">
              <w:rPr>
                <w:b/>
                <w:sz w:val="20"/>
                <w:szCs w:val="20"/>
              </w:rPr>
              <w:t>)</w:t>
            </w:r>
          </w:p>
          <w:p w:rsidR="00BC6B6E" w:rsidRPr="00B45DC0" w:rsidRDefault="00BC6B6E" w:rsidP="00BC6B6E">
            <w:pPr>
              <w:rPr>
                <w:b/>
                <w:sz w:val="20"/>
                <w:szCs w:val="20"/>
              </w:rPr>
            </w:pPr>
          </w:p>
          <w:p w:rsidR="00BC6B6E" w:rsidRPr="00B45DC0" w:rsidRDefault="00BC6B6E" w:rsidP="00BC6B6E">
            <w:pPr>
              <w:rPr>
                <w:b/>
                <w:sz w:val="20"/>
                <w:szCs w:val="20"/>
              </w:rPr>
            </w:pPr>
            <w:r w:rsidRPr="00B45DC0">
              <w:rPr>
                <w:b/>
                <w:sz w:val="20"/>
                <w:szCs w:val="20"/>
              </w:rPr>
              <w:t>Her Majesty the Queen</w:t>
            </w:r>
            <w:r>
              <w:rPr>
                <w:b/>
                <w:sz w:val="20"/>
                <w:szCs w:val="20"/>
              </w:rPr>
              <w:t xml:space="preserve"> </w:t>
            </w:r>
            <w:r w:rsidRPr="00B45DC0">
              <w:rPr>
                <w:b/>
                <w:sz w:val="20"/>
                <w:szCs w:val="20"/>
              </w:rPr>
              <w:t>(</w:t>
            </w:r>
            <w:r>
              <w:rPr>
                <w:b/>
                <w:sz w:val="20"/>
                <w:szCs w:val="20"/>
              </w:rPr>
              <w:t>F.C.)</w:t>
            </w:r>
          </w:p>
          <w:p w:rsidR="00BC6B6E" w:rsidRPr="00B45DC0" w:rsidRDefault="00BC6B6E" w:rsidP="00BC6B6E">
            <w:pPr>
              <w:rPr>
                <w:sz w:val="20"/>
                <w:szCs w:val="20"/>
              </w:rPr>
            </w:pPr>
          </w:p>
          <w:p w:rsidR="00BC6B6E" w:rsidRPr="003B3977" w:rsidRDefault="00BC6B6E" w:rsidP="00BC6B6E">
            <w:pPr>
              <w:rPr>
                <w:sz w:val="20"/>
                <w:szCs w:val="20"/>
              </w:rPr>
            </w:pPr>
            <w:r w:rsidRPr="003B3977">
              <w:rPr>
                <w:sz w:val="20"/>
                <w:szCs w:val="20"/>
              </w:rPr>
              <w:t>(</w:t>
            </w:r>
            <w:r>
              <w:rPr>
                <w:sz w:val="20"/>
                <w:szCs w:val="20"/>
              </w:rPr>
              <w:t>By Leave</w:t>
            </w:r>
            <w:r w:rsidRPr="003B3977">
              <w:rPr>
                <w:sz w:val="20"/>
                <w:szCs w:val="20"/>
              </w:rPr>
              <w:t>)</w:t>
            </w:r>
          </w:p>
          <w:p w:rsidR="00BC6B6E" w:rsidRPr="003B3977" w:rsidRDefault="00BC6B6E" w:rsidP="00BC6B6E">
            <w:pPr>
              <w:rPr>
                <w:sz w:val="20"/>
                <w:szCs w:val="20"/>
              </w:rPr>
            </w:pPr>
          </w:p>
          <w:p w:rsidR="00BC6B6E" w:rsidRPr="003B3977" w:rsidRDefault="007054A6" w:rsidP="00BC6B6E">
            <w:pPr>
              <w:rPr>
                <w:sz w:val="20"/>
                <w:szCs w:val="20"/>
              </w:rPr>
            </w:pPr>
            <w:r>
              <w:rPr>
                <w:sz w:val="20"/>
                <w:szCs w:val="20"/>
                <w:lang w:val="fr-CA"/>
              </w:rPr>
              <w:pict>
                <v:rect id="_x0000_i1058" style="width:106.1pt;height:1pt" o:hrpct="500" o:hralign="center" o:hrstd="t" o:hrnoshade="t" o:hr="t" fillcolor="black [3213]" stroked="f"/>
              </w:pict>
            </w:r>
          </w:p>
        </w:tc>
      </w:tr>
      <w:tr w:rsidR="001D7DC9" w:rsidRPr="00130B0E" w:rsidTr="005F1ED8">
        <w:trPr>
          <w:cantSplit/>
        </w:trPr>
        <w:tc>
          <w:tcPr>
            <w:tcW w:w="2206" w:type="pct"/>
            <w:tcMar>
              <w:left w:w="0" w:type="dxa"/>
              <w:right w:w="0" w:type="dxa"/>
            </w:tcMar>
          </w:tcPr>
          <w:p w:rsidR="001D7DC9" w:rsidRPr="001D7DC9" w:rsidRDefault="001D7DC9" w:rsidP="0019198E">
            <w:pPr>
              <w:rPr>
                <w:sz w:val="20"/>
                <w:szCs w:val="20"/>
                <w:lang w:val="fr-CA"/>
              </w:rPr>
            </w:pPr>
            <w:r w:rsidRPr="001D7DC9">
              <w:rPr>
                <w:sz w:val="20"/>
                <w:szCs w:val="20"/>
                <w:lang w:val="fr-CA"/>
              </w:rPr>
              <w:t>02.09.2014</w:t>
            </w:r>
          </w:p>
          <w:p w:rsidR="001D7DC9" w:rsidRPr="001D7DC9" w:rsidRDefault="001D7DC9" w:rsidP="0019198E">
            <w:pPr>
              <w:rPr>
                <w:sz w:val="20"/>
                <w:szCs w:val="20"/>
                <w:lang w:val="fr-CA"/>
              </w:rPr>
            </w:pPr>
          </w:p>
          <w:p w:rsidR="001D7DC9" w:rsidRPr="00BC6B6E" w:rsidRDefault="001D7DC9" w:rsidP="0019198E">
            <w:pPr>
              <w:rPr>
                <w:b/>
                <w:sz w:val="20"/>
                <w:szCs w:val="20"/>
                <w:lang w:val="fr-CA"/>
              </w:rPr>
            </w:pPr>
            <w:r w:rsidRPr="00BC6B6E">
              <w:rPr>
                <w:b/>
                <w:sz w:val="20"/>
                <w:szCs w:val="20"/>
                <w:lang w:val="fr-CA"/>
              </w:rPr>
              <w:t>Pierre Boutet</w:t>
            </w:r>
            <w:r w:rsidR="00E13170">
              <w:rPr>
                <w:b/>
                <w:sz w:val="20"/>
                <w:szCs w:val="20"/>
                <w:lang w:val="fr-CA"/>
              </w:rPr>
              <w:t xml:space="preserve"> et autres</w:t>
            </w:r>
          </w:p>
          <w:p w:rsidR="001D7DC9" w:rsidRPr="00BC6B6E" w:rsidRDefault="001D7DC9" w:rsidP="0019198E">
            <w:pPr>
              <w:rPr>
                <w:b/>
                <w:sz w:val="20"/>
                <w:szCs w:val="20"/>
                <w:lang w:val="fr-CA"/>
              </w:rPr>
            </w:pPr>
          </w:p>
          <w:p w:rsidR="001D7DC9" w:rsidRPr="00BC6B6E" w:rsidRDefault="001D7DC9" w:rsidP="0019198E">
            <w:pPr>
              <w:rPr>
                <w:b/>
                <w:sz w:val="20"/>
                <w:szCs w:val="20"/>
                <w:lang w:val="fr-CA"/>
              </w:rPr>
            </w:pPr>
            <w:r w:rsidRPr="00BC6B6E">
              <w:rPr>
                <w:b/>
                <w:sz w:val="20"/>
                <w:szCs w:val="20"/>
                <w:lang w:val="fr-CA"/>
              </w:rPr>
              <w:tab/>
              <w:t>c. (35842)</w:t>
            </w:r>
          </w:p>
          <w:p w:rsidR="001D7DC9" w:rsidRPr="00BC6B6E" w:rsidRDefault="001D7DC9" w:rsidP="0019198E">
            <w:pPr>
              <w:rPr>
                <w:b/>
                <w:sz w:val="20"/>
                <w:szCs w:val="20"/>
                <w:lang w:val="fr-CA"/>
              </w:rPr>
            </w:pPr>
          </w:p>
          <w:p w:rsidR="001D7DC9" w:rsidRPr="00BC6B6E" w:rsidRDefault="001D7DC9" w:rsidP="0019198E">
            <w:pPr>
              <w:rPr>
                <w:b/>
                <w:sz w:val="20"/>
                <w:szCs w:val="20"/>
                <w:lang w:val="fr-CA"/>
              </w:rPr>
            </w:pPr>
            <w:r w:rsidRPr="00BC6B6E">
              <w:rPr>
                <w:b/>
                <w:sz w:val="20"/>
                <w:szCs w:val="20"/>
                <w:lang w:val="fr-CA"/>
              </w:rPr>
              <w:t>Sa Majesté la Reine (</w:t>
            </w:r>
            <w:r>
              <w:rPr>
                <w:b/>
                <w:sz w:val="20"/>
                <w:szCs w:val="20"/>
                <w:lang w:val="fr-CA"/>
              </w:rPr>
              <w:t>Alb.</w:t>
            </w:r>
            <w:r w:rsidRPr="00BC6B6E">
              <w:rPr>
                <w:b/>
                <w:sz w:val="20"/>
                <w:szCs w:val="20"/>
                <w:lang w:val="fr-CA"/>
              </w:rPr>
              <w:t>)</w:t>
            </w:r>
          </w:p>
          <w:p w:rsidR="001D7DC9" w:rsidRPr="00BC6B6E" w:rsidRDefault="001D7DC9" w:rsidP="0019198E">
            <w:pPr>
              <w:rPr>
                <w:sz w:val="20"/>
                <w:szCs w:val="20"/>
                <w:lang w:val="fr-CA"/>
              </w:rPr>
            </w:pPr>
          </w:p>
          <w:p w:rsidR="001D7DC9" w:rsidRPr="00635CA4" w:rsidRDefault="001D7DC9" w:rsidP="0019198E">
            <w:pPr>
              <w:rPr>
                <w:sz w:val="20"/>
                <w:szCs w:val="20"/>
              </w:rPr>
            </w:pPr>
            <w:r w:rsidRPr="00635CA4">
              <w:rPr>
                <w:sz w:val="20"/>
                <w:szCs w:val="20"/>
              </w:rPr>
              <w:t>(</w:t>
            </w:r>
            <w:r>
              <w:rPr>
                <w:sz w:val="20"/>
                <w:szCs w:val="20"/>
              </w:rPr>
              <w:t>Autorisation</w:t>
            </w:r>
            <w:r w:rsidRPr="00635CA4">
              <w:rPr>
                <w:sz w:val="20"/>
                <w:szCs w:val="20"/>
              </w:rPr>
              <w:t>)</w:t>
            </w:r>
          </w:p>
          <w:p w:rsidR="001D7DC9" w:rsidRPr="00635CA4" w:rsidRDefault="001D7DC9" w:rsidP="0019198E">
            <w:pPr>
              <w:rPr>
                <w:sz w:val="20"/>
                <w:szCs w:val="20"/>
              </w:rPr>
            </w:pPr>
          </w:p>
          <w:p w:rsidR="001D7DC9" w:rsidRPr="00B45DC0" w:rsidRDefault="007054A6" w:rsidP="0019198E">
            <w:pPr>
              <w:rPr>
                <w:color w:val="FF0000"/>
                <w:sz w:val="20"/>
                <w:szCs w:val="20"/>
              </w:rPr>
            </w:pPr>
            <w:r>
              <w:rPr>
                <w:color w:val="FF0000"/>
                <w:sz w:val="20"/>
                <w:szCs w:val="20"/>
                <w:lang w:val="fr-CA"/>
              </w:rPr>
              <w:pict>
                <v:rect id="_x0000_i1059" style="width:106.1pt;height:1pt" o:hrpct="500" o:hralign="center" o:hrstd="t" o:hrnoshade="t" o:hr="t" fillcolor="black [3213]" stroked="f"/>
              </w:pict>
            </w:r>
          </w:p>
        </w:tc>
        <w:tc>
          <w:tcPr>
            <w:tcW w:w="588" w:type="pct"/>
          </w:tcPr>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tc>
        <w:tc>
          <w:tcPr>
            <w:tcW w:w="2206" w:type="pct"/>
          </w:tcPr>
          <w:p w:rsidR="001D7DC9" w:rsidRPr="00B76BB5" w:rsidRDefault="001D7DC9" w:rsidP="0019198E">
            <w:pPr>
              <w:rPr>
                <w:sz w:val="20"/>
                <w:szCs w:val="20"/>
                <w:lang w:val="fr-CA"/>
              </w:rPr>
            </w:pPr>
            <w:r w:rsidRPr="00B76BB5">
              <w:rPr>
                <w:sz w:val="20"/>
                <w:szCs w:val="20"/>
                <w:lang w:val="fr-CA"/>
              </w:rPr>
              <w:t>04.09.2014</w:t>
            </w:r>
          </w:p>
          <w:p w:rsidR="001D7DC9" w:rsidRPr="00B76BB5" w:rsidRDefault="001D7DC9" w:rsidP="0019198E">
            <w:pPr>
              <w:rPr>
                <w:sz w:val="20"/>
                <w:szCs w:val="20"/>
                <w:lang w:val="fr-CA"/>
              </w:rPr>
            </w:pPr>
          </w:p>
          <w:p w:rsidR="001D7DC9" w:rsidRPr="00B76BB5" w:rsidRDefault="001D7DC9" w:rsidP="0019198E">
            <w:pPr>
              <w:rPr>
                <w:b/>
                <w:sz w:val="20"/>
                <w:szCs w:val="20"/>
                <w:lang w:val="fr-CA"/>
              </w:rPr>
            </w:pPr>
            <w:r w:rsidRPr="00B76BB5">
              <w:rPr>
                <w:b/>
                <w:sz w:val="20"/>
                <w:szCs w:val="20"/>
                <w:lang w:val="fr-CA"/>
              </w:rPr>
              <w:t>IMAX Corporation</w:t>
            </w:r>
            <w:r w:rsidR="00E13170" w:rsidRPr="00B76BB5">
              <w:rPr>
                <w:b/>
                <w:sz w:val="20"/>
                <w:szCs w:val="20"/>
                <w:lang w:val="fr-CA"/>
              </w:rPr>
              <w:t xml:space="preserve"> et al.</w:t>
            </w:r>
          </w:p>
          <w:p w:rsidR="001D7DC9" w:rsidRPr="00B76BB5" w:rsidRDefault="001D7DC9" w:rsidP="0019198E">
            <w:pPr>
              <w:rPr>
                <w:b/>
                <w:sz w:val="20"/>
                <w:szCs w:val="20"/>
                <w:lang w:val="fr-CA"/>
              </w:rPr>
            </w:pPr>
          </w:p>
          <w:p w:rsidR="001D7DC9" w:rsidRPr="00B76BB5" w:rsidRDefault="001D7DC9" w:rsidP="0019198E">
            <w:pPr>
              <w:rPr>
                <w:b/>
                <w:sz w:val="20"/>
                <w:szCs w:val="20"/>
                <w:lang w:val="fr-CA"/>
              </w:rPr>
            </w:pPr>
            <w:r w:rsidRPr="00B76BB5">
              <w:rPr>
                <w:b/>
                <w:sz w:val="20"/>
                <w:szCs w:val="20"/>
                <w:lang w:val="fr-CA"/>
              </w:rPr>
              <w:tab/>
              <w:t>v. (35811)</w:t>
            </w:r>
          </w:p>
          <w:p w:rsidR="001D7DC9" w:rsidRPr="00B76BB5" w:rsidRDefault="001D7DC9" w:rsidP="0019198E">
            <w:pPr>
              <w:rPr>
                <w:b/>
                <w:sz w:val="20"/>
                <w:szCs w:val="20"/>
                <w:lang w:val="fr-CA"/>
              </w:rPr>
            </w:pPr>
          </w:p>
          <w:p w:rsidR="001D7DC9" w:rsidRPr="00E13170" w:rsidRDefault="001D7DC9" w:rsidP="0019198E">
            <w:pPr>
              <w:rPr>
                <w:b/>
                <w:sz w:val="20"/>
                <w:szCs w:val="20"/>
                <w:lang w:val="fr-CA"/>
              </w:rPr>
            </w:pPr>
            <w:r w:rsidRPr="00E13170">
              <w:rPr>
                <w:b/>
                <w:sz w:val="20"/>
                <w:szCs w:val="20"/>
                <w:lang w:val="fr-CA"/>
              </w:rPr>
              <w:t xml:space="preserve">Marvin Neil Silver </w:t>
            </w:r>
            <w:r w:rsidR="00E13170" w:rsidRPr="00E13170">
              <w:rPr>
                <w:b/>
                <w:sz w:val="20"/>
                <w:szCs w:val="20"/>
                <w:lang w:val="fr-CA"/>
              </w:rPr>
              <w:t>et al.</w:t>
            </w:r>
            <w:r w:rsidR="00E13170">
              <w:rPr>
                <w:b/>
                <w:sz w:val="20"/>
                <w:szCs w:val="20"/>
                <w:lang w:val="fr-CA"/>
              </w:rPr>
              <w:t xml:space="preserve"> </w:t>
            </w:r>
            <w:r w:rsidRPr="00E13170">
              <w:rPr>
                <w:b/>
                <w:sz w:val="20"/>
                <w:szCs w:val="20"/>
                <w:lang w:val="fr-CA"/>
              </w:rPr>
              <w:t>(Ont.)</w:t>
            </w:r>
          </w:p>
          <w:p w:rsidR="001D7DC9" w:rsidRPr="00E13170" w:rsidRDefault="001D7DC9" w:rsidP="0019198E">
            <w:pPr>
              <w:rPr>
                <w:sz w:val="20"/>
                <w:szCs w:val="20"/>
                <w:lang w:val="fr-CA"/>
              </w:rPr>
            </w:pPr>
          </w:p>
          <w:p w:rsidR="001D7DC9" w:rsidRPr="001D7DC9" w:rsidRDefault="001D7DC9" w:rsidP="0019198E">
            <w:pPr>
              <w:rPr>
                <w:sz w:val="20"/>
                <w:szCs w:val="20"/>
                <w:lang w:val="en-US"/>
              </w:rPr>
            </w:pPr>
            <w:r w:rsidRPr="001D7DC9">
              <w:rPr>
                <w:sz w:val="20"/>
                <w:szCs w:val="20"/>
                <w:lang w:val="en-US"/>
              </w:rPr>
              <w:t>(By Leave)</w:t>
            </w:r>
          </w:p>
          <w:p w:rsidR="001D7DC9" w:rsidRPr="001D7DC9" w:rsidRDefault="001D7DC9" w:rsidP="0019198E">
            <w:pPr>
              <w:rPr>
                <w:sz w:val="20"/>
                <w:szCs w:val="20"/>
                <w:lang w:val="en-US"/>
              </w:rPr>
            </w:pPr>
          </w:p>
          <w:p w:rsidR="001D7DC9" w:rsidRPr="00635CA4" w:rsidRDefault="007054A6" w:rsidP="0019198E">
            <w:pPr>
              <w:rPr>
                <w:sz w:val="20"/>
                <w:szCs w:val="20"/>
                <w:lang w:val="en-US"/>
              </w:rPr>
            </w:pPr>
            <w:r>
              <w:rPr>
                <w:sz w:val="20"/>
                <w:szCs w:val="20"/>
                <w:lang w:val="fr-CA"/>
              </w:rPr>
              <w:pict>
                <v:rect id="_x0000_i1060" style="width:106.1pt;height:1pt" o:hrpct="500" o:hralign="center" o:hrstd="t" o:hrnoshade="t" o:hr="t" fillcolor="black [3213]" stroked="f"/>
              </w:pict>
            </w:r>
          </w:p>
        </w:tc>
      </w:tr>
      <w:tr w:rsidR="001D7DC9" w:rsidRPr="00130B0E" w:rsidTr="005F1ED8">
        <w:trPr>
          <w:cantSplit/>
        </w:trPr>
        <w:tc>
          <w:tcPr>
            <w:tcW w:w="2206" w:type="pct"/>
            <w:tcMar>
              <w:left w:w="0" w:type="dxa"/>
              <w:right w:w="0" w:type="dxa"/>
            </w:tcMar>
          </w:tcPr>
          <w:p w:rsidR="001D7DC9" w:rsidRPr="001D7DC9" w:rsidRDefault="001D7DC9" w:rsidP="0019198E">
            <w:pPr>
              <w:rPr>
                <w:sz w:val="20"/>
                <w:szCs w:val="20"/>
                <w:lang w:val="fr-CA"/>
              </w:rPr>
            </w:pPr>
            <w:r w:rsidRPr="001D7DC9">
              <w:rPr>
                <w:sz w:val="20"/>
                <w:szCs w:val="20"/>
                <w:lang w:val="fr-CA"/>
              </w:rPr>
              <w:lastRenderedPageBreak/>
              <w:t>02.09.2014</w:t>
            </w:r>
          </w:p>
          <w:p w:rsidR="001D7DC9" w:rsidRPr="001D7DC9" w:rsidRDefault="001D7DC9" w:rsidP="0019198E">
            <w:pPr>
              <w:rPr>
                <w:sz w:val="20"/>
                <w:szCs w:val="20"/>
                <w:lang w:val="fr-CA"/>
              </w:rPr>
            </w:pPr>
          </w:p>
          <w:p w:rsidR="001D7DC9" w:rsidRPr="00BC6B6E" w:rsidRDefault="001D7DC9" w:rsidP="0019198E">
            <w:pPr>
              <w:rPr>
                <w:b/>
                <w:sz w:val="20"/>
                <w:szCs w:val="20"/>
                <w:lang w:val="fr-CA"/>
              </w:rPr>
            </w:pPr>
            <w:r>
              <w:rPr>
                <w:b/>
                <w:sz w:val="20"/>
                <w:szCs w:val="20"/>
                <w:lang w:val="fr-CA"/>
              </w:rPr>
              <w:t>Gilles Caron</w:t>
            </w:r>
            <w:r w:rsidR="00E13170">
              <w:rPr>
                <w:b/>
                <w:sz w:val="20"/>
                <w:szCs w:val="20"/>
                <w:lang w:val="fr-CA"/>
              </w:rPr>
              <w:t xml:space="preserve"> et autre</w:t>
            </w:r>
          </w:p>
          <w:p w:rsidR="001D7DC9" w:rsidRPr="00BC6B6E" w:rsidRDefault="001D7DC9" w:rsidP="0019198E">
            <w:pPr>
              <w:rPr>
                <w:b/>
                <w:sz w:val="20"/>
                <w:szCs w:val="20"/>
                <w:lang w:val="fr-CA"/>
              </w:rPr>
            </w:pPr>
          </w:p>
          <w:p w:rsidR="001D7DC9" w:rsidRPr="00BC6B6E" w:rsidRDefault="001D7DC9" w:rsidP="0019198E">
            <w:pPr>
              <w:rPr>
                <w:b/>
                <w:sz w:val="20"/>
                <w:szCs w:val="20"/>
                <w:lang w:val="fr-CA"/>
              </w:rPr>
            </w:pPr>
            <w:r w:rsidRPr="00BC6B6E">
              <w:rPr>
                <w:b/>
                <w:sz w:val="20"/>
                <w:szCs w:val="20"/>
                <w:lang w:val="fr-CA"/>
              </w:rPr>
              <w:tab/>
              <w:t>c. (35842)</w:t>
            </w:r>
          </w:p>
          <w:p w:rsidR="001D7DC9" w:rsidRPr="00BC6B6E" w:rsidRDefault="001D7DC9" w:rsidP="0019198E">
            <w:pPr>
              <w:rPr>
                <w:b/>
                <w:sz w:val="20"/>
                <w:szCs w:val="20"/>
                <w:lang w:val="fr-CA"/>
              </w:rPr>
            </w:pPr>
          </w:p>
          <w:p w:rsidR="001D7DC9" w:rsidRPr="00BC6B6E" w:rsidRDefault="001D7DC9" w:rsidP="0019198E">
            <w:pPr>
              <w:rPr>
                <w:b/>
                <w:sz w:val="20"/>
                <w:szCs w:val="20"/>
                <w:lang w:val="fr-CA"/>
              </w:rPr>
            </w:pPr>
            <w:r w:rsidRPr="00BC6B6E">
              <w:rPr>
                <w:b/>
                <w:sz w:val="20"/>
                <w:szCs w:val="20"/>
                <w:lang w:val="fr-CA"/>
              </w:rPr>
              <w:t>Sa Majesté la Reine (</w:t>
            </w:r>
            <w:r>
              <w:rPr>
                <w:b/>
                <w:sz w:val="20"/>
                <w:szCs w:val="20"/>
                <w:lang w:val="fr-CA"/>
              </w:rPr>
              <w:t>Alb.</w:t>
            </w:r>
            <w:r w:rsidRPr="00BC6B6E">
              <w:rPr>
                <w:b/>
                <w:sz w:val="20"/>
                <w:szCs w:val="20"/>
                <w:lang w:val="fr-CA"/>
              </w:rPr>
              <w:t>)</w:t>
            </w:r>
          </w:p>
          <w:p w:rsidR="001D7DC9" w:rsidRPr="00BC6B6E" w:rsidRDefault="001D7DC9" w:rsidP="0019198E">
            <w:pPr>
              <w:rPr>
                <w:sz w:val="20"/>
                <w:szCs w:val="20"/>
                <w:lang w:val="fr-CA"/>
              </w:rPr>
            </w:pPr>
          </w:p>
          <w:p w:rsidR="001D7DC9" w:rsidRPr="00635CA4" w:rsidRDefault="001D7DC9" w:rsidP="0019198E">
            <w:pPr>
              <w:rPr>
                <w:sz w:val="20"/>
                <w:szCs w:val="20"/>
              </w:rPr>
            </w:pPr>
            <w:r w:rsidRPr="00635CA4">
              <w:rPr>
                <w:sz w:val="20"/>
                <w:szCs w:val="20"/>
              </w:rPr>
              <w:t>(</w:t>
            </w:r>
            <w:r>
              <w:rPr>
                <w:sz w:val="20"/>
                <w:szCs w:val="20"/>
              </w:rPr>
              <w:t>Autorisation</w:t>
            </w:r>
            <w:r w:rsidRPr="00635CA4">
              <w:rPr>
                <w:sz w:val="20"/>
                <w:szCs w:val="20"/>
              </w:rPr>
              <w:t>)</w:t>
            </w:r>
          </w:p>
          <w:p w:rsidR="001D7DC9" w:rsidRPr="00635CA4" w:rsidRDefault="001D7DC9" w:rsidP="0019198E">
            <w:pPr>
              <w:rPr>
                <w:sz w:val="20"/>
                <w:szCs w:val="20"/>
              </w:rPr>
            </w:pPr>
          </w:p>
          <w:p w:rsidR="001D7DC9" w:rsidRPr="00B45DC0" w:rsidRDefault="007054A6" w:rsidP="0019198E">
            <w:pPr>
              <w:rPr>
                <w:color w:val="FF0000"/>
                <w:sz w:val="20"/>
                <w:szCs w:val="20"/>
              </w:rPr>
            </w:pPr>
            <w:r>
              <w:rPr>
                <w:color w:val="FF0000"/>
                <w:sz w:val="20"/>
                <w:szCs w:val="20"/>
                <w:lang w:val="fr-CA"/>
              </w:rPr>
              <w:pict>
                <v:rect id="_x0000_i1061" style="width:106.1pt;height:1pt" o:hrpct="500" o:hralign="center" o:hrstd="t" o:hrnoshade="t" o:hr="t" fillcolor="black [3213]" stroked="f"/>
              </w:pict>
            </w:r>
          </w:p>
        </w:tc>
        <w:tc>
          <w:tcPr>
            <w:tcW w:w="588" w:type="pct"/>
          </w:tcPr>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p w:rsidR="001D7DC9" w:rsidRPr="00635CA4" w:rsidRDefault="001D7DC9" w:rsidP="0019198E">
            <w:pPr>
              <w:jc w:val="center"/>
              <w:rPr>
                <w:sz w:val="20"/>
                <w:szCs w:val="20"/>
              </w:rPr>
            </w:pPr>
          </w:p>
        </w:tc>
        <w:tc>
          <w:tcPr>
            <w:tcW w:w="2206" w:type="pct"/>
          </w:tcPr>
          <w:p w:rsidR="00D172F0" w:rsidRPr="00C566A3" w:rsidRDefault="00D172F0" w:rsidP="00D172F0">
            <w:pPr>
              <w:rPr>
                <w:sz w:val="20"/>
                <w:szCs w:val="20"/>
                <w:lang w:val="en-US"/>
              </w:rPr>
            </w:pPr>
            <w:r w:rsidRPr="00C566A3">
              <w:rPr>
                <w:sz w:val="20"/>
                <w:szCs w:val="20"/>
                <w:lang w:val="en-US"/>
              </w:rPr>
              <w:t>08.09.2014</w:t>
            </w:r>
          </w:p>
          <w:p w:rsidR="00D172F0" w:rsidRPr="00C566A3" w:rsidRDefault="00D172F0" w:rsidP="00D172F0">
            <w:pPr>
              <w:rPr>
                <w:sz w:val="20"/>
                <w:szCs w:val="20"/>
                <w:lang w:val="en-US"/>
              </w:rPr>
            </w:pPr>
          </w:p>
          <w:p w:rsidR="00D172F0" w:rsidRPr="00C566A3" w:rsidRDefault="00D172F0" w:rsidP="00D172F0">
            <w:pPr>
              <w:rPr>
                <w:b/>
                <w:sz w:val="20"/>
                <w:szCs w:val="20"/>
                <w:lang w:val="en-US"/>
              </w:rPr>
            </w:pPr>
            <w:r w:rsidRPr="00C566A3">
              <w:rPr>
                <w:b/>
                <w:sz w:val="20"/>
                <w:szCs w:val="20"/>
                <w:lang w:val="en-US"/>
              </w:rPr>
              <w:t>Gerald McCaughey et al.</w:t>
            </w:r>
          </w:p>
          <w:p w:rsidR="00D172F0" w:rsidRPr="00C566A3" w:rsidRDefault="00D172F0" w:rsidP="00D172F0">
            <w:pPr>
              <w:rPr>
                <w:b/>
                <w:sz w:val="20"/>
                <w:szCs w:val="20"/>
                <w:lang w:val="en-US"/>
              </w:rPr>
            </w:pPr>
          </w:p>
          <w:p w:rsidR="00D172F0" w:rsidRPr="00D172F0" w:rsidRDefault="00D172F0" w:rsidP="00D172F0">
            <w:pPr>
              <w:rPr>
                <w:b/>
                <w:sz w:val="20"/>
                <w:szCs w:val="20"/>
                <w:lang w:val="en-US"/>
              </w:rPr>
            </w:pPr>
            <w:r w:rsidRPr="00C566A3">
              <w:rPr>
                <w:b/>
                <w:sz w:val="20"/>
                <w:szCs w:val="20"/>
                <w:lang w:val="en-US"/>
              </w:rPr>
              <w:tab/>
            </w:r>
            <w:r w:rsidRPr="00D172F0">
              <w:rPr>
                <w:b/>
                <w:sz w:val="20"/>
                <w:szCs w:val="20"/>
                <w:lang w:val="en-US"/>
              </w:rPr>
              <w:t>v. (35807)</w:t>
            </w:r>
          </w:p>
          <w:p w:rsidR="00D172F0" w:rsidRPr="00D172F0" w:rsidRDefault="00D172F0" w:rsidP="00D172F0">
            <w:pPr>
              <w:rPr>
                <w:b/>
                <w:sz w:val="20"/>
                <w:szCs w:val="20"/>
                <w:lang w:val="en-US"/>
              </w:rPr>
            </w:pPr>
          </w:p>
          <w:p w:rsidR="00D172F0" w:rsidRPr="00D172F0" w:rsidRDefault="00D172F0" w:rsidP="00D172F0">
            <w:pPr>
              <w:rPr>
                <w:b/>
                <w:sz w:val="20"/>
                <w:szCs w:val="20"/>
                <w:lang w:val="en-US"/>
              </w:rPr>
            </w:pPr>
            <w:r w:rsidRPr="00D172F0">
              <w:rPr>
                <w:b/>
                <w:sz w:val="20"/>
                <w:szCs w:val="20"/>
                <w:lang w:val="en-US"/>
              </w:rPr>
              <w:t xml:space="preserve">Howard Green </w:t>
            </w:r>
            <w:r>
              <w:rPr>
                <w:b/>
                <w:sz w:val="20"/>
                <w:szCs w:val="20"/>
                <w:lang w:val="en-US"/>
              </w:rPr>
              <w:t xml:space="preserve">et al. </w:t>
            </w:r>
            <w:r w:rsidRPr="00D172F0">
              <w:rPr>
                <w:b/>
                <w:sz w:val="20"/>
                <w:szCs w:val="20"/>
                <w:lang w:val="en-US"/>
              </w:rPr>
              <w:t>(Ont.)</w:t>
            </w:r>
          </w:p>
          <w:p w:rsidR="00D172F0" w:rsidRPr="00D172F0" w:rsidRDefault="00D172F0" w:rsidP="00D172F0">
            <w:pPr>
              <w:rPr>
                <w:sz w:val="20"/>
                <w:szCs w:val="20"/>
                <w:lang w:val="en-US"/>
              </w:rPr>
            </w:pPr>
          </w:p>
          <w:p w:rsidR="00D172F0" w:rsidRPr="00635CA4" w:rsidRDefault="00D172F0" w:rsidP="00D172F0">
            <w:pPr>
              <w:rPr>
                <w:sz w:val="20"/>
                <w:szCs w:val="20"/>
              </w:rPr>
            </w:pPr>
            <w:r w:rsidRPr="00635CA4">
              <w:rPr>
                <w:sz w:val="20"/>
                <w:szCs w:val="20"/>
              </w:rPr>
              <w:t>(</w:t>
            </w:r>
            <w:r>
              <w:rPr>
                <w:sz w:val="20"/>
                <w:szCs w:val="20"/>
              </w:rPr>
              <w:t>By Leave</w:t>
            </w:r>
            <w:r w:rsidRPr="00635CA4">
              <w:rPr>
                <w:sz w:val="20"/>
                <w:szCs w:val="20"/>
              </w:rPr>
              <w:t>)</w:t>
            </w:r>
          </w:p>
          <w:p w:rsidR="00D172F0" w:rsidRPr="00635CA4" w:rsidRDefault="00D172F0" w:rsidP="00D172F0">
            <w:pPr>
              <w:rPr>
                <w:sz w:val="20"/>
                <w:szCs w:val="20"/>
              </w:rPr>
            </w:pPr>
          </w:p>
          <w:p w:rsidR="001D7DC9" w:rsidRPr="001D7DC9" w:rsidRDefault="007054A6" w:rsidP="00D172F0">
            <w:pPr>
              <w:rPr>
                <w:sz w:val="20"/>
                <w:szCs w:val="20"/>
                <w:lang w:val="en-US"/>
              </w:rPr>
            </w:pPr>
            <w:r>
              <w:rPr>
                <w:color w:val="FF0000"/>
                <w:sz w:val="20"/>
                <w:szCs w:val="20"/>
                <w:lang w:val="fr-CA"/>
              </w:rPr>
              <w:pict>
                <v:rect id="_x0000_i1062" style="width:106.1pt;height:1pt" o:hrpct="500" o:hralign="center" o:hrstd="t" o:hrnoshade="t" o:hr="t" fillcolor="black [3213]" stroked="f"/>
              </w:pict>
            </w:r>
          </w:p>
        </w:tc>
      </w:tr>
      <w:tr w:rsidR="00897D0B" w:rsidRPr="00130B0E" w:rsidTr="005F1ED8">
        <w:trPr>
          <w:cantSplit/>
        </w:trPr>
        <w:tc>
          <w:tcPr>
            <w:tcW w:w="2206" w:type="pct"/>
            <w:tcMar>
              <w:left w:w="0" w:type="dxa"/>
              <w:right w:w="0" w:type="dxa"/>
            </w:tcMar>
          </w:tcPr>
          <w:p w:rsidR="00897D0B" w:rsidRPr="00897D0B" w:rsidRDefault="00897D0B" w:rsidP="00897D0B">
            <w:pPr>
              <w:rPr>
                <w:sz w:val="20"/>
                <w:szCs w:val="20"/>
                <w:lang w:val="en-US"/>
              </w:rPr>
            </w:pPr>
            <w:r w:rsidRPr="00897D0B">
              <w:rPr>
                <w:sz w:val="20"/>
                <w:szCs w:val="20"/>
                <w:lang w:val="en-US"/>
              </w:rPr>
              <w:t>08.09.2014</w:t>
            </w:r>
          </w:p>
          <w:p w:rsidR="00897D0B" w:rsidRPr="00897D0B" w:rsidRDefault="00897D0B" w:rsidP="00897D0B">
            <w:pPr>
              <w:rPr>
                <w:sz w:val="20"/>
                <w:szCs w:val="20"/>
                <w:lang w:val="en-US"/>
              </w:rPr>
            </w:pPr>
          </w:p>
          <w:p w:rsidR="00897D0B" w:rsidRDefault="00897D0B" w:rsidP="00897D0B">
            <w:pPr>
              <w:rPr>
                <w:b/>
                <w:sz w:val="20"/>
                <w:szCs w:val="20"/>
                <w:lang w:val="en-US"/>
              </w:rPr>
            </w:pPr>
            <w:r w:rsidRPr="00897D0B">
              <w:rPr>
                <w:b/>
                <w:sz w:val="20"/>
                <w:szCs w:val="20"/>
                <w:lang w:val="en-US"/>
              </w:rPr>
              <w:t>Canadian Imperial Bank of Commerce</w:t>
            </w:r>
          </w:p>
          <w:p w:rsidR="00897D0B" w:rsidRPr="00897D0B" w:rsidRDefault="00897D0B" w:rsidP="00897D0B">
            <w:pPr>
              <w:rPr>
                <w:b/>
                <w:sz w:val="20"/>
                <w:szCs w:val="20"/>
                <w:lang w:val="en-US"/>
              </w:rPr>
            </w:pPr>
          </w:p>
          <w:p w:rsidR="00897D0B" w:rsidRPr="00D172F0" w:rsidRDefault="00897D0B" w:rsidP="00897D0B">
            <w:pPr>
              <w:rPr>
                <w:b/>
                <w:sz w:val="20"/>
                <w:szCs w:val="20"/>
                <w:lang w:val="en-US"/>
              </w:rPr>
            </w:pPr>
            <w:r w:rsidRPr="00897D0B">
              <w:rPr>
                <w:b/>
                <w:sz w:val="20"/>
                <w:szCs w:val="20"/>
                <w:lang w:val="en-US"/>
              </w:rPr>
              <w:tab/>
            </w:r>
            <w:r w:rsidRPr="00D172F0">
              <w:rPr>
                <w:b/>
                <w:sz w:val="20"/>
                <w:szCs w:val="20"/>
                <w:lang w:val="en-US"/>
              </w:rPr>
              <w:t>v. (35807)</w:t>
            </w:r>
          </w:p>
          <w:p w:rsidR="00897D0B" w:rsidRPr="00D172F0" w:rsidRDefault="00897D0B" w:rsidP="00897D0B">
            <w:pPr>
              <w:rPr>
                <w:b/>
                <w:sz w:val="20"/>
                <w:szCs w:val="20"/>
                <w:lang w:val="en-US"/>
              </w:rPr>
            </w:pPr>
          </w:p>
          <w:p w:rsidR="00897D0B" w:rsidRPr="00D172F0" w:rsidRDefault="00897D0B" w:rsidP="00897D0B">
            <w:pPr>
              <w:rPr>
                <w:b/>
                <w:sz w:val="20"/>
                <w:szCs w:val="20"/>
                <w:lang w:val="en-US"/>
              </w:rPr>
            </w:pPr>
            <w:r w:rsidRPr="00D172F0">
              <w:rPr>
                <w:b/>
                <w:sz w:val="20"/>
                <w:szCs w:val="20"/>
                <w:lang w:val="en-US"/>
              </w:rPr>
              <w:t xml:space="preserve">Howard Green </w:t>
            </w:r>
            <w:r>
              <w:rPr>
                <w:b/>
                <w:sz w:val="20"/>
                <w:szCs w:val="20"/>
                <w:lang w:val="en-US"/>
              </w:rPr>
              <w:t xml:space="preserve">et al. </w:t>
            </w:r>
            <w:r w:rsidRPr="00D172F0">
              <w:rPr>
                <w:b/>
                <w:sz w:val="20"/>
                <w:szCs w:val="20"/>
                <w:lang w:val="en-US"/>
              </w:rPr>
              <w:t>(Ont.)</w:t>
            </w:r>
          </w:p>
          <w:p w:rsidR="00897D0B" w:rsidRPr="00D172F0" w:rsidRDefault="00897D0B" w:rsidP="00897D0B">
            <w:pPr>
              <w:rPr>
                <w:sz w:val="20"/>
                <w:szCs w:val="20"/>
                <w:lang w:val="en-US"/>
              </w:rPr>
            </w:pPr>
          </w:p>
          <w:p w:rsidR="00897D0B" w:rsidRPr="00635CA4" w:rsidRDefault="00897D0B" w:rsidP="00897D0B">
            <w:pPr>
              <w:rPr>
                <w:sz w:val="20"/>
                <w:szCs w:val="20"/>
              </w:rPr>
            </w:pPr>
            <w:r w:rsidRPr="00635CA4">
              <w:rPr>
                <w:sz w:val="20"/>
                <w:szCs w:val="20"/>
              </w:rPr>
              <w:t>(</w:t>
            </w:r>
            <w:r>
              <w:rPr>
                <w:sz w:val="20"/>
                <w:szCs w:val="20"/>
              </w:rPr>
              <w:t>By Leave</w:t>
            </w:r>
            <w:r w:rsidRPr="00635CA4">
              <w:rPr>
                <w:sz w:val="20"/>
                <w:szCs w:val="20"/>
              </w:rPr>
              <w:t>)</w:t>
            </w:r>
          </w:p>
          <w:p w:rsidR="00897D0B" w:rsidRPr="00635CA4" w:rsidRDefault="00897D0B" w:rsidP="00897D0B">
            <w:pPr>
              <w:rPr>
                <w:sz w:val="20"/>
                <w:szCs w:val="20"/>
              </w:rPr>
            </w:pPr>
          </w:p>
          <w:p w:rsidR="00897D0B" w:rsidRPr="001D7DC9" w:rsidRDefault="007054A6" w:rsidP="00897D0B">
            <w:pPr>
              <w:rPr>
                <w:sz w:val="20"/>
                <w:szCs w:val="20"/>
                <w:lang w:val="fr-CA"/>
              </w:rPr>
            </w:pPr>
            <w:r>
              <w:rPr>
                <w:color w:val="FF0000"/>
                <w:sz w:val="20"/>
                <w:szCs w:val="20"/>
                <w:lang w:val="fr-CA"/>
              </w:rPr>
              <w:pict>
                <v:rect id="_x0000_i1063" style="width:106.1pt;height:1pt" o:hrpct="500" o:hralign="center" o:hrstd="t" o:hrnoshade="t" o:hr="t" fillcolor="black [3213]" stroked="f"/>
              </w:pict>
            </w:r>
          </w:p>
        </w:tc>
        <w:tc>
          <w:tcPr>
            <w:tcW w:w="588" w:type="pct"/>
          </w:tcPr>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Default="00897D0B" w:rsidP="0019198E">
            <w:pPr>
              <w:jc w:val="center"/>
              <w:rPr>
                <w:sz w:val="20"/>
                <w:szCs w:val="20"/>
              </w:rPr>
            </w:pPr>
          </w:p>
          <w:p w:rsidR="00897D0B" w:rsidRPr="00635CA4" w:rsidRDefault="00897D0B" w:rsidP="0019198E">
            <w:pPr>
              <w:jc w:val="center"/>
              <w:rPr>
                <w:sz w:val="20"/>
                <w:szCs w:val="20"/>
              </w:rPr>
            </w:pPr>
          </w:p>
        </w:tc>
        <w:tc>
          <w:tcPr>
            <w:tcW w:w="2206" w:type="pct"/>
          </w:tcPr>
          <w:p w:rsidR="00897D0B" w:rsidRPr="00897D0B" w:rsidRDefault="00897D0B" w:rsidP="00897D0B">
            <w:pPr>
              <w:rPr>
                <w:sz w:val="20"/>
                <w:szCs w:val="20"/>
                <w:lang w:val="en-US"/>
              </w:rPr>
            </w:pPr>
            <w:r w:rsidRPr="00897D0B">
              <w:rPr>
                <w:sz w:val="20"/>
                <w:szCs w:val="20"/>
                <w:lang w:val="en-US"/>
              </w:rPr>
              <w:t>08.09.2014</w:t>
            </w:r>
          </w:p>
          <w:p w:rsidR="00897D0B" w:rsidRPr="00897D0B" w:rsidRDefault="00897D0B" w:rsidP="00897D0B">
            <w:pPr>
              <w:rPr>
                <w:sz w:val="20"/>
                <w:szCs w:val="20"/>
                <w:lang w:val="en-US"/>
              </w:rPr>
            </w:pPr>
          </w:p>
          <w:p w:rsidR="00897D0B" w:rsidRDefault="00897D0B" w:rsidP="00897D0B">
            <w:pPr>
              <w:rPr>
                <w:b/>
                <w:sz w:val="20"/>
                <w:szCs w:val="20"/>
                <w:lang w:val="en-US"/>
              </w:rPr>
            </w:pPr>
            <w:r w:rsidRPr="00897D0B">
              <w:rPr>
                <w:b/>
                <w:sz w:val="20"/>
                <w:szCs w:val="20"/>
                <w:lang w:val="en-US"/>
              </w:rPr>
              <w:t>Celestica Inc.</w:t>
            </w:r>
            <w:r>
              <w:rPr>
                <w:b/>
                <w:sz w:val="20"/>
                <w:szCs w:val="20"/>
                <w:lang w:val="en-US"/>
              </w:rPr>
              <w:t xml:space="preserve"> et al.</w:t>
            </w:r>
          </w:p>
          <w:p w:rsidR="00897D0B" w:rsidRPr="00897D0B" w:rsidRDefault="00897D0B" w:rsidP="00897D0B">
            <w:pPr>
              <w:rPr>
                <w:b/>
                <w:sz w:val="20"/>
                <w:szCs w:val="20"/>
                <w:lang w:val="en-US"/>
              </w:rPr>
            </w:pPr>
          </w:p>
          <w:p w:rsidR="00897D0B" w:rsidRPr="00D172F0" w:rsidRDefault="00897D0B" w:rsidP="00897D0B">
            <w:pPr>
              <w:rPr>
                <w:b/>
                <w:sz w:val="20"/>
                <w:szCs w:val="20"/>
                <w:lang w:val="en-US"/>
              </w:rPr>
            </w:pPr>
            <w:r w:rsidRPr="00897D0B">
              <w:rPr>
                <w:b/>
                <w:sz w:val="20"/>
                <w:szCs w:val="20"/>
                <w:lang w:val="en-US"/>
              </w:rPr>
              <w:tab/>
            </w:r>
            <w:r w:rsidRPr="00D172F0">
              <w:rPr>
                <w:b/>
                <w:sz w:val="20"/>
                <w:szCs w:val="20"/>
                <w:lang w:val="en-US"/>
              </w:rPr>
              <w:t>v. (358</w:t>
            </w:r>
            <w:r>
              <w:rPr>
                <w:b/>
                <w:sz w:val="20"/>
                <w:szCs w:val="20"/>
                <w:lang w:val="en-US"/>
              </w:rPr>
              <w:t>13</w:t>
            </w:r>
            <w:r w:rsidRPr="00D172F0">
              <w:rPr>
                <w:b/>
                <w:sz w:val="20"/>
                <w:szCs w:val="20"/>
                <w:lang w:val="en-US"/>
              </w:rPr>
              <w:t>)</w:t>
            </w:r>
          </w:p>
          <w:p w:rsidR="00897D0B" w:rsidRPr="00D172F0" w:rsidRDefault="00897D0B" w:rsidP="00897D0B">
            <w:pPr>
              <w:rPr>
                <w:b/>
                <w:sz w:val="20"/>
                <w:szCs w:val="20"/>
                <w:lang w:val="en-US"/>
              </w:rPr>
            </w:pPr>
          </w:p>
          <w:p w:rsidR="00897D0B" w:rsidRPr="00D172F0" w:rsidRDefault="00897D0B" w:rsidP="00897D0B">
            <w:pPr>
              <w:rPr>
                <w:b/>
                <w:sz w:val="20"/>
                <w:szCs w:val="20"/>
                <w:lang w:val="en-US"/>
              </w:rPr>
            </w:pPr>
            <w:r w:rsidRPr="00897D0B">
              <w:rPr>
                <w:b/>
                <w:sz w:val="20"/>
                <w:szCs w:val="20"/>
                <w:lang w:val="en-US"/>
              </w:rPr>
              <w:t xml:space="preserve">Trustees of the Millwright Regional Council of Ontario Pension Trust Fund </w:t>
            </w:r>
            <w:r w:rsidR="00F14DA8">
              <w:rPr>
                <w:b/>
                <w:sz w:val="20"/>
                <w:szCs w:val="20"/>
                <w:lang w:val="en-US"/>
              </w:rPr>
              <w:t xml:space="preserve">et al. </w:t>
            </w:r>
            <w:r w:rsidRPr="00D172F0">
              <w:rPr>
                <w:b/>
                <w:sz w:val="20"/>
                <w:szCs w:val="20"/>
                <w:lang w:val="en-US"/>
              </w:rPr>
              <w:t>(Ont.)</w:t>
            </w:r>
          </w:p>
          <w:p w:rsidR="00897D0B" w:rsidRPr="00D172F0" w:rsidRDefault="00897D0B" w:rsidP="00897D0B">
            <w:pPr>
              <w:rPr>
                <w:sz w:val="20"/>
                <w:szCs w:val="20"/>
                <w:lang w:val="en-US"/>
              </w:rPr>
            </w:pPr>
          </w:p>
          <w:p w:rsidR="00897D0B" w:rsidRPr="00635CA4" w:rsidRDefault="00897D0B" w:rsidP="00897D0B">
            <w:pPr>
              <w:rPr>
                <w:sz w:val="20"/>
                <w:szCs w:val="20"/>
              </w:rPr>
            </w:pPr>
            <w:r w:rsidRPr="00635CA4">
              <w:rPr>
                <w:sz w:val="20"/>
                <w:szCs w:val="20"/>
              </w:rPr>
              <w:t>(</w:t>
            </w:r>
            <w:r>
              <w:rPr>
                <w:sz w:val="20"/>
                <w:szCs w:val="20"/>
              </w:rPr>
              <w:t>By Leave</w:t>
            </w:r>
            <w:r w:rsidRPr="00635CA4">
              <w:rPr>
                <w:sz w:val="20"/>
                <w:szCs w:val="20"/>
              </w:rPr>
              <w:t>)</w:t>
            </w:r>
          </w:p>
          <w:p w:rsidR="00897D0B" w:rsidRPr="00635CA4" w:rsidRDefault="00897D0B" w:rsidP="00897D0B">
            <w:pPr>
              <w:rPr>
                <w:sz w:val="20"/>
                <w:szCs w:val="20"/>
              </w:rPr>
            </w:pPr>
          </w:p>
          <w:p w:rsidR="00897D0B" w:rsidRPr="00F14DA8" w:rsidRDefault="007054A6" w:rsidP="00897D0B">
            <w:pPr>
              <w:rPr>
                <w:sz w:val="20"/>
                <w:szCs w:val="20"/>
                <w:lang w:val="en-US"/>
              </w:rPr>
            </w:pPr>
            <w:r>
              <w:rPr>
                <w:color w:val="FF0000"/>
                <w:sz w:val="20"/>
                <w:szCs w:val="20"/>
                <w:lang w:val="fr-CA"/>
              </w:rPr>
              <w:pict>
                <v:rect id="_x0000_i1064"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054A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A1009" w:rsidRDefault="00DA1009" w:rsidP="0052229C">
      <w:pPr>
        <w:rPr>
          <w:b/>
          <w:sz w:val="20"/>
          <w:szCs w:val="20"/>
          <w:lang w:val="en-US"/>
        </w:rPr>
      </w:pPr>
      <w:r w:rsidRPr="00DA1009">
        <w:rPr>
          <w:b/>
          <w:sz w:val="20"/>
          <w:szCs w:val="20"/>
          <w:lang w:val="en-US"/>
        </w:rPr>
        <w:t>SEPTEMBER</w:t>
      </w:r>
      <w:r w:rsidR="0052229C" w:rsidRPr="00DA1009">
        <w:rPr>
          <w:b/>
          <w:sz w:val="20"/>
          <w:szCs w:val="20"/>
          <w:lang w:val="en-US"/>
        </w:rPr>
        <w:t xml:space="preserve"> 1</w:t>
      </w:r>
      <w:r w:rsidRPr="00DA1009">
        <w:rPr>
          <w:b/>
          <w:sz w:val="20"/>
          <w:szCs w:val="20"/>
          <w:lang w:val="en-US"/>
        </w:rPr>
        <w:t>2, 2014 / LE 12</w:t>
      </w:r>
      <w:r w:rsidR="0052229C" w:rsidRPr="00DA1009">
        <w:rPr>
          <w:b/>
          <w:sz w:val="20"/>
          <w:szCs w:val="20"/>
          <w:lang w:val="en-US"/>
        </w:rPr>
        <w:t xml:space="preserve"> </w:t>
      </w:r>
      <w:r w:rsidRPr="00DA1009">
        <w:rPr>
          <w:b/>
          <w:sz w:val="20"/>
          <w:szCs w:val="20"/>
          <w:lang w:val="en-US"/>
        </w:rPr>
        <w:t>SEPTEMBRE</w:t>
      </w:r>
      <w:r w:rsidR="0052229C" w:rsidRPr="00DA1009">
        <w:rPr>
          <w:b/>
          <w:sz w:val="20"/>
          <w:szCs w:val="20"/>
          <w:lang w:val="en-US"/>
        </w:rPr>
        <w:t xml:space="preserve"> 2014</w:t>
      </w:r>
    </w:p>
    <w:p w:rsidR="0052229C" w:rsidRPr="00DA1009" w:rsidRDefault="0052229C" w:rsidP="0052229C">
      <w:pPr>
        <w:rPr>
          <w:sz w:val="20"/>
          <w:szCs w:val="20"/>
          <w:lang w:val="en-US"/>
        </w:rPr>
      </w:pPr>
    </w:p>
    <w:p w:rsidR="00DA1009" w:rsidRDefault="0084732B" w:rsidP="00DA1009">
      <w:pPr>
        <w:ind w:left="1440" w:hanging="1440"/>
        <w:jc w:val="both"/>
        <w:rPr>
          <w:sz w:val="20"/>
        </w:rPr>
      </w:pPr>
      <w:r>
        <w:rPr>
          <w:b/>
          <w:sz w:val="20"/>
        </w:rPr>
        <w:fldChar w:fldCharType="begin"/>
      </w:r>
      <w:r w:rsidR="00DA1009">
        <w:rPr>
          <w:b/>
          <w:sz w:val="20"/>
        </w:rPr>
        <w:instrText xml:space="preserve"> SEQ CHAPTER \h \r 1</w:instrText>
      </w:r>
      <w:r>
        <w:rPr>
          <w:b/>
          <w:sz w:val="20"/>
        </w:rPr>
        <w:fldChar w:fldCharType="end"/>
      </w:r>
      <w:r w:rsidR="00DA1009">
        <w:rPr>
          <w:b/>
          <w:sz w:val="20"/>
        </w:rPr>
        <w:t>35132</w:t>
      </w:r>
      <w:r w:rsidR="00DA1009">
        <w:rPr>
          <w:sz w:val="20"/>
        </w:rPr>
        <w:tab/>
      </w:r>
      <w:r w:rsidR="00DA1009">
        <w:rPr>
          <w:b/>
          <w:sz w:val="20"/>
          <w:u w:val="single"/>
        </w:rPr>
        <w:t xml:space="preserve">Mohammad Hassan Mian v. Her Majesty the Queen – and – Attorney General of Alberta </w:t>
      </w:r>
      <w:r w:rsidR="00DA1009">
        <w:rPr>
          <w:iCs/>
          <w:sz w:val="20"/>
        </w:rPr>
        <w:t>(Alta.)</w:t>
      </w:r>
    </w:p>
    <w:p w:rsidR="00DA1009" w:rsidRDefault="00DA1009" w:rsidP="00DA1009">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Pr>
          <w:b/>
          <w:sz w:val="20"/>
        </w:rPr>
        <w:t>2014 SCC 54 / 2014 CSC 54</w:t>
      </w:r>
    </w:p>
    <w:p w:rsidR="00DA1009" w:rsidRDefault="00DA1009" w:rsidP="00DA1009">
      <w:pPr>
        <w:ind w:left="1440" w:hanging="1440"/>
        <w:rPr>
          <w:sz w:val="20"/>
        </w:rPr>
      </w:pPr>
    </w:p>
    <w:p w:rsidR="00DA1009" w:rsidRDefault="00DA1009" w:rsidP="00DA1009">
      <w:pPr>
        <w:ind w:left="1440" w:hanging="1440"/>
        <w:rPr>
          <w:sz w:val="20"/>
          <w:u w:val="single"/>
        </w:rPr>
      </w:pPr>
      <w:r>
        <w:rPr>
          <w:sz w:val="20"/>
        </w:rPr>
        <w:t>Coram:</w:t>
      </w:r>
      <w:r>
        <w:rPr>
          <w:sz w:val="20"/>
        </w:rPr>
        <w:tab/>
      </w:r>
      <w:r>
        <w:rPr>
          <w:sz w:val="20"/>
          <w:u w:val="single"/>
        </w:rPr>
        <w:t>McLachlin C.J. and LeBel, Abella, Rothstein, Moldaver, Karakatsanis and Wagner JJ.</w:t>
      </w:r>
    </w:p>
    <w:p w:rsidR="00DA1009" w:rsidRDefault="00DA1009" w:rsidP="00DA1009">
      <w:pPr>
        <w:ind w:left="1440" w:hanging="1440"/>
        <w:jc w:val="both"/>
        <w:rPr>
          <w:sz w:val="20"/>
          <w:u w:val="single"/>
        </w:rPr>
      </w:pPr>
    </w:p>
    <w:p w:rsidR="00DA1009" w:rsidRDefault="00DA1009" w:rsidP="00DA1009">
      <w:pPr>
        <w:jc w:val="both"/>
        <w:rPr>
          <w:sz w:val="20"/>
        </w:rPr>
      </w:pPr>
      <w:r>
        <w:rPr>
          <w:sz w:val="20"/>
        </w:rPr>
        <w:t xml:space="preserve">The appeal from the judgment </w:t>
      </w:r>
      <w:bookmarkStart w:id="2" w:name="BM_1_"/>
      <w:bookmarkEnd w:id="2"/>
      <w:r>
        <w:rPr>
          <w:sz w:val="20"/>
        </w:rPr>
        <w:t>of the Court of Appeal of Alberta (Edmonton), Number 1103-0137-A, 2012 ABCA 302, dated October 18, 2012, heard on April 15, 2014, is allowed and the acquittals are restored.</w:t>
      </w:r>
    </w:p>
    <w:p w:rsidR="00DA1009" w:rsidRDefault="00DA1009" w:rsidP="00DA1009">
      <w:pPr>
        <w:jc w:val="both"/>
        <w:rPr>
          <w:sz w:val="20"/>
        </w:rPr>
      </w:pPr>
    </w:p>
    <w:p w:rsidR="00DA1009" w:rsidRDefault="00DA1009" w:rsidP="00DA1009">
      <w:pPr>
        <w:jc w:val="both"/>
        <w:rPr>
          <w:sz w:val="20"/>
          <w:lang w:val="fr-CA"/>
        </w:rPr>
      </w:pPr>
      <w:r>
        <w:rPr>
          <w:sz w:val="20"/>
          <w:lang w:val="fr-CA"/>
        </w:rPr>
        <w:t>L’appel interjeté contre l’arrêt de la Cour d’appel de l’Alberta (Edmonton), numéro 1103-0137-A, 2012 ABCA 302, en date du 18 octobre 2012, entendu le 15 avril 2014, est accueilli et les acquittements sont rétablis.</w:t>
      </w:r>
    </w:p>
    <w:p w:rsidR="0052229C" w:rsidRPr="000241BE" w:rsidRDefault="0052229C" w:rsidP="0052229C">
      <w:pPr>
        <w:rPr>
          <w:sz w:val="20"/>
          <w:szCs w:val="20"/>
          <w:lang w:val="fr-CA"/>
        </w:rPr>
      </w:pPr>
    </w:p>
    <w:p w:rsidR="0052229C" w:rsidRPr="003B3977" w:rsidRDefault="007054A6" w:rsidP="0052229C">
      <w:pPr>
        <w:spacing w:line="0" w:lineRule="atLeast"/>
        <w:rPr>
          <w:sz w:val="20"/>
          <w:szCs w:val="20"/>
        </w:rPr>
      </w:pPr>
      <w:r>
        <w:rPr>
          <w:b/>
          <w:sz w:val="20"/>
          <w:szCs w:val="20"/>
        </w:rPr>
        <w:pict>
          <v:rect id="_x0000_i106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0B112E" w:rsidRDefault="000B112E" w:rsidP="0052229C">
      <w:pPr>
        <w:ind w:left="1440" w:hanging="1440"/>
        <w:jc w:val="both"/>
        <w:rPr>
          <w:sz w:val="20"/>
          <w:szCs w:val="20"/>
          <w:lang w:val="en-US"/>
        </w:rPr>
      </w:pPr>
      <w:r w:rsidRPr="000B112E">
        <w:rPr>
          <w:rFonts w:eastAsia="Calibri"/>
          <w:i/>
          <w:sz w:val="20"/>
          <w:szCs w:val="20"/>
          <w:lang w:val="en-US"/>
        </w:rPr>
        <w:t>Mohammad Hassan Mian</w:t>
      </w:r>
      <w:r w:rsidR="0052229C" w:rsidRPr="000B112E">
        <w:rPr>
          <w:rFonts w:eastAsia="Calibri"/>
          <w:i/>
          <w:sz w:val="20"/>
          <w:szCs w:val="20"/>
          <w:lang w:val="en-US"/>
        </w:rPr>
        <w:t xml:space="preserve"> </w:t>
      </w:r>
      <w:r w:rsidRPr="000B112E">
        <w:rPr>
          <w:rFonts w:eastAsia="Calibri"/>
          <w:i/>
          <w:sz w:val="20"/>
          <w:szCs w:val="20"/>
          <w:lang w:val="en-US"/>
        </w:rPr>
        <w:t>v</w:t>
      </w:r>
      <w:r w:rsidR="0052229C" w:rsidRPr="000B112E">
        <w:rPr>
          <w:rFonts w:eastAsia="Calibri"/>
          <w:i/>
          <w:sz w:val="20"/>
          <w:szCs w:val="20"/>
          <w:lang w:val="en-US"/>
        </w:rPr>
        <w:t xml:space="preserve">. </w:t>
      </w:r>
      <w:r w:rsidRPr="000B112E">
        <w:rPr>
          <w:rFonts w:eastAsia="Calibri"/>
          <w:i/>
          <w:sz w:val="20"/>
          <w:szCs w:val="20"/>
          <w:lang w:val="en-US"/>
        </w:rPr>
        <w:t xml:space="preserve">Her Majesty The Queen </w:t>
      </w:r>
      <w:r w:rsidR="0052229C" w:rsidRPr="000B112E">
        <w:rPr>
          <w:sz w:val="20"/>
          <w:szCs w:val="20"/>
          <w:lang w:val="en-US"/>
        </w:rPr>
        <w:t>(</w:t>
      </w:r>
      <w:r>
        <w:rPr>
          <w:sz w:val="20"/>
          <w:szCs w:val="20"/>
          <w:lang w:val="en-US"/>
        </w:rPr>
        <w:t>Alta.</w:t>
      </w:r>
      <w:r w:rsidR="0052229C" w:rsidRPr="000B112E">
        <w:rPr>
          <w:sz w:val="20"/>
          <w:szCs w:val="20"/>
          <w:lang w:val="en-US"/>
        </w:rPr>
        <w:t>) (</w:t>
      </w:r>
      <w:hyperlink r:id="rId43" w:history="1">
        <w:r>
          <w:rPr>
            <w:rStyle w:val="Hyperlink"/>
            <w:sz w:val="20"/>
            <w:szCs w:val="20"/>
            <w:lang w:val="en-US"/>
          </w:rPr>
          <w:t>35132</w:t>
        </w:r>
      </w:hyperlink>
      <w:r w:rsidR="0052229C" w:rsidRPr="000B112E">
        <w:rPr>
          <w:sz w:val="20"/>
          <w:szCs w:val="20"/>
          <w:lang w:val="en-US"/>
        </w:rPr>
        <w:t>)</w:t>
      </w:r>
    </w:p>
    <w:p w:rsidR="0052229C" w:rsidRPr="00822540" w:rsidRDefault="0052229C" w:rsidP="0052229C">
      <w:pPr>
        <w:jc w:val="both"/>
        <w:rPr>
          <w:b/>
          <w:sz w:val="20"/>
          <w:szCs w:val="20"/>
        </w:rPr>
      </w:pPr>
      <w:r w:rsidRPr="005A1E5C">
        <w:rPr>
          <w:b/>
          <w:sz w:val="20"/>
          <w:szCs w:val="20"/>
        </w:rPr>
        <w:t xml:space="preserve">Indexed as:  </w:t>
      </w:r>
      <w:r w:rsidR="000B112E" w:rsidRPr="000B112E">
        <w:rPr>
          <w:b/>
          <w:sz w:val="20"/>
          <w:szCs w:val="20"/>
        </w:rPr>
        <w:t xml:space="preserve">R. </w:t>
      </w:r>
      <w:r w:rsidR="000B112E" w:rsidRPr="000B112E">
        <w:rPr>
          <w:b/>
          <w:i/>
          <w:sz w:val="20"/>
          <w:szCs w:val="20"/>
        </w:rPr>
        <w:t>v.</w:t>
      </w:r>
      <w:r w:rsidR="000B112E" w:rsidRPr="000B112E">
        <w:rPr>
          <w:b/>
          <w:sz w:val="20"/>
          <w:szCs w:val="20"/>
        </w:rPr>
        <w:t xml:space="preserve"> Mian</w:t>
      </w:r>
      <w:r w:rsidR="000B112E" w:rsidRPr="00822540">
        <w:rPr>
          <w:rStyle w:val="SCCAppellantForIndexChar"/>
          <w:rFonts w:eastAsiaTheme="minorHAnsi"/>
          <w:sz w:val="20"/>
          <w:lang w:val="en-CA"/>
        </w:rPr>
        <w:t xml:space="preserve"> </w:t>
      </w:r>
      <w:r>
        <w:rPr>
          <w:rStyle w:val="SCCRespondentForIndexChar"/>
          <w:rFonts w:eastAsiaTheme="minorHAnsi"/>
          <w:sz w:val="20"/>
        </w:rPr>
        <w:t xml:space="preserve">/ </w:t>
      </w:r>
      <w:r w:rsidRPr="00822540">
        <w:rPr>
          <w:b/>
          <w:sz w:val="20"/>
          <w:szCs w:val="20"/>
        </w:rPr>
        <w:t>Répertorié : </w:t>
      </w:r>
      <w:r w:rsidR="000B112E" w:rsidRPr="000B112E">
        <w:rPr>
          <w:b/>
          <w:sz w:val="20"/>
          <w:szCs w:val="20"/>
        </w:rPr>
        <w:t xml:space="preserve">R. </w:t>
      </w:r>
      <w:r w:rsidR="000B112E" w:rsidRPr="000B112E">
        <w:rPr>
          <w:b/>
          <w:i/>
          <w:sz w:val="20"/>
          <w:szCs w:val="20"/>
        </w:rPr>
        <w:t>c.</w:t>
      </w:r>
      <w:r w:rsidR="000B112E" w:rsidRPr="000B112E">
        <w:rPr>
          <w:b/>
          <w:sz w:val="20"/>
          <w:szCs w:val="20"/>
        </w:rPr>
        <w:t xml:space="preserve"> Mian</w:t>
      </w:r>
      <w:r w:rsidR="000B112E" w:rsidRPr="00822540">
        <w:rPr>
          <w:rStyle w:val="SCCAppellantForIndexChar"/>
          <w:rFonts w:eastAsiaTheme="minorHAnsi"/>
          <w:sz w:val="20"/>
          <w:lang w:val="en-CA"/>
        </w:rPr>
        <w:t xml:space="preserve"> </w:t>
      </w:r>
    </w:p>
    <w:p w:rsidR="0052229C" w:rsidRPr="000B112E" w:rsidRDefault="0052229C" w:rsidP="0052229C">
      <w:pPr>
        <w:pStyle w:val="SCCSystemYear"/>
        <w:jc w:val="both"/>
        <w:rPr>
          <w:sz w:val="20"/>
        </w:rPr>
      </w:pPr>
      <w:r w:rsidRPr="000B112E">
        <w:rPr>
          <w:sz w:val="20"/>
        </w:rPr>
        <w:t>Neutral citation:  2014 SCC </w:t>
      </w:r>
      <w:r w:rsidR="000B112E">
        <w:rPr>
          <w:sz w:val="20"/>
        </w:rPr>
        <w:t>54 / Référence neutre : 2014 CSC 54</w:t>
      </w:r>
    </w:p>
    <w:p w:rsidR="0052229C" w:rsidRPr="000B112E" w:rsidRDefault="0052229C" w:rsidP="0052229C">
      <w:pPr>
        <w:rPr>
          <w:rFonts w:cs="Times New Roman"/>
          <w:sz w:val="20"/>
          <w:szCs w:val="20"/>
          <w:lang w:val="fr-CA"/>
        </w:rPr>
      </w:pPr>
      <w:r w:rsidRPr="000B112E">
        <w:rPr>
          <w:rFonts w:cs="Times New Roman"/>
          <w:sz w:val="20"/>
          <w:szCs w:val="20"/>
          <w:lang w:val="fr-CA"/>
        </w:rPr>
        <w:t xml:space="preserve">Hearing:  April </w:t>
      </w:r>
      <w:r w:rsidR="000B112E" w:rsidRPr="000B112E">
        <w:rPr>
          <w:rFonts w:cs="Times New Roman"/>
          <w:sz w:val="20"/>
          <w:szCs w:val="20"/>
          <w:lang w:val="fr-CA"/>
        </w:rPr>
        <w:t>15, 2014</w:t>
      </w:r>
      <w:r w:rsidRPr="000B112E">
        <w:rPr>
          <w:rFonts w:cs="Times New Roman"/>
          <w:sz w:val="20"/>
          <w:szCs w:val="20"/>
          <w:lang w:val="fr-CA"/>
        </w:rPr>
        <w:t xml:space="preserve"> / Judgment:  </w:t>
      </w:r>
      <w:r w:rsidR="000B112E" w:rsidRPr="000B112E">
        <w:rPr>
          <w:rFonts w:cs="Times New Roman"/>
          <w:sz w:val="20"/>
          <w:szCs w:val="20"/>
          <w:lang w:val="fr-CA"/>
        </w:rPr>
        <w:t>September</w:t>
      </w:r>
      <w:r w:rsidRPr="000B112E">
        <w:rPr>
          <w:rFonts w:cs="Times New Roman"/>
          <w:sz w:val="20"/>
          <w:szCs w:val="20"/>
          <w:lang w:val="fr-CA"/>
        </w:rPr>
        <w:t xml:space="preserve"> 1</w:t>
      </w:r>
      <w:r w:rsidR="000B112E" w:rsidRPr="000B112E">
        <w:rPr>
          <w:rFonts w:cs="Times New Roman"/>
          <w:sz w:val="20"/>
          <w:szCs w:val="20"/>
          <w:lang w:val="fr-CA"/>
        </w:rPr>
        <w:t>2</w:t>
      </w:r>
      <w:r w:rsidRPr="000B112E">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0B112E">
        <w:rPr>
          <w:rFonts w:cs="Times New Roman"/>
          <w:sz w:val="20"/>
          <w:szCs w:val="20"/>
          <w:lang w:val="fr-CA"/>
        </w:rPr>
        <w:t>15</w:t>
      </w:r>
      <w:r w:rsidRPr="003B3977">
        <w:rPr>
          <w:rFonts w:cs="Times New Roman"/>
          <w:sz w:val="20"/>
          <w:szCs w:val="20"/>
          <w:lang w:val="fr-CA"/>
        </w:rPr>
        <w:t xml:space="preserve"> </w:t>
      </w:r>
      <w:r>
        <w:rPr>
          <w:rFonts w:cs="Times New Roman"/>
          <w:sz w:val="20"/>
          <w:szCs w:val="20"/>
          <w:lang w:val="fr-CA"/>
        </w:rPr>
        <w:t>av</w:t>
      </w:r>
      <w:r w:rsidRPr="003B3977">
        <w:rPr>
          <w:rFonts w:cs="Times New Roman"/>
          <w:sz w:val="20"/>
          <w:szCs w:val="20"/>
          <w:lang w:val="fr-CA"/>
        </w:rPr>
        <w:t>r</w:t>
      </w:r>
      <w:r>
        <w:rPr>
          <w:rFonts w:cs="Times New Roman"/>
          <w:sz w:val="20"/>
          <w:szCs w:val="20"/>
          <w:lang w:val="fr-CA"/>
        </w:rPr>
        <w:t>il</w:t>
      </w:r>
      <w:r w:rsidRPr="003B3977">
        <w:rPr>
          <w:rFonts w:cs="Times New Roman"/>
          <w:sz w:val="20"/>
          <w:szCs w:val="20"/>
          <w:lang w:val="fr-CA"/>
        </w:rPr>
        <w:t xml:space="preserve"> 201</w:t>
      </w:r>
      <w:r w:rsidR="000B112E">
        <w:rPr>
          <w:rFonts w:cs="Times New Roman"/>
          <w:sz w:val="20"/>
          <w:szCs w:val="20"/>
          <w:lang w:val="fr-CA"/>
        </w:rPr>
        <w:t>4</w:t>
      </w:r>
      <w:r w:rsidRPr="003B3977">
        <w:rPr>
          <w:rFonts w:cs="Times New Roman"/>
          <w:sz w:val="20"/>
          <w:szCs w:val="20"/>
          <w:lang w:val="fr-CA"/>
        </w:rPr>
        <w:t xml:space="preserve"> / Jugement : Le </w:t>
      </w:r>
      <w:r w:rsidR="000B112E">
        <w:rPr>
          <w:rFonts w:cs="Times New Roman"/>
          <w:sz w:val="20"/>
          <w:szCs w:val="20"/>
          <w:lang w:val="fr-CA"/>
        </w:rPr>
        <w:t>12 septembre</w:t>
      </w:r>
      <w:r w:rsidRPr="003B3977">
        <w:rPr>
          <w:rFonts w:cs="Times New Roman"/>
          <w:sz w:val="20"/>
          <w:szCs w:val="20"/>
          <w:lang w:val="fr-CA"/>
        </w:rPr>
        <w:t xml:space="preserve"> 201</w:t>
      </w:r>
      <w:r>
        <w:rPr>
          <w:rFonts w:cs="Times New Roman"/>
          <w:sz w:val="20"/>
          <w:szCs w:val="20"/>
          <w:lang w:val="fr-CA"/>
        </w:rPr>
        <w:t>4</w:t>
      </w:r>
    </w:p>
    <w:p w:rsidR="005C6840" w:rsidRPr="003B3977" w:rsidRDefault="007054A6" w:rsidP="005C6840">
      <w:pPr>
        <w:rPr>
          <w:rFonts w:cs="Times New Roman"/>
          <w:sz w:val="20"/>
          <w:szCs w:val="20"/>
          <w:lang w:val="fr-CA"/>
        </w:rPr>
      </w:pPr>
      <w:r>
        <w:rPr>
          <w:rFonts w:cs="Times New Roman"/>
          <w:i/>
          <w:sz w:val="20"/>
          <w:szCs w:val="20"/>
        </w:rPr>
        <w:pict>
          <v:rect id="_x0000_i107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B112E" w:rsidRPr="000B112E" w:rsidRDefault="000B112E" w:rsidP="0052229C">
      <w:pPr>
        <w:jc w:val="both"/>
        <w:rPr>
          <w:sz w:val="20"/>
          <w:szCs w:val="20"/>
          <w:lang w:val="en-US"/>
        </w:rPr>
      </w:pPr>
      <w:r w:rsidRPr="000B112E">
        <w:rPr>
          <w:sz w:val="20"/>
          <w:szCs w:val="20"/>
          <w:lang w:val="en-US"/>
        </w:rPr>
        <w:t>Present: McLachlin C.J. and LeBel, Abella, Rothstein, Moldaver, Karakatsanis and Wagner JJ.</w:t>
      </w:r>
    </w:p>
    <w:p w:rsidR="000B112E" w:rsidRPr="000B112E" w:rsidRDefault="000B112E" w:rsidP="000B112E">
      <w:pPr>
        <w:jc w:val="both"/>
        <w:rPr>
          <w:sz w:val="20"/>
          <w:szCs w:val="20"/>
          <w:lang w:val="en-US"/>
        </w:rPr>
      </w:pPr>
    </w:p>
    <w:p w:rsidR="000B112E" w:rsidRDefault="000B112E" w:rsidP="00401381">
      <w:pPr>
        <w:jc w:val="both"/>
        <w:rPr>
          <w:rFonts w:eastAsia="Times New Roman" w:cs="Times New Roman"/>
          <w:i/>
          <w:sz w:val="20"/>
          <w:szCs w:val="20"/>
          <w:lang w:val="en-US" w:eastAsia="en-CA"/>
        </w:rPr>
      </w:pPr>
      <w:r w:rsidRPr="000B112E">
        <w:rPr>
          <w:rFonts w:eastAsia="Times New Roman" w:cs="Times New Roman"/>
          <w:sz w:val="20"/>
          <w:szCs w:val="20"/>
          <w:lang w:eastAsia="en-CA"/>
        </w:rPr>
        <w:tab/>
      </w:r>
      <w:r w:rsidRPr="000B112E">
        <w:rPr>
          <w:rFonts w:eastAsia="Times New Roman" w:cs="Times New Roman"/>
          <w:i/>
          <w:sz w:val="20"/>
          <w:szCs w:val="20"/>
          <w:lang w:val="en-US" w:eastAsia="en-CA"/>
        </w:rPr>
        <w:t>Criminal law — Appeals — Powers of Court of Appeal — Accused charged with possession of cocaine and possession of currency obtained by crime — Court of Appeal raising new issues on appeal — Whether appeal court erred in ordering new trial on basis of improper cross</w:t>
      </w:r>
      <w:r w:rsidRPr="000B112E">
        <w:rPr>
          <w:rFonts w:eastAsia="Times New Roman" w:cs="Times New Roman"/>
          <w:i/>
          <w:sz w:val="20"/>
          <w:szCs w:val="20"/>
          <w:lang w:val="en-US" w:eastAsia="en-CA"/>
        </w:rPr>
        <w:noBreakHyphen/>
        <w:t>examination — Whether appeal court erred in raising new issue on appeal.</w:t>
      </w:r>
    </w:p>
    <w:p w:rsidR="000B112E" w:rsidRPr="000B112E" w:rsidRDefault="000B112E" w:rsidP="00401381">
      <w:pPr>
        <w:jc w:val="both"/>
        <w:rPr>
          <w:rFonts w:eastAsia="Times New Roman" w:cs="Times New Roman"/>
          <w:i/>
          <w:sz w:val="20"/>
          <w:szCs w:val="20"/>
          <w:lang w:val="en-US" w:eastAsia="en-CA"/>
        </w:rPr>
      </w:pPr>
    </w:p>
    <w:p w:rsidR="000B112E" w:rsidRPr="000B112E" w:rsidRDefault="000B112E" w:rsidP="00401381">
      <w:pPr>
        <w:jc w:val="both"/>
        <w:rPr>
          <w:rFonts w:eastAsia="Times New Roman" w:cs="Times New Roman"/>
          <w:i/>
          <w:sz w:val="20"/>
          <w:szCs w:val="20"/>
          <w:lang w:val="en-US" w:eastAsia="en-CA"/>
        </w:rPr>
      </w:pPr>
      <w:r w:rsidRPr="000B112E">
        <w:rPr>
          <w:rFonts w:eastAsia="Times New Roman" w:cs="Times New Roman"/>
          <w:i/>
          <w:sz w:val="20"/>
          <w:szCs w:val="20"/>
          <w:lang w:val="en-US" w:eastAsia="en-CA"/>
        </w:rPr>
        <w:tab/>
        <w:t>Constitutional law — Charter of Rights — Right to be informed of reasons for arrest — Right to counsel — Accused charged with possession of cocaine and possession of currency obtained by crime — Police delaying in advising accused of reasons for arrest and of his rights to retain and instruct counsel — Whether trial judge erred in law in concluding that police infringed accused’s right to be informed of reasons for arrest and his right to counsel — Whether trial judge erred in law in excluding evidence — Canadian Charter of Rights and Freedoms, ss. 10, 24(2).</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The accused was charged with possession of cocaine for the purpose of trafficking and possession of currency obtained by the commission of an offence.  The trial judge determined that the accused’s rights under s. 10(</w:t>
      </w:r>
      <w:r w:rsidRPr="000B112E">
        <w:rPr>
          <w:rFonts w:eastAsia="Times New Roman" w:cs="Times New Roman"/>
          <w:i/>
          <w:sz w:val="20"/>
          <w:szCs w:val="20"/>
          <w:lang w:val="en-US" w:eastAsia="en-CA"/>
        </w:rPr>
        <w:t>a</w:t>
      </w:r>
      <w:r w:rsidRPr="000B112E">
        <w:rPr>
          <w:rFonts w:eastAsia="Times New Roman" w:cs="Times New Roman"/>
          <w:sz w:val="20"/>
          <w:szCs w:val="20"/>
          <w:lang w:val="en-US" w:eastAsia="en-CA"/>
        </w:rPr>
        <w:t>) and (</w:t>
      </w:r>
      <w:r w:rsidRPr="000B112E">
        <w:rPr>
          <w:rFonts w:eastAsia="Times New Roman" w:cs="Times New Roman"/>
          <w:i/>
          <w:sz w:val="20"/>
          <w:szCs w:val="20"/>
          <w:lang w:val="en-US" w:eastAsia="en-CA"/>
        </w:rPr>
        <w:t>b</w:t>
      </w:r>
      <w:r w:rsidRPr="000B112E">
        <w:rPr>
          <w:rFonts w:eastAsia="Times New Roman" w:cs="Times New Roman"/>
          <w:sz w:val="20"/>
          <w:szCs w:val="20"/>
          <w:lang w:val="en-US" w:eastAsia="en-CA"/>
        </w:rPr>
        <w:t xml:space="preserve">) of the </w:t>
      </w:r>
      <w:r w:rsidRPr="000B112E">
        <w:rPr>
          <w:rFonts w:eastAsia="Times New Roman" w:cs="Times New Roman"/>
          <w:i/>
          <w:sz w:val="20"/>
          <w:szCs w:val="20"/>
          <w:lang w:val="en-US" w:eastAsia="en-CA"/>
        </w:rPr>
        <w:t>Charter</w:t>
      </w:r>
      <w:r w:rsidRPr="000B112E">
        <w:rPr>
          <w:rFonts w:eastAsia="Times New Roman" w:cs="Times New Roman"/>
          <w:sz w:val="20"/>
          <w:szCs w:val="20"/>
          <w:lang w:val="en-US" w:eastAsia="en-CA"/>
        </w:rPr>
        <w:t xml:space="preserve"> were breached because the constables waited 22 minutes to inform him of the reasons for his arrest and an extra 2 to 5 minutes to inform him of his right to retain and instruct counsel.  The trial judge noted that defence counsel cross</w:t>
      </w:r>
      <w:r w:rsidRPr="000B112E">
        <w:rPr>
          <w:rFonts w:eastAsia="Times New Roman" w:cs="Times New Roman"/>
          <w:sz w:val="20"/>
          <w:szCs w:val="20"/>
          <w:lang w:val="en-US" w:eastAsia="en-CA"/>
        </w:rPr>
        <w:noBreakHyphen/>
        <w:t>examined the detective who instructed constables to arrest and search the accused.  During this cross</w:t>
      </w:r>
      <w:r w:rsidRPr="000B112E">
        <w:rPr>
          <w:rFonts w:eastAsia="Times New Roman" w:cs="Times New Roman"/>
          <w:sz w:val="20"/>
          <w:szCs w:val="20"/>
          <w:lang w:val="en-US" w:eastAsia="en-CA"/>
        </w:rPr>
        <w:noBreakHyphen/>
        <w:t>examination, defence counsel confronted the detective about the testimony of another Crown witness, which differed from the detective’s concerning the grounds to arrest and search the accused.  Ultimately, all evidence was excluded and the accused was acquitted.  The Crown appealed.  After the Crown and defence counsel filed their written submissions, the Court of Appeal provided the parties with a list of cases and called their attention to two issues for comment during oral argument:  (1) what is a question of law on an appeal from an acquittal; and (2) the limits of cross</w:t>
      </w:r>
      <w:r w:rsidRPr="000B112E">
        <w:rPr>
          <w:rFonts w:eastAsia="Times New Roman" w:cs="Times New Roman"/>
          <w:sz w:val="20"/>
          <w:szCs w:val="20"/>
          <w:lang w:val="en-US" w:eastAsia="en-CA"/>
        </w:rPr>
        <w:noBreakHyphen/>
        <w:t>examination and consequences of exceeding the limits.  During the oral hearing, both counsel made submissions on whether the defence had conducted an improper examination of the detective by asking him to comment on the veracity of another officer’s testimony.  The Court of Appeal allowed the appeal on the basis that the trial judge erred in law by relying on the impermissible cross</w:t>
      </w:r>
      <w:r w:rsidRPr="000B112E">
        <w:rPr>
          <w:rFonts w:eastAsia="Times New Roman" w:cs="Times New Roman"/>
          <w:sz w:val="20"/>
          <w:szCs w:val="20"/>
          <w:lang w:val="en-US" w:eastAsia="en-CA"/>
        </w:rPr>
        <w:noBreakHyphen/>
        <w:t>examination of the police detective.  The acquittals were set aside and a new trial ordered.</w:t>
      </w:r>
    </w:p>
    <w:p w:rsidR="000B112E" w:rsidRDefault="000B112E" w:rsidP="00401381">
      <w:pPr>
        <w:jc w:val="both"/>
        <w:rPr>
          <w:rFonts w:eastAsia="Times New Roman" w:cs="Times New Roman"/>
          <w:i/>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i/>
          <w:sz w:val="20"/>
          <w:szCs w:val="20"/>
          <w:lang w:val="en-US" w:eastAsia="en-CA"/>
        </w:rPr>
        <w:tab/>
        <w:t>Held</w:t>
      </w:r>
      <w:r w:rsidRPr="000B112E">
        <w:rPr>
          <w:rFonts w:eastAsia="Times New Roman" w:cs="Times New Roman"/>
          <w:sz w:val="20"/>
          <w:szCs w:val="20"/>
          <w:lang w:val="en-US" w:eastAsia="en-CA"/>
        </w:rPr>
        <w:t>:  The appeal should be allowed and the acquittals restored.</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 xml:space="preserve">An appellate court has the jurisdiction to raise new issues and invite submissions on an issue neither party has raised.  An issue is new when it raises a new basis for potentially finding error in the decision under appeal beyond the grounds of appeal as framed by the parties.  Issues that are rooted in or are components of an existing issue are not new issues nor are issues that form the backdrop of appellate litigation.  Furthermore, not all questions asked by an appeal court will constitute a new issue.  Questions raised during the oral hearing may properly touch on a broad range of issues, which may be components of the grounds of appeal put forward by the parties, or may go outside of those grounds in an aim to understand the context, statutory background or larger implications.  Absent any concerns about bias, questions raised during the oral hearing, whether linked directly or by extension to the grounds of appeal or not, are not improper. </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 xml:space="preserve">While appellate courts have the discretion to raise a new issue, this discretion should be exercised only in rare circumstances.  An appellate court should only raise a new issue when failing to do so would risk an injustice.  At all times the discretion is limited by the requirement that raising the new issue cannot suggest bias or partiality on the part of the court.  Courts cannot be seen to go in search of a wrong to right.  Where there is good reason to believe that the result would realistically have differed had the error not been made, this risk of injustice warrants the court of appeal’s </w:t>
      </w:r>
      <w:r w:rsidRPr="000B112E">
        <w:rPr>
          <w:rFonts w:eastAsia="Times New Roman" w:cs="Times New Roman"/>
          <w:sz w:val="20"/>
          <w:szCs w:val="20"/>
          <w:lang w:val="en-US" w:eastAsia="en-CA"/>
        </w:rPr>
        <w:lastRenderedPageBreak/>
        <w:t>intervention.  The standard of “good reason to believe” that a failure to raise a new issue “would risk an injustice” is a significant threshold which is necessary in this context in order to strike an appropriate balance between the role of appellate courts as independent and impartial arbiters with the need to ensure that justice is done.  In order to raise a new issue, the court should also consider whether it has the jurisdiction to consider the issue, whether there is a sufficient record on which to raise the issue and whether raising the issue would result in procedural prejudice to any party.</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When an appellate court raises a new issue, there must be notification and opportunity to respond.  The court of appeal must make the parties aware that it has discerned a potential issue and ensure that they are sufficiently informed so they may prepare and respond.  Requiring that strict procedural standards be followed would fail to recognize that the issue may arise in different circumstances in different cases.  The court should raise the issue as soon as is practically possible after the issue crystallizes so as to avoid any undue delay in the proceedings.  However, notification of the new issue may occur before the oral hearing, or the issue may be raised during the oral hearing.  The notification should not contain too much detail, or indicate that the court of appeal has already formed an opinion, however it must contain enough information to allow the parties to respond to the new issue.  The requirements for the response will depend on the particular issue raised by the court.  Counsel may wish to simply address the issue orally, file further written argument, or both.  The underlying concern should be ensuring that the court receives full submissions on the issue.  If a party asks to file written submissions before or after the oral hearing, there should be a presumption in favour of granting the request.  Recusal of a judge or panel should be rare and should be governed by the overriding consideration of whether the new issue or the way in which it was raised could lead to a reasonable apprehension of bias.</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In this case, the Court of Appeal erred in raising the new issue of improper cross</w:t>
      </w:r>
      <w:r w:rsidRPr="000B112E">
        <w:rPr>
          <w:rFonts w:eastAsia="Times New Roman" w:cs="Times New Roman"/>
          <w:sz w:val="20"/>
          <w:szCs w:val="20"/>
          <w:lang w:val="en-US" w:eastAsia="en-CA"/>
        </w:rPr>
        <w:noBreakHyphen/>
        <w:t>examination.  The impugned question on cross</w:t>
      </w:r>
      <w:r w:rsidRPr="000B112E">
        <w:rPr>
          <w:rFonts w:eastAsia="Times New Roman" w:cs="Times New Roman"/>
          <w:sz w:val="20"/>
          <w:szCs w:val="20"/>
          <w:lang w:val="en-US" w:eastAsia="en-CA"/>
        </w:rPr>
        <w:noBreakHyphen/>
        <w:t>examination did not impact the trial judge’s decision.  The error was not material and the result would not have been different had the trial judge not allowed the impugned cross</w:t>
      </w:r>
      <w:r w:rsidRPr="000B112E">
        <w:rPr>
          <w:rFonts w:eastAsia="Times New Roman" w:cs="Times New Roman"/>
          <w:sz w:val="20"/>
          <w:szCs w:val="20"/>
          <w:lang w:val="en-US" w:eastAsia="en-CA"/>
        </w:rPr>
        <w:noBreakHyphen/>
        <w:t xml:space="preserve">examination.  Even if the trial judge had relied on the impugned question, it had no material bearing on the outcome so as to raise a realistic risk of an injustice.  It is also significant that the improper question was put to a Crown witness, rather than the accused.  Furthermore, the Crown neither objected to the impermissible question nor raised it as an issue on appeal which suggests that the question did not have a serious effect on the outcome of the </w:t>
      </w:r>
      <w:r w:rsidRPr="000B112E">
        <w:rPr>
          <w:rFonts w:eastAsia="Times New Roman" w:cs="Times New Roman"/>
          <w:i/>
          <w:sz w:val="20"/>
          <w:szCs w:val="20"/>
          <w:lang w:val="en-US" w:eastAsia="en-CA"/>
        </w:rPr>
        <w:t>voir dire</w:t>
      </w:r>
      <w:r w:rsidRPr="000B112E">
        <w:rPr>
          <w:rFonts w:eastAsia="Times New Roman" w:cs="Times New Roman"/>
          <w:sz w:val="20"/>
          <w:szCs w:val="20"/>
          <w:lang w:val="en-US" w:eastAsia="en-CA"/>
        </w:rPr>
        <w:t>.  As not raising the issue of the impugned cross</w:t>
      </w:r>
      <w:r w:rsidRPr="000B112E">
        <w:rPr>
          <w:rFonts w:eastAsia="Times New Roman" w:cs="Times New Roman"/>
          <w:sz w:val="20"/>
          <w:szCs w:val="20"/>
          <w:lang w:val="en-US" w:eastAsia="en-CA"/>
        </w:rPr>
        <w:noBreakHyphen/>
        <w:t>examination would not have risked an injustice, it follows that the Court of Appeal erred in raising the issue.</w:t>
      </w:r>
    </w:p>
    <w:p w:rsidR="000B112E" w:rsidRDefault="000B112E" w:rsidP="00401381">
      <w:pPr>
        <w:jc w:val="both"/>
        <w:rPr>
          <w:rFonts w:eastAsia="Times New Roman" w:cs="Times New Roman"/>
          <w:sz w:val="20"/>
          <w:szCs w:val="20"/>
          <w:lang w:val="en-US" w:eastAsia="en-CA"/>
        </w:rPr>
      </w:pPr>
    </w:p>
    <w:p w:rsidR="000B112E" w:rsidRPr="000B112E" w:rsidRDefault="000B112E" w:rsidP="00401381">
      <w:pPr>
        <w:jc w:val="both"/>
        <w:rPr>
          <w:rFonts w:eastAsia="Times New Roman" w:cs="Times New Roman"/>
          <w:sz w:val="20"/>
          <w:szCs w:val="20"/>
          <w:lang w:val="en-US" w:eastAsia="en-CA"/>
        </w:rPr>
      </w:pPr>
      <w:r w:rsidRPr="000B112E">
        <w:rPr>
          <w:rFonts w:eastAsia="Times New Roman" w:cs="Times New Roman"/>
          <w:sz w:val="20"/>
          <w:szCs w:val="20"/>
          <w:lang w:val="en-US" w:eastAsia="en-CA"/>
        </w:rPr>
        <w:tab/>
        <w:t xml:space="preserve">There is also no basis to overturn the trial judge’s conclusion that the accused’s s. 10 </w:t>
      </w:r>
      <w:r w:rsidRPr="000B112E">
        <w:rPr>
          <w:rFonts w:eastAsia="Times New Roman" w:cs="Times New Roman"/>
          <w:i/>
          <w:sz w:val="20"/>
          <w:szCs w:val="20"/>
          <w:lang w:val="en-US" w:eastAsia="en-CA"/>
        </w:rPr>
        <w:t>Charter</w:t>
      </w:r>
      <w:r w:rsidRPr="000B112E">
        <w:rPr>
          <w:rFonts w:eastAsia="Times New Roman" w:cs="Times New Roman"/>
          <w:sz w:val="20"/>
          <w:szCs w:val="20"/>
          <w:lang w:val="en-US" w:eastAsia="en-CA"/>
        </w:rPr>
        <w:t xml:space="preserve"> rights were breached.  The trial judge found as a fact that there was insufficient evidence to support the assertion that immediate compliance with s. 10 of the </w:t>
      </w:r>
      <w:r w:rsidRPr="000B112E">
        <w:rPr>
          <w:rFonts w:eastAsia="Times New Roman" w:cs="Times New Roman"/>
          <w:i/>
          <w:sz w:val="20"/>
          <w:szCs w:val="20"/>
          <w:lang w:val="en-US" w:eastAsia="en-CA"/>
        </w:rPr>
        <w:t>Charter</w:t>
      </w:r>
      <w:r w:rsidRPr="000B112E">
        <w:rPr>
          <w:rFonts w:eastAsia="Times New Roman" w:cs="Times New Roman"/>
          <w:sz w:val="20"/>
          <w:szCs w:val="20"/>
          <w:lang w:val="en-US" w:eastAsia="en-CA"/>
        </w:rPr>
        <w:t xml:space="preserve"> would have compromised the ongoing investigation.  As Crown appeals from acquittals are restricted to questions of law, findings of fact can only be undermined in limited situations, not applicable in this case.  There were no exceptional circumstances to justify the delay by the police in complying with their s. 10 informational duties and therefore no reason to disturb the trial judge’s conclusion that s. 10(</w:t>
      </w:r>
      <w:r w:rsidRPr="000B112E">
        <w:rPr>
          <w:rFonts w:eastAsia="Times New Roman" w:cs="Times New Roman"/>
          <w:i/>
          <w:sz w:val="20"/>
          <w:szCs w:val="20"/>
          <w:lang w:val="en-US" w:eastAsia="en-CA"/>
        </w:rPr>
        <w:t>a</w:t>
      </w:r>
      <w:r w:rsidRPr="000B112E">
        <w:rPr>
          <w:rFonts w:eastAsia="Times New Roman" w:cs="Times New Roman"/>
          <w:sz w:val="20"/>
          <w:szCs w:val="20"/>
          <w:lang w:val="en-US" w:eastAsia="en-CA"/>
        </w:rPr>
        <w:t>) and (</w:t>
      </w:r>
      <w:r w:rsidRPr="000B112E">
        <w:rPr>
          <w:rFonts w:eastAsia="Times New Roman" w:cs="Times New Roman"/>
          <w:i/>
          <w:sz w:val="20"/>
          <w:szCs w:val="20"/>
          <w:lang w:val="en-US" w:eastAsia="en-CA"/>
        </w:rPr>
        <w:t>b</w:t>
      </w:r>
      <w:r w:rsidRPr="000B112E">
        <w:rPr>
          <w:rFonts w:eastAsia="Times New Roman" w:cs="Times New Roman"/>
          <w:sz w:val="20"/>
          <w:szCs w:val="20"/>
          <w:lang w:val="en-US" w:eastAsia="en-CA"/>
        </w:rPr>
        <w:t xml:space="preserve">) of the </w:t>
      </w:r>
      <w:r w:rsidRPr="000B112E">
        <w:rPr>
          <w:rFonts w:eastAsia="Times New Roman" w:cs="Times New Roman"/>
          <w:i/>
          <w:sz w:val="20"/>
          <w:szCs w:val="20"/>
          <w:lang w:val="en-US" w:eastAsia="en-CA"/>
        </w:rPr>
        <w:t>Charter</w:t>
      </w:r>
      <w:r w:rsidRPr="000B112E">
        <w:rPr>
          <w:rFonts w:eastAsia="Times New Roman" w:cs="Times New Roman"/>
          <w:sz w:val="20"/>
          <w:szCs w:val="20"/>
          <w:lang w:val="en-US" w:eastAsia="en-CA"/>
        </w:rPr>
        <w:t xml:space="preserve"> were infringed.  Furthermore, in view of the deferential standard of review on appeal and because the Crown’s arguments with respect to the trial judge’s s. 24(2) findings amount to an attack on the trial judge’s findings of fact, the trial judge’s order to exclude the evidence under s. 24(2) of the </w:t>
      </w:r>
      <w:r w:rsidRPr="000B112E">
        <w:rPr>
          <w:rFonts w:eastAsia="Times New Roman" w:cs="Times New Roman"/>
          <w:i/>
          <w:sz w:val="20"/>
          <w:szCs w:val="20"/>
          <w:lang w:val="en-US" w:eastAsia="en-CA"/>
        </w:rPr>
        <w:t xml:space="preserve">Charter </w:t>
      </w:r>
      <w:r w:rsidRPr="000B112E">
        <w:rPr>
          <w:rFonts w:eastAsia="Times New Roman" w:cs="Times New Roman"/>
          <w:sz w:val="20"/>
          <w:szCs w:val="20"/>
          <w:lang w:val="en-US" w:eastAsia="en-CA"/>
        </w:rPr>
        <w:t>should also not be interfered with.</w:t>
      </w:r>
    </w:p>
    <w:p w:rsidR="000B112E" w:rsidRDefault="000B112E" w:rsidP="00401381">
      <w:pPr>
        <w:jc w:val="both"/>
        <w:rPr>
          <w:rFonts w:eastAsia="Times New Roman" w:cs="Times New Roman"/>
          <w:sz w:val="20"/>
          <w:szCs w:val="20"/>
          <w:lang w:eastAsia="en-CA"/>
        </w:rPr>
      </w:pPr>
    </w:p>
    <w:p w:rsidR="000B112E" w:rsidRPr="000B112E" w:rsidRDefault="000B112E" w:rsidP="00401381">
      <w:pPr>
        <w:jc w:val="both"/>
        <w:rPr>
          <w:rFonts w:eastAsia="Times New Roman" w:cs="Times New Roman"/>
          <w:sz w:val="20"/>
          <w:szCs w:val="20"/>
          <w:lang w:eastAsia="en-CA"/>
        </w:rPr>
      </w:pPr>
      <w:r w:rsidRPr="000B112E">
        <w:rPr>
          <w:rFonts w:eastAsia="Times New Roman" w:cs="Times New Roman"/>
          <w:sz w:val="20"/>
          <w:szCs w:val="20"/>
          <w:lang w:eastAsia="en-CA"/>
        </w:rPr>
        <w:tab/>
        <w:t>APPEAL from a judgment of the Alberta Court of Appeal (Côté and O’Brien JJ.A. and Belzil J. (</w:t>
      </w:r>
      <w:r w:rsidRPr="000B112E">
        <w:rPr>
          <w:rFonts w:eastAsia="Times New Roman" w:cs="Times New Roman"/>
          <w:i/>
          <w:sz w:val="20"/>
          <w:szCs w:val="20"/>
          <w:lang w:eastAsia="en-CA"/>
        </w:rPr>
        <w:t>ad hoc</w:t>
      </w:r>
      <w:r w:rsidRPr="000B112E">
        <w:rPr>
          <w:rFonts w:eastAsia="Times New Roman" w:cs="Times New Roman"/>
          <w:sz w:val="20"/>
          <w:szCs w:val="20"/>
          <w:lang w:eastAsia="en-CA"/>
        </w:rPr>
        <w:t>)), 2012 ABCA 302, 536 A.R. 308, 559 W.A.C. 308, 78 Alta. L.R. (5th) 249, 292 C.C.C. (3d) 346, 98 C.R. (6th) 311, [2012] A.J. No. 1044 (QL), 2012 CarswellAlta 1744, setting aside the accused’s acquittals and ordering a new trial.  Appeal allowed.</w:t>
      </w:r>
    </w:p>
    <w:p w:rsidR="000B112E" w:rsidRDefault="000B112E" w:rsidP="00401381">
      <w:pPr>
        <w:jc w:val="both"/>
        <w:rPr>
          <w:rFonts w:eastAsia="Times New Roman" w:cs="Times New Roman"/>
          <w:i/>
          <w:sz w:val="20"/>
          <w:szCs w:val="20"/>
          <w:lang w:eastAsia="en-CA"/>
        </w:rPr>
      </w:pPr>
    </w:p>
    <w:p w:rsidR="000B112E" w:rsidRPr="000B112E" w:rsidRDefault="000B112E" w:rsidP="00401381">
      <w:pPr>
        <w:jc w:val="both"/>
        <w:rPr>
          <w:rFonts w:eastAsia="Times New Roman" w:cs="Times New Roman"/>
          <w:sz w:val="20"/>
          <w:szCs w:val="20"/>
          <w:lang w:eastAsia="en-CA"/>
        </w:rPr>
      </w:pPr>
      <w:r w:rsidRPr="000B112E">
        <w:rPr>
          <w:rFonts w:eastAsia="Times New Roman" w:cs="Times New Roman"/>
          <w:i/>
          <w:sz w:val="20"/>
          <w:szCs w:val="20"/>
          <w:lang w:eastAsia="en-CA"/>
        </w:rPr>
        <w:tab/>
        <w:t>Daniel J. Song</w:t>
      </w:r>
      <w:r w:rsidRPr="000B112E">
        <w:rPr>
          <w:rFonts w:eastAsia="Times New Roman" w:cs="Times New Roman"/>
          <w:sz w:val="20"/>
          <w:szCs w:val="20"/>
          <w:lang w:eastAsia="en-CA"/>
        </w:rPr>
        <w:t xml:space="preserve">, </w:t>
      </w:r>
      <w:r w:rsidRPr="000B112E">
        <w:rPr>
          <w:rFonts w:eastAsia="Times New Roman" w:cs="Times New Roman"/>
          <w:i/>
          <w:sz w:val="20"/>
          <w:szCs w:val="20"/>
          <w:lang w:eastAsia="en-CA"/>
        </w:rPr>
        <w:t>Darin D. Sprake</w:t>
      </w:r>
      <w:r w:rsidRPr="000B112E">
        <w:rPr>
          <w:rFonts w:eastAsia="Times New Roman" w:cs="Times New Roman"/>
          <w:sz w:val="20"/>
          <w:szCs w:val="20"/>
          <w:lang w:eastAsia="en-CA"/>
        </w:rPr>
        <w:t xml:space="preserve"> and </w:t>
      </w:r>
      <w:r w:rsidRPr="000B112E">
        <w:rPr>
          <w:rFonts w:eastAsia="Times New Roman" w:cs="Times New Roman"/>
          <w:i/>
          <w:sz w:val="20"/>
          <w:szCs w:val="20"/>
          <w:lang w:eastAsia="en-CA"/>
        </w:rPr>
        <w:t>Anna M. Konye</w:t>
      </w:r>
      <w:r w:rsidRPr="000B112E">
        <w:rPr>
          <w:rFonts w:eastAsia="Times New Roman" w:cs="Times New Roman"/>
          <w:sz w:val="20"/>
          <w:szCs w:val="20"/>
          <w:lang w:eastAsia="en-CA"/>
        </w:rPr>
        <w:t>, for the appellant.</w:t>
      </w:r>
    </w:p>
    <w:p w:rsidR="000B112E" w:rsidRDefault="000B112E" w:rsidP="00401381">
      <w:pPr>
        <w:jc w:val="both"/>
        <w:rPr>
          <w:rFonts w:eastAsia="Times New Roman" w:cs="Times New Roman"/>
          <w:i/>
          <w:sz w:val="20"/>
          <w:szCs w:val="20"/>
          <w:lang w:eastAsia="en-CA"/>
        </w:rPr>
      </w:pPr>
    </w:p>
    <w:p w:rsidR="000B112E" w:rsidRPr="000B112E" w:rsidRDefault="000B112E" w:rsidP="00401381">
      <w:pPr>
        <w:jc w:val="both"/>
        <w:rPr>
          <w:rFonts w:eastAsia="Times New Roman" w:cs="Times New Roman"/>
          <w:sz w:val="20"/>
          <w:szCs w:val="20"/>
          <w:lang w:eastAsia="en-CA"/>
        </w:rPr>
      </w:pPr>
      <w:r w:rsidRPr="000B112E">
        <w:rPr>
          <w:rFonts w:eastAsia="Times New Roman" w:cs="Times New Roman"/>
          <w:i/>
          <w:sz w:val="20"/>
          <w:szCs w:val="20"/>
          <w:lang w:eastAsia="en-CA"/>
        </w:rPr>
        <w:tab/>
        <w:t xml:space="preserve">David Schermbrucker </w:t>
      </w:r>
      <w:r w:rsidRPr="000B112E">
        <w:rPr>
          <w:rFonts w:eastAsia="Times New Roman" w:cs="Times New Roman"/>
          <w:sz w:val="20"/>
          <w:szCs w:val="20"/>
          <w:lang w:eastAsia="en-CA"/>
        </w:rPr>
        <w:t>and</w:t>
      </w:r>
      <w:r w:rsidRPr="000B112E">
        <w:rPr>
          <w:rFonts w:eastAsia="Times New Roman" w:cs="Times New Roman"/>
          <w:i/>
          <w:sz w:val="20"/>
          <w:szCs w:val="20"/>
          <w:lang w:eastAsia="en-CA"/>
        </w:rPr>
        <w:t xml:space="preserve"> Ronald C. Reimer</w:t>
      </w:r>
      <w:r w:rsidRPr="000B112E">
        <w:rPr>
          <w:rFonts w:eastAsia="Times New Roman" w:cs="Times New Roman"/>
          <w:sz w:val="20"/>
          <w:szCs w:val="20"/>
          <w:lang w:eastAsia="en-CA"/>
        </w:rPr>
        <w:t>, for the respondent.</w:t>
      </w:r>
    </w:p>
    <w:p w:rsidR="000B112E" w:rsidRDefault="000B112E" w:rsidP="00401381">
      <w:pPr>
        <w:jc w:val="both"/>
        <w:rPr>
          <w:rFonts w:eastAsia="Times New Roman" w:cs="Times New Roman"/>
          <w:i/>
          <w:sz w:val="20"/>
          <w:szCs w:val="20"/>
          <w:lang w:eastAsia="en-CA"/>
        </w:rPr>
      </w:pPr>
    </w:p>
    <w:p w:rsidR="000B112E" w:rsidRPr="000B112E" w:rsidRDefault="000B112E" w:rsidP="00401381">
      <w:pPr>
        <w:jc w:val="both"/>
        <w:rPr>
          <w:rFonts w:eastAsia="Times New Roman" w:cs="Times New Roman"/>
          <w:sz w:val="20"/>
          <w:szCs w:val="20"/>
          <w:lang w:eastAsia="en-CA"/>
        </w:rPr>
      </w:pPr>
      <w:r w:rsidRPr="000B112E">
        <w:rPr>
          <w:rFonts w:eastAsia="Times New Roman" w:cs="Times New Roman"/>
          <w:i/>
          <w:sz w:val="20"/>
          <w:szCs w:val="20"/>
          <w:lang w:eastAsia="en-CA"/>
        </w:rPr>
        <w:tab/>
        <w:t>Jolaine Antonio</w:t>
      </w:r>
      <w:r w:rsidRPr="000B112E">
        <w:rPr>
          <w:rFonts w:eastAsia="Times New Roman" w:cs="Times New Roman"/>
          <w:sz w:val="20"/>
          <w:szCs w:val="20"/>
          <w:lang w:eastAsia="en-CA"/>
        </w:rPr>
        <w:t>, for the intervener.</w:t>
      </w:r>
    </w:p>
    <w:p w:rsidR="000B112E" w:rsidRDefault="000B112E" w:rsidP="00401381">
      <w:pPr>
        <w:jc w:val="both"/>
        <w:rPr>
          <w:rFonts w:eastAsia="Times New Roman" w:cs="Times New Roman"/>
          <w:i/>
          <w:sz w:val="20"/>
          <w:szCs w:val="20"/>
          <w:lang w:eastAsia="en-CA"/>
        </w:rPr>
      </w:pPr>
    </w:p>
    <w:p w:rsidR="000B112E" w:rsidRPr="000B112E" w:rsidRDefault="000B112E" w:rsidP="00401381">
      <w:pPr>
        <w:jc w:val="both"/>
        <w:rPr>
          <w:rFonts w:eastAsia="Times New Roman" w:cs="Times New Roman"/>
          <w:i/>
          <w:sz w:val="20"/>
          <w:szCs w:val="20"/>
          <w:lang w:eastAsia="en-CA"/>
        </w:rPr>
      </w:pPr>
      <w:r w:rsidRPr="000B112E">
        <w:rPr>
          <w:rFonts w:eastAsia="Times New Roman" w:cs="Times New Roman"/>
          <w:i/>
          <w:sz w:val="20"/>
          <w:szCs w:val="20"/>
          <w:lang w:eastAsia="en-CA"/>
        </w:rPr>
        <w:tab/>
        <w:t>Solicitors for the appellant:  Sprake Song &amp; Konye, Vancouver.</w:t>
      </w:r>
    </w:p>
    <w:p w:rsidR="000B112E" w:rsidRDefault="000B112E" w:rsidP="00401381">
      <w:pPr>
        <w:jc w:val="both"/>
        <w:rPr>
          <w:rFonts w:eastAsia="Times New Roman" w:cs="Times New Roman"/>
          <w:i/>
          <w:sz w:val="20"/>
          <w:szCs w:val="20"/>
          <w:lang w:eastAsia="en-CA"/>
        </w:rPr>
      </w:pPr>
    </w:p>
    <w:p w:rsidR="000B112E" w:rsidRPr="000B112E" w:rsidRDefault="000B112E" w:rsidP="00401381">
      <w:pPr>
        <w:jc w:val="both"/>
        <w:rPr>
          <w:rFonts w:eastAsia="Times New Roman" w:cs="Times New Roman"/>
          <w:i/>
          <w:sz w:val="20"/>
          <w:szCs w:val="20"/>
          <w:lang w:eastAsia="en-CA"/>
        </w:rPr>
      </w:pPr>
      <w:r w:rsidRPr="000B112E">
        <w:rPr>
          <w:rFonts w:eastAsia="Times New Roman" w:cs="Times New Roman"/>
          <w:i/>
          <w:sz w:val="20"/>
          <w:szCs w:val="20"/>
          <w:lang w:eastAsia="en-CA"/>
        </w:rPr>
        <w:lastRenderedPageBreak/>
        <w:tab/>
        <w:t>Solicitor for the respondent:  Public Prosecution Service of Canada, Edmonton.</w:t>
      </w:r>
    </w:p>
    <w:p w:rsidR="000B112E" w:rsidRDefault="000B112E" w:rsidP="00401381">
      <w:pPr>
        <w:jc w:val="both"/>
        <w:rPr>
          <w:rFonts w:eastAsia="Times New Roman" w:cs="Times New Roman"/>
          <w:sz w:val="20"/>
          <w:szCs w:val="20"/>
          <w:lang w:eastAsia="en-CA"/>
        </w:rPr>
      </w:pPr>
    </w:p>
    <w:p w:rsidR="000B112E" w:rsidRPr="000B112E" w:rsidRDefault="000B112E" w:rsidP="00401381">
      <w:pPr>
        <w:jc w:val="both"/>
        <w:rPr>
          <w:sz w:val="20"/>
          <w:szCs w:val="20"/>
          <w:lang w:val="en-US"/>
        </w:rPr>
      </w:pPr>
      <w:r w:rsidRPr="000B112E">
        <w:rPr>
          <w:rFonts w:eastAsia="Times New Roman" w:cs="Times New Roman"/>
          <w:sz w:val="20"/>
          <w:szCs w:val="20"/>
          <w:lang w:eastAsia="en-CA"/>
        </w:rPr>
        <w:tab/>
      </w:r>
      <w:r w:rsidRPr="000B112E">
        <w:rPr>
          <w:rFonts w:eastAsia="Times New Roman" w:cs="Times New Roman"/>
          <w:i/>
          <w:sz w:val="20"/>
          <w:szCs w:val="20"/>
          <w:lang w:eastAsia="en-CA"/>
        </w:rPr>
        <w:t>Solicitor for the intervener:  Attorney General of Alberta, Calgary.</w:t>
      </w:r>
    </w:p>
    <w:p w:rsidR="0052229C" w:rsidRPr="000241BE" w:rsidRDefault="0052229C" w:rsidP="0052229C">
      <w:pPr>
        <w:rPr>
          <w:rFonts w:cs="Times New Roman"/>
          <w:sz w:val="20"/>
          <w:szCs w:val="20"/>
          <w:lang w:val="fr-CA"/>
        </w:rPr>
      </w:pPr>
      <w:r w:rsidRPr="000241BE">
        <w:rPr>
          <w:rFonts w:cs="Times New Roman"/>
          <w:sz w:val="20"/>
          <w:szCs w:val="20"/>
          <w:lang w:val="fr-CA"/>
        </w:rPr>
        <w:t>________________________</w:t>
      </w:r>
    </w:p>
    <w:p w:rsidR="0052229C" w:rsidRPr="000241BE" w:rsidRDefault="0052229C" w:rsidP="0052229C">
      <w:pPr>
        <w:rPr>
          <w:rFonts w:cs="Times New Roman"/>
          <w:sz w:val="20"/>
          <w:szCs w:val="20"/>
          <w:lang w:val="fr-CA"/>
        </w:rPr>
      </w:pPr>
    </w:p>
    <w:p w:rsidR="0052229C" w:rsidRPr="00D26113" w:rsidRDefault="00D26113" w:rsidP="00D26113">
      <w:pPr>
        <w:jc w:val="both"/>
        <w:rPr>
          <w:sz w:val="20"/>
          <w:szCs w:val="20"/>
          <w:lang w:val="fr-CA"/>
        </w:rPr>
      </w:pPr>
      <w:r w:rsidRPr="00D26113">
        <w:rPr>
          <w:sz w:val="20"/>
          <w:szCs w:val="20"/>
          <w:lang w:val="fr-CA"/>
        </w:rPr>
        <w:t>Présents : La juge en chef McLachlin et les juges LeBel, Abella, Rothstein, Moldaver, Karakatsanis et Wagner.</w:t>
      </w:r>
    </w:p>
    <w:p w:rsidR="0052229C" w:rsidRPr="00D26113" w:rsidRDefault="0052229C" w:rsidP="00D26113">
      <w:pPr>
        <w:pStyle w:val="SCCLowerCourtNameLowercase"/>
        <w:spacing w:line="240" w:lineRule="auto"/>
        <w:rPr>
          <w:sz w:val="20"/>
          <w:lang w:val="fr-CA"/>
        </w:rPr>
      </w:pPr>
    </w:p>
    <w:p w:rsidR="00D26113" w:rsidRPr="00D26113" w:rsidRDefault="00D26113" w:rsidP="00D26113">
      <w:pPr>
        <w:pStyle w:val="SCCNormalDoubleSpacing"/>
        <w:spacing w:line="240" w:lineRule="auto"/>
        <w:rPr>
          <w:i/>
          <w:sz w:val="20"/>
          <w:lang w:val="fr-CA"/>
        </w:rPr>
      </w:pPr>
      <w:r w:rsidRPr="00D26113">
        <w:rPr>
          <w:sz w:val="20"/>
          <w:lang w:val="fr-CA"/>
        </w:rPr>
        <w:tab/>
      </w:r>
      <w:r w:rsidRPr="00D26113">
        <w:rPr>
          <w:i/>
          <w:sz w:val="20"/>
          <w:lang w:val="fr-CA"/>
        </w:rPr>
        <w:t>Droit criminel — Appels — Pouvoirs de la Cour d’appel — Inculpé accusé de possession de cocaïne et de possession d’argent obtenu par la perpétration d’une infraction — Nouvelles questions soulevées en appel par la Cour d’appel — La Cour d’appel a</w:t>
      </w:r>
      <w:r w:rsidRPr="00D26113">
        <w:rPr>
          <w:i/>
          <w:sz w:val="20"/>
          <w:lang w:val="fr-CA"/>
        </w:rPr>
        <w:noBreakHyphen/>
        <w:t>t</w:t>
      </w:r>
      <w:r w:rsidRPr="00D26113">
        <w:rPr>
          <w:i/>
          <w:sz w:val="20"/>
          <w:lang w:val="fr-CA"/>
        </w:rPr>
        <w:noBreakHyphen/>
        <w:t>elle commis une erreur en ordonnant la tenue d’un nouveau procès sur le fondement de la question d’un contre</w:t>
      </w:r>
      <w:r w:rsidRPr="00D26113">
        <w:rPr>
          <w:i/>
          <w:sz w:val="20"/>
          <w:lang w:val="fr-CA"/>
        </w:rPr>
        <w:noBreakHyphen/>
        <w:t>interrogatoire inapproprié? — La Cour d’appel a</w:t>
      </w:r>
      <w:r w:rsidRPr="00D26113">
        <w:rPr>
          <w:i/>
          <w:sz w:val="20"/>
          <w:lang w:val="fr-CA"/>
        </w:rPr>
        <w:noBreakHyphen/>
        <w:t>t</w:t>
      </w:r>
      <w:r w:rsidRPr="00D26113">
        <w:rPr>
          <w:i/>
          <w:sz w:val="20"/>
          <w:lang w:val="fr-CA"/>
        </w:rPr>
        <w:noBreakHyphen/>
        <w:t>elle commis une erreur en soulevant une nouvelle question en appel?</w:t>
      </w:r>
    </w:p>
    <w:p w:rsidR="00D26113" w:rsidRDefault="00D26113" w:rsidP="00D26113">
      <w:pPr>
        <w:pStyle w:val="SCCNormalDoubleSpacing"/>
        <w:spacing w:line="240" w:lineRule="auto"/>
        <w:rPr>
          <w:i/>
          <w:sz w:val="20"/>
          <w:lang w:val="fr-CA"/>
        </w:rPr>
      </w:pPr>
    </w:p>
    <w:p w:rsidR="00D26113" w:rsidRPr="00D26113" w:rsidRDefault="00D26113" w:rsidP="00D26113">
      <w:pPr>
        <w:pStyle w:val="SCCNormalDoubleSpacing"/>
        <w:spacing w:line="240" w:lineRule="auto"/>
        <w:rPr>
          <w:i/>
          <w:sz w:val="20"/>
          <w:lang w:val="fr-CA"/>
        </w:rPr>
      </w:pPr>
      <w:r w:rsidRPr="00D26113">
        <w:rPr>
          <w:i/>
          <w:sz w:val="20"/>
          <w:lang w:val="fr-CA"/>
        </w:rPr>
        <w:tab/>
        <w:t>Droit constitutionnel — Charte des droits — Droit d’être informé des motifs de son arrestation — Droit à l’assistance d’un avocat — Inculpé accusé de possession de cocaïne et de possession d’argent obtenu par la perpétration d’une infraction — Délai avant que la police informe l’accusé des motifs de son arrestation et de son droit à l’assistance d’un avocat — Le juge du procès a</w:t>
      </w:r>
      <w:r w:rsidRPr="00D26113">
        <w:rPr>
          <w:i/>
          <w:sz w:val="20"/>
          <w:lang w:val="fr-CA"/>
        </w:rPr>
        <w:noBreakHyphen/>
        <w:t>t</w:t>
      </w:r>
      <w:r w:rsidRPr="00D26113">
        <w:rPr>
          <w:i/>
          <w:sz w:val="20"/>
          <w:lang w:val="fr-CA"/>
        </w:rPr>
        <w:noBreakHyphen/>
        <w:t>il commis une erreur de droit en concluant que la police a porté atteinte au droit de l’accusé d’être informé des motifs de son arrestation et à son droit à l’assistance d’un avocat? — Le juge du procès a</w:t>
      </w:r>
      <w:r w:rsidRPr="00D26113">
        <w:rPr>
          <w:i/>
          <w:sz w:val="20"/>
          <w:lang w:val="fr-CA"/>
        </w:rPr>
        <w:noBreakHyphen/>
        <w:t>t</w:t>
      </w:r>
      <w:r w:rsidRPr="00D26113">
        <w:rPr>
          <w:i/>
          <w:sz w:val="20"/>
          <w:lang w:val="fr-CA"/>
        </w:rPr>
        <w:noBreakHyphen/>
        <w:t>il commis une erreur de droit en excluant des éléments de preuve? — Charte canadienne des droits et libertés, art. 10, 24(2).</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L’inculpé a été accusé de possession de cocaïne en vue d’en faire le trafic et de possession d’argent obtenu par la perpétration d’une infraction.  Le juge du procès a conclu qu’il avait été porté atteinte aux droits garantis à l’accusé par les al. 10</w:t>
      </w:r>
      <w:r w:rsidRPr="00D26113">
        <w:rPr>
          <w:i/>
          <w:sz w:val="20"/>
          <w:lang w:val="fr-CA"/>
        </w:rPr>
        <w:t>a</w:t>
      </w:r>
      <w:r w:rsidRPr="00D26113">
        <w:rPr>
          <w:sz w:val="20"/>
          <w:lang w:val="fr-CA"/>
        </w:rPr>
        <w:t xml:space="preserve">) et </w:t>
      </w:r>
      <w:r w:rsidRPr="00D26113">
        <w:rPr>
          <w:i/>
          <w:sz w:val="20"/>
          <w:lang w:val="fr-CA"/>
        </w:rPr>
        <w:t>b</w:t>
      </w:r>
      <w:r w:rsidRPr="00D26113">
        <w:rPr>
          <w:sz w:val="20"/>
          <w:lang w:val="fr-CA"/>
        </w:rPr>
        <w:t xml:space="preserve">) de la </w:t>
      </w:r>
      <w:r w:rsidRPr="00D26113">
        <w:rPr>
          <w:i/>
          <w:sz w:val="20"/>
          <w:lang w:val="fr-CA"/>
        </w:rPr>
        <w:t>Charte</w:t>
      </w:r>
      <w:r w:rsidRPr="00D26113">
        <w:rPr>
          <w:sz w:val="20"/>
          <w:lang w:val="fr-CA"/>
        </w:rPr>
        <w:t xml:space="preserve"> parce que les policiers ont attendu 22 minutes avant de l’informer des motifs de son arrestation et 2 à 5 minutes supplémentaires avant de l’informer de son droit à l’assistance d’un avocat.  Le juge du procès a souligné que l’avocat de la défense avait contre interrogé le détective qui avait ordonné au policier d’arrêter et de fouiller l’accusé.  Durant ce contre</w:t>
      </w:r>
      <w:r w:rsidRPr="00D26113">
        <w:rPr>
          <w:sz w:val="20"/>
          <w:lang w:val="fr-CA"/>
        </w:rPr>
        <w:noBreakHyphen/>
        <w:t>interrogatoire, l’avocat de la défense a questionné le détective relativement au témoignage d’un autre témoin du ministère public qui différait de celui du détective quant aux motifs de l’arrestation et de la fouille de l’accusé.  En définitive, tous les éléments de preuve ont été exclus et l’accusé a été acquitté.  Le ministère public a interjeté appel.  Après que le ministère public et l’avocat de la défense eurent déposé leurs observations écrites, la Cour d’appel a fourni aux parties une liste de décisions et elle leur a soumis deux questions pour commentaire à l’audience : (1) qu’est</w:t>
      </w:r>
      <w:r w:rsidRPr="00D26113">
        <w:rPr>
          <w:sz w:val="20"/>
          <w:lang w:val="fr-CA"/>
        </w:rPr>
        <w:noBreakHyphen/>
        <w:t>ce qu’une question de droit en appel d’un acquittement?  (2) Quelles sont les limites du contre</w:t>
      </w:r>
      <w:r w:rsidRPr="00D26113">
        <w:rPr>
          <w:sz w:val="20"/>
          <w:lang w:val="fr-CA"/>
        </w:rPr>
        <w:noBreakHyphen/>
        <w:t>interrogatoire et quelles sont les conséquences lorsque ces limites sont outrepassées?  À l’audience, les deux avocats ont présenté des observations sur la question de savoir si la défense avait soumis le détective à un contre</w:t>
      </w:r>
      <w:r w:rsidRPr="00D26113">
        <w:rPr>
          <w:sz w:val="20"/>
          <w:lang w:val="fr-CA"/>
        </w:rPr>
        <w:noBreakHyphen/>
        <w:t>interrogatoire inapproprié en lui demandant de se prononcer sur la véracité du témoignage de l’autre agent.  La Cour d’appel a accueilli l’appel au motif que le juge du procès avait commis une erreur de droit en s’appuyant sur le contre</w:t>
      </w:r>
      <w:r w:rsidRPr="00D26113">
        <w:rPr>
          <w:sz w:val="20"/>
          <w:lang w:val="fr-CA"/>
        </w:rPr>
        <w:noBreakHyphen/>
        <w:t>interrogatoire inacceptable du policier détective.  Les acquittements ont été annulés et la tenue d’un nouveau procès ordonnée.</w:t>
      </w:r>
    </w:p>
    <w:p w:rsidR="00D26113" w:rsidRDefault="00D26113" w:rsidP="00D26113">
      <w:pPr>
        <w:pStyle w:val="SCCNormalDoubleSpacing"/>
        <w:spacing w:line="240" w:lineRule="auto"/>
        <w:rPr>
          <w:i/>
          <w:sz w:val="20"/>
          <w:lang w:val="fr-CA"/>
        </w:rPr>
      </w:pPr>
    </w:p>
    <w:p w:rsidR="00D26113" w:rsidRPr="00D26113" w:rsidRDefault="00D26113" w:rsidP="00D26113">
      <w:pPr>
        <w:pStyle w:val="SCCNormalDoubleSpacing"/>
        <w:spacing w:line="240" w:lineRule="auto"/>
        <w:rPr>
          <w:sz w:val="20"/>
          <w:lang w:val="fr-CA"/>
        </w:rPr>
      </w:pPr>
      <w:r w:rsidRPr="00D26113">
        <w:rPr>
          <w:i/>
          <w:sz w:val="20"/>
          <w:lang w:val="fr-CA"/>
        </w:rPr>
        <w:tab/>
        <w:t>Arrêt </w:t>
      </w:r>
      <w:r w:rsidRPr="00D26113">
        <w:rPr>
          <w:sz w:val="20"/>
          <w:lang w:val="fr-CA"/>
        </w:rPr>
        <w:t>: L’appel est accueilli et les acquittements rétablis.</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Une cour d’appel a compétence pour soulever de nouvelles questions et pour inviter les parties à présenter des observations sur une question que ni l’une ni l’autre n’a soulevée.  Une question est nouvelle lorsqu’elle constitue un nouveau fondement sur lequel on pourrait s’appuyer — autre que les moyens d’appel formulés par les parties — pour conclure que la décision frappée d’appel est erronée.  Les questions qui reposent sur une question existante ou qui en sont des éléments ne sont pas de nouvelles questions, tout comme celles qui forment la toile de fond de l’instance d’appel n’en sont pas non plus.  En outre, ce ne sont pas toutes les questions posées par une cour d’appel qui sont de nouvelles questions.  Celles soulevées à l’audience peuvent valablement porter sur une gamme étendue de sujets, qui peuvent être des éléments des moyens d’appel mis de l’avant par les parties, ou aller au</w:t>
      </w:r>
      <w:r w:rsidRPr="00D26113">
        <w:rPr>
          <w:sz w:val="20"/>
          <w:lang w:val="fr-CA"/>
        </w:rPr>
        <w:noBreakHyphen/>
        <w:t>delà de ces moyens dans le but de comprendre le contexte factuel ou législatif, ou les implications plus larges du débat.  Pourvu que l’impartialité ne soit pas mise en cause, les questions soulevées à l’audience, qu’elles soient ou non liées directement ou par extension aux moyens d’appel, ne sont pas inappropriées.</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 xml:space="preserve">Même si une cour d’appel dispose du pouvoir discrétionnaire de soulever une nouvelle question, elle ne doit l’exercer que dans de rares situations.  En effet, elle ne doit soulever une telle question que si son omission de le faire </w:t>
      </w:r>
      <w:r w:rsidRPr="00D26113">
        <w:rPr>
          <w:sz w:val="20"/>
          <w:lang w:val="fr-CA"/>
        </w:rPr>
        <w:lastRenderedPageBreak/>
        <w:t>risquerait d’entraîner une injustice.  Ce pouvoir discrétionnaire est limité en toutes circonstances par l’exigence suivant laquelle, en soulevant la nouvelle question, la cour ne doit pas donner l’impression qu’elle a un parti pris ou qu’elle fait preuve de partialité.  Il ne faut pas que les tribunaux soient vus comme étant en quête d’un tort à rectifier.  Lorsqu’il existe une bonne raison de croire que le résultat aurait réalistement été différent si l’erreur n’avait pas été commise, ce risque d’injustice justifie l’intervention de la cour d’appel.  La norme de la « bonne raison de croire » que l’omission de soulever une nouvelle question « risquerait d’entraîner une injustice » est un seuil élevé et nécessaire dans ce contexte afin d’établir un équilibre approprié entre le rôle des cours d’appel en tant qu’arbitres indépendants et impartiaux et le besoin de veiller à ce que justice soit rendue.  Pour soulever une nouvelle question, la cour doit aussi se demander si elle a compétence pour l’examiner, s’il y a suffisamment d’éléments au dossier pour la trancher et si l’une ou l’autre des parties subirait un préjudice d’ordre procédural advenant le cas où la cour en question soulevait une nouvelle question.</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Lorsqu’une cour d’appel soulève une nouvelle question, les parties doivent en être notifiées et avoir l’occasion d’y répondre.  La cour d’appel doit aviser les parties qu’elle a cerné une question susceptible de se poser et veiller à ce que les parties en soient suffisamment informées pour qu’elles puissent se préparer et y répondre.  Prescrire des normes de procédure rigoureuses ferait abstraction du fait que la question peut se présenter dans diverses situations selon les dossiers.  La cour doit soulever la question dès qu’il est pratiquement possible de le faire après que la question se cristallise afin d’éviter tout retard indu dans le déroulement de l’instance.  Toutefois, la notification de la nouvelle question peut se faire avant l’audience, ou la question être soulevée à l’audience.  La notification ne doit pas renfermer trop de détails ou indiquer que la cour d’appel s’est déjà formé une opinion.  Toutefois, elle doit renfermer assez d’information pour permettre aux parties de répondre à la nouvelle question.  Les exigences relatives à la réponse dépendront de la question particulière soulevée par la cour.  Les procureurs voudront peut</w:t>
      </w:r>
      <w:r w:rsidRPr="00D26113">
        <w:rPr>
          <w:sz w:val="20"/>
          <w:lang w:val="fr-CA"/>
        </w:rPr>
        <w:noBreakHyphen/>
        <w:t>être simplement présenter des observations orales sur le sujet, plutôt déposer d’autres arguments écrits ou faire les deux.  L’enjeu sous</w:t>
      </w:r>
      <w:r w:rsidRPr="00D26113">
        <w:rPr>
          <w:sz w:val="20"/>
          <w:lang w:val="fr-CA"/>
        </w:rPr>
        <w:noBreakHyphen/>
        <w:t>jacent est de faire en sorte que la cour reçoive des observations complètes sur la nouvelle question.  Si une partie demande à présenter des observations écrites avant ou après l’audience, il doit y avoir une présomption en faveur de l’acceptation de la demande.  La récusation devrait être rare et elle doit être régie par la considération prépondérante de savoir si la nouvelle question ou la façon dont elle a été soulevée pourrait susciter une crainte raisonnable de partialité.</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En l’espèce, la Cour d’appel a eu tort de soulever la nouvelle question du caractère inapproprié du contre</w:t>
      </w:r>
      <w:r w:rsidRPr="00D26113">
        <w:rPr>
          <w:sz w:val="20"/>
          <w:lang w:val="fr-CA"/>
        </w:rPr>
        <w:noBreakHyphen/>
        <w:t>interrogatoire.  La question contestée du contre</w:t>
      </w:r>
      <w:r w:rsidRPr="00D26113">
        <w:rPr>
          <w:sz w:val="20"/>
          <w:lang w:val="fr-CA"/>
        </w:rPr>
        <w:noBreakHyphen/>
        <w:t>interrogatoire n’a pas influé sur la décision du juge du procès. L’erreur n’était pas substantielle et le résultat n’aurait pas été différent si le juge du procès n’avait pas autorisé le contre</w:t>
      </w:r>
      <w:r w:rsidRPr="00D26113">
        <w:rPr>
          <w:sz w:val="20"/>
          <w:lang w:val="fr-CA"/>
        </w:rPr>
        <w:noBreakHyphen/>
        <w:t>interrogatoire contesté.  Même si le juge du procès s’était effectivement appuyé sur la question contestée, cela n’aurait pas eu une incidence significative sur le résultat, au point de soulever un risque réaliste d’injustice.  Fait également important, la question inappropriée a été posée à un témoin du ministère public, plutôt qu’à l’accusé.  En outre, le fait que le ministère public n’ait pas contesté la question inacceptable et qu’il ne l’ait pas soulevée non plus comme moyen d’appel laisse entendre que la question n’avait pas eu d’incidence grave sur l’issue du voir</w:t>
      </w:r>
      <w:r w:rsidRPr="00D26113">
        <w:rPr>
          <w:sz w:val="20"/>
          <w:lang w:val="fr-CA"/>
        </w:rPr>
        <w:noBreakHyphen/>
        <w:t>dire.  Puisque le fait de ne pas soulever la question du contre</w:t>
      </w:r>
      <w:r w:rsidRPr="00D26113">
        <w:rPr>
          <w:sz w:val="20"/>
          <w:lang w:val="fr-CA"/>
        </w:rPr>
        <w:noBreakHyphen/>
        <w:t>interrogatoire contesté n’aurait pas risqué d’entraîner une injustice, il s’ensuit que la Cour d’appel a eu tort de soulever la question.</w:t>
      </w:r>
    </w:p>
    <w:p w:rsidR="00D26113" w:rsidRDefault="00D26113" w:rsidP="00D26113">
      <w:pPr>
        <w:pStyle w:val="SCCNormalDoubleSpacing"/>
        <w:spacing w:line="240" w:lineRule="auto"/>
        <w:rPr>
          <w:sz w:val="20"/>
          <w:lang w:val="fr-CA"/>
        </w:rPr>
      </w:pPr>
    </w:p>
    <w:p w:rsidR="00D26113" w:rsidRPr="00D26113" w:rsidRDefault="00D26113" w:rsidP="00D26113">
      <w:pPr>
        <w:pStyle w:val="SCCNormalDoubleSpacing"/>
        <w:spacing w:line="240" w:lineRule="auto"/>
        <w:rPr>
          <w:sz w:val="20"/>
          <w:lang w:val="fr-CA"/>
        </w:rPr>
      </w:pPr>
      <w:r w:rsidRPr="00D26113">
        <w:rPr>
          <w:sz w:val="20"/>
          <w:lang w:val="fr-CA"/>
        </w:rPr>
        <w:tab/>
        <w:t xml:space="preserve">Rien ne permet par ailleurs d’infirmer la conclusion du juge du procès selon laquelle les droits que garantit l’art. 10 de la </w:t>
      </w:r>
      <w:r w:rsidRPr="00D26113">
        <w:rPr>
          <w:i/>
          <w:sz w:val="20"/>
          <w:lang w:val="fr-CA"/>
        </w:rPr>
        <w:t>Charte</w:t>
      </w:r>
      <w:r w:rsidRPr="00D26113">
        <w:rPr>
          <w:sz w:val="20"/>
          <w:lang w:val="fr-CA"/>
        </w:rPr>
        <w:t xml:space="preserve"> à l’accusé ont été violés.  Selon le juge du procès, la preuve était insuffisante pour étayer l’assertion selon laquelle l’enquête plus large aurait été compromise s’il avait été immédiatement satisfait aux obligations découlant de l’art. 10 de la </w:t>
      </w:r>
      <w:r w:rsidRPr="00D26113">
        <w:rPr>
          <w:i/>
          <w:sz w:val="20"/>
          <w:lang w:val="fr-CA"/>
        </w:rPr>
        <w:t>Charte</w:t>
      </w:r>
      <w:r w:rsidRPr="00D26113">
        <w:rPr>
          <w:sz w:val="20"/>
          <w:lang w:val="fr-CA"/>
        </w:rPr>
        <w:t>. Puisque les appels d’acquittements interjetés par le ministère public se limitent aux questions de droit, les conclusions de fait ne peuvent être remises en cause que dans des situations limitées qui ne se présentent pas en l’espèce.  Il n’existait aucune circonstance exceptionnelle qui justifiait le retard des policiers à se conformer aux obligations d’information prescrites par l’art. 10.  Il n’y a donc aucune raison de modifier la conclusion du juge du procès selon laquelle les al. 10</w:t>
      </w:r>
      <w:r w:rsidRPr="00D26113">
        <w:rPr>
          <w:i/>
          <w:sz w:val="20"/>
          <w:lang w:val="fr-CA"/>
        </w:rPr>
        <w:t>a)</w:t>
      </w:r>
      <w:r w:rsidRPr="00D26113">
        <w:rPr>
          <w:sz w:val="20"/>
          <w:lang w:val="fr-CA"/>
        </w:rPr>
        <w:t xml:space="preserve"> et </w:t>
      </w:r>
      <w:r w:rsidRPr="00D26113">
        <w:rPr>
          <w:i/>
          <w:sz w:val="20"/>
          <w:lang w:val="fr-CA"/>
        </w:rPr>
        <w:t>b)</w:t>
      </w:r>
      <w:r w:rsidRPr="00D26113">
        <w:rPr>
          <w:sz w:val="20"/>
          <w:lang w:val="fr-CA"/>
        </w:rPr>
        <w:t xml:space="preserve"> de la </w:t>
      </w:r>
      <w:r w:rsidRPr="00D26113">
        <w:rPr>
          <w:i/>
          <w:sz w:val="20"/>
          <w:lang w:val="fr-CA"/>
        </w:rPr>
        <w:t xml:space="preserve">Charte </w:t>
      </w:r>
      <w:r w:rsidRPr="00D26113">
        <w:rPr>
          <w:sz w:val="20"/>
          <w:lang w:val="fr-CA"/>
        </w:rPr>
        <w:t>ont été violés.  De plus, compte tenu de la norme de contrôle qui commande la déférence en appel et parce que les arguments du ministère public à l’égard des conclusions du juge du procès en application du par. 24(2) équivalent à une contestation des conclusions de fait du juge du procès, la Cour ne peut intervenir dans la décision du juge du procès fondée sur le par. 24(2) d’exclure des éléments de preuve.</w:t>
      </w:r>
    </w:p>
    <w:p w:rsidR="00D26113" w:rsidRPr="000241BE" w:rsidRDefault="00D26113" w:rsidP="00D26113">
      <w:pPr>
        <w:tabs>
          <w:tab w:val="left" w:pos="1168"/>
        </w:tabs>
        <w:jc w:val="both"/>
        <w:rPr>
          <w:rFonts w:eastAsia="Times New Roman" w:cs="Times New Roman"/>
          <w:sz w:val="20"/>
          <w:szCs w:val="20"/>
          <w:lang w:val="fr-CA" w:eastAsia="en-CA"/>
        </w:rPr>
      </w:pPr>
    </w:p>
    <w:p w:rsidR="00D26113" w:rsidRPr="00D26113" w:rsidRDefault="00D26113" w:rsidP="00D26113">
      <w:pPr>
        <w:tabs>
          <w:tab w:val="left" w:pos="1168"/>
        </w:tabs>
        <w:jc w:val="both"/>
        <w:rPr>
          <w:rFonts w:eastAsia="Times New Roman" w:cs="Times New Roman"/>
          <w:sz w:val="20"/>
          <w:szCs w:val="20"/>
          <w:lang w:val="fr-CA" w:eastAsia="en-CA"/>
        </w:rPr>
      </w:pPr>
      <w:r w:rsidRPr="000241BE">
        <w:rPr>
          <w:rFonts w:eastAsia="Times New Roman" w:cs="Times New Roman"/>
          <w:sz w:val="20"/>
          <w:szCs w:val="20"/>
          <w:lang w:val="fr-CA" w:eastAsia="en-CA"/>
        </w:rPr>
        <w:tab/>
      </w:r>
      <w:r w:rsidRPr="00D26113">
        <w:rPr>
          <w:rFonts w:eastAsia="Times New Roman" w:cs="Times New Roman"/>
          <w:sz w:val="20"/>
          <w:szCs w:val="20"/>
          <w:lang w:val="fr-CA" w:eastAsia="en-CA"/>
        </w:rPr>
        <w:t>POURVOI contre un arrêt de la Cour d’appel de l’Alberta (les juges Côté et O’Brien et le juge Belzil (</w:t>
      </w:r>
      <w:r w:rsidRPr="00D26113">
        <w:rPr>
          <w:rFonts w:eastAsia="Times New Roman" w:cs="Times New Roman"/>
          <w:i/>
          <w:sz w:val="20"/>
          <w:szCs w:val="20"/>
          <w:lang w:val="fr-CA" w:eastAsia="en-CA"/>
        </w:rPr>
        <w:t>ad hoc</w:t>
      </w:r>
      <w:r w:rsidRPr="00D26113">
        <w:rPr>
          <w:rFonts w:eastAsia="Times New Roman" w:cs="Times New Roman"/>
          <w:sz w:val="20"/>
          <w:szCs w:val="20"/>
          <w:lang w:val="fr-CA" w:eastAsia="en-CA"/>
        </w:rPr>
        <w:t xml:space="preserve">)), 2012 ABCA 302, 536 A.R. 308, 559 W.A.C. 308, 78 Alta. L.R. (5th) 249, 292 C.C.C. (3d) 346, 98 C.R. (6th) </w:t>
      </w:r>
      <w:r w:rsidRPr="00D26113">
        <w:rPr>
          <w:rFonts w:eastAsia="Times New Roman" w:cs="Times New Roman"/>
          <w:sz w:val="20"/>
          <w:szCs w:val="20"/>
          <w:lang w:val="fr-CA" w:eastAsia="en-CA"/>
        </w:rPr>
        <w:lastRenderedPageBreak/>
        <w:t>311, [2012] A.J. No. 1044 (QL), 2012 CarswellAlta 1744, qui a annulé les verdicts d’acquittement de l’accusé et ordonné la tenue d’un nouveau procès.  Pourvoi accueilli.</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sz w:val="20"/>
          <w:szCs w:val="20"/>
          <w:lang w:val="fr-CA" w:eastAsia="en-CA"/>
        </w:rPr>
      </w:pPr>
      <w:r w:rsidRPr="00D26113">
        <w:rPr>
          <w:rFonts w:eastAsia="Times New Roman" w:cs="Times New Roman"/>
          <w:i/>
          <w:sz w:val="20"/>
          <w:szCs w:val="20"/>
          <w:lang w:val="fr-CA" w:eastAsia="en-CA"/>
        </w:rPr>
        <w:tab/>
        <w:t>Daniel J. Song</w:t>
      </w:r>
      <w:r w:rsidRPr="00D26113">
        <w:rPr>
          <w:rFonts w:eastAsia="Times New Roman" w:cs="Times New Roman"/>
          <w:sz w:val="20"/>
          <w:szCs w:val="20"/>
          <w:lang w:val="fr-CA" w:eastAsia="en-CA"/>
        </w:rPr>
        <w:t xml:space="preserve">, </w:t>
      </w:r>
      <w:r w:rsidRPr="00D26113">
        <w:rPr>
          <w:rFonts w:eastAsia="Times New Roman" w:cs="Times New Roman"/>
          <w:i/>
          <w:sz w:val="20"/>
          <w:szCs w:val="20"/>
          <w:lang w:val="fr-CA" w:eastAsia="en-CA"/>
        </w:rPr>
        <w:t>Darin D. Sprake</w:t>
      </w:r>
      <w:r w:rsidRPr="00D26113">
        <w:rPr>
          <w:rFonts w:eastAsia="Times New Roman" w:cs="Times New Roman"/>
          <w:sz w:val="20"/>
          <w:szCs w:val="20"/>
          <w:lang w:val="fr-CA" w:eastAsia="en-CA"/>
        </w:rPr>
        <w:t xml:space="preserve"> et </w:t>
      </w:r>
      <w:r w:rsidRPr="00D26113">
        <w:rPr>
          <w:rFonts w:eastAsia="Times New Roman" w:cs="Times New Roman"/>
          <w:i/>
          <w:sz w:val="20"/>
          <w:szCs w:val="20"/>
          <w:lang w:val="fr-CA" w:eastAsia="en-CA"/>
        </w:rPr>
        <w:t>Anna M. Konye</w:t>
      </w:r>
      <w:r w:rsidRPr="00D26113">
        <w:rPr>
          <w:rFonts w:eastAsia="Times New Roman" w:cs="Times New Roman"/>
          <w:sz w:val="20"/>
          <w:szCs w:val="20"/>
          <w:lang w:val="fr-CA" w:eastAsia="en-CA"/>
        </w:rPr>
        <w:t>, pour l’appelant.</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sz w:val="20"/>
          <w:szCs w:val="20"/>
          <w:lang w:val="fr-CA" w:eastAsia="en-CA"/>
        </w:rPr>
      </w:pPr>
      <w:r w:rsidRPr="00D26113">
        <w:rPr>
          <w:rFonts w:eastAsia="Times New Roman" w:cs="Times New Roman"/>
          <w:i/>
          <w:sz w:val="20"/>
          <w:szCs w:val="20"/>
          <w:lang w:val="fr-CA" w:eastAsia="en-CA"/>
        </w:rPr>
        <w:tab/>
        <w:t xml:space="preserve">David Schermbrucker </w:t>
      </w:r>
      <w:r w:rsidRPr="00D26113">
        <w:rPr>
          <w:rFonts w:eastAsia="Times New Roman" w:cs="Times New Roman"/>
          <w:sz w:val="20"/>
          <w:szCs w:val="20"/>
          <w:lang w:val="fr-CA" w:eastAsia="en-CA"/>
        </w:rPr>
        <w:t>et</w:t>
      </w:r>
      <w:r w:rsidRPr="00D26113">
        <w:rPr>
          <w:rFonts w:eastAsia="Times New Roman" w:cs="Times New Roman"/>
          <w:i/>
          <w:sz w:val="20"/>
          <w:szCs w:val="20"/>
          <w:lang w:val="fr-CA" w:eastAsia="en-CA"/>
        </w:rPr>
        <w:t xml:space="preserve"> Ronald C. Reimer</w:t>
      </w:r>
      <w:r w:rsidRPr="00D26113">
        <w:rPr>
          <w:rFonts w:eastAsia="Times New Roman" w:cs="Times New Roman"/>
          <w:sz w:val="20"/>
          <w:szCs w:val="20"/>
          <w:lang w:val="fr-CA" w:eastAsia="en-CA"/>
        </w:rPr>
        <w:t>, pour l’intimée.</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sz w:val="20"/>
          <w:szCs w:val="20"/>
          <w:lang w:val="fr-CA" w:eastAsia="en-CA"/>
        </w:rPr>
      </w:pPr>
      <w:r w:rsidRPr="00D26113">
        <w:rPr>
          <w:rFonts w:eastAsia="Times New Roman" w:cs="Times New Roman"/>
          <w:i/>
          <w:sz w:val="20"/>
          <w:szCs w:val="20"/>
          <w:lang w:val="fr-CA" w:eastAsia="en-CA"/>
        </w:rPr>
        <w:tab/>
        <w:t>Jolaine Antonio</w:t>
      </w:r>
      <w:r w:rsidRPr="00D26113">
        <w:rPr>
          <w:rFonts w:eastAsia="Times New Roman" w:cs="Times New Roman"/>
          <w:sz w:val="20"/>
          <w:szCs w:val="20"/>
          <w:lang w:val="fr-CA" w:eastAsia="en-CA"/>
        </w:rPr>
        <w:t>, pour l’intervenant.</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i/>
          <w:sz w:val="20"/>
          <w:szCs w:val="20"/>
          <w:lang w:val="fr-CA" w:eastAsia="en-CA"/>
        </w:rPr>
      </w:pPr>
      <w:r w:rsidRPr="00D26113">
        <w:rPr>
          <w:rFonts w:eastAsia="Times New Roman" w:cs="Times New Roman"/>
          <w:i/>
          <w:sz w:val="20"/>
          <w:szCs w:val="20"/>
          <w:lang w:val="fr-CA" w:eastAsia="en-CA"/>
        </w:rPr>
        <w:tab/>
        <w:t>Procureurs de l’appelant : Sprake Song &amp; Konye, Vancouver.</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i/>
          <w:sz w:val="20"/>
          <w:szCs w:val="20"/>
          <w:lang w:val="fr-CA" w:eastAsia="en-CA"/>
        </w:rPr>
      </w:pPr>
      <w:r w:rsidRPr="00D26113">
        <w:rPr>
          <w:rFonts w:eastAsia="Times New Roman" w:cs="Times New Roman"/>
          <w:i/>
          <w:sz w:val="20"/>
          <w:szCs w:val="20"/>
          <w:lang w:val="fr-CA" w:eastAsia="en-CA"/>
        </w:rPr>
        <w:tab/>
        <w:t>Procureur de l’intimée : Service des poursuites pénales du Canada, Edmonton.</w:t>
      </w:r>
    </w:p>
    <w:p w:rsidR="00D26113" w:rsidRDefault="00D26113" w:rsidP="00D26113">
      <w:pPr>
        <w:tabs>
          <w:tab w:val="left" w:pos="1168"/>
        </w:tabs>
        <w:jc w:val="both"/>
        <w:rPr>
          <w:rFonts w:eastAsia="Times New Roman" w:cs="Times New Roman"/>
          <w:i/>
          <w:sz w:val="20"/>
          <w:szCs w:val="20"/>
          <w:lang w:val="fr-CA" w:eastAsia="en-CA"/>
        </w:rPr>
      </w:pPr>
    </w:p>
    <w:p w:rsidR="00D26113" w:rsidRPr="00D26113" w:rsidRDefault="00D26113" w:rsidP="00D26113">
      <w:pPr>
        <w:tabs>
          <w:tab w:val="left" w:pos="1168"/>
        </w:tabs>
        <w:jc w:val="both"/>
        <w:rPr>
          <w:rFonts w:eastAsia="Times New Roman" w:cs="Times New Roman"/>
          <w:i/>
          <w:sz w:val="20"/>
          <w:szCs w:val="20"/>
          <w:lang w:val="fr-CA" w:eastAsia="en-CA"/>
        </w:rPr>
      </w:pPr>
      <w:r w:rsidRPr="00D26113">
        <w:rPr>
          <w:rFonts w:eastAsia="Times New Roman" w:cs="Times New Roman"/>
          <w:i/>
          <w:sz w:val="20"/>
          <w:szCs w:val="20"/>
          <w:lang w:val="fr-CA" w:eastAsia="en-CA"/>
        </w:rPr>
        <w:tab/>
        <w:t>Procureur de l’intervenant : Procureur général de l’Alberta, Calgary.</w:t>
      </w:r>
    </w:p>
    <w:p w:rsidR="003B3977" w:rsidRPr="000241BE" w:rsidRDefault="003B3977" w:rsidP="00D26113">
      <w:pPr>
        <w:rPr>
          <w:rFonts w:cs="Times New Roman"/>
          <w:sz w:val="20"/>
          <w:szCs w:val="20"/>
          <w:lang w:val="fr-CA"/>
        </w:rPr>
      </w:pPr>
    </w:p>
    <w:p w:rsidR="005C6840" w:rsidRDefault="007054A6" w:rsidP="00D26113">
      <w:pPr>
        <w:rPr>
          <w:lang w:val="fr-CA"/>
        </w:rPr>
      </w:pPr>
      <w:r>
        <w:rPr>
          <w:rFonts w:cs="Times New Roman"/>
          <w:sz w:val="20"/>
          <w:szCs w:val="20"/>
          <w:lang w:val="fr-CA"/>
        </w:rPr>
        <w:pict>
          <v:rect id="_x0000_i1071" style="width:144.3pt;height:1pt" o:hrpct="300" o:hralign="center" o:hrstd="t" o:hrnoshade="t" o:hr="t" fillcolor="black [3213]" stroked="f"/>
        </w:pict>
      </w:r>
    </w:p>
    <w:p w:rsidR="00902E51" w:rsidRDefault="00902E51" w:rsidP="00902E51">
      <w:pPr>
        <w:rPr>
          <w:rFonts w:cs="Times New Roman"/>
          <w:sz w:val="20"/>
          <w:szCs w:val="20"/>
          <w:lang w:val="fr-CA"/>
        </w:rPr>
      </w:pPr>
    </w:p>
    <w:p w:rsidR="00D26113" w:rsidRDefault="00D26113" w:rsidP="00902E51">
      <w:pPr>
        <w:rPr>
          <w:rFonts w:cs="Times New Roman"/>
          <w:sz w:val="20"/>
          <w:szCs w:val="20"/>
          <w:lang w:val="fr-CA"/>
        </w:rPr>
      </w:pPr>
    </w:p>
    <w:p w:rsidR="00D26113" w:rsidRDefault="00D26113"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576" w:footer="960" w:gutter="0"/>
          <w:cols w:space="720"/>
          <w:titlePg/>
          <w:docGrid w:linePitch="272"/>
        </w:sectPr>
      </w:pPr>
    </w:p>
    <w:p w:rsidR="008112A9" w:rsidRPr="002E0C7E" w:rsidRDefault="0084732B"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59500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DECEMBER - DÉCEMBRE</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M</w:t>
            </w: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13</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595008">
            <w:pPr>
              <w:widowControl w:val="0"/>
              <w:jc w:val="center"/>
              <w:rPr>
                <w:rFonts w:ascii="Arial" w:hAnsi="Arial"/>
                <w:b/>
                <w:sz w:val="14"/>
              </w:rPr>
            </w:pPr>
            <w:r w:rsidRPr="004F066E">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20</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9500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595008">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59500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MARCH - MARS</w:t>
            </w:r>
          </w:p>
        </w:tc>
      </w:tr>
      <w:tr w:rsidR="008112A9" w:rsidRPr="002E0C7E" w:rsidTr="0059500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595008">
            <w:pPr>
              <w:widowControl w:val="0"/>
              <w:jc w:val="center"/>
              <w:rPr>
                <w:rFonts w:ascii="Arial" w:hAnsi="Arial"/>
                <w:b/>
                <w:sz w:val="14"/>
              </w:rPr>
            </w:pPr>
            <w:r w:rsidRPr="004F066E">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14</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595008">
            <w:pPr>
              <w:widowControl w:val="0"/>
              <w:jc w:val="center"/>
              <w:rPr>
                <w:rFonts w:ascii="Arial" w:hAnsi="Arial"/>
                <w:b/>
                <w:sz w:val="14"/>
              </w:rPr>
            </w:pPr>
            <w:r w:rsidRPr="009900C5">
              <w:rPr>
                <w:rFonts w:ascii="Arial" w:hAnsi="Arial"/>
                <w:b/>
                <w:sz w:val="14"/>
              </w:rPr>
              <w:t>M</w:t>
            </w: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59500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59500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9500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95008">
            <w:pPr>
              <w:widowControl w:val="0"/>
              <w:jc w:val="center"/>
              <w:rPr>
                <w:rFonts w:ascii="Arial" w:hAnsi="Arial"/>
                <w:sz w:val="14"/>
              </w:rPr>
            </w:pPr>
            <w:r w:rsidRPr="002E0C7E">
              <w:rPr>
                <w:rFonts w:ascii="Arial" w:hAnsi="Arial"/>
                <w:b/>
                <w:sz w:val="14"/>
              </w:rPr>
              <w:t>JUNE - JUIN</w:t>
            </w:r>
          </w:p>
        </w:tc>
      </w:tr>
      <w:tr w:rsidR="008112A9" w:rsidRPr="002E0C7E" w:rsidTr="0059500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S</w:t>
            </w:r>
          </w:p>
          <w:p w:rsidR="008112A9" w:rsidRPr="002E0C7E" w:rsidRDefault="008112A9" w:rsidP="0059500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M</w:t>
            </w:r>
          </w:p>
          <w:p w:rsidR="008112A9" w:rsidRPr="002E0C7E" w:rsidRDefault="008112A9" w:rsidP="0059500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W</w:t>
            </w:r>
          </w:p>
          <w:p w:rsidR="008112A9" w:rsidRPr="002E0C7E" w:rsidRDefault="008112A9" w:rsidP="0059500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T</w:t>
            </w:r>
          </w:p>
          <w:p w:rsidR="008112A9" w:rsidRPr="002E0C7E" w:rsidRDefault="008112A9" w:rsidP="0059500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sidRPr="002E0C7E">
              <w:rPr>
                <w:rFonts w:ascii="Arial" w:hAnsi="Arial"/>
                <w:sz w:val="14"/>
              </w:rPr>
              <w:t>F</w:t>
            </w:r>
          </w:p>
          <w:p w:rsidR="008112A9" w:rsidRPr="002E0C7E" w:rsidRDefault="008112A9" w:rsidP="00595008">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r>
              <w:rPr>
                <w:rFonts w:ascii="Arial" w:hAnsi="Arial"/>
                <w:sz w:val="14"/>
              </w:rPr>
              <w:t>S</w:t>
            </w:r>
          </w:p>
          <w:p w:rsidR="008112A9" w:rsidRPr="002E0C7E" w:rsidRDefault="008112A9" w:rsidP="00595008">
            <w:pPr>
              <w:widowControl w:val="0"/>
              <w:jc w:val="center"/>
              <w:rPr>
                <w:rFonts w:ascii="Arial" w:hAnsi="Arial"/>
                <w:sz w:val="14"/>
              </w:rPr>
            </w:pPr>
            <w:r>
              <w:rPr>
                <w:rFonts w:ascii="Arial" w:hAnsi="Arial"/>
                <w:sz w:val="14"/>
              </w:rPr>
              <w:t>S</w:t>
            </w:r>
          </w:p>
        </w:tc>
      </w:tr>
      <w:tr w:rsidR="008112A9" w:rsidRPr="002E0C7E" w:rsidTr="0059500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13</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595008">
            <w:pPr>
              <w:widowControl w:val="0"/>
              <w:jc w:val="center"/>
              <w:rPr>
                <w:rFonts w:ascii="Arial" w:hAnsi="Arial"/>
                <w:b/>
                <w:sz w:val="14"/>
              </w:rPr>
            </w:pPr>
            <w:r>
              <w:rPr>
                <w:rFonts w:ascii="Arial" w:hAnsi="Arial"/>
                <w:b/>
                <w:sz w:val="14"/>
              </w:rPr>
              <w:t>M</w:t>
            </w: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595008">
            <w:pPr>
              <w:widowControl w:val="0"/>
              <w:jc w:val="center"/>
              <w:rPr>
                <w:rFonts w:ascii="Arial" w:hAnsi="Arial"/>
                <w:b/>
                <w:sz w:val="14"/>
              </w:rPr>
            </w:pPr>
            <w:r w:rsidRPr="002453E3">
              <w:rPr>
                <w:rFonts w:ascii="Arial" w:hAnsi="Arial"/>
                <w:b/>
                <w:sz w:val="14"/>
              </w:rPr>
              <w:t>M</w:t>
            </w: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20</w:t>
            </w:r>
          </w:p>
        </w:tc>
      </w:tr>
      <w:tr w:rsidR="008112A9" w:rsidRPr="002E0C7E" w:rsidTr="0059500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595008">
            <w:pPr>
              <w:widowControl w:val="0"/>
              <w:jc w:val="center"/>
              <w:rPr>
                <w:rFonts w:ascii="Arial" w:hAnsi="Arial"/>
                <w:b/>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595008">
            <w:pPr>
              <w:widowControl w:val="0"/>
              <w:jc w:val="center"/>
              <w:rPr>
                <w:rFonts w:ascii="Arial" w:hAnsi="Arial"/>
                <w:b/>
                <w:sz w:val="14"/>
              </w:rPr>
            </w:pPr>
            <w:r>
              <w:rPr>
                <w:rFonts w:ascii="Arial" w:hAnsi="Arial"/>
                <w:b/>
                <w:sz w:val="14"/>
              </w:rPr>
              <w:t>H</w:t>
            </w:r>
          </w:p>
          <w:p w:rsidR="008112A9" w:rsidRPr="002E0C7E" w:rsidRDefault="008112A9" w:rsidP="00595008">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9500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9500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595008">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95008">
            <w:pPr>
              <w:widowControl w:val="0"/>
              <w:jc w:val="center"/>
              <w:rPr>
                <w:rFonts w:ascii="Arial" w:hAnsi="Arial"/>
                <w:sz w:val="14"/>
              </w:rPr>
            </w:pPr>
          </w:p>
          <w:p w:rsidR="008112A9" w:rsidRPr="002E0C7E" w:rsidRDefault="008112A9" w:rsidP="00595008">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595008">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595008">
            <w:pPr>
              <w:widowControl w:val="0"/>
              <w:rPr>
                <w:rFonts w:ascii="Arial" w:hAnsi="Arial"/>
                <w:sz w:val="16"/>
              </w:rPr>
            </w:pPr>
            <w:r w:rsidRPr="002E0C7E">
              <w:rPr>
                <w:rFonts w:ascii="Arial" w:hAnsi="Arial"/>
                <w:sz w:val="16"/>
              </w:rPr>
              <w:t>Sittings of the court:</w:t>
            </w:r>
          </w:p>
          <w:p w:rsidR="008112A9" w:rsidRPr="002E0C7E" w:rsidRDefault="008112A9" w:rsidP="0059500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595008">
            <w:pPr>
              <w:widowControl w:val="0"/>
              <w:rPr>
                <w:rFonts w:ascii="Arial" w:hAnsi="Arial"/>
                <w:sz w:val="16"/>
              </w:rPr>
            </w:pPr>
          </w:p>
          <w:p w:rsidR="008112A9" w:rsidRPr="002E0C7E" w:rsidRDefault="008112A9" w:rsidP="0059500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950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950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595008">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950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50"/>
      <w:footerReference w:type="default" r:id="rId5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BE" w:rsidRDefault="000241BE" w:rsidP="00A87207">
      <w:r>
        <w:separator/>
      </w:r>
    </w:p>
  </w:endnote>
  <w:endnote w:type="continuationSeparator" w:id="0">
    <w:p w:rsidR="000241BE" w:rsidRDefault="000241B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EB2B90">
    <w:pPr>
      <w:tabs>
        <w:tab w:val="center" w:pos="4680"/>
      </w:tabs>
    </w:pPr>
    <w:r>
      <w:pict>
        <v:rect id="_x0000_i1052" style="width:480.95pt;height:1pt" o:hralign="center" o:hrstd="t" o:hrnoshade="t" o:hr="t" fillcolor="black [3213]" stroked="f"/>
      </w:pict>
    </w:r>
  </w:p>
  <w:p w:rsidR="000241BE" w:rsidRPr="0031432F" w:rsidRDefault="000241BE" w:rsidP="00EB2B90">
    <w:pPr>
      <w:tabs>
        <w:tab w:val="center" w:pos="4680"/>
      </w:tabs>
    </w:pPr>
    <w:r>
      <w:tab/>
      <w:t xml:space="preserve">- </w:t>
    </w:r>
    <w:r w:rsidR="007054A6">
      <w:fldChar w:fldCharType="begin"/>
    </w:r>
    <w:r w:rsidR="007054A6">
      <w:instrText xml:space="preserve"> PAGE   \* MERGEFORMAT </w:instrText>
    </w:r>
    <w:r w:rsidR="007054A6">
      <w:fldChar w:fldCharType="separate"/>
    </w:r>
    <w:r w:rsidR="007054A6">
      <w:rPr>
        <w:noProof/>
      </w:rPr>
      <w:t>1382</w:t>
    </w:r>
    <w:r w:rsidR="007054A6">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BE" w:rsidRDefault="000241B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0241BE" w:rsidRDefault="000241BE" w:rsidP="00EB2B90">
    <w:pPr>
      <w:tabs>
        <w:tab w:val="center" w:pos="4680"/>
      </w:tabs>
    </w:pPr>
    <w:r>
      <w:tab/>
      <w:t xml:space="preserve">- </w:t>
    </w:r>
    <w:r w:rsidR="007054A6">
      <w:fldChar w:fldCharType="begin"/>
    </w:r>
    <w:r w:rsidR="007054A6">
      <w:instrText xml:space="preserve"> PAGE   \* MERGEFORMAT </w:instrText>
    </w:r>
    <w:r w:rsidR="007054A6">
      <w:fldChar w:fldCharType="separate"/>
    </w:r>
    <w:r w:rsidR="007054A6">
      <w:rPr>
        <w:noProof/>
      </w:rPr>
      <w:t>1389</w:t>
    </w:r>
    <w:r w:rsidR="007054A6">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pPr>
      <w:pStyle w:val="Footer"/>
      <w:rPr>
        <w:lang w:val="fr-CA"/>
      </w:rPr>
    </w:pPr>
    <w:r>
      <w:rPr>
        <w:lang w:val="fr-CA"/>
      </w:rPr>
      <w:pict>
        <v:rect id="_x0000_i1066" style="width:480.95pt;height:1pt" o:hralign="center" o:hrstd="t" o:hrnoshade="t" o:hr="t" fillcolor="black [3213]" stroked="f"/>
      </w:pict>
    </w:r>
  </w:p>
  <w:p w:rsidR="000241BE" w:rsidRDefault="000241BE" w:rsidP="00EB2B90">
    <w:pPr>
      <w:tabs>
        <w:tab w:val="center" w:pos="4680"/>
      </w:tabs>
    </w:pPr>
    <w:r>
      <w:tab/>
      <w:t xml:space="preserve">- </w:t>
    </w:r>
    <w:r w:rsidR="007054A6">
      <w:fldChar w:fldCharType="begin"/>
    </w:r>
    <w:r w:rsidR="007054A6">
      <w:instrText xml:space="preserve"> PAGE   \* MERGEFORMAT </w:instrText>
    </w:r>
    <w:r w:rsidR="007054A6">
      <w:fldChar w:fldCharType="separate"/>
    </w:r>
    <w:r w:rsidR="007054A6">
      <w:rPr>
        <w:noProof/>
      </w:rPr>
      <w:t>1388</w:t>
    </w:r>
    <w:r w:rsidR="007054A6">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BE" w:rsidRDefault="000241B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732DB7">
    <w:r>
      <w:pict>
        <v:rect id="_x0000_i1068" style="width:480.95pt;height:1pt" o:hralign="center" o:hrstd="t" o:hrnoshade="t" o:hr="t" fillcolor="black" stroked="f"/>
      </w:pict>
    </w:r>
  </w:p>
  <w:p w:rsidR="000241BE" w:rsidRDefault="000241BE">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pPr>
      <w:pStyle w:val="Footer"/>
    </w:pPr>
    <w:r>
      <w:pict>
        <v:rect id="_x0000_i1069" style="width:480.95pt;height:1pt" o:hralign="center" o:hrstd="t" o:hrnoshade="t" o:hr="t" fillcolor="black [3213]" stroked="f"/>
      </w:pict>
    </w:r>
  </w:p>
  <w:p w:rsidR="000241BE" w:rsidRPr="003C2C0F" w:rsidRDefault="000241BE" w:rsidP="00697C62">
    <w:pPr>
      <w:tabs>
        <w:tab w:val="center" w:pos="4680"/>
      </w:tabs>
    </w:pPr>
    <w:r>
      <w:tab/>
      <w:t xml:space="preserve">- </w:t>
    </w:r>
    <w:r w:rsidR="007054A6">
      <w:fldChar w:fldCharType="begin"/>
    </w:r>
    <w:r w:rsidR="007054A6">
      <w:instrText xml:space="preserve"> PAGE   \* MERGEFORMAT </w:instrText>
    </w:r>
    <w:r w:rsidR="007054A6">
      <w:fldChar w:fldCharType="separate"/>
    </w:r>
    <w:r w:rsidR="007054A6">
      <w:rPr>
        <w:noProof/>
      </w:rPr>
      <w:t>1390</w:t>
    </w:r>
    <w:r w:rsidR="007054A6">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BE" w:rsidRDefault="000241B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BE" w:rsidRDefault="00705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0241BE" w:rsidRDefault="000241BE" w:rsidP="00782AE4">
    <w:pPr>
      <w:tabs>
        <w:tab w:val="center" w:pos="4680"/>
      </w:tabs>
    </w:pPr>
    <w:r>
      <w:tab/>
      <w:t xml:space="preserve">- </w:t>
    </w:r>
    <w:r w:rsidR="0084732B" w:rsidRPr="001775C1">
      <w:rPr>
        <w:szCs w:val="24"/>
      </w:rPr>
      <w:fldChar w:fldCharType="begin"/>
    </w:r>
    <w:r w:rsidRPr="001775C1">
      <w:rPr>
        <w:szCs w:val="24"/>
      </w:rPr>
      <w:instrText xml:space="preserve"> PAGE   \* MERGEFORMAT </w:instrText>
    </w:r>
    <w:r w:rsidR="0084732B" w:rsidRPr="001775C1">
      <w:rPr>
        <w:szCs w:val="24"/>
      </w:rPr>
      <w:fldChar w:fldCharType="separate"/>
    </w:r>
    <w:r w:rsidR="007054A6">
      <w:rPr>
        <w:noProof/>
        <w:szCs w:val="24"/>
      </w:rPr>
      <w:t>1395</w:t>
    </w:r>
    <w:r w:rsidR="0084732B"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782AE4">
    <w:pPr>
      <w:tabs>
        <w:tab w:val="center" w:pos="4680"/>
      </w:tabs>
    </w:pPr>
    <w:r>
      <w:pict>
        <v:rect id="_x0000_i1073" style="width:480.95pt;height:1pt" o:hralign="center" o:hrstd="t" o:hrnoshade="t" o:hr="t" fillcolor="black [3213]" stroked="f"/>
      </w:pict>
    </w:r>
  </w:p>
  <w:p w:rsidR="000241BE" w:rsidRDefault="000241BE" w:rsidP="00782AE4">
    <w:pPr>
      <w:tabs>
        <w:tab w:val="center" w:pos="4680"/>
      </w:tabs>
    </w:pPr>
    <w:r>
      <w:tab/>
      <w:t xml:space="preserve">- </w:t>
    </w:r>
    <w:r w:rsidR="0084732B" w:rsidRPr="001775C1">
      <w:rPr>
        <w:szCs w:val="24"/>
      </w:rPr>
      <w:fldChar w:fldCharType="begin"/>
    </w:r>
    <w:r w:rsidRPr="001775C1">
      <w:rPr>
        <w:szCs w:val="24"/>
      </w:rPr>
      <w:instrText xml:space="preserve"> PAGE   \* MERGEFORMAT </w:instrText>
    </w:r>
    <w:r w:rsidR="0084732B" w:rsidRPr="001775C1">
      <w:rPr>
        <w:szCs w:val="24"/>
      </w:rPr>
      <w:fldChar w:fldCharType="separate"/>
    </w:r>
    <w:r w:rsidR="007054A6">
      <w:rPr>
        <w:noProof/>
        <w:szCs w:val="24"/>
      </w:rPr>
      <w:t>1391</w:t>
    </w:r>
    <w:r w:rsidR="0084732B"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Pr="00924065" w:rsidRDefault="000241B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A87207">
    <w:pPr>
      <w:pStyle w:val="Footer"/>
    </w:pPr>
    <w:r>
      <w:pict>
        <v:rect id="_x0000_i1041" style="width:480.95pt;height:1pt" o:hralign="center" o:hrstd="t" o:hrnoshade="t" o:hr="t" fillcolor="black [3213]" stroked="f"/>
      </w:pict>
    </w:r>
  </w:p>
  <w:p w:rsidR="000241BE" w:rsidRPr="00B7374B" w:rsidRDefault="000241BE" w:rsidP="00B7374B">
    <w:pPr>
      <w:tabs>
        <w:tab w:val="center" w:pos="4680"/>
      </w:tabs>
      <w:rPr>
        <w:szCs w:val="24"/>
      </w:rPr>
    </w:pPr>
    <w:r w:rsidRPr="00954D22">
      <w:rPr>
        <w:szCs w:val="24"/>
      </w:rPr>
      <w:tab/>
      <w:t xml:space="preserve">- </w:t>
    </w:r>
    <w:r w:rsidR="0084732B" w:rsidRPr="00954D22">
      <w:rPr>
        <w:szCs w:val="24"/>
      </w:rPr>
      <w:fldChar w:fldCharType="begin"/>
    </w:r>
    <w:r w:rsidRPr="00954D22">
      <w:rPr>
        <w:szCs w:val="24"/>
      </w:rPr>
      <w:instrText xml:space="preserve"> PAGE   \* MERGEFORMAT </w:instrText>
    </w:r>
    <w:r w:rsidR="0084732B" w:rsidRPr="00954D22">
      <w:rPr>
        <w:szCs w:val="24"/>
      </w:rPr>
      <w:fldChar w:fldCharType="separate"/>
    </w:r>
    <w:r w:rsidR="007054A6">
      <w:rPr>
        <w:noProof/>
        <w:szCs w:val="24"/>
      </w:rPr>
      <w:t>1380</w:t>
    </w:r>
    <w:r w:rsidR="0084732B"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755F22">
    <w:pPr>
      <w:tabs>
        <w:tab w:val="left" w:pos="-1440"/>
        <w:tab w:val="left" w:pos="-720"/>
      </w:tabs>
    </w:pPr>
    <w:r>
      <w:pict>
        <v:rect id="_x0000_i1042" style="width:480.95pt;height:1pt" o:hralign="center" o:hrstd="t" o:hrnoshade="t" o:hr="t" fillcolor="black [3213]" stroked="f"/>
      </w:pict>
    </w:r>
  </w:p>
  <w:p w:rsidR="000241BE" w:rsidRPr="00954D22" w:rsidRDefault="000241BE" w:rsidP="00B7374B">
    <w:pPr>
      <w:tabs>
        <w:tab w:val="center" w:pos="4680"/>
      </w:tabs>
      <w:rPr>
        <w:szCs w:val="24"/>
      </w:rPr>
    </w:pPr>
    <w:r w:rsidRPr="00954D22">
      <w:rPr>
        <w:szCs w:val="24"/>
      </w:rPr>
      <w:tab/>
      <w:t xml:space="preserve">- </w:t>
    </w:r>
    <w:r w:rsidR="0084732B">
      <w:rPr>
        <w:szCs w:val="24"/>
      </w:rPr>
      <w:fldChar w:fldCharType="begin"/>
    </w:r>
    <w:r>
      <w:rPr>
        <w:szCs w:val="24"/>
      </w:rPr>
      <w:instrText xml:space="preserve"> PAGE   \* MERGEFORMAT </w:instrText>
    </w:r>
    <w:r w:rsidR="0084732B">
      <w:rPr>
        <w:szCs w:val="24"/>
      </w:rPr>
      <w:fldChar w:fldCharType="separate"/>
    </w:r>
    <w:r w:rsidR="007054A6">
      <w:rPr>
        <w:noProof/>
        <w:szCs w:val="24"/>
      </w:rPr>
      <w:t>1378</w:t>
    </w:r>
    <w:r w:rsidR="0084732B">
      <w:rPr>
        <w:szCs w:val="24"/>
      </w:rPr>
      <w:fldChar w:fldCharType="end"/>
    </w:r>
    <w:r w:rsidRPr="00954D22">
      <w:rPr>
        <w:szCs w:val="24"/>
      </w:rPr>
      <w:t xml:space="preserve"> -</w:t>
    </w:r>
  </w:p>
  <w:p w:rsidR="000241BE" w:rsidRDefault="000241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A87207">
    <w:pPr>
      <w:pStyle w:val="Footer"/>
    </w:pPr>
    <w:r>
      <w:pict>
        <v:rect id="_x0000_i1044" style="width:480.95pt;height:1pt" o:hralign="center" o:hrstd="t" o:hrnoshade="t" o:hr="t" fillcolor="black [3213]" stroked="f"/>
      </w:pict>
    </w:r>
  </w:p>
  <w:p w:rsidR="000241BE" w:rsidRPr="00B7374B" w:rsidRDefault="000241BE" w:rsidP="00B7374B">
    <w:pPr>
      <w:tabs>
        <w:tab w:val="center" w:pos="4680"/>
      </w:tabs>
      <w:rPr>
        <w:szCs w:val="24"/>
      </w:rPr>
    </w:pPr>
    <w:r w:rsidRPr="00954D22">
      <w:rPr>
        <w:szCs w:val="24"/>
      </w:rPr>
      <w:tab/>
      <w:t xml:space="preserve">- </w:t>
    </w:r>
    <w:r w:rsidR="0084732B" w:rsidRPr="00954D22">
      <w:rPr>
        <w:szCs w:val="24"/>
      </w:rPr>
      <w:fldChar w:fldCharType="begin"/>
    </w:r>
    <w:r w:rsidRPr="00954D22">
      <w:rPr>
        <w:szCs w:val="24"/>
      </w:rPr>
      <w:instrText xml:space="preserve"> PAGE   \* MERGEFORMAT </w:instrText>
    </w:r>
    <w:r w:rsidR="0084732B" w:rsidRPr="00954D22">
      <w:rPr>
        <w:szCs w:val="24"/>
      </w:rPr>
      <w:fldChar w:fldCharType="separate"/>
    </w:r>
    <w:r>
      <w:rPr>
        <w:noProof/>
        <w:szCs w:val="24"/>
      </w:rPr>
      <w:t>1380</w:t>
    </w:r>
    <w:r w:rsidR="0084732B"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0241BE" w:rsidRPr="00954D22" w:rsidRDefault="000241BE" w:rsidP="00B7374B">
    <w:pPr>
      <w:tabs>
        <w:tab w:val="center" w:pos="4680"/>
      </w:tabs>
      <w:rPr>
        <w:szCs w:val="24"/>
      </w:rPr>
    </w:pPr>
    <w:r w:rsidRPr="00954D22">
      <w:rPr>
        <w:szCs w:val="24"/>
      </w:rPr>
      <w:tab/>
      <w:t xml:space="preserve">- </w:t>
    </w:r>
    <w:r w:rsidR="0084732B" w:rsidRPr="00954D22">
      <w:rPr>
        <w:szCs w:val="24"/>
      </w:rPr>
      <w:fldChar w:fldCharType="begin"/>
    </w:r>
    <w:r w:rsidRPr="00954D22">
      <w:rPr>
        <w:szCs w:val="24"/>
      </w:rPr>
      <w:instrText xml:space="preserve"> PAGE   \* MERGEFORMAT </w:instrText>
    </w:r>
    <w:r w:rsidR="0084732B" w:rsidRPr="00954D22">
      <w:rPr>
        <w:szCs w:val="24"/>
      </w:rPr>
      <w:fldChar w:fldCharType="separate"/>
    </w:r>
    <w:r w:rsidR="007054A6">
      <w:rPr>
        <w:noProof/>
        <w:szCs w:val="24"/>
      </w:rPr>
      <w:t>1381</w:t>
    </w:r>
    <w:r w:rsidR="0084732B"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BE" w:rsidRDefault="000241B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7054A6" w:rsidP="00755F22">
    <w:pPr>
      <w:tabs>
        <w:tab w:val="left" w:pos="-1440"/>
        <w:tab w:val="left" w:pos="-720"/>
      </w:tabs>
    </w:pPr>
    <w:r>
      <w:pict>
        <v:rect id="_x0000_i1051" style="width:480.95pt;height:1pt" o:hralign="center" o:hrstd="t" o:hrnoshade="t" o:hr="t" fillcolor="black [3213]" stroked="f"/>
      </w:pict>
    </w:r>
  </w:p>
  <w:p w:rsidR="000241BE" w:rsidRDefault="000241BE" w:rsidP="00EB2B90">
    <w:pPr>
      <w:tabs>
        <w:tab w:val="center" w:pos="4680"/>
      </w:tabs>
    </w:pPr>
    <w:r>
      <w:tab/>
      <w:t xml:space="preserve">- </w:t>
    </w:r>
    <w:r w:rsidR="007054A6">
      <w:fldChar w:fldCharType="begin"/>
    </w:r>
    <w:r w:rsidR="007054A6">
      <w:instrText xml:space="preserve"> PAGE   \* MERGEFORMAT </w:instrText>
    </w:r>
    <w:r w:rsidR="007054A6">
      <w:fldChar w:fldCharType="separate"/>
    </w:r>
    <w:r w:rsidR="007054A6">
      <w:rPr>
        <w:noProof/>
      </w:rPr>
      <w:t>1387</w:t>
    </w:r>
    <w:r w:rsidR="007054A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BE" w:rsidRDefault="000241BE" w:rsidP="00A87207">
      <w:r>
        <w:separator/>
      </w:r>
    </w:p>
  </w:footnote>
  <w:footnote w:type="continuationSeparator" w:id="0">
    <w:p w:rsidR="000241BE" w:rsidRDefault="000241B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41BE" w:rsidRPr="00B76BB5">
      <w:tc>
        <w:tcPr>
          <w:tcW w:w="420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BE" w:rsidRPr="00B01A03" w:rsidRDefault="000241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241BE" w:rsidRPr="00B01A03"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241BE" w:rsidRPr="00B01A03"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241BE" w:rsidRPr="00B76BB5" w:rsidTr="00245129">
      <w:tc>
        <w:tcPr>
          <w:tcW w:w="4200" w:type="dxa"/>
          <w:tcMar>
            <w:left w:w="0" w:type="dxa"/>
            <w:right w:w="0" w:type="dxa"/>
          </w:tcMar>
        </w:tcPr>
        <w:p w:rsidR="000241BE" w:rsidRPr="00F40249" w:rsidRDefault="000241B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241BE" w:rsidRDefault="000241BE" w:rsidP="00102926">
          <w:pPr>
            <w:keepNext/>
            <w:keepLines/>
            <w:tabs>
              <w:tab w:val="left" w:pos="-1440"/>
              <w:tab w:val="left" w:pos="-720"/>
            </w:tabs>
            <w:jc w:val="center"/>
            <w:rPr>
              <w:sz w:val="20"/>
              <w:szCs w:val="20"/>
            </w:rPr>
          </w:pPr>
        </w:p>
        <w:p w:rsidR="000241BE" w:rsidRDefault="000241BE" w:rsidP="00102926">
          <w:pPr>
            <w:keepNext/>
            <w:keepLines/>
            <w:tabs>
              <w:tab w:val="left" w:pos="-1440"/>
              <w:tab w:val="left" w:pos="-720"/>
            </w:tabs>
            <w:jc w:val="center"/>
            <w:rPr>
              <w:sz w:val="20"/>
              <w:szCs w:val="20"/>
            </w:rPr>
          </w:pPr>
        </w:p>
        <w:p w:rsidR="000241BE" w:rsidRPr="00F40249" w:rsidRDefault="000241BE" w:rsidP="00102926">
          <w:pPr>
            <w:keepNext/>
            <w:keepLines/>
            <w:tabs>
              <w:tab w:val="left" w:pos="-1440"/>
              <w:tab w:val="left" w:pos="-720"/>
            </w:tabs>
            <w:jc w:val="center"/>
            <w:rPr>
              <w:sz w:val="20"/>
              <w:szCs w:val="20"/>
            </w:rPr>
          </w:pPr>
        </w:p>
      </w:tc>
      <w:tc>
        <w:tcPr>
          <w:tcW w:w="4230" w:type="dxa"/>
          <w:tcMar>
            <w:left w:w="0" w:type="dxa"/>
            <w:right w:w="0" w:type="dxa"/>
          </w:tcMar>
        </w:tcPr>
        <w:p w:rsidR="000241BE" w:rsidRPr="00F40249" w:rsidRDefault="000241B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241BE" w:rsidRPr="00B01A03" w:rsidRDefault="000241B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41BE" w:rsidRPr="00B76BB5">
      <w:tc>
        <w:tcPr>
          <w:tcW w:w="420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241BE" w:rsidRPr="003C2C0F" w:rsidRDefault="000241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241BE" w:rsidRPr="003C2C0F"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241BE" w:rsidRPr="003C2C0F"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41BE" w:rsidRPr="00B76BB5" w:rsidTr="00245129">
      <w:tc>
        <w:tcPr>
          <w:tcW w:w="4200" w:type="dxa"/>
          <w:tcMar>
            <w:left w:w="0" w:type="dxa"/>
            <w:right w:w="0" w:type="dxa"/>
          </w:tcMar>
        </w:tcPr>
        <w:p w:rsidR="000241BE" w:rsidRPr="00FF6EEC" w:rsidRDefault="000241BE" w:rsidP="00FF6EEC">
          <w:pPr>
            <w:rPr>
              <w:sz w:val="20"/>
              <w:szCs w:val="20"/>
            </w:rPr>
          </w:pPr>
          <w:r w:rsidRPr="00FF6EEC">
            <w:rPr>
              <w:sz w:val="20"/>
              <w:szCs w:val="20"/>
            </w:rPr>
            <w:t>PRONOUNCEMENTS OF APPEALS RESERVED</w:t>
          </w:r>
        </w:p>
      </w:tc>
      <w:tc>
        <w:tcPr>
          <w:tcW w:w="1200" w:type="dxa"/>
          <w:tcMar>
            <w:left w:w="0" w:type="dxa"/>
            <w:right w:w="0" w:type="dxa"/>
          </w:tcMar>
        </w:tcPr>
        <w:p w:rsidR="000241BE" w:rsidRPr="00FF6EEC" w:rsidRDefault="000241BE" w:rsidP="00FF6EEC">
          <w:pPr>
            <w:jc w:val="center"/>
            <w:rPr>
              <w:sz w:val="20"/>
              <w:szCs w:val="20"/>
            </w:rPr>
          </w:pPr>
        </w:p>
        <w:p w:rsidR="000241BE" w:rsidRPr="00FF6EEC" w:rsidRDefault="000241BE" w:rsidP="00FF6EEC">
          <w:pPr>
            <w:jc w:val="center"/>
            <w:rPr>
              <w:sz w:val="20"/>
              <w:szCs w:val="20"/>
            </w:rPr>
          </w:pPr>
        </w:p>
        <w:p w:rsidR="000241BE" w:rsidRPr="00FF6EEC" w:rsidRDefault="000241BE" w:rsidP="00FF6EEC">
          <w:pPr>
            <w:jc w:val="center"/>
            <w:rPr>
              <w:sz w:val="20"/>
              <w:szCs w:val="20"/>
            </w:rPr>
          </w:pPr>
        </w:p>
      </w:tc>
      <w:tc>
        <w:tcPr>
          <w:tcW w:w="4080" w:type="dxa"/>
          <w:tcMar>
            <w:left w:w="0" w:type="dxa"/>
            <w:right w:w="0" w:type="dxa"/>
          </w:tcMar>
        </w:tcPr>
        <w:p w:rsidR="000241BE" w:rsidRPr="00FF6EEC" w:rsidRDefault="000241BE" w:rsidP="00FF6EEC">
          <w:pPr>
            <w:rPr>
              <w:sz w:val="20"/>
              <w:szCs w:val="20"/>
              <w:lang w:val="fr-CA"/>
            </w:rPr>
          </w:pPr>
          <w:r w:rsidRPr="00FF6EEC">
            <w:rPr>
              <w:sz w:val="20"/>
              <w:szCs w:val="20"/>
              <w:lang w:val="fr-CA"/>
            </w:rPr>
            <w:t>JUGEMENTS RENDUS SUR LES APPELS EN DÉLIBÉRÉ</w:t>
          </w:r>
        </w:p>
      </w:tc>
    </w:tr>
  </w:tbl>
  <w:p w:rsidR="000241BE" w:rsidRPr="003C2C0F" w:rsidRDefault="000241B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41BE">
      <w:tc>
        <w:tcPr>
          <w:tcW w:w="423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241BE" w:rsidRDefault="000241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41BE" w:rsidRPr="00782AE4" w:rsidTr="00245129">
      <w:tc>
        <w:tcPr>
          <w:tcW w:w="4230" w:type="dxa"/>
          <w:tcMar>
            <w:left w:w="0" w:type="dxa"/>
            <w:right w:w="0" w:type="dxa"/>
          </w:tcMar>
        </w:tcPr>
        <w:p w:rsidR="000241BE" w:rsidRPr="00782AE4" w:rsidRDefault="000241BE" w:rsidP="00102926">
          <w:pPr>
            <w:keepNext/>
            <w:keepLines/>
            <w:tabs>
              <w:tab w:val="left" w:pos="-1440"/>
              <w:tab w:val="left" w:pos="-720"/>
            </w:tabs>
            <w:rPr>
              <w:sz w:val="20"/>
              <w:szCs w:val="20"/>
            </w:rPr>
          </w:pPr>
          <w:r w:rsidRPr="00782AE4">
            <w:rPr>
              <w:sz w:val="20"/>
              <w:szCs w:val="20"/>
            </w:rPr>
            <w:t xml:space="preserve">HEADNOTES OF RECENT </w:t>
          </w:r>
        </w:p>
        <w:p w:rsidR="000241BE" w:rsidRPr="00782AE4"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241BE" w:rsidRDefault="000241BE" w:rsidP="00102926">
          <w:pPr>
            <w:keepNext/>
            <w:keepLines/>
            <w:tabs>
              <w:tab w:val="left" w:pos="-1440"/>
              <w:tab w:val="left" w:pos="-720"/>
            </w:tabs>
            <w:jc w:val="center"/>
            <w:rPr>
              <w:sz w:val="20"/>
              <w:szCs w:val="20"/>
            </w:rPr>
          </w:pPr>
        </w:p>
        <w:p w:rsidR="000241BE" w:rsidRDefault="000241BE" w:rsidP="00102926">
          <w:pPr>
            <w:keepNext/>
            <w:keepLines/>
            <w:tabs>
              <w:tab w:val="left" w:pos="-1440"/>
              <w:tab w:val="left" w:pos="-720"/>
            </w:tabs>
            <w:jc w:val="center"/>
            <w:rPr>
              <w:sz w:val="20"/>
              <w:szCs w:val="20"/>
            </w:rPr>
          </w:pPr>
        </w:p>
        <w:p w:rsidR="000241BE" w:rsidRPr="00782AE4" w:rsidRDefault="000241BE" w:rsidP="00102926">
          <w:pPr>
            <w:keepNext/>
            <w:keepLines/>
            <w:tabs>
              <w:tab w:val="left" w:pos="-1440"/>
              <w:tab w:val="left" w:pos="-720"/>
            </w:tabs>
            <w:jc w:val="center"/>
            <w:rPr>
              <w:sz w:val="20"/>
              <w:szCs w:val="20"/>
            </w:rPr>
          </w:pPr>
        </w:p>
      </w:tc>
      <w:tc>
        <w:tcPr>
          <w:tcW w:w="4080" w:type="dxa"/>
          <w:tcMar>
            <w:left w:w="0" w:type="dxa"/>
            <w:right w:w="0" w:type="dxa"/>
          </w:tcMar>
        </w:tcPr>
        <w:p w:rsidR="000241BE" w:rsidRPr="00102926"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241BE" w:rsidRPr="00782AE4" w:rsidRDefault="000241BE" w:rsidP="00102926">
          <w:pPr>
            <w:keepLines/>
            <w:tabs>
              <w:tab w:val="left" w:pos="-1440"/>
              <w:tab w:val="left" w:pos="-720"/>
            </w:tabs>
            <w:rPr>
              <w:sz w:val="20"/>
              <w:szCs w:val="20"/>
            </w:rPr>
          </w:pPr>
          <w:r w:rsidRPr="00102926">
            <w:rPr>
              <w:sz w:val="20"/>
              <w:szCs w:val="20"/>
              <w:lang w:val="fr-CA"/>
            </w:rPr>
            <w:t>RÉCENTS</w:t>
          </w:r>
        </w:p>
      </w:tc>
    </w:tr>
  </w:tbl>
  <w:p w:rsidR="000241BE" w:rsidRDefault="000241B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6" w:rsidRDefault="0042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241BE" w:rsidRPr="0044776A" w:rsidTr="00245129">
      <w:tc>
        <w:tcPr>
          <w:tcW w:w="4290" w:type="dxa"/>
          <w:tcMar>
            <w:left w:w="0" w:type="dxa"/>
            <w:right w:w="0" w:type="dxa"/>
          </w:tcMar>
        </w:tcPr>
        <w:p w:rsidR="000241BE" w:rsidRPr="0044776A" w:rsidRDefault="000241B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241BE" w:rsidRPr="0044776A" w:rsidRDefault="000241BE" w:rsidP="002E2327">
          <w:pPr>
            <w:keepNext/>
            <w:keepLines/>
            <w:tabs>
              <w:tab w:val="left" w:pos="-1440"/>
              <w:tab w:val="left" w:pos="-720"/>
            </w:tabs>
            <w:jc w:val="center"/>
            <w:rPr>
              <w:sz w:val="20"/>
              <w:szCs w:val="20"/>
            </w:rPr>
          </w:pPr>
        </w:p>
        <w:p w:rsidR="000241BE" w:rsidRPr="0044776A" w:rsidRDefault="000241BE" w:rsidP="002E2327">
          <w:pPr>
            <w:keepNext/>
            <w:keepLines/>
            <w:tabs>
              <w:tab w:val="left" w:pos="-1440"/>
              <w:tab w:val="left" w:pos="-720"/>
            </w:tabs>
            <w:jc w:val="center"/>
            <w:rPr>
              <w:sz w:val="20"/>
              <w:szCs w:val="20"/>
            </w:rPr>
          </w:pPr>
        </w:p>
        <w:p w:rsidR="000241BE" w:rsidRPr="0044776A" w:rsidRDefault="000241BE" w:rsidP="002E2327">
          <w:pPr>
            <w:keepNext/>
            <w:keepLines/>
            <w:tabs>
              <w:tab w:val="left" w:pos="-1440"/>
              <w:tab w:val="left" w:pos="-720"/>
            </w:tabs>
            <w:jc w:val="center"/>
            <w:rPr>
              <w:sz w:val="20"/>
              <w:szCs w:val="20"/>
            </w:rPr>
          </w:pPr>
        </w:p>
      </w:tc>
      <w:tc>
        <w:tcPr>
          <w:tcW w:w="4320" w:type="dxa"/>
          <w:tcMar>
            <w:left w:w="0" w:type="dxa"/>
            <w:right w:w="0" w:type="dxa"/>
          </w:tcMar>
        </w:tcPr>
        <w:p w:rsidR="000241BE" w:rsidRPr="0044776A" w:rsidRDefault="000241BE" w:rsidP="002E2327">
          <w:pPr>
            <w:keepLines/>
            <w:rPr>
              <w:sz w:val="20"/>
              <w:szCs w:val="20"/>
              <w:lang w:val="fr-CA"/>
            </w:rPr>
          </w:pPr>
          <w:r w:rsidRPr="0044776A">
            <w:rPr>
              <w:sz w:val="20"/>
              <w:szCs w:val="20"/>
              <w:lang w:val="fr-CA"/>
            </w:rPr>
            <w:t>DEMANDES D'AUTORISATION D'APPEL DÉPOSÉES</w:t>
          </w:r>
        </w:p>
      </w:tc>
    </w:tr>
  </w:tbl>
  <w:p w:rsidR="000241BE" w:rsidRDefault="000241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41BE" w:rsidRPr="00B76BB5" w:rsidTr="00245129">
      <w:tc>
        <w:tcPr>
          <w:tcW w:w="4200" w:type="dxa"/>
          <w:tcMar>
            <w:left w:w="0" w:type="dxa"/>
            <w:right w:w="0" w:type="dxa"/>
          </w:tcMar>
        </w:tcPr>
        <w:p w:rsidR="000241BE" w:rsidRPr="0044776A" w:rsidRDefault="000241BE" w:rsidP="0044776A">
          <w:pPr>
            <w:keepNext/>
            <w:keepLines/>
            <w:widowControl w:val="0"/>
            <w:rPr>
              <w:sz w:val="20"/>
              <w:szCs w:val="20"/>
            </w:rPr>
          </w:pPr>
          <w:r>
            <w:rPr>
              <w:sz w:val="20"/>
              <w:szCs w:val="20"/>
            </w:rPr>
            <w:t>APPLICATIONS FOR LEAVE</w:t>
          </w:r>
        </w:p>
        <w:p w:rsidR="000241BE" w:rsidRPr="0044776A" w:rsidRDefault="000241B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241BE" w:rsidRPr="0044776A" w:rsidRDefault="000241BE" w:rsidP="0044776A">
          <w:pPr>
            <w:keepNext/>
            <w:keepLines/>
            <w:widowControl w:val="0"/>
            <w:jc w:val="center"/>
            <w:rPr>
              <w:sz w:val="20"/>
              <w:szCs w:val="20"/>
            </w:rPr>
          </w:pPr>
        </w:p>
        <w:p w:rsidR="000241BE" w:rsidRPr="0044776A" w:rsidRDefault="000241BE" w:rsidP="0044776A">
          <w:pPr>
            <w:keepNext/>
            <w:keepLines/>
            <w:widowControl w:val="0"/>
            <w:jc w:val="center"/>
            <w:rPr>
              <w:sz w:val="20"/>
              <w:szCs w:val="20"/>
            </w:rPr>
          </w:pPr>
        </w:p>
        <w:p w:rsidR="000241BE" w:rsidRPr="0044776A" w:rsidRDefault="000241BE" w:rsidP="0044776A">
          <w:pPr>
            <w:keepNext/>
            <w:keepLines/>
            <w:widowControl w:val="0"/>
            <w:jc w:val="center"/>
            <w:rPr>
              <w:sz w:val="20"/>
              <w:szCs w:val="20"/>
            </w:rPr>
          </w:pPr>
        </w:p>
      </w:tc>
      <w:tc>
        <w:tcPr>
          <w:tcW w:w="4080" w:type="dxa"/>
          <w:tcMar>
            <w:left w:w="0" w:type="dxa"/>
            <w:right w:w="0" w:type="dxa"/>
          </w:tcMar>
        </w:tcPr>
        <w:p w:rsidR="000241BE" w:rsidRPr="0044776A" w:rsidRDefault="000241BE" w:rsidP="0044776A">
          <w:pPr>
            <w:keepLines/>
            <w:widowControl w:val="0"/>
            <w:rPr>
              <w:sz w:val="20"/>
              <w:szCs w:val="20"/>
              <w:lang w:val="fr-CA"/>
            </w:rPr>
          </w:pPr>
          <w:r w:rsidRPr="0044776A">
            <w:rPr>
              <w:sz w:val="20"/>
              <w:szCs w:val="20"/>
              <w:lang w:val="fr-CA"/>
            </w:rPr>
            <w:t>DEMANDES SOUMISES À LA COUR DEPUIS LA DERNIÈRE PARUTION</w:t>
          </w:r>
        </w:p>
        <w:p w:rsidR="000241BE" w:rsidRPr="0044776A" w:rsidRDefault="000241BE" w:rsidP="0044776A">
          <w:pPr>
            <w:widowControl w:val="0"/>
            <w:rPr>
              <w:sz w:val="20"/>
              <w:szCs w:val="20"/>
              <w:lang w:val="fr-CA"/>
            </w:rPr>
          </w:pPr>
        </w:p>
      </w:tc>
    </w:tr>
  </w:tbl>
  <w:p w:rsidR="000241BE" w:rsidRPr="002E2327" w:rsidRDefault="000241B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E" w:rsidRDefault="000241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41BE">
      <w:tc>
        <w:tcPr>
          <w:tcW w:w="4230" w:type="dxa"/>
          <w:tcMar>
            <w:left w:w="0" w:type="dxa"/>
            <w:right w:w="0" w:type="dxa"/>
          </w:tcMar>
        </w:tcPr>
        <w:p w:rsidR="000241BE" w:rsidRDefault="000241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241BE" w:rsidRDefault="000241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BE" w:rsidRDefault="000241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241BE">
      <w:trPr>
        <w:gridAfter w:val="2"/>
        <w:wAfter w:w="5250" w:type="dxa"/>
      </w:trPr>
      <w:tc>
        <w:tcPr>
          <w:tcW w:w="4230" w:type="dxa"/>
          <w:tcMar>
            <w:left w:w="0" w:type="dxa"/>
            <w:right w:w="0" w:type="dxa"/>
          </w:tcMar>
        </w:tcPr>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41BE" w:rsidRDefault="00024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41BE" w:rsidRPr="00755F22" w:rsidTr="00245129">
      <w:tc>
        <w:tcPr>
          <w:tcW w:w="4230" w:type="dxa"/>
          <w:tcMar>
            <w:left w:w="0" w:type="dxa"/>
            <w:right w:w="0" w:type="dxa"/>
          </w:tcMar>
        </w:tcPr>
        <w:p w:rsidR="000241BE" w:rsidRPr="00755F22" w:rsidRDefault="000241BE" w:rsidP="00831CA9">
          <w:pPr>
            <w:keepNext/>
            <w:keepLines/>
            <w:rPr>
              <w:sz w:val="20"/>
              <w:szCs w:val="20"/>
            </w:rPr>
          </w:pPr>
          <w:r w:rsidRPr="00755F22">
            <w:rPr>
              <w:sz w:val="20"/>
              <w:szCs w:val="20"/>
            </w:rPr>
            <w:t>MOTIONS</w:t>
          </w:r>
        </w:p>
      </w:tc>
      <w:tc>
        <w:tcPr>
          <w:tcW w:w="1170" w:type="dxa"/>
          <w:tcMar>
            <w:left w:w="0" w:type="dxa"/>
            <w:right w:w="0" w:type="dxa"/>
          </w:tcMar>
        </w:tcPr>
        <w:p w:rsidR="000241BE" w:rsidRPr="00755F22" w:rsidRDefault="000241BE" w:rsidP="00831CA9">
          <w:pPr>
            <w:keepLines/>
            <w:jc w:val="center"/>
            <w:rPr>
              <w:sz w:val="20"/>
              <w:szCs w:val="20"/>
            </w:rPr>
          </w:pPr>
        </w:p>
        <w:p w:rsidR="000241BE" w:rsidRPr="00755F22" w:rsidRDefault="000241BE" w:rsidP="00831CA9">
          <w:pPr>
            <w:keepLines/>
            <w:tabs>
              <w:tab w:val="left" w:pos="-1440"/>
              <w:tab w:val="left" w:pos="-720"/>
            </w:tabs>
            <w:jc w:val="center"/>
            <w:rPr>
              <w:sz w:val="20"/>
              <w:szCs w:val="20"/>
            </w:rPr>
          </w:pPr>
        </w:p>
      </w:tc>
      <w:tc>
        <w:tcPr>
          <w:tcW w:w="4080" w:type="dxa"/>
          <w:tcMar>
            <w:left w:w="0" w:type="dxa"/>
            <w:right w:w="0" w:type="dxa"/>
          </w:tcMar>
        </w:tcPr>
        <w:p w:rsidR="000241BE" w:rsidRPr="00BA6468" w:rsidRDefault="000241BE" w:rsidP="00BA6468">
          <w:pPr>
            <w:keepLines/>
            <w:rPr>
              <w:sz w:val="20"/>
              <w:szCs w:val="20"/>
              <w:lang w:val="fr-CA"/>
            </w:rPr>
          </w:pPr>
          <w:r w:rsidRPr="00BA6468">
            <w:rPr>
              <w:sz w:val="20"/>
              <w:szCs w:val="20"/>
              <w:lang w:val="fr-CA"/>
            </w:rPr>
            <w:t>REQUÊTES</w:t>
          </w:r>
        </w:p>
      </w:tc>
    </w:tr>
  </w:tbl>
  <w:p w:rsidR="000241BE" w:rsidRDefault="000241B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8463AB"/>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7597"/>
  </w:hdrShapeDefaults>
  <w:footnotePr>
    <w:footnote w:id="-1"/>
    <w:footnote w:id="0"/>
  </w:footnotePr>
  <w:endnotePr>
    <w:endnote w:id="-1"/>
    <w:endnote w:id="0"/>
  </w:endnotePr>
  <w:compat>
    <w:compatSetting w:name="compatibilityMode" w:uri="http://schemas.microsoft.com/office/word" w:val="12"/>
  </w:compat>
  <w:rsids>
    <w:rsidRoot w:val="00595008"/>
    <w:rsid w:val="000241BE"/>
    <w:rsid w:val="0003223B"/>
    <w:rsid w:val="000327B2"/>
    <w:rsid w:val="0004528B"/>
    <w:rsid w:val="00091FA6"/>
    <w:rsid w:val="00096BD9"/>
    <w:rsid w:val="000B112E"/>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83454"/>
    <w:rsid w:val="0019198E"/>
    <w:rsid w:val="00197827"/>
    <w:rsid w:val="001B157C"/>
    <w:rsid w:val="001B4006"/>
    <w:rsid w:val="001B5C23"/>
    <w:rsid w:val="001D0D5F"/>
    <w:rsid w:val="001D1618"/>
    <w:rsid w:val="001D2989"/>
    <w:rsid w:val="001D6B8C"/>
    <w:rsid w:val="001D7DC9"/>
    <w:rsid w:val="001F1F83"/>
    <w:rsid w:val="001F40DF"/>
    <w:rsid w:val="002021A9"/>
    <w:rsid w:val="002139A7"/>
    <w:rsid w:val="00215F7C"/>
    <w:rsid w:val="0022323B"/>
    <w:rsid w:val="002410B8"/>
    <w:rsid w:val="00242AEE"/>
    <w:rsid w:val="00245129"/>
    <w:rsid w:val="00245879"/>
    <w:rsid w:val="00267FD5"/>
    <w:rsid w:val="00274D34"/>
    <w:rsid w:val="00277A1E"/>
    <w:rsid w:val="00283ED8"/>
    <w:rsid w:val="002868D0"/>
    <w:rsid w:val="00287674"/>
    <w:rsid w:val="002A008C"/>
    <w:rsid w:val="002A27D1"/>
    <w:rsid w:val="002A4AFA"/>
    <w:rsid w:val="002B516C"/>
    <w:rsid w:val="002D1312"/>
    <w:rsid w:val="002D72EB"/>
    <w:rsid w:val="002E2327"/>
    <w:rsid w:val="002E3583"/>
    <w:rsid w:val="002E5576"/>
    <w:rsid w:val="002F4600"/>
    <w:rsid w:val="00312370"/>
    <w:rsid w:val="00331B52"/>
    <w:rsid w:val="003359D3"/>
    <w:rsid w:val="00355967"/>
    <w:rsid w:val="00360551"/>
    <w:rsid w:val="003636C8"/>
    <w:rsid w:val="00382C47"/>
    <w:rsid w:val="00384384"/>
    <w:rsid w:val="003866AE"/>
    <w:rsid w:val="003B3977"/>
    <w:rsid w:val="003E1D4C"/>
    <w:rsid w:val="003F5DBB"/>
    <w:rsid w:val="00401381"/>
    <w:rsid w:val="004137A0"/>
    <w:rsid w:val="00422D9A"/>
    <w:rsid w:val="00426646"/>
    <w:rsid w:val="00432989"/>
    <w:rsid w:val="00440A88"/>
    <w:rsid w:val="00440E24"/>
    <w:rsid w:val="0044776A"/>
    <w:rsid w:val="00460AFC"/>
    <w:rsid w:val="00465D46"/>
    <w:rsid w:val="0047471F"/>
    <w:rsid w:val="004B195E"/>
    <w:rsid w:val="004B66B4"/>
    <w:rsid w:val="004B7F60"/>
    <w:rsid w:val="004C1AAC"/>
    <w:rsid w:val="004E1E0A"/>
    <w:rsid w:val="004F090E"/>
    <w:rsid w:val="00501F3C"/>
    <w:rsid w:val="0052229C"/>
    <w:rsid w:val="00527CC7"/>
    <w:rsid w:val="00550991"/>
    <w:rsid w:val="00571CA4"/>
    <w:rsid w:val="00573413"/>
    <w:rsid w:val="00582136"/>
    <w:rsid w:val="00595008"/>
    <w:rsid w:val="005A6597"/>
    <w:rsid w:val="005C6840"/>
    <w:rsid w:val="005F1ED8"/>
    <w:rsid w:val="005F263E"/>
    <w:rsid w:val="00600252"/>
    <w:rsid w:val="00612A40"/>
    <w:rsid w:val="0062714A"/>
    <w:rsid w:val="00635CA4"/>
    <w:rsid w:val="00637470"/>
    <w:rsid w:val="0065097A"/>
    <w:rsid w:val="00675479"/>
    <w:rsid w:val="00680709"/>
    <w:rsid w:val="00696BF9"/>
    <w:rsid w:val="00697C62"/>
    <w:rsid w:val="006A329B"/>
    <w:rsid w:val="006A7EB8"/>
    <w:rsid w:val="006B6926"/>
    <w:rsid w:val="006C3F47"/>
    <w:rsid w:val="006C5F7A"/>
    <w:rsid w:val="006E06AF"/>
    <w:rsid w:val="006F350F"/>
    <w:rsid w:val="007054A6"/>
    <w:rsid w:val="00732DB7"/>
    <w:rsid w:val="0074238B"/>
    <w:rsid w:val="00745EF7"/>
    <w:rsid w:val="00755F22"/>
    <w:rsid w:val="00766E4A"/>
    <w:rsid w:val="007820CE"/>
    <w:rsid w:val="00782AE4"/>
    <w:rsid w:val="0079724F"/>
    <w:rsid w:val="007A3EAE"/>
    <w:rsid w:val="007C04FC"/>
    <w:rsid w:val="007C47C2"/>
    <w:rsid w:val="007D3E0F"/>
    <w:rsid w:val="007E4282"/>
    <w:rsid w:val="007F387B"/>
    <w:rsid w:val="00802863"/>
    <w:rsid w:val="008112A9"/>
    <w:rsid w:val="00815B3C"/>
    <w:rsid w:val="0081610A"/>
    <w:rsid w:val="0082783A"/>
    <w:rsid w:val="00831CA9"/>
    <w:rsid w:val="00842C6A"/>
    <w:rsid w:val="0084732B"/>
    <w:rsid w:val="00850E1F"/>
    <w:rsid w:val="0085476B"/>
    <w:rsid w:val="008573AD"/>
    <w:rsid w:val="0086340B"/>
    <w:rsid w:val="00870B39"/>
    <w:rsid w:val="00890FEB"/>
    <w:rsid w:val="00895E7E"/>
    <w:rsid w:val="00897D0B"/>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D1F15"/>
    <w:rsid w:val="009D555E"/>
    <w:rsid w:val="009F3024"/>
    <w:rsid w:val="00A0355E"/>
    <w:rsid w:val="00A0464E"/>
    <w:rsid w:val="00A055EE"/>
    <w:rsid w:val="00A375D1"/>
    <w:rsid w:val="00A51D10"/>
    <w:rsid w:val="00A52A83"/>
    <w:rsid w:val="00A6552C"/>
    <w:rsid w:val="00A87207"/>
    <w:rsid w:val="00A935AA"/>
    <w:rsid w:val="00A956D3"/>
    <w:rsid w:val="00AB2201"/>
    <w:rsid w:val="00AD1D34"/>
    <w:rsid w:val="00AD3259"/>
    <w:rsid w:val="00AF1715"/>
    <w:rsid w:val="00AF3904"/>
    <w:rsid w:val="00B010C0"/>
    <w:rsid w:val="00B300C8"/>
    <w:rsid w:val="00B43553"/>
    <w:rsid w:val="00B45DC0"/>
    <w:rsid w:val="00B4740D"/>
    <w:rsid w:val="00B61629"/>
    <w:rsid w:val="00B7374B"/>
    <w:rsid w:val="00B76BB5"/>
    <w:rsid w:val="00B8724A"/>
    <w:rsid w:val="00B90DC0"/>
    <w:rsid w:val="00BA116A"/>
    <w:rsid w:val="00BA5582"/>
    <w:rsid w:val="00BA6468"/>
    <w:rsid w:val="00BB1D44"/>
    <w:rsid w:val="00BC6B6E"/>
    <w:rsid w:val="00BD06DA"/>
    <w:rsid w:val="00BD4217"/>
    <w:rsid w:val="00BF25F3"/>
    <w:rsid w:val="00C1697B"/>
    <w:rsid w:val="00C21644"/>
    <w:rsid w:val="00C21CB5"/>
    <w:rsid w:val="00C46376"/>
    <w:rsid w:val="00C50A5C"/>
    <w:rsid w:val="00C50FDF"/>
    <w:rsid w:val="00C566A3"/>
    <w:rsid w:val="00C63381"/>
    <w:rsid w:val="00C73D06"/>
    <w:rsid w:val="00C73E1B"/>
    <w:rsid w:val="00C759B4"/>
    <w:rsid w:val="00C77713"/>
    <w:rsid w:val="00C85BB7"/>
    <w:rsid w:val="00CA2DEA"/>
    <w:rsid w:val="00CB3520"/>
    <w:rsid w:val="00CB43D5"/>
    <w:rsid w:val="00CC4D84"/>
    <w:rsid w:val="00CE198A"/>
    <w:rsid w:val="00CE231C"/>
    <w:rsid w:val="00CF08C8"/>
    <w:rsid w:val="00D004FC"/>
    <w:rsid w:val="00D172F0"/>
    <w:rsid w:val="00D26113"/>
    <w:rsid w:val="00D43E69"/>
    <w:rsid w:val="00D64901"/>
    <w:rsid w:val="00D64DF5"/>
    <w:rsid w:val="00D76BDF"/>
    <w:rsid w:val="00D862C1"/>
    <w:rsid w:val="00D93B50"/>
    <w:rsid w:val="00D94028"/>
    <w:rsid w:val="00D94670"/>
    <w:rsid w:val="00DA1009"/>
    <w:rsid w:val="00DA46F6"/>
    <w:rsid w:val="00DD0B49"/>
    <w:rsid w:val="00DE0502"/>
    <w:rsid w:val="00DE349D"/>
    <w:rsid w:val="00E06DFA"/>
    <w:rsid w:val="00E12173"/>
    <w:rsid w:val="00E13170"/>
    <w:rsid w:val="00E1432E"/>
    <w:rsid w:val="00E20A0A"/>
    <w:rsid w:val="00E240C2"/>
    <w:rsid w:val="00E356C7"/>
    <w:rsid w:val="00E41A5A"/>
    <w:rsid w:val="00E45FE4"/>
    <w:rsid w:val="00E605EE"/>
    <w:rsid w:val="00E62B53"/>
    <w:rsid w:val="00E64FA7"/>
    <w:rsid w:val="00E770CB"/>
    <w:rsid w:val="00E903A1"/>
    <w:rsid w:val="00E940EB"/>
    <w:rsid w:val="00E9703F"/>
    <w:rsid w:val="00EB2B90"/>
    <w:rsid w:val="00ED7E83"/>
    <w:rsid w:val="00EE091F"/>
    <w:rsid w:val="00EF4B63"/>
    <w:rsid w:val="00F0068D"/>
    <w:rsid w:val="00F0576D"/>
    <w:rsid w:val="00F14DA8"/>
    <w:rsid w:val="00F14E6D"/>
    <w:rsid w:val="00F15EA8"/>
    <w:rsid w:val="00F16C8D"/>
    <w:rsid w:val="00F24EC6"/>
    <w:rsid w:val="00F26C61"/>
    <w:rsid w:val="00F32AE4"/>
    <w:rsid w:val="00F33CCE"/>
    <w:rsid w:val="00F40249"/>
    <w:rsid w:val="00F526C8"/>
    <w:rsid w:val="00F761A3"/>
    <w:rsid w:val="00F76B08"/>
    <w:rsid w:val="00F9272D"/>
    <w:rsid w:val="00F932EA"/>
    <w:rsid w:val="00F9518C"/>
    <w:rsid w:val="00FA316E"/>
    <w:rsid w:val="00FA59EF"/>
    <w:rsid w:val="00FB19A2"/>
    <w:rsid w:val="00FB44C0"/>
    <w:rsid w:val="00FF099B"/>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566A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SubfileSeparator">
    <w:name w:val="SCC.Lsoc.SubfileSeparator"/>
    <w:basedOn w:val="Normal"/>
    <w:next w:val="Normal"/>
    <w:link w:val="SCCLsocSubfileSeparatorChar"/>
    <w:rsid w:val="000B112E"/>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0B112E"/>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D26113"/>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D26113"/>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yperlink" Target="http://www.scc-csc.ca/case-dossier/info/sum-som-fra.aspx?cas=35132" TargetMode="External"/><Relationship Id="rId48" Type="http://schemas.openxmlformats.org/officeDocument/2006/relationships/header" Target="header19.xml"/><Relationship Id="rId8" Type="http://schemas.openxmlformats.org/officeDocument/2006/relationships/image" Target="media/image1.wmf"/><Relationship Id="rId51"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6175D-D578-458F-82F4-2997286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6549</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2014-09-09T12:22:00Z</dcterms:created>
  <dcterms:modified xsi:type="dcterms:W3CDTF">2015-11-30T15:06:00Z</dcterms:modified>
</cp:coreProperties>
</file>