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1514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1514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1514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1514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15143" w:rsidTr="002E5576">
        <w:tc>
          <w:tcPr>
            <w:tcW w:w="4518" w:type="dxa"/>
          </w:tcPr>
          <w:p w:rsidR="00BF25F3" w:rsidRPr="002E2327" w:rsidRDefault="000944F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944F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1514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1514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21514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21514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11B83"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26</w:t>
      </w:r>
      <w:r w:rsidR="00440E24" w:rsidRPr="00675479">
        <w:rPr>
          <w:lang w:val="fr-CA"/>
        </w:rPr>
        <w:t>, 201</w:t>
      </w:r>
      <w:r w:rsidR="00501F3C">
        <w:rPr>
          <w:lang w:val="fr-CA"/>
        </w:rPr>
        <w:t>4</w:t>
      </w:r>
      <w:r w:rsidR="00F0068D" w:rsidRPr="00675479">
        <w:rPr>
          <w:lang w:val="fr-CA"/>
        </w:rPr>
        <w:tab/>
        <w:t>1</w:t>
      </w:r>
      <w:r>
        <w:rPr>
          <w:lang w:val="fr-CA"/>
        </w:rPr>
        <w:t>424</w:t>
      </w:r>
      <w:r w:rsidR="00F0068D" w:rsidRPr="00675479">
        <w:rPr>
          <w:lang w:val="fr-CA"/>
        </w:rPr>
        <w:t xml:space="preserve"> - </w:t>
      </w:r>
      <w:r w:rsidR="00B321A3">
        <w:rPr>
          <w:lang w:val="fr-CA"/>
        </w:rPr>
        <w:t>1493</w:t>
      </w:r>
      <w:r w:rsidR="00440E24" w:rsidRPr="00675479">
        <w:rPr>
          <w:lang w:val="fr-CA"/>
        </w:rPr>
        <w:tab/>
      </w:r>
      <w:r w:rsidR="00440E24" w:rsidRPr="002E2327">
        <w:rPr>
          <w:lang w:val="fr-CA"/>
        </w:rPr>
        <w:t>Le</w:t>
      </w:r>
      <w:r w:rsidR="00C73D06">
        <w:rPr>
          <w:lang w:val="fr-CA"/>
        </w:rPr>
        <w:t xml:space="preserve"> </w:t>
      </w:r>
      <w:r>
        <w:rPr>
          <w:lang w:val="fr-CA"/>
        </w:rPr>
        <w:t>26 septembre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185ADA">
            <w:pPr>
              <w:tabs>
                <w:tab w:val="right" w:pos="9360"/>
              </w:tabs>
              <w:rPr>
                <w:rFonts w:cs="Times New Roman"/>
                <w:sz w:val="20"/>
                <w:szCs w:val="20"/>
              </w:rPr>
            </w:pPr>
          </w:p>
        </w:tc>
        <w:tc>
          <w:tcPr>
            <w:tcW w:w="1980" w:type="dxa"/>
          </w:tcPr>
          <w:p w:rsidR="0095096B" w:rsidRPr="002E2327" w:rsidRDefault="00D0331C" w:rsidP="0095096B">
            <w:pPr>
              <w:jc w:val="center"/>
              <w:rPr>
                <w:rFonts w:cs="Times New Roman"/>
                <w:sz w:val="20"/>
                <w:szCs w:val="20"/>
              </w:rPr>
            </w:pPr>
            <w:r>
              <w:rPr>
                <w:rFonts w:cs="Times New Roman"/>
                <w:sz w:val="20"/>
                <w:szCs w:val="20"/>
              </w:rPr>
              <w:t xml:space="preserve">1424 </w:t>
            </w:r>
            <w:r w:rsidR="000944FD" w:rsidRPr="002E2327">
              <w:rPr>
                <w:rFonts w:cs="Times New Roman"/>
                <w:sz w:val="20"/>
                <w:szCs w:val="20"/>
              </w:rPr>
              <w:fldChar w:fldCharType="begin"/>
            </w:r>
            <w:r w:rsidR="0095096B" w:rsidRPr="002E2327">
              <w:rPr>
                <w:rFonts w:cs="Times New Roman"/>
                <w:sz w:val="20"/>
                <w:szCs w:val="20"/>
              </w:rPr>
              <w:instrText xml:space="preserve"> SEQ CHAPTER \h \r 1</w:instrText>
            </w:r>
            <w:r w:rsidR="000944FD" w:rsidRPr="002E2327">
              <w:rPr>
                <w:rFonts w:cs="Times New Roman"/>
                <w:sz w:val="20"/>
                <w:szCs w:val="20"/>
              </w:rPr>
              <w:fldChar w:fldCharType="end"/>
            </w:r>
            <w:r w:rsidR="0095096B" w:rsidRPr="002E2327">
              <w:rPr>
                <w:rFonts w:cs="Times New Roman"/>
                <w:sz w:val="20"/>
                <w:szCs w:val="20"/>
              </w:rPr>
              <w:t>-</w:t>
            </w:r>
            <w:r w:rsidR="00657920">
              <w:rPr>
                <w:rFonts w:cs="Times New Roman"/>
                <w:sz w:val="20"/>
                <w:szCs w:val="20"/>
              </w:rPr>
              <w:t xml:space="preserve"> 1425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7920" w:rsidP="0095096B">
            <w:pPr>
              <w:jc w:val="center"/>
              <w:rPr>
                <w:rFonts w:cs="Times New Roman"/>
                <w:sz w:val="20"/>
                <w:szCs w:val="20"/>
              </w:rPr>
            </w:pPr>
            <w:r>
              <w:rPr>
                <w:rFonts w:cs="Times New Roman"/>
                <w:sz w:val="20"/>
                <w:szCs w:val="20"/>
              </w:rPr>
              <w:t>1426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78BE" w:rsidP="0095096B">
            <w:pPr>
              <w:jc w:val="center"/>
              <w:rPr>
                <w:rFonts w:cs="Times New Roman"/>
                <w:sz w:val="20"/>
                <w:szCs w:val="20"/>
              </w:rPr>
            </w:pPr>
            <w:r>
              <w:rPr>
                <w:rFonts w:cs="Times New Roman"/>
                <w:sz w:val="20"/>
                <w:szCs w:val="20"/>
              </w:rPr>
              <w:t xml:space="preserve">1427 </w:t>
            </w:r>
            <w:r w:rsidR="0095096B" w:rsidRPr="002E2327">
              <w:rPr>
                <w:rFonts w:cs="Times New Roman"/>
                <w:sz w:val="20"/>
                <w:szCs w:val="20"/>
              </w:rPr>
              <w:t>-</w:t>
            </w:r>
            <w:r w:rsidR="00761BF4">
              <w:rPr>
                <w:rFonts w:cs="Times New Roman"/>
                <w:sz w:val="20"/>
                <w:szCs w:val="20"/>
              </w:rPr>
              <w:t xml:space="preserve"> 1461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61BF4" w:rsidP="0095096B">
            <w:pPr>
              <w:jc w:val="center"/>
              <w:rPr>
                <w:rFonts w:cs="Times New Roman"/>
                <w:sz w:val="20"/>
                <w:szCs w:val="20"/>
              </w:rPr>
            </w:pPr>
            <w:r>
              <w:rPr>
                <w:rFonts w:cs="Times New Roman"/>
                <w:sz w:val="20"/>
                <w:szCs w:val="20"/>
              </w:rPr>
              <w:t>1462</w:t>
            </w:r>
          </w:p>
          <w:p w:rsidR="0095096B" w:rsidRPr="002E2327" w:rsidRDefault="0095096B" w:rsidP="0095096B">
            <w:pPr>
              <w:jc w:val="center"/>
              <w:rPr>
                <w:rFonts w:cs="Times New Roman"/>
                <w:sz w:val="20"/>
                <w:szCs w:val="20"/>
              </w:rPr>
            </w:pPr>
          </w:p>
          <w:p w:rsidR="0095096B" w:rsidRPr="002E2327" w:rsidRDefault="00761BF4" w:rsidP="0095096B">
            <w:pPr>
              <w:jc w:val="center"/>
              <w:rPr>
                <w:rFonts w:cs="Times New Roman"/>
                <w:sz w:val="20"/>
                <w:szCs w:val="20"/>
              </w:rPr>
            </w:pPr>
            <w:r>
              <w:rPr>
                <w:rFonts w:cs="Times New Roman"/>
                <w:sz w:val="20"/>
                <w:szCs w:val="20"/>
              </w:rPr>
              <w:t>1463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61BF4" w:rsidP="0095096B">
            <w:pPr>
              <w:jc w:val="center"/>
              <w:rPr>
                <w:rFonts w:cs="Times New Roman"/>
                <w:sz w:val="20"/>
                <w:szCs w:val="20"/>
              </w:rPr>
            </w:pPr>
            <w:r>
              <w:rPr>
                <w:rFonts w:cs="Times New Roman"/>
                <w:sz w:val="20"/>
                <w:szCs w:val="20"/>
              </w:rPr>
              <w:t>1464</w:t>
            </w:r>
          </w:p>
          <w:p w:rsidR="0095096B" w:rsidRDefault="0095096B" w:rsidP="0095096B">
            <w:pPr>
              <w:jc w:val="center"/>
              <w:rPr>
                <w:rFonts w:cs="Times New Roman"/>
                <w:sz w:val="20"/>
                <w:szCs w:val="20"/>
              </w:rPr>
            </w:pPr>
          </w:p>
          <w:p w:rsidR="00B321A3" w:rsidRPr="002E2327" w:rsidRDefault="00B321A3" w:rsidP="0095096B">
            <w:pPr>
              <w:jc w:val="center"/>
              <w:rPr>
                <w:rFonts w:cs="Times New Roman"/>
                <w:sz w:val="20"/>
                <w:szCs w:val="20"/>
              </w:rPr>
            </w:pPr>
          </w:p>
          <w:p w:rsidR="0095096B" w:rsidRPr="002E2327" w:rsidRDefault="00B321A3" w:rsidP="0095096B">
            <w:pPr>
              <w:jc w:val="center"/>
              <w:rPr>
                <w:rFonts w:cs="Times New Roman"/>
                <w:sz w:val="20"/>
                <w:szCs w:val="20"/>
              </w:rPr>
            </w:pPr>
            <w:r>
              <w:rPr>
                <w:rFonts w:cs="Times New Roman"/>
                <w:sz w:val="20"/>
                <w:szCs w:val="20"/>
              </w:rPr>
              <w:t xml:space="preserve">1465 </w:t>
            </w:r>
            <w:r w:rsidR="0095096B" w:rsidRPr="002E2327">
              <w:rPr>
                <w:rFonts w:cs="Times New Roman"/>
                <w:sz w:val="20"/>
                <w:szCs w:val="20"/>
              </w:rPr>
              <w:t>-</w:t>
            </w:r>
            <w:r>
              <w:rPr>
                <w:rFonts w:cs="Times New Roman"/>
                <w:sz w:val="20"/>
                <w:szCs w:val="20"/>
              </w:rPr>
              <w:t xml:space="preserve"> 1469</w:t>
            </w:r>
          </w:p>
          <w:p w:rsidR="0095096B" w:rsidRPr="002E2327" w:rsidRDefault="0095096B" w:rsidP="0095096B">
            <w:pPr>
              <w:jc w:val="center"/>
              <w:rPr>
                <w:rFonts w:cs="Times New Roman"/>
                <w:sz w:val="20"/>
                <w:szCs w:val="20"/>
              </w:rPr>
            </w:pPr>
          </w:p>
          <w:p w:rsidR="0095096B" w:rsidRPr="002E2327" w:rsidRDefault="00B321A3" w:rsidP="0095096B">
            <w:pPr>
              <w:jc w:val="center"/>
              <w:rPr>
                <w:rFonts w:cs="Times New Roman"/>
                <w:sz w:val="20"/>
                <w:szCs w:val="20"/>
              </w:rPr>
            </w:pPr>
            <w:r>
              <w:rPr>
                <w:rFonts w:cs="Times New Roman"/>
                <w:sz w:val="20"/>
                <w:szCs w:val="20"/>
              </w:rPr>
              <w:t xml:space="preserve">1470 </w:t>
            </w:r>
            <w:r w:rsidR="0095096B" w:rsidRPr="002E2327">
              <w:rPr>
                <w:rFonts w:cs="Times New Roman"/>
                <w:sz w:val="20"/>
                <w:szCs w:val="20"/>
              </w:rPr>
              <w:t>-</w:t>
            </w:r>
            <w:r>
              <w:rPr>
                <w:rFonts w:cs="Times New Roman"/>
                <w:sz w:val="20"/>
                <w:szCs w:val="20"/>
              </w:rPr>
              <w:t xml:space="preserve"> 1471</w:t>
            </w:r>
          </w:p>
          <w:p w:rsidR="0095096B" w:rsidRPr="002E2327" w:rsidRDefault="0095096B" w:rsidP="0095096B">
            <w:pPr>
              <w:jc w:val="center"/>
              <w:rPr>
                <w:rFonts w:cs="Times New Roman"/>
                <w:sz w:val="20"/>
                <w:szCs w:val="20"/>
              </w:rPr>
            </w:pPr>
          </w:p>
          <w:p w:rsidR="0095096B" w:rsidRPr="002E2327" w:rsidRDefault="00B321A3" w:rsidP="0095096B">
            <w:pPr>
              <w:jc w:val="center"/>
              <w:rPr>
                <w:rFonts w:cs="Times New Roman"/>
                <w:sz w:val="20"/>
                <w:szCs w:val="20"/>
              </w:rPr>
            </w:pPr>
            <w:r>
              <w:rPr>
                <w:rFonts w:cs="Times New Roman"/>
                <w:sz w:val="20"/>
                <w:szCs w:val="20"/>
              </w:rPr>
              <w:t xml:space="preserve">1472 </w:t>
            </w:r>
            <w:r w:rsidR="0095096B" w:rsidRPr="002E2327">
              <w:rPr>
                <w:rFonts w:cs="Times New Roman"/>
                <w:sz w:val="20"/>
                <w:szCs w:val="20"/>
              </w:rPr>
              <w:t>-</w:t>
            </w:r>
            <w:r>
              <w:rPr>
                <w:rFonts w:cs="Times New Roman"/>
                <w:sz w:val="20"/>
                <w:szCs w:val="20"/>
              </w:rPr>
              <w:t xml:space="preserve"> 1493</w:t>
            </w:r>
          </w:p>
          <w:p w:rsidR="00A87207" w:rsidRPr="002E2327" w:rsidRDefault="00A87207" w:rsidP="00EF78BE">
            <w:pPr>
              <w:jc w:val="center"/>
              <w:rPr>
                <w:rFonts w:cs="Times New Roman"/>
                <w:sz w:val="20"/>
                <w:szCs w:val="20"/>
              </w:rPr>
            </w:pPr>
          </w:p>
        </w:tc>
        <w:tc>
          <w:tcPr>
            <w:tcW w:w="3888" w:type="dxa"/>
          </w:tcPr>
          <w:p w:rsidR="0095096B" w:rsidRPr="002E2327" w:rsidRDefault="000944F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185ADA">
            <w:pPr>
              <w:tabs>
                <w:tab w:val="right" w:pos="9360"/>
              </w:tabs>
              <w:rPr>
                <w:rFonts w:cs="Times New Roman"/>
                <w:sz w:val="20"/>
                <w:szCs w:val="20"/>
                <w:lang w:val="fr-CA"/>
              </w:rPr>
            </w:pPr>
          </w:p>
        </w:tc>
      </w:tr>
    </w:tbl>
    <w:p w:rsidR="0095096B" w:rsidRDefault="0095096B" w:rsidP="0095096B">
      <w:pPr>
        <w:tabs>
          <w:tab w:val="right" w:pos="9360"/>
        </w:tabs>
      </w:pPr>
    </w:p>
    <w:p w:rsidR="00185ADA" w:rsidRDefault="00185ADA" w:rsidP="0095096B">
      <w:pPr>
        <w:tabs>
          <w:tab w:val="right" w:pos="9360"/>
        </w:tabs>
      </w:pPr>
    </w:p>
    <w:p w:rsidR="00B321A3" w:rsidRDefault="00B321A3" w:rsidP="0095096B">
      <w:pPr>
        <w:tabs>
          <w:tab w:val="right" w:pos="9360"/>
        </w:tabs>
      </w:pPr>
    </w:p>
    <w:p w:rsidR="00185ADA" w:rsidRDefault="00185ADA" w:rsidP="0095096B">
      <w:pPr>
        <w:tabs>
          <w:tab w:val="right" w:pos="9360"/>
        </w:tabs>
      </w:pPr>
    </w:p>
    <w:p w:rsidR="00185ADA" w:rsidRPr="002E2327" w:rsidRDefault="00185ADA" w:rsidP="0095096B">
      <w:pPr>
        <w:tabs>
          <w:tab w:val="right" w:pos="9360"/>
        </w:tabs>
      </w:pPr>
    </w:p>
    <w:tbl>
      <w:tblPr>
        <w:tblStyle w:val="TableGrid"/>
        <w:tblW w:w="0" w:type="auto"/>
        <w:tblLook w:val="04A0" w:firstRow="1" w:lastRow="0" w:firstColumn="1" w:lastColumn="0" w:noHBand="0" w:noVBand="1"/>
      </w:tblPr>
      <w:tblGrid>
        <w:gridCol w:w="9576"/>
      </w:tblGrid>
      <w:tr w:rsidR="0079724F" w:rsidRPr="0021514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47C73" w:rsidRPr="00C21644" w:rsidTr="003B3977">
        <w:tc>
          <w:tcPr>
            <w:tcW w:w="4320" w:type="dxa"/>
            <w:shd w:val="clear" w:color="auto" w:fill="auto"/>
          </w:tcPr>
          <w:p w:rsidR="00347C73" w:rsidRPr="00A935AA" w:rsidRDefault="00347C73" w:rsidP="005F1ED8">
            <w:pPr>
              <w:rPr>
                <w:b/>
                <w:sz w:val="20"/>
                <w:szCs w:val="20"/>
              </w:rPr>
            </w:pPr>
            <w:r>
              <w:rPr>
                <w:b/>
                <w:sz w:val="20"/>
                <w:szCs w:val="20"/>
              </w:rPr>
              <w:t>Nisichawayasihk Cree Nation Family and Community Wellness Centre Inc.</w:t>
            </w:r>
          </w:p>
          <w:p w:rsidR="00347C73" w:rsidRPr="00800D8C" w:rsidRDefault="00347C73" w:rsidP="005F1ED8">
            <w:pPr>
              <w:tabs>
                <w:tab w:val="left" w:pos="-1440"/>
                <w:tab w:val="left" w:pos="-720"/>
              </w:tabs>
              <w:rPr>
                <w:sz w:val="20"/>
                <w:szCs w:val="20"/>
              </w:rPr>
            </w:pPr>
            <w:r w:rsidRPr="00A935AA">
              <w:rPr>
                <w:sz w:val="20"/>
                <w:szCs w:val="20"/>
              </w:rPr>
              <w:tab/>
            </w:r>
            <w:r w:rsidRPr="00800D8C">
              <w:rPr>
                <w:sz w:val="20"/>
                <w:szCs w:val="20"/>
              </w:rPr>
              <w:t xml:space="preserve">Lore M. Mirwaldt, Q.C. </w:t>
            </w:r>
          </w:p>
          <w:p w:rsidR="00347C73" w:rsidRPr="00347C73" w:rsidRDefault="00347C73" w:rsidP="005F1ED8">
            <w:pPr>
              <w:tabs>
                <w:tab w:val="left" w:pos="-1440"/>
                <w:tab w:val="left" w:pos="-720"/>
              </w:tabs>
              <w:rPr>
                <w:sz w:val="20"/>
                <w:szCs w:val="20"/>
              </w:rPr>
            </w:pPr>
            <w:r w:rsidRPr="00800D8C">
              <w:rPr>
                <w:sz w:val="20"/>
                <w:szCs w:val="20"/>
              </w:rPr>
              <w:tab/>
            </w:r>
            <w:r w:rsidRPr="00347C73">
              <w:rPr>
                <w:sz w:val="20"/>
                <w:szCs w:val="20"/>
              </w:rPr>
              <w:t>Mirwaldt &amp; Gray</w:t>
            </w:r>
          </w:p>
          <w:p w:rsidR="00347C73" w:rsidRPr="00347C73" w:rsidRDefault="00347C73" w:rsidP="005F1ED8">
            <w:pPr>
              <w:tabs>
                <w:tab w:val="left" w:pos="-1440"/>
                <w:tab w:val="left" w:pos="-720"/>
              </w:tabs>
              <w:rPr>
                <w:sz w:val="20"/>
                <w:szCs w:val="20"/>
              </w:rPr>
            </w:pPr>
          </w:p>
          <w:p w:rsidR="00347C73" w:rsidRPr="00347C73" w:rsidRDefault="00347C73" w:rsidP="005F1ED8">
            <w:pPr>
              <w:tabs>
                <w:tab w:val="left" w:pos="-1440"/>
                <w:tab w:val="left" w:pos="-720"/>
              </w:tabs>
              <w:rPr>
                <w:sz w:val="20"/>
                <w:szCs w:val="20"/>
              </w:rPr>
            </w:pPr>
            <w:r w:rsidRPr="00347C73">
              <w:rPr>
                <w:sz w:val="20"/>
                <w:szCs w:val="20"/>
              </w:rPr>
              <w:tab/>
              <w:t>v. (35989)</w:t>
            </w:r>
          </w:p>
          <w:p w:rsidR="00347C73" w:rsidRPr="00347C73" w:rsidRDefault="00347C73" w:rsidP="005F1ED8">
            <w:pPr>
              <w:tabs>
                <w:tab w:val="left" w:pos="-1440"/>
                <w:tab w:val="left" w:pos="-720"/>
              </w:tabs>
              <w:rPr>
                <w:sz w:val="20"/>
                <w:szCs w:val="20"/>
              </w:rPr>
            </w:pPr>
          </w:p>
          <w:p w:rsidR="00347C73" w:rsidRPr="00347C73" w:rsidRDefault="00347C73" w:rsidP="005F1ED8">
            <w:pPr>
              <w:tabs>
                <w:tab w:val="left" w:pos="-1440"/>
                <w:tab w:val="left" w:pos="-720"/>
              </w:tabs>
              <w:rPr>
                <w:b/>
                <w:sz w:val="20"/>
                <w:szCs w:val="20"/>
              </w:rPr>
            </w:pPr>
            <w:r w:rsidRPr="00347C73">
              <w:rPr>
                <w:b/>
                <w:sz w:val="20"/>
                <w:szCs w:val="20"/>
              </w:rPr>
              <w:t>First Nations of Northern Manitoba Child and Family Services Author</w:t>
            </w:r>
            <w:r>
              <w:rPr>
                <w:b/>
                <w:sz w:val="20"/>
                <w:szCs w:val="20"/>
              </w:rPr>
              <w:t>ity</w:t>
            </w:r>
            <w:r w:rsidRPr="00347C73">
              <w:rPr>
                <w:sz w:val="20"/>
                <w:szCs w:val="20"/>
              </w:rPr>
              <w:t xml:space="preserve"> </w:t>
            </w:r>
            <w:r w:rsidRPr="00347C73">
              <w:rPr>
                <w:b/>
                <w:sz w:val="20"/>
                <w:szCs w:val="20"/>
              </w:rPr>
              <w:t>(Man.)</w:t>
            </w:r>
          </w:p>
          <w:p w:rsidR="00347C73" w:rsidRPr="00347C73" w:rsidRDefault="00347C73" w:rsidP="005F1ED8">
            <w:pPr>
              <w:tabs>
                <w:tab w:val="left" w:pos="-1440"/>
                <w:tab w:val="left" w:pos="-720"/>
              </w:tabs>
              <w:rPr>
                <w:sz w:val="20"/>
                <w:szCs w:val="20"/>
              </w:rPr>
            </w:pPr>
            <w:r w:rsidRPr="00347C73">
              <w:rPr>
                <w:sz w:val="20"/>
                <w:szCs w:val="20"/>
              </w:rPr>
              <w:tab/>
            </w:r>
            <w:r>
              <w:rPr>
                <w:sz w:val="20"/>
                <w:szCs w:val="20"/>
              </w:rPr>
              <w:t>John B. Harvie</w:t>
            </w:r>
          </w:p>
          <w:p w:rsidR="00347C73" w:rsidRPr="00347C73" w:rsidRDefault="00347C73" w:rsidP="005F1ED8">
            <w:pPr>
              <w:tabs>
                <w:tab w:val="left" w:pos="-1440"/>
                <w:tab w:val="left" w:pos="-720"/>
              </w:tabs>
              <w:rPr>
                <w:sz w:val="20"/>
                <w:szCs w:val="20"/>
              </w:rPr>
            </w:pPr>
            <w:r w:rsidRPr="00347C73">
              <w:rPr>
                <w:sz w:val="20"/>
                <w:szCs w:val="20"/>
              </w:rPr>
              <w:tab/>
              <w:t>Myers Weinberg</w:t>
            </w:r>
          </w:p>
          <w:p w:rsidR="00347C73" w:rsidRPr="00347C73" w:rsidRDefault="00347C73" w:rsidP="005F1ED8">
            <w:pPr>
              <w:rPr>
                <w:sz w:val="20"/>
                <w:szCs w:val="20"/>
                <w:lang w:val="fr-CA"/>
              </w:rPr>
            </w:pPr>
          </w:p>
        </w:tc>
        <w:tc>
          <w:tcPr>
            <w:tcW w:w="1181" w:type="dxa"/>
            <w:shd w:val="clear" w:color="auto" w:fill="auto"/>
          </w:tcPr>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p w:rsidR="00347C73" w:rsidRPr="00347C73" w:rsidRDefault="00347C73" w:rsidP="00242AEE">
            <w:pPr>
              <w:jc w:val="center"/>
              <w:rPr>
                <w:sz w:val="20"/>
                <w:szCs w:val="20"/>
                <w:lang w:val="fr-CA"/>
              </w:rPr>
            </w:pPr>
          </w:p>
        </w:tc>
        <w:tc>
          <w:tcPr>
            <w:tcW w:w="4320" w:type="dxa"/>
            <w:shd w:val="clear" w:color="auto" w:fill="auto"/>
          </w:tcPr>
          <w:p w:rsidR="00347C73" w:rsidRPr="00800D8C" w:rsidRDefault="00347C73" w:rsidP="00347C73">
            <w:pPr>
              <w:keepNext/>
              <w:keepLines/>
              <w:tabs>
                <w:tab w:val="left" w:pos="-1440"/>
                <w:tab w:val="left" w:pos="-720"/>
              </w:tabs>
              <w:rPr>
                <w:b/>
                <w:sz w:val="20"/>
                <w:szCs w:val="20"/>
              </w:rPr>
            </w:pPr>
            <w:r w:rsidRPr="00800D8C">
              <w:rPr>
                <w:b/>
                <w:sz w:val="20"/>
                <w:szCs w:val="20"/>
              </w:rPr>
              <w:t>William Lubecki</w:t>
            </w:r>
          </w:p>
          <w:p w:rsidR="00347C73" w:rsidRPr="00800D8C" w:rsidRDefault="00347C73" w:rsidP="00347C73">
            <w:pPr>
              <w:keepNext/>
              <w:keepLines/>
              <w:tabs>
                <w:tab w:val="left" w:pos="-1440"/>
                <w:tab w:val="left" w:pos="-720"/>
              </w:tabs>
              <w:rPr>
                <w:sz w:val="20"/>
                <w:szCs w:val="20"/>
              </w:rPr>
            </w:pPr>
            <w:r w:rsidRPr="00800D8C">
              <w:rPr>
                <w:sz w:val="20"/>
                <w:szCs w:val="20"/>
              </w:rPr>
              <w:tab/>
              <w:t>William Lubecki</w:t>
            </w:r>
          </w:p>
          <w:p w:rsidR="00347C73" w:rsidRPr="00A935AA" w:rsidRDefault="00347C73" w:rsidP="00347C73">
            <w:pPr>
              <w:keepNext/>
              <w:keepLines/>
              <w:tabs>
                <w:tab w:val="left" w:pos="-1440"/>
                <w:tab w:val="left" w:pos="-720"/>
              </w:tabs>
              <w:rPr>
                <w:sz w:val="20"/>
                <w:szCs w:val="20"/>
              </w:rPr>
            </w:pPr>
          </w:p>
          <w:p w:rsidR="00347C73" w:rsidRPr="00A935AA" w:rsidRDefault="00347C73" w:rsidP="00347C73">
            <w:pPr>
              <w:keepNext/>
              <w:keepLines/>
              <w:tabs>
                <w:tab w:val="left" w:pos="-1440"/>
                <w:tab w:val="left" w:pos="-720"/>
              </w:tabs>
              <w:rPr>
                <w:sz w:val="20"/>
                <w:szCs w:val="20"/>
              </w:rPr>
            </w:pPr>
            <w:r w:rsidRPr="00A935AA">
              <w:rPr>
                <w:sz w:val="20"/>
                <w:szCs w:val="20"/>
              </w:rPr>
              <w:tab/>
            </w:r>
            <w:r>
              <w:rPr>
                <w:sz w:val="20"/>
                <w:szCs w:val="20"/>
              </w:rPr>
              <w:t>c</w:t>
            </w:r>
            <w:r w:rsidRPr="00A935AA">
              <w:rPr>
                <w:sz w:val="20"/>
                <w:szCs w:val="20"/>
              </w:rPr>
              <w:t>. (3</w:t>
            </w:r>
            <w:r>
              <w:rPr>
                <w:sz w:val="20"/>
                <w:szCs w:val="20"/>
              </w:rPr>
              <w:t>6015</w:t>
            </w:r>
            <w:r w:rsidRPr="00A935AA">
              <w:rPr>
                <w:sz w:val="20"/>
                <w:szCs w:val="20"/>
              </w:rPr>
              <w:t>)</w:t>
            </w:r>
          </w:p>
          <w:p w:rsidR="00347C73" w:rsidRPr="00A935AA" w:rsidRDefault="00347C73" w:rsidP="00347C73">
            <w:pPr>
              <w:keepNext/>
              <w:keepLines/>
              <w:tabs>
                <w:tab w:val="left" w:pos="-1440"/>
                <w:tab w:val="left" w:pos="-720"/>
              </w:tabs>
              <w:rPr>
                <w:sz w:val="20"/>
                <w:szCs w:val="20"/>
              </w:rPr>
            </w:pPr>
          </w:p>
          <w:p w:rsidR="00347C73" w:rsidRPr="00800D8C" w:rsidRDefault="00347C73" w:rsidP="00347C73">
            <w:pPr>
              <w:keepNext/>
              <w:keepLines/>
              <w:tabs>
                <w:tab w:val="left" w:pos="-1440"/>
                <w:tab w:val="left" w:pos="-720"/>
              </w:tabs>
              <w:rPr>
                <w:b/>
                <w:sz w:val="20"/>
                <w:szCs w:val="20"/>
                <w:lang w:val="fr-CA"/>
              </w:rPr>
            </w:pPr>
            <w:r w:rsidRPr="00800D8C">
              <w:rPr>
                <w:b/>
                <w:sz w:val="20"/>
                <w:szCs w:val="20"/>
                <w:lang w:val="fr-CA"/>
              </w:rPr>
              <w:t>Thomas A. Lavin (Qc)</w:t>
            </w:r>
          </w:p>
          <w:p w:rsidR="00347C73" w:rsidRPr="00347C73" w:rsidRDefault="00347C73" w:rsidP="00347C73">
            <w:pPr>
              <w:keepNext/>
              <w:keepLines/>
              <w:tabs>
                <w:tab w:val="left" w:pos="-1440"/>
                <w:tab w:val="left" w:pos="-720"/>
              </w:tabs>
              <w:rPr>
                <w:sz w:val="20"/>
                <w:szCs w:val="20"/>
                <w:lang w:val="fr-CA"/>
              </w:rPr>
            </w:pPr>
            <w:r w:rsidRPr="00800D8C">
              <w:rPr>
                <w:sz w:val="20"/>
                <w:szCs w:val="20"/>
                <w:lang w:val="fr-CA"/>
              </w:rPr>
              <w:tab/>
            </w:r>
            <w:r w:rsidRPr="00347C73">
              <w:rPr>
                <w:sz w:val="20"/>
                <w:szCs w:val="20"/>
                <w:lang w:val="fr-CA"/>
              </w:rPr>
              <w:t>Vincent Grenier-Fontaine</w:t>
            </w:r>
          </w:p>
          <w:p w:rsidR="00347C73" w:rsidRPr="00347C73" w:rsidRDefault="00347C73" w:rsidP="00347C73">
            <w:pPr>
              <w:keepNext/>
              <w:keepLines/>
              <w:tabs>
                <w:tab w:val="left" w:pos="-1440"/>
                <w:tab w:val="left" w:pos="-720"/>
              </w:tabs>
              <w:rPr>
                <w:sz w:val="20"/>
                <w:szCs w:val="20"/>
                <w:lang w:val="fr-CA"/>
              </w:rPr>
            </w:pPr>
            <w:r w:rsidRPr="00347C73">
              <w:rPr>
                <w:sz w:val="20"/>
                <w:szCs w:val="20"/>
                <w:lang w:val="fr-CA"/>
              </w:rPr>
              <w:tab/>
              <w:t>Bélanger Longtin, s.e.n.c.</w:t>
            </w:r>
          </w:p>
          <w:p w:rsidR="00347C73" w:rsidRPr="00347C73" w:rsidRDefault="00347C73" w:rsidP="00347C73">
            <w:pPr>
              <w:keepNext/>
              <w:keepLines/>
              <w:tabs>
                <w:tab w:val="left" w:pos="-1440"/>
                <w:tab w:val="left" w:pos="-720"/>
              </w:tabs>
              <w:rPr>
                <w:sz w:val="20"/>
                <w:szCs w:val="20"/>
                <w:lang w:val="fr-CA"/>
              </w:rPr>
            </w:pPr>
          </w:p>
          <w:p w:rsidR="00347C73" w:rsidRPr="00A935AA" w:rsidRDefault="00347C73" w:rsidP="00347C73">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w:t>
            </w:r>
            <w:r w:rsidRPr="00806A5B">
              <w:rPr>
                <w:sz w:val="20"/>
                <w:szCs w:val="20"/>
                <w:lang w:val="fr-CA"/>
              </w:rPr>
              <w:t>1.0</w:t>
            </w:r>
            <w:r>
              <w:rPr>
                <w:sz w:val="20"/>
                <w:szCs w:val="20"/>
                <w:lang w:val="fr-CA"/>
              </w:rPr>
              <w:t>8</w:t>
            </w:r>
            <w:r w:rsidRPr="00806A5B">
              <w:rPr>
                <w:sz w:val="20"/>
                <w:szCs w:val="20"/>
                <w:lang w:val="fr-CA"/>
              </w:rPr>
              <w:t>.2014</w:t>
            </w:r>
            <w:r w:rsidR="00215143">
              <w:rPr>
                <w:sz w:val="20"/>
                <w:szCs w:val="20"/>
                <w:lang w:val="fr-CA"/>
              </w:rPr>
              <w:pict>
                <v:rect id="_x0000_i1025" style="width:108pt;height:1pt" o:hrpct="0" o:hralign="center" o:hrstd="t" o:hrnoshade="t" o:hr="t" fillcolor="black [3213]" stroked="f"/>
              </w:pict>
            </w:r>
          </w:p>
        </w:tc>
      </w:tr>
      <w:tr w:rsidR="00C21644" w:rsidRPr="00215143" w:rsidTr="003B3977">
        <w:tc>
          <w:tcPr>
            <w:tcW w:w="4320" w:type="dxa"/>
            <w:shd w:val="clear" w:color="auto" w:fill="auto"/>
          </w:tcPr>
          <w:p w:rsidR="00347C73" w:rsidRPr="00347C73" w:rsidRDefault="00347C73" w:rsidP="00347C73">
            <w:pPr>
              <w:rPr>
                <w:sz w:val="20"/>
                <w:szCs w:val="20"/>
              </w:rPr>
            </w:pPr>
            <w:r w:rsidRPr="00347C73">
              <w:rPr>
                <w:sz w:val="20"/>
                <w:szCs w:val="20"/>
              </w:rPr>
              <w:t>FILING DATE: 01.08.201</w:t>
            </w:r>
            <w:r>
              <w:rPr>
                <w:sz w:val="20"/>
                <w:szCs w:val="20"/>
              </w:rPr>
              <w:t>4</w:t>
            </w:r>
          </w:p>
          <w:p w:rsidR="00C21644" w:rsidRPr="00347C73" w:rsidRDefault="00215143" w:rsidP="00347C73">
            <w:pPr>
              <w:rPr>
                <w:sz w:val="20"/>
                <w:szCs w:val="20"/>
              </w:rPr>
            </w:pPr>
            <w:r>
              <w:rPr>
                <w:sz w:val="20"/>
                <w:szCs w:val="20"/>
                <w:lang w:val="fr-CA"/>
              </w:rPr>
              <w:pict>
                <v:rect id="_x0000_i1026" style="width:108pt;height:1pt" o:hrpct="0" o:hralign="center" o:hrstd="t" o:hrnoshade="t" o:hr="t" fillcolor="black [3213]" stroked="f"/>
              </w:pict>
            </w:r>
          </w:p>
          <w:p w:rsidR="00347C73" w:rsidRPr="00347C73" w:rsidRDefault="00347C73" w:rsidP="003B3977">
            <w:pPr>
              <w:rPr>
                <w:sz w:val="20"/>
                <w:szCs w:val="20"/>
              </w:rPr>
            </w:pPr>
          </w:p>
          <w:p w:rsidR="00347C73" w:rsidRPr="00800D8C" w:rsidRDefault="00347C73" w:rsidP="003B3977">
            <w:pPr>
              <w:rPr>
                <w:b/>
                <w:sz w:val="20"/>
                <w:szCs w:val="20"/>
                <w:lang w:val="fr-CA"/>
              </w:rPr>
            </w:pPr>
            <w:r w:rsidRPr="00800D8C">
              <w:rPr>
                <w:b/>
                <w:sz w:val="20"/>
                <w:szCs w:val="20"/>
                <w:lang w:val="fr-CA"/>
              </w:rPr>
              <w:t>J.L.</w:t>
            </w:r>
          </w:p>
          <w:p w:rsidR="00C21644" w:rsidRPr="00800D8C" w:rsidRDefault="00C21644" w:rsidP="003B3977">
            <w:pPr>
              <w:tabs>
                <w:tab w:val="left" w:pos="-1440"/>
                <w:tab w:val="left" w:pos="-720"/>
              </w:tabs>
              <w:rPr>
                <w:sz w:val="20"/>
                <w:szCs w:val="20"/>
                <w:lang w:val="fr-CA"/>
              </w:rPr>
            </w:pPr>
            <w:r w:rsidRPr="00800D8C">
              <w:rPr>
                <w:sz w:val="20"/>
                <w:szCs w:val="20"/>
                <w:lang w:val="fr-CA"/>
              </w:rPr>
              <w:tab/>
            </w:r>
            <w:r w:rsidR="00347C73" w:rsidRPr="00800D8C">
              <w:rPr>
                <w:sz w:val="20"/>
                <w:szCs w:val="20"/>
                <w:lang w:val="fr-CA"/>
              </w:rPr>
              <w:t>Michel Lewis</w:t>
            </w:r>
          </w:p>
          <w:p w:rsidR="00C21644" w:rsidRPr="00800D8C" w:rsidRDefault="00C21644" w:rsidP="003B3977">
            <w:pPr>
              <w:tabs>
                <w:tab w:val="left" w:pos="-1440"/>
                <w:tab w:val="left" w:pos="-720"/>
              </w:tabs>
              <w:rPr>
                <w:sz w:val="20"/>
                <w:szCs w:val="20"/>
                <w:lang w:val="fr-CA"/>
              </w:rPr>
            </w:pPr>
          </w:p>
          <w:p w:rsidR="00C21644" w:rsidRPr="00347C73" w:rsidRDefault="00C21644" w:rsidP="003B3977">
            <w:pPr>
              <w:tabs>
                <w:tab w:val="left" w:pos="-1440"/>
                <w:tab w:val="left" w:pos="-720"/>
              </w:tabs>
              <w:rPr>
                <w:sz w:val="20"/>
                <w:szCs w:val="20"/>
                <w:lang w:val="fr-CA"/>
              </w:rPr>
            </w:pPr>
            <w:r w:rsidRPr="00800D8C">
              <w:rPr>
                <w:sz w:val="20"/>
                <w:szCs w:val="20"/>
                <w:lang w:val="fr-CA"/>
              </w:rPr>
              <w:tab/>
            </w:r>
            <w:r w:rsidR="00347C73" w:rsidRPr="00347C73">
              <w:rPr>
                <w:sz w:val="20"/>
                <w:szCs w:val="20"/>
                <w:lang w:val="fr-CA"/>
              </w:rPr>
              <w:t>c</w:t>
            </w:r>
            <w:r w:rsidRPr="00347C73">
              <w:rPr>
                <w:sz w:val="20"/>
                <w:szCs w:val="20"/>
                <w:lang w:val="fr-CA"/>
              </w:rPr>
              <w:t>. (3</w:t>
            </w:r>
            <w:r w:rsidR="00347C73" w:rsidRPr="00347C73">
              <w:rPr>
                <w:sz w:val="20"/>
                <w:szCs w:val="20"/>
                <w:lang w:val="fr-CA"/>
              </w:rPr>
              <w:t>6031</w:t>
            </w:r>
            <w:r w:rsidRPr="00347C73">
              <w:rPr>
                <w:sz w:val="20"/>
                <w:szCs w:val="20"/>
                <w:lang w:val="fr-CA"/>
              </w:rPr>
              <w:t>)</w:t>
            </w:r>
          </w:p>
          <w:p w:rsidR="00C21644" w:rsidRPr="00347C73" w:rsidRDefault="00C21644" w:rsidP="003B3977">
            <w:pPr>
              <w:tabs>
                <w:tab w:val="left" w:pos="-1440"/>
                <w:tab w:val="left" w:pos="-720"/>
              </w:tabs>
              <w:rPr>
                <w:sz w:val="20"/>
                <w:szCs w:val="20"/>
                <w:lang w:val="fr-CA"/>
              </w:rPr>
            </w:pPr>
          </w:p>
          <w:p w:rsidR="00C21644" w:rsidRPr="00347C73" w:rsidRDefault="00347C73" w:rsidP="003B3977">
            <w:pPr>
              <w:tabs>
                <w:tab w:val="left" w:pos="-1440"/>
                <w:tab w:val="left" w:pos="-720"/>
              </w:tabs>
              <w:rPr>
                <w:b/>
                <w:sz w:val="20"/>
                <w:szCs w:val="20"/>
                <w:lang w:val="fr-CA"/>
              </w:rPr>
            </w:pPr>
            <w:r w:rsidRPr="00347C73">
              <w:rPr>
                <w:b/>
                <w:sz w:val="20"/>
                <w:szCs w:val="20"/>
                <w:lang w:val="fr-CA"/>
              </w:rPr>
              <w:t>N.</w:t>
            </w:r>
            <w:r>
              <w:rPr>
                <w:b/>
                <w:sz w:val="20"/>
                <w:szCs w:val="20"/>
                <w:lang w:val="fr-CA"/>
              </w:rPr>
              <w:t xml:space="preserve">G. </w:t>
            </w:r>
            <w:r w:rsidR="00C21644" w:rsidRPr="00347C73">
              <w:rPr>
                <w:b/>
                <w:sz w:val="20"/>
                <w:szCs w:val="20"/>
                <w:lang w:val="fr-CA"/>
              </w:rPr>
              <w:t>(</w:t>
            </w:r>
            <w:r>
              <w:rPr>
                <w:b/>
                <w:sz w:val="20"/>
                <w:szCs w:val="20"/>
                <w:lang w:val="fr-CA"/>
              </w:rPr>
              <w:t>Qc</w:t>
            </w:r>
            <w:r w:rsidR="00C21644" w:rsidRPr="00347C73">
              <w:rPr>
                <w:b/>
                <w:sz w:val="20"/>
                <w:szCs w:val="20"/>
                <w:lang w:val="fr-CA"/>
              </w:rPr>
              <w:t>)</w:t>
            </w:r>
          </w:p>
          <w:p w:rsidR="00C21644" w:rsidRPr="00347C73" w:rsidRDefault="00C21644" w:rsidP="003B3977">
            <w:pPr>
              <w:tabs>
                <w:tab w:val="left" w:pos="-1440"/>
                <w:tab w:val="left" w:pos="-720"/>
              </w:tabs>
              <w:rPr>
                <w:sz w:val="20"/>
                <w:szCs w:val="20"/>
                <w:lang w:val="fr-CA"/>
              </w:rPr>
            </w:pPr>
            <w:r w:rsidRPr="00347C73">
              <w:rPr>
                <w:sz w:val="20"/>
                <w:szCs w:val="20"/>
                <w:lang w:val="fr-CA"/>
              </w:rPr>
              <w:tab/>
            </w:r>
            <w:r w:rsidR="00F74EFD">
              <w:rPr>
                <w:sz w:val="20"/>
                <w:szCs w:val="20"/>
                <w:lang w:val="fr-CA"/>
              </w:rPr>
              <w:t>Yannick Dompierre</w:t>
            </w:r>
          </w:p>
          <w:p w:rsidR="00C21644" w:rsidRPr="00347C73" w:rsidRDefault="00C21644" w:rsidP="003B3977">
            <w:pPr>
              <w:tabs>
                <w:tab w:val="left" w:pos="-1440"/>
                <w:tab w:val="left" w:pos="-720"/>
              </w:tabs>
              <w:rPr>
                <w:sz w:val="20"/>
                <w:szCs w:val="20"/>
                <w:lang w:val="fr-CA"/>
              </w:rPr>
            </w:pPr>
            <w:r w:rsidRPr="00347C73">
              <w:rPr>
                <w:sz w:val="20"/>
                <w:szCs w:val="20"/>
                <w:lang w:val="fr-CA"/>
              </w:rPr>
              <w:tab/>
            </w:r>
            <w:r w:rsidR="00F74EFD">
              <w:rPr>
                <w:sz w:val="20"/>
                <w:szCs w:val="20"/>
                <w:lang w:val="fr-CA"/>
              </w:rPr>
              <w:t>RPGL avocats, s.e.n.c.r.l.</w:t>
            </w:r>
          </w:p>
          <w:p w:rsidR="00C21644" w:rsidRPr="00347C73" w:rsidRDefault="00C21644" w:rsidP="003B3977">
            <w:pPr>
              <w:tabs>
                <w:tab w:val="left" w:pos="-1440"/>
                <w:tab w:val="left" w:pos="-720"/>
              </w:tabs>
              <w:rPr>
                <w:sz w:val="20"/>
                <w:szCs w:val="20"/>
                <w:lang w:val="fr-CA"/>
              </w:rPr>
            </w:pPr>
          </w:p>
          <w:p w:rsidR="00C21644" w:rsidRPr="00347C73" w:rsidRDefault="00347C73" w:rsidP="00F74EFD">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sidR="00F74EFD">
              <w:rPr>
                <w:sz w:val="20"/>
                <w:szCs w:val="20"/>
                <w:lang w:val="fr-CA"/>
              </w:rPr>
              <w:t>03</w:t>
            </w:r>
            <w:r w:rsidRPr="00806A5B">
              <w:rPr>
                <w:sz w:val="20"/>
                <w:szCs w:val="20"/>
                <w:lang w:val="fr-CA"/>
              </w:rPr>
              <w:t>.0</w:t>
            </w:r>
            <w:r w:rsidR="00F74EFD">
              <w:rPr>
                <w:sz w:val="20"/>
                <w:szCs w:val="20"/>
                <w:lang w:val="fr-CA"/>
              </w:rPr>
              <w:t>9</w:t>
            </w:r>
            <w:r w:rsidRPr="00806A5B">
              <w:rPr>
                <w:sz w:val="20"/>
                <w:szCs w:val="20"/>
                <w:lang w:val="fr-CA"/>
              </w:rPr>
              <w:t>.2014</w:t>
            </w:r>
            <w:r w:rsidR="0021514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Pr="00347C73" w:rsidRDefault="00C21644" w:rsidP="00242AEE">
            <w:pPr>
              <w:jc w:val="center"/>
              <w:rPr>
                <w:sz w:val="20"/>
                <w:szCs w:val="20"/>
                <w:lang w:val="fr-CA"/>
              </w:rPr>
            </w:pPr>
          </w:p>
          <w:p w:rsidR="00C21644" w:rsidRDefault="00C21644" w:rsidP="00242AEE">
            <w:pPr>
              <w:jc w:val="center"/>
              <w:rPr>
                <w:sz w:val="20"/>
                <w:szCs w:val="20"/>
                <w:lang w:val="fr-CA"/>
              </w:rPr>
            </w:pPr>
          </w:p>
          <w:p w:rsidR="00F74EFD" w:rsidRPr="00347C73" w:rsidRDefault="00F74EFD" w:rsidP="00242AEE">
            <w:pPr>
              <w:jc w:val="center"/>
              <w:rPr>
                <w:sz w:val="20"/>
                <w:szCs w:val="20"/>
                <w:lang w:val="fr-CA"/>
              </w:rPr>
            </w:pPr>
          </w:p>
          <w:p w:rsidR="00C21644" w:rsidRPr="00347C73" w:rsidRDefault="00C21644" w:rsidP="00242AEE">
            <w:pPr>
              <w:jc w:val="center"/>
              <w:rPr>
                <w:sz w:val="20"/>
                <w:szCs w:val="20"/>
                <w:lang w:val="fr-CA"/>
              </w:rPr>
            </w:pPr>
          </w:p>
        </w:tc>
        <w:tc>
          <w:tcPr>
            <w:tcW w:w="4320" w:type="dxa"/>
            <w:shd w:val="clear" w:color="auto" w:fill="auto"/>
          </w:tcPr>
          <w:p w:rsidR="00C21644" w:rsidRPr="00347C73" w:rsidRDefault="00F74EFD" w:rsidP="003B3977">
            <w:pPr>
              <w:keepNext/>
              <w:keepLines/>
              <w:tabs>
                <w:tab w:val="left" w:pos="-1440"/>
                <w:tab w:val="left" w:pos="-720"/>
              </w:tabs>
              <w:rPr>
                <w:b/>
                <w:sz w:val="20"/>
                <w:szCs w:val="20"/>
                <w:lang w:val="fr-CA"/>
              </w:rPr>
            </w:pPr>
            <w:r>
              <w:rPr>
                <w:b/>
                <w:sz w:val="20"/>
                <w:szCs w:val="20"/>
                <w:lang w:val="fr-CA"/>
              </w:rPr>
              <w:t>Ville de Laval</w:t>
            </w:r>
          </w:p>
          <w:p w:rsidR="00C21644" w:rsidRPr="00347C73" w:rsidRDefault="00C21644" w:rsidP="003B3977">
            <w:pPr>
              <w:keepNext/>
              <w:keepLines/>
              <w:tabs>
                <w:tab w:val="left" w:pos="-1440"/>
                <w:tab w:val="left" w:pos="-720"/>
              </w:tabs>
              <w:rPr>
                <w:sz w:val="20"/>
                <w:szCs w:val="20"/>
                <w:lang w:val="fr-CA"/>
              </w:rPr>
            </w:pPr>
            <w:r w:rsidRPr="00347C73">
              <w:rPr>
                <w:sz w:val="20"/>
                <w:szCs w:val="20"/>
                <w:lang w:val="fr-CA"/>
              </w:rPr>
              <w:tab/>
            </w:r>
            <w:r w:rsidR="00F74EFD">
              <w:rPr>
                <w:sz w:val="20"/>
                <w:szCs w:val="20"/>
                <w:lang w:val="fr-CA"/>
              </w:rPr>
              <w:t>Francis Gervais, Ad. E.</w:t>
            </w:r>
          </w:p>
          <w:p w:rsidR="00C21644" w:rsidRPr="00347C73" w:rsidRDefault="00C21644" w:rsidP="003B3977">
            <w:pPr>
              <w:keepNext/>
              <w:keepLines/>
              <w:tabs>
                <w:tab w:val="left" w:pos="-1440"/>
                <w:tab w:val="left" w:pos="-720"/>
              </w:tabs>
              <w:rPr>
                <w:sz w:val="20"/>
                <w:szCs w:val="20"/>
                <w:lang w:val="fr-CA"/>
              </w:rPr>
            </w:pPr>
            <w:r w:rsidRPr="00347C73">
              <w:rPr>
                <w:sz w:val="20"/>
                <w:szCs w:val="20"/>
                <w:lang w:val="fr-CA"/>
              </w:rPr>
              <w:tab/>
            </w:r>
            <w:r w:rsidR="00F74EFD">
              <w:rPr>
                <w:sz w:val="20"/>
                <w:szCs w:val="20"/>
                <w:lang w:val="fr-CA"/>
              </w:rPr>
              <w:t xml:space="preserve">Deveau, Bourgeois, Gagné, Hébert &amp; </w:t>
            </w:r>
            <w:r w:rsidR="00F74EFD">
              <w:rPr>
                <w:sz w:val="20"/>
                <w:szCs w:val="20"/>
                <w:lang w:val="fr-CA"/>
              </w:rPr>
              <w:tab/>
              <w:t>associés, s.e.n.c.r.l.</w:t>
            </w:r>
          </w:p>
          <w:p w:rsidR="00C21644" w:rsidRPr="00347C73" w:rsidRDefault="00C21644" w:rsidP="003B3977">
            <w:pPr>
              <w:keepNext/>
              <w:keepLines/>
              <w:tabs>
                <w:tab w:val="left" w:pos="-1440"/>
                <w:tab w:val="left" w:pos="-720"/>
              </w:tabs>
              <w:rPr>
                <w:sz w:val="20"/>
                <w:szCs w:val="20"/>
                <w:lang w:val="fr-CA"/>
              </w:rPr>
            </w:pPr>
          </w:p>
          <w:p w:rsidR="00C21644" w:rsidRPr="00347C73" w:rsidRDefault="00C21644" w:rsidP="003B3977">
            <w:pPr>
              <w:keepNext/>
              <w:keepLines/>
              <w:tabs>
                <w:tab w:val="left" w:pos="-1440"/>
                <w:tab w:val="left" w:pos="-720"/>
              </w:tabs>
              <w:rPr>
                <w:sz w:val="20"/>
                <w:szCs w:val="20"/>
                <w:lang w:val="fr-CA"/>
              </w:rPr>
            </w:pPr>
            <w:r w:rsidRPr="00347C73">
              <w:rPr>
                <w:sz w:val="20"/>
                <w:szCs w:val="20"/>
                <w:lang w:val="fr-CA"/>
              </w:rPr>
              <w:tab/>
            </w:r>
            <w:r w:rsidR="00F74EFD">
              <w:rPr>
                <w:sz w:val="20"/>
                <w:szCs w:val="20"/>
                <w:lang w:val="fr-CA"/>
              </w:rPr>
              <w:t>c</w:t>
            </w:r>
            <w:r w:rsidRPr="00347C73">
              <w:rPr>
                <w:sz w:val="20"/>
                <w:szCs w:val="20"/>
                <w:lang w:val="fr-CA"/>
              </w:rPr>
              <w:t>. (3</w:t>
            </w:r>
            <w:r w:rsidR="00F74EFD">
              <w:rPr>
                <w:sz w:val="20"/>
                <w:szCs w:val="20"/>
                <w:lang w:val="fr-CA"/>
              </w:rPr>
              <w:t>6044</w:t>
            </w:r>
            <w:r w:rsidRPr="00347C73">
              <w:rPr>
                <w:sz w:val="20"/>
                <w:szCs w:val="20"/>
                <w:lang w:val="fr-CA"/>
              </w:rPr>
              <w:t>)</w:t>
            </w:r>
          </w:p>
          <w:p w:rsidR="00C21644" w:rsidRPr="00347C73" w:rsidRDefault="00C21644" w:rsidP="003B3977">
            <w:pPr>
              <w:keepNext/>
              <w:keepLines/>
              <w:tabs>
                <w:tab w:val="left" w:pos="-1440"/>
                <w:tab w:val="left" w:pos="-720"/>
              </w:tabs>
              <w:rPr>
                <w:sz w:val="20"/>
                <w:szCs w:val="20"/>
                <w:lang w:val="fr-CA"/>
              </w:rPr>
            </w:pPr>
          </w:p>
          <w:p w:rsidR="00C21644" w:rsidRPr="00347C73" w:rsidRDefault="00F74EFD" w:rsidP="003B3977">
            <w:pPr>
              <w:keepNext/>
              <w:keepLines/>
              <w:tabs>
                <w:tab w:val="left" w:pos="-1440"/>
                <w:tab w:val="left" w:pos="-720"/>
              </w:tabs>
              <w:rPr>
                <w:b/>
                <w:sz w:val="20"/>
                <w:szCs w:val="20"/>
                <w:lang w:val="fr-CA"/>
              </w:rPr>
            </w:pPr>
            <w:r>
              <w:rPr>
                <w:b/>
                <w:sz w:val="20"/>
                <w:szCs w:val="20"/>
                <w:lang w:val="fr-CA"/>
              </w:rPr>
              <w:t xml:space="preserve">Frères Maristes (Iberville) </w:t>
            </w:r>
            <w:r w:rsidR="00C21644" w:rsidRPr="00347C73">
              <w:rPr>
                <w:b/>
                <w:sz w:val="20"/>
                <w:szCs w:val="20"/>
                <w:lang w:val="fr-CA"/>
              </w:rPr>
              <w:t>(</w:t>
            </w:r>
            <w:r>
              <w:rPr>
                <w:b/>
                <w:sz w:val="20"/>
                <w:szCs w:val="20"/>
                <w:lang w:val="fr-CA"/>
              </w:rPr>
              <w:t>Qc</w:t>
            </w:r>
            <w:r w:rsidR="00C21644" w:rsidRPr="00347C73">
              <w:rPr>
                <w:b/>
                <w:sz w:val="20"/>
                <w:szCs w:val="20"/>
                <w:lang w:val="fr-CA"/>
              </w:rPr>
              <w:t>)</w:t>
            </w:r>
          </w:p>
          <w:p w:rsidR="00C21644" w:rsidRPr="00347C73" w:rsidRDefault="00C21644" w:rsidP="003B3977">
            <w:pPr>
              <w:keepNext/>
              <w:keepLines/>
              <w:tabs>
                <w:tab w:val="left" w:pos="-1440"/>
                <w:tab w:val="left" w:pos="-720"/>
              </w:tabs>
              <w:rPr>
                <w:sz w:val="20"/>
                <w:szCs w:val="20"/>
                <w:lang w:val="fr-CA"/>
              </w:rPr>
            </w:pPr>
            <w:r w:rsidRPr="00347C73">
              <w:rPr>
                <w:sz w:val="20"/>
                <w:szCs w:val="20"/>
                <w:lang w:val="fr-CA"/>
              </w:rPr>
              <w:tab/>
            </w:r>
            <w:r w:rsidR="00F74EFD">
              <w:rPr>
                <w:sz w:val="20"/>
                <w:szCs w:val="20"/>
                <w:lang w:val="fr-CA"/>
              </w:rPr>
              <w:t>Alfred A. Bélisle</w:t>
            </w:r>
          </w:p>
          <w:p w:rsidR="00C21644" w:rsidRPr="00347C73" w:rsidRDefault="00C21644" w:rsidP="003B3977">
            <w:pPr>
              <w:keepNext/>
              <w:keepLines/>
              <w:tabs>
                <w:tab w:val="left" w:pos="-1440"/>
                <w:tab w:val="left" w:pos="-720"/>
              </w:tabs>
              <w:rPr>
                <w:sz w:val="20"/>
                <w:szCs w:val="20"/>
                <w:lang w:val="fr-CA"/>
              </w:rPr>
            </w:pPr>
            <w:r w:rsidRPr="00347C73">
              <w:rPr>
                <w:sz w:val="20"/>
                <w:szCs w:val="20"/>
                <w:lang w:val="fr-CA"/>
              </w:rPr>
              <w:tab/>
            </w:r>
            <w:r w:rsidR="00F74EFD">
              <w:rPr>
                <w:sz w:val="20"/>
                <w:szCs w:val="20"/>
                <w:lang w:val="fr-CA"/>
              </w:rPr>
              <w:t>Godard, Bélisle, St-Jean &amp; Associés</w:t>
            </w:r>
          </w:p>
          <w:p w:rsidR="00C21644" w:rsidRPr="00347C73" w:rsidRDefault="00C21644" w:rsidP="003B3977">
            <w:pPr>
              <w:keepNext/>
              <w:keepLines/>
              <w:tabs>
                <w:tab w:val="left" w:pos="-1440"/>
                <w:tab w:val="left" w:pos="-720"/>
              </w:tabs>
              <w:rPr>
                <w:sz w:val="20"/>
                <w:szCs w:val="20"/>
                <w:lang w:val="fr-CA"/>
              </w:rPr>
            </w:pPr>
          </w:p>
          <w:p w:rsidR="00C21644" w:rsidRPr="00347C73" w:rsidRDefault="00F74EFD" w:rsidP="00F74EFD">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05</w:t>
            </w:r>
            <w:r w:rsidRPr="00806A5B">
              <w:rPr>
                <w:sz w:val="20"/>
                <w:szCs w:val="20"/>
                <w:lang w:val="fr-CA"/>
              </w:rPr>
              <w:t>.0</w:t>
            </w:r>
            <w:r>
              <w:rPr>
                <w:sz w:val="20"/>
                <w:szCs w:val="20"/>
                <w:lang w:val="fr-CA"/>
              </w:rPr>
              <w:t>9</w:t>
            </w:r>
            <w:r w:rsidRPr="00806A5B">
              <w:rPr>
                <w:sz w:val="20"/>
                <w:szCs w:val="20"/>
                <w:lang w:val="fr-CA"/>
              </w:rPr>
              <w:t>.2014</w:t>
            </w:r>
            <w:r w:rsidR="00215143">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5F1ED8">
            <w:pPr>
              <w:rPr>
                <w:b/>
                <w:sz w:val="20"/>
                <w:szCs w:val="20"/>
                <w:lang w:val="fr-CA"/>
              </w:rPr>
            </w:pPr>
          </w:p>
          <w:p w:rsidR="00F74EFD" w:rsidRPr="00F74EFD" w:rsidRDefault="00F74EFD" w:rsidP="005F1ED8">
            <w:pPr>
              <w:rPr>
                <w:b/>
                <w:sz w:val="20"/>
                <w:szCs w:val="20"/>
              </w:rPr>
            </w:pPr>
            <w:r w:rsidRPr="00F74EFD">
              <w:rPr>
                <w:b/>
                <w:sz w:val="20"/>
                <w:szCs w:val="20"/>
              </w:rPr>
              <w:t>Olayemi Fatunmbi</w:t>
            </w:r>
          </w:p>
          <w:p w:rsidR="00C21644" w:rsidRPr="00F74EFD" w:rsidRDefault="00C21644" w:rsidP="005F1ED8">
            <w:pPr>
              <w:tabs>
                <w:tab w:val="left" w:pos="-1440"/>
                <w:tab w:val="left" w:pos="-720"/>
              </w:tabs>
              <w:rPr>
                <w:sz w:val="20"/>
                <w:szCs w:val="20"/>
              </w:rPr>
            </w:pPr>
            <w:r w:rsidRPr="00F74EFD">
              <w:rPr>
                <w:sz w:val="20"/>
                <w:szCs w:val="20"/>
              </w:rPr>
              <w:tab/>
            </w:r>
            <w:r w:rsidR="00F74EFD" w:rsidRPr="00F74EFD">
              <w:rPr>
                <w:sz w:val="20"/>
                <w:szCs w:val="20"/>
              </w:rPr>
              <w:t>Bruce F. Bonney</w:t>
            </w:r>
          </w:p>
          <w:p w:rsidR="00C21644" w:rsidRPr="00F74EFD" w:rsidRDefault="00C21644" w:rsidP="005F1ED8">
            <w:pPr>
              <w:tabs>
                <w:tab w:val="left" w:pos="-1440"/>
                <w:tab w:val="left" w:pos="-720"/>
              </w:tabs>
              <w:rPr>
                <w:sz w:val="20"/>
                <w:szCs w:val="20"/>
              </w:rPr>
            </w:pPr>
            <w:r w:rsidRPr="00F74EFD">
              <w:rPr>
                <w:sz w:val="20"/>
                <w:szCs w:val="20"/>
              </w:rPr>
              <w:tab/>
            </w:r>
            <w:r w:rsidR="00F74EFD" w:rsidRPr="00F74EFD">
              <w:rPr>
                <w:sz w:val="20"/>
                <w:szCs w:val="20"/>
              </w:rPr>
              <w:t>Phillips Aiello</w:t>
            </w:r>
          </w:p>
          <w:p w:rsidR="00C21644" w:rsidRPr="00F74EFD" w:rsidRDefault="00C21644" w:rsidP="005F1ED8">
            <w:pPr>
              <w:tabs>
                <w:tab w:val="left" w:pos="-1440"/>
                <w:tab w:val="left" w:pos="-720"/>
              </w:tabs>
              <w:rPr>
                <w:sz w:val="20"/>
                <w:szCs w:val="20"/>
              </w:rPr>
            </w:pPr>
          </w:p>
          <w:p w:rsidR="00C21644" w:rsidRPr="00F74EFD" w:rsidRDefault="00C21644" w:rsidP="005F1ED8">
            <w:pPr>
              <w:tabs>
                <w:tab w:val="left" w:pos="-1440"/>
                <w:tab w:val="left" w:pos="-720"/>
              </w:tabs>
              <w:rPr>
                <w:sz w:val="20"/>
                <w:szCs w:val="20"/>
              </w:rPr>
            </w:pPr>
            <w:r w:rsidRPr="00F74EFD">
              <w:rPr>
                <w:sz w:val="20"/>
                <w:szCs w:val="20"/>
              </w:rPr>
              <w:tab/>
              <w:t>v. (3</w:t>
            </w:r>
            <w:r w:rsidR="00F74EFD" w:rsidRPr="00F74EFD">
              <w:rPr>
                <w:sz w:val="20"/>
                <w:szCs w:val="20"/>
              </w:rPr>
              <w:t>6038</w:t>
            </w:r>
            <w:r w:rsidRPr="00F74EFD">
              <w:rPr>
                <w:sz w:val="20"/>
                <w:szCs w:val="20"/>
              </w:rPr>
              <w:t>)</w:t>
            </w:r>
          </w:p>
          <w:p w:rsidR="00C21644" w:rsidRPr="00F74EFD" w:rsidRDefault="00C21644" w:rsidP="005F1ED8">
            <w:pPr>
              <w:tabs>
                <w:tab w:val="left" w:pos="-1440"/>
                <w:tab w:val="left" w:pos="-720"/>
              </w:tabs>
              <w:rPr>
                <w:sz w:val="20"/>
                <w:szCs w:val="20"/>
              </w:rPr>
            </w:pPr>
          </w:p>
          <w:p w:rsidR="00C21644" w:rsidRPr="00F74EFD" w:rsidRDefault="00F74EFD" w:rsidP="005F1ED8">
            <w:pPr>
              <w:tabs>
                <w:tab w:val="left" w:pos="-1440"/>
                <w:tab w:val="left" w:pos="-720"/>
              </w:tabs>
              <w:rPr>
                <w:b/>
                <w:sz w:val="20"/>
                <w:szCs w:val="20"/>
              </w:rPr>
            </w:pPr>
            <w:r w:rsidRPr="00F74EFD">
              <w:rPr>
                <w:b/>
                <w:sz w:val="20"/>
                <w:szCs w:val="20"/>
              </w:rPr>
              <w:t xml:space="preserve">Her Majesty the Queen </w:t>
            </w:r>
            <w:r w:rsidR="00C21644" w:rsidRPr="00F74EFD">
              <w:rPr>
                <w:b/>
                <w:sz w:val="20"/>
                <w:szCs w:val="20"/>
              </w:rPr>
              <w:t>(</w:t>
            </w:r>
            <w:r w:rsidRPr="00F74EFD">
              <w:rPr>
                <w:b/>
                <w:sz w:val="20"/>
                <w:szCs w:val="20"/>
              </w:rPr>
              <w:t>Ma</w:t>
            </w:r>
            <w:r w:rsidR="00C21644" w:rsidRPr="00F74EFD">
              <w:rPr>
                <w:b/>
                <w:sz w:val="20"/>
                <w:szCs w:val="20"/>
              </w:rPr>
              <w:t>n.)</w:t>
            </w:r>
          </w:p>
          <w:p w:rsidR="00C21644" w:rsidRPr="00F74EFD" w:rsidRDefault="00C21644" w:rsidP="005F1ED8">
            <w:pPr>
              <w:tabs>
                <w:tab w:val="left" w:pos="-1440"/>
                <w:tab w:val="left" w:pos="-720"/>
              </w:tabs>
              <w:rPr>
                <w:sz w:val="20"/>
                <w:szCs w:val="20"/>
              </w:rPr>
            </w:pPr>
            <w:r w:rsidRPr="00F74EFD">
              <w:rPr>
                <w:sz w:val="20"/>
                <w:szCs w:val="20"/>
              </w:rPr>
              <w:tab/>
            </w:r>
            <w:r w:rsidR="00F74EFD">
              <w:rPr>
                <w:sz w:val="20"/>
                <w:szCs w:val="20"/>
              </w:rPr>
              <w:t>Rekha Malaviya</w:t>
            </w:r>
          </w:p>
          <w:p w:rsidR="00C21644" w:rsidRPr="00F74EFD" w:rsidRDefault="00C21644" w:rsidP="005F1ED8">
            <w:pPr>
              <w:tabs>
                <w:tab w:val="left" w:pos="-1440"/>
                <w:tab w:val="left" w:pos="-720"/>
              </w:tabs>
              <w:rPr>
                <w:sz w:val="20"/>
                <w:szCs w:val="20"/>
              </w:rPr>
            </w:pPr>
            <w:r w:rsidRPr="00F74EFD">
              <w:rPr>
                <w:sz w:val="20"/>
                <w:szCs w:val="20"/>
              </w:rPr>
              <w:tab/>
            </w:r>
            <w:r w:rsidR="00F74EFD">
              <w:rPr>
                <w:sz w:val="20"/>
                <w:szCs w:val="20"/>
              </w:rPr>
              <w:t>Manitoba Prosecution Service</w:t>
            </w:r>
          </w:p>
          <w:p w:rsidR="00C21644" w:rsidRPr="00F74EFD" w:rsidRDefault="00C21644" w:rsidP="005F1ED8">
            <w:pPr>
              <w:tabs>
                <w:tab w:val="left" w:pos="-1440"/>
                <w:tab w:val="left" w:pos="-720"/>
              </w:tabs>
              <w:rPr>
                <w:sz w:val="20"/>
                <w:szCs w:val="20"/>
              </w:rPr>
            </w:pPr>
          </w:p>
          <w:p w:rsidR="00C21644" w:rsidRPr="00F74EFD" w:rsidRDefault="00C21644" w:rsidP="00B75632">
            <w:pPr>
              <w:rPr>
                <w:sz w:val="20"/>
                <w:szCs w:val="20"/>
              </w:rPr>
            </w:pPr>
            <w:r w:rsidRPr="00F74EFD">
              <w:rPr>
                <w:sz w:val="20"/>
                <w:szCs w:val="20"/>
              </w:rPr>
              <w:t xml:space="preserve">FILING DATE: </w:t>
            </w:r>
            <w:r w:rsidR="00F74EFD">
              <w:rPr>
                <w:sz w:val="20"/>
                <w:szCs w:val="20"/>
              </w:rPr>
              <w:t>04</w:t>
            </w:r>
            <w:r w:rsidRPr="00F74EFD">
              <w:rPr>
                <w:sz w:val="20"/>
                <w:szCs w:val="20"/>
              </w:rPr>
              <w:t>.0</w:t>
            </w:r>
            <w:r w:rsidR="00F74EFD">
              <w:rPr>
                <w:sz w:val="20"/>
                <w:szCs w:val="20"/>
              </w:rPr>
              <w:t>9</w:t>
            </w:r>
            <w:r w:rsidRPr="00F74EFD">
              <w:rPr>
                <w:sz w:val="20"/>
                <w:szCs w:val="20"/>
              </w:rPr>
              <w:t>.2014</w:t>
            </w:r>
            <w:r w:rsidR="0021514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p w:rsidR="00C21644" w:rsidRPr="00F74EFD" w:rsidRDefault="00C21644" w:rsidP="00242AEE">
            <w:pPr>
              <w:jc w:val="center"/>
              <w:rPr>
                <w:sz w:val="20"/>
                <w:szCs w:val="20"/>
              </w:rPr>
            </w:pPr>
          </w:p>
        </w:tc>
        <w:tc>
          <w:tcPr>
            <w:tcW w:w="4320" w:type="dxa"/>
            <w:shd w:val="clear" w:color="auto" w:fill="auto"/>
          </w:tcPr>
          <w:p w:rsidR="00C21644" w:rsidRPr="00F74EFD" w:rsidRDefault="00F74EFD" w:rsidP="005F1ED8">
            <w:pPr>
              <w:rPr>
                <w:b/>
                <w:sz w:val="20"/>
                <w:szCs w:val="20"/>
                <w:lang w:val="fr-CA"/>
              </w:rPr>
            </w:pPr>
            <w:r w:rsidRPr="00F74EFD">
              <w:rPr>
                <w:b/>
                <w:sz w:val="20"/>
                <w:szCs w:val="20"/>
                <w:lang w:val="fr-CA"/>
              </w:rPr>
              <w:t>Melvin Lorman Gauchier et al.</w:t>
            </w:r>
          </w:p>
          <w:p w:rsidR="00C21644" w:rsidRPr="00F74EFD" w:rsidRDefault="00C21644" w:rsidP="005F1ED8">
            <w:pPr>
              <w:tabs>
                <w:tab w:val="left" w:pos="-1440"/>
                <w:tab w:val="left" w:pos="-720"/>
              </w:tabs>
              <w:rPr>
                <w:sz w:val="20"/>
                <w:szCs w:val="20"/>
              </w:rPr>
            </w:pPr>
            <w:r w:rsidRPr="00F74EFD">
              <w:rPr>
                <w:sz w:val="20"/>
                <w:szCs w:val="20"/>
                <w:lang w:val="fr-CA"/>
              </w:rPr>
              <w:tab/>
            </w:r>
            <w:r w:rsidR="00F74EFD" w:rsidRPr="00F74EFD">
              <w:rPr>
                <w:sz w:val="20"/>
                <w:szCs w:val="20"/>
              </w:rPr>
              <w:t>Shawn Beaver</w:t>
            </w:r>
          </w:p>
          <w:p w:rsidR="00C21644" w:rsidRPr="00F74EFD" w:rsidRDefault="00C21644" w:rsidP="005F1ED8">
            <w:pPr>
              <w:tabs>
                <w:tab w:val="left" w:pos="-1440"/>
                <w:tab w:val="left" w:pos="-720"/>
              </w:tabs>
              <w:rPr>
                <w:sz w:val="20"/>
                <w:szCs w:val="20"/>
              </w:rPr>
            </w:pPr>
            <w:r w:rsidRPr="00F74EFD">
              <w:rPr>
                <w:sz w:val="20"/>
                <w:szCs w:val="20"/>
              </w:rPr>
              <w:tab/>
            </w:r>
            <w:r w:rsidR="00F74EFD" w:rsidRPr="00F74EFD">
              <w:rPr>
                <w:sz w:val="20"/>
                <w:szCs w:val="20"/>
              </w:rPr>
              <w:t>Beaver, Leebody, Frank</w:t>
            </w:r>
            <w:r w:rsidR="00F74EFD">
              <w:rPr>
                <w:sz w:val="20"/>
                <w:szCs w:val="20"/>
              </w:rPr>
              <w:t xml:space="preserve"> &amp; Simic</w:t>
            </w:r>
          </w:p>
          <w:p w:rsidR="00C21644" w:rsidRPr="00F74EFD" w:rsidRDefault="00C21644" w:rsidP="005F1ED8">
            <w:pPr>
              <w:tabs>
                <w:tab w:val="left" w:pos="-1440"/>
                <w:tab w:val="left" w:pos="-720"/>
              </w:tabs>
              <w:rPr>
                <w:sz w:val="20"/>
                <w:szCs w:val="20"/>
              </w:rPr>
            </w:pPr>
          </w:p>
          <w:p w:rsidR="00C21644" w:rsidRPr="00F74EFD" w:rsidRDefault="00C21644" w:rsidP="005F1ED8">
            <w:pPr>
              <w:tabs>
                <w:tab w:val="left" w:pos="-1440"/>
                <w:tab w:val="left" w:pos="-720"/>
              </w:tabs>
              <w:rPr>
                <w:sz w:val="20"/>
                <w:szCs w:val="20"/>
              </w:rPr>
            </w:pPr>
            <w:r w:rsidRPr="00F74EFD">
              <w:rPr>
                <w:sz w:val="20"/>
                <w:szCs w:val="20"/>
              </w:rPr>
              <w:tab/>
              <w:t>v. (3</w:t>
            </w:r>
            <w:r w:rsidR="00CD3BFF">
              <w:rPr>
                <w:sz w:val="20"/>
                <w:szCs w:val="20"/>
              </w:rPr>
              <w:t>604</w:t>
            </w:r>
            <w:r w:rsidRPr="00F74EFD">
              <w:rPr>
                <w:sz w:val="20"/>
                <w:szCs w:val="20"/>
              </w:rPr>
              <w:t>5)</w:t>
            </w:r>
          </w:p>
          <w:p w:rsidR="00C21644" w:rsidRPr="00F74EFD" w:rsidRDefault="00C21644" w:rsidP="005F1ED8">
            <w:pPr>
              <w:tabs>
                <w:tab w:val="left" w:pos="-1440"/>
                <w:tab w:val="left" w:pos="-720"/>
              </w:tabs>
              <w:rPr>
                <w:sz w:val="20"/>
                <w:szCs w:val="20"/>
              </w:rPr>
            </w:pPr>
          </w:p>
          <w:p w:rsidR="00C21644" w:rsidRPr="00F74EFD" w:rsidRDefault="00CD3BFF" w:rsidP="005F1ED8">
            <w:pPr>
              <w:tabs>
                <w:tab w:val="left" w:pos="-1440"/>
                <w:tab w:val="left" w:pos="-720"/>
              </w:tabs>
              <w:rPr>
                <w:b/>
                <w:sz w:val="20"/>
                <w:szCs w:val="20"/>
              </w:rPr>
            </w:pPr>
            <w:r>
              <w:rPr>
                <w:b/>
                <w:sz w:val="20"/>
                <w:szCs w:val="20"/>
              </w:rPr>
              <w:t xml:space="preserve">Her Majesty the Queen </w:t>
            </w:r>
            <w:r w:rsidR="00C21644" w:rsidRPr="00F74EFD">
              <w:rPr>
                <w:b/>
                <w:sz w:val="20"/>
                <w:szCs w:val="20"/>
              </w:rPr>
              <w:t>(</w:t>
            </w:r>
            <w:r>
              <w:rPr>
                <w:b/>
                <w:sz w:val="20"/>
                <w:szCs w:val="20"/>
              </w:rPr>
              <w:t>Al</w:t>
            </w:r>
            <w:r w:rsidR="00C21644" w:rsidRPr="00F74EFD">
              <w:rPr>
                <w:b/>
                <w:sz w:val="20"/>
                <w:szCs w:val="20"/>
              </w:rPr>
              <w:t>t</w:t>
            </w:r>
            <w:r>
              <w:rPr>
                <w:b/>
                <w:sz w:val="20"/>
                <w:szCs w:val="20"/>
              </w:rPr>
              <w:t>a</w:t>
            </w:r>
            <w:r w:rsidR="00C21644" w:rsidRPr="00F74EFD">
              <w:rPr>
                <w:b/>
                <w:sz w:val="20"/>
                <w:szCs w:val="20"/>
              </w:rPr>
              <w:t>.)</w:t>
            </w:r>
          </w:p>
          <w:p w:rsidR="00C21644" w:rsidRPr="00F74EFD" w:rsidRDefault="00C21644" w:rsidP="005F1ED8">
            <w:pPr>
              <w:tabs>
                <w:tab w:val="left" w:pos="-1440"/>
                <w:tab w:val="left" w:pos="-720"/>
              </w:tabs>
              <w:rPr>
                <w:sz w:val="20"/>
                <w:szCs w:val="20"/>
              </w:rPr>
            </w:pPr>
            <w:r w:rsidRPr="00F74EFD">
              <w:rPr>
                <w:sz w:val="20"/>
                <w:szCs w:val="20"/>
              </w:rPr>
              <w:tab/>
            </w:r>
            <w:r w:rsidR="00CD3BFF">
              <w:rPr>
                <w:sz w:val="20"/>
                <w:szCs w:val="20"/>
              </w:rPr>
              <w:t>Troy Couillard</w:t>
            </w:r>
          </w:p>
          <w:p w:rsidR="00C21644" w:rsidRPr="00F74EFD" w:rsidRDefault="00C21644" w:rsidP="005F1ED8">
            <w:pPr>
              <w:tabs>
                <w:tab w:val="left" w:pos="-1440"/>
                <w:tab w:val="left" w:pos="-720"/>
              </w:tabs>
              <w:rPr>
                <w:sz w:val="20"/>
                <w:szCs w:val="20"/>
              </w:rPr>
            </w:pPr>
            <w:r w:rsidRPr="00F74EFD">
              <w:rPr>
                <w:sz w:val="20"/>
                <w:szCs w:val="20"/>
              </w:rPr>
              <w:tab/>
            </w:r>
            <w:r w:rsidR="00CD3BFF">
              <w:rPr>
                <w:sz w:val="20"/>
                <w:szCs w:val="20"/>
              </w:rPr>
              <w:t>A.G. of Alberta</w:t>
            </w:r>
          </w:p>
          <w:p w:rsidR="00C21644" w:rsidRPr="00F74EFD" w:rsidRDefault="00C21644" w:rsidP="005F1ED8">
            <w:pPr>
              <w:tabs>
                <w:tab w:val="left" w:pos="-1440"/>
                <w:tab w:val="left" w:pos="-720"/>
              </w:tabs>
              <w:rPr>
                <w:sz w:val="20"/>
                <w:szCs w:val="20"/>
              </w:rPr>
            </w:pPr>
          </w:p>
          <w:p w:rsidR="00C21644" w:rsidRPr="00A935AA" w:rsidRDefault="00C21644" w:rsidP="00B75632">
            <w:pPr>
              <w:rPr>
                <w:sz w:val="20"/>
                <w:szCs w:val="20"/>
              </w:rPr>
            </w:pPr>
            <w:r w:rsidRPr="00F74EFD">
              <w:rPr>
                <w:sz w:val="20"/>
                <w:szCs w:val="20"/>
              </w:rPr>
              <w:t xml:space="preserve">FILING DATE: </w:t>
            </w:r>
            <w:r w:rsidR="00CD3BFF">
              <w:rPr>
                <w:sz w:val="20"/>
                <w:szCs w:val="20"/>
              </w:rPr>
              <w:t>05</w:t>
            </w:r>
            <w:r w:rsidRPr="00F74EFD">
              <w:rPr>
                <w:sz w:val="20"/>
                <w:szCs w:val="20"/>
              </w:rPr>
              <w:t>.</w:t>
            </w:r>
            <w:r w:rsidRPr="00A935AA">
              <w:rPr>
                <w:sz w:val="20"/>
                <w:szCs w:val="20"/>
              </w:rPr>
              <w:t>0</w:t>
            </w:r>
            <w:r w:rsidR="00CD3BFF">
              <w:rPr>
                <w:sz w:val="20"/>
                <w:szCs w:val="20"/>
              </w:rPr>
              <w:t>9</w:t>
            </w:r>
            <w:r w:rsidRPr="00A935AA">
              <w:rPr>
                <w:sz w:val="20"/>
                <w:szCs w:val="20"/>
              </w:rPr>
              <w:t>.201</w:t>
            </w:r>
            <w:r>
              <w:rPr>
                <w:sz w:val="20"/>
                <w:szCs w:val="20"/>
              </w:rPr>
              <w:t>4</w:t>
            </w:r>
            <w:r w:rsidR="00215143">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Default="00C21644" w:rsidP="005F1ED8">
            <w:pPr>
              <w:rPr>
                <w:b/>
                <w:sz w:val="20"/>
                <w:szCs w:val="20"/>
              </w:rPr>
            </w:pPr>
          </w:p>
          <w:p w:rsidR="00CD3BFF" w:rsidRPr="00A935AA" w:rsidRDefault="00CD3BFF" w:rsidP="005F1ED8">
            <w:pPr>
              <w:rPr>
                <w:b/>
                <w:sz w:val="20"/>
                <w:szCs w:val="20"/>
              </w:rPr>
            </w:pPr>
            <w:r>
              <w:rPr>
                <w:b/>
                <w:sz w:val="20"/>
                <w:szCs w:val="20"/>
              </w:rPr>
              <w:t>Burg Properties Ltd.</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Peter Kravchuke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CD3BFF">
              <w:rPr>
                <w:sz w:val="20"/>
                <w:szCs w:val="20"/>
              </w:rPr>
              <w:t>6046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CD3BFF" w:rsidP="005F1ED8">
            <w:pPr>
              <w:tabs>
                <w:tab w:val="left" w:pos="-1440"/>
                <w:tab w:val="left" w:pos="-720"/>
              </w:tabs>
              <w:rPr>
                <w:b/>
                <w:sz w:val="20"/>
                <w:szCs w:val="20"/>
              </w:rPr>
            </w:pPr>
            <w:r w:rsidRPr="00F74EFD">
              <w:rPr>
                <w:b/>
                <w:sz w:val="20"/>
                <w:szCs w:val="20"/>
              </w:rPr>
              <w:t xml:space="preserve">Her Majesty the Queen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Christa Akey</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B75632">
            <w:pPr>
              <w:rPr>
                <w:sz w:val="20"/>
                <w:szCs w:val="20"/>
              </w:rPr>
            </w:pPr>
            <w:r w:rsidRPr="00A935AA">
              <w:rPr>
                <w:sz w:val="20"/>
                <w:szCs w:val="20"/>
              </w:rPr>
              <w:t xml:space="preserve">FILING DATE: </w:t>
            </w:r>
            <w:r w:rsidR="00CD3BFF">
              <w:rPr>
                <w:sz w:val="20"/>
                <w:szCs w:val="20"/>
              </w:rPr>
              <w:t>0</w:t>
            </w:r>
            <w:r>
              <w:rPr>
                <w:sz w:val="20"/>
                <w:szCs w:val="20"/>
              </w:rPr>
              <w:t>8</w:t>
            </w:r>
            <w:r w:rsidRPr="00A935AA">
              <w:rPr>
                <w:sz w:val="20"/>
                <w:szCs w:val="20"/>
              </w:rPr>
              <w:t>.0</w:t>
            </w:r>
            <w:r w:rsidR="00CD3BFF">
              <w:rPr>
                <w:sz w:val="20"/>
                <w:szCs w:val="20"/>
              </w:rPr>
              <w:t>9</w:t>
            </w:r>
            <w:r w:rsidRPr="00A935AA">
              <w:rPr>
                <w:sz w:val="20"/>
                <w:szCs w:val="20"/>
              </w:rPr>
              <w:t>.201</w:t>
            </w:r>
            <w:r>
              <w:rPr>
                <w:sz w:val="20"/>
                <w:szCs w:val="20"/>
              </w:rPr>
              <w:t>4</w:t>
            </w:r>
            <w:r w:rsidR="0021514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D3BFF" w:rsidP="005F1ED8">
            <w:pPr>
              <w:rPr>
                <w:b/>
                <w:sz w:val="20"/>
                <w:szCs w:val="20"/>
              </w:rPr>
            </w:pPr>
            <w:r>
              <w:rPr>
                <w:b/>
                <w:sz w:val="20"/>
                <w:szCs w:val="20"/>
              </w:rPr>
              <w:t>Noe Gama Sanchez</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Jared Will</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Jared Will &amp; Associates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CD3BFF">
              <w:rPr>
                <w:sz w:val="20"/>
                <w:szCs w:val="20"/>
              </w:rPr>
              <w:t>6049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CD3BFF" w:rsidP="005F1ED8">
            <w:pPr>
              <w:tabs>
                <w:tab w:val="left" w:pos="-1440"/>
                <w:tab w:val="left" w:pos="-720"/>
              </w:tabs>
              <w:rPr>
                <w:b/>
                <w:sz w:val="20"/>
                <w:szCs w:val="20"/>
              </w:rPr>
            </w:pPr>
            <w:r>
              <w:rPr>
                <w:b/>
                <w:sz w:val="20"/>
                <w:szCs w:val="20"/>
              </w:rPr>
              <w:t xml:space="preserve">Minister of Citizenship and Immigration </w:t>
            </w:r>
            <w:r w:rsidR="00C21644" w:rsidRPr="00A935AA">
              <w:rPr>
                <w:b/>
                <w:sz w:val="20"/>
                <w:szCs w:val="20"/>
              </w:rPr>
              <w:t>(</w:t>
            </w:r>
            <w:r>
              <w:rPr>
                <w:b/>
                <w:sz w:val="20"/>
                <w:szCs w:val="20"/>
              </w:rPr>
              <w:t>F</w:t>
            </w:r>
            <w:r w:rsidR="00C21644" w:rsidRPr="00A935AA">
              <w:rPr>
                <w:b/>
                <w:sz w:val="20"/>
                <w:szCs w:val="20"/>
              </w:rPr>
              <w:t>.</w:t>
            </w:r>
            <w:r>
              <w:rPr>
                <w:b/>
                <w:sz w:val="20"/>
                <w:szCs w:val="20"/>
              </w:rPr>
              <w:t>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R. Keith Reimer</w:t>
            </w:r>
          </w:p>
          <w:p w:rsidR="00C21644" w:rsidRPr="00A935AA" w:rsidRDefault="00C21644" w:rsidP="005F1ED8">
            <w:pPr>
              <w:tabs>
                <w:tab w:val="left" w:pos="-1440"/>
                <w:tab w:val="left" w:pos="-720"/>
              </w:tabs>
              <w:rPr>
                <w:sz w:val="20"/>
                <w:szCs w:val="20"/>
              </w:rPr>
            </w:pPr>
            <w:r w:rsidRPr="00A935AA">
              <w:rPr>
                <w:sz w:val="20"/>
                <w:szCs w:val="20"/>
              </w:rPr>
              <w:tab/>
            </w:r>
            <w:r w:rsidR="00CD3BFF">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B75632">
            <w:pPr>
              <w:rPr>
                <w:sz w:val="20"/>
                <w:szCs w:val="20"/>
              </w:rPr>
            </w:pPr>
            <w:r w:rsidRPr="00A935AA">
              <w:rPr>
                <w:sz w:val="20"/>
                <w:szCs w:val="20"/>
              </w:rPr>
              <w:t xml:space="preserve">FILING DATE: </w:t>
            </w:r>
            <w:r w:rsidR="00CD3BFF">
              <w:rPr>
                <w:sz w:val="20"/>
                <w:szCs w:val="20"/>
              </w:rPr>
              <w:t>09</w:t>
            </w:r>
            <w:r w:rsidRPr="00A935AA">
              <w:rPr>
                <w:sz w:val="20"/>
                <w:szCs w:val="20"/>
              </w:rPr>
              <w:t>.0</w:t>
            </w:r>
            <w:r w:rsidR="00CD3BFF">
              <w:rPr>
                <w:sz w:val="20"/>
                <w:szCs w:val="20"/>
              </w:rPr>
              <w:t>9</w:t>
            </w:r>
            <w:r w:rsidRPr="00A935AA">
              <w:rPr>
                <w:sz w:val="20"/>
                <w:szCs w:val="20"/>
              </w:rPr>
              <w:t>.201</w:t>
            </w:r>
            <w:r>
              <w:rPr>
                <w:sz w:val="20"/>
                <w:szCs w:val="20"/>
              </w:rPr>
              <w:t>4</w:t>
            </w:r>
            <w:r w:rsidR="00215143">
              <w:rPr>
                <w:sz w:val="20"/>
                <w:szCs w:val="20"/>
                <w:lang w:val="fr-CA"/>
              </w:rPr>
              <w:pict>
                <v:rect id="_x0000_i1032" style="width:108pt;height:1pt" o:hrpct="0" o:hralign="center" o:hrstd="t" o:hrnoshade="t" o:hr="t" fillcolor="black [3213]" stroked="f"/>
              </w:pict>
            </w:r>
          </w:p>
        </w:tc>
      </w:tr>
      <w:tr w:rsidR="00B75632" w:rsidRPr="00A935AA" w:rsidTr="003B3977">
        <w:trPr>
          <w:cantSplit/>
        </w:trPr>
        <w:tc>
          <w:tcPr>
            <w:tcW w:w="4320" w:type="dxa"/>
            <w:shd w:val="clear" w:color="auto" w:fill="auto"/>
          </w:tcPr>
          <w:p w:rsidR="00B75632" w:rsidRPr="00800D8C" w:rsidRDefault="00B75632" w:rsidP="005F1ED8">
            <w:pPr>
              <w:rPr>
                <w:b/>
                <w:sz w:val="20"/>
                <w:szCs w:val="20"/>
                <w:lang w:val="fr-CA"/>
              </w:rPr>
            </w:pPr>
            <w:r w:rsidRPr="00800D8C">
              <w:rPr>
                <w:b/>
                <w:sz w:val="20"/>
                <w:szCs w:val="20"/>
                <w:lang w:val="fr-CA"/>
              </w:rPr>
              <w:lastRenderedPageBreak/>
              <w:t>Dale Conners</w:t>
            </w:r>
          </w:p>
          <w:p w:rsidR="00B75632" w:rsidRPr="00800D8C" w:rsidRDefault="00B75632" w:rsidP="005F1ED8">
            <w:pPr>
              <w:tabs>
                <w:tab w:val="left" w:pos="-1440"/>
                <w:tab w:val="left" w:pos="-720"/>
              </w:tabs>
              <w:rPr>
                <w:sz w:val="20"/>
                <w:szCs w:val="20"/>
                <w:lang w:val="fr-CA"/>
              </w:rPr>
            </w:pPr>
            <w:r w:rsidRPr="00800D8C">
              <w:rPr>
                <w:sz w:val="20"/>
                <w:szCs w:val="20"/>
                <w:lang w:val="fr-CA"/>
              </w:rPr>
              <w:tab/>
              <w:t>Dale Conners</w:t>
            </w:r>
          </w:p>
          <w:p w:rsidR="00B75632" w:rsidRPr="00800D8C" w:rsidRDefault="00B75632" w:rsidP="005F1ED8">
            <w:pPr>
              <w:tabs>
                <w:tab w:val="left" w:pos="-1440"/>
                <w:tab w:val="left" w:pos="-720"/>
              </w:tabs>
              <w:rPr>
                <w:sz w:val="20"/>
                <w:szCs w:val="20"/>
                <w:lang w:val="fr-CA"/>
              </w:rPr>
            </w:pPr>
          </w:p>
          <w:p w:rsidR="00B75632" w:rsidRPr="00800D8C" w:rsidRDefault="00B75632" w:rsidP="005F1ED8">
            <w:pPr>
              <w:tabs>
                <w:tab w:val="left" w:pos="-1440"/>
                <w:tab w:val="left" w:pos="-720"/>
              </w:tabs>
              <w:rPr>
                <w:sz w:val="20"/>
                <w:szCs w:val="20"/>
                <w:lang w:val="fr-CA"/>
              </w:rPr>
            </w:pPr>
            <w:r w:rsidRPr="00800D8C">
              <w:rPr>
                <w:sz w:val="20"/>
                <w:szCs w:val="20"/>
                <w:lang w:val="fr-CA"/>
              </w:rPr>
              <w:tab/>
              <w:t>v. (36051)</w:t>
            </w:r>
          </w:p>
          <w:p w:rsidR="00B75632" w:rsidRPr="00800D8C" w:rsidRDefault="00B75632" w:rsidP="005F1ED8">
            <w:pPr>
              <w:tabs>
                <w:tab w:val="left" w:pos="-1440"/>
                <w:tab w:val="left" w:pos="-720"/>
              </w:tabs>
              <w:rPr>
                <w:sz w:val="20"/>
                <w:szCs w:val="20"/>
                <w:lang w:val="fr-CA"/>
              </w:rPr>
            </w:pPr>
          </w:p>
          <w:p w:rsidR="00B75632" w:rsidRPr="00A935AA" w:rsidRDefault="00B75632" w:rsidP="005F1ED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B75632" w:rsidRPr="00A935AA" w:rsidRDefault="00B75632" w:rsidP="005F1ED8">
            <w:pPr>
              <w:tabs>
                <w:tab w:val="left" w:pos="-1440"/>
                <w:tab w:val="left" w:pos="-720"/>
              </w:tabs>
              <w:rPr>
                <w:sz w:val="20"/>
                <w:szCs w:val="20"/>
              </w:rPr>
            </w:pPr>
            <w:r w:rsidRPr="00A935AA">
              <w:rPr>
                <w:sz w:val="20"/>
                <w:szCs w:val="20"/>
              </w:rPr>
              <w:tab/>
            </w:r>
            <w:r>
              <w:rPr>
                <w:sz w:val="20"/>
                <w:szCs w:val="20"/>
              </w:rPr>
              <w:t>Aileen K. Jones</w:t>
            </w:r>
          </w:p>
          <w:p w:rsidR="00B75632" w:rsidRPr="00A935AA" w:rsidRDefault="00B75632" w:rsidP="005F1ED8">
            <w:pPr>
              <w:tabs>
                <w:tab w:val="left" w:pos="-1440"/>
                <w:tab w:val="left" w:pos="-720"/>
              </w:tabs>
              <w:rPr>
                <w:sz w:val="20"/>
                <w:szCs w:val="20"/>
              </w:rPr>
            </w:pPr>
            <w:r w:rsidRPr="00A935AA">
              <w:rPr>
                <w:sz w:val="20"/>
                <w:szCs w:val="20"/>
              </w:rPr>
              <w:tab/>
            </w:r>
            <w:r>
              <w:rPr>
                <w:sz w:val="20"/>
                <w:szCs w:val="20"/>
              </w:rPr>
              <w:t>A.G. of Canada</w:t>
            </w:r>
          </w:p>
          <w:p w:rsidR="00B75632" w:rsidRPr="00A935AA" w:rsidRDefault="00B75632" w:rsidP="005F1ED8">
            <w:pPr>
              <w:tabs>
                <w:tab w:val="left" w:pos="-1440"/>
                <w:tab w:val="left" w:pos="-720"/>
              </w:tabs>
              <w:rPr>
                <w:sz w:val="20"/>
                <w:szCs w:val="20"/>
              </w:rPr>
            </w:pPr>
          </w:p>
          <w:p w:rsidR="00B75632" w:rsidRPr="00A935AA" w:rsidRDefault="00B75632" w:rsidP="00B75632">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9</w:t>
            </w:r>
            <w:r w:rsidRPr="00A935AA">
              <w:rPr>
                <w:sz w:val="20"/>
                <w:szCs w:val="20"/>
              </w:rPr>
              <w:t>.201</w:t>
            </w:r>
            <w:r>
              <w:rPr>
                <w:sz w:val="20"/>
                <w:szCs w:val="20"/>
              </w:rPr>
              <w:t>4</w:t>
            </w:r>
            <w:r w:rsidR="0021514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p w:rsidR="00B75632" w:rsidRPr="00A935AA" w:rsidRDefault="00B75632" w:rsidP="00242AEE">
            <w:pPr>
              <w:jc w:val="center"/>
              <w:rPr>
                <w:sz w:val="20"/>
                <w:szCs w:val="20"/>
              </w:rPr>
            </w:pPr>
          </w:p>
        </w:tc>
        <w:tc>
          <w:tcPr>
            <w:tcW w:w="4320" w:type="dxa"/>
            <w:shd w:val="clear" w:color="auto" w:fill="auto"/>
          </w:tcPr>
          <w:p w:rsidR="00B75632" w:rsidRPr="00A935AA" w:rsidRDefault="00B75632" w:rsidP="00B75632">
            <w:pPr>
              <w:rPr>
                <w:b/>
                <w:sz w:val="20"/>
                <w:szCs w:val="20"/>
              </w:rPr>
            </w:pPr>
            <w:r>
              <w:rPr>
                <w:b/>
                <w:sz w:val="20"/>
                <w:szCs w:val="20"/>
              </w:rPr>
              <w:t>Victoria Hollinrake</w:t>
            </w:r>
          </w:p>
          <w:p w:rsidR="00B75632" w:rsidRPr="00A935AA" w:rsidRDefault="00B75632" w:rsidP="00B75632">
            <w:pPr>
              <w:tabs>
                <w:tab w:val="left" w:pos="-1440"/>
                <w:tab w:val="left" w:pos="-720"/>
              </w:tabs>
              <w:rPr>
                <w:sz w:val="20"/>
                <w:szCs w:val="20"/>
              </w:rPr>
            </w:pPr>
            <w:r w:rsidRPr="00A935AA">
              <w:rPr>
                <w:sz w:val="20"/>
                <w:szCs w:val="20"/>
              </w:rPr>
              <w:tab/>
            </w:r>
            <w:r>
              <w:rPr>
                <w:sz w:val="20"/>
                <w:szCs w:val="20"/>
              </w:rPr>
              <w:t>Victoria Hollinrake</w:t>
            </w:r>
          </w:p>
          <w:p w:rsidR="00B75632" w:rsidRPr="00A935AA" w:rsidRDefault="00B75632" w:rsidP="00B75632">
            <w:pPr>
              <w:tabs>
                <w:tab w:val="left" w:pos="-1440"/>
                <w:tab w:val="left" w:pos="-720"/>
              </w:tabs>
              <w:rPr>
                <w:sz w:val="20"/>
                <w:szCs w:val="20"/>
              </w:rPr>
            </w:pPr>
          </w:p>
          <w:p w:rsidR="00B75632" w:rsidRPr="00A935AA" w:rsidRDefault="00B75632" w:rsidP="00B75632">
            <w:pPr>
              <w:tabs>
                <w:tab w:val="left" w:pos="-1440"/>
                <w:tab w:val="left" w:pos="-720"/>
              </w:tabs>
              <w:rPr>
                <w:sz w:val="20"/>
                <w:szCs w:val="20"/>
              </w:rPr>
            </w:pPr>
            <w:r>
              <w:rPr>
                <w:sz w:val="20"/>
                <w:szCs w:val="20"/>
              </w:rPr>
              <w:tab/>
            </w:r>
            <w:r w:rsidRPr="00A935AA">
              <w:rPr>
                <w:sz w:val="20"/>
                <w:szCs w:val="20"/>
              </w:rPr>
              <w:t>v. (3</w:t>
            </w:r>
            <w:r>
              <w:rPr>
                <w:sz w:val="20"/>
                <w:szCs w:val="20"/>
              </w:rPr>
              <w:t>6052</w:t>
            </w:r>
            <w:r w:rsidRPr="00A935AA">
              <w:rPr>
                <w:sz w:val="20"/>
                <w:szCs w:val="20"/>
              </w:rPr>
              <w:t>)</w:t>
            </w:r>
          </w:p>
          <w:p w:rsidR="00B75632" w:rsidRPr="00A935AA" w:rsidRDefault="00B75632" w:rsidP="00B75632">
            <w:pPr>
              <w:tabs>
                <w:tab w:val="left" w:pos="-1440"/>
                <w:tab w:val="left" w:pos="-720"/>
              </w:tabs>
              <w:rPr>
                <w:sz w:val="20"/>
                <w:szCs w:val="20"/>
              </w:rPr>
            </w:pPr>
          </w:p>
          <w:p w:rsidR="00B75632" w:rsidRPr="00A935AA" w:rsidRDefault="00B75632" w:rsidP="00B75632">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B75632" w:rsidRPr="00A935AA" w:rsidRDefault="00B75632" w:rsidP="00B75632">
            <w:pPr>
              <w:tabs>
                <w:tab w:val="left" w:pos="-1440"/>
                <w:tab w:val="left" w:pos="-720"/>
              </w:tabs>
              <w:rPr>
                <w:sz w:val="20"/>
                <w:szCs w:val="20"/>
              </w:rPr>
            </w:pPr>
            <w:r w:rsidRPr="00A935AA">
              <w:rPr>
                <w:sz w:val="20"/>
                <w:szCs w:val="20"/>
              </w:rPr>
              <w:tab/>
            </w:r>
            <w:r>
              <w:rPr>
                <w:sz w:val="20"/>
                <w:szCs w:val="20"/>
              </w:rPr>
              <w:t>Aileen K. Jones</w:t>
            </w:r>
          </w:p>
          <w:p w:rsidR="00B75632" w:rsidRPr="00A935AA" w:rsidRDefault="00B75632" w:rsidP="00B75632">
            <w:pPr>
              <w:tabs>
                <w:tab w:val="left" w:pos="-1440"/>
                <w:tab w:val="left" w:pos="-720"/>
              </w:tabs>
              <w:rPr>
                <w:sz w:val="20"/>
                <w:szCs w:val="20"/>
              </w:rPr>
            </w:pPr>
            <w:r w:rsidRPr="00A935AA">
              <w:rPr>
                <w:sz w:val="20"/>
                <w:szCs w:val="20"/>
              </w:rPr>
              <w:tab/>
            </w:r>
            <w:r>
              <w:rPr>
                <w:sz w:val="20"/>
                <w:szCs w:val="20"/>
              </w:rPr>
              <w:t>A.G. of Canada</w:t>
            </w:r>
          </w:p>
          <w:p w:rsidR="00B75632" w:rsidRPr="00A935AA" w:rsidRDefault="00B75632" w:rsidP="00B75632">
            <w:pPr>
              <w:tabs>
                <w:tab w:val="left" w:pos="-1440"/>
                <w:tab w:val="left" w:pos="-720"/>
              </w:tabs>
              <w:rPr>
                <w:sz w:val="20"/>
                <w:szCs w:val="20"/>
              </w:rPr>
            </w:pPr>
          </w:p>
          <w:p w:rsidR="00B75632" w:rsidRPr="00A935AA" w:rsidRDefault="00B75632" w:rsidP="00B75632">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9</w:t>
            </w:r>
            <w:r w:rsidRPr="00A935AA">
              <w:rPr>
                <w:sz w:val="20"/>
                <w:szCs w:val="20"/>
              </w:rPr>
              <w:t>.201</w:t>
            </w:r>
            <w:r>
              <w:rPr>
                <w:sz w:val="20"/>
                <w:szCs w:val="20"/>
              </w:rPr>
              <w:t>4</w:t>
            </w:r>
            <w:r w:rsidR="00215143">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B75632" w:rsidP="005F1ED8">
            <w:pPr>
              <w:rPr>
                <w:b/>
                <w:sz w:val="20"/>
                <w:szCs w:val="20"/>
              </w:rPr>
            </w:pPr>
            <w:r>
              <w:rPr>
                <w:b/>
                <w:sz w:val="20"/>
                <w:szCs w:val="20"/>
              </w:rPr>
              <w:t>Anthony Van Edig</w:t>
            </w:r>
          </w:p>
          <w:p w:rsidR="00C21644" w:rsidRPr="00A935AA" w:rsidRDefault="00C21644" w:rsidP="005F1ED8">
            <w:pPr>
              <w:tabs>
                <w:tab w:val="left" w:pos="-1440"/>
                <w:tab w:val="left" w:pos="-720"/>
              </w:tabs>
              <w:rPr>
                <w:sz w:val="20"/>
                <w:szCs w:val="20"/>
              </w:rPr>
            </w:pPr>
            <w:r w:rsidRPr="00A935AA">
              <w:rPr>
                <w:sz w:val="20"/>
                <w:szCs w:val="20"/>
              </w:rPr>
              <w:tab/>
            </w:r>
            <w:r w:rsidR="00B75632">
              <w:rPr>
                <w:sz w:val="20"/>
                <w:szCs w:val="20"/>
              </w:rPr>
              <w:t>Anthony Van Edig</w:t>
            </w:r>
          </w:p>
          <w:p w:rsidR="00C21644" w:rsidRPr="00A935AA" w:rsidRDefault="00C21644" w:rsidP="005F1ED8">
            <w:pPr>
              <w:tabs>
                <w:tab w:val="left" w:pos="-1440"/>
                <w:tab w:val="left" w:pos="-720"/>
              </w:tabs>
              <w:rPr>
                <w:sz w:val="20"/>
                <w:szCs w:val="20"/>
              </w:rPr>
            </w:pPr>
          </w:p>
          <w:p w:rsidR="00B75632" w:rsidRPr="00A935AA" w:rsidRDefault="00C21644" w:rsidP="00B75632">
            <w:pPr>
              <w:tabs>
                <w:tab w:val="left" w:pos="-1440"/>
                <w:tab w:val="left" w:pos="-720"/>
              </w:tabs>
              <w:rPr>
                <w:sz w:val="20"/>
                <w:szCs w:val="20"/>
              </w:rPr>
            </w:pPr>
            <w:r w:rsidRPr="00A935AA">
              <w:rPr>
                <w:sz w:val="20"/>
                <w:szCs w:val="20"/>
              </w:rPr>
              <w:tab/>
            </w:r>
            <w:r w:rsidR="00B75632" w:rsidRPr="00A935AA">
              <w:rPr>
                <w:sz w:val="20"/>
                <w:szCs w:val="20"/>
              </w:rPr>
              <w:t>v. (3</w:t>
            </w:r>
            <w:r w:rsidR="00B75632">
              <w:rPr>
                <w:sz w:val="20"/>
                <w:szCs w:val="20"/>
              </w:rPr>
              <w:t>6053</w:t>
            </w:r>
            <w:r w:rsidR="00B75632" w:rsidRPr="00A935AA">
              <w:rPr>
                <w:sz w:val="20"/>
                <w:szCs w:val="20"/>
              </w:rPr>
              <w:t>)</w:t>
            </w:r>
          </w:p>
          <w:p w:rsidR="00B75632" w:rsidRPr="00A935AA" w:rsidRDefault="00B75632" w:rsidP="00B75632">
            <w:pPr>
              <w:tabs>
                <w:tab w:val="left" w:pos="-1440"/>
                <w:tab w:val="left" w:pos="-720"/>
              </w:tabs>
              <w:rPr>
                <w:sz w:val="20"/>
                <w:szCs w:val="20"/>
              </w:rPr>
            </w:pPr>
          </w:p>
          <w:p w:rsidR="00B75632" w:rsidRPr="00A935AA" w:rsidRDefault="00B75632" w:rsidP="00B75632">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B75632" w:rsidRPr="00A935AA" w:rsidRDefault="00B75632" w:rsidP="00B75632">
            <w:pPr>
              <w:tabs>
                <w:tab w:val="left" w:pos="-1440"/>
                <w:tab w:val="left" w:pos="-720"/>
              </w:tabs>
              <w:rPr>
                <w:sz w:val="20"/>
                <w:szCs w:val="20"/>
              </w:rPr>
            </w:pPr>
            <w:r w:rsidRPr="00A935AA">
              <w:rPr>
                <w:sz w:val="20"/>
                <w:szCs w:val="20"/>
              </w:rPr>
              <w:tab/>
            </w:r>
            <w:r>
              <w:rPr>
                <w:sz w:val="20"/>
                <w:szCs w:val="20"/>
              </w:rPr>
              <w:t>Aileen K. Jones</w:t>
            </w:r>
          </w:p>
          <w:p w:rsidR="00B75632" w:rsidRPr="00A935AA" w:rsidRDefault="00B75632" w:rsidP="00B75632">
            <w:pPr>
              <w:tabs>
                <w:tab w:val="left" w:pos="-1440"/>
                <w:tab w:val="left" w:pos="-720"/>
              </w:tabs>
              <w:rPr>
                <w:sz w:val="20"/>
                <w:szCs w:val="20"/>
              </w:rPr>
            </w:pPr>
            <w:r w:rsidRPr="00A935AA">
              <w:rPr>
                <w:sz w:val="20"/>
                <w:szCs w:val="20"/>
              </w:rPr>
              <w:tab/>
            </w:r>
            <w:r>
              <w:rPr>
                <w:sz w:val="20"/>
                <w:szCs w:val="20"/>
              </w:rPr>
              <w:t>A.G. of Canada</w:t>
            </w:r>
          </w:p>
          <w:p w:rsidR="00B75632" w:rsidRPr="00A935AA" w:rsidRDefault="00B75632" w:rsidP="00B75632">
            <w:pPr>
              <w:tabs>
                <w:tab w:val="left" w:pos="-1440"/>
                <w:tab w:val="left" w:pos="-720"/>
              </w:tabs>
              <w:rPr>
                <w:sz w:val="20"/>
                <w:szCs w:val="20"/>
              </w:rPr>
            </w:pPr>
          </w:p>
          <w:p w:rsidR="00B75632" w:rsidRPr="00A935AA" w:rsidRDefault="00B75632" w:rsidP="00B75632">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9</w:t>
            </w:r>
            <w:r w:rsidRPr="00A935AA">
              <w:rPr>
                <w:sz w:val="20"/>
                <w:szCs w:val="20"/>
              </w:rPr>
              <w:t>.201</w:t>
            </w:r>
            <w:r>
              <w:rPr>
                <w:sz w:val="20"/>
                <w:szCs w:val="20"/>
              </w:rPr>
              <w:t>4</w:t>
            </w:r>
          </w:p>
          <w:p w:rsidR="00C21644" w:rsidRPr="00A935AA" w:rsidRDefault="00215143" w:rsidP="00B75632">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B75632" w:rsidP="005F1ED8">
            <w:pPr>
              <w:rPr>
                <w:b/>
                <w:sz w:val="20"/>
                <w:szCs w:val="20"/>
              </w:rPr>
            </w:pPr>
            <w:r>
              <w:rPr>
                <w:b/>
                <w:sz w:val="20"/>
                <w:szCs w:val="20"/>
              </w:rPr>
              <w:t>S.A.</w:t>
            </w:r>
          </w:p>
          <w:p w:rsidR="00C21644" w:rsidRPr="00A935AA" w:rsidRDefault="00C21644" w:rsidP="005F1ED8">
            <w:pPr>
              <w:tabs>
                <w:tab w:val="left" w:pos="-1440"/>
                <w:tab w:val="left" w:pos="-720"/>
              </w:tabs>
              <w:rPr>
                <w:sz w:val="20"/>
                <w:szCs w:val="20"/>
              </w:rPr>
            </w:pPr>
            <w:r w:rsidRPr="00A935AA">
              <w:rPr>
                <w:sz w:val="20"/>
                <w:szCs w:val="20"/>
              </w:rPr>
              <w:tab/>
            </w:r>
            <w:r w:rsidR="00B75632">
              <w:rPr>
                <w:sz w:val="20"/>
                <w:szCs w:val="20"/>
              </w:rPr>
              <w:t>Patricia Yuzwenko</w:t>
            </w:r>
          </w:p>
          <w:p w:rsidR="00C21644" w:rsidRPr="00A935AA" w:rsidRDefault="00C21644" w:rsidP="005F1ED8">
            <w:pPr>
              <w:tabs>
                <w:tab w:val="left" w:pos="-1440"/>
                <w:tab w:val="left" w:pos="-720"/>
              </w:tabs>
              <w:rPr>
                <w:sz w:val="20"/>
                <w:szCs w:val="20"/>
              </w:rPr>
            </w:pPr>
            <w:r w:rsidRPr="00A935AA">
              <w:rPr>
                <w:sz w:val="20"/>
                <w:szCs w:val="20"/>
              </w:rPr>
              <w:tab/>
            </w:r>
            <w:r w:rsidR="00B75632">
              <w:rPr>
                <w:sz w:val="20"/>
                <w:szCs w:val="20"/>
              </w:rPr>
              <w:t>Youth Criminal Defence Office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75632">
              <w:rPr>
                <w:sz w:val="20"/>
                <w:szCs w:val="20"/>
              </w:rPr>
              <w:t>60</w:t>
            </w:r>
            <w:r>
              <w:rPr>
                <w:sz w:val="20"/>
                <w:szCs w:val="20"/>
              </w:rPr>
              <w:t>5</w:t>
            </w:r>
            <w:r w:rsidR="00B75632">
              <w:rPr>
                <w:sz w:val="20"/>
                <w:szCs w:val="20"/>
              </w:rPr>
              <w:t>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75632"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75632">
              <w:rPr>
                <w:sz w:val="20"/>
                <w:szCs w:val="20"/>
              </w:rPr>
              <w:t>Keith A. Joyce</w:t>
            </w:r>
          </w:p>
          <w:p w:rsidR="00C21644" w:rsidRPr="00A935AA" w:rsidRDefault="00C21644" w:rsidP="005F1ED8">
            <w:pPr>
              <w:tabs>
                <w:tab w:val="left" w:pos="-1440"/>
                <w:tab w:val="left" w:pos="-720"/>
              </w:tabs>
              <w:rPr>
                <w:sz w:val="20"/>
                <w:szCs w:val="20"/>
              </w:rPr>
            </w:pPr>
            <w:r w:rsidRPr="00A935AA">
              <w:rPr>
                <w:sz w:val="20"/>
                <w:szCs w:val="20"/>
              </w:rPr>
              <w:tab/>
            </w:r>
            <w:r w:rsidR="00B75632">
              <w:rPr>
                <w:sz w:val="20"/>
                <w:szCs w:val="20"/>
              </w:rPr>
              <w:t>Department of Justice</w:t>
            </w:r>
          </w:p>
          <w:p w:rsidR="00C21644" w:rsidRPr="00A935AA" w:rsidRDefault="00C21644" w:rsidP="005F1ED8">
            <w:pPr>
              <w:tabs>
                <w:tab w:val="left" w:pos="-1440"/>
                <w:tab w:val="left" w:pos="-720"/>
              </w:tabs>
              <w:rPr>
                <w:sz w:val="20"/>
                <w:szCs w:val="20"/>
              </w:rPr>
            </w:pPr>
          </w:p>
          <w:p w:rsidR="00C21644" w:rsidRPr="00A935AA" w:rsidRDefault="00B75632" w:rsidP="00B75632">
            <w:pPr>
              <w:rPr>
                <w:sz w:val="20"/>
                <w:szCs w:val="20"/>
              </w:rPr>
            </w:pPr>
            <w:r>
              <w:rPr>
                <w:sz w:val="20"/>
                <w:szCs w:val="20"/>
              </w:rPr>
              <w:t>FILING DATE: 09</w:t>
            </w:r>
            <w:r w:rsidR="00C21644" w:rsidRPr="00A935AA">
              <w:rPr>
                <w:sz w:val="20"/>
                <w:szCs w:val="20"/>
              </w:rPr>
              <w:t>.0</w:t>
            </w:r>
            <w:r>
              <w:rPr>
                <w:sz w:val="20"/>
                <w:szCs w:val="20"/>
              </w:rPr>
              <w:t>9</w:t>
            </w:r>
            <w:r w:rsidR="00C21644" w:rsidRPr="00A935AA">
              <w:rPr>
                <w:sz w:val="20"/>
                <w:szCs w:val="20"/>
              </w:rPr>
              <w:t>.201</w:t>
            </w:r>
            <w:r w:rsidR="00C21644">
              <w:rPr>
                <w:sz w:val="20"/>
                <w:szCs w:val="20"/>
              </w:rPr>
              <w:t>4</w:t>
            </w:r>
            <w:r w:rsidR="00215143">
              <w:rPr>
                <w:sz w:val="20"/>
                <w:szCs w:val="20"/>
                <w:lang w:val="fr-CA"/>
              </w:rPr>
              <w:pict>
                <v:rect id="_x0000_i1036" style="width:108pt;height:1pt" o:hrpct="0" o:hralign="center" o:hrstd="t" o:hrnoshade="t" o:hr="t" fillcolor="black [3213]" stroked="f"/>
              </w:pict>
            </w:r>
          </w:p>
        </w:tc>
      </w:tr>
      <w:tr w:rsidR="0003105D" w:rsidRPr="00A935AA" w:rsidTr="003B3977">
        <w:trPr>
          <w:cantSplit/>
        </w:trPr>
        <w:tc>
          <w:tcPr>
            <w:tcW w:w="4320" w:type="dxa"/>
            <w:shd w:val="clear" w:color="auto" w:fill="auto"/>
          </w:tcPr>
          <w:p w:rsidR="0003105D" w:rsidRPr="00A935AA" w:rsidRDefault="00B75632" w:rsidP="00B75632">
            <w:pPr>
              <w:rPr>
                <w:b/>
                <w:sz w:val="20"/>
                <w:szCs w:val="20"/>
              </w:rPr>
            </w:pPr>
            <w:r>
              <w:rPr>
                <w:b/>
                <w:sz w:val="20"/>
                <w:szCs w:val="20"/>
              </w:rPr>
              <w:t>Canad Corporation of Manitoba Ltd. et al.</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Dave G. Hill</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Hill Sokalski Vincent Walsh Trippier</w:t>
            </w:r>
          </w:p>
          <w:p w:rsidR="0003105D" w:rsidRPr="00A935AA" w:rsidRDefault="0003105D" w:rsidP="00B75632">
            <w:pPr>
              <w:tabs>
                <w:tab w:val="left" w:pos="-1440"/>
                <w:tab w:val="left" w:pos="-720"/>
              </w:tabs>
              <w:rPr>
                <w:sz w:val="20"/>
                <w:szCs w:val="20"/>
              </w:rPr>
            </w:pPr>
          </w:p>
          <w:p w:rsidR="0003105D" w:rsidRPr="00A935AA" w:rsidRDefault="0003105D" w:rsidP="00B75632">
            <w:pPr>
              <w:tabs>
                <w:tab w:val="left" w:pos="-1440"/>
                <w:tab w:val="left" w:pos="-720"/>
              </w:tabs>
              <w:rPr>
                <w:sz w:val="20"/>
                <w:szCs w:val="20"/>
              </w:rPr>
            </w:pPr>
            <w:r w:rsidRPr="00A935AA">
              <w:rPr>
                <w:sz w:val="20"/>
                <w:szCs w:val="20"/>
              </w:rPr>
              <w:tab/>
              <w:t>v. (3</w:t>
            </w:r>
            <w:r w:rsidR="00B75632">
              <w:rPr>
                <w:sz w:val="20"/>
                <w:szCs w:val="20"/>
              </w:rPr>
              <w:t>60</w:t>
            </w:r>
            <w:r>
              <w:rPr>
                <w:sz w:val="20"/>
                <w:szCs w:val="20"/>
              </w:rPr>
              <w:t>5</w:t>
            </w:r>
            <w:r w:rsidR="00B75632">
              <w:rPr>
                <w:sz w:val="20"/>
                <w:szCs w:val="20"/>
              </w:rPr>
              <w:t>8</w:t>
            </w:r>
            <w:r w:rsidRPr="00A935AA">
              <w:rPr>
                <w:sz w:val="20"/>
                <w:szCs w:val="20"/>
              </w:rPr>
              <w:t>)</w:t>
            </w:r>
          </w:p>
          <w:p w:rsidR="0003105D" w:rsidRPr="00A935AA" w:rsidRDefault="0003105D" w:rsidP="00B75632">
            <w:pPr>
              <w:tabs>
                <w:tab w:val="left" w:pos="-1440"/>
                <w:tab w:val="left" w:pos="-720"/>
              </w:tabs>
              <w:rPr>
                <w:sz w:val="20"/>
                <w:szCs w:val="20"/>
              </w:rPr>
            </w:pPr>
          </w:p>
          <w:p w:rsidR="0003105D" w:rsidRPr="00A935AA" w:rsidRDefault="00B75632" w:rsidP="00B75632">
            <w:pPr>
              <w:tabs>
                <w:tab w:val="left" w:pos="-1440"/>
                <w:tab w:val="left" w:pos="-720"/>
              </w:tabs>
              <w:rPr>
                <w:b/>
                <w:sz w:val="20"/>
                <w:szCs w:val="20"/>
              </w:rPr>
            </w:pPr>
            <w:r>
              <w:rPr>
                <w:b/>
                <w:sz w:val="20"/>
                <w:szCs w:val="20"/>
              </w:rPr>
              <w:t xml:space="preserve">Lake Louise Limited Partnership </w:t>
            </w:r>
            <w:r w:rsidR="0003105D" w:rsidRPr="00A935AA">
              <w:rPr>
                <w:b/>
                <w:sz w:val="20"/>
                <w:szCs w:val="20"/>
              </w:rPr>
              <w:t>(</w:t>
            </w:r>
            <w:r>
              <w:rPr>
                <w:b/>
                <w:sz w:val="20"/>
                <w:szCs w:val="20"/>
              </w:rPr>
              <w:t>Ma</w:t>
            </w:r>
            <w:r w:rsidR="0003105D">
              <w:rPr>
                <w:b/>
                <w:sz w:val="20"/>
                <w:szCs w:val="20"/>
              </w:rPr>
              <w:t>n</w:t>
            </w:r>
            <w:r w:rsidR="0003105D" w:rsidRPr="00A935AA">
              <w:rPr>
                <w:b/>
                <w:sz w:val="20"/>
                <w:szCs w:val="20"/>
              </w:rPr>
              <w:t>.)</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Thor J. Hansell</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Aikins, MacAulay &amp; Thorvaldson LLP</w:t>
            </w:r>
          </w:p>
          <w:p w:rsidR="0003105D" w:rsidRPr="00A935AA" w:rsidRDefault="0003105D" w:rsidP="00B75632">
            <w:pPr>
              <w:tabs>
                <w:tab w:val="left" w:pos="-1440"/>
                <w:tab w:val="left" w:pos="-720"/>
              </w:tabs>
              <w:rPr>
                <w:sz w:val="20"/>
                <w:szCs w:val="20"/>
              </w:rPr>
            </w:pPr>
          </w:p>
          <w:p w:rsidR="0003105D" w:rsidRPr="00A935AA" w:rsidRDefault="0003105D" w:rsidP="002372C8">
            <w:pPr>
              <w:rPr>
                <w:sz w:val="20"/>
                <w:szCs w:val="20"/>
              </w:rPr>
            </w:pPr>
            <w:r w:rsidRPr="00A935AA">
              <w:rPr>
                <w:sz w:val="20"/>
                <w:szCs w:val="20"/>
              </w:rPr>
              <w:t xml:space="preserve">FILING DATE: </w:t>
            </w:r>
            <w:r w:rsidR="002372C8">
              <w:rPr>
                <w:sz w:val="20"/>
                <w:szCs w:val="20"/>
              </w:rPr>
              <w:t>11</w:t>
            </w:r>
            <w:r w:rsidRPr="00A935AA">
              <w:rPr>
                <w:sz w:val="20"/>
                <w:szCs w:val="20"/>
              </w:rPr>
              <w:t>.0</w:t>
            </w:r>
            <w:r w:rsidR="002372C8">
              <w:rPr>
                <w:sz w:val="20"/>
                <w:szCs w:val="20"/>
              </w:rPr>
              <w:t>9</w:t>
            </w:r>
            <w:r w:rsidRPr="00A935AA">
              <w:rPr>
                <w:sz w:val="20"/>
                <w:szCs w:val="20"/>
              </w:rPr>
              <w:t>.201</w:t>
            </w:r>
            <w:r>
              <w:rPr>
                <w:sz w:val="20"/>
                <w:szCs w:val="20"/>
              </w:rPr>
              <w:t>4</w:t>
            </w:r>
            <w:r w:rsidR="0021514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Default="0003105D" w:rsidP="00242AEE">
            <w:pPr>
              <w:jc w:val="center"/>
              <w:rPr>
                <w:sz w:val="20"/>
                <w:szCs w:val="20"/>
              </w:rPr>
            </w:pPr>
          </w:p>
          <w:p w:rsidR="0003105D" w:rsidRPr="00A935AA" w:rsidRDefault="0003105D" w:rsidP="00242AEE">
            <w:pPr>
              <w:jc w:val="center"/>
              <w:rPr>
                <w:sz w:val="20"/>
                <w:szCs w:val="20"/>
              </w:rPr>
            </w:pPr>
          </w:p>
        </w:tc>
        <w:tc>
          <w:tcPr>
            <w:tcW w:w="4320" w:type="dxa"/>
            <w:shd w:val="clear" w:color="auto" w:fill="auto"/>
          </w:tcPr>
          <w:p w:rsidR="0003105D" w:rsidRDefault="0003105D" w:rsidP="00B75632">
            <w:pPr>
              <w:rPr>
                <w:b/>
                <w:sz w:val="20"/>
                <w:szCs w:val="20"/>
              </w:rPr>
            </w:pPr>
          </w:p>
          <w:p w:rsidR="00B75632" w:rsidRPr="00A935AA" w:rsidRDefault="00B75632" w:rsidP="00B75632">
            <w:pPr>
              <w:rPr>
                <w:b/>
                <w:sz w:val="20"/>
                <w:szCs w:val="20"/>
              </w:rPr>
            </w:pPr>
            <w:r>
              <w:rPr>
                <w:b/>
                <w:sz w:val="20"/>
                <w:szCs w:val="20"/>
              </w:rPr>
              <w:t>Old Navy Property Corporation</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Leonard Hochberg</w:t>
            </w:r>
          </w:p>
          <w:p w:rsidR="0003105D" w:rsidRPr="00A935AA" w:rsidRDefault="0003105D" w:rsidP="00B75632">
            <w:pPr>
              <w:tabs>
                <w:tab w:val="left" w:pos="-1440"/>
                <w:tab w:val="left" w:pos="-720"/>
              </w:tabs>
              <w:rPr>
                <w:sz w:val="20"/>
                <w:szCs w:val="20"/>
              </w:rPr>
            </w:pPr>
          </w:p>
          <w:p w:rsidR="0003105D" w:rsidRPr="00A935AA" w:rsidRDefault="0003105D" w:rsidP="00B75632">
            <w:pPr>
              <w:tabs>
                <w:tab w:val="left" w:pos="-1440"/>
                <w:tab w:val="left" w:pos="-720"/>
              </w:tabs>
              <w:rPr>
                <w:sz w:val="20"/>
                <w:szCs w:val="20"/>
              </w:rPr>
            </w:pPr>
            <w:r w:rsidRPr="00A935AA">
              <w:rPr>
                <w:sz w:val="20"/>
                <w:szCs w:val="20"/>
              </w:rPr>
              <w:tab/>
              <w:t>v. (3</w:t>
            </w:r>
            <w:r w:rsidR="00B75632">
              <w:rPr>
                <w:sz w:val="20"/>
                <w:szCs w:val="20"/>
              </w:rPr>
              <w:t>6061</w:t>
            </w:r>
            <w:r w:rsidRPr="00A935AA">
              <w:rPr>
                <w:sz w:val="20"/>
                <w:szCs w:val="20"/>
              </w:rPr>
              <w:t>)</w:t>
            </w:r>
          </w:p>
          <w:p w:rsidR="0003105D" w:rsidRPr="00A935AA" w:rsidRDefault="0003105D" w:rsidP="00B75632">
            <w:pPr>
              <w:tabs>
                <w:tab w:val="left" w:pos="-1440"/>
                <w:tab w:val="left" w:pos="-720"/>
              </w:tabs>
              <w:rPr>
                <w:sz w:val="20"/>
                <w:szCs w:val="20"/>
              </w:rPr>
            </w:pPr>
          </w:p>
          <w:p w:rsidR="0003105D" w:rsidRPr="00A935AA" w:rsidRDefault="00B75632" w:rsidP="00B75632">
            <w:pPr>
              <w:tabs>
                <w:tab w:val="left" w:pos="-1440"/>
                <w:tab w:val="left" w:pos="-720"/>
              </w:tabs>
              <w:rPr>
                <w:b/>
                <w:sz w:val="20"/>
                <w:szCs w:val="20"/>
              </w:rPr>
            </w:pPr>
            <w:r>
              <w:rPr>
                <w:b/>
                <w:sz w:val="20"/>
                <w:szCs w:val="20"/>
              </w:rPr>
              <w:t xml:space="preserve">Her Majesty the Queen </w:t>
            </w:r>
            <w:r w:rsidR="0003105D" w:rsidRPr="00A935AA">
              <w:rPr>
                <w:b/>
                <w:sz w:val="20"/>
                <w:szCs w:val="20"/>
              </w:rPr>
              <w:t>(</w:t>
            </w:r>
            <w:r w:rsidR="0003105D">
              <w:rPr>
                <w:b/>
                <w:sz w:val="20"/>
                <w:szCs w:val="20"/>
              </w:rPr>
              <w:t>Ont</w:t>
            </w:r>
            <w:r w:rsidR="0003105D" w:rsidRPr="00A935AA">
              <w:rPr>
                <w:b/>
                <w:sz w:val="20"/>
                <w:szCs w:val="20"/>
              </w:rPr>
              <w:t>.)</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Niall Gilks</w:t>
            </w:r>
          </w:p>
          <w:p w:rsidR="0003105D" w:rsidRPr="00A935AA" w:rsidRDefault="0003105D" w:rsidP="00B75632">
            <w:pPr>
              <w:tabs>
                <w:tab w:val="left" w:pos="-1440"/>
                <w:tab w:val="left" w:pos="-720"/>
              </w:tabs>
              <w:rPr>
                <w:sz w:val="20"/>
                <w:szCs w:val="20"/>
              </w:rPr>
            </w:pPr>
            <w:r w:rsidRPr="00A935AA">
              <w:rPr>
                <w:sz w:val="20"/>
                <w:szCs w:val="20"/>
              </w:rPr>
              <w:tab/>
            </w:r>
            <w:r w:rsidR="00B75632">
              <w:rPr>
                <w:sz w:val="20"/>
                <w:szCs w:val="20"/>
              </w:rPr>
              <w:t>Public Prosecution Service of Canada</w:t>
            </w:r>
          </w:p>
          <w:p w:rsidR="0003105D" w:rsidRPr="00A935AA" w:rsidRDefault="0003105D" w:rsidP="00B75632">
            <w:pPr>
              <w:tabs>
                <w:tab w:val="left" w:pos="-1440"/>
                <w:tab w:val="left" w:pos="-720"/>
              </w:tabs>
              <w:rPr>
                <w:sz w:val="20"/>
                <w:szCs w:val="20"/>
              </w:rPr>
            </w:pPr>
          </w:p>
          <w:p w:rsidR="0003105D" w:rsidRPr="00A935AA" w:rsidRDefault="0003105D" w:rsidP="00B75632">
            <w:pPr>
              <w:rPr>
                <w:sz w:val="20"/>
                <w:szCs w:val="20"/>
              </w:rPr>
            </w:pPr>
            <w:r w:rsidRPr="00A935AA">
              <w:rPr>
                <w:sz w:val="20"/>
                <w:szCs w:val="20"/>
              </w:rPr>
              <w:t xml:space="preserve">FILING DATE: </w:t>
            </w:r>
            <w:r w:rsidR="00B75632">
              <w:rPr>
                <w:sz w:val="20"/>
                <w:szCs w:val="20"/>
              </w:rPr>
              <w:t>1</w:t>
            </w:r>
            <w:r w:rsidRPr="00A935AA">
              <w:rPr>
                <w:sz w:val="20"/>
                <w:szCs w:val="20"/>
              </w:rPr>
              <w:t>2.0</w:t>
            </w:r>
            <w:r w:rsidR="00B75632">
              <w:rPr>
                <w:sz w:val="20"/>
                <w:szCs w:val="20"/>
              </w:rPr>
              <w:t>9</w:t>
            </w:r>
            <w:r w:rsidRPr="00A935AA">
              <w:rPr>
                <w:sz w:val="20"/>
                <w:szCs w:val="20"/>
              </w:rPr>
              <w:t>.201</w:t>
            </w:r>
            <w:r>
              <w:rPr>
                <w:sz w:val="20"/>
                <w:szCs w:val="20"/>
              </w:rPr>
              <w:t>4</w:t>
            </w:r>
            <w:r w:rsidR="00215143">
              <w:rPr>
                <w:sz w:val="20"/>
                <w:szCs w:val="20"/>
                <w:lang w:val="fr-CA"/>
              </w:rPr>
              <w:pict>
                <v:rect id="_x0000_i1038" style="width:108pt;height:1pt" o:hrpct="0" o:hralign="center" o:hrstd="t" o:hrnoshade="t" o:hr="t" fillcolor="black [3213]" stroked="f"/>
              </w:pict>
            </w:r>
          </w:p>
        </w:tc>
      </w:tr>
      <w:tr w:rsidR="00B75632" w:rsidRPr="00A935AA" w:rsidTr="003B3977">
        <w:trPr>
          <w:cantSplit/>
        </w:trPr>
        <w:tc>
          <w:tcPr>
            <w:tcW w:w="4320" w:type="dxa"/>
            <w:shd w:val="clear" w:color="auto" w:fill="auto"/>
          </w:tcPr>
          <w:p w:rsidR="00B75632" w:rsidRPr="00A935AA" w:rsidRDefault="007D6FA6" w:rsidP="00B75632">
            <w:pPr>
              <w:rPr>
                <w:b/>
                <w:sz w:val="20"/>
                <w:szCs w:val="20"/>
              </w:rPr>
            </w:pPr>
            <w:r>
              <w:rPr>
                <w:b/>
                <w:sz w:val="20"/>
                <w:szCs w:val="20"/>
              </w:rPr>
              <w:t>Frederick O’Donnell</w:t>
            </w:r>
          </w:p>
          <w:p w:rsidR="00B75632" w:rsidRPr="00A935AA" w:rsidRDefault="00B75632" w:rsidP="00B75632">
            <w:pPr>
              <w:tabs>
                <w:tab w:val="left" w:pos="-1440"/>
                <w:tab w:val="left" w:pos="-720"/>
              </w:tabs>
              <w:rPr>
                <w:sz w:val="20"/>
                <w:szCs w:val="20"/>
              </w:rPr>
            </w:pPr>
            <w:r w:rsidRPr="00A935AA">
              <w:rPr>
                <w:sz w:val="20"/>
                <w:szCs w:val="20"/>
              </w:rPr>
              <w:tab/>
            </w:r>
            <w:r w:rsidR="007D6FA6">
              <w:rPr>
                <w:sz w:val="20"/>
                <w:szCs w:val="20"/>
              </w:rPr>
              <w:t>Jill R. Presser</w:t>
            </w:r>
          </w:p>
          <w:p w:rsidR="00B75632" w:rsidRPr="00A935AA" w:rsidRDefault="00B75632" w:rsidP="00B75632">
            <w:pPr>
              <w:tabs>
                <w:tab w:val="left" w:pos="-1440"/>
                <w:tab w:val="left" w:pos="-720"/>
              </w:tabs>
              <w:rPr>
                <w:sz w:val="20"/>
                <w:szCs w:val="20"/>
              </w:rPr>
            </w:pPr>
            <w:r w:rsidRPr="00A935AA">
              <w:rPr>
                <w:sz w:val="20"/>
                <w:szCs w:val="20"/>
              </w:rPr>
              <w:tab/>
            </w:r>
            <w:r w:rsidR="007D6FA6">
              <w:rPr>
                <w:sz w:val="20"/>
                <w:szCs w:val="20"/>
              </w:rPr>
              <w:t>Schreck Presser LLP</w:t>
            </w:r>
          </w:p>
          <w:p w:rsidR="00B75632" w:rsidRPr="00A935AA" w:rsidRDefault="00B75632" w:rsidP="00B75632">
            <w:pPr>
              <w:tabs>
                <w:tab w:val="left" w:pos="-1440"/>
                <w:tab w:val="left" w:pos="-720"/>
              </w:tabs>
              <w:rPr>
                <w:sz w:val="20"/>
                <w:szCs w:val="20"/>
              </w:rPr>
            </w:pPr>
          </w:p>
          <w:p w:rsidR="00B75632" w:rsidRPr="00A935AA" w:rsidRDefault="00B75632" w:rsidP="00B75632">
            <w:pPr>
              <w:tabs>
                <w:tab w:val="left" w:pos="-1440"/>
                <w:tab w:val="left" w:pos="-720"/>
              </w:tabs>
              <w:rPr>
                <w:sz w:val="20"/>
                <w:szCs w:val="20"/>
              </w:rPr>
            </w:pPr>
            <w:r w:rsidRPr="00A935AA">
              <w:rPr>
                <w:sz w:val="20"/>
                <w:szCs w:val="20"/>
              </w:rPr>
              <w:tab/>
              <w:t>v. (3</w:t>
            </w:r>
            <w:r w:rsidR="007D6FA6">
              <w:rPr>
                <w:sz w:val="20"/>
                <w:szCs w:val="20"/>
              </w:rPr>
              <w:t>6054</w:t>
            </w:r>
            <w:r w:rsidRPr="00A935AA">
              <w:rPr>
                <w:sz w:val="20"/>
                <w:szCs w:val="20"/>
              </w:rPr>
              <w:t>)</w:t>
            </w:r>
          </w:p>
          <w:p w:rsidR="00B75632" w:rsidRPr="00A935AA" w:rsidRDefault="00B75632" w:rsidP="00B75632">
            <w:pPr>
              <w:tabs>
                <w:tab w:val="left" w:pos="-1440"/>
                <w:tab w:val="left" w:pos="-720"/>
              </w:tabs>
              <w:rPr>
                <w:sz w:val="20"/>
                <w:szCs w:val="20"/>
              </w:rPr>
            </w:pPr>
          </w:p>
          <w:p w:rsidR="00B75632" w:rsidRPr="00A935AA" w:rsidRDefault="007D6FA6" w:rsidP="00B75632">
            <w:pPr>
              <w:tabs>
                <w:tab w:val="left" w:pos="-1440"/>
                <w:tab w:val="left" w:pos="-720"/>
              </w:tabs>
              <w:rPr>
                <w:b/>
                <w:sz w:val="20"/>
                <w:szCs w:val="20"/>
              </w:rPr>
            </w:pPr>
            <w:r>
              <w:rPr>
                <w:b/>
                <w:sz w:val="20"/>
                <w:szCs w:val="20"/>
              </w:rPr>
              <w:t xml:space="preserve">Her Majesty the Queen et al. </w:t>
            </w:r>
            <w:r w:rsidR="00B75632" w:rsidRPr="00A935AA">
              <w:rPr>
                <w:b/>
                <w:sz w:val="20"/>
                <w:szCs w:val="20"/>
              </w:rPr>
              <w:t>(</w:t>
            </w:r>
            <w:r w:rsidR="00B75632">
              <w:rPr>
                <w:b/>
                <w:sz w:val="20"/>
                <w:szCs w:val="20"/>
              </w:rPr>
              <w:t>Ont</w:t>
            </w:r>
            <w:r w:rsidR="00B75632" w:rsidRPr="00A935AA">
              <w:rPr>
                <w:b/>
                <w:sz w:val="20"/>
                <w:szCs w:val="20"/>
              </w:rPr>
              <w:t>.)</w:t>
            </w:r>
          </w:p>
          <w:p w:rsidR="00B75632" w:rsidRPr="00A935AA" w:rsidRDefault="00B75632" w:rsidP="00B75632">
            <w:pPr>
              <w:tabs>
                <w:tab w:val="left" w:pos="-1440"/>
                <w:tab w:val="left" w:pos="-720"/>
              </w:tabs>
              <w:rPr>
                <w:sz w:val="20"/>
                <w:szCs w:val="20"/>
              </w:rPr>
            </w:pPr>
            <w:r w:rsidRPr="00A935AA">
              <w:rPr>
                <w:sz w:val="20"/>
                <w:szCs w:val="20"/>
              </w:rPr>
              <w:tab/>
            </w:r>
            <w:r w:rsidR="007D6FA6">
              <w:rPr>
                <w:sz w:val="20"/>
                <w:szCs w:val="20"/>
              </w:rPr>
              <w:t>Andreea Baiasu</w:t>
            </w:r>
          </w:p>
          <w:p w:rsidR="00B75632" w:rsidRPr="00A935AA" w:rsidRDefault="00B75632" w:rsidP="00B75632">
            <w:pPr>
              <w:tabs>
                <w:tab w:val="left" w:pos="-1440"/>
                <w:tab w:val="left" w:pos="-720"/>
              </w:tabs>
              <w:rPr>
                <w:sz w:val="20"/>
                <w:szCs w:val="20"/>
              </w:rPr>
            </w:pPr>
            <w:r w:rsidRPr="00A935AA">
              <w:rPr>
                <w:sz w:val="20"/>
                <w:szCs w:val="20"/>
              </w:rPr>
              <w:tab/>
            </w:r>
            <w:r w:rsidR="007D6FA6">
              <w:rPr>
                <w:sz w:val="20"/>
                <w:szCs w:val="20"/>
              </w:rPr>
              <w:t>A.G. of Ontario</w:t>
            </w:r>
          </w:p>
          <w:p w:rsidR="00B75632" w:rsidRPr="00A935AA" w:rsidRDefault="00B75632" w:rsidP="00B75632">
            <w:pPr>
              <w:tabs>
                <w:tab w:val="left" w:pos="-1440"/>
                <w:tab w:val="left" w:pos="-720"/>
              </w:tabs>
              <w:rPr>
                <w:sz w:val="20"/>
                <w:szCs w:val="20"/>
              </w:rPr>
            </w:pPr>
          </w:p>
          <w:p w:rsidR="00B75632" w:rsidRPr="00A935AA" w:rsidRDefault="00B75632" w:rsidP="007D6FA6">
            <w:pPr>
              <w:rPr>
                <w:sz w:val="20"/>
                <w:szCs w:val="20"/>
              </w:rPr>
            </w:pPr>
            <w:r w:rsidRPr="00A935AA">
              <w:rPr>
                <w:sz w:val="20"/>
                <w:szCs w:val="20"/>
              </w:rPr>
              <w:t xml:space="preserve">FILING DATE: </w:t>
            </w:r>
            <w:r w:rsidR="007D6FA6">
              <w:rPr>
                <w:sz w:val="20"/>
                <w:szCs w:val="20"/>
              </w:rPr>
              <w:t>15</w:t>
            </w:r>
            <w:r w:rsidRPr="00A935AA">
              <w:rPr>
                <w:sz w:val="20"/>
                <w:szCs w:val="20"/>
              </w:rPr>
              <w:t>.0</w:t>
            </w:r>
            <w:r w:rsidR="007D6FA6">
              <w:rPr>
                <w:sz w:val="20"/>
                <w:szCs w:val="20"/>
              </w:rPr>
              <w:t>9</w:t>
            </w:r>
            <w:r w:rsidRPr="00A935AA">
              <w:rPr>
                <w:sz w:val="20"/>
                <w:szCs w:val="20"/>
              </w:rPr>
              <w:t>.201</w:t>
            </w:r>
            <w:r>
              <w:rPr>
                <w:sz w:val="20"/>
                <w:szCs w:val="20"/>
              </w:rPr>
              <w:t>4</w:t>
            </w:r>
            <w:r w:rsidR="0021514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Default="00B75632" w:rsidP="00242AEE">
            <w:pPr>
              <w:jc w:val="center"/>
              <w:rPr>
                <w:sz w:val="20"/>
                <w:szCs w:val="20"/>
              </w:rPr>
            </w:pPr>
          </w:p>
          <w:p w:rsidR="00B75632" w:rsidRPr="00A935AA" w:rsidRDefault="00B75632" w:rsidP="00242AEE">
            <w:pPr>
              <w:jc w:val="center"/>
              <w:rPr>
                <w:sz w:val="20"/>
                <w:szCs w:val="20"/>
              </w:rPr>
            </w:pPr>
          </w:p>
        </w:tc>
        <w:tc>
          <w:tcPr>
            <w:tcW w:w="4320" w:type="dxa"/>
            <w:shd w:val="clear" w:color="auto" w:fill="auto"/>
          </w:tcPr>
          <w:p w:rsidR="00B75632" w:rsidRPr="007D6FA6" w:rsidRDefault="00B75632" w:rsidP="00B75632">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A7BAA">
          <w:headerReference w:type="default" r:id="rId16"/>
          <w:footerReference w:type="default" r:id="rId17"/>
          <w:headerReference w:type="first" r:id="rId18"/>
          <w:footerReference w:type="first" r:id="rId19"/>
          <w:pgSz w:w="12240" w:h="15840"/>
          <w:pgMar w:top="720" w:right="965" w:bottom="1080" w:left="1656" w:header="706" w:footer="706" w:gutter="0"/>
          <w:pgNumType w:start="142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1514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800D8C">
              <w:rPr>
                <w:b/>
                <w:szCs w:val="24"/>
                <w:lang w:val="fr-CA"/>
              </w:rPr>
              <w:t xml:space="preserve">DEMANDES SOUMISES À LA COUR DEPUIS LA </w:t>
            </w:r>
            <w:r w:rsidRPr="001D0D5F">
              <w:rPr>
                <w:b/>
                <w:szCs w:val="24"/>
                <w:lang w:val="fr-CA"/>
              </w:rPr>
              <w:t>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14F1C" w:rsidP="00CB3520">
      <w:pPr>
        <w:widowControl w:val="0"/>
        <w:rPr>
          <w:b/>
          <w:sz w:val="20"/>
          <w:szCs w:val="20"/>
        </w:rPr>
      </w:pPr>
      <w:r>
        <w:rPr>
          <w:b/>
          <w:sz w:val="20"/>
          <w:szCs w:val="20"/>
        </w:rPr>
        <w:t>SEPTEMBER</w:t>
      </w:r>
      <w:r w:rsidR="00CB3520">
        <w:rPr>
          <w:b/>
          <w:sz w:val="20"/>
          <w:szCs w:val="20"/>
        </w:rPr>
        <w:t xml:space="preserve"> 2</w:t>
      </w:r>
      <w:r>
        <w:rPr>
          <w:b/>
          <w:sz w:val="20"/>
          <w:szCs w:val="20"/>
        </w:rPr>
        <w:t>2</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2</w:t>
      </w:r>
      <w:r>
        <w:rPr>
          <w:b/>
          <w:sz w:val="20"/>
          <w:szCs w:val="20"/>
        </w:rPr>
        <w:t>2</w:t>
      </w:r>
      <w:r w:rsidR="00CB3520">
        <w:rPr>
          <w:b/>
          <w:sz w:val="20"/>
          <w:szCs w:val="20"/>
        </w:rPr>
        <w:t xml:space="preserve"> </w:t>
      </w:r>
      <w:r>
        <w:rPr>
          <w:b/>
          <w:sz w:val="20"/>
          <w:szCs w:val="20"/>
        </w:rPr>
        <w:t>SEPTEMBRE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111F25" w:rsidP="00CB3520">
      <w:pPr>
        <w:pStyle w:val="ListParagraph"/>
        <w:widowControl w:val="0"/>
        <w:numPr>
          <w:ilvl w:val="0"/>
          <w:numId w:val="1"/>
        </w:numPr>
        <w:ind w:hanging="720"/>
        <w:jc w:val="both"/>
        <w:rPr>
          <w:sz w:val="20"/>
          <w:szCs w:val="20"/>
        </w:rPr>
      </w:pPr>
      <w:r w:rsidRPr="00111F25">
        <w:rPr>
          <w:i/>
          <w:sz w:val="20"/>
          <w:szCs w:val="20"/>
        </w:rPr>
        <w:t>Aubrey Levin v. Her Majesty the Queen</w:t>
      </w:r>
      <w:r w:rsidRPr="00111F25">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5</w:t>
      </w:r>
      <w:r>
        <w:rPr>
          <w:sz w:val="20"/>
          <w:szCs w:val="20"/>
        </w:rPr>
        <w:t>930</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111F25" w:rsidP="00CB3520">
      <w:pPr>
        <w:pStyle w:val="ListParagraph"/>
        <w:widowControl w:val="0"/>
        <w:numPr>
          <w:ilvl w:val="0"/>
          <w:numId w:val="1"/>
        </w:numPr>
        <w:ind w:hanging="720"/>
        <w:jc w:val="both"/>
        <w:rPr>
          <w:sz w:val="20"/>
          <w:szCs w:val="20"/>
        </w:rPr>
      </w:pPr>
      <w:r w:rsidRPr="00111F25">
        <w:rPr>
          <w:i/>
          <w:sz w:val="20"/>
          <w:szCs w:val="20"/>
          <w:lang w:val="fr-CA"/>
        </w:rPr>
        <w:t>Roger Couture et autre c. Sa Majesté la Reine</w:t>
      </w:r>
      <w:r w:rsidRPr="00111F25">
        <w:rPr>
          <w:sz w:val="20"/>
          <w:szCs w:val="20"/>
          <w:lang w:val="fr-CA"/>
        </w:rPr>
        <w:t xml:space="preserve"> (C.F.) (Civile) (Autorisation)</w:t>
      </w:r>
      <w:r w:rsidRPr="00C612D0">
        <w:rPr>
          <w:sz w:val="20"/>
          <w:szCs w:val="20"/>
        </w:rPr>
        <w:t xml:space="preserve"> </w:t>
      </w:r>
      <w:r w:rsidR="00CB3520" w:rsidRPr="00C612D0">
        <w:rPr>
          <w:sz w:val="20"/>
          <w:szCs w:val="20"/>
        </w:rPr>
        <w:t>(3</w:t>
      </w:r>
      <w:r w:rsidR="00CB3520">
        <w:rPr>
          <w:sz w:val="20"/>
          <w:szCs w:val="20"/>
        </w:rPr>
        <w:t>58</w:t>
      </w:r>
      <w:r>
        <w:rPr>
          <w:sz w:val="20"/>
          <w:szCs w:val="20"/>
        </w:rPr>
        <w:t>09</w:t>
      </w:r>
      <w:r w:rsidR="00CB3520" w:rsidRPr="00C612D0">
        <w:rPr>
          <w:sz w:val="20"/>
          <w:szCs w:val="20"/>
        </w:rPr>
        <w:t>)</w:t>
      </w:r>
    </w:p>
    <w:p w:rsidR="00CB3520" w:rsidRDefault="00CB3520" w:rsidP="00CB3520">
      <w:pPr>
        <w:widowControl w:val="0"/>
        <w:jc w:val="both"/>
        <w:rPr>
          <w:sz w:val="20"/>
          <w:szCs w:val="20"/>
        </w:rPr>
      </w:pPr>
    </w:p>
    <w:p w:rsidR="00111F25" w:rsidRDefault="00111F25" w:rsidP="00CB3520">
      <w:pPr>
        <w:widowControl w:val="0"/>
        <w:jc w:val="both"/>
        <w:rPr>
          <w:sz w:val="20"/>
          <w:szCs w:val="20"/>
        </w:rPr>
      </w:pPr>
    </w:p>
    <w:p w:rsidR="00111F25" w:rsidRPr="00C50A5C" w:rsidRDefault="00111F25" w:rsidP="00111F25">
      <w:pPr>
        <w:widowControl w:val="0"/>
        <w:jc w:val="center"/>
        <w:rPr>
          <w:b/>
          <w:sz w:val="20"/>
          <w:szCs w:val="20"/>
        </w:rPr>
      </w:pPr>
      <w:r w:rsidRPr="00C50A5C">
        <w:rPr>
          <w:b/>
          <w:sz w:val="20"/>
          <w:szCs w:val="20"/>
        </w:rPr>
        <w:t xml:space="preserve">CORAM:  Chief Justice McLachlin and </w:t>
      </w:r>
      <w:r>
        <w:rPr>
          <w:b/>
          <w:sz w:val="20"/>
          <w:szCs w:val="20"/>
        </w:rPr>
        <w:t>LeBel and Cromwell</w:t>
      </w:r>
      <w:r w:rsidRPr="00C50A5C">
        <w:rPr>
          <w:b/>
          <w:sz w:val="20"/>
          <w:szCs w:val="20"/>
        </w:rPr>
        <w:t xml:space="preserve"> JJ.</w:t>
      </w:r>
    </w:p>
    <w:p w:rsidR="00111F25" w:rsidRPr="00C50A5C" w:rsidRDefault="00111F25" w:rsidP="00111F25">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LeBel et Cromwell</w:t>
      </w:r>
    </w:p>
    <w:p w:rsidR="00111F25" w:rsidRPr="00111F25" w:rsidRDefault="00111F25" w:rsidP="00CB3520">
      <w:pPr>
        <w:widowControl w:val="0"/>
        <w:jc w:val="both"/>
        <w:rPr>
          <w:sz w:val="20"/>
          <w:szCs w:val="20"/>
          <w:lang w:val="fr-CA"/>
        </w:rPr>
      </w:pPr>
    </w:p>
    <w:p w:rsidR="00CB3520" w:rsidRPr="00C50A5C" w:rsidRDefault="00111F25" w:rsidP="00CB3520">
      <w:pPr>
        <w:pStyle w:val="ListParagraph"/>
        <w:widowControl w:val="0"/>
        <w:numPr>
          <w:ilvl w:val="0"/>
          <w:numId w:val="1"/>
        </w:numPr>
        <w:ind w:hanging="720"/>
        <w:jc w:val="both"/>
        <w:rPr>
          <w:sz w:val="20"/>
          <w:szCs w:val="20"/>
        </w:rPr>
      </w:pPr>
      <w:r w:rsidRPr="00111F25">
        <w:rPr>
          <w:i/>
          <w:sz w:val="20"/>
          <w:szCs w:val="20"/>
        </w:rPr>
        <w:t>Z v. Her Majesty the Queen et al.</w:t>
      </w:r>
      <w:r w:rsidRPr="00111F25">
        <w:rPr>
          <w:sz w:val="20"/>
          <w:szCs w:val="20"/>
        </w:rPr>
        <w:t xml:space="preserve"> (Crim.) (By Leave)</w:t>
      </w:r>
      <w:r w:rsidRPr="00940CAD">
        <w:rPr>
          <w:sz w:val="20"/>
          <w:szCs w:val="20"/>
        </w:rPr>
        <w:t xml:space="preserve"> </w:t>
      </w:r>
      <w:r w:rsidR="00CB3520" w:rsidRPr="00940CAD">
        <w:rPr>
          <w:sz w:val="20"/>
          <w:szCs w:val="20"/>
        </w:rPr>
        <w:t>(3</w:t>
      </w:r>
      <w:r w:rsidR="00CB3520">
        <w:rPr>
          <w:sz w:val="20"/>
          <w:szCs w:val="20"/>
        </w:rPr>
        <w:t>5</w:t>
      </w:r>
      <w:r>
        <w:rPr>
          <w:sz w:val="20"/>
          <w:szCs w:val="20"/>
        </w:rPr>
        <w:t>938</w:t>
      </w:r>
      <w:r w:rsidR="00CB3520" w:rsidRPr="00940CAD">
        <w:rPr>
          <w:sz w:val="20"/>
          <w:szCs w:val="20"/>
        </w:rPr>
        <w:t>)</w:t>
      </w:r>
    </w:p>
    <w:p w:rsidR="00CB3520" w:rsidRDefault="00CB3520" w:rsidP="00CB3520">
      <w:pPr>
        <w:widowControl w:val="0"/>
        <w:rPr>
          <w:sz w:val="20"/>
          <w:szCs w:val="20"/>
        </w:rPr>
      </w:pPr>
    </w:p>
    <w:p w:rsidR="00111F25" w:rsidRDefault="00111F25" w:rsidP="00CB3520">
      <w:pPr>
        <w:widowControl w:val="0"/>
        <w:rPr>
          <w:sz w:val="20"/>
          <w:szCs w:val="20"/>
        </w:rPr>
      </w:pPr>
    </w:p>
    <w:p w:rsidR="00111F25" w:rsidRPr="00C50A5C" w:rsidRDefault="00111F25" w:rsidP="00111F2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111F25" w:rsidRPr="00C50A5C" w:rsidRDefault="00111F25" w:rsidP="00111F2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111F25" w:rsidRPr="00111F25" w:rsidRDefault="00111F25" w:rsidP="00CB3520">
      <w:pPr>
        <w:widowControl w:val="0"/>
        <w:rPr>
          <w:sz w:val="20"/>
          <w:szCs w:val="20"/>
          <w:lang w:val="fr-CA"/>
        </w:rPr>
      </w:pPr>
    </w:p>
    <w:p w:rsidR="00CB3520" w:rsidRPr="00C50A5C" w:rsidRDefault="00111F25" w:rsidP="00CB3520">
      <w:pPr>
        <w:pStyle w:val="ListParagraph"/>
        <w:widowControl w:val="0"/>
        <w:numPr>
          <w:ilvl w:val="0"/>
          <w:numId w:val="1"/>
        </w:numPr>
        <w:ind w:hanging="720"/>
        <w:jc w:val="both"/>
        <w:rPr>
          <w:sz w:val="20"/>
          <w:szCs w:val="20"/>
        </w:rPr>
      </w:pPr>
      <w:r w:rsidRPr="00111F25">
        <w:rPr>
          <w:i/>
          <w:sz w:val="20"/>
          <w:szCs w:val="20"/>
        </w:rPr>
        <w:t>Naseem Jamal v. Her Majesty the Queen in Right of Ontario as Represented by the Ministry of Community and Social Services ("HMQ")</w:t>
      </w:r>
      <w:r w:rsidRPr="00111F25">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5</w:t>
      </w:r>
      <w:r>
        <w:rPr>
          <w:sz w:val="20"/>
          <w:szCs w:val="20"/>
        </w:rPr>
        <w:t>835</w:t>
      </w:r>
      <w:r w:rsidR="00CB3520" w:rsidRPr="00C50A5C">
        <w:rPr>
          <w:sz w:val="20"/>
          <w:szCs w:val="20"/>
        </w:rPr>
        <w:t>)</w:t>
      </w:r>
    </w:p>
    <w:p w:rsidR="00CB3520" w:rsidRDefault="00CB3520" w:rsidP="00CB3520">
      <w:pPr>
        <w:widowControl w:val="0"/>
        <w:jc w:val="both"/>
        <w:rPr>
          <w:sz w:val="20"/>
          <w:szCs w:val="20"/>
        </w:rPr>
      </w:pPr>
    </w:p>
    <w:p w:rsidR="00CB3520" w:rsidRPr="009C5D38" w:rsidRDefault="00111F25" w:rsidP="00CB3520">
      <w:pPr>
        <w:pStyle w:val="ListParagraph"/>
        <w:widowControl w:val="0"/>
        <w:numPr>
          <w:ilvl w:val="0"/>
          <w:numId w:val="1"/>
        </w:numPr>
        <w:ind w:hanging="720"/>
        <w:jc w:val="both"/>
        <w:rPr>
          <w:sz w:val="20"/>
          <w:szCs w:val="20"/>
        </w:rPr>
      </w:pPr>
      <w:r w:rsidRPr="00111F25">
        <w:rPr>
          <w:i/>
          <w:sz w:val="20"/>
          <w:szCs w:val="20"/>
          <w:lang w:val="fr-CA"/>
        </w:rPr>
        <w:t>Groupe Hexagone, S.E.C. (anciennement Louisbourg SBC, société en commandite) c. Sa Majesté la Reine</w:t>
      </w:r>
      <w:r w:rsidRPr="00111F25">
        <w:rPr>
          <w:sz w:val="20"/>
          <w:szCs w:val="20"/>
          <w:lang w:val="fr-CA"/>
        </w:rPr>
        <w:t xml:space="preserve"> (C.F.) (Civile) (Autorisation)</w:t>
      </w:r>
      <w:r w:rsidRPr="009C5D38">
        <w:rPr>
          <w:sz w:val="20"/>
          <w:szCs w:val="20"/>
        </w:rPr>
        <w:t xml:space="preserve"> </w:t>
      </w:r>
      <w:r w:rsidR="00CB3520" w:rsidRPr="009C5D38">
        <w:rPr>
          <w:sz w:val="20"/>
          <w:szCs w:val="20"/>
        </w:rPr>
        <w:t>(35</w:t>
      </w:r>
      <w:r>
        <w:rPr>
          <w:sz w:val="20"/>
          <w:szCs w:val="20"/>
        </w:rPr>
        <w:t>894</w:t>
      </w:r>
      <w:r w:rsidR="00CB3520" w:rsidRPr="009C5D38">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111F25" w:rsidRPr="00C50A5C" w:rsidRDefault="00111F25" w:rsidP="00111F25">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11F25" w:rsidRPr="00C50A5C" w:rsidRDefault="00111F25" w:rsidP="00111F25">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C16CB3" w:rsidRDefault="00CB3520" w:rsidP="00CB3520">
      <w:pPr>
        <w:widowControl w:val="0"/>
        <w:jc w:val="both"/>
        <w:rPr>
          <w:sz w:val="20"/>
          <w:szCs w:val="20"/>
          <w:lang w:val="fr-CA"/>
        </w:rPr>
      </w:pPr>
    </w:p>
    <w:p w:rsidR="00CB3520" w:rsidRPr="00111F25" w:rsidRDefault="00111F25" w:rsidP="00CB3520">
      <w:pPr>
        <w:pStyle w:val="ListParagraph"/>
        <w:widowControl w:val="0"/>
        <w:numPr>
          <w:ilvl w:val="0"/>
          <w:numId w:val="1"/>
        </w:numPr>
        <w:ind w:hanging="720"/>
        <w:jc w:val="both"/>
        <w:rPr>
          <w:sz w:val="20"/>
          <w:szCs w:val="20"/>
        </w:rPr>
      </w:pPr>
      <w:r w:rsidRPr="00111F25">
        <w:rPr>
          <w:i/>
          <w:sz w:val="20"/>
          <w:szCs w:val="20"/>
        </w:rPr>
        <w:t>Francis Anthonimuthu Appulonappa et al. v. Her Majesty the Queen</w:t>
      </w:r>
      <w:r w:rsidRPr="00111F25">
        <w:rPr>
          <w:sz w:val="20"/>
          <w:szCs w:val="20"/>
        </w:rPr>
        <w:t xml:space="preserve"> (B.C.) (Criminal) (By Leave) </w:t>
      </w:r>
      <w:r w:rsidR="00CB3520" w:rsidRPr="00111F25">
        <w:rPr>
          <w:sz w:val="20"/>
          <w:szCs w:val="20"/>
        </w:rPr>
        <w:t>(35</w:t>
      </w:r>
      <w:r w:rsidRPr="00111F25">
        <w:rPr>
          <w:sz w:val="20"/>
          <w:szCs w:val="20"/>
        </w:rPr>
        <w:t>958</w:t>
      </w:r>
      <w:r w:rsidR="00CB3520" w:rsidRPr="00111F25">
        <w:rPr>
          <w:sz w:val="20"/>
          <w:szCs w:val="20"/>
        </w:rPr>
        <w:t>)</w:t>
      </w:r>
    </w:p>
    <w:p w:rsidR="00CB3520" w:rsidRPr="00111F25" w:rsidRDefault="00CB3520" w:rsidP="00CB3520">
      <w:pPr>
        <w:widowControl w:val="0"/>
        <w:jc w:val="both"/>
        <w:rPr>
          <w:sz w:val="20"/>
          <w:szCs w:val="20"/>
        </w:rPr>
      </w:pPr>
    </w:p>
    <w:p w:rsidR="00CB3520" w:rsidRPr="009C5D38" w:rsidRDefault="00111F25" w:rsidP="00CB3520">
      <w:pPr>
        <w:pStyle w:val="ListParagraph"/>
        <w:widowControl w:val="0"/>
        <w:numPr>
          <w:ilvl w:val="0"/>
          <w:numId w:val="1"/>
        </w:numPr>
        <w:ind w:hanging="720"/>
        <w:jc w:val="both"/>
        <w:rPr>
          <w:sz w:val="20"/>
          <w:szCs w:val="20"/>
        </w:rPr>
      </w:pPr>
      <w:r w:rsidRPr="00111F25">
        <w:rPr>
          <w:i/>
          <w:sz w:val="20"/>
          <w:szCs w:val="20"/>
        </w:rPr>
        <w:t>Sundance Saloon Limited et al. v. Her Majesty the Queen in Right of Newfoundland and Labrador, as Represented by the Minister of Finance et al.</w:t>
      </w:r>
      <w:r w:rsidRPr="00111F25">
        <w:rPr>
          <w:sz w:val="20"/>
          <w:szCs w:val="20"/>
        </w:rPr>
        <w:t xml:space="preserve"> (N.L.) (Civil) (By Leave)</w:t>
      </w:r>
      <w:r w:rsidRPr="009C5D38">
        <w:rPr>
          <w:sz w:val="20"/>
          <w:szCs w:val="20"/>
        </w:rPr>
        <w:t xml:space="preserve"> </w:t>
      </w:r>
      <w:r w:rsidR="00CB3520" w:rsidRPr="009C5D38">
        <w:rPr>
          <w:sz w:val="20"/>
          <w:szCs w:val="20"/>
        </w:rPr>
        <w:t>(35</w:t>
      </w:r>
      <w:r>
        <w:rPr>
          <w:sz w:val="20"/>
          <w:szCs w:val="20"/>
        </w:rPr>
        <w:t>91</w:t>
      </w:r>
      <w:r w:rsidR="00CB3520" w:rsidRPr="009C5D38">
        <w:rPr>
          <w:sz w:val="20"/>
          <w:szCs w:val="20"/>
        </w:rPr>
        <w:t>6)</w:t>
      </w:r>
    </w:p>
    <w:p w:rsidR="00CB3520" w:rsidRDefault="00CB3520" w:rsidP="00CB3520">
      <w:pPr>
        <w:widowControl w:val="0"/>
        <w:jc w:val="both"/>
        <w:rPr>
          <w:sz w:val="20"/>
          <w:szCs w:val="20"/>
        </w:rPr>
      </w:pPr>
    </w:p>
    <w:p w:rsidR="00111F25" w:rsidRDefault="00111F25" w:rsidP="00CB3520">
      <w:pPr>
        <w:widowControl w:val="0"/>
        <w:jc w:val="both"/>
        <w:rPr>
          <w:sz w:val="20"/>
          <w:szCs w:val="20"/>
        </w:rPr>
      </w:pPr>
    </w:p>
    <w:p w:rsidR="00111F25" w:rsidRPr="00111F25" w:rsidRDefault="00111F25" w:rsidP="00111F25">
      <w:pPr>
        <w:widowControl w:val="0"/>
        <w:rPr>
          <w:b/>
          <w:sz w:val="20"/>
          <w:szCs w:val="20"/>
          <w:lang w:val="fr-CA"/>
        </w:rPr>
      </w:pPr>
      <w:r w:rsidRPr="00111F25">
        <w:rPr>
          <w:b/>
          <w:sz w:val="20"/>
          <w:szCs w:val="20"/>
          <w:lang w:val="fr-CA"/>
        </w:rPr>
        <w:t>MOTION FOR RECONSIDERATION / DEMANDE DE RÉEXAMEN</w:t>
      </w:r>
    </w:p>
    <w:p w:rsidR="00111F25" w:rsidRDefault="00111F25" w:rsidP="00CB3520">
      <w:pPr>
        <w:widowControl w:val="0"/>
        <w:jc w:val="both"/>
        <w:rPr>
          <w:sz w:val="20"/>
          <w:szCs w:val="20"/>
          <w:lang w:val="fr-CA"/>
        </w:rPr>
      </w:pPr>
    </w:p>
    <w:p w:rsidR="00111F25" w:rsidRPr="00C50A5C" w:rsidRDefault="00111F25" w:rsidP="00111F25">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Moldaver and Karakatsanis</w:t>
      </w:r>
      <w:r w:rsidRPr="00C50A5C">
        <w:rPr>
          <w:b/>
          <w:sz w:val="20"/>
          <w:szCs w:val="20"/>
        </w:rPr>
        <w:t xml:space="preserve"> JJ.</w:t>
      </w:r>
    </w:p>
    <w:p w:rsidR="00111F25" w:rsidRDefault="00111F25" w:rsidP="00111F25">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Moldaver and Karakatsanis</w:t>
      </w:r>
    </w:p>
    <w:p w:rsidR="00111F25" w:rsidRPr="00111F25" w:rsidRDefault="00111F25" w:rsidP="00111F25">
      <w:pPr>
        <w:widowControl w:val="0"/>
        <w:rPr>
          <w:sz w:val="20"/>
          <w:szCs w:val="20"/>
          <w:lang w:val="fr-CA"/>
        </w:rPr>
      </w:pPr>
    </w:p>
    <w:p w:rsidR="00CB3520" w:rsidRPr="00C50A5C" w:rsidRDefault="00111F25" w:rsidP="00CB3520">
      <w:pPr>
        <w:pStyle w:val="ListParagraph"/>
        <w:widowControl w:val="0"/>
        <w:numPr>
          <w:ilvl w:val="0"/>
          <w:numId w:val="1"/>
        </w:numPr>
        <w:ind w:hanging="720"/>
        <w:jc w:val="both"/>
        <w:rPr>
          <w:sz w:val="20"/>
          <w:szCs w:val="20"/>
          <w:lang w:val="fr-CA"/>
        </w:rPr>
      </w:pPr>
      <w:r w:rsidRPr="00111F25">
        <w:rPr>
          <w:i/>
          <w:sz w:val="20"/>
          <w:szCs w:val="20"/>
        </w:rPr>
        <w:t>Reggie Lee Harris v. Her Majesty the Queen</w:t>
      </w:r>
      <w:r w:rsidRPr="00111F25">
        <w:rPr>
          <w:sz w:val="20"/>
          <w:szCs w:val="20"/>
        </w:rPr>
        <w:t xml:space="preserve"> (Sask.) (Crim.) (By Leave)</w:t>
      </w:r>
      <w:r w:rsidRPr="00C50A5C">
        <w:rPr>
          <w:sz w:val="20"/>
          <w:szCs w:val="20"/>
          <w:lang w:val="fr-CA"/>
        </w:rPr>
        <w:t xml:space="preserve"> </w:t>
      </w:r>
      <w:r w:rsidR="00CB3520" w:rsidRPr="00C50A5C">
        <w:rPr>
          <w:sz w:val="20"/>
          <w:szCs w:val="20"/>
          <w:lang w:val="fr-CA"/>
        </w:rPr>
        <w:t>(3</w:t>
      </w:r>
      <w:r>
        <w:rPr>
          <w:sz w:val="20"/>
          <w:szCs w:val="20"/>
          <w:lang w:val="fr-CA"/>
        </w:rPr>
        <w:t>483</w:t>
      </w:r>
      <w:r w:rsidR="00CB3520">
        <w:rPr>
          <w:sz w:val="20"/>
          <w:szCs w:val="20"/>
          <w:lang w:val="fr-CA"/>
        </w:rPr>
        <w:t>5</w:t>
      </w:r>
      <w:r w:rsidR="00CB3520" w:rsidRPr="00C50A5C">
        <w:rPr>
          <w:sz w:val="20"/>
          <w:szCs w:val="20"/>
          <w:lang w:val="fr-CA"/>
        </w:rPr>
        <w:t>)</w:t>
      </w:r>
    </w:p>
    <w:p w:rsidR="00CB3520" w:rsidRDefault="00CB3520" w:rsidP="00CB3520">
      <w:pPr>
        <w:widowControl w:val="0"/>
        <w:jc w:val="both"/>
        <w:rPr>
          <w:sz w:val="20"/>
          <w:szCs w:val="20"/>
        </w:rPr>
      </w:pPr>
    </w:p>
    <w:p w:rsidR="002E2327" w:rsidRDefault="00215143"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Default="00D94028" w:rsidP="002E2327">
      <w:pPr>
        <w:widowControl w:val="0"/>
        <w:rPr>
          <w:sz w:val="20"/>
          <w:szCs w:val="20"/>
        </w:rPr>
      </w:pPr>
    </w:p>
    <w:p w:rsidR="00800D8C" w:rsidRDefault="00800D8C" w:rsidP="00800D8C">
      <w:pPr>
        <w:widowControl w:val="0"/>
        <w:rPr>
          <w:sz w:val="20"/>
          <w:szCs w:val="20"/>
        </w:rPr>
      </w:pPr>
    </w:p>
    <w:p w:rsidR="00111F25" w:rsidRDefault="00111F25" w:rsidP="00111F25">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1514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02B2C" w:rsidP="000E2959">
      <w:pPr>
        <w:rPr>
          <w:b/>
          <w:sz w:val="20"/>
          <w:szCs w:val="20"/>
        </w:rPr>
      </w:pPr>
      <w:r>
        <w:rPr>
          <w:b/>
          <w:sz w:val="20"/>
          <w:szCs w:val="20"/>
        </w:rPr>
        <w:t>SEPTE</w:t>
      </w:r>
      <w:r w:rsidR="000E2959">
        <w:rPr>
          <w:b/>
          <w:sz w:val="20"/>
          <w:szCs w:val="20"/>
        </w:rPr>
        <w:t>M</w:t>
      </w:r>
      <w:r>
        <w:rPr>
          <w:b/>
          <w:sz w:val="20"/>
          <w:szCs w:val="20"/>
        </w:rPr>
        <w:t>BER</w:t>
      </w:r>
      <w:r w:rsidR="000E2959" w:rsidRPr="00C50A5C">
        <w:rPr>
          <w:b/>
          <w:sz w:val="20"/>
          <w:szCs w:val="20"/>
        </w:rPr>
        <w:t xml:space="preserve"> 2</w:t>
      </w:r>
      <w:r>
        <w:rPr>
          <w:b/>
          <w:sz w:val="20"/>
          <w:szCs w:val="20"/>
        </w:rPr>
        <w:t>5</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5</w:t>
      </w:r>
      <w:r w:rsidR="000E2959" w:rsidRPr="00C50A5C">
        <w:rPr>
          <w:b/>
          <w:sz w:val="20"/>
          <w:szCs w:val="20"/>
        </w:rPr>
        <w:t xml:space="preserve"> </w:t>
      </w:r>
      <w:r>
        <w:rPr>
          <w:b/>
          <w:sz w:val="20"/>
          <w:szCs w:val="20"/>
        </w:rPr>
        <w:t>SEPTE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3BD1" w:rsidRPr="006B3BD1" w:rsidTr="006B3BD1">
        <w:trPr>
          <w:cantSplit/>
        </w:trPr>
        <w:tc>
          <w:tcPr>
            <w:tcW w:w="1458" w:type="dxa"/>
          </w:tcPr>
          <w:p w:rsidR="006B3BD1" w:rsidRPr="006B3BD1" w:rsidRDefault="006B3BD1" w:rsidP="006B3BD1">
            <w:pPr>
              <w:rPr>
                <w:sz w:val="20"/>
                <w:szCs w:val="20"/>
              </w:rPr>
            </w:pPr>
            <w:r w:rsidRPr="006B3BD1">
              <w:rPr>
                <w:rStyle w:val="SCCFileNumberChar"/>
                <w:sz w:val="20"/>
                <w:szCs w:val="20"/>
              </w:rPr>
              <w:t>35836</w:t>
            </w:r>
          </w:p>
          <w:p w:rsidR="006B3BD1" w:rsidRPr="006B3BD1" w:rsidRDefault="006B3BD1" w:rsidP="006B3BD1">
            <w:pPr>
              <w:rPr>
                <w:b/>
                <w:sz w:val="20"/>
                <w:szCs w:val="20"/>
                <w:lang w:val="fr-CA"/>
              </w:rPr>
            </w:pPr>
          </w:p>
        </w:tc>
        <w:tc>
          <w:tcPr>
            <w:tcW w:w="8118" w:type="dxa"/>
          </w:tcPr>
          <w:p w:rsidR="006B3BD1" w:rsidRPr="006B3BD1" w:rsidRDefault="006B3BD1" w:rsidP="006B3BD1">
            <w:pPr>
              <w:rPr>
                <w:sz w:val="20"/>
                <w:szCs w:val="20"/>
              </w:rPr>
            </w:pPr>
            <w:r w:rsidRPr="006B3BD1">
              <w:rPr>
                <w:rStyle w:val="SCCLsocChar"/>
                <w:sz w:val="20"/>
                <w:szCs w:val="20"/>
                <w:lang w:val="en-CA"/>
              </w:rPr>
              <w:t>Elizabeth Balanyk v. Dutton Brock LLP</w:t>
            </w:r>
            <w:r w:rsidRPr="006B3BD1">
              <w:rPr>
                <w:sz w:val="20"/>
                <w:szCs w:val="20"/>
              </w:rPr>
              <w:t xml:space="preserve"> (Ont.) (Civil) (By Leave)</w:t>
            </w:r>
          </w:p>
          <w:p w:rsidR="006B3BD1" w:rsidRPr="006B3BD1" w:rsidRDefault="006B3BD1" w:rsidP="006B3BD1">
            <w:pPr>
              <w:rPr>
                <w:sz w:val="20"/>
                <w:szCs w:val="20"/>
              </w:rPr>
            </w:pPr>
          </w:p>
        </w:tc>
      </w:tr>
      <w:tr w:rsidR="006B3BD1" w:rsidRPr="006B3BD1" w:rsidTr="006B3BD1">
        <w:trPr>
          <w:cantSplit/>
        </w:trPr>
        <w:tc>
          <w:tcPr>
            <w:tcW w:w="1458" w:type="dxa"/>
          </w:tcPr>
          <w:p w:rsidR="006B3BD1" w:rsidRPr="006B3BD1" w:rsidRDefault="006B3BD1" w:rsidP="006B3BD1">
            <w:pPr>
              <w:rPr>
                <w:sz w:val="20"/>
                <w:szCs w:val="20"/>
              </w:rPr>
            </w:pPr>
            <w:r w:rsidRPr="006B3BD1">
              <w:rPr>
                <w:sz w:val="20"/>
                <w:szCs w:val="20"/>
              </w:rPr>
              <w:t>Coram :</w:t>
            </w:r>
          </w:p>
        </w:tc>
        <w:tc>
          <w:tcPr>
            <w:tcW w:w="8118" w:type="dxa"/>
          </w:tcPr>
          <w:p w:rsidR="006B3BD1" w:rsidRPr="006B3BD1" w:rsidRDefault="006B3BD1" w:rsidP="006B3BD1">
            <w:pPr>
              <w:rPr>
                <w:sz w:val="20"/>
                <w:szCs w:val="20"/>
              </w:rPr>
            </w:pPr>
            <w:r w:rsidRPr="006B3BD1">
              <w:rPr>
                <w:rStyle w:val="SCCCoramChar"/>
                <w:sz w:val="20"/>
                <w:szCs w:val="20"/>
                <w:lang w:val="en-CA"/>
              </w:rPr>
              <w:t>Abella, Rothstein and Moldaver JJ.</w:t>
            </w:r>
          </w:p>
          <w:p w:rsidR="006B3BD1" w:rsidRPr="006B3BD1" w:rsidRDefault="006B3BD1" w:rsidP="006B3BD1">
            <w:pPr>
              <w:rPr>
                <w:sz w:val="20"/>
                <w:szCs w:val="20"/>
                <w:u w:val="single"/>
              </w:rPr>
            </w:pPr>
          </w:p>
        </w:tc>
      </w:tr>
      <w:tr w:rsidR="006B3BD1" w:rsidRPr="00215143" w:rsidTr="006B3BD1">
        <w:trPr>
          <w:cantSplit/>
        </w:trPr>
        <w:tc>
          <w:tcPr>
            <w:tcW w:w="9576" w:type="dxa"/>
            <w:gridSpan w:val="2"/>
          </w:tcPr>
          <w:p w:rsidR="006B3BD1" w:rsidRPr="006B3BD1" w:rsidRDefault="006B3BD1" w:rsidP="006B3BD1">
            <w:pPr>
              <w:pStyle w:val="SCCShortJudgment"/>
              <w:rPr>
                <w:szCs w:val="20"/>
              </w:rPr>
            </w:pPr>
            <w:r w:rsidRPr="006B3BD1">
              <w:rPr>
                <w:szCs w:val="20"/>
              </w:rPr>
              <w:t>The motion for an extension of time to serve and file the respondent’s response is dismissed. The application for leave to appeal from the judgment of the Court of Appeal for Ontario, Number C55988, 2014 ONCA 122, dated February 12, 2014, is dismissed without costs.</w:t>
            </w:r>
          </w:p>
          <w:p w:rsidR="006B3BD1" w:rsidRPr="006B3BD1" w:rsidRDefault="006B3BD1" w:rsidP="006B3BD1">
            <w:pPr>
              <w:pStyle w:val="SCCShortJudgment"/>
              <w:ind w:firstLine="0"/>
              <w:rPr>
                <w:szCs w:val="20"/>
              </w:rPr>
            </w:pPr>
          </w:p>
          <w:p w:rsidR="006B3BD1" w:rsidRPr="006B3BD1" w:rsidRDefault="006B3BD1" w:rsidP="006B3BD1">
            <w:pPr>
              <w:pStyle w:val="SCCShortJudgment"/>
              <w:rPr>
                <w:szCs w:val="20"/>
                <w:lang w:val="fr-CA"/>
              </w:rPr>
            </w:pPr>
            <w:r w:rsidRPr="006B3BD1">
              <w:rPr>
                <w:szCs w:val="20"/>
                <w:lang w:val="fr-CA"/>
              </w:rPr>
              <w:t>La requête en prorogation du délai de signification et de dépôt de la réponse de l’intimée est rejetée. La demande d’autorisation d’appel de l’arrêt de la Cour d’appel de l’Ontario, numéro C55988, 2014 ONCA 122, daté du 12 février 2014, est rejetée sans dépens.</w:t>
            </w:r>
          </w:p>
        </w:tc>
      </w:tr>
    </w:tbl>
    <w:p w:rsidR="00402B2C" w:rsidRPr="006B3BD1" w:rsidRDefault="00402B2C" w:rsidP="000E2959">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 xml:space="preserve">Civil procedure — Parties — Standing — Respondent law firm  representing third parties against which applicant had initiated legal proceedings — Whether respondent had standing to bring motion pursuant to s. 140 of the </w:t>
            </w:r>
            <w:r w:rsidRPr="003C6CEA">
              <w:rPr>
                <w:rFonts w:eastAsia="Calibri"/>
                <w:i/>
                <w:sz w:val="20"/>
              </w:rPr>
              <w:t>Courts of Justice Act</w:t>
            </w:r>
            <w:r w:rsidRPr="003C6CEA">
              <w:rPr>
                <w:rFonts w:eastAsia="Calibri"/>
                <w:sz w:val="20"/>
              </w:rPr>
              <w:t>,</w:t>
            </w:r>
            <w:r w:rsidRPr="003C6CEA">
              <w:rPr>
                <w:rFonts w:eastAsia="Calibri"/>
                <w:i/>
                <w:sz w:val="20"/>
              </w:rPr>
              <w:t xml:space="preserve"> </w:t>
            </w:r>
            <w:r w:rsidRPr="003C6CEA">
              <w:rPr>
                <w:rFonts w:eastAsia="Calibri"/>
                <w:sz w:val="20"/>
              </w:rPr>
              <w:t>R.S.O. 1990, c. C.43, to have applicant declared a vexatious litigant? — Whether Court of Appeal erred in dismissing applicant’s appeal from order declaring her a vexatious litigant? — Whether Court of Appeal erred in holding that fresh evidence sought to be adduced by applicant lacked probative value?</w:t>
            </w:r>
          </w:p>
        </w:tc>
      </w:tr>
      <w:tr w:rsidR="00402B2C" w:rsidRPr="003C6CEA" w:rsidTr="00974B9D">
        <w:tc>
          <w:tcPr>
            <w:tcW w:w="5000" w:type="pct"/>
            <w:gridSpan w:val="3"/>
          </w:tcPr>
          <w:p w:rsidR="00402B2C" w:rsidRPr="003C6CEA" w:rsidRDefault="00402B2C" w:rsidP="00974B9D">
            <w:pPr>
              <w:jc w:val="both"/>
              <w:rPr>
                <w:rFonts w:eastAsia="Calibri"/>
                <w:sz w:val="20"/>
              </w:rPr>
            </w:pPr>
          </w:p>
        </w:tc>
      </w:tr>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The respondent is a law firm that represents or has represented third parties who were sued by the applicant after some of those third parties barred the applicant from entering casinos which they operate.  A summary judgment dismissing those actions was granted; however the applicant then filed a series of motions and appeals in relation to those actions.  All of those proceedings either ended either in dismissals on the merits or due to procedural deficiencies or were halted by the issuance of orders for security for costs that the applicant was unable or unwilling to satisfy.</w:t>
            </w:r>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r w:rsidRPr="003C6CEA">
              <w:rPr>
                <w:rFonts w:eastAsia="Calibri"/>
                <w:sz w:val="20"/>
              </w:rPr>
              <w:t>This series of events culminated with the respondent law firm filing an application seeking to have the applicant declared a vexatious litigant and seeking an order requiring her to obtain leave of the court before commencing or continuing any action in any court in Ontario.</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September 7, 2012</w:t>
            </w:r>
          </w:p>
          <w:p w:rsidR="00402B2C" w:rsidRPr="003C6CEA" w:rsidRDefault="00402B2C" w:rsidP="00974B9D">
            <w:pPr>
              <w:jc w:val="both"/>
              <w:rPr>
                <w:rFonts w:eastAsia="Calibri"/>
                <w:sz w:val="20"/>
              </w:rPr>
            </w:pPr>
            <w:r w:rsidRPr="003C6CEA">
              <w:rPr>
                <w:rFonts w:eastAsia="Calibri"/>
                <w:sz w:val="20"/>
              </w:rPr>
              <w:t>Ontario Superior Court of Justice</w:t>
            </w:r>
          </w:p>
          <w:p w:rsidR="00402B2C" w:rsidRPr="003C6CEA" w:rsidRDefault="00402B2C" w:rsidP="00974B9D">
            <w:pPr>
              <w:jc w:val="both"/>
              <w:rPr>
                <w:rFonts w:eastAsia="Calibri"/>
                <w:sz w:val="20"/>
              </w:rPr>
            </w:pPr>
            <w:r w:rsidRPr="003C6CEA">
              <w:rPr>
                <w:rFonts w:eastAsia="Calibri"/>
                <w:sz w:val="20"/>
              </w:rPr>
              <w:t>(Parayeski J.)</w:t>
            </w:r>
          </w:p>
          <w:p w:rsidR="00402B2C" w:rsidRPr="003C6CEA" w:rsidRDefault="00215143" w:rsidP="00974B9D">
            <w:pPr>
              <w:jc w:val="both"/>
              <w:rPr>
                <w:rFonts w:eastAsia="Calibri"/>
                <w:sz w:val="20"/>
              </w:rPr>
            </w:pPr>
            <w:hyperlink r:id="rId24" w:history="1">
              <w:r w:rsidR="00402B2C" w:rsidRPr="003C6CEA">
                <w:rPr>
                  <w:rFonts w:eastAsia="Calibri"/>
                  <w:color w:val="0000FF"/>
                  <w:sz w:val="20"/>
                  <w:u w:val="single"/>
                </w:rPr>
                <w:t>2012 ONSC 5748</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 xml:space="preserve">Application to declare applicant a vexatious litigant, granted </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February 12, 2014</w:t>
            </w:r>
          </w:p>
          <w:p w:rsidR="00402B2C" w:rsidRPr="003C6CEA" w:rsidRDefault="00402B2C" w:rsidP="00974B9D">
            <w:pPr>
              <w:jc w:val="both"/>
              <w:rPr>
                <w:rFonts w:eastAsia="Calibri"/>
                <w:sz w:val="20"/>
              </w:rPr>
            </w:pPr>
            <w:r w:rsidRPr="003C6CEA">
              <w:rPr>
                <w:rFonts w:eastAsia="Calibri"/>
                <w:sz w:val="20"/>
              </w:rPr>
              <w:t>Court of Appeal for Ontario</w:t>
            </w:r>
          </w:p>
          <w:p w:rsidR="00402B2C" w:rsidRPr="003C6CEA" w:rsidRDefault="00402B2C" w:rsidP="00974B9D">
            <w:pPr>
              <w:jc w:val="both"/>
              <w:rPr>
                <w:rFonts w:eastAsia="Calibri"/>
                <w:sz w:val="20"/>
              </w:rPr>
            </w:pPr>
            <w:r w:rsidRPr="003C6CEA">
              <w:rPr>
                <w:rFonts w:eastAsia="Calibri"/>
                <w:sz w:val="20"/>
              </w:rPr>
              <w:t>(Gillese, Rouleau and Tulloch JJ.A.)</w:t>
            </w:r>
          </w:p>
          <w:p w:rsidR="00402B2C" w:rsidRPr="003C6CEA" w:rsidRDefault="00215143" w:rsidP="00974B9D">
            <w:pPr>
              <w:jc w:val="both"/>
              <w:rPr>
                <w:rFonts w:eastAsia="Calibri"/>
                <w:sz w:val="20"/>
              </w:rPr>
            </w:pPr>
            <w:hyperlink r:id="rId25" w:history="1">
              <w:r w:rsidR="00402B2C" w:rsidRPr="003C6CEA">
                <w:rPr>
                  <w:rFonts w:eastAsia="Calibri"/>
                  <w:color w:val="0000FF"/>
                  <w:sz w:val="20"/>
                  <w:u w:val="single"/>
                </w:rPr>
                <w:t>2014 ONCA 122</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Motion to file fresh evidence and appeal, dismissed</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April 14, 2014</w:t>
            </w:r>
          </w:p>
          <w:p w:rsidR="00402B2C" w:rsidRPr="003C6CEA" w:rsidRDefault="00402B2C" w:rsidP="00974B9D">
            <w:pPr>
              <w:jc w:val="both"/>
              <w:rPr>
                <w:rFonts w:eastAsia="Calibri"/>
                <w:sz w:val="20"/>
              </w:rPr>
            </w:pPr>
            <w:r w:rsidRPr="003C6CEA">
              <w:rPr>
                <w:rFonts w:eastAsia="Calibri"/>
                <w:sz w:val="20"/>
              </w:rPr>
              <w:t>Supreme Court of Canada</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Application for leave to appeal filed</w:t>
            </w:r>
          </w:p>
        </w:tc>
      </w:tr>
    </w:tbl>
    <w:p w:rsidR="00FA1DE8" w:rsidRDefault="00FA1DE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FA1DE8">
        <w:trPr>
          <w:cantSplit/>
        </w:trPr>
        <w:tc>
          <w:tcPr>
            <w:tcW w:w="2427" w:type="pct"/>
          </w:tcPr>
          <w:p w:rsidR="00402B2C" w:rsidRPr="003C6CEA" w:rsidRDefault="00402B2C" w:rsidP="00974B9D">
            <w:pPr>
              <w:jc w:val="both"/>
              <w:rPr>
                <w:rFonts w:eastAsia="Calibri"/>
                <w:sz w:val="20"/>
              </w:rPr>
            </w:pPr>
            <w:r w:rsidRPr="003C6CEA">
              <w:rPr>
                <w:rFonts w:eastAsia="Calibri"/>
                <w:sz w:val="20"/>
              </w:rPr>
              <w:lastRenderedPageBreak/>
              <w:t>July 18, 2014</w:t>
            </w:r>
          </w:p>
          <w:p w:rsidR="00402B2C" w:rsidRPr="003C6CEA" w:rsidRDefault="00402B2C" w:rsidP="00974B9D">
            <w:pPr>
              <w:jc w:val="both"/>
              <w:rPr>
                <w:rFonts w:eastAsia="Calibri"/>
                <w:sz w:val="20"/>
              </w:rPr>
            </w:pPr>
            <w:r w:rsidRPr="003C6CEA">
              <w:rPr>
                <w:rFonts w:eastAsia="Calibri"/>
                <w:sz w:val="20"/>
              </w:rPr>
              <w:t>Supreme Court of Canada</w:t>
            </w: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Motion for an extension of time to serve and file a response to the 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45"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 xml:space="preserve">Procédure civile — Parties — Qualité pour agir — Le cabinet d’avocats intimé représentait des tiers contre qui la demanderesse avait intenté des actions en justice — L’intimée avait-elle la qualité voulue pour présenter une motion fondée sur l’art. 140 de la </w:t>
            </w:r>
            <w:r w:rsidRPr="003C6CEA">
              <w:rPr>
                <w:rFonts w:eastAsia="Calibri"/>
                <w:i/>
                <w:sz w:val="20"/>
                <w:lang w:val="fr-CA"/>
              </w:rPr>
              <w:t>Loi sur les tribunaux judiciaires</w:t>
            </w:r>
            <w:r w:rsidRPr="003C6CEA">
              <w:rPr>
                <w:rFonts w:eastAsia="Calibri"/>
                <w:sz w:val="20"/>
                <w:lang w:val="fr-CA"/>
              </w:rPr>
              <w:t>,</w:t>
            </w:r>
            <w:r w:rsidRPr="003C6CEA">
              <w:rPr>
                <w:rFonts w:eastAsia="Calibri"/>
                <w:i/>
                <w:sz w:val="20"/>
                <w:lang w:val="fr-CA"/>
              </w:rPr>
              <w:t xml:space="preserve"> </w:t>
            </w:r>
            <w:r w:rsidRPr="003C6CEA">
              <w:rPr>
                <w:rFonts w:eastAsia="Calibri"/>
                <w:sz w:val="20"/>
                <w:lang w:val="fr-CA"/>
              </w:rPr>
              <w:t>L.R.O. 1990, ch. C.43, visant à faire déclarer la demanderesse plaideuse quérulente? — La Cour d’appel a-t-elle eu tort de rejeter l’appel interjeté par la demanderesse de l’ordonnance la déclarant plaideuse quérulente? — La Cour d’appel a-t-elle eu tort de statuer que les nouveaux éléments de preuve que veut présenter la demanderesse étaient dépourvus de force probante?</w:t>
            </w:r>
          </w:p>
        </w:tc>
      </w:tr>
      <w:tr w:rsidR="00402B2C" w:rsidRPr="00215143" w:rsidTr="00974B9D">
        <w:tc>
          <w:tcPr>
            <w:tcW w:w="5000" w:type="pct"/>
            <w:gridSpan w:val="3"/>
          </w:tcPr>
          <w:p w:rsidR="00402B2C" w:rsidRPr="003C6CEA" w:rsidRDefault="00402B2C" w:rsidP="00974B9D">
            <w:pPr>
              <w:jc w:val="both"/>
              <w:rPr>
                <w:rFonts w:eastAsia="Calibri"/>
                <w:sz w:val="20"/>
                <w:lang w:val="fr-CA"/>
              </w:rPr>
            </w:pPr>
          </w:p>
        </w:tc>
      </w:tr>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L’intimée est un cabinet d’avocats qui représente ou qui a représenté des tiers qui avaient été poursuivis par la demanderesse après que certains d’entre eux eurent interdit la demanderesse d’entrer dans des casinos qu’ils exploitaient.  Un jugement sommaire rejetant ces actions a été prononcé; toutefois, la demanderesse a ensuite déposé une série de motions et d’appels en lien avec ces actions.  Toutes ces procédures ont été soit rejetées sur le fond ou en raison de vices de procédure, soit suspendues par la délivrance d’ordonnances en cautionnement pour frais que la demanderesse ne pouvait pas ou ne voulait pas respecter.</w:t>
            </w:r>
          </w:p>
          <w:p w:rsidR="00402B2C" w:rsidRPr="003C6CEA" w:rsidRDefault="00402B2C" w:rsidP="00974B9D">
            <w:pPr>
              <w:jc w:val="both"/>
              <w:rPr>
                <w:rFonts w:eastAsia="Calibri"/>
                <w:sz w:val="20"/>
                <w:lang w:val="fr-CA"/>
              </w:rPr>
            </w:pPr>
          </w:p>
          <w:p w:rsidR="00402B2C" w:rsidRPr="003C6CEA" w:rsidRDefault="00402B2C" w:rsidP="00974B9D">
            <w:pPr>
              <w:jc w:val="both"/>
              <w:rPr>
                <w:rFonts w:eastAsia="Calibri"/>
                <w:sz w:val="20"/>
                <w:lang w:val="fr-CA"/>
              </w:rPr>
            </w:pPr>
            <w:r w:rsidRPr="003C6CEA">
              <w:rPr>
                <w:rFonts w:eastAsia="Calibri"/>
                <w:sz w:val="20"/>
                <w:lang w:val="fr-CA"/>
              </w:rPr>
              <w:t>Cette série d’événements a culminé avec le dépôt, par le cabinet d’avocats intimé, d’une demande visant à faire déclarer la demanderesse plaideuse quérulente et à obtenir une ordonnance l’obligeant à obtenir l’autorisation du tribunal avant d’introduire ou de poursuivre une action devant tout tribunal en Ontario.</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7 septembre 2012</w:t>
            </w:r>
          </w:p>
          <w:p w:rsidR="00402B2C" w:rsidRPr="003C6CEA" w:rsidRDefault="00402B2C" w:rsidP="00974B9D">
            <w:pPr>
              <w:jc w:val="both"/>
              <w:rPr>
                <w:rFonts w:eastAsia="Calibri"/>
                <w:sz w:val="20"/>
                <w:lang w:val="fr-CA"/>
              </w:rPr>
            </w:pPr>
            <w:r w:rsidRPr="003C6CEA">
              <w:rPr>
                <w:rFonts w:eastAsia="Calibri"/>
                <w:sz w:val="20"/>
                <w:lang w:val="fr-CA"/>
              </w:rPr>
              <w:t>Cour supérieure de justice de l’Ontario</w:t>
            </w:r>
          </w:p>
          <w:p w:rsidR="00402B2C" w:rsidRPr="003C6CEA" w:rsidRDefault="00402B2C" w:rsidP="00974B9D">
            <w:pPr>
              <w:jc w:val="both"/>
              <w:rPr>
                <w:rFonts w:eastAsia="Calibri"/>
                <w:sz w:val="20"/>
                <w:lang w:val="fr-CA"/>
              </w:rPr>
            </w:pPr>
            <w:r w:rsidRPr="003C6CEA">
              <w:rPr>
                <w:rFonts w:eastAsia="Calibri"/>
                <w:sz w:val="20"/>
                <w:lang w:val="fr-CA"/>
              </w:rPr>
              <w:t>(Juge Parayeski)</w:t>
            </w:r>
          </w:p>
          <w:p w:rsidR="00402B2C" w:rsidRPr="003C6CEA" w:rsidRDefault="00215143" w:rsidP="00974B9D">
            <w:pPr>
              <w:jc w:val="both"/>
              <w:rPr>
                <w:rFonts w:eastAsia="Calibri"/>
                <w:sz w:val="20"/>
                <w:lang w:val="fr-CA"/>
              </w:rPr>
            </w:pPr>
            <w:hyperlink r:id="rId26" w:history="1">
              <w:r w:rsidR="00402B2C" w:rsidRPr="003C6CEA">
                <w:rPr>
                  <w:rFonts w:eastAsia="Calibri"/>
                  <w:color w:val="0000FF"/>
                  <w:sz w:val="20"/>
                  <w:u w:val="single"/>
                  <w:lang w:val="fr-CA"/>
                </w:rPr>
                <w:t>2012 ONSC 5748</w:t>
              </w:r>
            </w:hyperlink>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 xml:space="preserve">Demande en vue de faire déclarer la demanderesse plaideuse quérulente accueillie </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12 février 2014</w:t>
            </w:r>
          </w:p>
          <w:p w:rsidR="00402B2C" w:rsidRPr="003C6CEA" w:rsidRDefault="00402B2C" w:rsidP="00974B9D">
            <w:pPr>
              <w:jc w:val="both"/>
              <w:rPr>
                <w:rFonts w:eastAsia="Calibri"/>
                <w:sz w:val="20"/>
                <w:lang w:val="fr-CA"/>
              </w:rPr>
            </w:pPr>
            <w:r w:rsidRPr="003C6CEA">
              <w:rPr>
                <w:rFonts w:eastAsia="Calibri"/>
                <w:sz w:val="20"/>
                <w:lang w:val="fr-CA"/>
              </w:rPr>
              <w:t>Cour d’appel de l’Ontario</w:t>
            </w:r>
          </w:p>
          <w:p w:rsidR="00402B2C" w:rsidRPr="003C6CEA" w:rsidRDefault="00402B2C" w:rsidP="00974B9D">
            <w:pPr>
              <w:jc w:val="both"/>
              <w:rPr>
                <w:rFonts w:eastAsia="Calibri"/>
                <w:sz w:val="20"/>
                <w:lang w:val="fr-CA"/>
              </w:rPr>
            </w:pPr>
            <w:r w:rsidRPr="003C6CEA">
              <w:rPr>
                <w:rFonts w:eastAsia="Calibri"/>
                <w:sz w:val="20"/>
                <w:lang w:val="fr-CA"/>
              </w:rPr>
              <w:t>(Juges Gillese, Rouleau et Tulloch)</w:t>
            </w:r>
          </w:p>
          <w:p w:rsidR="00402B2C" w:rsidRPr="003C6CEA" w:rsidRDefault="00215143" w:rsidP="00974B9D">
            <w:pPr>
              <w:jc w:val="both"/>
              <w:rPr>
                <w:rFonts w:eastAsia="Calibri"/>
                <w:sz w:val="20"/>
                <w:lang w:val="fr-CA"/>
              </w:rPr>
            </w:pPr>
            <w:hyperlink r:id="rId27" w:history="1">
              <w:r w:rsidR="00402B2C" w:rsidRPr="003C6CEA">
                <w:rPr>
                  <w:rFonts w:eastAsia="Calibri"/>
                  <w:color w:val="0000FF"/>
                  <w:sz w:val="20"/>
                  <w:u w:val="single"/>
                  <w:lang w:val="fr-CA"/>
                </w:rPr>
                <w:t>2014 ONCA 122</w:t>
              </w:r>
            </w:hyperlink>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Motion en vue de présenter de nouveaux éléments de preuve en appel, rejetée</w:t>
            </w:r>
          </w:p>
          <w:p w:rsidR="00402B2C" w:rsidRPr="003C6CEA" w:rsidRDefault="00402B2C" w:rsidP="00974B9D">
            <w:pPr>
              <w:jc w:val="both"/>
              <w:rPr>
                <w:rFonts w:eastAsia="Calibri"/>
                <w:sz w:val="20"/>
                <w:lang w:val="fr-CA"/>
              </w:rPr>
            </w:pPr>
          </w:p>
        </w:tc>
      </w:tr>
      <w:tr w:rsidR="00402B2C" w:rsidRPr="003C6CEA"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14 avril 2014</w:t>
            </w:r>
          </w:p>
          <w:p w:rsidR="00402B2C" w:rsidRPr="003C6CEA" w:rsidRDefault="00402B2C" w:rsidP="00974B9D">
            <w:pPr>
              <w:jc w:val="both"/>
              <w:rPr>
                <w:rFonts w:eastAsia="Calibri"/>
                <w:sz w:val="20"/>
                <w:lang w:val="fr-CA"/>
              </w:rPr>
            </w:pPr>
            <w:r w:rsidRPr="003C6CEA">
              <w:rPr>
                <w:rFonts w:eastAsia="Calibri"/>
                <w:sz w:val="20"/>
                <w:lang w:val="fr-CA"/>
              </w:rPr>
              <w:t>Cour suprême du Canada</w:t>
            </w:r>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Demande d’autorisation d’appel, déposée</w:t>
            </w: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18 jui</w:t>
            </w:r>
            <w:r w:rsidR="00AE7429">
              <w:rPr>
                <w:rFonts w:eastAsia="Calibri"/>
                <w:sz w:val="20"/>
                <w:lang w:val="fr-CA"/>
              </w:rPr>
              <w:t>llet</w:t>
            </w:r>
            <w:r w:rsidRPr="003C6CEA">
              <w:rPr>
                <w:rFonts w:eastAsia="Calibri"/>
                <w:sz w:val="20"/>
                <w:lang w:val="fr-CA"/>
              </w:rPr>
              <w:t xml:space="preserve"> 2014</w:t>
            </w:r>
          </w:p>
          <w:p w:rsidR="00402B2C" w:rsidRPr="003C6CEA" w:rsidRDefault="00402B2C" w:rsidP="00974B9D">
            <w:pPr>
              <w:jc w:val="both"/>
              <w:rPr>
                <w:rFonts w:eastAsia="Calibri"/>
                <w:sz w:val="20"/>
                <w:lang w:val="fr-CA"/>
              </w:rPr>
            </w:pPr>
            <w:r w:rsidRPr="003C6CEA">
              <w:rPr>
                <w:rFonts w:eastAsia="Calibri"/>
                <w:sz w:val="20"/>
                <w:lang w:val="fr-CA"/>
              </w:rPr>
              <w:t>Cour suprême du Canada</w:t>
            </w: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Requête en prorogation du délai de signification et de dépôt d’une réponse à la demande d’autorisation d’appel, déposée</w:t>
            </w:r>
          </w:p>
        </w:tc>
      </w:tr>
    </w:tbl>
    <w:p w:rsidR="00402B2C" w:rsidRPr="00402B2C" w:rsidRDefault="00402B2C" w:rsidP="000E2959">
      <w:pPr>
        <w:rPr>
          <w:sz w:val="20"/>
          <w:szCs w:val="20"/>
          <w:lang w:val="fr-CA"/>
        </w:rPr>
      </w:pPr>
    </w:p>
    <w:p w:rsidR="00402B2C" w:rsidRDefault="00215143" w:rsidP="000E2959">
      <w:pPr>
        <w:rPr>
          <w:sz w:val="20"/>
          <w:szCs w:val="20"/>
          <w:lang w:val="fr-CA"/>
        </w:rPr>
      </w:pPr>
      <w:r>
        <w:rPr>
          <w:sz w:val="20"/>
          <w:szCs w:val="20"/>
          <w:lang w:val="fr-CA"/>
        </w:rPr>
        <w:pict>
          <v:rect id="_x0000_i1046" style="width:2in;height:1pt" o:hrpct="0" o:hralign="center" o:hrstd="t" o:hrnoshade="t" o:hr="t" fillcolor="black [3213]" stroked="f"/>
        </w:pict>
      </w:r>
    </w:p>
    <w:p w:rsidR="00FA1DE8" w:rsidRDefault="00FA1DE8">
      <w:pPr>
        <w:rPr>
          <w:sz w:val="20"/>
          <w:szCs w:val="20"/>
          <w:lang w:val="fr-CA"/>
        </w:rPr>
      </w:pPr>
    </w:p>
    <w:p w:rsidR="00FA1DE8" w:rsidRDefault="00FA1DE8">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63AA" w:rsidRPr="00A04AD5" w:rsidTr="001068B6">
        <w:trPr>
          <w:cantSplit/>
        </w:trPr>
        <w:tc>
          <w:tcPr>
            <w:tcW w:w="1458" w:type="dxa"/>
          </w:tcPr>
          <w:p w:rsidR="000963AA" w:rsidRPr="00A04AD5" w:rsidRDefault="000963AA" w:rsidP="001068B6">
            <w:pPr>
              <w:rPr>
                <w:sz w:val="20"/>
                <w:szCs w:val="20"/>
              </w:rPr>
            </w:pPr>
            <w:r w:rsidRPr="00A04AD5">
              <w:rPr>
                <w:rStyle w:val="SCCFileNumberChar"/>
                <w:sz w:val="20"/>
                <w:szCs w:val="20"/>
              </w:rPr>
              <w:lastRenderedPageBreak/>
              <w:t>35841</w:t>
            </w:r>
          </w:p>
          <w:p w:rsidR="000963AA" w:rsidRPr="00A04AD5" w:rsidRDefault="000963AA" w:rsidP="001068B6">
            <w:pPr>
              <w:rPr>
                <w:b/>
                <w:sz w:val="20"/>
                <w:szCs w:val="20"/>
                <w:lang w:val="fr-CA"/>
              </w:rPr>
            </w:pPr>
          </w:p>
        </w:tc>
        <w:tc>
          <w:tcPr>
            <w:tcW w:w="8118" w:type="dxa"/>
          </w:tcPr>
          <w:p w:rsidR="000963AA" w:rsidRPr="00A04AD5" w:rsidRDefault="000963AA" w:rsidP="001068B6">
            <w:pPr>
              <w:rPr>
                <w:sz w:val="20"/>
                <w:szCs w:val="20"/>
              </w:rPr>
            </w:pPr>
            <w:r w:rsidRPr="00A04AD5">
              <w:rPr>
                <w:rStyle w:val="SCCLsocChar"/>
                <w:sz w:val="20"/>
                <w:szCs w:val="20"/>
                <w:lang w:val="en-CA"/>
              </w:rPr>
              <w:t>Hugo Michel Nicolas Kotar v. Elizabeth Jane Lightle</w:t>
            </w:r>
            <w:r w:rsidRPr="00A04AD5">
              <w:rPr>
                <w:sz w:val="20"/>
                <w:szCs w:val="20"/>
              </w:rPr>
              <w:t xml:space="preserve"> (B.C.) (Civil) (By Leave)</w:t>
            </w:r>
          </w:p>
          <w:p w:rsidR="000963AA" w:rsidRPr="00A04AD5" w:rsidRDefault="000963AA" w:rsidP="001068B6">
            <w:pPr>
              <w:rPr>
                <w:sz w:val="20"/>
                <w:szCs w:val="20"/>
              </w:rPr>
            </w:pPr>
          </w:p>
        </w:tc>
      </w:tr>
      <w:tr w:rsidR="000963AA" w:rsidRPr="00A04AD5" w:rsidTr="001068B6">
        <w:trPr>
          <w:cantSplit/>
        </w:trPr>
        <w:tc>
          <w:tcPr>
            <w:tcW w:w="1458" w:type="dxa"/>
          </w:tcPr>
          <w:p w:rsidR="000963AA" w:rsidRPr="00A04AD5" w:rsidRDefault="000963AA" w:rsidP="001068B6">
            <w:pPr>
              <w:rPr>
                <w:sz w:val="20"/>
                <w:szCs w:val="20"/>
              </w:rPr>
            </w:pPr>
            <w:r w:rsidRPr="00A04AD5">
              <w:rPr>
                <w:sz w:val="20"/>
                <w:szCs w:val="20"/>
              </w:rPr>
              <w:t>Coram :</w:t>
            </w:r>
          </w:p>
        </w:tc>
        <w:tc>
          <w:tcPr>
            <w:tcW w:w="8118" w:type="dxa"/>
          </w:tcPr>
          <w:p w:rsidR="000963AA" w:rsidRPr="00A04AD5" w:rsidRDefault="000963AA" w:rsidP="001068B6">
            <w:pPr>
              <w:rPr>
                <w:sz w:val="20"/>
                <w:szCs w:val="20"/>
              </w:rPr>
            </w:pPr>
            <w:r w:rsidRPr="00A04AD5">
              <w:rPr>
                <w:rStyle w:val="SCCCoramChar"/>
                <w:sz w:val="20"/>
                <w:szCs w:val="20"/>
                <w:lang w:val="en-CA"/>
              </w:rPr>
              <w:t>Abella, Rothstein and Moldaver JJ.</w:t>
            </w:r>
          </w:p>
          <w:p w:rsidR="000963AA" w:rsidRPr="00A04AD5" w:rsidRDefault="000963AA" w:rsidP="001068B6">
            <w:pPr>
              <w:rPr>
                <w:sz w:val="20"/>
                <w:szCs w:val="20"/>
                <w:u w:val="single"/>
              </w:rPr>
            </w:pPr>
          </w:p>
        </w:tc>
      </w:tr>
      <w:tr w:rsidR="000963AA" w:rsidRPr="00215143" w:rsidTr="001068B6">
        <w:trPr>
          <w:cantSplit/>
        </w:trPr>
        <w:tc>
          <w:tcPr>
            <w:tcW w:w="9576" w:type="dxa"/>
            <w:gridSpan w:val="2"/>
          </w:tcPr>
          <w:p w:rsidR="000963AA" w:rsidRPr="00A04AD5" w:rsidRDefault="000963AA" w:rsidP="001068B6">
            <w:pPr>
              <w:pStyle w:val="SCCShortJudgment"/>
              <w:rPr>
                <w:szCs w:val="20"/>
              </w:rPr>
            </w:pPr>
            <w:r w:rsidRPr="00A04AD5">
              <w:rPr>
                <w:szCs w:val="20"/>
              </w:rPr>
              <w:t>The application for leave to appeal from the judgment of the Court of Appeal for British Columbia (Vancouver), Number CA040271, 2014 BCCA 69, dated February 21, 2014, is dismissed with costs.</w:t>
            </w:r>
          </w:p>
          <w:p w:rsidR="000963AA" w:rsidRPr="00A04AD5" w:rsidRDefault="000963AA" w:rsidP="001068B6">
            <w:pPr>
              <w:pStyle w:val="SCCShortJudgment"/>
              <w:ind w:firstLine="0"/>
              <w:rPr>
                <w:szCs w:val="20"/>
              </w:rPr>
            </w:pPr>
          </w:p>
          <w:p w:rsidR="000963AA" w:rsidRPr="00A04AD5" w:rsidRDefault="000963AA" w:rsidP="001068B6">
            <w:pPr>
              <w:pStyle w:val="SCCShortJudgment"/>
              <w:rPr>
                <w:szCs w:val="20"/>
                <w:lang w:val="fr-CA"/>
              </w:rPr>
            </w:pPr>
            <w:r w:rsidRPr="00A04AD5">
              <w:rPr>
                <w:szCs w:val="20"/>
                <w:lang w:val="fr-CA"/>
              </w:rPr>
              <w:t>La demande d’autorisation d’appel de l’arrêt de la Cour d’appel de la Colombie-Britannique (Vancouver), numéro CA040271, 2014 BCCA 69, daté du 21 février 2014, est rejetée avec dépens.</w:t>
            </w:r>
          </w:p>
        </w:tc>
      </w:tr>
    </w:tbl>
    <w:p w:rsidR="00402B2C" w:rsidRPr="000963AA"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974B9D">
        <w:tc>
          <w:tcPr>
            <w:tcW w:w="5000" w:type="pct"/>
            <w:gridSpan w:val="3"/>
          </w:tcPr>
          <w:p w:rsidR="00402B2C" w:rsidRPr="003C6CEA" w:rsidRDefault="00402B2C" w:rsidP="00974B9D">
            <w:pPr>
              <w:jc w:val="both"/>
              <w:rPr>
                <w:sz w:val="20"/>
                <w:lang w:eastAsia="en-CA"/>
              </w:rPr>
            </w:pPr>
            <w:r w:rsidRPr="003C6CEA">
              <w:rPr>
                <w:sz w:val="20"/>
                <w:lang w:eastAsia="en-CA"/>
              </w:rPr>
              <w:t>Family law – Family assets – Division – Valuation – Book of business – Whether a “book of business” arising out of a spouse’s employment as an investment advisor is family property, and if so, whether and how to determine and realize its value – Whether a party who fails to introduce admissible expert opinion evidence as to the value of property at trial should be granted a “second trial” to introduce such evidence – Whether fictional assumption imposed for the purpose of valuation is supportable at law and in fact – Whether the purpose of family law legislation in British Columbia is to address the disproportionate effects of marriage upon the ability of child-rearing spouses to become independent following the dissolution of marriage.</w:t>
            </w:r>
          </w:p>
        </w:tc>
      </w:tr>
      <w:tr w:rsidR="00402B2C" w:rsidRPr="003C6CEA" w:rsidTr="00974B9D">
        <w:tc>
          <w:tcPr>
            <w:tcW w:w="5000" w:type="pct"/>
            <w:gridSpan w:val="3"/>
          </w:tcPr>
          <w:p w:rsidR="00402B2C" w:rsidRPr="003C6CEA" w:rsidRDefault="00402B2C" w:rsidP="00974B9D">
            <w:pPr>
              <w:jc w:val="both"/>
              <w:rPr>
                <w:rFonts w:eastAsia="Calibri"/>
                <w:sz w:val="20"/>
              </w:rPr>
            </w:pPr>
          </w:p>
        </w:tc>
      </w:tr>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 xml:space="preserve">The parties married in 2000.  Ms. Lightle worked in publishing and Mr. Kotar worked as an investment advisor in the securities industry.  Their first child was born in 2006 and the second was born in 2009.  Ms. Lightle left her full time employment to allow her to care for the children.  She then pursued freelance work and started a small publishing business.  In 2000, Mr. Kotar purchased a “book of business” from a retiring investment advisor with a loan of $175,000.  The amount of assets under his management fluctuated over the years from $20,000,000 to $57,000,000.  The parties separated in 2011.  At the time of trial, Mr. Kotar’s income had been adversely affected by a number of factors, including the loss of certain clients so that the assets under his management had decreased.  Mr. Kotar was also facing a lawsuit with a claim for $400,000 against him.  The parties’ assets at the date of trial were the family home, investments, RRSPs, vehicles and Mr. Kotar’s book of business. </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September 17, 2012</w:t>
            </w:r>
          </w:p>
          <w:p w:rsidR="00402B2C" w:rsidRPr="003C6CEA" w:rsidRDefault="00402B2C" w:rsidP="00974B9D">
            <w:pPr>
              <w:jc w:val="both"/>
              <w:rPr>
                <w:rFonts w:eastAsia="Calibri"/>
                <w:sz w:val="20"/>
              </w:rPr>
            </w:pPr>
            <w:r w:rsidRPr="003C6CEA">
              <w:rPr>
                <w:rFonts w:eastAsia="Calibri"/>
                <w:sz w:val="20"/>
              </w:rPr>
              <w:t>Supreme Court of British Columbia</w:t>
            </w:r>
          </w:p>
          <w:p w:rsidR="00402B2C" w:rsidRPr="003C6CEA" w:rsidRDefault="00402B2C" w:rsidP="00974B9D">
            <w:pPr>
              <w:jc w:val="both"/>
              <w:rPr>
                <w:rFonts w:eastAsia="Calibri"/>
                <w:sz w:val="20"/>
              </w:rPr>
            </w:pPr>
            <w:r w:rsidRPr="003C6CEA">
              <w:rPr>
                <w:rFonts w:eastAsia="Calibri"/>
                <w:sz w:val="20"/>
              </w:rPr>
              <w:t>(Affleck J.)</w:t>
            </w:r>
          </w:p>
          <w:p w:rsidR="00402B2C" w:rsidRPr="003C6CEA" w:rsidRDefault="00215143" w:rsidP="00974B9D">
            <w:pPr>
              <w:jc w:val="both"/>
              <w:rPr>
                <w:rFonts w:eastAsia="Calibri"/>
                <w:sz w:val="20"/>
              </w:rPr>
            </w:pPr>
            <w:hyperlink r:id="rId28" w:history="1">
              <w:r w:rsidR="00402B2C" w:rsidRPr="003C6CEA">
                <w:rPr>
                  <w:rFonts w:eastAsia="Calibri"/>
                  <w:color w:val="0000FF"/>
                  <w:sz w:val="20"/>
                  <w:u w:val="single"/>
                </w:rPr>
                <w:t>2012 BCSC 1363</w:t>
              </w:r>
            </w:hyperlink>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Spousal and child support ordered for respondent; Equal division of family assets; Unequal division of applicant’s contingent liability; Applicant’s book of business asset not a family asset available for division</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February 21, 2014</w:t>
            </w:r>
          </w:p>
          <w:p w:rsidR="00402B2C" w:rsidRPr="003C6CEA" w:rsidRDefault="00402B2C" w:rsidP="00974B9D">
            <w:pPr>
              <w:jc w:val="both"/>
              <w:rPr>
                <w:rFonts w:eastAsia="Calibri"/>
                <w:sz w:val="20"/>
              </w:rPr>
            </w:pPr>
            <w:r w:rsidRPr="003C6CEA">
              <w:rPr>
                <w:rFonts w:eastAsia="Calibri"/>
                <w:sz w:val="20"/>
              </w:rPr>
              <w:t xml:space="preserve">Court of Appeal for British Columbia </w:t>
            </w:r>
          </w:p>
          <w:p w:rsidR="00402B2C" w:rsidRPr="003C6CEA" w:rsidRDefault="00402B2C" w:rsidP="00974B9D">
            <w:pPr>
              <w:jc w:val="both"/>
              <w:rPr>
                <w:rFonts w:eastAsia="Calibri"/>
                <w:sz w:val="20"/>
              </w:rPr>
            </w:pPr>
            <w:r w:rsidRPr="003C6CEA">
              <w:rPr>
                <w:rFonts w:eastAsia="Calibri"/>
                <w:sz w:val="20"/>
              </w:rPr>
              <w:t>(Vancouver)</w:t>
            </w:r>
          </w:p>
          <w:p w:rsidR="00402B2C" w:rsidRPr="003C6CEA" w:rsidRDefault="00402B2C" w:rsidP="00974B9D">
            <w:pPr>
              <w:jc w:val="both"/>
              <w:rPr>
                <w:rFonts w:eastAsia="Calibri"/>
                <w:sz w:val="20"/>
              </w:rPr>
            </w:pPr>
            <w:r w:rsidRPr="003C6CEA">
              <w:rPr>
                <w:rFonts w:eastAsia="Calibri"/>
                <w:sz w:val="20"/>
              </w:rPr>
              <w:t xml:space="preserve">(Saunders [dissenting], Groberman and </w:t>
            </w:r>
          </w:p>
          <w:p w:rsidR="00402B2C" w:rsidRPr="003C6CEA" w:rsidRDefault="00402B2C" w:rsidP="00974B9D">
            <w:pPr>
              <w:jc w:val="both"/>
              <w:rPr>
                <w:rFonts w:eastAsia="Calibri"/>
                <w:sz w:val="20"/>
              </w:rPr>
            </w:pPr>
            <w:r w:rsidRPr="003C6CEA">
              <w:rPr>
                <w:rFonts w:eastAsia="Calibri"/>
                <w:sz w:val="20"/>
              </w:rPr>
              <w:t>Willcock JJ.A.)</w:t>
            </w:r>
          </w:p>
          <w:p w:rsidR="00402B2C" w:rsidRPr="003C6CEA" w:rsidRDefault="00215143" w:rsidP="00974B9D">
            <w:pPr>
              <w:jc w:val="both"/>
              <w:rPr>
                <w:rFonts w:eastAsia="Calibri"/>
                <w:sz w:val="20"/>
              </w:rPr>
            </w:pPr>
            <w:hyperlink r:id="rId29" w:history="1">
              <w:r w:rsidR="00402B2C" w:rsidRPr="003C6CEA">
                <w:rPr>
                  <w:rFonts w:eastAsia="Calibri"/>
                  <w:color w:val="0000FF"/>
                  <w:sz w:val="20"/>
                  <w:u w:val="single"/>
                </w:rPr>
                <w:t>2014 BCCA 69</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Respondent’s appeal allowed: Spousal and child support increased; Equal division of contingent liability and book of business; Valuation of book of business remitted to trial judge</w:t>
            </w:r>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April 17, 2014</w:t>
            </w:r>
          </w:p>
          <w:p w:rsidR="00402B2C" w:rsidRPr="003C6CEA" w:rsidRDefault="00402B2C" w:rsidP="00974B9D">
            <w:pPr>
              <w:jc w:val="both"/>
              <w:rPr>
                <w:rFonts w:eastAsia="Calibri"/>
                <w:sz w:val="20"/>
              </w:rPr>
            </w:pPr>
            <w:r w:rsidRPr="003C6CEA">
              <w:rPr>
                <w:rFonts w:eastAsia="Calibri"/>
                <w:sz w:val="20"/>
              </w:rPr>
              <w:t>Supreme Court of Canada</w:t>
            </w: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Application for leave to appeal filed</w:t>
            </w:r>
          </w:p>
          <w:p w:rsidR="00402B2C" w:rsidRPr="003C6CEA" w:rsidRDefault="00402B2C" w:rsidP="00974B9D">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47" style="width:2in;height:1pt" o:hrpct="0" o:hralign="center" o:hrstd="t" o:hrnoshade="t" o:hr="t" fillcolor="black [3213]" stroked="f"/>
        </w:pict>
      </w:r>
    </w:p>
    <w:p w:rsidR="00402B2C" w:rsidRDefault="00402B2C" w:rsidP="00402B2C">
      <w:pPr>
        <w:rPr>
          <w:sz w:val="20"/>
          <w:szCs w:val="20"/>
        </w:rPr>
      </w:pPr>
    </w:p>
    <w:p w:rsidR="00FA1DE8" w:rsidRDefault="00FA1DE8">
      <w:pPr>
        <w:rPr>
          <w:sz w:val="20"/>
          <w:szCs w:val="20"/>
          <w:u w:val="single"/>
          <w:lang w:val="fr-CA"/>
        </w:rPr>
      </w:pPr>
      <w:r>
        <w:rPr>
          <w:sz w:val="20"/>
          <w:szCs w:val="20"/>
          <w:u w:val="single"/>
          <w:lang w:val="fr-CA"/>
        </w:rPr>
        <w:br w:type="page"/>
      </w:r>
    </w:p>
    <w:p w:rsidR="00402B2C" w:rsidRPr="001B157C" w:rsidRDefault="00402B2C" w:rsidP="00402B2C">
      <w:pPr>
        <w:rPr>
          <w:sz w:val="20"/>
          <w:szCs w:val="20"/>
          <w:u w:val="single"/>
          <w:lang w:val="fr-CA"/>
        </w:rPr>
      </w:pPr>
      <w:r w:rsidRPr="001B157C">
        <w:rPr>
          <w:sz w:val="20"/>
          <w:szCs w:val="20"/>
          <w:u w:val="single"/>
          <w:lang w:val="fr-CA"/>
        </w:rPr>
        <w:lastRenderedPageBreak/>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215143" w:rsidTr="00974B9D">
        <w:tc>
          <w:tcPr>
            <w:tcW w:w="5000" w:type="pct"/>
            <w:gridSpan w:val="3"/>
          </w:tcPr>
          <w:p w:rsidR="00402B2C" w:rsidRPr="003C6CEA" w:rsidRDefault="00402B2C" w:rsidP="00974B9D">
            <w:pPr>
              <w:jc w:val="both"/>
              <w:rPr>
                <w:sz w:val="20"/>
                <w:lang w:val="fr-CA" w:eastAsia="en-CA"/>
              </w:rPr>
            </w:pPr>
            <w:r w:rsidRPr="003C6CEA">
              <w:rPr>
                <w:sz w:val="20"/>
                <w:lang w:val="fr-CA" w:eastAsia="en-CA"/>
              </w:rPr>
              <w:t>Droit de la famille – Biens familiaux – Partage – Évaluation – Volume d’affaires – Le « volume d’affaires » découlant de l’emploi d’un conjoint qui travaillait comme conseiller en placements fait-il partie des biens familiaux et, dans l’affirmative, faut-il en déterminer et réaliser la valeur et, si oui, comment le faire, le cas échéant? – Une partie qui omet d’introduire au procès une preuve d’expert admissible quant à la valeur d’un bien doit-elle se faire accorder un « deuxième procès » pour introduire une telle preuve? – La prise en charge fictive imposée aux fins de l’évaluation est-elle justifiable en droit et en fait? – Les dispositions législatives en matière de droit de la famille en Colombie-Britannique ont-elles pour objet de s’attaquer aux effets disproportionnés du mariage sur la capacité des époux qui s’occupent de l’éducation des enfants d’être indépendants après la dissolution du mariage?</w:t>
            </w:r>
          </w:p>
        </w:tc>
      </w:tr>
      <w:tr w:rsidR="00402B2C" w:rsidRPr="00215143" w:rsidTr="00974B9D">
        <w:tc>
          <w:tcPr>
            <w:tcW w:w="5000" w:type="pct"/>
            <w:gridSpan w:val="3"/>
          </w:tcPr>
          <w:p w:rsidR="00402B2C" w:rsidRPr="003C6CEA" w:rsidRDefault="00402B2C" w:rsidP="00974B9D">
            <w:pPr>
              <w:jc w:val="both"/>
              <w:rPr>
                <w:rFonts w:eastAsia="Calibri"/>
                <w:sz w:val="20"/>
                <w:lang w:val="fr-CA"/>
              </w:rPr>
            </w:pPr>
          </w:p>
        </w:tc>
      </w:tr>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 xml:space="preserve">Les parties se sont mariées en 2000.  Madame Lightle travaillait dans l’édition et M. Kotar travaillait comme conseiller en placements dans le secteur des valeurs mobilières.  Leur premier enfant est né en 2006 et leur deuxième est né en 2009.  Madame Lightle a quitté son emploi à plein temps pour pouvoir prendre soin des enfants.  Elle a ensuite travaillé à la pige et a lancé une petite entreprise d’édition.  En 2000, M. Kotar a acheté pour la somme de 175 000 $ un « volume d’affaires » d’un conseiller en placements qui partait à la retraite.  Le montant de l’actif dont il assumait la gestion a fluctué au fil des années, de 20 000 000 $ à 57 000 000 $.  Les parties se sont séparées en 2011.  Au moment du procès, un certain nombre de facteurs avaient eu une incidence négative sur le revenu de M. Kotar, notamment la perte de certains clients, si bien que l’actif dont il assumait la gestion avait diminué.  Monsieur Kotar était également l’objet d’une poursuite de 400 000 $.  Les biens des parties à la date du procès comprenaient la maison familiale, des placements, des REÉR, des véhicules et le volume d’affaires de M. Kotar. </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17 septembre 2012</w:t>
            </w:r>
          </w:p>
          <w:p w:rsidR="00402B2C" w:rsidRPr="003C6CEA" w:rsidRDefault="00402B2C" w:rsidP="00974B9D">
            <w:pPr>
              <w:jc w:val="both"/>
              <w:rPr>
                <w:rFonts w:eastAsia="Calibri"/>
                <w:sz w:val="20"/>
                <w:lang w:val="fr-CA"/>
              </w:rPr>
            </w:pPr>
            <w:r w:rsidRPr="003C6CEA">
              <w:rPr>
                <w:rFonts w:eastAsia="Calibri"/>
                <w:sz w:val="20"/>
                <w:lang w:val="fr-CA"/>
              </w:rPr>
              <w:t xml:space="preserve">Cour suprême de la Colombie-Britannique </w:t>
            </w:r>
          </w:p>
          <w:p w:rsidR="00402B2C" w:rsidRPr="003C6CEA" w:rsidRDefault="00402B2C" w:rsidP="00974B9D">
            <w:pPr>
              <w:jc w:val="both"/>
              <w:rPr>
                <w:rFonts w:eastAsia="Calibri"/>
                <w:sz w:val="20"/>
                <w:lang w:val="fr-CA"/>
              </w:rPr>
            </w:pPr>
            <w:r w:rsidRPr="003C6CEA">
              <w:rPr>
                <w:rFonts w:eastAsia="Calibri"/>
                <w:sz w:val="20"/>
                <w:lang w:val="fr-CA"/>
              </w:rPr>
              <w:t>(Juge Affleck)</w:t>
            </w:r>
          </w:p>
          <w:p w:rsidR="00402B2C" w:rsidRPr="003C6CEA" w:rsidRDefault="00215143" w:rsidP="00974B9D">
            <w:pPr>
              <w:jc w:val="both"/>
              <w:rPr>
                <w:rFonts w:eastAsia="Calibri"/>
                <w:sz w:val="20"/>
                <w:lang w:val="fr-CA"/>
              </w:rPr>
            </w:pPr>
            <w:hyperlink r:id="rId30" w:history="1">
              <w:r w:rsidR="00402B2C" w:rsidRPr="003C6CEA">
                <w:rPr>
                  <w:rFonts w:eastAsia="Calibri"/>
                  <w:color w:val="0000FF"/>
                  <w:sz w:val="20"/>
                  <w:u w:val="single"/>
                  <w:lang w:val="fr-CA"/>
                </w:rPr>
                <w:t>2012 BCSC 1363</w:t>
              </w:r>
            </w:hyperlink>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Pension alimentaire pour le conjoint et les enfants accordée à l’intimée; partage égal des biens familiaux; partage inégal de la responsabilité éventuelle du demandeur; le volume d’affaires du demandeur n’est pas un bien familial soumis au partage</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21 février 2014</w:t>
            </w:r>
          </w:p>
          <w:p w:rsidR="00402B2C" w:rsidRPr="003C6CEA" w:rsidRDefault="00402B2C" w:rsidP="00974B9D">
            <w:pPr>
              <w:jc w:val="both"/>
              <w:rPr>
                <w:rFonts w:eastAsia="Calibri"/>
                <w:sz w:val="20"/>
                <w:lang w:val="fr-CA"/>
              </w:rPr>
            </w:pPr>
            <w:r w:rsidRPr="003C6CEA">
              <w:rPr>
                <w:rFonts w:eastAsia="Calibri"/>
                <w:sz w:val="20"/>
                <w:lang w:val="fr-CA"/>
              </w:rPr>
              <w:t>Cour d’appel de la Colombie-Britannique</w:t>
            </w:r>
          </w:p>
          <w:p w:rsidR="00402B2C" w:rsidRPr="003C6CEA" w:rsidRDefault="00402B2C" w:rsidP="00974B9D">
            <w:pPr>
              <w:jc w:val="both"/>
              <w:rPr>
                <w:rFonts w:eastAsia="Calibri"/>
                <w:sz w:val="20"/>
                <w:lang w:val="fr-CA"/>
              </w:rPr>
            </w:pPr>
            <w:r w:rsidRPr="003C6CEA">
              <w:rPr>
                <w:rFonts w:eastAsia="Calibri"/>
                <w:sz w:val="20"/>
                <w:lang w:val="fr-CA"/>
              </w:rPr>
              <w:t>(Vancouver)</w:t>
            </w:r>
          </w:p>
          <w:p w:rsidR="00402B2C" w:rsidRPr="003C6CEA" w:rsidRDefault="00402B2C" w:rsidP="00974B9D">
            <w:pPr>
              <w:jc w:val="both"/>
              <w:rPr>
                <w:rFonts w:eastAsia="Calibri"/>
                <w:sz w:val="20"/>
                <w:lang w:val="fr-CA"/>
              </w:rPr>
            </w:pPr>
            <w:r w:rsidRPr="003C6CEA">
              <w:rPr>
                <w:rFonts w:eastAsia="Calibri"/>
                <w:sz w:val="20"/>
                <w:lang w:val="fr-CA"/>
              </w:rPr>
              <w:t xml:space="preserve">(Juges Saunders [dissidente], Groberman et </w:t>
            </w:r>
          </w:p>
          <w:p w:rsidR="00402B2C" w:rsidRPr="003C6CEA" w:rsidRDefault="00402B2C" w:rsidP="00974B9D">
            <w:pPr>
              <w:jc w:val="both"/>
              <w:rPr>
                <w:rFonts w:eastAsia="Calibri"/>
                <w:sz w:val="20"/>
                <w:lang w:val="fr-CA"/>
              </w:rPr>
            </w:pPr>
            <w:r w:rsidRPr="003C6CEA">
              <w:rPr>
                <w:rFonts w:eastAsia="Calibri"/>
                <w:sz w:val="20"/>
                <w:lang w:val="fr-CA"/>
              </w:rPr>
              <w:t>Willcock)</w:t>
            </w:r>
          </w:p>
          <w:p w:rsidR="00402B2C" w:rsidRPr="003C6CEA" w:rsidRDefault="00215143" w:rsidP="00974B9D">
            <w:pPr>
              <w:jc w:val="both"/>
              <w:rPr>
                <w:rFonts w:eastAsia="Calibri"/>
                <w:sz w:val="20"/>
                <w:lang w:val="fr-CA"/>
              </w:rPr>
            </w:pPr>
            <w:hyperlink r:id="rId31" w:history="1">
              <w:r w:rsidR="00402B2C" w:rsidRPr="003C6CEA">
                <w:rPr>
                  <w:rFonts w:eastAsia="Calibri"/>
                  <w:color w:val="0000FF"/>
                  <w:sz w:val="20"/>
                  <w:u w:val="single"/>
                  <w:lang w:val="fr-CA"/>
                </w:rPr>
                <w:t>2014 BCCA 69</w:t>
              </w:r>
            </w:hyperlink>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Appel de l’intimée accueilli : pension alimentaire pour le conjoint et les enfants augmentée; partage égal de la responsabilité éventuelle et du volume d’affaires; évaluation du volume d’affaires remise au juge de première instance</w:t>
            </w:r>
          </w:p>
          <w:p w:rsidR="00402B2C" w:rsidRPr="003C6CEA" w:rsidRDefault="00402B2C" w:rsidP="00974B9D">
            <w:pPr>
              <w:jc w:val="both"/>
              <w:rPr>
                <w:rFonts w:eastAsia="Calibri"/>
                <w:sz w:val="20"/>
                <w:lang w:val="fr-CA"/>
              </w:rPr>
            </w:pPr>
          </w:p>
        </w:tc>
      </w:tr>
      <w:tr w:rsidR="00402B2C" w:rsidRPr="003C6CEA"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17 avril 2014</w:t>
            </w:r>
          </w:p>
          <w:p w:rsidR="00402B2C" w:rsidRPr="003C6CEA" w:rsidRDefault="00402B2C" w:rsidP="00974B9D">
            <w:pPr>
              <w:jc w:val="both"/>
              <w:rPr>
                <w:rFonts w:eastAsia="Calibri"/>
                <w:sz w:val="20"/>
                <w:lang w:val="fr-CA"/>
              </w:rPr>
            </w:pPr>
            <w:r w:rsidRPr="003C6CEA">
              <w:rPr>
                <w:rFonts w:eastAsia="Calibri"/>
                <w:sz w:val="20"/>
                <w:lang w:val="fr-CA"/>
              </w:rPr>
              <w:t>Cour suprême du Canada</w:t>
            </w: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Demande d’autorisation d’appel, déposée</w:t>
            </w: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48"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63AA" w:rsidRPr="00A04AD5" w:rsidTr="001068B6">
        <w:trPr>
          <w:cantSplit/>
        </w:trPr>
        <w:tc>
          <w:tcPr>
            <w:tcW w:w="1458" w:type="dxa"/>
          </w:tcPr>
          <w:p w:rsidR="000963AA" w:rsidRPr="00A04AD5" w:rsidRDefault="000963AA" w:rsidP="001068B6">
            <w:pPr>
              <w:rPr>
                <w:sz w:val="20"/>
                <w:szCs w:val="20"/>
              </w:rPr>
            </w:pPr>
            <w:r w:rsidRPr="00A04AD5">
              <w:rPr>
                <w:rStyle w:val="SCCFileNumberChar"/>
                <w:sz w:val="20"/>
                <w:szCs w:val="20"/>
              </w:rPr>
              <w:t>35858</w:t>
            </w:r>
          </w:p>
          <w:p w:rsidR="000963AA" w:rsidRPr="00A04AD5" w:rsidRDefault="000963AA" w:rsidP="001068B6">
            <w:pPr>
              <w:rPr>
                <w:b/>
                <w:sz w:val="20"/>
                <w:szCs w:val="20"/>
                <w:lang w:val="fr-CA"/>
              </w:rPr>
            </w:pPr>
          </w:p>
        </w:tc>
        <w:tc>
          <w:tcPr>
            <w:tcW w:w="8118" w:type="dxa"/>
          </w:tcPr>
          <w:p w:rsidR="000963AA" w:rsidRPr="00A04AD5" w:rsidRDefault="000963AA" w:rsidP="001068B6">
            <w:pPr>
              <w:rPr>
                <w:sz w:val="20"/>
                <w:szCs w:val="20"/>
              </w:rPr>
            </w:pPr>
            <w:r w:rsidRPr="00A04AD5">
              <w:rPr>
                <w:rStyle w:val="SCCLsocChar"/>
                <w:sz w:val="20"/>
                <w:szCs w:val="20"/>
              </w:rPr>
              <w:t>9187-0725 Québec Inc. c. 9051-8887 Québec Inc.</w:t>
            </w:r>
            <w:r w:rsidRPr="00A04AD5">
              <w:rPr>
                <w:sz w:val="20"/>
                <w:szCs w:val="20"/>
                <w:lang w:val="fr-CA"/>
              </w:rPr>
              <w:t xml:space="preserve"> </w:t>
            </w:r>
            <w:r w:rsidRPr="00A04AD5">
              <w:rPr>
                <w:sz w:val="20"/>
                <w:szCs w:val="20"/>
              </w:rPr>
              <w:t>(Qc) (Civile) (Autorisation)</w:t>
            </w:r>
          </w:p>
          <w:p w:rsidR="000963AA" w:rsidRPr="00A04AD5" w:rsidRDefault="000963AA" w:rsidP="001068B6">
            <w:pPr>
              <w:rPr>
                <w:sz w:val="20"/>
                <w:szCs w:val="20"/>
              </w:rPr>
            </w:pPr>
          </w:p>
        </w:tc>
      </w:tr>
      <w:tr w:rsidR="000963AA" w:rsidRPr="00215143" w:rsidTr="001068B6">
        <w:trPr>
          <w:cantSplit/>
        </w:trPr>
        <w:tc>
          <w:tcPr>
            <w:tcW w:w="1458" w:type="dxa"/>
          </w:tcPr>
          <w:p w:rsidR="000963AA" w:rsidRPr="00A04AD5" w:rsidRDefault="000963AA" w:rsidP="001068B6">
            <w:pPr>
              <w:rPr>
                <w:sz w:val="20"/>
                <w:szCs w:val="20"/>
              </w:rPr>
            </w:pPr>
            <w:r w:rsidRPr="00A04AD5">
              <w:rPr>
                <w:sz w:val="20"/>
                <w:szCs w:val="20"/>
              </w:rPr>
              <w:t>Coram :</w:t>
            </w:r>
          </w:p>
        </w:tc>
        <w:tc>
          <w:tcPr>
            <w:tcW w:w="8118" w:type="dxa"/>
          </w:tcPr>
          <w:p w:rsidR="000963AA" w:rsidRPr="00A04AD5" w:rsidRDefault="000963AA" w:rsidP="001068B6">
            <w:pPr>
              <w:rPr>
                <w:sz w:val="20"/>
                <w:szCs w:val="20"/>
                <w:lang w:val="fr-CA"/>
              </w:rPr>
            </w:pPr>
            <w:r w:rsidRPr="00A04AD5">
              <w:rPr>
                <w:rStyle w:val="SCCCoramChar"/>
                <w:sz w:val="20"/>
                <w:szCs w:val="20"/>
              </w:rPr>
              <w:t>La juge en chef McLachlin et les juges Cromwell et Wagner</w:t>
            </w:r>
          </w:p>
          <w:p w:rsidR="000963AA" w:rsidRPr="00A04AD5" w:rsidRDefault="000963AA" w:rsidP="001068B6">
            <w:pPr>
              <w:rPr>
                <w:sz w:val="20"/>
                <w:szCs w:val="20"/>
                <w:u w:val="single"/>
                <w:lang w:val="fr-CA"/>
              </w:rPr>
            </w:pPr>
          </w:p>
        </w:tc>
      </w:tr>
      <w:tr w:rsidR="000963AA" w:rsidRPr="00A04AD5" w:rsidTr="001068B6">
        <w:trPr>
          <w:cantSplit/>
        </w:trPr>
        <w:tc>
          <w:tcPr>
            <w:tcW w:w="9576" w:type="dxa"/>
            <w:gridSpan w:val="2"/>
          </w:tcPr>
          <w:p w:rsidR="000963AA" w:rsidRPr="00A04AD5" w:rsidRDefault="000963AA" w:rsidP="001068B6">
            <w:pPr>
              <w:pStyle w:val="SCCShortJudgment"/>
              <w:rPr>
                <w:szCs w:val="20"/>
                <w:lang w:val="fr-CA"/>
              </w:rPr>
            </w:pPr>
            <w:r w:rsidRPr="00A04AD5">
              <w:rPr>
                <w:szCs w:val="20"/>
                <w:lang w:val="fr-CA"/>
              </w:rPr>
              <w:t>La demande d’autorisation d’appel de l’arrêt de la Cour d’appel du Québec (Québec), numéro 200-09-008208-131, 2014 QCCA 8, daté du 10 janvier 2014, est rejetée sans dépens.</w:t>
            </w:r>
          </w:p>
          <w:p w:rsidR="000963AA" w:rsidRPr="00A04AD5" w:rsidRDefault="000963AA" w:rsidP="001068B6">
            <w:pPr>
              <w:pStyle w:val="SCCShortJudgment"/>
              <w:ind w:firstLine="0"/>
              <w:rPr>
                <w:szCs w:val="20"/>
                <w:lang w:val="fr-CA"/>
              </w:rPr>
            </w:pPr>
          </w:p>
          <w:p w:rsidR="000963AA" w:rsidRPr="00A04AD5" w:rsidRDefault="000963AA" w:rsidP="001068B6">
            <w:pPr>
              <w:pStyle w:val="SCCShortJudgment"/>
              <w:rPr>
                <w:szCs w:val="20"/>
              </w:rPr>
            </w:pPr>
            <w:r w:rsidRPr="00A04AD5">
              <w:rPr>
                <w:szCs w:val="20"/>
              </w:rPr>
              <w:t>The application for leave to appeal from the judgment of the Court of Appeal of Quebec (Québec), Number 200-09-008208-131, 2014 QCCA 8, dated January 10, 2014, is dismissed without costs.</w:t>
            </w:r>
          </w:p>
        </w:tc>
      </w:tr>
    </w:tbl>
    <w:p w:rsidR="00402B2C" w:rsidRDefault="00402B2C" w:rsidP="00402B2C">
      <w:pPr>
        <w:rPr>
          <w:sz w:val="20"/>
          <w:szCs w:val="20"/>
        </w:rPr>
      </w:pPr>
    </w:p>
    <w:p w:rsidR="00402B2C" w:rsidRPr="001B157C" w:rsidRDefault="00402B2C" w:rsidP="00402B2C">
      <w:pPr>
        <w:rPr>
          <w:sz w:val="20"/>
          <w:szCs w:val="20"/>
          <w:u w:val="single"/>
        </w:rPr>
      </w:pPr>
      <w:r w:rsidRPr="001B157C">
        <w:rPr>
          <w:sz w:val="20"/>
          <w:szCs w:val="20"/>
          <w:u w:val="single"/>
        </w:rPr>
        <w:lastRenderedPageBreak/>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Contracts – Performance – Delegation of payment – Whether trial judge erred in finding that debtor had delegated its obligation to pay to third party that had agreed to perform it – Whether trial judge erred in determining amount of claim – Whether Court of Appeal should have granted leave to appeal.</w:t>
            </w:r>
          </w:p>
        </w:tc>
      </w:tr>
      <w:tr w:rsidR="00402B2C" w:rsidRPr="003C6CEA" w:rsidTr="00974B9D">
        <w:tc>
          <w:tcPr>
            <w:tcW w:w="5000" w:type="pct"/>
            <w:gridSpan w:val="3"/>
          </w:tcPr>
          <w:p w:rsidR="00402B2C" w:rsidRPr="003C6CEA" w:rsidRDefault="00402B2C" w:rsidP="00974B9D">
            <w:pPr>
              <w:jc w:val="both"/>
              <w:rPr>
                <w:rFonts w:eastAsia="Calibri"/>
                <w:sz w:val="20"/>
              </w:rPr>
            </w:pPr>
          </w:p>
        </w:tc>
      </w:tr>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The applicant (Phoenicia), a real estate promoter, entered into a roofing installation contract with Tola Roofing (Tola).  Tola ordered the materials required for the performance of the contract from the respondent (Fibrass), which sold and delivered them to Tola.  Shortly after the work began, Tola had to stop the work because it did not have the required permit.  With Tola’s consent, Phoenicia therefore asked Fibrass to put Tola’s account in its name.  Tola eventually finished the work.  On September 1, 2011, Fibrass invoiced Phoenicia for $49,384.81.  Phoenicia paid $10,000 immediately and did not pay Tola.  On December 21, 2012, Fibrass gave Phoenicia formal notice to pay the balance owing in addition to interest computed at the rate of 18% a year.  It claimed nothing from Tola.  In its defence, Phoenicia argued that there was no legal relationship between it and Fibrass.  It also stated that its contract with Tola provided that the work was to be performed for $28,000.</w:t>
            </w:r>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r w:rsidRPr="003C6CEA">
              <w:rPr>
                <w:rFonts w:eastAsia="Calibri"/>
                <w:sz w:val="20"/>
              </w:rPr>
              <w:t xml:space="preserve">The Court of Québec allowed Fibrass’ action in part.  Judge Labbé found that Phoenicia had personally undertaken to Fibrass to pay Fibrass’ claim against Tola for the construction materials, which constituted a delegation of payment within the meaning of art. 1667 C.C.Q.  He ordered Phoenicia to pay $46,261.64 plus interest at the legal rate and the additional indemnity provided for in art. 1619 C.C.Q.  Gagnon J.A. of the Court of Appeal denied leave to appeal. </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November 13, 2013</w:t>
            </w:r>
          </w:p>
          <w:p w:rsidR="00402B2C" w:rsidRPr="003C6CEA" w:rsidRDefault="00402B2C" w:rsidP="00974B9D">
            <w:pPr>
              <w:jc w:val="both"/>
              <w:rPr>
                <w:rFonts w:eastAsia="Calibri"/>
                <w:sz w:val="20"/>
              </w:rPr>
            </w:pPr>
            <w:r w:rsidRPr="003C6CEA">
              <w:rPr>
                <w:rFonts w:eastAsia="Calibri"/>
                <w:sz w:val="20"/>
              </w:rPr>
              <w:t>Court of Québec</w:t>
            </w:r>
          </w:p>
          <w:p w:rsidR="00402B2C" w:rsidRPr="003C6CEA" w:rsidRDefault="00402B2C" w:rsidP="00974B9D">
            <w:pPr>
              <w:jc w:val="both"/>
              <w:rPr>
                <w:rFonts w:eastAsia="Calibri"/>
                <w:sz w:val="20"/>
              </w:rPr>
            </w:pPr>
            <w:r w:rsidRPr="003C6CEA">
              <w:rPr>
                <w:rFonts w:eastAsia="Calibri"/>
                <w:sz w:val="20"/>
              </w:rPr>
              <w:t>(Judge Labbé)</w:t>
            </w:r>
          </w:p>
          <w:p w:rsidR="00402B2C" w:rsidRPr="003C6CEA" w:rsidRDefault="00215143" w:rsidP="00974B9D">
            <w:pPr>
              <w:jc w:val="both"/>
              <w:rPr>
                <w:rFonts w:eastAsia="Calibri"/>
                <w:sz w:val="20"/>
              </w:rPr>
            </w:pPr>
            <w:hyperlink r:id="rId32" w:history="1">
              <w:r w:rsidR="00402B2C" w:rsidRPr="003C6CEA">
                <w:rPr>
                  <w:rFonts w:eastAsia="Calibri"/>
                  <w:color w:val="0000FF"/>
                  <w:sz w:val="20"/>
                  <w:u w:val="single"/>
                </w:rPr>
                <w:t>2013 QCCQ 13831</w:t>
              </w:r>
            </w:hyperlink>
            <w:r w:rsidR="00402B2C" w:rsidRPr="003C6CEA">
              <w:rPr>
                <w:rFonts w:eastAsia="Calibri"/>
                <w:sz w:val="20"/>
              </w:rPr>
              <w:t xml:space="preserve"> (CanLII)</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Action allowed in part; applicant ordered to pay $46,261.64 plus interest and additional indemnity</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January 10, 2014</w:t>
            </w:r>
          </w:p>
          <w:p w:rsidR="00402B2C" w:rsidRPr="003C6CEA" w:rsidRDefault="00402B2C" w:rsidP="00974B9D">
            <w:pPr>
              <w:jc w:val="both"/>
              <w:rPr>
                <w:rFonts w:eastAsia="Calibri"/>
                <w:sz w:val="20"/>
              </w:rPr>
            </w:pPr>
            <w:r w:rsidRPr="003C6CEA">
              <w:rPr>
                <w:rFonts w:eastAsia="Calibri"/>
                <w:sz w:val="20"/>
              </w:rPr>
              <w:t>Quebec Court of Appeal (Québec)</w:t>
            </w:r>
          </w:p>
          <w:p w:rsidR="00402B2C" w:rsidRPr="003C6CEA" w:rsidRDefault="00402B2C" w:rsidP="00974B9D">
            <w:pPr>
              <w:jc w:val="both"/>
              <w:rPr>
                <w:rFonts w:eastAsia="Calibri"/>
                <w:sz w:val="20"/>
              </w:rPr>
            </w:pPr>
            <w:r w:rsidRPr="003C6CEA">
              <w:rPr>
                <w:rFonts w:eastAsia="Calibri"/>
                <w:sz w:val="20"/>
              </w:rPr>
              <w:t>(Gagnon J.A.)</w:t>
            </w:r>
          </w:p>
          <w:p w:rsidR="00402B2C" w:rsidRPr="003C6CEA" w:rsidRDefault="00402B2C" w:rsidP="00974B9D">
            <w:pPr>
              <w:jc w:val="both"/>
              <w:rPr>
                <w:rFonts w:eastAsia="Calibri"/>
                <w:sz w:val="20"/>
              </w:rPr>
            </w:pPr>
            <w:r w:rsidRPr="003C6CEA">
              <w:rPr>
                <w:rFonts w:eastAsia="Calibri"/>
                <w:sz w:val="20"/>
              </w:rPr>
              <w:t xml:space="preserve">200-09-008208-131; </w:t>
            </w:r>
            <w:hyperlink r:id="rId33" w:history="1">
              <w:r w:rsidRPr="003C6CEA">
                <w:rPr>
                  <w:rFonts w:eastAsia="Calibri"/>
                  <w:color w:val="0000FF"/>
                  <w:sz w:val="20"/>
                  <w:u w:val="single"/>
                </w:rPr>
                <w:t>2014 QCCA 8</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Motion for leave to appeal dismissed</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March 11, 2014</w:t>
            </w:r>
          </w:p>
          <w:p w:rsidR="00402B2C" w:rsidRPr="003C6CEA" w:rsidRDefault="00402B2C" w:rsidP="00974B9D">
            <w:pPr>
              <w:jc w:val="both"/>
              <w:rPr>
                <w:rFonts w:eastAsia="Calibri"/>
                <w:sz w:val="20"/>
              </w:rPr>
            </w:pPr>
            <w:r w:rsidRPr="003C6CEA">
              <w:rPr>
                <w:rFonts w:eastAsia="Calibri"/>
                <w:sz w:val="20"/>
              </w:rPr>
              <w:t>Supreme Court of Canada</w:t>
            </w: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Application for leave to appeal filed</w:t>
            </w:r>
          </w:p>
          <w:p w:rsidR="00402B2C" w:rsidRPr="003C6CEA" w:rsidRDefault="00402B2C" w:rsidP="00974B9D">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49"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Contrats – Exécution – Délégation de paiement – Le juge du procès a-t-il eu tort de conclure que le débiteur avait délégué son obligation de payer à un tiers qui avait accepté de l’exécuter? – A-t-il commis des erreurs concernant la détermination du montant de la créance? – La Cour d’appel aurait-elle dû accorder la permission d’appeler?</w:t>
            </w:r>
          </w:p>
        </w:tc>
      </w:tr>
      <w:tr w:rsidR="00402B2C" w:rsidRPr="00215143" w:rsidTr="00974B9D">
        <w:tc>
          <w:tcPr>
            <w:tcW w:w="5000" w:type="pct"/>
            <w:gridSpan w:val="3"/>
          </w:tcPr>
          <w:p w:rsidR="00402B2C" w:rsidRPr="003C6CEA" w:rsidRDefault="00402B2C" w:rsidP="00974B9D">
            <w:pPr>
              <w:jc w:val="both"/>
              <w:rPr>
                <w:rFonts w:eastAsia="Calibri"/>
                <w:sz w:val="20"/>
                <w:lang w:val="fr-CA"/>
              </w:rPr>
            </w:pPr>
          </w:p>
        </w:tc>
      </w:tr>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La demanderesse (Phoenicia), une promotrice immobilière, a contracté avec l’entreprise Tola Roofing (Tola) pour l’installation de revêtement de toitures.  Pour l’exécution du contrat, Tola a commandé les matériaux nécessaires auprès de l’intimée (Fibrass), qui les lui a vendus et livrés.  Peu après le début des travaux, Tola doit cesser les travaux, car elle ne détient pas le permis requis.  Avec l’accord de Tola, Phoenicia demande alors à Fibrass de mettre le compte de Tola à son nom.  Tola termine éventuellement les travaux.  Le 1</w:t>
            </w:r>
            <w:r w:rsidRPr="003C6CEA">
              <w:rPr>
                <w:rFonts w:eastAsia="Calibri"/>
                <w:sz w:val="20"/>
                <w:vertAlign w:val="superscript"/>
                <w:lang w:val="fr-CA"/>
              </w:rPr>
              <w:t>er</w:t>
            </w:r>
            <w:r w:rsidRPr="003C6CEA">
              <w:rPr>
                <w:rFonts w:eastAsia="Calibri"/>
                <w:sz w:val="20"/>
                <w:lang w:val="fr-CA"/>
              </w:rPr>
              <w:t xml:space="preserve"> septembre 2011, Fibrass facture une somme de 49 384,81 $ à Phoenicia.  Phoenicia verse immédiatement 10 000 $ et ne paie pas Tola. Le 21 décembre 2012, Fibrass met Phoenicia en demeure de payer le solde dû, en sus des intérêts calculés au taux de 18 % l’an.  Elle ne réclame rien à Tola.  En défense, Phoenicia soutient qu’il n’existe aucun lien de droit entre elle et Fibrass.  De plus, </w:t>
            </w:r>
            <w:r w:rsidRPr="003C6CEA">
              <w:rPr>
                <w:rFonts w:eastAsia="Calibri"/>
                <w:sz w:val="20"/>
                <w:lang w:val="fr-CA"/>
              </w:rPr>
              <w:lastRenderedPageBreak/>
              <w:t>selon elle, le contrat qui l’unit à Tola prévoit que les travaux devaient être exécutés pour une somme de 28 000 $.</w:t>
            </w:r>
          </w:p>
          <w:p w:rsidR="00402B2C" w:rsidRPr="003C6CEA" w:rsidRDefault="00402B2C" w:rsidP="00974B9D">
            <w:pPr>
              <w:jc w:val="both"/>
              <w:rPr>
                <w:rFonts w:eastAsia="Calibri"/>
                <w:sz w:val="20"/>
                <w:lang w:val="fr-CA"/>
              </w:rPr>
            </w:pPr>
          </w:p>
          <w:p w:rsidR="00402B2C" w:rsidRPr="003C6CEA" w:rsidRDefault="00402B2C" w:rsidP="00974B9D">
            <w:pPr>
              <w:jc w:val="both"/>
              <w:rPr>
                <w:rFonts w:eastAsia="Calibri"/>
                <w:sz w:val="20"/>
                <w:lang w:val="fr-CA"/>
              </w:rPr>
            </w:pPr>
            <w:r w:rsidRPr="003C6CEA">
              <w:rPr>
                <w:rFonts w:eastAsia="Calibri"/>
                <w:sz w:val="20"/>
                <w:lang w:val="fr-CA"/>
              </w:rPr>
              <w:t xml:space="preserve">La Cour du Québec accueille l’action de Fibrass en partie.  Le juge Labbé estime que Phoenicia s’est personnellement engagée envers Fibrass à acquitter la créance de celle-ci envers Tola concernant les matériaux de construction, ce qui constituait une délégation de paiement au sens de l’art. 1667 C.c.Q.  Il condamne Phoenicia à payer une somme de 46 261,64 $, plus les intérêts au taux légal et l’indemnité additionnelle prévue par l’art. 1619 C.c.Q.  Le juge Gagnon de la Cour d’appel refuse la permission d’appeler. </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lastRenderedPageBreak/>
              <w:t>Le 13 novembre 2013</w:t>
            </w:r>
          </w:p>
          <w:p w:rsidR="00402B2C" w:rsidRPr="003C6CEA" w:rsidRDefault="00402B2C" w:rsidP="00974B9D">
            <w:pPr>
              <w:jc w:val="both"/>
              <w:rPr>
                <w:rFonts w:eastAsia="Calibri"/>
                <w:sz w:val="20"/>
                <w:lang w:val="fr-CA"/>
              </w:rPr>
            </w:pPr>
            <w:r w:rsidRPr="003C6CEA">
              <w:rPr>
                <w:rFonts w:eastAsia="Calibri"/>
                <w:sz w:val="20"/>
                <w:lang w:val="fr-CA"/>
              </w:rPr>
              <w:t>Cour du Québec</w:t>
            </w:r>
          </w:p>
          <w:p w:rsidR="00402B2C" w:rsidRPr="003C6CEA" w:rsidRDefault="00402B2C" w:rsidP="00974B9D">
            <w:pPr>
              <w:jc w:val="both"/>
              <w:rPr>
                <w:rFonts w:eastAsia="Calibri"/>
                <w:sz w:val="20"/>
                <w:lang w:val="fr-CA"/>
              </w:rPr>
            </w:pPr>
            <w:r w:rsidRPr="003C6CEA">
              <w:rPr>
                <w:rFonts w:eastAsia="Calibri"/>
                <w:sz w:val="20"/>
                <w:lang w:val="fr-CA"/>
              </w:rPr>
              <w:t>(Le juge Labbé)</w:t>
            </w:r>
          </w:p>
          <w:p w:rsidR="00402B2C" w:rsidRPr="003C6CEA" w:rsidRDefault="00215143" w:rsidP="00974B9D">
            <w:pPr>
              <w:jc w:val="both"/>
              <w:rPr>
                <w:rFonts w:eastAsia="Calibri"/>
                <w:sz w:val="20"/>
                <w:lang w:val="fr-CA"/>
              </w:rPr>
            </w:pPr>
            <w:hyperlink r:id="rId34" w:history="1">
              <w:r w:rsidR="00402B2C" w:rsidRPr="003C6CEA">
                <w:rPr>
                  <w:rFonts w:eastAsia="Calibri"/>
                  <w:color w:val="0000FF"/>
                  <w:sz w:val="20"/>
                  <w:u w:val="single"/>
                  <w:lang w:val="fr-CA"/>
                </w:rPr>
                <w:t>2013 QCCQ 13831</w:t>
              </w:r>
            </w:hyperlink>
            <w:r w:rsidR="00402B2C" w:rsidRPr="003C6CEA">
              <w:rPr>
                <w:rFonts w:eastAsia="Calibri"/>
                <w:sz w:val="20"/>
                <w:lang w:val="fr-CA"/>
              </w:rPr>
              <w:t xml:space="preserve"> (CanLII)</w:t>
            </w:r>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Action accueillie en partie; demanderesse condamnée à payer une somme de 46 261,64 $, plus intérêts et indemnité additionnelle</w:t>
            </w:r>
          </w:p>
          <w:p w:rsidR="00402B2C" w:rsidRPr="003C6CEA" w:rsidRDefault="00402B2C" w:rsidP="00974B9D">
            <w:pPr>
              <w:jc w:val="both"/>
              <w:rPr>
                <w:rFonts w:eastAsia="Calibri"/>
                <w:sz w:val="20"/>
                <w:lang w:val="fr-CA"/>
              </w:rPr>
            </w:pPr>
          </w:p>
        </w:tc>
      </w:tr>
      <w:tr w:rsidR="00402B2C" w:rsidRPr="003C6CEA"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Le 10 janvier 2014</w:t>
            </w:r>
          </w:p>
          <w:p w:rsidR="00402B2C" w:rsidRPr="003C6CEA" w:rsidRDefault="00402B2C" w:rsidP="00974B9D">
            <w:pPr>
              <w:jc w:val="both"/>
              <w:rPr>
                <w:rFonts w:eastAsia="Calibri"/>
                <w:sz w:val="20"/>
                <w:lang w:val="fr-CA"/>
              </w:rPr>
            </w:pPr>
            <w:r w:rsidRPr="003C6CEA">
              <w:rPr>
                <w:rFonts w:eastAsia="Calibri"/>
                <w:sz w:val="20"/>
                <w:lang w:val="fr-CA"/>
              </w:rPr>
              <w:t>Cour d’appel du Québec (Québec)</w:t>
            </w:r>
          </w:p>
          <w:p w:rsidR="00402B2C" w:rsidRPr="003C6CEA" w:rsidRDefault="00402B2C" w:rsidP="00974B9D">
            <w:pPr>
              <w:jc w:val="both"/>
              <w:rPr>
                <w:rFonts w:eastAsia="Calibri"/>
                <w:sz w:val="20"/>
                <w:lang w:val="fr-CA"/>
              </w:rPr>
            </w:pPr>
            <w:r w:rsidRPr="003C6CEA">
              <w:rPr>
                <w:rFonts w:eastAsia="Calibri"/>
                <w:sz w:val="20"/>
                <w:lang w:val="fr-CA"/>
              </w:rPr>
              <w:t>(Le juge Gagnon)</w:t>
            </w:r>
          </w:p>
          <w:p w:rsidR="00402B2C" w:rsidRPr="003C6CEA" w:rsidRDefault="00402B2C" w:rsidP="00974B9D">
            <w:pPr>
              <w:jc w:val="both"/>
              <w:rPr>
                <w:rFonts w:eastAsia="Calibri"/>
                <w:sz w:val="20"/>
                <w:lang w:val="fr-CA"/>
              </w:rPr>
            </w:pPr>
            <w:r w:rsidRPr="003C6CEA">
              <w:rPr>
                <w:rFonts w:eastAsia="Calibri"/>
                <w:sz w:val="20"/>
                <w:lang w:val="fr-CA"/>
              </w:rPr>
              <w:t xml:space="preserve">200-09-008208-131; </w:t>
            </w:r>
            <w:hyperlink r:id="rId35" w:history="1">
              <w:r w:rsidRPr="003C6CEA">
                <w:rPr>
                  <w:rFonts w:eastAsia="Calibri"/>
                  <w:color w:val="0000FF"/>
                  <w:sz w:val="20"/>
                  <w:u w:val="single"/>
                  <w:lang w:val="fr-CA"/>
                </w:rPr>
                <w:t>2014 QCCA 8</w:t>
              </w:r>
            </w:hyperlink>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Requête pour permission d’appeler rejetée</w:t>
            </w:r>
          </w:p>
          <w:p w:rsidR="00402B2C" w:rsidRPr="003C6CEA" w:rsidRDefault="00402B2C" w:rsidP="00974B9D">
            <w:pPr>
              <w:jc w:val="both"/>
              <w:rPr>
                <w:rFonts w:eastAsia="Calibri"/>
                <w:sz w:val="20"/>
                <w:lang w:val="fr-CA"/>
              </w:rPr>
            </w:pPr>
          </w:p>
        </w:tc>
      </w:tr>
      <w:tr w:rsidR="00402B2C" w:rsidRPr="003C6CEA"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Le 11 mars 2014</w:t>
            </w:r>
          </w:p>
          <w:p w:rsidR="00402B2C" w:rsidRPr="003C6CEA" w:rsidRDefault="00402B2C" w:rsidP="00974B9D">
            <w:pPr>
              <w:jc w:val="both"/>
              <w:rPr>
                <w:rFonts w:eastAsia="Calibri"/>
                <w:sz w:val="20"/>
                <w:lang w:val="fr-CA"/>
              </w:rPr>
            </w:pPr>
            <w:r w:rsidRPr="003C6CEA">
              <w:rPr>
                <w:rFonts w:eastAsia="Calibri"/>
                <w:sz w:val="20"/>
                <w:lang w:val="fr-CA"/>
              </w:rPr>
              <w:t>Cour suprême du Canada</w:t>
            </w: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Demande d’autorisation d’appel déposée</w:t>
            </w:r>
          </w:p>
          <w:p w:rsidR="00402B2C" w:rsidRPr="003C6CEA" w:rsidRDefault="00402B2C" w:rsidP="00974B9D">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50"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63AA" w:rsidRPr="00A04AD5" w:rsidTr="001068B6">
        <w:trPr>
          <w:cantSplit/>
        </w:trPr>
        <w:tc>
          <w:tcPr>
            <w:tcW w:w="1458" w:type="dxa"/>
          </w:tcPr>
          <w:p w:rsidR="000963AA" w:rsidRPr="00A04AD5" w:rsidRDefault="000963AA" w:rsidP="001068B6">
            <w:pPr>
              <w:rPr>
                <w:sz w:val="20"/>
                <w:szCs w:val="20"/>
              </w:rPr>
            </w:pPr>
            <w:r w:rsidRPr="00A04AD5">
              <w:rPr>
                <w:rStyle w:val="SCCFileNumberChar"/>
                <w:sz w:val="20"/>
                <w:szCs w:val="20"/>
              </w:rPr>
              <w:t>35877</w:t>
            </w:r>
          </w:p>
          <w:p w:rsidR="000963AA" w:rsidRPr="00A04AD5" w:rsidRDefault="000963AA" w:rsidP="001068B6">
            <w:pPr>
              <w:rPr>
                <w:b/>
                <w:sz w:val="20"/>
                <w:szCs w:val="20"/>
                <w:lang w:val="fr-CA"/>
              </w:rPr>
            </w:pPr>
          </w:p>
        </w:tc>
        <w:tc>
          <w:tcPr>
            <w:tcW w:w="8118" w:type="dxa"/>
          </w:tcPr>
          <w:p w:rsidR="000963AA" w:rsidRPr="00A04AD5" w:rsidRDefault="000963AA" w:rsidP="001068B6">
            <w:pPr>
              <w:rPr>
                <w:sz w:val="20"/>
                <w:szCs w:val="20"/>
              </w:rPr>
            </w:pPr>
            <w:r w:rsidRPr="00A04AD5">
              <w:rPr>
                <w:rStyle w:val="SCCLsocChar"/>
                <w:sz w:val="20"/>
                <w:szCs w:val="20"/>
                <w:lang w:val="en-CA"/>
              </w:rPr>
              <w:t>John Reginald Carroll v. Her Majesty the Queen</w:t>
            </w:r>
            <w:r w:rsidRPr="00A04AD5">
              <w:rPr>
                <w:sz w:val="20"/>
                <w:szCs w:val="20"/>
              </w:rPr>
              <w:t xml:space="preserve"> (Ont.) (Criminal) (By Leave)</w:t>
            </w:r>
          </w:p>
          <w:p w:rsidR="000963AA" w:rsidRPr="00A04AD5" w:rsidRDefault="000963AA" w:rsidP="001068B6">
            <w:pPr>
              <w:rPr>
                <w:sz w:val="20"/>
                <w:szCs w:val="20"/>
              </w:rPr>
            </w:pPr>
          </w:p>
        </w:tc>
      </w:tr>
      <w:tr w:rsidR="000963AA" w:rsidRPr="00A04AD5" w:rsidTr="001068B6">
        <w:trPr>
          <w:cantSplit/>
        </w:trPr>
        <w:tc>
          <w:tcPr>
            <w:tcW w:w="1458" w:type="dxa"/>
          </w:tcPr>
          <w:p w:rsidR="000963AA" w:rsidRPr="00A04AD5" w:rsidRDefault="000963AA" w:rsidP="001068B6">
            <w:pPr>
              <w:rPr>
                <w:sz w:val="20"/>
                <w:szCs w:val="20"/>
              </w:rPr>
            </w:pPr>
            <w:r w:rsidRPr="00A04AD5">
              <w:rPr>
                <w:sz w:val="20"/>
                <w:szCs w:val="20"/>
              </w:rPr>
              <w:t>Coram :</w:t>
            </w:r>
          </w:p>
        </w:tc>
        <w:tc>
          <w:tcPr>
            <w:tcW w:w="8118" w:type="dxa"/>
          </w:tcPr>
          <w:p w:rsidR="000963AA" w:rsidRPr="00A04AD5" w:rsidRDefault="000963AA" w:rsidP="001068B6">
            <w:pPr>
              <w:rPr>
                <w:sz w:val="20"/>
                <w:szCs w:val="20"/>
              </w:rPr>
            </w:pPr>
            <w:r w:rsidRPr="00A04AD5">
              <w:rPr>
                <w:rStyle w:val="SCCCoramChar"/>
                <w:sz w:val="20"/>
                <w:szCs w:val="20"/>
                <w:lang w:val="en-CA"/>
              </w:rPr>
              <w:t>Abella, Rothstein and Moldaver JJ.</w:t>
            </w:r>
          </w:p>
          <w:p w:rsidR="000963AA" w:rsidRPr="00A04AD5" w:rsidRDefault="000963AA" w:rsidP="001068B6">
            <w:pPr>
              <w:rPr>
                <w:sz w:val="20"/>
                <w:szCs w:val="20"/>
                <w:u w:val="single"/>
              </w:rPr>
            </w:pPr>
          </w:p>
        </w:tc>
      </w:tr>
      <w:tr w:rsidR="000963AA" w:rsidRPr="00215143" w:rsidTr="001068B6">
        <w:trPr>
          <w:cantSplit/>
        </w:trPr>
        <w:tc>
          <w:tcPr>
            <w:tcW w:w="9576" w:type="dxa"/>
            <w:gridSpan w:val="2"/>
          </w:tcPr>
          <w:p w:rsidR="000963AA" w:rsidRPr="00A04AD5" w:rsidRDefault="000963AA" w:rsidP="001068B6">
            <w:pPr>
              <w:pStyle w:val="SCCShortJudgment"/>
              <w:rPr>
                <w:szCs w:val="20"/>
              </w:rPr>
            </w:pPr>
            <w:r w:rsidRPr="00A04AD5">
              <w:rPr>
                <w:szCs w:val="20"/>
              </w:rPr>
              <w:t>The motion for an extension of time to serve and file the application for leave to appeal is granted. The application for leave to appeal from the judgment of the Court of Appeal for Ontario, Number C52102, 2014 ONCA 2, dated January 2, 2014, is dismissed without costs.</w:t>
            </w:r>
          </w:p>
          <w:p w:rsidR="000963AA" w:rsidRPr="00A04AD5" w:rsidRDefault="000963AA" w:rsidP="001068B6">
            <w:pPr>
              <w:pStyle w:val="SCCShortJudgment"/>
              <w:ind w:firstLine="0"/>
              <w:rPr>
                <w:szCs w:val="20"/>
              </w:rPr>
            </w:pPr>
          </w:p>
          <w:p w:rsidR="000963AA" w:rsidRPr="00A04AD5" w:rsidRDefault="000963AA" w:rsidP="001068B6">
            <w:pPr>
              <w:pStyle w:val="SCCShortJudgment"/>
              <w:rPr>
                <w:szCs w:val="20"/>
                <w:lang w:val="fr-CA"/>
              </w:rPr>
            </w:pPr>
            <w:r w:rsidRPr="00A04AD5">
              <w:rPr>
                <w:szCs w:val="20"/>
                <w:lang w:val="fr-CA"/>
              </w:rPr>
              <w:t>La requête en prorogation du délai de signification et de dépôt de la demande d’autorisation d’appel est accueillie. La demande d’autorisation d’appel de l’arrêt de la Cour d’appel de l’Ontario, numéro C52102, 2014 ONCA 2, daté du 2 janvier 2014, est rejetée sans dépens.</w:t>
            </w:r>
          </w:p>
        </w:tc>
      </w:tr>
    </w:tbl>
    <w:p w:rsidR="00402B2C" w:rsidRPr="000963AA"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 xml:space="preserve">Criminal law – Evidence – Charge to jury – Admissibility – Hearsay – Reliability of evidence – Trial judge not providing </w:t>
            </w:r>
            <w:r w:rsidRPr="003C6CEA">
              <w:rPr>
                <w:rFonts w:eastAsia="Calibri"/>
                <w:i/>
                <w:sz w:val="20"/>
              </w:rPr>
              <w:t>Vetrovec</w:t>
            </w:r>
            <w:r w:rsidRPr="003C6CEA">
              <w:rPr>
                <w:rFonts w:eastAsia="Calibri"/>
                <w:sz w:val="20"/>
              </w:rPr>
              <w:t xml:space="preserve"> caution regarding Crown witness’ testimony – Whether the Court of Appeal erred in law in concluding that the trial judge did not err by refusing to provide a </w:t>
            </w:r>
            <w:r w:rsidRPr="003C6CEA">
              <w:rPr>
                <w:rFonts w:eastAsia="Calibri"/>
                <w:i/>
                <w:sz w:val="20"/>
              </w:rPr>
              <w:t>Vetrovec</w:t>
            </w:r>
            <w:r w:rsidRPr="003C6CEA">
              <w:rPr>
                <w:rFonts w:eastAsia="Calibri"/>
                <w:sz w:val="20"/>
              </w:rPr>
              <w:t xml:space="preserve"> caution to the jury in respect of the key prosecution witness – Whether the Court of Appeal erred in law by not finding the trial judge's jury instructions on the permissible use of hearsay statements admitted only under the “state of mind” exception to be inadequate in the circumstances – Whether the Court of Appeal erred in law by concluding that the trial judge did not err by ruling that certain other hearsay statements by the deceased declarant were admissible under the principled exception to the hearsay rule and by instructing the jury accordingly that these statements could be used for the truth of their contents – Whether there are issues of public importance raised.</w:t>
            </w:r>
          </w:p>
        </w:tc>
      </w:tr>
      <w:tr w:rsidR="00402B2C" w:rsidRPr="003C6CEA" w:rsidTr="00974B9D">
        <w:tc>
          <w:tcPr>
            <w:tcW w:w="5000" w:type="pct"/>
            <w:gridSpan w:val="3"/>
          </w:tcPr>
          <w:p w:rsidR="00402B2C" w:rsidRPr="003C6CEA" w:rsidRDefault="00402B2C" w:rsidP="00974B9D">
            <w:pPr>
              <w:jc w:val="both"/>
              <w:rPr>
                <w:rFonts w:eastAsia="Calibri"/>
                <w:sz w:val="20"/>
              </w:rPr>
            </w:pPr>
          </w:p>
        </w:tc>
      </w:tr>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 xml:space="preserve">The applicant was charged with two counts of first degree murder.  It was alleged that he shot his estranged wife and her male friend at a remote family camp north of Sudbury.  The trial judge held a </w:t>
            </w:r>
            <w:r w:rsidRPr="003C6CEA">
              <w:rPr>
                <w:rFonts w:eastAsia="Calibri"/>
                <w:i/>
                <w:sz w:val="20"/>
              </w:rPr>
              <w:t>voir dire</w:t>
            </w:r>
            <w:r w:rsidRPr="003C6CEA">
              <w:rPr>
                <w:rFonts w:eastAsia="Calibri"/>
                <w:sz w:val="20"/>
              </w:rPr>
              <w:t xml:space="preserve"> regarding the admissibility of the evidence.  After a trial by judge and jury, the applicant was convicted of two counts of first degree murder.  The </w:t>
            </w:r>
            <w:r w:rsidRPr="003C6CEA">
              <w:rPr>
                <w:rFonts w:eastAsia="Calibri"/>
                <w:sz w:val="20"/>
              </w:rPr>
              <w:lastRenderedPageBreak/>
              <w:t>applicant’s appeal against conviction was dismissed by the Court of Appeal.</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lastRenderedPageBreak/>
              <w:t>October 23, 2009</w:t>
            </w:r>
          </w:p>
          <w:p w:rsidR="00402B2C" w:rsidRPr="003C6CEA" w:rsidRDefault="00402B2C" w:rsidP="00974B9D">
            <w:pPr>
              <w:jc w:val="both"/>
              <w:rPr>
                <w:rFonts w:eastAsia="Calibri"/>
                <w:sz w:val="20"/>
              </w:rPr>
            </w:pPr>
            <w:r w:rsidRPr="003C6CEA">
              <w:rPr>
                <w:rFonts w:eastAsia="Calibri"/>
                <w:sz w:val="20"/>
              </w:rPr>
              <w:t>Ontario Superior Court of Justice</w:t>
            </w:r>
          </w:p>
          <w:p w:rsidR="00402B2C" w:rsidRPr="003C6CEA" w:rsidRDefault="00402B2C" w:rsidP="00974B9D">
            <w:pPr>
              <w:jc w:val="both"/>
              <w:rPr>
                <w:rFonts w:eastAsia="Calibri"/>
                <w:sz w:val="20"/>
                <w:lang w:val="fr-FR"/>
              </w:rPr>
            </w:pPr>
            <w:r w:rsidRPr="003C6CEA">
              <w:rPr>
                <w:rFonts w:eastAsia="Calibri"/>
                <w:sz w:val="20"/>
                <w:lang w:val="fr-FR"/>
              </w:rPr>
              <w:t>(Poupore J.)</w:t>
            </w:r>
          </w:p>
          <w:p w:rsidR="00402B2C" w:rsidRPr="003C6CEA" w:rsidRDefault="00215143" w:rsidP="00974B9D">
            <w:pPr>
              <w:jc w:val="both"/>
              <w:rPr>
                <w:rFonts w:eastAsia="Calibri"/>
                <w:sz w:val="20"/>
                <w:lang w:val="fr-FR"/>
              </w:rPr>
            </w:pPr>
            <w:hyperlink r:id="rId36" w:history="1">
              <w:r w:rsidR="00402B2C" w:rsidRPr="003C6CEA">
                <w:rPr>
                  <w:rFonts w:eastAsia="Calibri"/>
                  <w:color w:val="0000FF"/>
                  <w:sz w:val="20"/>
                  <w:u w:val="single"/>
                  <w:lang w:val="fr-FR"/>
                </w:rPr>
                <w:t>http://canlii.ca/t/269np</w:t>
              </w:r>
            </w:hyperlink>
          </w:p>
          <w:p w:rsidR="00402B2C" w:rsidRPr="003C6CEA" w:rsidRDefault="00402B2C" w:rsidP="00974B9D">
            <w:pPr>
              <w:jc w:val="both"/>
              <w:rPr>
                <w:rFonts w:eastAsia="Calibri"/>
                <w:sz w:val="20"/>
                <w:lang w:val="fr-FR"/>
              </w:rPr>
            </w:pPr>
          </w:p>
        </w:tc>
        <w:tc>
          <w:tcPr>
            <w:tcW w:w="243" w:type="pct"/>
          </w:tcPr>
          <w:p w:rsidR="00402B2C" w:rsidRPr="003C6CEA" w:rsidRDefault="00402B2C" w:rsidP="00974B9D">
            <w:pPr>
              <w:jc w:val="both"/>
              <w:rPr>
                <w:rFonts w:eastAsia="Calibri"/>
                <w:sz w:val="20"/>
                <w:lang w:val="fr-FR"/>
              </w:rPr>
            </w:pPr>
          </w:p>
        </w:tc>
        <w:tc>
          <w:tcPr>
            <w:tcW w:w="2330" w:type="pct"/>
          </w:tcPr>
          <w:p w:rsidR="00402B2C" w:rsidRPr="003C6CEA" w:rsidRDefault="00402B2C" w:rsidP="00974B9D">
            <w:pPr>
              <w:jc w:val="both"/>
              <w:rPr>
                <w:rFonts w:eastAsia="Calibri"/>
                <w:sz w:val="20"/>
                <w:lang w:val="fr-FR"/>
              </w:rPr>
            </w:pPr>
            <w:r w:rsidRPr="003C6CEA">
              <w:rPr>
                <w:rFonts w:eastAsia="Calibri"/>
                <w:i/>
                <w:sz w:val="20"/>
              </w:rPr>
              <w:t>Voir dire</w:t>
            </w:r>
            <w:r w:rsidRPr="003C6CEA">
              <w:rPr>
                <w:rFonts w:eastAsia="Calibri"/>
                <w:sz w:val="20"/>
              </w:rPr>
              <w:t xml:space="preserve"> ruling</w:t>
            </w: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December 16, 2009</w:t>
            </w:r>
          </w:p>
          <w:p w:rsidR="00402B2C" w:rsidRPr="003C6CEA" w:rsidRDefault="00402B2C" w:rsidP="00974B9D">
            <w:pPr>
              <w:jc w:val="both"/>
              <w:rPr>
                <w:rFonts w:eastAsia="Calibri"/>
                <w:sz w:val="20"/>
              </w:rPr>
            </w:pPr>
            <w:r w:rsidRPr="003C6CEA">
              <w:rPr>
                <w:rFonts w:eastAsia="Calibri"/>
                <w:sz w:val="20"/>
              </w:rPr>
              <w:t>Ontario Superior Court of Justice</w:t>
            </w:r>
          </w:p>
          <w:p w:rsidR="00402B2C" w:rsidRPr="003C6CEA" w:rsidRDefault="00402B2C" w:rsidP="00974B9D">
            <w:pPr>
              <w:jc w:val="both"/>
              <w:rPr>
                <w:rFonts w:eastAsia="Calibri"/>
                <w:sz w:val="20"/>
              </w:rPr>
            </w:pPr>
            <w:r w:rsidRPr="003C6CEA">
              <w:rPr>
                <w:rFonts w:eastAsia="Calibri"/>
                <w:sz w:val="20"/>
              </w:rPr>
              <w:t>(Poupore J.)</w:t>
            </w:r>
          </w:p>
          <w:p w:rsidR="00402B2C" w:rsidRPr="003C6CEA" w:rsidRDefault="00402B2C" w:rsidP="00974B9D">
            <w:pPr>
              <w:jc w:val="both"/>
              <w:rPr>
                <w:rFonts w:eastAsia="Calibri"/>
                <w:sz w:val="20"/>
                <w:lang w:val="fr-FR"/>
              </w:rPr>
            </w:pPr>
          </w:p>
        </w:tc>
        <w:tc>
          <w:tcPr>
            <w:tcW w:w="243" w:type="pct"/>
          </w:tcPr>
          <w:p w:rsidR="00402B2C" w:rsidRPr="003C6CEA" w:rsidRDefault="00402B2C" w:rsidP="00974B9D">
            <w:pPr>
              <w:jc w:val="both"/>
              <w:rPr>
                <w:rFonts w:eastAsia="Calibri"/>
                <w:sz w:val="20"/>
                <w:lang w:val="fr-FR"/>
              </w:rPr>
            </w:pPr>
          </w:p>
        </w:tc>
        <w:tc>
          <w:tcPr>
            <w:tcW w:w="2330" w:type="pct"/>
          </w:tcPr>
          <w:p w:rsidR="00402B2C" w:rsidRPr="003C6CEA" w:rsidRDefault="00402B2C" w:rsidP="00974B9D">
            <w:pPr>
              <w:jc w:val="both"/>
              <w:rPr>
                <w:rFonts w:eastAsia="Calibri"/>
                <w:sz w:val="20"/>
              </w:rPr>
            </w:pPr>
            <w:r w:rsidRPr="003C6CEA">
              <w:rPr>
                <w:rFonts w:eastAsia="Calibri"/>
                <w:sz w:val="20"/>
              </w:rPr>
              <w:t>Conviction for 2 counts of first degree murder</w:t>
            </w: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January 2, 2014</w:t>
            </w:r>
          </w:p>
          <w:p w:rsidR="00402B2C" w:rsidRPr="003C6CEA" w:rsidRDefault="00402B2C" w:rsidP="00974B9D">
            <w:pPr>
              <w:jc w:val="both"/>
              <w:rPr>
                <w:rFonts w:eastAsia="Calibri"/>
                <w:sz w:val="20"/>
              </w:rPr>
            </w:pPr>
            <w:r w:rsidRPr="003C6CEA">
              <w:rPr>
                <w:rFonts w:eastAsia="Calibri"/>
                <w:sz w:val="20"/>
              </w:rPr>
              <w:t>Court of Appeal for Ontario</w:t>
            </w:r>
          </w:p>
          <w:p w:rsidR="00402B2C" w:rsidRPr="003C6CEA" w:rsidRDefault="00402B2C" w:rsidP="00974B9D">
            <w:pPr>
              <w:jc w:val="both"/>
              <w:rPr>
                <w:rFonts w:eastAsia="Calibri"/>
                <w:sz w:val="20"/>
              </w:rPr>
            </w:pPr>
            <w:r w:rsidRPr="003C6CEA">
              <w:rPr>
                <w:rFonts w:eastAsia="Calibri"/>
                <w:sz w:val="20"/>
              </w:rPr>
              <w:t>(Laskin, Goudge,Watt JJ.A.)</w:t>
            </w:r>
          </w:p>
          <w:p w:rsidR="00402B2C" w:rsidRPr="003C6CEA" w:rsidRDefault="00402B2C" w:rsidP="00974B9D">
            <w:pPr>
              <w:jc w:val="both"/>
              <w:rPr>
                <w:rFonts w:eastAsia="Calibri"/>
                <w:sz w:val="20"/>
              </w:rPr>
            </w:pPr>
            <w:r w:rsidRPr="003C6CEA">
              <w:rPr>
                <w:rFonts w:eastAsia="Calibri"/>
                <w:sz w:val="20"/>
              </w:rPr>
              <w:t>2014 ONCA 2</w:t>
            </w:r>
          </w:p>
          <w:p w:rsidR="00402B2C" w:rsidRPr="003C6CEA" w:rsidRDefault="00215143" w:rsidP="00974B9D">
            <w:pPr>
              <w:jc w:val="both"/>
              <w:rPr>
                <w:rFonts w:eastAsia="Calibri"/>
                <w:sz w:val="20"/>
              </w:rPr>
            </w:pPr>
            <w:hyperlink r:id="rId37" w:history="1">
              <w:r w:rsidR="00402B2C" w:rsidRPr="003C6CEA">
                <w:rPr>
                  <w:color w:val="0000FF"/>
                  <w:sz w:val="20"/>
                  <w:u w:val="single"/>
                </w:rPr>
                <w:t>http://canlii.ca/t/g2ghh</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Conviction appeal dismissed</w:t>
            </w: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May 6, 2014</w:t>
            </w:r>
          </w:p>
          <w:p w:rsidR="00402B2C" w:rsidRPr="003C6CEA" w:rsidRDefault="00402B2C" w:rsidP="00974B9D">
            <w:pPr>
              <w:jc w:val="both"/>
              <w:rPr>
                <w:rFonts w:eastAsia="Calibri"/>
                <w:sz w:val="20"/>
              </w:rPr>
            </w:pPr>
            <w:r w:rsidRPr="003C6CEA">
              <w:rPr>
                <w:rFonts w:eastAsia="Calibri"/>
                <w:sz w:val="20"/>
              </w:rPr>
              <w:t>Supreme Court of Canada</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Motion for an extension of time to serve and file the application for leave to appeal and 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51"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 xml:space="preserve">Droit criminel – Preuve – Exposé au jury – Admissibilité – Ouï-dire – Fiabilité de la preuve – Le juge du procès n’a pas fait de mise en garde de type </w:t>
            </w:r>
            <w:r w:rsidRPr="003C6CEA">
              <w:rPr>
                <w:rFonts w:eastAsia="Calibri"/>
                <w:i/>
                <w:sz w:val="20"/>
                <w:lang w:val="fr-CA"/>
              </w:rPr>
              <w:t>Vetrovec</w:t>
            </w:r>
            <w:r w:rsidRPr="003C6CEA">
              <w:rPr>
                <w:rFonts w:eastAsia="Calibri"/>
                <w:sz w:val="20"/>
                <w:lang w:val="fr-CA"/>
              </w:rPr>
              <w:t xml:space="preserve"> relativement à la déposition du témoin du ministère public – La Cour d’appel a-t-elle commis une erreur de droit en concluant que le juge du procès n’avait pas eu tort de refuser de faire au jury une mise en garde de type </w:t>
            </w:r>
            <w:r w:rsidRPr="003C6CEA">
              <w:rPr>
                <w:rFonts w:eastAsia="Calibri"/>
                <w:i/>
                <w:sz w:val="20"/>
                <w:lang w:val="fr-CA"/>
              </w:rPr>
              <w:t>Vetrovec</w:t>
            </w:r>
            <w:r w:rsidRPr="003C6CEA">
              <w:rPr>
                <w:rFonts w:eastAsia="Calibri"/>
                <w:sz w:val="20"/>
                <w:lang w:val="fr-CA"/>
              </w:rPr>
              <w:t xml:space="preserve"> relativement au témoin clé du ministère public? – La Cour d’appel a-t-elle commis une erreur de droit en ne concluant pas que les directives du juge du procès relativement à l’utilisation qui pouvait être faite de déclarations relatées admises seulement en vertu de l’exception relative à « l’état d’esprit » étaient inadéquates en l’espèce? – La Cour d’appel a-t-elle commis une erreur de droit en concluant que le juge du procès n’avait pas eu tort de statuer que certaines autres déclarations relatées du déclarant décédé étaient admissibles en tant qu’exception de principe à la règle du ouï-dire et en indiquant par conséquent au jury que ces déclarations pouvaient être utilisées pour établir la véracité de leur contenu? – L’affaire soulève-t-elle des questions d’importance pour le public?</w:t>
            </w:r>
          </w:p>
        </w:tc>
      </w:tr>
      <w:tr w:rsidR="00402B2C" w:rsidRPr="00215143" w:rsidTr="00974B9D">
        <w:tc>
          <w:tcPr>
            <w:tcW w:w="5000" w:type="pct"/>
            <w:gridSpan w:val="3"/>
          </w:tcPr>
          <w:p w:rsidR="00402B2C" w:rsidRPr="003C6CEA" w:rsidRDefault="00402B2C" w:rsidP="00974B9D">
            <w:pPr>
              <w:jc w:val="both"/>
              <w:rPr>
                <w:rFonts w:eastAsia="Calibri"/>
                <w:sz w:val="20"/>
                <w:lang w:val="fr-CA"/>
              </w:rPr>
            </w:pPr>
          </w:p>
        </w:tc>
      </w:tr>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Le demandeur a été accusé sous deux chefs d’accusation de meurtre au premier degré.  Il aurait abattu son ex-épouse et l’ami de cette dernière à un camp familial situé en région éloignée au nord de Sudbury.  Le juge du procès a tenu un voir-dire portant sur l’admissibilité de la preuve.  Au terme d’un procès devant juge et jury, le demandeur a été déclaré coupable sous deux chefs d’accusation de meurtre au premier degré.  La Cour d’appel a rejeté l’appel de la déclaration de culpabilité interjeté par le demandeur.</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23 octobre 2009</w:t>
            </w:r>
          </w:p>
          <w:p w:rsidR="00402B2C" w:rsidRPr="003C6CEA" w:rsidRDefault="00402B2C" w:rsidP="00974B9D">
            <w:pPr>
              <w:jc w:val="both"/>
              <w:rPr>
                <w:rFonts w:eastAsia="Calibri"/>
                <w:sz w:val="20"/>
                <w:lang w:val="fr-CA"/>
              </w:rPr>
            </w:pPr>
            <w:r w:rsidRPr="003C6CEA">
              <w:rPr>
                <w:rFonts w:eastAsia="Calibri"/>
                <w:sz w:val="20"/>
                <w:lang w:val="fr-CA"/>
              </w:rPr>
              <w:t>Cour supérieure de justice de l’Ontario</w:t>
            </w:r>
          </w:p>
          <w:p w:rsidR="00402B2C" w:rsidRPr="003C6CEA" w:rsidRDefault="00402B2C" w:rsidP="00974B9D">
            <w:pPr>
              <w:jc w:val="both"/>
              <w:rPr>
                <w:rFonts w:eastAsia="Calibri"/>
                <w:sz w:val="20"/>
                <w:lang w:val="fr-CA"/>
              </w:rPr>
            </w:pPr>
            <w:r w:rsidRPr="003C6CEA">
              <w:rPr>
                <w:rFonts w:eastAsia="Calibri"/>
                <w:sz w:val="20"/>
                <w:lang w:val="fr-CA"/>
              </w:rPr>
              <w:t>(Juge Poupore)</w:t>
            </w:r>
          </w:p>
          <w:p w:rsidR="00402B2C" w:rsidRPr="003C6CEA" w:rsidRDefault="00215143" w:rsidP="00974B9D">
            <w:pPr>
              <w:jc w:val="both"/>
              <w:rPr>
                <w:rFonts w:eastAsia="Calibri"/>
                <w:sz w:val="20"/>
                <w:lang w:val="fr-CA"/>
              </w:rPr>
            </w:pPr>
            <w:hyperlink r:id="rId38" w:history="1">
              <w:r w:rsidR="00402B2C" w:rsidRPr="003C6CEA">
                <w:rPr>
                  <w:rFonts w:eastAsia="Calibri"/>
                  <w:color w:val="0000FF"/>
                  <w:sz w:val="20"/>
                  <w:u w:val="single"/>
                  <w:lang w:val="fr-CA"/>
                </w:rPr>
                <w:t>http://canlii.ca/t/269np</w:t>
              </w:r>
            </w:hyperlink>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Décision sur le voir-dire</w:t>
            </w:r>
          </w:p>
        </w:tc>
      </w:tr>
      <w:tr w:rsidR="00402B2C" w:rsidRPr="00215143" w:rsidTr="00FA1DE8">
        <w:trPr>
          <w:cantSplit/>
        </w:trPr>
        <w:tc>
          <w:tcPr>
            <w:tcW w:w="2427" w:type="pct"/>
          </w:tcPr>
          <w:p w:rsidR="00402B2C" w:rsidRPr="003C6CEA" w:rsidRDefault="00402B2C" w:rsidP="00974B9D">
            <w:pPr>
              <w:jc w:val="both"/>
              <w:rPr>
                <w:rFonts w:eastAsia="Calibri"/>
                <w:sz w:val="20"/>
                <w:lang w:val="fr-CA"/>
              </w:rPr>
            </w:pPr>
            <w:r w:rsidRPr="003C6CEA">
              <w:rPr>
                <w:rFonts w:eastAsia="Calibri"/>
                <w:sz w:val="20"/>
                <w:lang w:val="fr-CA"/>
              </w:rPr>
              <w:lastRenderedPageBreak/>
              <w:t>16 décembre 2009</w:t>
            </w:r>
          </w:p>
          <w:p w:rsidR="00402B2C" w:rsidRPr="003C6CEA" w:rsidRDefault="00402B2C" w:rsidP="00974B9D">
            <w:pPr>
              <w:jc w:val="both"/>
              <w:rPr>
                <w:rFonts w:eastAsia="Calibri"/>
                <w:sz w:val="20"/>
                <w:lang w:val="fr-CA"/>
              </w:rPr>
            </w:pPr>
            <w:r w:rsidRPr="003C6CEA">
              <w:rPr>
                <w:rFonts w:eastAsia="Calibri"/>
                <w:sz w:val="20"/>
                <w:lang w:val="fr-CA"/>
              </w:rPr>
              <w:t>Cour supérieure de justice de l’Ontario</w:t>
            </w:r>
          </w:p>
          <w:p w:rsidR="00402B2C" w:rsidRPr="003C6CEA" w:rsidRDefault="00402B2C" w:rsidP="00974B9D">
            <w:pPr>
              <w:jc w:val="both"/>
              <w:rPr>
                <w:rFonts w:eastAsia="Calibri"/>
                <w:sz w:val="20"/>
                <w:lang w:val="fr-CA"/>
              </w:rPr>
            </w:pPr>
            <w:r w:rsidRPr="003C6CEA">
              <w:rPr>
                <w:rFonts w:eastAsia="Calibri"/>
                <w:sz w:val="20"/>
                <w:lang w:val="fr-CA"/>
              </w:rPr>
              <w:t>(Juge Poupore)</w:t>
            </w:r>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Déclaration de culpabilité sous deux chefs d’accusation de meurtre au premier degré</w:t>
            </w:r>
          </w:p>
        </w:tc>
      </w:tr>
      <w:tr w:rsidR="00402B2C" w:rsidRPr="00215143" w:rsidTr="00FA1DE8">
        <w:trPr>
          <w:cantSplit/>
        </w:trPr>
        <w:tc>
          <w:tcPr>
            <w:tcW w:w="2427" w:type="pct"/>
          </w:tcPr>
          <w:p w:rsidR="00402B2C" w:rsidRPr="003C6CEA" w:rsidRDefault="00402B2C" w:rsidP="00974B9D">
            <w:pPr>
              <w:jc w:val="both"/>
              <w:rPr>
                <w:rFonts w:eastAsia="Calibri"/>
                <w:sz w:val="20"/>
                <w:lang w:val="fr-CA"/>
              </w:rPr>
            </w:pPr>
            <w:r w:rsidRPr="003C6CEA">
              <w:rPr>
                <w:rFonts w:eastAsia="Calibri"/>
                <w:sz w:val="20"/>
                <w:lang w:val="fr-CA"/>
              </w:rPr>
              <w:t>2 janvier 2014</w:t>
            </w:r>
          </w:p>
          <w:p w:rsidR="00402B2C" w:rsidRPr="003C6CEA" w:rsidRDefault="00402B2C" w:rsidP="00974B9D">
            <w:pPr>
              <w:jc w:val="both"/>
              <w:rPr>
                <w:rFonts w:eastAsia="Calibri"/>
                <w:sz w:val="20"/>
                <w:lang w:val="fr-CA"/>
              </w:rPr>
            </w:pPr>
            <w:r w:rsidRPr="003C6CEA">
              <w:rPr>
                <w:rFonts w:eastAsia="Calibri"/>
                <w:sz w:val="20"/>
                <w:lang w:val="fr-CA"/>
              </w:rPr>
              <w:t>Cour d’appel de l’Ontario</w:t>
            </w:r>
          </w:p>
          <w:p w:rsidR="00402B2C" w:rsidRPr="003C6CEA" w:rsidRDefault="00402B2C" w:rsidP="00974B9D">
            <w:pPr>
              <w:jc w:val="both"/>
              <w:rPr>
                <w:rFonts w:eastAsia="Calibri"/>
                <w:sz w:val="20"/>
                <w:lang w:val="fr-CA"/>
              </w:rPr>
            </w:pPr>
            <w:r w:rsidRPr="003C6CEA">
              <w:rPr>
                <w:rFonts w:eastAsia="Calibri"/>
                <w:sz w:val="20"/>
                <w:lang w:val="fr-CA"/>
              </w:rPr>
              <w:t>(Juges Laskin, Goudge et Watt)</w:t>
            </w:r>
          </w:p>
          <w:p w:rsidR="00402B2C" w:rsidRPr="003C6CEA" w:rsidRDefault="00402B2C" w:rsidP="00974B9D">
            <w:pPr>
              <w:jc w:val="both"/>
              <w:rPr>
                <w:rFonts w:eastAsia="Calibri"/>
                <w:sz w:val="20"/>
              </w:rPr>
            </w:pPr>
            <w:r w:rsidRPr="003C6CEA">
              <w:rPr>
                <w:rFonts w:eastAsia="Calibri"/>
                <w:sz w:val="20"/>
              </w:rPr>
              <w:t>2014 ONCA 2</w:t>
            </w:r>
          </w:p>
          <w:p w:rsidR="00402B2C" w:rsidRPr="003C6CEA" w:rsidRDefault="00215143" w:rsidP="00974B9D">
            <w:pPr>
              <w:jc w:val="both"/>
              <w:rPr>
                <w:rFonts w:eastAsia="Calibri"/>
                <w:sz w:val="20"/>
              </w:rPr>
            </w:pPr>
            <w:hyperlink r:id="rId39" w:history="1">
              <w:r w:rsidR="00402B2C" w:rsidRPr="003C6CEA">
                <w:rPr>
                  <w:color w:val="0000FF"/>
                  <w:sz w:val="20"/>
                  <w:u w:val="single"/>
                </w:rPr>
                <w:t>http://canlii.ca/t/g2ghh</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Appel de la déclaration de culpabilité, rejeté</w:t>
            </w:r>
          </w:p>
        </w:tc>
      </w:tr>
      <w:tr w:rsidR="00402B2C" w:rsidRPr="00215143" w:rsidTr="00FA1DE8">
        <w:trPr>
          <w:cantSplit/>
        </w:trPr>
        <w:tc>
          <w:tcPr>
            <w:tcW w:w="2427" w:type="pct"/>
          </w:tcPr>
          <w:p w:rsidR="00402B2C" w:rsidRPr="003C6CEA" w:rsidRDefault="00402B2C" w:rsidP="00974B9D">
            <w:pPr>
              <w:jc w:val="both"/>
              <w:rPr>
                <w:rFonts w:eastAsia="Calibri"/>
                <w:sz w:val="20"/>
                <w:lang w:val="fr-CA"/>
              </w:rPr>
            </w:pPr>
            <w:r w:rsidRPr="003C6CEA">
              <w:rPr>
                <w:rFonts w:eastAsia="Calibri"/>
                <w:sz w:val="20"/>
                <w:lang w:val="fr-CA"/>
              </w:rPr>
              <w:t>6 mai 2014</w:t>
            </w:r>
          </w:p>
          <w:p w:rsidR="00402B2C" w:rsidRPr="003C6CEA" w:rsidRDefault="00402B2C" w:rsidP="00974B9D">
            <w:pPr>
              <w:jc w:val="both"/>
              <w:rPr>
                <w:rFonts w:eastAsia="Calibri"/>
                <w:sz w:val="20"/>
                <w:lang w:val="fr-CA"/>
              </w:rPr>
            </w:pPr>
            <w:r w:rsidRPr="003C6CEA">
              <w:rPr>
                <w:rFonts w:eastAsia="Calibri"/>
                <w:sz w:val="20"/>
                <w:lang w:val="fr-CA"/>
              </w:rPr>
              <w:t>Cour suprême du Canada</w:t>
            </w:r>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Requête en prorogation du délai de signification et de dépôt de la demande d’autorisation d’appel et demande d’autorisation d’appel, déposées</w:t>
            </w:r>
          </w:p>
        </w:tc>
      </w:tr>
    </w:tbl>
    <w:p w:rsidR="00402B2C" w:rsidRPr="00402B2C" w:rsidRDefault="00402B2C" w:rsidP="00402B2C">
      <w:pPr>
        <w:rPr>
          <w:sz w:val="20"/>
          <w:szCs w:val="20"/>
          <w:lang w:val="fr-CA"/>
        </w:rPr>
      </w:pPr>
    </w:p>
    <w:p w:rsidR="00402B2C" w:rsidRDefault="00215143" w:rsidP="00402B2C">
      <w:pPr>
        <w:rPr>
          <w:sz w:val="20"/>
          <w:szCs w:val="20"/>
          <w:lang w:val="fr-CA"/>
        </w:rPr>
      </w:pPr>
      <w:r>
        <w:rPr>
          <w:sz w:val="20"/>
          <w:szCs w:val="20"/>
          <w:lang w:val="fr-CA"/>
        </w:rPr>
        <w:pict>
          <v:rect id="_x0000_i1052"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63AA" w:rsidRPr="00215143" w:rsidTr="001068B6">
        <w:trPr>
          <w:cantSplit/>
        </w:trPr>
        <w:tc>
          <w:tcPr>
            <w:tcW w:w="1458" w:type="dxa"/>
          </w:tcPr>
          <w:p w:rsidR="000963AA" w:rsidRPr="00A04AD5" w:rsidRDefault="000963AA" w:rsidP="001068B6">
            <w:pPr>
              <w:rPr>
                <w:sz w:val="20"/>
                <w:szCs w:val="20"/>
              </w:rPr>
            </w:pPr>
            <w:r w:rsidRPr="00A04AD5">
              <w:rPr>
                <w:rStyle w:val="SCCFileNumberChar"/>
                <w:sz w:val="20"/>
                <w:szCs w:val="20"/>
              </w:rPr>
              <w:t>35881</w:t>
            </w:r>
          </w:p>
          <w:p w:rsidR="000963AA" w:rsidRPr="00A04AD5" w:rsidRDefault="000963AA" w:rsidP="001068B6">
            <w:pPr>
              <w:rPr>
                <w:b/>
                <w:sz w:val="20"/>
                <w:szCs w:val="20"/>
                <w:lang w:val="fr-CA"/>
              </w:rPr>
            </w:pPr>
          </w:p>
        </w:tc>
        <w:tc>
          <w:tcPr>
            <w:tcW w:w="8118" w:type="dxa"/>
          </w:tcPr>
          <w:p w:rsidR="000963AA" w:rsidRPr="00A04AD5" w:rsidRDefault="000963AA" w:rsidP="001068B6">
            <w:pPr>
              <w:rPr>
                <w:sz w:val="20"/>
                <w:szCs w:val="20"/>
                <w:lang w:val="fr-CA"/>
              </w:rPr>
            </w:pPr>
            <w:r w:rsidRPr="00A04AD5">
              <w:rPr>
                <w:rStyle w:val="SCCLsocChar"/>
                <w:sz w:val="20"/>
                <w:szCs w:val="20"/>
              </w:rPr>
              <w:t>Ghassan Fadlallah c. Université de Sherbrooke</w:t>
            </w:r>
            <w:r w:rsidRPr="00A04AD5">
              <w:rPr>
                <w:sz w:val="20"/>
                <w:szCs w:val="20"/>
                <w:lang w:val="fr-CA"/>
              </w:rPr>
              <w:t xml:space="preserve"> (Qc) (Civile) (Autorisation)</w:t>
            </w:r>
          </w:p>
          <w:p w:rsidR="000963AA" w:rsidRPr="00A04AD5" w:rsidRDefault="000963AA" w:rsidP="001068B6">
            <w:pPr>
              <w:rPr>
                <w:sz w:val="20"/>
                <w:szCs w:val="20"/>
                <w:lang w:val="fr-CA"/>
              </w:rPr>
            </w:pPr>
          </w:p>
        </w:tc>
      </w:tr>
      <w:tr w:rsidR="000963AA" w:rsidRPr="00215143" w:rsidTr="001068B6">
        <w:trPr>
          <w:cantSplit/>
        </w:trPr>
        <w:tc>
          <w:tcPr>
            <w:tcW w:w="1458" w:type="dxa"/>
          </w:tcPr>
          <w:p w:rsidR="000963AA" w:rsidRPr="00A04AD5" w:rsidRDefault="000963AA" w:rsidP="001068B6">
            <w:pPr>
              <w:rPr>
                <w:sz w:val="20"/>
                <w:szCs w:val="20"/>
              </w:rPr>
            </w:pPr>
            <w:r w:rsidRPr="00A04AD5">
              <w:rPr>
                <w:sz w:val="20"/>
                <w:szCs w:val="20"/>
              </w:rPr>
              <w:t>Coram :</w:t>
            </w:r>
          </w:p>
        </w:tc>
        <w:tc>
          <w:tcPr>
            <w:tcW w:w="8118" w:type="dxa"/>
          </w:tcPr>
          <w:p w:rsidR="000963AA" w:rsidRPr="00A04AD5" w:rsidRDefault="000963AA" w:rsidP="001068B6">
            <w:pPr>
              <w:rPr>
                <w:sz w:val="20"/>
                <w:szCs w:val="20"/>
                <w:lang w:val="fr-CA"/>
              </w:rPr>
            </w:pPr>
            <w:r w:rsidRPr="00A04AD5">
              <w:rPr>
                <w:rStyle w:val="SCCCoramChar"/>
                <w:sz w:val="20"/>
                <w:szCs w:val="20"/>
              </w:rPr>
              <w:t>Les juges LeBel, Karakatsanis et Gascon</w:t>
            </w:r>
          </w:p>
          <w:p w:rsidR="000963AA" w:rsidRPr="00A04AD5" w:rsidRDefault="000963AA" w:rsidP="001068B6">
            <w:pPr>
              <w:rPr>
                <w:sz w:val="20"/>
                <w:szCs w:val="20"/>
                <w:u w:val="single"/>
                <w:lang w:val="fr-CA"/>
              </w:rPr>
            </w:pPr>
          </w:p>
        </w:tc>
      </w:tr>
      <w:tr w:rsidR="000963AA" w:rsidRPr="00A04AD5" w:rsidTr="001068B6">
        <w:trPr>
          <w:cantSplit/>
        </w:trPr>
        <w:tc>
          <w:tcPr>
            <w:tcW w:w="9576" w:type="dxa"/>
            <w:gridSpan w:val="2"/>
          </w:tcPr>
          <w:p w:rsidR="000963AA" w:rsidRPr="00A04AD5" w:rsidRDefault="000963AA" w:rsidP="001068B6">
            <w:pPr>
              <w:pStyle w:val="SCCShortJudgment"/>
              <w:rPr>
                <w:szCs w:val="20"/>
                <w:lang w:val="fr-CA"/>
              </w:rPr>
            </w:pPr>
            <w:r w:rsidRPr="00A04AD5">
              <w:rPr>
                <w:szCs w:val="20"/>
                <w:lang w:val="fr-CA"/>
              </w:rPr>
              <w:t>La demande d’autorisation d’appel de l’arrêt de la Cour d’appel du Québec (Montréal), numéro 500-09-023778-137, 2014 QCCA 511, daté du 10 mars 2014, est rejetée sans dépens.</w:t>
            </w:r>
          </w:p>
          <w:p w:rsidR="000963AA" w:rsidRPr="00A04AD5" w:rsidRDefault="000963AA" w:rsidP="001068B6">
            <w:pPr>
              <w:pStyle w:val="SCCShortJudgment"/>
              <w:ind w:firstLine="0"/>
              <w:rPr>
                <w:szCs w:val="20"/>
                <w:lang w:val="fr-CA"/>
              </w:rPr>
            </w:pPr>
          </w:p>
          <w:p w:rsidR="000963AA" w:rsidRPr="00A04AD5" w:rsidRDefault="000963AA" w:rsidP="001068B6">
            <w:pPr>
              <w:pStyle w:val="SCCShortJudgment"/>
              <w:rPr>
                <w:szCs w:val="20"/>
              </w:rPr>
            </w:pPr>
            <w:r w:rsidRPr="00A04AD5">
              <w:rPr>
                <w:szCs w:val="20"/>
              </w:rPr>
              <w:t>The application for leave to appeal from the judgment of the Court of Appeal of Quebec (Montréal), Number 500-09-023778-137, 2014 QCCA 511, dated March 10, 2014, is dismissed without costs.</w:t>
            </w:r>
          </w:p>
        </w:tc>
      </w:tr>
    </w:tbl>
    <w:p w:rsidR="00402B2C" w:rsidRDefault="00402B2C" w:rsidP="00402B2C">
      <w:pPr>
        <w:rPr>
          <w:sz w:val="20"/>
          <w:szCs w:val="20"/>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Civil procedure — Time — Computation of prescription period — Applicant’s action dismissed on ground that prescribed — Whether Court of Appeal erred in dismissing motion in revocation of previous judgment dismissing applicant’s appeal.</w:t>
            </w:r>
          </w:p>
        </w:tc>
      </w:tr>
      <w:tr w:rsidR="00402B2C" w:rsidRPr="003C6CEA" w:rsidTr="00974B9D">
        <w:tc>
          <w:tcPr>
            <w:tcW w:w="5000" w:type="pct"/>
            <w:gridSpan w:val="3"/>
          </w:tcPr>
          <w:p w:rsidR="00402B2C" w:rsidRPr="003C6CEA" w:rsidRDefault="00402B2C" w:rsidP="00974B9D">
            <w:pPr>
              <w:jc w:val="both"/>
              <w:rPr>
                <w:rFonts w:eastAsia="Calibri"/>
                <w:sz w:val="20"/>
              </w:rPr>
            </w:pPr>
          </w:p>
        </w:tc>
      </w:tr>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 xml:space="preserve">In February 2009, the applicant was excluded from the doctoral program at the faculty of engineering of the Université de Sherbrooke (“university”) because he had failed his comprehensive examination.  In March 2009, the dean of the faculty confirmed the applicant’s exclusion from the university.  The applicant subsequently filed a complaint with the office of the university’s student ombudsperson, who concluded in August 2009 that the complaint was unfounded. </w:t>
            </w:r>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r w:rsidRPr="003C6CEA">
              <w:rPr>
                <w:rFonts w:eastAsia="Calibri"/>
                <w:sz w:val="20"/>
              </w:rPr>
              <w:t xml:space="preserve">In February 2013, the applicant brought an action for $266,300 against the university in relation to his exclusion from the doctoral program. </w:t>
            </w:r>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r w:rsidRPr="003C6CEA">
              <w:rPr>
                <w:rFonts w:eastAsia="Calibri"/>
                <w:sz w:val="20"/>
              </w:rPr>
              <w:t>The university filed a motion to dismiss on the ground of prescription.</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June 27, 2013</w:t>
            </w:r>
          </w:p>
          <w:p w:rsidR="00402B2C" w:rsidRPr="003C6CEA" w:rsidRDefault="00402B2C" w:rsidP="00974B9D">
            <w:pPr>
              <w:jc w:val="both"/>
              <w:rPr>
                <w:rFonts w:eastAsia="Calibri"/>
                <w:sz w:val="20"/>
              </w:rPr>
            </w:pPr>
            <w:r w:rsidRPr="003C6CEA">
              <w:rPr>
                <w:rFonts w:eastAsia="Calibri"/>
                <w:sz w:val="20"/>
              </w:rPr>
              <w:t>Quebec Superior Court</w:t>
            </w:r>
          </w:p>
          <w:p w:rsidR="00402B2C" w:rsidRPr="003C6CEA" w:rsidRDefault="00402B2C" w:rsidP="00974B9D">
            <w:pPr>
              <w:jc w:val="both"/>
              <w:rPr>
                <w:rFonts w:eastAsia="Calibri"/>
                <w:sz w:val="20"/>
              </w:rPr>
            </w:pPr>
            <w:r w:rsidRPr="003C6CEA">
              <w:rPr>
                <w:rFonts w:eastAsia="Calibri"/>
                <w:sz w:val="20"/>
              </w:rPr>
              <w:t>(Dumas J.)</w:t>
            </w:r>
          </w:p>
          <w:p w:rsidR="00402B2C" w:rsidRPr="003C6CEA" w:rsidRDefault="00215143" w:rsidP="00974B9D">
            <w:pPr>
              <w:jc w:val="both"/>
              <w:rPr>
                <w:rFonts w:eastAsia="Calibri"/>
                <w:sz w:val="20"/>
              </w:rPr>
            </w:pPr>
            <w:hyperlink r:id="rId40" w:history="1">
              <w:r w:rsidR="00402B2C" w:rsidRPr="003C6CEA">
                <w:rPr>
                  <w:rFonts w:eastAsia="Calibri"/>
                  <w:color w:val="0000FF"/>
                  <w:sz w:val="20"/>
                  <w:u w:val="single"/>
                </w:rPr>
                <w:t>2013 QCCS 2951</w:t>
              </w:r>
            </w:hyperlink>
          </w:p>
          <w:p w:rsidR="00402B2C" w:rsidRPr="003C6CEA" w:rsidRDefault="00402B2C" w:rsidP="00974B9D">
            <w:pPr>
              <w:jc w:val="both"/>
              <w:rPr>
                <w:rFonts w:eastAsia="Calibri"/>
                <w:sz w:val="20"/>
              </w:rPr>
            </w:pPr>
            <w:r w:rsidRPr="003C6CEA">
              <w:rPr>
                <w:rFonts w:eastAsia="Calibri"/>
                <w:sz w:val="20"/>
              </w:rPr>
              <w:t>File No. 450-17-004776-135</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Motion to dismiss allowed; motion to institute proceedings dismissed</w:t>
            </w:r>
          </w:p>
          <w:p w:rsidR="00402B2C" w:rsidRPr="003C6CEA" w:rsidRDefault="00402B2C" w:rsidP="00974B9D">
            <w:pPr>
              <w:jc w:val="both"/>
              <w:rPr>
                <w:rFonts w:eastAsia="Calibri"/>
                <w:sz w:val="20"/>
              </w:rPr>
            </w:pPr>
          </w:p>
        </w:tc>
      </w:tr>
      <w:tr w:rsidR="00402B2C" w:rsidRPr="003C6CEA" w:rsidTr="00FA1DE8">
        <w:trPr>
          <w:cantSplit/>
        </w:trPr>
        <w:tc>
          <w:tcPr>
            <w:tcW w:w="2427" w:type="pct"/>
          </w:tcPr>
          <w:p w:rsidR="00402B2C" w:rsidRPr="003C6CEA" w:rsidRDefault="00402B2C" w:rsidP="00974B9D">
            <w:pPr>
              <w:jc w:val="both"/>
              <w:rPr>
                <w:rFonts w:eastAsia="Calibri"/>
                <w:sz w:val="20"/>
              </w:rPr>
            </w:pPr>
            <w:r w:rsidRPr="003C6CEA">
              <w:rPr>
                <w:rFonts w:eastAsia="Calibri"/>
                <w:sz w:val="20"/>
              </w:rPr>
              <w:lastRenderedPageBreak/>
              <w:t>November 4, 2013</w:t>
            </w:r>
          </w:p>
          <w:p w:rsidR="00402B2C" w:rsidRPr="003C6CEA" w:rsidRDefault="00402B2C" w:rsidP="00974B9D">
            <w:pPr>
              <w:jc w:val="both"/>
              <w:rPr>
                <w:rFonts w:eastAsia="Calibri"/>
                <w:sz w:val="20"/>
              </w:rPr>
            </w:pPr>
            <w:r w:rsidRPr="003C6CEA">
              <w:rPr>
                <w:rFonts w:eastAsia="Calibri"/>
                <w:sz w:val="20"/>
              </w:rPr>
              <w:t>Quebec Court of Appeal (Montréal)</w:t>
            </w:r>
          </w:p>
          <w:p w:rsidR="00402B2C" w:rsidRPr="003C6CEA" w:rsidRDefault="00402B2C" w:rsidP="00974B9D">
            <w:pPr>
              <w:jc w:val="both"/>
              <w:rPr>
                <w:rFonts w:eastAsia="Calibri"/>
                <w:sz w:val="20"/>
              </w:rPr>
            </w:pPr>
            <w:r w:rsidRPr="003C6CEA">
              <w:rPr>
                <w:rFonts w:eastAsia="Calibri"/>
                <w:sz w:val="20"/>
              </w:rPr>
              <w:t>(Hilton, Giroux and Dufresne JJ.A.)</w:t>
            </w:r>
          </w:p>
          <w:bookmarkStart w:id="2" w:name="reflex-caselaw-23665605"/>
          <w:bookmarkEnd w:id="2"/>
          <w:p w:rsidR="00402B2C" w:rsidRPr="003C6CEA" w:rsidRDefault="000944FD" w:rsidP="00974B9D">
            <w:pPr>
              <w:jc w:val="both"/>
              <w:rPr>
                <w:rFonts w:eastAsia="Calibri"/>
                <w:sz w:val="20"/>
              </w:rPr>
            </w:pPr>
            <w:r w:rsidRPr="003C6CEA">
              <w:rPr>
                <w:rFonts w:eastAsia="Calibri"/>
                <w:sz w:val="20"/>
              </w:rPr>
              <w:fldChar w:fldCharType="begin"/>
            </w:r>
            <w:r w:rsidR="00402B2C" w:rsidRPr="003C6CEA">
              <w:rPr>
                <w:rFonts w:eastAsia="Calibri"/>
                <w:sz w:val="20"/>
              </w:rPr>
              <w:instrText xml:space="preserve"> HYPERLINK "http://www.canlii.org/fr/qc/qcca/doc/2013/2013qcca1884/2013qcca1884.html" </w:instrText>
            </w:r>
            <w:r w:rsidR="00215143" w:rsidRPr="003C6CEA">
              <w:rPr>
                <w:rFonts w:eastAsia="Calibri"/>
                <w:sz w:val="20"/>
              </w:rPr>
            </w:r>
            <w:r w:rsidRPr="003C6CEA">
              <w:rPr>
                <w:rFonts w:eastAsia="Calibri"/>
                <w:sz w:val="20"/>
              </w:rPr>
              <w:fldChar w:fldCharType="separate"/>
            </w:r>
            <w:r w:rsidR="00402B2C" w:rsidRPr="003C6CEA">
              <w:rPr>
                <w:rFonts w:eastAsia="Calibri"/>
                <w:color w:val="0000FF"/>
                <w:sz w:val="20"/>
                <w:u w:val="single"/>
              </w:rPr>
              <w:t>2013 QCCA 1884</w:t>
            </w:r>
            <w:r w:rsidRPr="003C6CEA">
              <w:rPr>
                <w:rFonts w:eastAsia="Calibri"/>
                <w:sz w:val="20"/>
              </w:rPr>
              <w:fldChar w:fldCharType="end"/>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 xml:space="preserve">Motion to dismiss appeal allowed; appeal dismissed </w:t>
            </w:r>
          </w:p>
        </w:tc>
      </w:tr>
      <w:tr w:rsidR="00402B2C" w:rsidRPr="003C6CEA" w:rsidTr="00FA1DE8">
        <w:trPr>
          <w:cantSplit/>
        </w:trPr>
        <w:tc>
          <w:tcPr>
            <w:tcW w:w="2427" w:type="pct"/>
          </w:tcPr>
          <w:p w:rsidR="00402B2C" w:rsidRPr="003C6CEA" w:rsidRDefault="00402B2C" w:rsidP="00974B9D">
            <w:pPr>
              <w:jc w:val="both"/>
              <w:rPr>
                <w:rFonts w:eastAsia="Calibri"/>
                <w:sz w:val="20"/>
              </w:rPr>
            </w:pPr>
            <w:r w:rsidRPr="003C6CEA">
              <w:rPr>
                <w:rFonts w:eastAsia="Calibri"/>
                <w:sz w:val="20"/>
              </w:rPr>
              <w:t>March 10, 2014</w:t>
            </w:r>
          </w:p>
          <w:p w:rsidR="00402B2C" w:rsidRPr="003C6CEA" w:rsidRDefault="00402B2C" w:rsidP="00974B9D">
            <w:pPr>
              <w:jc w:val="both"/>
              <w:rPr>
                <w:rFonts w:eastAsia="Calibri"/>
                <w:sz w:val="20"/>
              </w:rPr>
            </w:pPr>
            <w:r w:rsidRPr="003C6CEA">
              <w:rPr>
                <w:rFonts w:eastAsia="Calibri"/>
                <w:sz w:val="20"/>
              </w:rPr>
              <w:t>Quebec Court of Appeal (Montréal)</w:t>
            </w:r>
          </w:p>
          <w:p w:rsidR="00402B2C" w:rsidRPr="003C6CEA" w:rsidRDefault="00402B2C" w:rsidP="00974B9D">
            <w:pPr>
              <w:jc w:val="both"/>
              <w:rPr>
                <w:rFonts w:eastAsia="Calibri"/>
                <w:sz w:val="20"/>
                <w:lang w:val="fr-CA"/>
              </w:rPr>
            </w:pPr>
            <w:r w:rsidRPr="003C6CEA">
              <w:rPr>
                <w:rFonts w:eastAsia="Calibri"/>
                <w:sz w:val="20"/>
                <w:lang w:val="fr-CA"/>
              </w:rPr>
              <w:t>(Pelletier, Morissette and Gagnon JJ.A.)</w:t>
            </w:r>
          </w:p>
          <w:p w:rsidR="00402B2C" w:rsidRPr="003C6CEA" w:rsidRDefault="00215143" w:rsidP="00974B9D">
            <w:pPr>
              <w:jc w:val="both"/>
              <w:rPr>
                <w:rFonts w:eastAsia="Calibri"/>
                <w:sz w:val="20"/>
              </w:rPr>
            </w:pPr>
            <w:hyperlink r:id="rId41" w:history="1">
              <w:r w:rsidR="00402B2C" w:rsidRPr="003C6CEA">
                <w:rPr>
                  <w:rFonts w:eastAsia="Calibri"/>
                  <w:color w:val="0000FF"/>
                  <w:sz w:val="20"/>
                  <w:u w:val="single"/>
                </w:rPr>
                <w:t>2014 QCCA 511</w:t>
              </w:r>
            </w:hyperlink>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Motion to adduce new evidence and motion in revocation dismissed</w:t>
            </w:r>
          </w:p>
          <w:p w:rsidR="00402B2C" w:rsidRPr="003C6CEA" w:rsidRDefault="00402B2C" w:rsidP="00974B9D">
            <w:pPr>
              <w:jc w:val="both"/>
              <w:rPr>
                <w:rFonts w:eastAsia="Calibri"/>
                <w:sz w:val="20"/>
              </w:rPr>
            </w:pPr>
          </w:p>
        </w:tc>
      </w:tr>
      <w:tr w:rsidR="00402B2C" w:rsidRPr="003C6CEA" w:rsidTr="00FA1DE8">
        <w:trPr>
          <w:cantSplit/>
        </w:trPr>
        <w:tc>
          <w:tcPr>
            <w:tcW w:w="2427" w:type="pct"/>
          </w:tcPr>
          <w:p w:rsidR="00402B2C" w:rsidRPr="003C6CEA" w:rsidRDefault="00402B2C" w:rsidP="00974B9D">
            <w:pPr>
              <w:jc w:val="both"/>
              <w:rPr>
                <w:rFonts w:eastAsia="Calibri"/>
                <w:sz w:val="20"/>
              </w:rPr>
            </w:pPr>
            <w:r w:rsidRPr="003C6CEA">
              <w:rPr>
                <w:rFonts w:eastAsia="Calibri"/>
                <w:sz w:val="20"/>
              </w:rPr>
              <w:t>May 9, 2014</w:t>
            </w:r>
          </w:p>
          <w:p w:rsidR="00402B2C" w:rsidRPr="003C6CEA" w:rsidRDefault="00402B2C" w:rsidP="00974B9D">
            <w:pPr>
              <w:jc w:val="both"/>
              <w:rPr>
                <w:rFonts w:eastAsia="Calibri"/>
                <w:sz w:val="20"/>
              </w:rPr>
            </w:pPr>
            <w:r w:rsidRPr="003C6CEA">
              <w:rPr>
                <w:rFonts w:eastAsia="Calibri"/>
                <w:sz w:val="20"/>
              </w:rPr>
              <w:t>Supreme Court of Canada</w:t>
            </w: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Application for leave to appeal filed</w:t>
            </w:r>
          </w:p>
          <w:p w:rsidR="00402B2C" w:rsidRPr="003C6CEA" w:rsidRDefault="00402B2C" w:rsidP="00974B9D">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53"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Procédure civile — Délais — Calcul du délai de prescription — Recours du demandeur rejeté au motif qu’il était prescrit — La Cour d’appel a-t-elle erré en rejetant requête en rétractation visant un jugement antérieur rejetant l’appel du demandeur?</w:t>
            </w:r>
          </w:p>
        </w:tc>
      </w:tr>
      <w:tr w:rsidR="00402B2C" w:rsidRPr="00215143" w:rsidTr="00974B9D">
        <w:tc>
          <w:tcPr>
            <w:tcW w:w="5000" w:type="pct"/>
            <w:gridSpan w:val="3"/>
          </w:tcPr>
          <w:p w:rsidR="00402B2C" w:rsidRPr="003C6CEA" w:rsidRDefault="00402B2C" w:rsidP="00974B9D">
            <w:pPr>
              <w:jc w:val="both"/>
              <w:rPr>
                <w:rFonts w:eastAsia="Calibri"/>
                <w:sz w:val="20"/>
                <w:lang w:val="fr-CA"/>
              </w:rPr>
            </w:pPr>
          </w:p>
        </w:tc>
      </w:tr>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t xml:space="preserve">En février 2009, le demandeur a été exclu du programme de doctorat de la Faculté de génie de l’Université de Sherbrooke.  La raison de son exclusion était son échec à son examen général. En mars 2009, le doyen de la faculté a confirmé l’exclusion du demandeur de l’Université.  Par la suite, le demandeur a déposé une plainte du bureau de la Protectrice des droits des étudiants et étudiantes de l’Université qui, en août 2009, conclut que la plainte était non fondée. </w:t>
            </w:r>
          </w:p>
          <w:p w:rsidR="00402B2C" w:rsidRPr="003C6CEA" w:rsidRDefault="00402B2C" w:rsidP="00974B9D">
            <w:pPr>
              <w:jc w:val="both"/>
              <w:rPr>
                <w:rFonts w:eastAsia="Calibri"/>
                <w:sz w:val="20"/>
                <w:lang w:val="fr-CA"/>
              </w:rPr>
            </w:pPr>
          </w:p>
          <w:p w:rsidR="00402B2C" w:rsidRPr="003C6CEA" w:rsidRDefault="00402B2C" w:rsidP="00974B9D">
            <w:pPr>
              <w:jc w:val="both"/>
              <w:rPr>
                <w:rFonts w:eastAsia="Calibri"/>
                <w:sz w:val="20"/>
                <w:lang w:val="fr-CA"/>
              </w:rPr>
            </w:pPr>
            <w:r w:rsidRPr="003C6CEA">
              <w:rPr>
                <w:rFonts w:eastAsia="Calibri"/>
                <w:sz w:val="20"/>
                <w:lang w:val="fr-CA"/>
              </w:rPr>
              <w:t xml:space="preserve">En février 2013, le demandeur a intenté contre l’Université de Sherbrooke une poursuite pour un montant de 266 300$ en lien avec son exclusion du programme de doctorat. </w:t>
            </w:r>
          </w:p>
          <w:p w:rsidR="00402B2C" w:rsidRPr="003C6CEA" w:rsidRDefault="00402B2C" w:rsidP="00974B9D">
            <w:pPr>
              <w:jc w:val="both"/>
              <w:rPr>
                <w:rFonts w:eastAsia="Calibri"/>
                <w:sz w:val="20"/>
                <w:lang w:val="fr-CA"/>
              </w:rPr>
            </w:pPr>
          </w:p>
          <w:p w:rsidR="00402B2C" w:rsidRPr="003C6CEA" w:rsidRDefault="00402B2C" w:rsidP="00974B9D">
            <w:pPr>
              <w:jc w:val="both"/>
              <w:rPr>
                <w:rFonts w:eastAsia="Calibri"/>
                <w:sz w:val="20"/>
                <w:lang w:val="fr-CA"/>
              </w:rPr>
            </w:pPr>
            <w:r w:rsidRPr="003C6CEA">
              <w:rPr>
                <w:rFonts w:eastAsia="Calibri"/>
                <w:sz w:val="20"/>
                <w:lang w:val="fr-CA"/>
              </w:rPr>
              <w:t>L’Université déposa une requête en irrecevabilité pour motif de prescription.</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Le 27 juin 2013</w:t>
            </w:r>
          </w:p>
          <w:p w:rsidR="00402B2C" w:rsidRPr="003C6CEA" w:rsidRDefault="00402B2C" w:rsidP="00974B9D">
            <w:pPr>
              <w:jc w:val="both"/>
              <w:rPr>
                <w:rFonts w:eastAsia="Calibri"/>
                <w:sz w:val="20"/>
                <w:lang w:val="fr-CA"/>
              </w:rPr>
            </w:pPr>
            <w:r w:rsidRPr="003C6CEA">
              <w:rPr>
                <w:rFonts w:eastAsia="Calibri"/>
                <w:sz w:val="20"/>
                <w:lang w:val="fr-CA"/>
              </w:rPr>
              <w:t>Cour supérieure du Québec</w:t>
            </w:r>
          </w:p>
          <w:p w:rsidR="00402B2C" w:rsidRPr="003C6CEA" w:rsidRDefault="00402B2C" w:rsidP="00974B9D">
            <w:pPr>
              <w:jc w:val="both"/>
              <w:rPr>
                <w:rFonts w:eastAsia="Calibri"/>
                <w:sz w:val="20"/>
                <w:lang w:val="fr-CA"/>
              </w:rPr>
            </w:pPr>
            <w:r w:rsidRPr="003C6CEA">
              <w:rPr>
                <w:rFonts w:eastAsia="Calibri"/>
                <w:sz w:val="20"/>
                <w:lang w:val="fr-CA"/>
              </w:rPr>
              <w:t>(le juge Dumas J)</w:t>
            </w:r>
          </w:p>
          <w:p w:rsidR="00402B2C" w:rsidRPr="003C6CEA" w:rsidRDefault="00215143" w:rsidP="00974B9D">
            <w:pPr>
              <w:jc w:val="both"/>
              <w:rPr>
                <w:rFonts w:eastAsia="Calibri"/>
                <w:sz w:val="20"/>
                <w:lang w:val="fr-CA"/>
              </w:rPr>
            </w:pPr>
            <w:hyperlink r:id="rId42" w:history="1">
              <w:r w:rsidR="00402B2C" w:rsidRPr="003C6CEA">
                <w:rPr>
                  <w:rFonts w:eastAsia="Calibri"/>
                  <w:color w:val="0000FF"/>
                  <w:sz w:val="20"/>
                  <w:u w:val="single"/>
                  <w:lang w:val="fr-CA"/>
                </w:rPr>
                <w:t>2013 QCCS 2951</w:t>
              </w:r>
            </w:hyperlink>
          </w:p>
          <w:p w:rsidR="00402B2C" w:rsidRPr="003C6CEA" w:rsidRDefault="00402B2C" w:rsidP="00974B9D">
            <w:pPr>
              <w:jc w:val="both"/>
              <w:rPr>
                <w:rFonts w:eastAsia="Calibri"/>
                <w:sz w:val="20"/>
                <w:lang w:val="fr-CA"/>
              </w:rPr>
            </w:pPr>
            <w:r w:rsidRPr="003C6CEA">
              <w:rPr>
                <w:rFonts w:eastAsia="Calibri"/>
                <w:sz w:val="20"/>
                <w:lang w:val="fr-CA"/>
              </w:rPr>
              <w:t>No. de dossier  450-17-004776-135</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Requête en irrecevabilité accueillie; Requête introductive d’instance rejetée</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Le 4 novembre 2013</w:t>
            </w:r>
          </w:p>
          <w:p w:rsidR="00402B2C" w:rsidRPr="003C6CEA" w:rsidRDefault="00402B2C" w:rsidP="00974B9D">
            <w:pPr>
              <w:jc w:val="both"/>
              <w:rPr>
                <w:rFonts w:eastAsia="Calibri"/>
                <w:sz w:val="20"/>
                <w:lang w:val="fr-CA"/>
              </w:rPr>
            </w:pPr>
            <w:r w:rsidRPr="003C6CEA">
              <w:rPr>
                <w:rFonts w:eastAsia="Calibri"/>
                <w:sz w:val="20"/>
                <w:lang w:val="fr-CA"/>
              </w:rPr>
              <w:t>Cour d’appel du Québec (Montréal)</w:t>
            </w:r>
          </w:p>
          <w:p w:rsidR="00402B2C" w:rsidRPr="003C6CEA" w:rsidRDefault="00402B2C" w:rsidP="00974B9D">
            <w:pPr>
              <w:jc w:val="both"/>
              <w:rPr>
                <w:rFonts w:eastAsia="Calibri"/>
                <w:sz w:val="20"/>
                <w:lang w:val="fr-CA"/>
              </w:rPr>
            </w:pPr>
            <w:r w:rsidRPr="003C6CEA">
              <w:rPr>
                <w:rFonts w:eastAsia="Calibri"/>
                <w:sz w:val="20"/>
                <w:lang w:val="fr-CA"/>
              </w:rPr>
              <w:t>(les juges Hilton, Giroux et Dufresne)</w:t>
            </w:r>
          </w:p>
          <w:p w:rsidR="00402B2C" w:rsidRPr="003C6CEA" w:rsidRDefault="00215143" w:rsidP="00974B9D">
            <w:pPr>
              <w:jc w:val="both"/>
              <w:rPr>
                <w:rFonts w:eastAsia="Calibri"/>
                <w:sz w:val="20"/>
                <w:lang w:val="fr-CA"/>
              </w:rPr>
            </w:pPr>
            <w:hyperlink r:id="rId43" w:history="1">
              <w:r w:rsidR="00402B2C" w:rsidRPr="003C6CEA">
                <w:rPr>
                  <w:rFonts w:eastAsia="Calibri"/>
                  <w:color w:val="0000FF"/>
                  <w:sz w:val="20"/>
                  <w:u w:val="single"/>
                  <w:lang w:val="fr-CA"/>
                </w:rPr>
                <w:t>2013 QCCA 1884</w:t>
              </w:r>
            </w:hyperlink>
          </w:p>
          <w:p w:rsidR="00402B2C" w:rsidRPr="003C6CEA" w:rsidRDefault="00402B2C" w:rsidP="00974B9D">
            <w:pPr>
              <w:jc w:val="both"/>
              <w:rPr>
                <w:rFonts w:eastAsia="Calibri"/>
                <w:sz w:val="20"/>
                <w:lang w:val="fr-FR"/>
              </w:rPr>
            </w:pPr>
          </w:p>
        </w:tc>
        <w:tc>
          <w:tcPr>
            <w:tcW w:w="243" w:type="pct"/>
          </w:tcPr>
          <w:p w:rsidR="00402B2C" w:rsidRPr="003C6CEA" w:rsidRDefault="00402B2C" w:rsidP="00974B9D">
            <w:pPr>
              <w:jc w:val="both"/>
              <w:rPr>
                <w:rFonts w:eastAsia="Calibri"/>
                <w:sz w:val="20"/>
                <w:lang w:val="fr-FR"/>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 xml:space="preserve">Requête en rejet d’appel, accueillie; Appel rejeté </w:t>
            </w: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Le 10 mars 2014</w:t>
            </w:r>
          </w:p>
          <w:p w:rsidR="00402B2C" w:rsidRPr="003C6CEA" w:rsidRDefault="00402B2C" w:rsidP="00974B9D">
            <w:pPr>
              <w:jc w:val="both"/>
              <w:rPr>
                <w:rFonts w:eastAsia="Calibri"/>
                <w:sz w:val="20"/>
                <w:lang w:val="fr-CA"/>
              </w:rPr>
            </w:pPr>
            <w:r w:rsidRPr="003C6CEA">
              <w:rPr>
                <w:rFonts w:eastAsia="Calibri"/>
                <w:sz w:val="20"/>
                <w:lang w:val="fr-CA"/>
              </w:rPr>
              <w:t>Cour d’appel du Québec (Montréal)</w:t>
            </w:r>
          </w:p>
          <w:p w:rsidR="00402B2C" w:rsidRPr="003C6CEA" w:rsidRDefault="00402B2C" w:rsidP="00974B9D">
            <w:pPr>
              <w:jc w:val="both"/>
              <w:rPr>
                <w:rFonts w:eastAsia="Calibri"/>
                <w:sz w:val="20"/>
                <w:lang w:val="fr-CA"/>
              </w:rPr>
            </w:pPr>
            <w:r w:rsidRPr="003C6CEA">
              <w:rPr>
                <w:rFonts w:eastAsia="Calibri"/>
                <w:sz w:val="20"/>
                <w:lang w:val="fr-CA"/>
              </w:rPr>
              <w:t>(les juges Pelletier, Morissette et Gagnon)</w:t>
            </w:r>
          </w:p>
          <w:p w:rsidR="00402B2C" w:rsidRPr="003C6CEA" w:rsidRDefault="00215143" w:rsidP="00974B9D">
            <w:pPr>
              <w:jc w:val="both"/>
              <w:rPr>
                <w:rFonts w:eastAsia="Calibri"/>
                <w:sz w:val="20"/>
                <w:lang w:val="fr-CA"/>
              </w:rPr>
            </w:pPr>
            <w:hyperlink r:id="rId44" w:history="1">
              <w:r w:rsidR="00402B2C" w:rsidRPr="003C6CEA">
                <w:rPr>
                  <w:rFonts w:eastAsia="Calibri"/>
                  <w:color w:val="0000FF"/>
                  <w:sz w:val="20"/>
                  <w:u w:val="single"/>
                  <w:lang w:val="fr-CA"/>
                </w:rPr>
                <w:t>2014 QCCA 511</w:t>
              </w:r>
            </w:hyperlink>
          </w:p>
          <w:p w:rsidR="00402B2C" w:rsidRPr="003C6CEA" w:rsidRDefault="00402B2C" w:rsidP="00974B9D">
            <w:pPr>
              <w:jc w:val="both"/>
              <w:rPr>
                <w:rFonts w:eastAsia="Calibri"/>
                <w:sz w:val="20"/>
                <w:lang w:val="fr-FR"/>
              </w:rPr>
            </w:pPr>
          </w:p>
        </w:tc>
        <w:tc>
          <w:tcPr>
            <w:tcW w:w="243" w:type="pct"/>
          </w:tcPr>
          <w:p w:rsidR="00402B2C" w:rsidRPr="003C6CEA" w:rsidRDefault="00402B2C" w:rsidP="00974B9D">
            <w:pPr>
              <w:jc w:val="both"/>
              <w:rPr>
                <w:rFonts w:eastAsia="Calibri"/>
                <w:sz w:val="20"/>
                <w:lang w:val="fr-FR"/>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Requête pour preuve nouvelle et requête en rétractation, rejetées</w:t>
            </w:r>
          </w:p>
          <w:p w:rsidR="00402B2C" w:rsidRPr="003C6CEA" w:rsidRDefault="00402B2C" w:rsidP="00974B9D">
            <w:pPr>
              <w:jc w:val="both"/>
              <w:rPr>
                <w:rFonts w:eastAsia="Calibri"/>
                <w:sz w:val="20"/>
                <w:lang w:val="fr-CA"/>
              </w:rPr>
            </w:pPr>
          </w:p>
        </w:tc>
      </w:tr>
    </w:tbl>
    <w:p w:rsidR="00FA1DE8" w:rsidRPr="00570AFA" w:rsidRDefault="00FA1DE8">
      <w:pPr>
        <w:rPr>
          <w:lang w:val="fr-CA"/>
        </w:rPr>
      </w:pPr>
      <w:r w:rsidRPr="00570A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FA1DE8">
        <w:trPr>
          <w:cantSplit/>
        </w:trPr>
        <w:tc>
          <w:tcPr>
            <w:tcW w:w="2427" w:type="pct"/>
          </w:tcPr>
          <w:p w:rsidR="00402B2C" w:rsidRPr="003C6CEA" w:rsidRDefault="00402B2C" w:rsidP="00974B9D">
            <w:pPr>
              <w:jc w:val="both"/>
              <w:rPr>
                <w:rFonts w:eastAsia="Calibri"/>
                <w:sz w:val="20"/>
                <w:lang w:val="fr-CA"/>
              </w:rPr>
            </w:pPr>
            <w:r w:rsidRPr="003C6CEA">
              <w:rPr>
                <w:rFonts w:eastAsia="Calibri"/>
                <w:sz w:val="20"/>
                <w:lang w:val="fr-CA"/>
              </w:rPr>
              <w:lastRenderedPageBreak/>
              <w:t>Le 9 mai 2014</w:t>
            </w:r>
          </w:p>
          <w:p w:rsidR="00402B2C" w:rsidRPr="003C6CEA" w:rsidRDefault="00402B2C" w:rsidP="00974B9D">
            <w:pPr>
              <w:jc w:val="both"/>
              <w:rPr>
                <w:rFonts w:eastAsia="Calibri"/>
                <w:sz w:val="20"/>
                <w:lang w:val="fr-FR"/>
              </w:rPr>
            </w:pPr>
            <w:r w:rsidRPr="003C6CEA">
              <w:rPr>
                <w:rFonts w:eastAsia="Calibri"/>
                <w:sz w:val="20"/>
                <w:lang w:val="fr-CA"/>
              </w:rPr>
              <w:t>Cour suprême du Canada</w:t>
            </w:r>
          </w:p>
        </w:tc>
        <w:tc>
          <w:tcPr>
            <w:tcW w:w="243" w:type="pct"/>
          </w:tcPr>
          <w:p w:rsidR="00402B2C" w:rsidRPr="003C6CEA" w:rsidRDefault="00402B2C" w:rsidP="00974B9D">
            <w:pPr>
              <w:jc w:val="both"/>
              <w:rPr>
                <w:rFonts w:eastAsia="Calibri"/>
                <w:sz w:val="20"/>
                <w:lang w:val="fr-FR"/>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Demande d'autorisation d'appel déposée</w:t>
            </w:r>
          </w:p>
          <w:p w:rsidR="00402B2C" w:rsidRPr="003C6CEA" w:rsidRDefault="00402B2C" w:rsidP="00974B9D">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54" style="width:2in;height:1pt" o:hrpct="0" o:hralign="center" o:hrstd="t" o:hrnoshade="t" o:hr="t" fillcolor="black [3213]" stroked="f"/>
        </w:pict>
      </w:r>
    </w:p>
    <w:p w:rsidR="008359A6" w:rsidRDefault="008359A6"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59A6" w:rsidRPr="0020097A" w:rsidTr="00A43C58">
        <w:trPr>
          <w:cantSplit/>
        </w:trPr>
        <w:tc>
          <w:tcPr>
            <w:tcW w:w="1458" w:type="dxa"/>
          </w:tcPr>
          <w:p w:rsidR="008359A6" w:rsidRPr="0020097A" w:rsidRDefault="008359A6" w:rsidP="00A43C58">
            <w:pPr>
              <w:rPr>
                <w:sz w:val="20"/>
                <w:szCs w:val="20"/>
              </w:rPr>
            </w:pPr>
            <w:r w:rsidRPr="0020097A">
              <w:rPr>
                <w:rStyle w:val="SCCFileNumberChar"/>
                <w:sz w:val="20"/>
                <w:szCs w:val="20"/>
              </w:rPr>
              <w:t>35882</w:t>
            </w:r>
          </w:p>
          <w:p w:rsidR="008359A6" w:rsidRPr="0020097A" w:rsidRDefault="008359A6" w:rsidP="00A43C58">
            <w:pPr>
              <w:rPr>
                <w:b/>
                <w:sz w:val="20"/>
                <w:szCs w:val="20"/>
                <w:lang w:val="fr-CA"/>
              </w:rPr>
            </w:pPr>
          </w:p>
        </w:tc>
        <w:tc>
          <w:tcPr>
            <w:tcW w:w="8118" w:type="dxa"/>
          </w:tcPr>
          <w:p w:rsidR="008359A6" w:rsidRPr="0020097A" w:rsidRDefault="008359A6" w:rsidP="00A43C58">
            <w:pPr>
              <w:rPr>
                <w:sz w:val="20"/>
                <w:szCs w:val="20"/>
              </w:rPr>
            </w:pPr>
            <w:r w:rsidRPr="0020097A">
              <w:rPr>
                <w:rStyle w:val="SCCLsocChar"/>
                <w:sz w:val="20"/>
                <w:szCs w:val="20"/>
                <w:lang w:val="en-CA"/>
              </w:rPr>
              <w:t>Colleen Peciukaitis v. Forest Harbour Ratepayers Incorporated</w:t>
            </w:r>
            <w:r w:rsidRPr="0020097A">
              <w:rPr>
                <w:sz w:val="20"/>
                <w:szCs w:val="20"/>
              </w:rPr>
              <w:t xml:space="preserve"> (Ont.) (Civil) (By Leave)</w:t>
            </w:r>
          </w:p>
          <w:p w:rsidR="008359A6" w:rsidRPr="0020097A" w:rsidRDefault="008359A6" w:rsidP="00A43C58">
            <w:pPr>
              <w:rPr>
                <w:sz w:val="20"/>
                <w:szCs w:val="20"/>
              </w:rPr>
            </w:pPr>
          </w:p>
        </w:tc>
      </w:tr>
      <w:tr w:rsidR="008359A6" w:rsidRPr="0020097A" w:rsidTr="00A43C58">
        <w:trPr>
          <w:cantSplit/>
        </w:trPr>
        <w:tc>
          <w:tcPr>
            <w:tcW w:w="1458" w:type="dxa"/>
          </w:tcPr>
          <w:p w:rsidR="008359A6" w:rsidRPr="0020097A" w:rsidRDefault="008359A6" w:rsidP="00A43C58">
            <w:pPr>
              <w:rPr>
                <w:sz w:val="20"/>
                <w:szCs w:val="20"/>
              </w:rPr>
            </w:pPr>
            <w:r w:rsidRPr="0020097A">
              <w:rPr>
                <w:sz w:val="20"/>
                <w:szCs w:val="20"/>
              </w:rPr>
              <w:t>Coram :</w:t>
            </w:r>
          </w:p>
        </w:tc>
        <w:tc>
          <w:tcPr>
            <w:tcW w:w="8118" w:type="dxa"/>
          </w:tcPr>
          <w:p w:rsidR="008359A6" w:rsidRPr="0020097A" w:rsidRDefault="008359A6" w:rsidP="00A43C58">
            <w:pPr>
              <w:rPr>
                <w:sz w:val="20"/>
                <w:szCs w:val="20"/>
              </w:rPr>
            </w:pPr>
            <w:r w:rsidRPr="0020097A">
              <w:rPr>
                <w:rStyle w:val="SCCCoramChar"/>
                <w:sz w:val="20"/>
                <w:szCs w:val="20"/>
                <w:lang w:val="en-CA"/>
              </w:rPr>
              <w:t>Abella, Rothstein and Moldaver JJ.</w:t>
            </w:r>
          </w:p>
          <w:p w:rsidR="008359A6" w:rsidRPr="0020097A" w:rsidRDefault="008359A6" w:rsidP="00A43C58">
            <w:pPr>
              <w:rPr>
                <w:sz w:val="20"/>
                <w:szCs w:val="20"/>
                <w:u w:val="single"/>
              </w:rPr>
            </w:pPr>
          </w:p>
        </w:tc>
      </w:tr>
      <w:tr w:rsidR="008359A6" w:rsidRPr="00215143" w:rsidTr="00A43C58">
        <w:trPr>
          <w:cantSplit/>
        </w:trPr>
        <w:tc>
          <w:tcPr>
            <w:tcW w:w="9576" w:type="dxa"/>
            <w:gridSpan w:val="2"/>
          </w:tcPr>
          <w:p w:rsidR="008359A6" w:rsidRPr="0020097A" w:rsidRDefault="008359A6" w:rsidP="00A43C58">
            <w:pPr>
              <w:pStyle w:val="SCCShortJudgment"/>
              <w:rPr>
                <w:szCs w:val="20"/>
              </w:rPr>
            </w:pPr>
            <w:r w:rsidRPr="0020097A">
              <w:rPr>
                <w:szCs w:val="20"/>
              </w:rPr>
              <w:t>The application for leave to appeal from the judgment of the Court of Appeal for Ontario, Number C57015, 2014 ONCA 200, dated March 12, 2014 is dismissed with costs.</w:t>
            </w:r>
          </w:p>
          <w:p w:rsidR="008359A6" w:rsidRPr="0020097A" w:rsidRDefault="008359A6" w:rsidP="00A43C58">
            <w:pPr>
              <w:pStyle w:val="SCCShortJudgment"/>
              <w:ind w:firstLine="0"/>
              <w:rPr>
                <w:szCs w:val="20"/>
              </w:rPr>
            </w:pPr>
          </w:p>
          <w:p w:rsidR="008359A6" w:rsidRPr="0020097A" w:rsidRDefault="008359A6" w:rsidP="00A43C58">
            <w:pPr>
              <w:pStyle w:val="SCCShortJudgment"/>
              <w:rPr>
                <w:szCs w:val="20"/>
                <w:lang w:val="fr-CA"/>
              </w:rPr>
            </w:pPr>
            <w:r w:rsidRPr="0020097A">
              <w:rPr>
                <w:szCs w:val="20"/>
                <w:lang w:val="fr-CA"/>
              </w:rPr>
              <w:t>La demande d’autorisation d’appel de l’arrêt de la Cour d’appel de l’Ontario, numéro C57015, 2014 ONCA 200, daté du 12 mars 2014, est rejetée avec dépens.</w:t>
            </w:r>
          </w:p>
        </w:tc>
      </w:tr>
    </w:tbl>
    <w:p w:rsidR="00402B2C" w:rsidRPr="008359A6"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3C6CEA" w:rsidTr="00974B9D">
        <w:tc>
          <w:tcPr>
            <w:tcW w:w="5000" w:type="pct"/>
            <w:gridSpan w:val="3"/>
          </w:tcPr>
          <w:p w:rsidR="00402B2C" w:rsidRPr="003C6CEA" w:rsidRDefault="00402B2C" w:rsidP="00974B9D">
            <w:pPr>
              <w:jc w:val="both"/>
              <w:rPr>
                <w:rFonts w:eastAsia="Calibri"/>
                <w:smallCaps/>
                <w:sz w:val="20"/>
              </w:rPr>
            </w:pPr>
            <w:r w:rsidRPr="003C6CEA">
              <w:rPr>
                <w:rFonts w:eastAsia="Calibri"/>
                <w:sz w:val="20"/>
              </w:rPr>
              <w:t>Civil procedure — Pleadings — Applicant’s statement of claim struck as an abuse of process — Court of Appeal upholding that decision — Whether Court of Appeal erred in dismissing applicant’s appeal?</w:t>
            </w:r>
          </w:p>
        </w:tc>
      </w:tr>
      <w:tr w:rsidR="00402B2C" w:rsidRPr="003C6CEA" w:rsidTr="00974B9D">
        <w:tc>
          <w:tcPr>
            <w:tcW w:w="5000" w:type="pct"/>
            <w:gridSpan w:val="3"/>
          </w:tcPr>
          <w:p w:rsidR="00402B2C" w:rsidRPr="003C6CEA" w:rsidRDefault="00402B2C" w:rsidP="00974B9D">
            <w:pPr>
              <w:jc w:val="both"/>
              <w:rPr>
                <w:rFonts w:eastAsia="Calibri"/>
                <w:sz w:val="20"/>
              </w:rPr>
            </w:pPr>
          </w:p>
        </w:tc>
      </w:tr>
      <w:tr w:rsidR="00402B2C" w:rsidRPr="003C6CEA" w:rsidTr="00974B9D">
        <w:tc>
          <w:tcPr>
            <w:tcW w:w="5000" w:type="pct"/>
            <w:gridSpan w:val="3"/>
          </w:tcPr>
          <w:p w:rsidR="00402B2C" w:rsidRPr="003C6CEA" w:rsidRDefault="00402B2C" w:rsidP="00974B9D">
            <w:pPr>
              <w:jc w:val="both"/>
              <w:rPr>
                <w:rFonts w:eastAsia="Calibri"/>
                <w:sz w:val="20"/>
              </w:rPr>
            </w:pPr>
            <w:r w:rsidRPr="003C6CEA">
              <w:rPr>
                <w:rFonts w:eastAsia="Calibri"/>
                <w:sz w:val="20"/>
              </w:rPr>
              <w:t>The parties were involved in a dispute concerning the property line of the applicant’s land.  In late 2005 or early 2006, the parties reached a settlement and exchanged mutual releases.  Soon thereafter, the applicant informed the respondent that she would not follow through with the settlement.  She attempted to reopen the claim by filing a motion to rescind the settlement but was unsuccessful.</w:t>
            </w:r>
          </w:p>
          <w:p w:rsidR="00402B2C" w:rsidRPr="003C6CEA" w:rsidRDefault="00402B2C" w:rsidP="00974B9D">
            <w:pPr>
              <w:jc w:val="both"/>
              <w:rPr>
                <w:rFonts w:eastAsia="Calibri"/>
                <w:sz w:val="20"/>
              </w:rPr>
            </w:pPr>
          </w:p>
          <w:p w:rsidR="00402B2C" w:rsidRPr="003C6CEA" w:rsidRDefault="00402B2C" w:rsidP="00974B9D">
            <w:pPr>
              <w:jc w:val="both"/>
              <w:rPr>
                <w:rFonts w:eastAsia="Calibri"/>
                <w:sz w:val="20"/>
              </w:rPr>
            </w:pPr>
            <w:r w:rsidRPr="003C6CEA">
              <w:rPr>
                <w:rFonts w:eastAsia="Calibri"/>
                <w:sz w:val="20"/>
              </w:rPr>
              <w:t xml:space="preserve">In 2012, the applicant filed a motion in the Ontario Superior Court of Justice seeking a jury trial on this same matter.  The respondent brought a motion to strike her statement of claim. </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April 12, 2013</w:t>
            </w:r>
          </w:p>
          <w:p w:rsidR="00402B2C" w:rsidRPr="003C6CEA" w:rsidRDefault="00402B2C" w:rsidP="00974B9D">
            <w:pPr>
              <w:jc w:val="both"/>
              <w:rPr>
                <w:rFonts w:eastAsia="Calibri"/>
                <w:sz w:val="20"/>
              </w:rPr>
            </w:pPr>
            <w:r w:rsidRPr="003C6CEA">
              <w:rPr>
                <w:rFonts w:eastAsia="Calibri"/>
                <w:sz w:val="20"/>
              </w:rPr>
              <w:t>Ontario Superior Court of Justice</w:t>
            </w:r>
          </w:p>
          <w:p w:rsidR="00402B2C" w:rsidRPr="003C6CEA" w:rsidRDefault="00402B2C" w:rsidP="00974B9D">
            <w:pPr>
              <w:jc w:val="both"/>
              <w:rPr>
                <w:rFonts w:eastAsia="Calibri"/>
                <w:sz w:val="20"/>
              </w:rPr>
            </w:pPr>
            <w:r w:rsidRPr="003C6CEA">
              <w:rPr>
                <w:rFonts w:eastAsia="Calibri"/>
                <w:sz w:val="20"/>
              </w:rPr>
              <w:t>(McCarthy J.)</w:t>
            </w:r>
          </w:p>
          <w:p w:rsidR="00402B2C" w:rsidRPr="003C6CEA" w:rsidRDefault="00402B2C" w:rsidP="00974B9D">
            <w:pPr>
              <w:jc w:val="both"/>
              <w:rPr>
                <w:rFonts w:eastAsia="Calibri"/>
                <w:sz w:val="20"/>
              </w:rPr>
            </w:pPr>
            <w:r w:rsidRPr="003C6CEA">
              <w:rPr>
                <w:rFonts w:eastAsia="Calibri"/>
                <w:sz w:val="20"/>
              </w:rPr>
              <w:t>Court file No. 12-0589</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 xml:space="preserve">Applicant’s statement of claim struck and action dismissed </w:t>
            </w: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March 12, 2014</w:t>
            </w:r>
          </w:p>
          <w:p w:rsidR="00402B2C" w:rsidRPr="003C6CEA" w:rsidRDefault="00402B2C" w:rsidP="00974B9D">
            <w:pPr>
              <w:jc w:val="both"/>
              <w:rPr>
                <w:rFonts w:eastAsia="Calibri"/>
                <w:sz w:val="20"/>
              </w:rPr>
            </w:pPr>
            <w:r w:rsidRPr="003C6CEA">
              <w:rPr>
                <w:rFonts w:eastAsia="Calibri"/>
                <w:sz w:val="20"/>
              </w:rPr>
              <w:t>Court of Appeal for Ontario</w:t>
            </w:r>
          </w:p>
          <w:p w:rsidR="00402B2C" w:rsidRPr="003C6CEA" w:rsidRDefault="00402B2C" w:rsidP="00974B9D">
            <w:pPr>
              <w:jc w:val="both"/>
              <w:rPr>
                <w:rFonts w:eastAsia="Calibri"/>
                <w:sz w:val="20"/>
              </w:rPr>
            </w:pPr>
            <w:r w:rsidRPr="003C6CEA">
              <w:rPr>
                <w:rFonts w:eastAsia="Calibri"/>
                <w:sz w:val="20"/>
              </w:rPr>
              <w:t>(Feldman, Lauwers and Strathy JJ.A.)</w:t>
            </w:r>
          </w:p>
          <w:p w:rsidR="00402B2C" w:rsidRPr="003C6CEA" w:rsidRDefault="00215143" w:rsidP="00974B9D">
            <w:pPr>
              <w:jc w:val="both"/>
              <w:rPr>
                <w:rFonts w:eastAsia="Calibri"/>
                <w:sz w:val="20"/>
              </w:rPr>
            </w:pPr>
            <w:hyperlink r:id="rId45" w:history="1">
              <w:r w:rsidR="00402B2C" w:rsidRPr="003C6CEA">
                <w:rPr>
                  <w:rFonts w:eastAsia="Calibri"/>
                  <w:color w:val="0000FF"/>
                  <w:sz w:val="20"/>
                  <w:u w:val="single"/>
                </w:rPr>
                <w:t>2014 ONCA 200</w:t>
              </w:r>
            </w:hyperlink>
            <w:r w:rsidR="00402B2C" w:rsidRPr="003C6CEA">
              <w:rPr>
                <w:rFonts w:eastAsia="Calibri"/>
                <w:sz w:val="20"/>
              </w:rPr>
              <w:t>; Docket No. C57015</w:t>
            </w:r>
          </w:p>
          <w:p w:rsidR="00402B2C" w:rsidRPr="003C6CEA" w:rsidRDefault="00402B2C" w:rsidP="00974B9D">
            <w:pPr>
              <w:jc w:val="both"/>
              <w:rPr>
                <w:rFonts w:eastAsia="Calibri"/>
                <w:sz w:val="20"/>
              </w:rPr>
            </w:pP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Appeal dismissed</w:t>
            </w:r>
          </w:p>
          <w:p w:rsidR="00402B2C" w:rsidRPr="003C6CEA" w:rsidRDefault="00402B2C" w:rsidP="00974B9D">
            <w:pPr>
              <w:jc w:val="both"/>
              <w:rPr>
                <w:rFonts w:eastAsia="Calibri"/>
                <w:sz w:val="20"/>
              </w:rPr>
            </w:pPr>
          </w:p>
        </w:tc>
      </w:tr>
      <w:tr w:rsidR="00402B2C" w:rsidRPr="003C6CEA" w:rsidTr="00974B9D">
        <w:tc>
          <w:tcPr>
            <w:tcW w:w="2427" w:type="pct"/>
          </w:tcPr>
          <w:p w:rsidR="00402B2C" w:rsidRPr="003C6CEA" w:rsidRDefault="00402B2C" w:rsidP="00974B9D">
            <w:pPr>
              <w:jc w:val="both"/>
              <w:rPr>
                <w:rFonts w:eastAsia="Calibri"/>
                <w:sz w:val="20"/>
              </w:rPr>
            </w:pPr>
            <w:r w:rsidRPr="003C6CEA">
              <w:rPr>
                <w:rFonts w:eastAsia="Calibri"/>
                <w:sz w:val="20"/>
              </w:rPr>
              <w:t>May 8, 2014</w:t>
            </w:r>
          </w:p>
          <w:p w:rsidR="00402B2C" w:rsidRPr="003C6CEA" w:rsidRDefault="00402B2C" w:rsidP="00974B9D">
            <w:pPr>
              <w:jc w:val="both"/>
              <w:rPr>
                <w:rFonts w:eastAsia="Calibri"/>
                <w:sz w:val="20"/>
              </w:rPr>
            </w:pPr>
            <w:r w:rsidRPr="003C6CEA">
              <w:rPr>
                <w:rFonts w:eastAsia="Calibri"/>
                <w:sz w:val="20"/>
              </w:rPr>
              <w:t>Supreme Court of Canada</w:t>
            </w:r>
          </w:p>
        </w:tc>
        <w:tc>
          <w:tcPr>
            <w:tcW w:w="243" w:type="pct"/>
          </w:tcPr>
          <w:p w:rsidR="00402B2C" w:rsidRPr="003C6CEA" w:rsidRDefault="00402B2C" w:rsidP="00974B9D">
            <w:pPr>
              <w:jc w:val="both"/>
              <w:rPr>
                <w:rFonts w:eastAsia="Calibri"/>
                <w:sz w:val="20"/>
              </w:rPr>
            </w:pPr>
          </w:p>
        </w:tc>
        <w:tc>
          <w:tcPr>
            <w:tcW w:w="2330" w:type="pct"/>
          </w:tcPr>
          <w:p w:rsidR="00402B2C" w:rsidRPr="003C6CEA" w:rsidRDefault="00402B2C" w:rsidP="00974B9D">
            <w:pPr>
              <w:jc w:val="both"/>
              <w:rPr>
                <w:rFonts w:eastAsia="Calibri"/>
                <w:sz w:val="20"/>
              </w:rPr>
            </w:pPr>
            <w:r w:rsidRPr="003C6CEA">
              <w:rPr>
                <w:rFonts w:eastAsia="Calibri"/>
                <w:sz w:val="20"/>
              </w:rPr>
              <w:t>Application for leave to appeal filed</w:t>
            </w:r>
          </w:p>
          <w:p w:rsidR="00402B2C" w:rsidRPr="003C6CEA" w:rsidRDefault="00402B2C" w:rsidP="00974B9D">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55"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B2C" w:rsidRPr="00215143" w:rsidTr="00974B9D">
        <w:tc>
          <w:tcPr>
            <w:tcW w:w="5000" w:type="pct"/>
            <w:gridSpan w:val="3"/>
          </w:tcPr>
          <w:p w:rsidR="00402B2C" w:rsidRPr="003C6CEA" w:rsidRDefault="00402B2C" w:rsidP="00974B9D">
            <w:pPr>
              <w:jc w:val="both"/>
              <w:rPr>
                <w:rFonts w:eastAsia="Calibri"/>
                <w:smallCaps/>
                <w:sz w:val="20"/>
                <w:lang w:val="fr-CA"/>
              </w:rPr>
            </w:pPr>
            <w:r w:rsidRPr="003C6CEA">
              <w:rPr>
                <w:rFonts w:eastAsia="Calibri"/>
                <w:sz w:val="20"/>
                <w:lang w:val="fr-CA"/>
              </w:rPr>
              <w:t>Procédure civile — Actes de procédure — La déclaration de la demanderesse a été radiée pour cause d’abus de procédure — La Cour d’appel a confirmé cette décision — La Cour d’appel a-t-elle eu tort de rejeter l’appel de la demanderesse?</w:t>
            </w:r>
          </w:p>
        </w:tc>
      </w:tr>
      <w:tr w:rsidR="00402B2C" w:rsidRPr="00215143" w:rsidTr="00974B9D">
        <w:tc>
          <w:tcPr>
            <w:tcW w:w="5000" w:type="pct"/>
            <w:gridSpan w:val="3"/>
          </w:tcPr>
          <w:p w:rsidR="00402B2C" w:rsidRPr="003C6CEA" w:rsidRDefault="00402B2C" w:rsidP="00974B9D">
            <w:pPr>
              <w:jc w:val="both"/>
              <w:rPr>
                <w:rFonts w:eastAsia="Calibri"/>
                <w:sz w:val="20"/>
                <w:lang w:val="fr-CA"/>
              </w:rPr>
            </w:pPr>
          </w:p>
        </w:tc>
      </w:tr>
      <w:tr w:rsidR="00402B2C" w:rsidRPr="00215143" w:rsidTr="00974B9D">
        <w:tc>
          <w:tcPr>
            <w:tcW w:w="5000" w:type="pct"/>
            <w:gridSpan w:val="3"/>
          </w:tcPr>
          <w:p w:rsidR="00402B2C" w:rsidRPr="003C6CEA" w:rsidRDefault="00402B2C" w:rsidP="00974B9D">
            <w:pPr>
              <w:jc w:val="both"/>
              <w:rPr>
                <w:rFonts w:eastAsia="Calibri"/>
                <w:sz w:val="20"/>
                <w:lang w:val="fr-CA"/>
              </w:rPr>
            </w:pPr>
            <w:r w:rsidRPr="003C6CEA">
              <w:rPr>
                <w:rFonts w:eastAsia="Calibri"/>
                <w:sz w:val="20"/>
                <w:lang w:val="fr-CA"/>
              </w:rPr>
              <w:lastRenderedPageBreak/>
              <w:t>Les parties étaient opposées dans un litige concernant la limite de propriété du terrain de la demanderesse.  À la fin de 2005 ou au début de 2006, les parties ont conclu un règlement et ont échangé des quittances réciproques. Peu de temps après, la demanderesse a informé l’intimée qu’elle n’allait pas donner suite au règlement.  Elle a tenté de rouvrir la demande en déposant une motion en annulation du règlement, mais elle a été déboutée.</w:t>
            </w:r>
          </w:p>
          <w:p w:rsidR="00402B2C" w:rsidRPr="003C6CEA" w:rsidRDefault="00402B2C" w:rsidP="00974B9D">
            <w:pPr>
              <w:jc w:val="both"/>
              <w:rPr>
                <w:rFonts w:eastAsia="Calibri"/>
                <w:sz w:val="20"/>
                <w:lang w:val="fr-CA"/>
              </w:rPr>
            </w:pPr>
          </w:p>
          <w:p w:rsidR="00402B2C" w:rsidRPr="003C6CEA" w:rsidRDefault="00402B2C" w:rsidP="00974B9D">
            <w:pPr>
              <w:jc w:val="both"/>
              <w:rPr>
                <w:rFonts w:eastAsia="Calibri"/>
                <w:sz w:val="20"/>
                <w:lang w:val="fr-CA"/>
              </w:rPr>
            </w:pPr>
            <w:r w:rsidRPr="003C6CEA">
              <w:rPr>
                <w:rFonts w:eastAsia="Calibri"/>
                <w:sz w:val="20"/>
                <w:lang w:val="fr-CA"/>
              </w:rPr>
              <w:t xml:space="preserve">En 2012, la demanderesse a déposé une motion en Cour supérieure de justice de l’Ontario sollicitant un procès devant jury sur cette même question.  L’intimée a présenté une motion en radiation de sa déclaration. </w:t>
            </w:r>
          </w:p>
          <w:p w:rsidR="00402B2C" w:rsidRPr="003C6CEA" w:rsidRDefault="00402B2C" w:rsidP="00974B9D">
            <w:pPr>
              <w:jc w:val="both"/>
              <w:rPr>
                <w:rFonts w:eastAsia="Calibri"/>
                <w:sz w:val="20"/>
                <w:lang w:val="fr-CA"/>
              </w:rPr>
            </w:pPr>
          </w:p>
        </w:tc>
      </w:tr>
      <w:tr w:rsidR="00402B2C" w:rsidRPr="00215143"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12 avril 2013</w:t>
            </w:r>
          </w:p>
          <w:p w:rsidR="00402B2C" w:rsidRPr="003C6CEA" w:rsidRDefault="00402B2C" w:rsidP="00974B9D">
            <w:pPr>
              <w:jc w:val="both"/>
              <w:rPr>
                <w:rFonts w:eastAsia="Calibri"/>
                <w:sz w:val="20"/>
                <w:lang w:val="fr-CA"/>
              </w:rPr>
            </w:pPr>
            <w:r w:rsidRPr="003C6CEA">
              <w:rPr>
                <w:rFonts w:eastAsia="Calibri"/>
                <w:sz w:val="20"/>
                <w:lang w:val="fr-CA"/>
              </w:rPr>
              <w:t>Cour supérieure de justice de l’Ontario</w:t>
            </w:r>
          </w:p>
          <w:p w:rsidR="00402B2C" w:rsidRPr="003C6CEA" w:rsidRDefault="00402B2C" w:rsidP="00974B9D">
            <w:pPr>
              <w:jc w:val="both"/>
              <w:rPr>
                <w:rFonts w:eastAsia="Calibri"/>
                <w:sz w:val="20"/>
                <w:lang w:val="fr-CA"/>
              </w:rPr>
            </w:pPr>
            <w:r w:rsidRPr="003C6CEA">
              <w:rPr>
                <w:rFonts w:eastAsia="Calibri"/>
                <w:sz w:val="20"/>
                <w:lang w:val="fr-CA"/>
              </w:rPr>
              <w:t>(Juge McCarthy)</w:t>
            </w:r>
          </w:p>
          <w:p w:rsidR="00402B2C" w:rsidRPr="003C6CEA" w:rsidRDefault="00402B2C" w:rsidP="00974B9D">
            <w:pPr>
              <w:jc w:val="both"/>
              <w:rPr>
                <w:rFonts w:eastAsia="Calibri"/>
                <w:sz w:val="20"/>
                <w:lang w:val="fr-CA"/>
              </w:rPr>
            </w:pPr>
            <w:r w:rsidRPr="003C6CEA">
              <w:rPr>
                <w:rFonts w:eastAsia="Calibri"/>
                <w:sz w:val="20"/>
                <w:lang w:val="fr-CA"/>
              </w:rPr>
              <w:t>N</w:t>
            </w:r>
            <w:r w:rsidRPr="003C6CEA">
              <w:rPr>
                <w:rFonts w:eastAsia="Calibri"/>
                <w:sz w:val="20"/>
                <w:vertAlign w:val="superscript"/>
                <w:lang w:val="fr-CA"/>
              </w:rPr>
              <w:t>o</w:t>
            </w:r>
            <w:r w:rsidRPr="003C6CEA">
              <w:rPr>
                <w:rFonts w:eastAsia="Calibri"/>
                <w:sz w:val="20"/>
                <w:lang w:val="fr-CA"/>
              </w:rPr>
              <w:t xml:space="preserve"> du greffe 12-0589</w:t>
            </w:r>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Déclaration de la demanderesse, radiée et action rejetée</w:t>
            </w:r>
          </w:p>
        </w:tc>
      </w:tr>
      <w:tr w:rsidR="00402B2C" w:rsidRPr="003C6CEA"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12 mars 2014</w:t>
            </w:r>
          </w:p>
          <w:p w:rsidR="00402B2C" w:rsidRPr="003C6CEA" w:rsidRDefault="00402B2C" w:rsidP="00974B9D">
            <w:pPr>
              <w:jc w:val="both"/>
              <w:rPr>
                <w:rFonts w:eastAsia="Calibri"/>
                <w:sz w:val="20"/>
                <w:lang w:val="fr-CA"/>
              </w:rPr>
            </w:pPr>
            <w:r w:rsidRPr="003C6CEA">
              <w:rPr>
                <w:rFonts w:eastAsia="Calibri"/>
                <w:sz w:val="20"/>
                <w:lang w:val="fr-CA"/>
              </w:rPr>
              <w:t xml:space="preserve">Cour d’appel de l’Ontario </w:t>
            </w:r>
          </w:p>
          <w:p w:rsidR="00402B2C" w:rsidRPr="003C6CEA" w:rsidRDefault="00402B2C" w:rsidP="00974B9D">
            <w:pPr>
              <w:jc w:val="both"/>
              <w:rPr>
                <w:rFonts w:eastAsia="Calibri"/>
                <w:sz w:val="20"/>
                <w:lang w:val="fr-CA"/>
              </w:rPr>
            </w:pPr>
            <w:r w:rsidRPr="003C6CEA">
              <w:rPr>
                <w:rFonts w:eastAsia="Calibri"/>
                <w:sz w:val="20"/>
                <w:lang w:val="fr-CA"/>
              </w:rPr>
              <w:t>(Juges Feldman, Lauwers et Strathy)</w:t>
            </w:r>
          </w:p>
          <w:p w:rsidR="00402B2C" w:rsidRPr="003C6CEA" w:rsidRDefault="00215143" w:rsidP="00974B9D">
            <w:pPr>
              <w:jc w:val="both"/>
              <w:rPr>
                <w:rFonts w:eastAsia="Calibri"/>
                <w:sz w:val="20"/>
                <w:lang w:val="fr-CA"/>
              </w:rPr>
            </w:pPr>
            <w:hyperlink r:id="rId46" w:history="1">
              <w:r w:rsidR="00402B2C" w:rsidRPr="003C6CEA">
                <w:rPr>
                  <w:rFonts w:eastAsia="Calibri"/>
                  <w:color w:val="0000FF"/>
                  <w:sz w:val="20"/>
                  <w:u w:val="single"/>
                  <w:lang w:val="fr-CA"/>
                </w:rPr>
                <w:t>2014 ONCA 200</w:t>
              </w:r>
            </w:hyperlink>
            <w:r w:rsidR="00402B2C" w:rsidRPr="003C6CEA">
              <w:rPr>
                <w:rFonts w:eastAsia="Calibri"/>
                <w:sz w:val="20"/>
                <w:lang w:val="fr-CA"/>
              </w:rPr>
              <w:t>; N</w:t>
            </w:r>
            <w:r w:rsidR="00402B2C" w:rsidRPr="003C6CEA">
              <w:rPr>
                <w:rFonts w:eastAsia="Calibri"/>
                <w:sz w:val="20"/>
                <w:vertAlign w:val="superscript"/>
                <w:lang w:val="fr-CA"/>
              </w:rPr>
              <w:t>o</w:t>
            </w:r>
            <w:r w:rsidR="00402B2C" w:rsidRPr="003C6CEA">
              <w:rPr>
                <w:rFonts w:eastAsia="Calibri"/>
                <w:sz w:val="20"/>
                <w:lang w:val="fr-CA"/>
              </w:rPr>
              <w:t xml:space="preserve"> du greffe C57015</w:t>
            </w:r>
          </w:p>
          <w:p w:rsidR="00402B2C" w:rsidRPr="003C6CEA" w:rsidRDefault="00402B2C" w:rsidP="00974B9D">
            <w:pPr>
              <w:jc w:val="both"/>
              <w:rPr>
                <w:rFonts w:eastAsia="Calibri"/>
                <w:sz w:val="20"/>
                <w:lang w:val="fr-CA"/>
              </w:rPr>
            </w:pP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Appel rejeté</w:t>
            </w:r>
          </w:p>
          <w:p w:rsidR="00402B2C" w:rsidRPr="003C6CEA" w:rsidRDefault="00402B2C" w:rsidP="00974B9D">
            <w:pPr>
              <w:jc w:val="both"/>
              <w:rPr>
                <w:rFonts w:eastAsia="Calibri"/>
                <w:sz w:val="20"/>
                <w:lang w:val="fr-CA"/>
              </w:rPr>
            </w:pPr>
          </w:p>
        </w:tc>
      </w:tr>
      <w:tr w:rsidR="00402B2C" w:rsidRPr="003C6CEA" w:rsidTr="00974B9D">
        <w:tc>
          <w:tcPr>
            <w:tcW w:w="2427" w:type="pct"/>
          </w:tcPr>
          <w:p w:rsidR="00402B2C" w:rsidRPr="003C6CEA" w:rsidRDefault="00402B2C" w:rsidP="00974B9D">
            <w:pPr>
              <w:jc w:val="both"/>
              <w:rPr>
                <w:rFonts w:eastAsia="Calibri"/>
                <w:sz w:val="20"/>
                <w:lang w:val="fr-CA"/>
              </w:rPr>
            </w:pPr>
            <w:r w:rsidRPr="003C6CEA">
              <w:rPr>
                <w:rFonts w:eastAsia="Calibri"/>
                <w:sz w:val="20"/>
                <w:lang w:val="fr-CA"/>
              </w:rPr>
              <w:t>8 mai 2014</w:t>
            </w:r>
          </w:p>
          <w:p w:rsidR="00402B2C" w:rsidRPr="003C6CEA" w:rsidRDefault="00402B2C" w:rsidP="00974B9D">
            <w:pPr>
              <w:jc w:val="both"/>
              <w:rPr>
                <w:rFonts w:eastAsia="Calibri"/>
                <w:sz w:val="20"/>
                <w:lang w:val="fr-CA"/>
              </w:rPr>
            </w:pPr>
            <w:r w:rsidRPr="003C6CEA">
              <w:rPr>
                <w:rFonts w:eastAsia="Calibri"/>
                <w:sz w:val="20"/>
                <w:lang w:val="fr-CA"/>
              </w:rPr>
              <w:t>Cour suprême du Canada</w:t>
            </w:r>
          </w:p>
        </w:tc>
        <w:tc>
          <w:tcPr>
            <w:tcW w:w="243" w:type="pct"/>
          </w:tcPr>
          <w:p w:rsidR="00402B2C" w:rsidRPr="003C6CEA" w:rsidRDefault="00402B2C" w:rsidP="00974B9D">
            <w:pPr>
              <w:jc w:val="both"/>
              <w:rPr>
                <w:rFonts w:eastAsia="Calibri"/>
                <w:sz w:val="20"/>
                <w:lang w:val="fr-CA"/>
              </w:rPr>
            </w:pPr>
          </w:p>
        </w:tc>
        <w:tc>
          <w:tcPr>
            <w:tcW w:w="2330" w:type="pct"/>
          </w:tcPr>
          <w:p w:rsidR="00402B2C" w:rsidRPr="003C6CEA" w:rsidRDefault="00402B2C" w:rsidP="00974B9D">
            <w:pPr>
              <w:jc w:val="both"/>
              <w:rPr>
                <w:rFonts w:eastAsia="Calibri"/>
                <w:sz w:val="20"/>
                <w:lang w:val="fr-CA"/>
              </w:rPr>
            </w:pPr>
            <w:r w:rsidRPr="003C6CEA">
              <w:rPr>
                <w:rFonts w:eastAsia="Calibri"/>
                <w:sz w:val="20"/>
                <w:lang w:val="fr-CA"/>
              </w:rPr>
              <w:t>Demande d’autorisation d’appel, déposée</w:t>
            </w:r>
          </w:p>
          <w:p w:rsidR="00402B2C" w:rsidRPr="003C6CEA" w:rsidRDefault="00402B2C" w:rsidP="00974B9D">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56"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63AA" w:rsidRPr="00215143" w:rsidTr="001068B6">
        <w:trPr>
          <w:cantSplit/>
        </w:trPr>
        <w:tc>
          <w:tcPr>
            <w:tcW w:w="1458" w:type="dxa"/>
          </w:tcPr>
          <w:p w:rsidR="000963AA" w:rsidRPr="00A04AD5" w:rsidRDefault="000963AA" w:rsidP="001068B6">
            <w:pPr>
              <w:rPr>
                <w:sz w:val="20"/>
                <w:szCs w:val="20"/>
              </w:rPr>
            </w:pPr>
            <w:r w:rsidRPr="00A04AD5">
              <w:rPr>
                <w:rStyle w:val="SCCFileNumberChar"/>
                <w:sz w:val="20"/>
                <w:szCs w:val="20"/>
              </w:rPr>
              <w:t>35883</w:t>
            </w:r>
          </w:p>
          <w:p w:rsidR="000963AA" w:rsidRPr="00A04AD5" w:rsidRDefault="000963AA" w:rsidP="001068B6">
            <w:pPr>
              <w:rPr>
                <w:b/>
                <w:sz w:val="20"/>
                <w:szCs w:val="20"/>
                <w:lang w:val="fr-CA"/>
              </w:rPr>
            </w:pPr>
          </w:p>
        </w:tc>
        <w:tc>
          <w:tcPr>
            <w:tcW w:w="8118" w:type="dxa"/>
          </w:tcPr>
          <w:p w:rsidR="000963AA" w:rsidRPr="00A04AD5" w:rsidRDefault="000963AA" w:rsidP="001068B6">
            <w:pPr>
              <w:jc w:val="both"/>
              <w:rPr>
                <w:sz w:val="20"/>
                <w:szCs w:val="20"/>
                <w:lang w:val="fr-CA"/>
              </w:rPr>
            </w:pPr>
            <w:r w:rsidRPr="00A04AD5">
              <w:rPr>
                <w:rStyle w:val="SCCLsocChar"/>
                <w:sz w:val="20"/>
                <w:szCs w:val="20"/>
              </w:rPr>
              <w:t>Héma-Québec c. Syndicat des travailleuses et travailleurs de Héma-Québec (CSN)</w:t>
            </w:r>
            <w:r w:rsidRPr="00A04AD5">
              <w:rPr>
                <w:sz w:val="20"/>
                <w:szCs w:val="20"/>
                <w:lang w:val="fr-CA"/>
              </w:rPr>
              <w:t xml:space="preserve"> (Qc) (Civile) (Autorisation)</w:t>
            </w:r>
          </w:p>
          <w:p w:rsidR="000963AA" w:rsidRPr="00A04AD5" w:rsidRDefault="000963AA" w:rsidP="001068B6">
            <w:pPr>
              <w:jc w:val="both"/>
              <w:rPr>
                <w:sz w:val="20"/>
                <w:szCs w:val="20"/>
                <w:lang w:val="fr-CA"/>
              </w:rPr>
            </w:pPr>
          </w:p>
        </w:tc>
      </w:tr>
      <w:tr w:rsidR="000963AA" w:rsidRPr="00215143" w:rsidTr="001068B6">
        <w:trPr>
          <w:cantSplit/>
        </w:trPr>
        <w:tc>
          <w:tcPr>
            <w:tcW w:w="1458" w:type="dxa"/>
          </w:tcPr>
          <w:p w:rsidR="000963AA" w:rsidRPr="00A04AD5" w:rsidRDefault="000963AA" w:rsidP="001068B6">
            <w:pPr>
              <w:rPr>
                <w:sz w:val="20"/>
                <w:szCs w:val="20"/>
              </w:rPr>
            </w:pPr>
            <w:r w:rsidRPr="00A04AD5">
              <w:rPr>
                <w:sz w:val="20"/>
                <w:szCs w:val="20"/>
              </w:rPr>
              <w:t>Coram :</w:t>
            </w:r>
          </w:p>
        </w:tc>
        <w:tc>
          <w:tcPr>
            <w:tcW w:w="8118" w:type="dxa"/>
          </w:tcPr>
          <w:p w:rsidR="000963AA" w:rsidRPr="00A04AD5" w:rsidRDefault="000963AA" w:rsidP="001068B6">
            <w:pPr>
              <w:rPr>
                <w:sz w:val="20"/>
                <w:szCs w:val="20"/>
                <w:lang w:val="fr-CA"/>
              </w:rPr>
            </w:pPr>
            <w:r w:rsidRPr="00A04AD5">
              <w:rPr>
                <w:rStyle w:val="SCCCoramChar"/>
                <w:sz w:val="20"/>
                <w:szCs w:val="20"/>
              </w:rPr>
              <w:t>Les juges LeBel, Karakatsanis et Gascon</w:t>
            </w:r>
          </w:p>
          <w:p w:rsidR="000963AA" w:rsidRPr="00A04AD5" w:rsidRDefault="000963AA" w:rsidP="001068B6">
            <w:pPr>
              <w:rPr>
                <w:sz w:val="20"/>
                <w:szCs w:val="20"/>
                <w:u w:val="single"/>
                <w:lang w:val="fr-CA"/>
              </w:rPr>
            </w:pPr>
          </w:p>
        </w:tc>
      </w:tr>
      <w:tr w:rsidR="000963AA" w:rsidRPr="00A04AD5" w:rsidTr="001068B6">
        <w:trPr>
          <w:cantSplit/>
        </w:trPr>
        <w:tc>
          <w:tcPr>
            <w:tcW w:w="9576" w:type="dxa"/>
            <w:gridSpan w:val="2"/>
          </w:tcPr>
          <w:p w:rsidR="000963AA" w:rsidRPr="00A04AD5" w:rsidRDefault="000963AA" w:rsidP="001068B6">
            <w:pPr>
              <w:pStyle w:val="SCCShortJudgment"/>
              <w:rPr>
                <w:szCs w:val="20"/>
                <w:lang w:val="fr-CA"/>
              </w:rPr>
            </w:pPr>
            <w:r w:rsidRPr="00A04AD5">
              <w:rPr>
                <w:szCs w:val="20"/>
                <w:lang w:val="fr-CA"/>
              </w:rPr>
              <w:t>La demande d’autorisation d’appel de l’arrêt de la Cour d’appel du Québec (Montréal), numéro 500-09-022346-126, 2014 QCCA 509, daté du 14 mars 2014, est  rejetée avec dépens.</w:t>
            </w:r>
          </w:p>
          <w:p w:rsidR="000963AA" w:rsidRPr="00A04AD5" w:rsidRDefault="000963AA" w:rsidP="001068B6">
            <w:pPr>
              <w:pStyle w:val="SCCShortJudgment"/>
              <w:ind w:firstLine="0"/>
              <w:rPr>
                <w:szCs w:val="20"/>
                <w:lang w:val="fr-CA"/>
              </w:rPr>
            </w:pPr>
          </w:p>
          <w:p w:rsidR="000963AA" w:rsidRPr="00A04AD5" w:rsidRDefault="000963AA" w:rsidP="001068B6">
            <w:pPr>
              <w:pStyle w:val="SCCShortJudgment"/>
              <w:rPr>
                <w:szCs w:val="20"/>
              </w:rPr>
            </w:pPr>
            <w:r w:rsidRPr="00A04AD5">
              <w:rPr>
                <w:szCs w:val="20"/>
              </w:rPr>
              <w:t>The application for leave to appeal from the judgment of the Court of Appeal of Quebec (Montréal), Number 500-09-022346-126, 2014 QCCA 509, dated March 14, 2014, is dismissed with costs.</w:t>
            </w:r>
          </w:p>
        </w:tc>
      </w:tr>
    </w:tbl>
    <w:p w:rsidR="00402B2C" w:rsidRDefault="00402B2C" w:rsidP="00402B2C">
      <w:pPr>
        <w:rPr>
          <w:sz w:val="20"/>
          <w:szCs w:val="20"/>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7577" w:rsidRPr="003C6CEA" w:rsidTr="00974B9D">
        <w:tc>
          <w:tcPr>
            <w:tcW w:w="5000" w:type="pct"/>
            <w:gridSpan w:val="3"/>
          </w:tcPr>
          <w:p w:rsidR="00A67577" w:rsidRPr="003C6CEA" w:rsidRDefault="00A67577" w:rsidP="00974B9D">
            <w:pPr>
              <w:jc w:val="both"/>
              <w:rPr>
                <w:rFonts w:eastAsia="Calibri"/>
                <w:sz w:val="20"/>
              </w:rPr>
            </w:pPr>
            <w:r w:rsidRPr="003C6CEA">
              <w:rPr>
                <w:rFonts w:eastAsia="Calibri"/>
                <w:sz w:val="20"/>
              </w:rPr>
              <w:t xml:space="preserve">Labour relations – Collective agreements – Pay equity – Grievance arbitration – Jurisdiction – Payment of amounts as compensation adjustments for certain classes of employees as result of pay equity exercise under </w:t>
            </w:r>
            <w:r w:rsidRPr="003C6CEA">
              <w:rPr>
                <w:rFonts w:eastAsia="Calibri"/>
                <w:i/>
                <w:sz w:val="20"/>
              </w:rPr>
              <w:t>Pay Equity Act</w:t>
            </w:r>
            <w:r w:rsidRPr="003C6CEA">
              <w:rPr>
                <w:rFonts w:eastAsia="Calibri"/>
                <w:sz w:val="20"/>
              </w:rPr>
              <w:t xml:space="preserve">, CQLR, c. E-12.001 – Whether grievance arbitrator had jurisdiction in this case – Whether it was reasonable for arbitrator to find that he was not bound by interpretation guide issued by Commission de l’équité salariale concerning calculation method to be used – </w:t>
            </w:r>
            <w:r w:rsidRPr="003C6CEA">
              <w:rPr>
                <w:rFonts w:eastAsia="Calibri"/>
                <w:i/>
                <w:sz w:val="20"/>
              </w:rPr>
              <w:t>Pay Equity Act</w:t>
            </w:r>
            <w:r w:rsidRPr="003C6CEA">
              <w:rPr>
                <w:rFonts w:eastAsia="Calibri"/>
                <w:sz w:val="20"/>
              </w:rPr>
              <w:t>, ss. 40 and 74.</w:t>
            </w:r>
          </w:p>
        </w:tc>
      </w:tr>
      <w:tr w:rsidR="00A67577" w:rsidRPr="003C6CEA" w:rsidTr="00974B9D">
        <w:tc>
          <w:tcPr>
            <w:tcW w:w="5000" w:type="pct"/>
            <w:gridSpan w:val="3"/>
          </w:tcPr>
          <w:p w:rsidR="00A67577" w:rsidRPr="003C6CEA" w:rsidRDefault="00A67577" w:rsidP="00974B9D">
            <w:pPr>
              <w:jc w:val="both"/>
              <w:rPr>
                <w:rFonts w:eastAsia="Calibri"/>
                <w:sz w:val="20"/>
              </w:rPr>
            </w:pPr>
          </w:p>
        </w:tc>
      </w:tr>
      <w:tr w:rsidR="00A67577" w:rsidRPr="003C6CEA" w:rsidTr="00974B9D">
        <w:tc>
          <w:tcPr>
            <w:tcW w:w="5000" w:type="pct"/>
            <w:gridSpan w:val="3"/>
          </w:tcPr>
          <w:p w:rsidR="00A67577" w:rsidRPr="003C6CEA" w:rsidRDefault="00A67577" w:rsidP="00974B9D">
            <w:pPr>
              <w:jc w:val="both"/>
              <w:rPr>
                <w:rFonts w:eastAsia="Calibri"/>
                <w:sz w:val="20"/>
              </w:rPr>
            </w:pPr>
            <w:r w:rsidRPr="003C6CEA">
              <w:rPr>
                <w:rFonts w:eastAsia="Calibri"/>
                <w:sz w:val="20"/>
              </w:rPr>
              <w:t>This case concerns the payment of amounts as compensation adjustments for certain classes of employees of Héma</w:t>
            </w:r>
            <w:r w:rsidRPr="003C6CEA">
              <w:rPr>
                <w:rFonts w:eastAsia="Calibri"/>
                <w:sz w:val="20"/>
              </w:rPr>
              <w:noBreakHyphen/>
              <w:t xml:space="preserve">Québec as a result of a pay equity exercise carried out under the </w:t>
            </w:r>
            <w:r w:rsidRPr="003C6CEA">
              <w:rPr>
                <w:rFonts w:eastAsia="Calibri"/>
                <w:i/>
                <w:sz w:val="20"/>
              </w:rPr>
              <w:t>Pay Equity Act</w:t>
            </w:r>
            <w:r w:rsidRPr="003C6CEA">
              <w:rPr>
                <w:rFonts w:eastAsia="Calibri"/>
                <w:sz w:val="20"/>
              </w:rPr>
              <w:t xml:space="preserve">, CQLR, c. E-12.001.  Section 74 of the </w:t>
            </w:r>
            <w:r w:rsidRPr="003C6CEA">
              <w:rPr>
                <w:rFonts w:eastAsia="Calibri"/>
                <w:i/>
                <w:sz w:val="20"/>
              </w:rPr>
              <w:t>P.E.A.</w:t>
            </w:r>
            <w:r w:rsidRPr="003C6CEA">
              <w:rPr>
                <w:rFonts w:eastAsia="Calibri"/>
                <w:sz w:val="20"/>
              </w:rPr>
              <w:t xml:space="preserve"> provides that such compensation adjustments and the terms and conditions of payment thereof are deemed to form part of the collective agreement.</w:t>
            </w:r>
          </w:p>
          <w:p w:rsidR="00A67577" w:rsidRPr="003C6CEA" w:rsidRDefault="00A67577" w:rsidP="00974B9D">
            <w:pPr>
              <w:jc w:val="both"/>
              <w:rPr>
                <w:rFonts w:eastAsia="Calibri"/>
                <w:sz w:val="20"/>
              </w:rPr>
            </w:pPr>
          </w:p>
          <w:p w:rsidR="00A67577" w:rsidRPr="003C6CEA" w:rsidRDefault="00A67577" w:rsidP="00974B9D">
            <w:pPr>
              <w:jc w:val="both"/>
              <w:rPr>
                <w:rFonts w:eastAsia="Calibri"/>
                <w:sz w:val="20"/>
              </w:rPr>
            </w:pPr>
            <w:r w:rsidRPr="003C6CEA">
              <w:rPr>
                <w:rFonts w:eastAsia="Calibri"/>
                <w:sz w:val="20"/>
              </w:rPr>
              <w:t>The respondent union filed grievances with an arbitrator, arguing that the employer, Héma-Québec, could not rely on pay increases granted in the collective agreement to change the compensation adjustments, which were to be paid over a four</w:t>
            </w:r>
            <w:r w:rsidRPr="003C6CEA">
              <w:rPr>
                <w:rFonts w:eastAsia="Calibri"/>
                <w:sz w:val="20"/>
              </w:rPr>
              <w:noBreakHyphen/>
              <w:t xml:space="preserve">year period.  Héma-Québec countered that, because of the obligation to maintain pay equity imposed on it by </w:t>
            </w:r>
            <w:r w:rsidRPr="003C6CEA">
              <w:rPr>
                <w:rFonts w:eastAsia="Calibri"/>
                <w:sz w:val="20"/>
              </w:rPr>
              <w:lastRenderedPageBreak/>
              <w:t xml:space="preserve">s. 40 </w:t>
            </w:r>
            <w:r w:rsidRPr="003C6CEA">
              <w:rPr>
                <w:rFonts w:eastAsia="Calibri"/>
                <w:i/>
                <w:sz w:val="20"/>
              </w:rPr>
              <w:t>P.E.A.</w:t>
            </w:r>
            <w:r w:rsidRPr="003C6CEA">
              <w:rPr>
                <w:rFonts w:eastAsia="Calibri"/>
                <w:sz w:val="20"/>
              </w:rPr>
              <w:t xml:space="preserve">, it could effect compensation between those pay increases and the pay equity adjustments.  It relied, </w:t>
            </w:r>
            <w:r w:rsidRPr="003C6CEA">
              <w:rPr>
                <w:rFonts w:eastAsia="Calibri"/>
                <w:i/>
                <w:sz w:val="20"/>
              </w:rPr>
              <w:t>inter alia</w:t>
            </w:r>
            <w:r w:rsidRPr="003C6CEA">
              <w:rPr>
                <w:rFonts w:eastAsia="Calibri"/>
                <w:sz w:val="20"/>
              </w:rPr>
              <w:t>, on an expert’s opinion and an [</w:t>
            </w:r>
            <w:r w:rsidRPr="003C6CEA">
              <w:rPr>
                <w:rFonts w:eastAsia="Calibri"/>
                <w:smallCaps/>
                <w:sz w:val="20"/>
              </w:rPr>
              <w:t>translation</w:t>
            </w:r>
            <w:r w:rsidRPr="003C6CEA">
              <w:rPr>
                <w:rFonts w:eastAsia="Calibri"/>
                <w:sz w:val="20"/>
              </w:rPr>
              <w:t>] “interpretation guide” published by the Commission de l’équité salariale.  The arbitrator allowed the grievances, and his award was upheld by both the Superior Court and the Court of Appeal.</w:t>
            </w:r>
          </w:p>
          <w:p w:rsidR="00A67577" w:rsidRPr="003C6CEA" w:rsidRDefault="00A67577" w:rsidP="00974B9D">
            <w:pPr>
              <w:jc w:val="both"/>
              <w:rPr>
                <w:rFonts w:eastAsia="Calibri"/>
                <w:sz w:val="20"/>
              </w:rPr>
            </w:pPr>
          </w:p>
        </w:tc>
      </w:tr>
      <w:tr w:rsidR="00A67577" w:rsidRPr="003C6CEA" w:rsidTr="00974B9D">
        <w:tc>
          <w:tcPr>
            <w:tcW w:w="2427" w:type="pct"/>
          </w:tcPr>
          <w:p w:rsidR="00A67577" w:rsidRPr="003C6CEA" w:rsidRDefault="00A67577" w:rsidP="00974B9D">
            <w:pPr>
              <w:jc w:val="both"/>
              <w:rPr>
                <w:rFonts w:eastAsia="Calibri"/>
                <w:sz w:val="20"/>
              </w:rPr>
            </w:pPr>
            <w:r w:rsidRPr="003C6CEA">
              <w:rPr>
                <w:rFonts w:eastAsia="Calibri"/>
                <w:sz w:val="20"/>
              </w:rPr>
              <w:lastRenderedPageBreak/>
              <w:t>December 9, 2011</w:t>
            </w:r>
          </w:p>
          <w:p w:rsidR="00A67577" w:rsidRPr="003C6CEA" w:rsidRDefault="00A67577" w:rsidP="00974B9D">
            <w:pPr>
              <w:jc w:val="both"/>
              <w:rPr>
                <w:rFonts w:eastAsia="Calibri"/>
                <w:sz w:val="20"/>
              </w:rPr>
            </w:pPr>
            <w:r w:rsidRPr="003C6CEA">
              <w:rPr>
                <w:rFonts w:eastAsia="Calibri"/>
                <w:sz w:val="20"/>
              </w:rPr>
              <w:t>Quebec Superior Court</w:t>
            </w:r>
          </w:p>
          <w:p w:rsidR="00A67577" w:rsidRPr="003C6CEA" w:rsidRDefault="00A67577" w:rsidP="00974B9D">
            <w:pPr>
              <w:jc w:val="both"/>
              <w:rPr>
                <w:rFonts w:eastAsia="Calibri"/>
                <w:sz w:val="20"/>
              </w:rPr>
            </w:pPr>
            <w:r w:rsidRPr="003C6CEA">
              <w:rPr>
                <w:rFonts w:eastAsia="Calibri"/>
                <w:sz w:val="20"/>
              </w:rPr>
              <w:t>(St-Pierre J.)</w:t>
            </w:r>
          </w:p>
          <w:p w:rsidR="00A67577" w:rsidRPr="003C6CEA" w:rsidRDefault="00215143" w:rsidP="00974B9D">
            <w:pPr>
              <w:jc w:val="both"/>
              <w:rPr>
                <w:rFonts w:eastAsia="Calibri"/>
                <w:sz w:val="20"/>
              </w:rPr>
            </w:pPr>
            <w:hyperlink r:id="rId47" w:history="1">
              <w:r w:rsidR="00A67577" w:rsidRPr="003C6CEA">
                <w:rPr>
                  <w:rFonts w:eastAsia="Calibri"/>
                  <w:color w:val="0000FF"/>
                  <w:sz w:val="20"/>
                  <w:u w:val="single"/>
                </w:rPr>
                <w:t>2011 QCCS 6970</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Motion for judicial review of arbitrator’s award dismissed</w:t>
            </w:r>
          </w:p>
          <w:p w:rsidR="00A67577" w:rsidRPr="003C6CEA" w:rsidRDefault="00A67577" w:rsidP="00974B9D">
            <w:pPr>
              <w:jc w:val="both"/>
              <w:rPr>
                <w:rFonts w:eastAsia="Calibri"/>
                <w:sz w:val="20"/>
              </w:rPr>
            </w:pPr>
          </w:p>
        </w:tc>
      </w:tr>
      <w:tr w:rsidR="00A67577" w:rsidRPr="003C6CEA" w:rsidTr="00974B9D">
        <w:tc>
          <w:tcPr>
            <w:tcW w:w="2427" w:type="pct"/>
          </w:tcPr>
          <w:p w:rsidR="00A67577" w:rsidRPr="003C6CEA" w:rsidRDefault="00A67577" w:rsidP="00974B9D">
            <w:pPr>
              <w:jc w:val="both"/>
              <w:rPr>
                <w:rFonts w:eastAsia="Calibri"/>
                <w:sz w:val="20"/>
              </w:rPr>
            </w:pPr>
            <w:r w:rsidRPr="003C6CEA">
              <w:rPr>
                <w:rFonts w:eastAsia="Calibri"/>
                <w:sz w:val="20"/>
              </w:rPr>
              <w:t>February 9, 2012</w:t>
            </w:r>
          </w:p>
          <w:p w:rsidR="00A67577" w:rsidRPr="003C6CEA" w:rsidRDefault="00A67577" w:rsidP="00974B9D">
            <w:pPr>
              <w:jc w:val="both"/>
              <w:rPr>
                <w:rFonts w:eastAsia="Calibri"/>
                <w:sz w:val="20"/>
              </w:rPr>
            </w:pPr>
            <w:r w:rsidRPr="003C6CEA">
              <w:rPr>
                <w:rFonts w:eastAsia="Calibri"/>
                <w:sz w:val="20"/>
              </w:rPr>
              <w:t>Quebec Court of Appeal (Montréal)</w:t>
            </w:r>
          </w:p>
          <w:p w:rsidR="00A67577" w:rsidRPr="003C6CEA" w:rsidRDefault="00A67577" w:rsidP="00974B9D">
            <w:pPr>
              <w:jc w:val="both"/>
              <w:rPr>
                <w:rFonts w:eastAsia="Calibri"/>
                <w:sz w:val="20"/>
              </w:rPr>
            </w:pPr>
            <w:r w:rsidRPr="003C6CEA">
              <w:rPr>
                <w:rFonts w:eastAsia="Calibri"/>
                <w:sz w:val="20"/>
              </w:rPr>
              <w:t>(Bich J.A.)</w:t>
            </w:r>
          </w:p>
          <w:p w:rsidR="00A67577" w:rsidRDefault="00215143" w:rsidP="00974B9D">
            <w:pPr>
              <w:jc w:val="both"/>
              <w:rPr>
                <w:rFonts w:eastAsia="Calibri"/>
                <w:sz w:val="20"/>
                <w:lang w:val="fr-CA"/>
              </w:rPr>
            </w:pPr>
            <w:hyperlink r:id="rId48" w:history="1">
              <w:r w:rsidR="00A67577" w:rsidRPr="003C6CEA">
                <w:rPr>
                  <w:rFonts w:eastAsia="Calibri"/>
                  <w:color w:val="0000FF"/>
                  <w:sz w:val="20"/>
                  <w:u w:val="single"/>
                </w:rPr>
                <w:t>2012 QCCA 261</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Motion for leave to appeal allowed</w:t>
            </w:r>
          </w:p>
          <w:p w:rsidR="00A67577" w:rsidRPr="003C6CEA" w:rsidRDefault="00A67577" w:rsidP="00974B9D">
            <w:pPr>
              <w:jc w:val="both"/>
              <w:rPr>
                <w:rFonts w:eastAsia="Calibri"/>
                <w:sz w:val="20"/>
              </w:rPr>
            </w:pPr>
          </w:p>
        </w:tc>
      </w:tr>
      <w:tr w:rsidR="00A67577" w:rsidRPr="003C6CEA" w:rsidTr="00974B9D">
        <w:tc>
          <w:tcPr>
            <w:tcW w:w="2427" w:type="pct"/>
          </w:tcPr>
          <w:p w:rsidR="00A67577" w:rsidRPr="003C6CEA" w:rsidRDefault="00A67577" w:rsidP="00974B9D">
            <w:pPr>
              <w:jc w:val="both"/>
              <w:rPr>
                <w:rFonts w:eastAsia="Calibri"/>
                <w:sz w:val="20"/>
              </w:rPr>
            </w:pPr>
            <w:r w:rsidRPr="003C6CEA">
              <w:rPr>
                <w:rFonts w:eastAsia="Calibri"/>
                <w:sz w:val="20"/>
              </w:rPr>
              <w:t>March 14, 2014</w:t>
            </w:r>
          </w:p>
          <w:p w:rsidR="00A67577" w:rsidRPr="003C6CEA" w:rsidRDefault="00A67577" w:rsidP="00974B9D">
            <w:pPr>
              <w:jc w:val="both"/>
              <w:rPr>
                <w:rFonts w:eastAsia="Calibri"/>
                <w:sz w:val="20"/>
              </w:rPr>
            </w:pPr>
            <w:r w:rsidRPr="003C6CEA">
              <w:rPr>
                <w:rFonts w:eastAsia="Calibri"/>
                <w:sz w:val="20"/>
              </w:rPr>
              <w:t>Quebec Court of Appeal (Montréal)</w:t>
            </w:r>
          </w:p>
          <w:p w:rsidR="00A67577" w:rsidRPr="003C6CEA" w:rsidRDefault="00A67577" w:rsidP="00974B9D">
            <w:pPr>
              <w:jc w:val="both"/>
              <w:rPr>
                <w:rFonts w:eastAsia="Calibri"/>
                <w:sz w:val="20"/>
                <w:lang w:val="fr-CA"/>
              </w:rPr>
            </w:pPr>
            <w:r w:rsidRPr="003C6CEA">
              <w:rPr>
                <w:rFonts w:eastAsia="Calibri"/>
                <w:sz w:val="20"/>
                <w:lang w:val="fr-CA"/>
              </w:rPr>
              <w:t>(Pelletier, Morissette and Gagnon JJ.A.)</w:t>
            </w:r>
          </w:p>
          <w:p w:rsidR="00A67577" w:rsidRPr="003C6CEA" w:rsidRDefault="00A67577" w:rsidP="00974B9D">
            <w:pPr>
              <w:jc w:val="both"/>
              <w:rPr>
                <w:rFonts w:eastAsia="Calibri"/>
                <w:sz w:val="20"/>
              </w:rPr>
            </w:pPr>
            <w:r w:rsidRPr="003C6CEA">
              <w:rPr>
                <w:rFonts w:eastAsia="Calibri"/>
                <w:sz w:val="20"/>
              </w:rPr>
              <w:t xml:space="preserve">500-09-022346-126; </w:t>
            </w:r>
            <w:hyperlink r:id="rId49" w:history="1">
              <w:r w:rsidRPr="003C6CEA">
                <w:rPr>
                  <w:rFonts w:eastAsia="Calibri"/>
                  <w:color w:val="0000FF"/>
                  <w:sz w:val="20"/>
                  <w:u w:val="single"/>
                </w:rPr>
                <w:t>2014 QCCA 509</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Appeal dismissed</w:t>
            </w:r>
          </w:p>
          <w:p w:rsidR="00A67577" w:rsidRPr="003C6CEA" w:rsidRDefault="00A67577" w:rsidP="00974B9D">
            <w:pPr>
              <w:jc w:val="both"/>
              <w:rPr>
                <w:rFonts w:eastAsia="Calibri"/>
                <w:sz w:val="20"/>
              </w:rPr>
            </w:pPr>
          </w:p>
        </w:tc>
      </w:tr>
      <w:tr w:rsidR="00A67577" w:rsidRPr="003C6CEA" w:rsidTr="00974B9D">
        <w:tc>
          <w:tcPr>
            <w:tcW w:w="2427" w:type="pct"/>
          </w:tcPr>
          <w:p w:rsidR="00A67577" w:rsidRPr="003C6CEA" w:rsidRDefault="00A67577" w:rsidP="00974B9D">
            <w:pPr>
              <w:jc w:val="both"/>
              <w:rPr>
                <w:rFonts w:eastAsia="Calibri"/>
                <w:sz w:val="20"/>
              </w:rPr>
            </w:pPr>
            <w:r w:rsidRPr="003C6CEA">
              <w:rPr>
                <w:rFonts w:eastAsia="Calibri"/>
                <w:sz w:val="20"/>
              </w:rPr>
              <w:t>May 12, 2014</w:t>
            </w:r>
          </w:p>
          <w:p w:rsidR="00A67577" w:rsidRPr="003C6CEA" w:rsidRDefault="00A67577" w:rsidP="00974B9D">
            <w:pPr>
              <w:jc w:val="both"/>
              <w:rPr>
                <w:rFonts w:eastAsia="Calibri"/>
                <w:sz w:val="20"/>
              </w:rPr>
            </w:pPr>
            <w:r w:rsidRPr="003C6CEA">
              <w:rPr>
                <w:rFonts w:eastAsia="Calibri"/>
                <w:sz w:val="20"/>
              </w:rPr>
              <w:t>Supreme Court of Canada</w:t>
            </w: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57"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7577" w:rsidRPr="00215143" w:rsidTr="00974B9D">
        <w:tc>
          <w:tcPr>
            <w:tcW w:w="5000" w:type="pct"/>
            <w:gridSpan w:val="3"/>
          </w:tcPr>
          <w:p w:rsidR="00A67577" w:rsidRPr="003C6CEA" w:rsidRDefault="00A67577" w:rsidP="00974B9D">
            <w:pPr>
              <w:jc w:val="both"/>
              <w:rPr>
                <w:sz w:val="20"/>
                <w:lang w:val="fr-CA"/>
              </w:rPr>
            </w:pPr>
            <w:r w:rsidRPr="003C6CEA">
              <w:rPr>
                <w:sz w:val="20"/>
                <w:lang w:val="fr-CA"/>
              </w:rPr>
              <w:t xml:space="preserve">Relations du travail – Conventions collectives – Équité salariale – Arbitrage de griefs – Compétence – Paiement de montants à titre d’ajustements salariaux pour certaines catégories d’employés à la suite d’un exercice d’équité salariale effectué en application de la </w:t>
            </w:r>
            <w:r w:rsidRPr="003C6CEA">
              <w:rPr>
                <w:i/>
                <w:sz w:val="20"/>
                <w:lang w:val="fr-CA"/>
              </w:rPr>
              <w:t>Loi sur l’équité salariale</w:t>
            </w:r>
            <w:r w:rsidRPr="003C6CEA">
              <w:rPr>
                <w:sz w:val="20"/>
                <w:lang w:val="fr-CA"/>
              </w:rPr>
              <w:t xml:space="preserve">, RLRQ, ch. E-12.001 – L’arbitre de griefs avait-il compétence en l’espèce? – Était-il raisonnable pour l’arbitre de statuer qu’il n’était pas lié par un guide d’interprétation émis par la Commission de l’équité salariale et concernant la méthode de calcul à suivre? – </w:t>
            </w:r>
            <w:r w:rsidRPr="003C6CEA">
              <w:rPr>
                <w:i/>
                <w:sz w:val="20"/>
                <w:lang w:val="fr-CA"/>
              </w:rPr>
              <w:t>Loi sur l’équité salariale</w:t>
            </w:r>
            <w:r w:rsidRPr="003C6CEA">
              <w:rPr>
                <w:sz w:val="20"/>
                <w:lang w:val="fr-CA"/>
              </w:rPr>
              <w:t>, art. 40 et 74.</w:t>
            </w:r>
          </w:p>
        </w:tc>
      </w:tr>
      <w:tr w:rsidR="00A67577" w:rsidRPr="00215143" w:rsidTr="00974B9D">
        <w:tc>
          <w:tcPr>
            <w:tcW w:w="5000" w:type="pct"/>
            <w:gridSpan w:val="3"/>
          </w:tcPr>
          <w:p w:rsidR="00A67577" w:rsidRPr="003C6CEA" w:rsidRDefault="00A67577" w:rsidP="00974B9D">
            <w:pPr>
              <w:jc w:val="both"/>
              <w:rPr>
                <w:sz w:val="20"/>
                <w:lang w:val="fr-CA"/>
              </w:rPr>
            </w:pPr>
          </w:p>
        </w:tc>
      </w:tr>
      <w:tr w:rsidR="00A67577" w:rsidRPr="00215143" w:rsidTr="00974B9D">
        <w:tc>
          <w:tcPr>
            <w:tcW w:w="5000" w:type="pct"/>
            <w:gridSpan w:val="3"/>
          </w:tcPr>
          <w:p w:rsidR="00A67577" w:rsidRPr="003C6CEA" w:rsidRDefault="00A67577" w:rsidP="00974B9D">
            <w:pPr>
              <w:jc w:val="both"/>
              <w:rPr>
                <w:sz w:val="20"/>
                <w:lang w:val="fr-CA"/>
              </w:rPr>
            </w:pPr>
            <w:r w:rsidRPr="003C6CEA">
              <w:rPr>
                <w:sz w:val="20"/>
                <w:lang w:val="fr-CA"/>
              </w:rPr>
              <w:t xml:space="preserve">Le litige porte sur le paiement de montants à titre d’ajustements salariaux pour certaines catégories d’employés de Héma-Québec à la suite d’un exercice d’équité salariale effectué en application de la </w:t>
            </w:r>
            <w:r w:rsidRPr="003C6CEA">
              <w:rPr>
                <w:i/>
                <w:sz w:val="20"/>
                <w:lang w:val="fr-CA"/>
              </w:rPr>
              <w:t>Loi sur l’équité salariale</w:t>
            </w:r>
            <w:r w:rsidRPr="003C6CEA">
              <w:rPr>
                <w:sz w:val="20"/>
                <w:lang w:val="fr-CA"/>
              </w:rPr>
              <w:t xml:space="preserve">, RLRQ, ch. E-12.001.  L’article 74 de la </w:t>
            </w:r>
            <w:r w:rsidRPr="003C6CEA">
              <w:rPr>
                <w:i/>
                <w:sz w:val="20"/>
                <w:lang w:val="fr-CA"/>
              </w:rPr>
              <w:t>L.é.s.</w:t>
            </w:r>
            <w:r w:rsidRPr="003C6CEA">
              <w:rPr>
                <w:sz w:val="20"/>
                <w:lang w:val="fr-CA"/>
              </w:rPr>
              <w:t xml:space="preserve"> prévoit que ces ajustements salariaux et leurs modalités de versement sont réputés faire partie intégrante de la convention collective. </w:t>
            </w:r>
          </w:p>
          <w:p w:rsidR="00A67577" w:rsidRPr="003C6CEA" w:rsidRDefault="00A67577" w:rsidP="00974B9D">
            <w:pPr>
              <w:jc w:val="both"/>
              <w:rPr>
                <w:sz w:val="20"/>
                <w:lang w:val="fr-CA"/>
              </w:rPr>
            </w:pPr>
          </w:p>
          <w:p w:rsidR="00A67577" w:rsidRPr="003C6CEA" w:rsidRDefault="00A67577" w:rsidP="00974B9D">
            <w:pPr>
              <w:jc w:val="both"/>
              <w:rPr>
                <w:sz w:val="20"/>
                <w:lang w:val="fr-CA"/>
              </w:rPr>
            </w:pPr>
            <w:r w:rsidRPr="003C6CEA">
              <w:rPr>
                <w:sz w:val="20"/>
                <w:lang w:val="fr-CA"/>
              </w:rPr>
              <w:t xml:space="preserve">Le syndicat intimé dépose des griefs devant un arbitre.  Il soutient que l’employeur, Héma-Québec, ne peut s’appuyer sur des augmentations salariales consenties dans la convention collective pour modifier les ajustements salariaux, dont les versements s’échelonnent sur une période de quatre ans.  Héma-Québec soutient plutôt qu’en raison de l’obligation de maintenir l’équité salariale que lui impose l’art. 40 </w:t>
            </w:r>
            <w:r w:rsidRPr="003C6CEA">
              <w:rPr>
                <w:i/>
                <w:sz w:val="20"/>
                <w:lang w:val="fr-CA"/>
              </w:rPr>
              <w:t>L.é.s.</w:t>
            </w:r>
            <w:r w:rsidRPr="003C6CEA">
              <w:rPr>
                <w:sz w:val="20"/>
                <w:lang w:val="fr-CA"/>
              </w:rPr>
              <w:t>, elle peut opérer compensation entre ces augmentations salariales et les ajustements d’équité salariale.  Elle s’appuie notamment sur l’opinion d’un expert ainsi que sur un « guide d’interprétation » publié par la Commission de l’équité salariale.  L’arbitre accueille les griefs, et sa décision est confirmée, tant par la Cour supérieure que par la Cour d’appel.</w:t>
            </w:r>
          </w:p>
          <w:p w:rsidR="00A67577" w:rsidRPr="003C6CEA" w:rsidRDefault="00A67577" w:rsidP="00974B9D">
            <w:pPr>
              <w:jc w:val="both"/>
              <w:rPr>
                <w:sz w:val="20"/>
                <w:lang w:val="fr-CA"/>
              </w:rPr>
            </w:pPr>
          </w:p>
        </w:tc>
      </w:tr>
      <w:tr w:rsidR="00A67577" w:rsidRPr="00215143" w:rsidTr="00FA1DE8">
        <w:trPr>
          <w:cantSplit/>
        </w:trPr>
        <w:tc>
          <w:tcPr>
            <w:tcW w:w="2427" w:type="pct"/>
          </w:tcPr>
          <w:p w:rsidR="00A67577" w:rsidRPr="003C6CEA" w:rsidRDefault="00A67577" w:rsidP="00974B9D">
            <w:pPr>
              <w:jc w:val="both"/>
              <w:rPr>
                <w:sz w:val="20"/>
                <w:lang w:val="fr-CA"/>
              </w:rPr>
            </w:pPr>
            <w:r w:rsidRPr="003C6CEA">
              <w:rPr>
                <w:sz w:val="20"/>
                <w:lang w:val="fr-CA"/>
              </w:rPr>
              <w:lastRenderedPageBreak/>
              <w:t>Le 9 décembre 2011</w:t>
            </w:r>
          </w:p>
          <w:p w:rsidR="00A67577" w:rsidRPr="003C6CEA" w:rsidRDefault="00A67577" w:rsidP="00974B9D">
            <w:pPr>
              <w:jc w:val="both"/>
              <w:rPr>
                <w:sz w:val="20"/>
                <w:lang w:val="fr-CA"/>
              </w:rPr>
            </w:pPr>
            <w:r w:rsidRPr="003C6CEA">
              <w:rPr>
                <w:sz w:val="20"/>
                <w:lang w:val="fr-CA"/>
              </w:rPr>
              <w:t>Cour supérieure du Québec</w:t>
            </w:r>
          </w:p>
          <w:p w:rsidR="00A67577" w:rsidRPr="003C6CEA" w:rsidRDefault="00A67577" w:rsidP="00974B9D">
            <w:pPr>
              <w:jc w:val="both"/>
              <w:rPr>
                <w:sz w:val="20"/>
                <w:lang w:val="fr-CA"/>
              </w:rPr>
            </w:pPr>
            <w:r w:rsidRPr="003C6CEA">
              <w:rPr>
                <w:sz w:val="20"/>
                <w:lang w:val="fr-CA"/>
              </w:rPr>
              <w:t>(Le juge St-Pierre)</w:t>
            </w:r>
          </w:p>
          <w:p w:rsidR="00A67577" w:rsidRPr="003C6CEA" w:rsidRDefault="00215143" w:rsidP="00974B9D">
            <w:pPr>
              <w:jc w:val="both"/>
              <w:rPr>
                <w:sz w:val="20"/>
                <w:lang w:val="fr-CA"/>
              </w:rPr>
            </w:pPr>
            <w:hyperlink r:id="rId50" w:history="1">
              <w:r w:rsidR="00A67577" w:rsidRPr="003C6CEA">
                <w:rPr>
                  <w:rStyle w:val="Hyperlink"/>
                  <w:sz w:val="20"/>
                  <w:lang w:val="fr-CA"/>
                </w:rPr>
                <w:t>2011 QCCS 6970</w:t>
              </w:r>
            </w:hyperlink>
          </w:p>
          <w:p w:rsidR="00A67577" w:rsidRPr="003C6CEA" w:rsidRDefault="00A67577" w:rsidP="00974B9D">
            <w:pPr>
              <w:jc w:val="both"/>
              <w:rPr>
                <w:sz w:val="20"/>
                <w:lang w:val="fr-CA"/>
              </w:rPr>
            </w:pPr>
          </w:p>
        </w:tc>
        <w:tc>
          <w:tcPr>
            <w:tcW w:w="243" w:type="pct"/>
          </w:tcPr>
          <w:p w:rsidR="00A67577" w:rsidRPr="003C6CEA" w:rsidRDefault="00A67577" w:rsidP="00974B9D">
            <w:pPr>
              <w:jc w:val="both"/>
              <w:rPr>
                <w:sz w:val="20"/>
                <w:lang w:val="fr-CA"/>
              </w:rPr>
            </w:pPr>
          </w:p>
        </w:tc>
        <w:tc>
          <w:tcPr>
            <w:tcW w:w="2330" w:type="pct"/>
          </w:tcPr>
          <w:p w:rsidR="00A67577" w:rsidRPr="003C6CEA" w:rsidRDefault="00A67577" w:rsidP="00974B9D">
            <w:pPr>
              <w:jc w:val="both"/>
              <w:rPr>
                <w:sz w:val="20"/>
                <w:lang w:val="fr-CA"/>
              </w:rPr>
            </w:pPr>
            <w:r w:rsidRPr="003C6CEA">
              <w:rPr>
                <w:sz w:val="20"/>
                <w:lang w:val="fr-CA"/>
              </w:rPr>
              <w:t>Requête en révision judiciaire d’une décision d’un arbitre rejetée</w:t>
            </w:r>
          </w:p>
          <w:p w:rsidR="00A67577" w:rsidRPr="003C6CEA" w:rsidRDefault="00A67577" w:rsidP="00974B9D">
            <w:pPr>
              <w:jc w:val="both"/>
              <w:rPr>
                <w:sz w:val="20"/>
                <w:lang w:val="fr-CA"/>
              </w:rPr>
            </w:pPr>
          </w:p>
        </w:tc>
      </w:tr>
      <w:tr w:rsidR="00A67577" w:rsidRPr="003C6CEA" w:rsidTr="00FA1DE8">
        <w:trPr>
          <w:cantSplit/>
        </w:trPr>
        <w:tc>
          <w:tcPr>
            <w:tcW w:w="2427" w:type="pct"/>
          </w:tcPr>
          <w:p w:rsidR="00A67577" w:rsidRPr="003C6CEA" w:rsidRDefault="00A67577" w:rsidP="00974B9D">
            <w:pPr>
              <w:jc w:val="both"/>
              <w:rPr>
                <w:sz w:val="20"/>
                <w:lang w:val="fr-CA"/>
              </w:rPr>
            </w:pPr>
            <w:r w:rsidRPr="003C6CEA">
              <w:rPr>
                <w:sz w:val="20"/>
                <w:lang w:val="fr-CA"/>
              </w:rPr>
              <w:t>Le 9 février 2012</w:t>
            </w:r>
          </w:p>
          <w:p w:rsidR="00A67577" w:rsidRPr="003C6CEA" w:rsidRDefault="00A67577" w:rsidP="00974B9D">
            <w:pPr>
              <w:jc w:val="both"/>
              <w:rPr>
                <w:sz w:val="20"/>
                <w:lang w:val="fr-CA"/>
              </w:rPr>
            </w:pPr>
            <w:r w:rsidRPr="003C6CEA">
              <w:rPr>
                <w:sz w:val="20"/>
                <w:lang w:val="fr-CA"/>
              </w:rPr>
              <w:t>Cour d’appel du Québec (Montréal)</w:t>
            </w:r>
          </w:p>
          <w:p w:rsidR="00A67577" w:rsidRPr="003C6CEA" w:rsidRDefault="00A67577" w:rsidP="00974B9D">
            <w:pPr>
              <w:jc w:val="both"/>
              <w:rPr>
                <w:sz w:val="20"/>
              </w:rPr>
            </w:pPr>
            <w:r w:rsidRPr="003C6CEA">
              <w:rPr>
                <w:sz w:val="20"/>
              </w:rPr>
              <w:t>(La juge Bich)</w:t>
            </w:r>
          </w:p>
          <w:p w:rsidR="00A67577" w:rsidRDefault="00215143" w:rsidP="00974B9D">
            <w:pPr>
              <w:jc w:val="both"/>
              <w:rPr>
                <w:sz w:val="20"/>
              </w:rPr>
            </w:pPr>
            <w:hyperlink r:id="rId51" w:history="1">
              <w:r w:rsidR="00A67577" w:rsidRPr="003C6CEA">
                <w:rPr>
                  <w:rStyle w:val="Hyperlink"/>
                  <w:sz w:val="20"/>
                </w:rPr>
                <w:t>2012 QCCA 261</w:t>
              </w:r>
            </w:hyperlink>
          </w:p>
          <w:p w:rsidR="00A67577" w:rsidRPr="003C6CEA" w:rsidRDefault="00A67577" w:rsidP="00974B9D">
            <w:pPr>
              <w:jc w:val="both"/>
              <w:rPr>
                <w:sz w:val="20"/>
              </w:rPr>
            </w:pPr>
          </w:p>
        </w:tc>
        <w:tc>
          <w:tcPr>
            <w:tcW w:w="243" w:type="pct"/>
          </w:tcPr>
          <w:p w:rsidR="00A67577" w:rsidRPr="003C6CEA" w:rsidRDefault="00A67577" w:rsidP="00974B9D">
            <w:pPr>
              <w:jc w:val="both"/>
              <w:rPr>
                <w:sz w:val="20"/>
              </w:rPr>
            </w:pPr>
          </w:p>
        </w:tc>
        <w:tc>
          <w:tcPr>
            <w:tcW w:w="2330" w:type="pct"/>
          </w:tcPr>
          <w:p w:rsidR="00A67577" w:rsidRPr="003C6CEA" w:rsidRDefault="00A67577" w:rsidP="00974B9D">
            <w:pPr>
              <w:jc w:val="both"/>
              <w:rPr>
                <w:sz w:val="20"/>
              </w:rPr>
            </w:pPr>
            <w:r w:rsidRPr="003C6CEA">
              <w:rPr>
                <w:sz w:val="20"/>
              </w:rPr>
              <w:t>Requête pour permission d’appeler accueillie</w:t>
            </w:r>
          </w:p>
          <w:p w:rsidR="00A67577" w:rsidRPr="003C6CEA" w:rsidRDefault="00A67577" w:rsidP="00974B9D">
            <w:pPr>
              <w:jc w:val="both"/>
              <w:rPr>
                <w:sz w:val="20"/>
              </w:rPr>
            </w:pPr>
          </w:p>
        </w:tc>
      </w:tr>
      <w:tr w:rsidR="00A67577" w:rsidRPr="003C6CEA" w:rsidTr="00FA1DE8">
        <w:trPr>
          <w:cantSplit/>
        </w:trPr>
        <w:tc>
          <w:tcPr>
            <w:tcW w:w="2427" w:type="pct"/>
          </w:tcPr>
          <w:p w:rsidR="00A67577" w:rsidRPr="003C6CEA" w:rsidRDefault="00A67577" w:rsidP="00974B9D">
            <w:pPr>
              <w:jc w:val="both"/>
              <w:rPr>
                <w:sz w:val="20"/>
                <w:lang w:val="fr-CA"/>
              </w:rPr>
            </w:pPr>
            <w:r w:rsidRPr="003C6CEA">
              <w:rPr>
                <w:sz w:val="20"/>
                <w:lang w:val="fr-CA"/>
              </w:rPr>
              <w:t>Le 14 mars 2014</w:t>
            </w:r>
          </w:p>
          <w:p w:rsidR="00A67577" w:rsidRPr="003C6CEA" w:rsidRDefault="00A67577" w:rsidP="00974B9D">
            <w:pPr>
              <w:jc w:val="both"/>
              <w:rPr>
                <w:sz w:val="20"/>
                <w:lang w:val="fr-CA"/>
              </w:rPr>
            </w:pPr>
            <w:r w:rsidRPr="003C6CEA">
              <w:rPr>
                <w:sz w:val="20"/>
                <w:lang w:val="fr-CA"/>
              </w:rPr>
              <w:t>Cour d’appel du Québec (Montréal)</w:t>
            </w:r>
          </w:p>
          <w:p w:rsidR="00A67577" w:rsidRPr="003C6CEA" w:rsidRDefault="00A67577" w:rsidP="00974B9D">
            <w:pPr>
              <w:jc w:val="both"/>
              <w:rPr>
                <w:sz w:val="20"/>
                <w:lang w:val="fr-CA"/>
              </w:rPr>
            </w:pPr>
            <w:r w:rsidRPr="003C6CEA">
              <w:rPr>
                <w:sz w:val="20"/>
                <w:lang w:val="fr-CA"/>
              </w:rPr>
              <w:t>(Les juges Pelletier, Morissette et Gagnon)</w:t>
            </w:r>
          </w:p>
          <w:p w:rsidR="00A67577" w:rsidRPr="003C6CEA" w:rsidRDefault="00A67577" w:rsidP="00974B9D">
            <w:pPr>
              <w:jc w:val="both"/>
              <w:rPr>
                <w:sz w:val="20"/>
              </w:rPr>
            </w:pPr>
            <w:r w:rsidRPr="003C6CEA">
              <w:rPr>
                <w:sz w:val="20"/>
              </w:rPr>
              <w:t xml:space="preserve">500-09-022346-126; </w:t>
            </w:r>
            <w:hyperlink r:id="rId52" w:history="1">
              <w:r w:rsidRPr="003C6CEA">
                <w:rPr>
                  <w:rStyle w:val="Hyperlink"/>
                  <w:sz w:val="20"/>
                </w:rPr>
                <w:t>2014 QCCA 509</w:t>
              </w:r>
            </w:hyperlink>
          </w:p>
          <w:p w:rsidR="00A67577" w:rsidRPr="003C6CEA" w:rsidRDefault="00A67577" w:rsidP="00974B9D">
            <w:pPr>
              <w:jc w:val="both"/>
              <w:rPr>
                <w:sz w:val="20"/>
              </w:rPr>
            </w:pPr>
          </w:p>
        </w:tc>
        <w:tc>
          <w:tcPr>
            <w:tcW w:w="243" w:type="pct"/>
          </w:tcPr>
          <w:p w:rsidR="00A67577" w:rsidRPr="003C6CEA" w:rsidRDefault="00A67577" w:rsidP="00974B9D">
            <w:pPr>
              <w:jc w:val="both"/>
              <w:rPr>
                <w:sz w:val="20"/>
              </w:rPr>
            </w:pPr>
          </w:p>
        </w:tc>
        <w:tc>
          <w:tcPr>
            <w:tcW w:w="2330" w:type="pct"/>
          </w:tcPr>
          <w:p w:rsidR="00A67577" w:rsidRPr="003C6CEA" w:rsidRDefault="00A67577" w:rsidP="00974B9D">
            <w:pPr>
              <w:jc w:val="both"/>
              <w:rPr>
                <w:sz w:val="20"/>
              </w:rPr>
            </w:pPr>
            <w:r w:rsidRPr="003C6CEA">
              <w:rPr>
                <w:sz w:val="20"/>
              </w:rPr>
              <w:t>Appel rejeté</w:t>
            </w:r>
          </w:p>
          <w:p w:rsidR="00A67577" w:rsidRPr="003C6CEA" w:rsidRDefault="00A67577" w:rsidP="00974B9D">
            <w:pPr>
              <w:jc w:val="both"/>
              <w:rPr>
                <w:sz w:val="20"/>
              </w:rPr>
            </w:pPr>
          </w:p>
        </w:tc>
      </w:tr>
      <w:tr w:rsidR="00A67577" w:rsidRPr="003C6CEA" w:rsidTr="00FA1DE8">
        <w:trPr>
          <w:cantSplit/>
        </w:trPr>
        <w:tc>
          <w:tcPr>
            <w:tcW w:w="2427" w:type="pct"/>
          </w:tcPr>
          <w:p w:rsidR="00A67577" w:rsidRPr="003C6CEA" w:rsidRDefault="00A67577" w:rsidP="00974B9D">
            <w:pPr>
              <w:jc w:val="both"/>
              <w:rPr>
                <w:sz w:val="20"/>
                <w:lang w:val="fr-CA"/>
              </w:rPr>
            </w:pPr>
            <w:r w:rsidRPr="003C6CEA">
              <w:rPr>
                <w:sz w:val="20"/>
                <w:lang w:val="fr-CA"/>
              </w:rPr>
              <w:t>Le 12 mai 2014</w:t>
            </w:r>
          </w:p>
          <w:p w:rsidR="00A67577" w:rsidRPr="003C6CEA" w:rsidRDefault="00A67577" w:rsidP="00974B9D">
            <w:pPr>
              <w:jc w:val="both"/>
              <w:rPr>
                <w:sz w:val="20"/>
                <w:lang w:val="fr-CA"/>
              </w:rPr>
            </w:pPr>
            <w:r w:rsidRPr="003C6CEA">
              <w:rPr>
                <w:sz w:val="20"/>
                <w:lang w:val="fr-CA"/>
              </w:rPr>
              <w:t>Cour suprême du Canada</w:t>
            </w:r>
          </w:p>
        </w:tc>
        <w:tc>
          <w:tcPr>
            <w:tcW w:w="243" w:type="pct"/>
          </w:tcPr>
          <w:p w:rsidR="00A67577" w:rsidRPr="003C6CEA" w:rsidRDefault="00A67577" w:rsidP="00974B9D">
            <w:pPr>
              <w:jc w:val="both"/>
              <w:rPr>
                <w:sz w:val="20"/>
                <w:lang w:val="fr-CA"/>
              </w:rPr>
            </w:pPr>
          </w:p>
        </w:tc>
        <w:tc>
          <w:tcPr>
            <w:tcW w:w="2330" w:type="pct"/>
          </w:tcPr>
          <w:p w:rsidR="00A67577" w:rsidRPr="003C6CEA" w:rsidRDefault="00A67577" w:rsidP="00974B9D">
            <w:pPr>
              <w:jc w:val="both"/>
              <w:rPr>
                <w:sz w:val="20"/>
              </w:rPr>
            </w:pPr>
            <w:r w:rsidRPr="003C6CEA">
              <w:rPr>
                <w:sz w:val="20"/>
              </w:rPr>
              <w:t>Demande d’autorisation d’appel déposée</w:t>
            </w: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58"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63AA" w:rsidRPr="00A04AD5" w:rsidTr="001068B6">
        <w:trPr>
          <w:cantSplit/>
        </w:trPr>
        <w:tc>
          <w:tcPr>
            <w:tcW w:w="1458" w:type="dxa"/>
          </w:tcPr>
          <w:p w:rsidR="000963AA" w:rsidRPr="00A04AD5" w:rsidRDefault="000963AA" w:rsidP="001068B6">
            <w:pPr>
              <w:rPr>
                <w:sz w:val="20"/>
                <w:szCs w:val="20"/>
              </w:rPr>
            </w:pPr>
            <w:r w:rsidRPr="00A04AD5">
              <w:rPr>
                <w:rStyle w:val="SCCFileNumberChar"/>
                <w:sz w:val="20"/>
                <w:szCs w:val="20"/>
              </w:rPr>
              <w:t>35887</w:t>
            </w:r>
          </w:p>
          <w:p w:rsidR="000963AA" w:rsidRPr="00A04AD5" w:rsidRDefault="000963AA" w:rsidP="001068B6">
            <w:pPr>
              <w:rPr>
                <w:b/>
                <w:sz w:val="20"/>
                <w:szCs w:val="20"/>
                <w:lang w:val="fr-CA"/>
              </w:rPr>
            </w:pPr>
          </w:p>
        </w:tc>
        <w:tc>
          <w:tcPr>
            <w:tcW w:w="8118" w:type="dxa"/>
          </w:tcPr>
          <w:p w:rsidR="000963AA" w:rsidRPr="00A04AD5" w:rsidRDefault="000963AA" w:rsidP="001068B6">
            <w:pPr>
              <w:jc w:val="both"/>
              <w:rPr>
                <w:sz w:val="20"/>
                <w:szCs w:val="20"/>
              </w:rPr>
            </w:pPr>
            <w:r w:rsidRPr="00A04AD5">
              <w:rPr>
                <w:rStyle w:val="SCCLsocChar"/>
                <w:sz w:val="20"/>
                <w:szCs w:val="20"/>
                <w:lang w:val="en-CA"/>
              </w:rPr>
              <w:t>Acram Adam v. Attorney General of Canada on Behalf of the United States of America AND BETWEEN Acram Adam v. Canada (Minister of Justice)</w:t>
            </w:r>
            <w:r w:rsidRPr="00A04AD5">
              <w:rPr>
                <w:sz w:val="20"/>
                <w:szCs w:val="20"/>
              </w:rPr>
              <w:t xml:space="preserve"> (B.C.) (Criminal) (By Leave)</w:t>
            </w:r>
          </w:p>
          <w:p w:rsidR="000963AA" w:rsidRPr="00A04AD5" w:rsidRDefault="000963AA" w:rsidP="001068B6">
            <w:pPr>
              <w:jc w:val="both"/>
              <w:rPr>
                <w:sz w:val="20"/>
                <w:szCs w:val="20"/>
              </w:rPr>
            </w:pPr>
          </w:p>
        </w:tc>
      </w:tr>
      <w:tr w:rsidR="000963AA" w:rsidRPr="00A04AD5" w:rsidTr="001068B6">
        <w:trPr>
          <w:cantSplit/>
        </w:trPr>
        <w:tc>
          <w:tcPr>
            <w:tcW w:w="1458" w:type="dxa"/>
          </w:tcPr>
          <w:p w:rsidR="000963AA" w:rsidRPr="00A04AD5" w:rsidRDefault="000963AA" w:rsidP="001068B6">
            <w:pPr>
              <w:rPr>
                <w:sz w:val="20"/>
                <w:szCs w:val="20"/>
              </w:rPr>
            </w:pPr>
            <w:r w:rsidRPr="00A04AD5">
              <w:rPr>
                <w:sz w:val="20"/>
                <w:szCs w:val="20"/>
              </w:rPr>
              <w:t>Coram :</w:t>
            </w:r>
          </w:p>
        </w:tc>
        <w:tc>
          <w:tcPr>
            <w:tcW w:w="8118" w:type="dxa"/>
          </w:tcPr>
          <w:p w:rsidR="000963AA" w:rsidRPr="00A04AD5" w:rsidRDefault="000963AA" w:rsidP="001068B6">
            <w:pPr>
              <w:rPr>
                <w:sz w:val="20"/>
                <w:szCs w:val="20"/>
              </w:rPr>
            </w:pPr>
            <w:r w:rsidRPr="00A04AD5">
              <w:rPr>
                <w:rStyle w:val="SCCCoramChar"/>
                <w:sz w:val="20"/>
                <w:szCs w:val="20"/>
                <w:lang w:val="en-CA"/>
              </w:rPr>
              <w:t>LeBel, Karakatsanis and Gascon JJ.</w:t>
            </w:r>
          </w:p>
          <w:p w:rsidR="000963AA" w:rsidRPr="00A04AD5" w:rsidRDefault="000963AA" w:rsidP="001068B6">
            <w:pPr>
              <w:rPr>
                <w:sz w:val="20"/>
                <w:szCs w:val="20"/>
                <w:u w:val="single"/>
              </w:rPr>
            </w:pPr>
          </w:p>
        </w:tc>
      </w:tr>
      <w:tr w:rsidR="000963AA" w:rsidRPr="00225EDC" w:rsidTr="001068B6">
        <w:trPr>
          <w:cantSplit/>
        </w:trPr>
        <w:tc>
          <w:tcPr>
            <w:tcW w:w="9576" w:type="dxa"/>
            <w:gridSpan w:val="2"/>
          </w:tcPr>
          <w:p w:rsidR="000963AA" w:rsidRPr="00A04AD5" w:rsidRDefault="000963AA" w:rsidP="001068B6">
            <w:pPr>
              <w:pStyle w:val="SCCShortJudgment"/>
              <w:rPr>
                <w:szCs w:val="20"/>
              </w:rPr>
            </w:pPr>
            <w:r w:rsidRPr="00A04AD5">
              <w:rPr>
                <w:szCs w:val="20"/>
              </w:rPr>
              <w:t>The application for leave to appeal from the judgment of the Court of Appeal for British Columbia (Vancouver), Number  CA40047, 2014 BCCA 136, dated April 9, 2014, is dismissed without costs.</w:t>
            </w:r>
          </w:p>
          <w:p w:rsidR="000963AA" w:rsidRPr="00A04AD5" w:rsidRDefault="000963AA" w:rsidP="001068B6">
            <w:pPr>
              <w:pStyle w:val="SCCShortJudgment"/>
              <w:ind w:firstLine="0"/>
              <w:rPr>
                <w:szCs w:val="20"/>
              </w:rPr>
            </w:pPr>
          </w:p>
          <w:p w:rsidR="000963AA" w:rsidRPr="00A04AD5" w:rsidRDefault="000963AA" w:rsidP="001068B6">
            <w:pPr>
              <w:pStyle w:val="SCCShortJudgment"/>
              <w:rPr>
                <w:szCs w:val="20"/>
                <w:lang w:val="fr-CA"/>
              </w:rPr>
            </w:pPr>
            <w:r w:rsidRPr="00A04AD5">
              <w:rPr>
                <w:szCs w:val="20"/>
                <w:lang w:val="fr-CA"/>
              </w:rPr>
              <w:t>La demande d’autorisation d’appel de l’arrêt de la Cour d’appel de la Colombie-Britannique (Vancouver), numéro  CA40047, 2014 BCCA 136, daté du 9 avril 2014, est rejetée sans dépens.</w:t>
            </w:r>
          </w:p>
        </w:tc>
      </w:tr>
    </w:tbl>
    <w:p w:rsidR="00402B2C" w:rsidRPr="000963AA"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7577" w:rsidRPr="003C6CEA" w:rsidTr="00974B9D">
        <w:tc>
          <w:tcPr>
            <w:tcW w:w="5000" w:type="pct"/>
            <w:gridSpan w:val="3"/>
          </w:tcPr>
          <w:p w:rsidR="00A67577" w:rsidRPr="003C6CEA" w:rsidRDefault="00A67577" w:rsidP="00974B9D">
            <w:pPr>
              <w:jc w:val="both"/>
              <w:rPr>
                <w:rFonts w:eastAsia="Calibri"/>
                <w:sz w:val="20"/>
              </w:rPr>
            </w:pPr>
            <w:r w:rsidRPr="003C6CEA">
              <w:rPr>
                <w:rFonts w:eastAsia="Calibri"/>
                <w:sz w:val="20"/>
              </w:rPr>
              <w:t xml:space="preserve">Extradition – Criminal law – Whether the Court of Appeal erred in holding that the factors set out by Article 17 </w:t>
            </w:r>
            <w:r w:rsidRPr="003C6CEA">
              <w:rPr>
                <w:rFonts w:eastAsia="Calibri"/>
                <w:i/>
                <w:sz w:val="20"/>
              </w:rPr>
              <w:t>bis</w:t>
            </w:r>
            <w:r w:rsidRPr="003C6CEA">
              <w:rPr>
                <w:rFonts w:eastAsia="Calibri"/>
                <w:sz w:val="20"/>
              </w:rPr>
              <w:t xml:space="preserve"> of the </w:t>
            </w:r>
            <w:r w:rsidRPr="003C6CEA">
              <w:rPr>
                <w:rFonts w:eastAsia="Calibri"/>
                <w:i/>
                <w:sz w:val="20"/>
              </w:rPr>
              <w:t>Protocol Amending the Treaty on Extradition Between Canada and the United States</w:t>
            </w:r>
            <w:r w:rsidRPr="003C6CEA">
              <w:rPr>
                <w:rFonts w:eastAsia="Calibri"/>
                <w:sz w:val="20"/>
              </w:rPr>
              <w:t>, Can. T.S. 1991 No. 37, are not necessary to consider in regards to the Minister of Justice’s decision to surrender the applicant for extradition.</w:t>
            </w:r>
          </w:p>
          <w:p w:rsidR="00A67577" w:rsidRPr="003C6CEA" w:rsidRDefault="00A67577" w:rsidP="00974B9D">
            <w:pPr>
              <w:jc w:val="both"/>
              <w:rPr>
                <w:rFonts w:eastAsia="Calibri"/>
                <w:sz w:val="20"/>
              </w:rPr>
            </w:pPr>
          </w:p>
        </w:tc>
      </w:tr>
      <w:tr w:rsidR="00A67577" w:rsidRPr="003C6CEA" w:rsidTr="00974B9D">
        <w:tc>
          <w:tcPr>
            <w:tcW w:w="5000" w:type="pct"/>
            <w:gridSpan w:val="3"/>
          </w:tcPr>
          <w:p w:rsidR="00A67577" w:rsidRPr="003C6CEA" w:rsidRDefault="00A67577" w:rsidP="00974B9D">
            <w:pPr>
              <w:jc w:val="both"/>
              <w:rPr>
                <w:rFonts w:eastAsia="Calibri"/>
                <w:sz w:val="20"/>
              </w:rPr>
            </w:pPr>
            <w:r w:rsidRPr="003C6CEA">
              <w:rPr>
                <w:rFonts w:eastAsia="Calibri"/>
                <w:sz w:val="20"/>
              </w:rPr>
              <w:t xml:space="preserve">The United States sought the applicant’s extradition on charges of an alleged conspiracy to traffic in a controlled substance.  In ordering the applicant’s surrender, the Minister noted that the applicant was not a Canadian citizen.  The Minister concluded that the applicant’s extradition is preferable to domestic prosecution on the basis that the alleged conspiracy involved transporting large quantities of drugs into the U.S., the criminal investigation was conducted entirely by U.S. law enforcement, all of the evidence is in the hands of U.S. authorities, and no charges were laid in Canada.  The Minister found that the applicant’s surrender would not be unjust or oppressive, and would not violate his rights under s. 7 of the </w:t>
            </w:r>
            <w:r w:rsidRPr="003C6CEA">
              <w:rPr>
                <w:rFonts w:eastAsia="Calibri"/>
                <w:i/>
                <w:sz w:val="20"/>
              </w:rPr>
              <w:t>Charter</w:t>
            </w:r>
            <w:r w:rsidRPr="003C6CEA">
              <w:rPr>
                <w:rFonts w:eastAsia="Calibri"/>
                <w:sz w:val="20"/>
              </w:rPr>
              <w:t>.  The applicant’s surrender was ordered by the Minister.  A majority of the Court of Appeal dismissed the appeal from the committal order and the application for judicial review of the Minister’s decision with Chaisson J.A. dissenting in part.</w:t>
            </w:r>
          </w:p>
        </w:tc>
      </w:tr>
      <w:tr w:rsidR="00A67577" w:rsidRPr="003C6CEA" w:rsidTr="00974B9D">
        <w:tc>
          <w:tcPr>
            <w:tcW w:w="5000" w:type="pct"/>
            <w:gridSpan w:val="3"/>
          </w:tcPr>
          <w:p w:rsidR="00A67577" w:rsidRPr="003C6CEA" w:rsidRDefault="00A67577" w:rsidP="00974B9D">
            <w:pPr>
              <w:jc w:val="both"/>
              <w:rPr>
                <w:rFonts w:eastAsia="Calibri"/>
                <w:sz w:val="20"/>
              </w:rPr>
            </w:pPr>
          </w:p>
        </w:tc>
      </w:tr>
      <w:tr w:rsidR="00A67577" w:rsidRPr="003C6CEA" w:rsidTr="00FA1DE8">
        <w:trPr>
          <w:cantSplit/>
        </w:trPr>
        <w:tc>
          <w:tcPr>
            <w:tcW w:w="2427" w:type="pct"/>
          </w:tcPr>
          <w:p w:rsidR="00A67577" w:rsidRPr="003C6CEA" w:rsidRDefault="00A67577" w:rsidP="00974B9D">
            <w:pPr>
              <w:jc w:val="both"/>
              <w:rPr>
                <w:rFonts w:eastAsia="Calibri"/>
                <w:sz w:val="20"/>
              </w:rPr>
            </w:pPr>
            <w:r w:rsidRPr="003C6CEA">
              <w:rPr>
                <w:rFonts w:eastAsia="Calibri"/>
                <w:sz w:val="20"/>
              </w:rPr>
              <w:lastRenderedPageBreak/>
              <w:t>July 3, 2012</w:t>
            </w:r>
          </w:p>
          <w:p w:rsidR="00A67577" w:rsidRPr="003C6CEA" w:rsidRDefault="00A67577" w:rsidP="00974B9D">
            <w:pPr>
              <w:jc w:val="both"/>
              <w:rPr>
                <w:rFonts w:eastAsia="Calibri"/>
                <w:sz w:val="20"/>
              </w:rPr>
            </w:pPr>
            <w:r w:rsidRPr="003C6CEA">
              <w:rPr>
                <w:rFonts w:eastAsia="Calibri"/>
                <w:sz w:val="20"/>
              </w:rPr>
              <w:t>Supreme Court of British Columbia</w:t>
            </w:r>
          </w:p>
          <w:p w:rsidR="00A67577" w:rsidRPr="003C6CEA" w:rsidRDefault="00A67577" w:rsidP="00974B9D">
            <w:pPr>
              <w:jc w:val="both"/>
              <w:rPr>
                <w:rFonts w:eastAsia="Calibri"/>
                <w:sz w:val="20"/>
              </w:rPr>
            </w:pPr>
            <w:r w:rsidRPr="003C6CEA">
              <w:rPr>
                <w:rFonts w:eastAsia="Calibri"/>
                <w:sz w:val="20"/>
              </w:rPr>
              <w:t>(Holmes J.)</w:t>
            </w:r>
          </w:p>
          <w:p w:rsidR="00A67577" w:rsidRPr="003C6CEA" w:rsidRDefault="00A67577" w:rsidP="00974B9D">
            <w:pPr>
              <w:jc w:val="both"/>
              <w:rPr>
                <w:rFonts w:eastAsia="Calibri"/>
                <w:sz w:val="20"/>
              </w:rPr>
            </w:pPr>
            <w:r w:rsidRPr="003C6CEA">
              <w:rPr>
                <w:rFonts w:eastAsia="Calibri"/>
                <w:sz w:val="20"/>
              </w:rPr>
              <w:t>2012 BCSC 969</w:t>
            </w:r>
          </w:p>
          <w:p w:rsidR="00A67577" w:rsidRPr="003C6CEA" w:rsidRDefault="00215143" w:rsidP="00974B9D">
            <w:pPr>
              <w:jc w:val="both"/>
              <w:rPr>
                <w:rFonts w:eastAsia="Calibri"/>
                <w:sz w:val="20"/>
              </w:rPr>
            </w:pPr>
            <w:hyperlink r:id="rId53" w:history="1">
              <w:r w:rsidR="00A67577" w:rsidRPr="003C6CEA">
                <w:rPr>
                  <w:rFonts w:eastAsia="Calibri"/>
                  <w:color w:val="0000FF"/>
                  <w:sz w:val="20"/>
                  <w:u w:val="single"/>
                </w:rPr>
                <w:t>http://canlii.ca/t/frxgx</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Applicant committed into custody to await surrender to the United States of America</w:t>
            </w:r>
          </w:p>
          <w:p w:rsidR="00A67577" w:rsidRPr="003C6CEA" w:rsidRDefault="00A67577" w:rsidP="00974B9D">
            <w:pPr>
              <w:jc w:val="both"/>
              <w:rPr>
                <w:rFonts w:eastAsia="Calibri"/>
                <w:sz w:val="20"/>
              </w:rPr>
            </w:pPr>
          </w:p>
        </w:tc>
      </w:tr>
      <w:tr w:rsidR="00A67577" w:rsidRPr="003C6CEA" w:rsidTr="00FA1DE8">
        <w:trPr>
          <w:cantSplit/>
        </w:trPr>
        <w:tc>
          <w:tcPr>
            <w:tcW w:w="2427" w:type="pct"/>
          </w:tcPr>
          <w:p w:rsidR="00A67577" w:rsidRPr="003C6CEA" w:rsidRDefault="00A67577" w:rsidP="00974B9D">
            <w:pPr>
              <w:jc w:val="both"/>
              <w:rPr>
                <w:rFonts w:eastAsia="Calibri"/>
                <w:sz w:val="20"/>
              </w:rPr>
            </w:pPr>
            <w:r w:rsidRPr="003C6CEA">
              <w:rPr>
                <w:rFonts w:eastAsia="Calibri"/>
                <w:sz w:val="20"/>
              </w:rPr>
              <w:t>May 3, 2013</w:t>
            </w:r>
          </w:p>
          <w:p w:rsidR="00A67577" w:rsidRPr="003C6CEA" w:rsidRDefault="00A67577" w:rsidP="00974B9D">
            <w:pPr>
              <w:jc w:val="both"/>
              <w:rPr>
                <w:rFonts w:eastAsia="Calibri"/>
                <w:sz w:val="20"/>
              </w:rPr>
            </w:pPr>
            <w:r w:rsidRPr="003C6CEA">
              <w:rPr>
                <w:rFonts w:eastAsia="Calibri"/>
                <w:sz w:val="20"/>
              </w:rPr>
              <w:t>Court of Appeal for British Columbia</w:t>
            </w:r>
          </w:p>
          <w:p w:rsidR="00A67577" w:rsidRPr="003C6CEA" w:rsidRDefault="00A67577" w:rsidP="00974B9D">
            <w:pPr>
              <w:jc w:val="both"/>
              <w:rPr>
                <w:rFonts w:eastAsia="Calibri"/>
                <w:sz w:val="20"/>
              </w:rPr>
            </w:pPr>
            <w:r w:rsidRPr="003C6CEA">
              <w:rPr>
                <w:rFonts w:eastAsia="Calibri"/>
                <w:sz w:val="20"/>
              </w:rPr>
              <w:t>(Hinkson J.A.)</w:t>
            </w:r>
          </w:p>
          <w:p w:rsidR="00A67577" w:rsidRPr="003C6CEA" w:rsidRDefault="00A67577" w:rsidP="00974B9D">
            <w:pPr>
              <w:jc w:val="both"/>
              <w:rPr>
                <w:rFonts w:eastAsia="Calibri"/>
                <w:sz w:val="20"/>
              </w:rPr>
            </w:pPr>
            <w:r w:rsidRPr="003C6CEA">
              <w:rPr>
                <w:rFonts w:eastAsia="Calibri"/>
                <w:sz w:val="20"/>
              </w:rPr>
              <w:t>2013 BCCA 207</w:t>
            </w:r>
          </w:p>
          <w:p w:rsidR="00A67577" w:rsidRPr="003C6CEA" w:rsidRDefault="00215143" w:rsidP="00974B9D">
            <w:pPr>
              <w:jc w:val="both"/>
              <w:rPr>
                <w:rFonts w:eastAsia="Calibri"/>
                <w:sz w:val="20"/>
              </w:rPr>
            </w:pPr>
            <w:hyperlink r:id="rId54" w:history="1">
              <w:r w:rsidR="00A67577" w:rsidRPr="003C6CEA">
                <w:rPr>
                  <w:rFonts w:eastAsia="Calibri"/>
                  <w:color w:val="0000FF"/>
                  <w:sz w:val="20"/>
                  <w:u w:val="single"/>
                </w:rPr>
                <w:t>http://canlii.ca/t/fx9cc</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 xml:space="preserve">Application  pursuant to s. 684 of the </w:t>
            </w:r>
            <w:r w:rsidRPr="003C6CEA">
              <w:rPr>
                <w:rFonts w:eastAsia="Calibri"/>
                <w:i/>
                <w:sz w:val="20"/>
              </w:rPr>
              <w:t>Criminal Code</w:t>
            </w:r>
            <w:r w:rsidRPr="003C6CEA">
              <w:rPr>
                <w:rFonts w:eastAsia="Calibri"/>
                <w:sz w:val="20"/>
              </w:rPr>
              <w:t xml:space="preserve"> for the appointment of counsel for the applicant’s appeal and judicial review dismissed</w:t>
            </w:r>
          </w:p>
          <w:p w:rsidR="00A67577" w:rsidRPr="003C6CEA" w:rsidRDefault="00A67577" w:rsidP="00974B9D">
            <w:pPr>
              <w:jc w:val="both"/>
              <w:rPr>
                <w:rFonts w:eastAsia="Calibri"/>
                <w:sz w:val="20"/>
              </w:rPr>
            </w:pPr>
          </w:p>
          <w:p w:rsidR="00A67577" w:rsidRPr="003C6CEA" w:rsidRDefault="00A67577" w:rsidP="00974B9D">
            <w:pPr>
              <w:jc w:val="both"/>
              <w:rPr>
                <w:rFonts w:eastAsia="Calibri"/>
                <w:sz w:val="20"/>
              </w:rPr>
            </w:pPr>
          </w:p>
        </w:tc>
      </w:tr>
      <w:tr w:rsidR="00A67577" w:rsidRPr="003C6CEA" w:rsidTr="00FA1DE8">
        <w:trPr>
          <w:cantSplit/>
        </w:trPr>
        <w:tc>
          <w:tcPr>
            <w:tcW w:w="2427" w:type="pct"/>
          </w:tcPr>
          <w:p w:rsidR="00A67577" w:rsidRPr="003C6CEA" w:rsidRDefault="00A67577" w:rsidP="00974B9D">
            <w:pPr>
              <w:jc w:val="both"/>
              <w:rPr>
                <w:rFonts w:eastAsia="Calibri"/>
                <w:sz w:val="20"/>
              </w:rPr>
            </w:pPr>
            <w:r w:rsidRPr="003C6CEA">
              <w:rPr>
                <w:rFonts w:eastAsia="Calibri"/>
                <w:sz w:val="20"/>
              </w:rPr>
              <w:t>April 9, 2014</w:t>
            </w:r>
          </w:p>
          <w:p w:rsidR="00A67577" w:rsidRPr="003C6CEA" w:rsidRDefault="00A67577" w:rsidP="00974B9D">
            <w:pPr>
              <w:jc w:val="both"/>
              <w:rPr>
                <w:rFonts w:eastAsia="Calibri"/>
                <w:sz w:val="20"/>
              </w:rPr>
            </w:pPr>
            <w:r w:rsidRPr="003C6CEA">
              <w:rPr>
                <w:rFonts w:eastAsia="Calibri"/>
                <w:sz w:val="20"/>
              </w:rPr>
              <w:t xml:space="preserve">Court of Appeal for British Columbia </w:t>
            </w:r>
          </w:p>
          <w:p w:rsidR="00A67577" w:rsidRPr="003C6CEA" w:rsidRDefault="00A67577" w:rsidP="00974B9D">
            <w:pPr>
              <w:jc w:val="both"/>
              <w:rPr>
                <w:rFonts w:eastAsia="Calibri"/>
                <w:sz w:val="20"/>
              </w:rPr>
            </w:pPr>
            <w:r w:rsidRPr="003C6CEA">
              <w:rPr>
                <w:rFonts w:eastAsia="Calibri"/>
                <w:sz w:val="20"/>
              </w:rPr>
              <w:t>(Vancouver)</w:t>
            </w:r>
          </w:p>
          <w:p w:rsidR="00A67577" w:rsidRPr="003C6CEA" w:rsidRDefault="00A67577" w:rsidP="00974B9D">
            <w:pPr>
              <w:jc w:val="both"/>
              <w:rPr>
                <w:rFonts w:eastAsia="Calibri"/>
                <w:sz w:val="20"/>
              </w:rPr>
            </w:pPr>
            <w:r w:rsidRPr="003C6CEA">
              <w:rPr>
                <w:rFonts w:eastAsia="Calibri"/>
                <w:sz w:val="20"/>
              </w:rPr>
              <w:t xml:space="preserve">(Bauman C.J. and Bennett J.A., and Chiasson </w:t>
            </w:r>
          </w:p>
          <w:p w:rsidR="00A67577" w:rsidRPr="003C6CEA" w:rsidRDefault="00A67577" w:rsidP="00974B9D">
            <w:pPr>
              <w:jc w:val="both"/>
              <w:rPr>
                <w:rFonts w:eastAsia="Calibri"/>
                <w:sz w:val="20"/>
              </w:rPr>
            </w:pPr>
            <w:r w:rsidRPr="003C6CEA">
              <w:rPr>
                <w:rFonts w:eastAsia="Calibri"/>
                <w:sz w:val="20"/>
              </w:rPr>
              <w:t>J.A. (dissenting in part))</w:t>
            </w:r>
          </w:p>
          <w:p w:rsidR="00A67577" w:rsidRPr="003C6CEA" w:rsidRDefault="00A67577" w:rsidP="00974B9D">
            <w:pPr>
              <w:jc w:val="both"/>
              <w:rPr>
                <w:rFonts w:eastAsia="Calibri"/>
                <w:sz w:val="20"/>
              </w:rPr>
            </w:pPr>
            <w:r w:rsidRPr="003C6CEA">
              <w:rPr>
                <w:rFonts w:eastAsia="Calibri"/>
                <w:sz w:val="20"/>
              </w:rPr>
              <w:t>2014 BCCA 136, CA40047</w:t>
            </w:r>
          </w:p>
          <w:p w:rsidR="00A67577" w:rsidRPr="003C6CEA" w:rsidRDefault="00215143" w:rsidP="00974B9D">
            <w:pPr>
              <w:jc w:val="both"/>
              <w:rPr>
                <w:rFonts w:eastAsia="Calibri"/>
                <w:sz w:val="20"/>
              </w:rPr>
            </w:pPr>
            <w:hyperlink r:id="rId55" w:history="1">
              <w:r w:rsidR="00A67577" w:rsidRPr="003C6CEA">
                <w:rPr>
                  <w:rFonts w:eastAsia="Calibri"/>
                  <w:color w:val="0000FF"/>
                  <w:sz w:val="20"/>
                  <w:u w:val="single"/>
                </w:rPr>
                <w:t>http://canlii.ca/t/g6gdg</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Appeal from committal order and application for judicial review of the Minister’s decision dismissed</w:t>
            </w:r>
          </w:p>
          <w:p w:rsidR="00A67577" w:rsidRPr="003C6CEA" w:rsidRDefault="00A67577" w:rsidP="00974B9D">
            <w:pPr>
              <w:jc w:val="both"/>
              <w:rPr>
                <w:rFonts w:eastAsia="Calibri"/>
                <w:sz w:val="20"/>
              </w:rPr>
            </w:pPr>
          </w:p>
        </w:tc>
      </w:tr>
      <w:tr w:rsidR="00A67577" w:rsidRPr="003C6CEA" w:rsidTr="00FA1DE8">
        <w:trPr>
          <w:cantSplit/>
        </w:trPr>
        <w:tc>
          <w:tcPr>
            <w:tcW w:w="2427" w:type="pct"/>
          </w:tcPr>
          <w:p w:rsidR="00A67577" w:rsidRPr="003C6CEA" w:rsidRDefault="00A67577" w:rsidP="00974B9D">
            <w:pPr>
              <w:jc w:val="both"/>
              <w:rPr>
                <w:rFonts w:eastAsia="Calibri"/>
                <w:sz w:val="20"/>
              </w:rPr>
            </w:pPr>
            <w:r w:rsidRPr="003C6CEA">
              <w:rPr>
                <w:rFonts w:eastAsia="Calibri"/>
                <w:sz w:val="20"/>
              </w:rPr>
              <w:t>June 9, 2014</w:t>
            </w:r>
          </w:p>
          <w:p w:rsidR="00A67577" w:rsidRPr="003C6CEA" w:rsidRDefault="00A67577" w:rsidP="00974B9D">
            <w:pPr>
              <w:jc w:val="both"/>
              <w:rPr>
                <w:rFonts w:eastAsia="Calibri"/>
                <w:sz w:val="20"/>
              </w:rPr>
            </w:pPr>
            <w:r w:rsidRPr="003C6CEA">
              <w:rPr>
                <w:rFonts w:eastAsia="Calibri"/>
                <w:sz w:val="20"/>
              </w:rPr>
              <w:t>Supreme Court of Canada</w:t>
            </w: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rPr>
            </w:pPr>
            <w:r w:rsidRPr="003C6CEA">
              <w:rPr>
                <w:rFonts w:eastAsia="Calibri"/>
                <w:sz w:val="20"/>
              </w:rPr>
              <w:t>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59"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7577" w:rsidRPr="00225EDC" w:rsidTr="00974B9D">
        <w:tc>
          <w:tcPr>
            <w:tcW w:w="5000" w:type="pct"/>
            <w:gridSpan w:val="3"/>
          </w:tcPr>
          <w:p w:rsidR="00A67577" w:rsidRPr="003C6CEA" w:rsidRDefault="00A67577" w:rsidP="00974B9D">
            <w:pPr>
              <w:jc w:val="both"/>
              <w:rPr>
                <w:rFonts w:eastAsia="Calibri"/>
                <w:sz w:val="20"/>
                <w:lang w:val="fr-CA"/>
              </w:rPr>
            </w:pPr>
            <w:r w:rsidRPr="003C6CEA">
              <w:rPr>
                <w:rFonts w:eastAsia="Calibri"/>
                <w:sz w:val="20"/>
                <w:lang w:val="fr-CA"/>
              </w:rPr>
              <w:t xml:space="preserve">Extradition – Droit criminel – La Cour d’appel a-t-elle eu tort de conclure qu’il n’est pas nécessaire d’examiner les facteurs énoncés à l’article 17 </w:t>
            </w:r>
            <w:r w:rsidRPr="003C6CEA">
              <w:rPr>
                <w:rFonts w:eastAsia="Calibri"/>
                <w:i/>
                <w:sz w:val="20"/>
                <w:lang w:val="fr-CA"/>
              </w:rPr>
              <w:t>bis</w:t>
            </w:r>
            <w:r w:rsidRPr="003C6CEA">
              <w:rPr>
                <w:rFonts w:eastAsia="Calibri"/>
                <w:sz w:val="20"/>
                <w:lang w:val="fr-CA"/>
              </w:rPr>
              <w:t xml:space="preserve"> du </w:t>
            </w:r>
            <w:r w:rsidRPr="003C6CEA">
              <w:rPr>
                <w:rFonts w:eastAsia="Calibri"/>
                <w:i/>
                <w:iCs/>
                <w:sz w:val="20"/>
                <w:lang w:val="fr-CA"/>
              </w:rPr>
              <w:t>Protocole modifiant le Traité d’extradition entre le Canada et les États-Unis</w:t>
            </w:r>
            <w:r w:rsidRPr="003C6CEA">
              <w:rPr>
                <w:rFonts w:eastAsia="Calibri"/>
                <w:sz w:val="20"/>
                <w:lang w:val="fr-CA"/>
              </w:rPr>
              <w:t>, R.T. Can. 1991 n</w:t>
            </w:r>
            <w:r w:rsidRPr="003C6CEA">
              <w:rPr>
                <w:rFonts w:eastAsia="Calibri"/>
                <w:sz w:val="20"/>
                <w:vertAlign w:val="superscript"/>
                <w:lang w:val="fr-CA"/>
              </w:rPr>
              <w:t>o</w:t>
            </w:r>
            <w:r w:rsidRPr="003C6CEA">
              <w:rPr>
                <w:rFonts w:eastAsia="Calibri"/>
                <w:sz w:val="20"/>
                <w:lang w:val="fr-CA"/>
              </w:rPr>
              <w:t> 37 à l’égard de la décision du ministre de la Justice d’extrader le demandeur?</w:t>
            </w:r>
          </w:p>
          <w:p w:rsidR="00A67577" w:rsidRPr="003C6CEA" w:rsidRDefault="00A67577" w:rsidP="00974B9D">
            <w:pPr>
              <w:jc w:val="both"/>
              <w:rPr>
                <w:rFonts w:eastAsia="Calibri"/>
                <w:sz w:val="20"/>
                <w:lang w:val="fr-CA"/>
              </w:rPr>
            </w:pPr>
          </w:p>
        </w:tc>
      </w:tr>
      <w:tr w:rsidR="00A67577" w:rsidRPr="00225EDC" w:rsidTr="00974B9D">
        <w:tc>
          <w:tcPr>
            <w:tcW w:w="5000" w:type="pct"/>
            <w:gridSpan w:val="3"/>
          </w:tcPr>
          <w:p w:rsidR="00A67577" w:rsidRPr="003C6CEA" w:rsidRDefault="00A67577" w:rsidP="00974B9D">
            <w:pPr>
              <w:jc w:val="both"/>
              <w:rPr>
                <w:rFonts w:eastAsia="Calibri"/>
                <w:sz w:val="20"/>
                <w:lang w:val="fr-CA"/>
              </w:rPr>
            </w:pPr>
            <w:r w:rsidRPr="003C6CEA">
              <w:rPr>
                <w:rFonts w:eastAsia="Calibri"/>
                <w:sz w:val="20"/>
                <w:lang w:val="fr-CA"/>
              </w:rPr>
              <w:t xml:space="preserve">Les États-Unis ont demandé l’extradition du demandeur relativement à des accusations de complot en vue du trafic d’une substance désignée.  En ordonnant l’extradition du demandeur, le ministre a noté que ce dernier n’était pas citoyen canadien.  Le ministre a conclu qu’il était préférable d’extrader le demandeur, plutôt que de le poursuivre au Canada, puisque le complot allégué avait pour objet le transport d’importantes quantités de drogue vers les États-Unis, l’enquête criminelle avait été effectuée entièrement par les autorités policières des États-Unis, tous les éléments de preuve étaient en la possession des autorités américaines et aucune accusation n’avait été portée au Canada.  Le ministre a conclu que l’extradition du demandeur ne serait ni injuste ni tyrannique et qu’elle ne violerait pas les droits que lui garantit l’article 7 de la </w:t>
            </w:r>
            <w:r w:rsidRPr="003C6CEA">
              <w:rPr>
                <w:rFonts w:eastAsia="Calibri"/>
                <w:i/>
                <w:sz w:val="20"/>
                <w:lang w:val="fr-CA"/>
              </w:rPr>
              <w:t>Charte</w:t>
            </w:r>
            <w:r w:rsidRPr="003C6CEA">
              <w:rPr>
                <w:rFonts w:eastAsia="Calibri"/>
                <w:sz w:val="20"/>
                <w:lang w:val="fr-CA"/>
              </w:rPr>
              <w:t>.  Le ministre a ordonné l’extradition du demandeur.  Les juges majoritaires de la Cour d’appel ont rejeté l’appel de l’ordonnance d’incarcération et la demande de contrôle judiciaire de la décision du ministre; le juge Chiasson était dissident en partie.</w:t>
            </w:r>
          </w:p>
        </w:tc>
      </w:tr>
      <w:tr w:rsidR="00A67577" w:rsidRPr="00225EDC" w:rsidTr="00974B9D">
        <w:tc>
          <w:tcPr>
            <w:tcW w:w="5000" w:type="pct"/>
            <w:gridSpan w:val="3"/>
          </w:tcPr>
          <w:p w:rsidR="00A67577" w:rsidRPr="003C6CEA" w:rsidRDefault="00A67577" w:rsidP="00974B9D">
            <w:pPr>
              <w:jc w:val="both"/>
              <w:rPr>
                <w:rFonts w:eastAsia="Calibri"/>
                <w:sz w:val="20"/>
                <w:lang w:val="fr-CA"/>
              </w:rPr>
            </w:pPr>
          </w:p>
        </w:tc>
      </w:tr>
      <w:tr w:rsidR="00A67577" w:rsidRPr="00225EDC" w:rsidTr="00974B9D">
        <w:tc>
          <w:tcPr>
            <w:tcW w:w="2427" w:type="pct"/>
          </w:tcPr>
          <w:p w:rsidR="00A67577" w:rsidRPr="003C6CEA" w:rsidRDefault="00A67577" w:rsidP="00974B9D">
            <w:pPr>
              <w:jc w:val="both"/>
              <w:rPr>
                <w:rFonts w:eastAsia="Calibri"/>
                <w:sz w:val="20"/>
                <w:lang w:val="fr-CA"/>
              </w:rPr>
            </w:pPr>
            <w:r w:rsidRPr="003C6CEA">
              <w:rPr>
                <w:rFonts w:eastAsia="Calibri"/>
                <w:sz w:val="20"/>
                <w:lang w:val="fr-CA"/>
              </w:rPr>
              <w:t>3 juillet 2012</w:t>
            </w:r>
          </w:p>
          <w:p w:rsidR="00A67577" w:rsidRPr="003C6CEA" w:rsidRDefault="00A67577" w:rsidP="00974B9D">
            <w:pPr>
              <w:jc w:val="both"/>
              <w:rPr>
                <w:rFonts w:eastAsia="Calibri"/>
                <w:sz w:val="20"/>
                <w:lang w:val="fr-CA"/>
              </w:rPr>
            </w:pPr>
            <w:r w:rsidRPr="003C6CEA">
              <w:rPr>
                <w:rFonts w:eastAsia="Calibri"/>
                <w:sz w:val="20"/>
                <w:lang w:val="fr-CA"/>
              </w:rPr>
              <w:t>Cour suprême de la Colombie-Britannique</w:t>
            </w:r>
          </w:p>
          <w:p w:rsidR="00A67577" w:rsidRPr="003C6CEA" w:rsidRDefault="00A67577" w:rsidP="00974B9D">
            <w:pPr>
              <w:jc w:val="both"/>
              <w:rPr>
                <w:rFonts w:eastAsia="Calibri"/>
                <w:sz w:val="20"/>
                <w:lang w:val="fr-CA"/>
              </w:rPr>
            </w:pPr>
            <w:r w:rsidRPr="003C6CEA">
              <w:rPr>
                <w:rFonts w:eastAsia="Calibri"/>
                <w:sz w:val="20"/>
                <w:lang w:val="fr-CA"/>
              </w:rPr>
              <w:t>(Juge Holmes)</w:t>
            </w:r>
          </w:p>
          <w:p w:rsidR="00A67577" w:rsidRPr="003C6CEA" w:rsidRDefault="00A67577" w:rsidP="00974B9D">
            <w:pPr>
              <w:jc w:val="both"/>
              <w:rPr>
                <w:rFonts w:eastAsia="Calibri"/>
                <w:sz w:val="20"/>
                <w:lang w:val="fr-CA"/>
              </w:rPr>
            </w:pPr>
            <w:r w:rsidRPr="003C6CEA">
              <w:rPr>
                <w:rFonts w:eastAsia="Calibri"/>
                <w:sz w:val="20"/>
                <w:lang w:val="fr-CA"/>
              </w:rPr>
              <w:t>2012 BCSC 969</w:t>
            </w:r>
          </w:p>
          <w:p w:rsidR="00A67577" w:rsidRPr="003C6CEA" w:rsidRDefault="00215143" w:rsidP="00974B9D">
            <w:pPr>
              <w:jc w:val="both"/>
              <w:rPr>
                <w:rFonts w:eastAsia="Calibri"/>
                <w:sz w:val="20"/>
                <w:lang w:val="fr-CA"/>
              </w:rPr>
            </w:pPr>
            <w:hyperlink r:id="rId56" w:history="1">
              <w:r w:rsidR="00A67577" w:rsidRPr="003C6CEA">
                <w:rPr>
                  <w:rFonts w:eastAsia="Calibri"/>
                  <w:color w:val="0000FF"/>
                  <w:sz w:val="20"/>
                  <w:u w:val="single"/>
                  <w:lang w:val="fr-CA"/>
                </w:rPr>
                <w:t>http://canlii.ca/t/frxgx</w:t>
              </w:r>
            </w:hyperlink>
          </w:p>
          <w:p w:rsidR="00A67577" w:rsidRPr="003C6CEA" w:rsidRDefault="00A67577" w:rsidP="00974B9D">
            <w:pPr>
              <w:jc w:val="both"/>
              <w:rPr>
                <w:rFonts w:eastAsia="Calibri"/>
                <w:sz w:val="20"/>
                <w:lang w:val="fr-CA"/>
              </w:rPr>
            </w:pPr>
          </w:p>
        </w:tc>
        <w:tc>
          <w:tcPr>
            <w:tcW w:w="243" w:type="pct"/>
          </w:tcPr>
          <w:p w:rsidR="00A67577" w:rsidRPr="003C6CEA" w:rsidRDefault="00A67577" w:rsidP="00974B9D">
            <w:pPr>
              <w:jc w:val="both"/>
              <w:rPr>
                <w:rFonts w:eastAsia="Calibri"/>
                <w:sz w:val="20"/>
                <w:lang w:val="fr-CA"/>
              </w:rPr>
            </w:pPr>
          </w:p>
        </w:tc>
        <w:tc>
          <w:tcPr>
            <w:tcW w:w="2330" w:type="pct"/>
          </w:tcPr>
          <w:p w:rsidR="00A67577" w:rsidRPr="003C6CEA" w:rsidRDefault="00A67577" w:rsidP="00974B9D">
            <w:pPr>
              <w:jc w:val="both"/>
              <w:rPr>
                <w:rFonts w:eastAsia="Calibri"/>
                <w:sz w:val="20"/>
                <w:lang w:val="fr-CA"/>
              </w:rPr>
            </w:pPr>
            <w:r w:rsidRPr="003C6CEA">
              <w:rPr>
                <w:rFonts w:eastAsia="Calibri"/>
                <w:sz w:val="20"/>
                <w:lang w:val="fr-CA"/>
              </w:rPr>
              <w:t>Demandeur incarcéré en attendant son extradition vers les États-Unis d’Amérique</w:t>
            </w:r>
          </w:p>
          <w:p w:rsidR="00A67577" w:rsidRPr="003C6CEA" w:rsidRDefault="00A67577" w:rsidP="00974B9D">
            <w:pPr>
              <w:jc w:val="both"/>
              <w:rPr>
                <w:rFonts w:eastAsia="Calibri"/>
                <w:sz w:val="20"/>
                <w:lang w:val="fr-CA"/>
              </w:rPr>
            </w:pPr>
          </w:p>
        </w:tc>
      </w:tr>
      <w:tr w:rsidR="00A67577" w:rsidRPr="00225EDC" w:rsidTr="00FA1DE8">
        <w:trPr>
          <w:cantSplit/>
        </w:trPr>
        <w:tc>
          <w:tcPr>
            <w:tcW w:w="2427" w:type="pct"/>
          </w:tcPr>
          <w:p w:rsidR="00A67577" w:rsidRPr="003C6CEA" w:rsidRDefault="00A67577" w:rsidP="00974B9D">
            <w:pPr>
              <w:jc w:val="both"/>
              <w:rPr>
                <w:rFonts w:eastAsia="Calibri"/>
                <w:sz w:val="20"/>
                <w:lang w:val="fr-CA"/>
              </w:rPr>
            </w:pPr>
            <w:r w:rsidRPr="003C6CEA">
              <w:rPr>
                <w:rFonts w:eastAsia="Calibri"/>
                <w:sz w:val="20"/>
                <w:lang w:val="fr-CA"/>
              </w:rPr>
              <w:lastRenderedPageBreak/>
              <w:t>3 mai 2013</w:t>
            </w:r>
          </w:p>
          <w:p w:rsidR="00A67577" w:rsidRPr="003C6CEA" w:rsidRDefault="00A67577" w:rsidP="00974B9D">
            <w:pPr>
              <w:jc w:val="both"/>
              <w:rPr>
                <w:rFonts w:eastAsia="Calibri"/>
                <w:sz w:val="20"/>
                <w:lang w:val="fr-CA"/>
              </w:rPr>
            </w:pPr>
            <w:r w:rsidRPr="003C6CEA">
              <w:rPr>
                <w:rFonts w:eastAsia="Calibri"/>
                <w:sz w:val="20"/>
                <w:lang w:val="fr-CA"/>
              </w:rPr>
              <w:t>Cour d’appel de la Colombie-Britannique</w:t>
            </w:r>
          </w:p>
          <w:p w:rsidR="00A67577" w:rsidRPr="003C6CEA" w:rsidRDefault="00A67577" w:rsidP="00974B9D">
            <w:pPr>
              <w:jc w:val="both"/>
              <w:rPr>
                <w:rFonts w:eastAsia="Calibri"/>
                <w:sz w:val="20"/>
              </w:rPr>
            </w:pPr>
            <w:r w:rsidRPr="003C6CEA">
              <w:rPr>
                <w:rFonts w:eastAsia="Calibri"/>
                <w:sz w:val="20"/>
              </w:rPr>
              <w:t>(Juge Hinkson)</w:t>
            </w:r>
          </w:p>
          <w:p w:rsidR="00A67577" w:rsidRPr="003C6CEA" w:rsidRDefault="00A67577" w:rsidP="00974B9D">
            <w:pPr>
              <w:jc w:val="both"/>
              <w:rPr>
                <w:rFonts w:eastAsia="Calibri"/>
                <w:sz w:val="20"/>
              </w:rPr>
            </w:pPr>
            <w:r w:rsidRPr="003C6CEA">
              <w:rPr>
                <w:rFonts w:eastAsia="Calibri"/>
                <w:sz w:val="20"/>
              </w:rPr>
              <w:t>2013 BCCA 207</w:t>
            </w:r>
          </w:p>
          <w:p w:rsidR="00A67577" w:rsidRPr="003C6CEA" w:rsidRDefault="00215143" w:rsidP="00974B9D">
            <w:pPr>
              <w:jc w:val="both"/>
              <w:rPr>
                <w:rFonts w:eastAsia="Calibri"/>
                <w:sz w:val="20"/>
              </w:rPr>
            </w:pPr>
            <w:hyperlink r:id="rId57" w:history="1">
              <w:r w:rsidR="00A67577" w:rsidRPr="003C6CEA">
                <w:rPr>
                  <w:rFonts w:eastAsia="Calibri"/>
                  <w:color w:val="0000FF"/>
                  <w:sz w:val="20"/>
                  <w:u w:val="single"/>
                </w:rPr>
                <w:t>http://canlii.ca/t/fx9cc</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lang w:val="fr-CA"/>
              </w:rPr>
            </w:pPr>
            <w:r w:rsidRPr="003C6CEA">
              <w:rPr>
                <w:rFonts w:eastAsia="Calibri"/>
                <w:sz w:val="20"/>
                <w:lang w:val="fr-CA"/>
              </w:rPr>
              <w:t>Demande fondée sur l’article 684 du</w:t>
            </w:r>
            <w:r w:rsidRPr="003C6CEA">
              <w:rPr>
                <w:rFonts w:eastAsia="Calibri"/>
                <w:i/>
                <w:sz w:val="20"/>
                <w:lang w:val="fr-CA"/>
              </w:rPr>
              <w:t xml:space="preserve"> Code criminel </w:t>
            </w:r>
            <w:r w:rsidRPr="003C6CEA">
              <w:rPr>
                <w:rFonts w:eastAsia="Calibri"/>
                <w:sz w:val="20"/>
                <w:lang w:val="fr-CA"/>
              </w:rPr>
              <w:t>en nomination d’un avocat pour agir au nom du demandeur relativement à son appel et à sa demande de contrôle judiciaire, rejetée</w:t>
            </w:r>
          </w:p>
          <w:p w:rsidR="00A67577" w:rsidRPr="003C6CEA" w:rsidRDefault="00A67577" w:rsidP="00974B9D">
            <w:pPr>
              <w:jc w:val="both"/>
              <w:rPr>
                <w:rFonts w:eastAsia="Calibri"/>
                <w:sz w:val="20"/>
                <w:lang w:val="fr-CA"/>
              </w:rPr>
            </w:pPr>
          </w:p>
        </w:tc>
      </w:tr>
      <w:tr w:rsidR="00A67577" w:rsidRPr="00225EDC" w:rsidTr="00FA1DE8">
        <w:trPr>
          <w:cantSplit/>
        </w:trPr>
        <w:tc>
          <w:tcPr>
            <w:tcW w:w="2427" w:type="pct"/>
          </w:tcPr>
          <w:p w:rsidR="00A67577" w:rsidRPr="003C6CEA" w:rsidRDefault="00A67577" w:rsidP="00974B9D">
            <w:pPr>
              <w:jc w:val="both"/>
              <w:rPr>
                <w:rFonts w:eastAsia="Calibri"/>
                <w:sz w:val="20"/>
                <w:lang w:val="fr-CA"/>
              </w:rPr>
            </w:pPr>
            <w:r w:rsidRPr="003C6CEA">
              <w:rPr>
                <w:rFonts w:eastAsia="Calibri"/>
                <w:sz w:val="20"/>
                <w:lang w:val="fr-CA"/>
              </w:rPr>
              <w:t>9 avril 2014</w:t>
            </w:r>
          </w:p>
          <w:p w:rsidR="00A67577" w:rsidRPr="003C6CEA" w:rsidRDefault="00A67577" w:rsidP="00974B9D">
            <w:pPr>
              <w:jc w:val="both"/>
              <w:rPr>
                <w:rFonts w:eastAsia="Calibri"/>
                <w:sz w:val="20"/>
                <w:lang w:val="fr-CA"/>
              </w:rPr>
            </w:pPr>
            <w:r w:rsidRPr="003C6CEA">
              <w:rPr>
                <w:rFonts w:eastAsia="Calibri"/>
                <w:sz w:val="20"/>
                <w:lang w:val="fr-CA"/>
              </w:rPr>
              <w:t>Cour d’appel de la Colombie-Britannique</w:t>
            </w:r>
          </w:p>
          <w:p w:rsidR="00A67577" w:rsidRPr="003C6CEA" w:rsidRDefault="00A67577" w:rsidP="00974B9D">
            <w:pPr>
              <w:jc w:val="both"/>
              <w:rPr>
                <w:rFonts w:eastAsia="Calibri"/>
                <w:sz w:val="20"/>
                <w:lang w:val="fr-CA"/>
              </w:rPr>
            </w:pPr>
            <w:r w:rsidRPr="003C6CEA">
              <w:rPr>
                <w:rFonts w:eastAsia="Calibri"/>
                <w:sz w:val="20"/>
                <w:lang w:val="fr-CA"/>
              </w:rPr>
              <w:t>(Vancouver)</w:t>
            </w:r>
          </w:p>
          <w:p w:rsidR="00A67577" w:rsidRPr="003C6CEA" w:rsidRDefault="00A67577" w:rsidP="00974B9D">
            <w:pPr>
              <w:jc w:val="both"/>
              <w:rPr>
                <w:rFonts w:eastAsia="Calibri"/>
                <w:sz w:val="20"/>
                <w:lang w:val="fr-CA"/>
              </w:rPr>
            </w:pPr>
            <w:r w:rsidRPr="003C6CEA">
              <w:rPr>
                <w:rFonts w:eastAsia="Calibri"/>
                <w:sz w:val="20"/>
                <w:lang w:val="fr-CA"/>
              </w:rPr>
              <w:t>(Juge en chef Bauman, juges Bennett et Chiasson (dissident en partie))</w:t>
            </w:r>
          </w:p>
          <w:p w:rsidR="00A67577" w:rsidRPr="003C6CEA" w:rsidRDefault="00A67577" w:rsidP="00974B9D">
            <w:pPr>
              <w:jc w:val="both"/>
              <w:rPr>
                <w:rFonts w:eastAsia="Calibri"/>
                <w:sz w:val="20"/>
              </w:rPr>
            </w:pPr>
            <w:r w:rsidRPr="003C6CEA">
              <w:rPr>
                <w:rFonts w:eastAsia="Calibri"/>
                <w:sz w:val="20"/>
              </w:rPr>
              <w:t>2014 BCCA 136, CA40047</w:t>
            </w:r>
          </w:p>
          <w:p w:rsidR="00A67577" w:rsidRPr="003C6CEA" w:rsidRDefault="00215143" w:rsidP="00974B9D">
            <w:pPr>
              <w:jc w:val="both"/>
              <w:rPr>
                <w:rFonts w:eastAsia="Calibri"/>
                <w:sz w:val="20"/>
              </w:rPr>
            </w:pPr>
            <w:hyperlink r:id="rId58" w:history="1">
              <w:r w:rsidR="00A67577" w:rsidRPr="003C6CEA">
                <w:rPr>
                  <w:rFonts w:eastAsia="Calibri"/>
                  <w:color w:val="0000FF"/>
                  <w:sz w:val="20"/>
                  <w:u w:val="single"/>
                </w:rPr>
                <w:t>http://canlii.ca/t/g6gdg</w:t>
              </w:r>
            </w:hyperlink>
          </w:p>
          <w:p w:rsidR="00A67577" w:rsidRPr="003C6CEA" w:rsidRDefault="00A67577" w:rsidP="00974B9D">
            <w:pPr>
              <w:jc w:val="both"/>
              <w:rPr>
                <w:rFonts w:eastAsia="Calibri"/>
                <w:sz w:val="20"/>
              </w:rPr>
            </w:pPr>
          </w:p>
        </w:tc>
        <w:tc>
          <w:tcPr>
            <w:tcW w:w="243" w:type="pct"/>
          </w:tcPr>
          <w:p w:rsidR="00A67577" w:rsidRPr="003C6CEA" w:rsidRDefault="00A67577" w:rsidP="00974B9D">
            <w:pPr>
              <w:jc w:val="both"/>
              <w:rPr>
                <w:rFonts w:eastAsia="Calibri"/>
                <w:sz w:val="20"/>
              </w:rPr>
            </w:pPr>
          </w:p>
        </w:tc>
        <w:tc>
          <w:tcPr>
            <w:tcW w:w="2330" w:type="pct"/>
          </w:tcPr>
          <w:p w:rsidR="00A67577" w:rsidRPr="003C6CEA" w:rsidRDefault="00A67577" w:rsidP="00974B9D">
            <w:pPr>
              <w:jc w:val="both"/>
              <w:rPr>
                <w:rFonts w:eastAsia="Calibri"/>
                <w:sz w:val="20"/>
                <w:lang w:val="fr-CA"/>
              </w:rPr>
            </w:pPr>
            <w:r w:rsidRPr="003C6CEA">
              <w:rPr>
                <w:rFonts w:eastAsia="Calibri"/>
                <w:sz w:val="20"/>
                <w:lang w:val="fr-CA"/>
              </w:rPr>
              <w:t>Appel de l’ordonnance d’incarcération et demande de contrôle judiciaire de la décision du ministre, rejeté</w:t>
            </w:r>
          </w:p>
          <w:p w:rsidR="00A67577" w:rsidRPr="003C6CEA" w:rsidRDefault="00A67577" w:rsidP="00974B9D">
            <w:pPr>
              <w:jc w:val="both"/>
              <w:rPr>
                <w:rFonts w:eastAsia="Calibri"/>
                <w:sz w:val="20"/>
                <w:lang w:val="fr-CA"/>
              </w:rPr>
            </w:pPr>
          </w:p>
        </w:tc>
      </w:tr>
      <w:tr w:rsidR="00A67577" w:rsidRPr="003C6CEA" w:rsidTr="00FA1DE8">
        <w:trPr>
          <w:cantSplit/>
        </w:trPr>
        <w:tc>
          <w:tcPr>
            <w:tcW w:w="2427" w:type="pct"/>
          </w:tcPr>
          <w:p w:rsidR="00A67577" w:rsidRPr="003C6CEA" w:rsidRDefault="00A67577" w:rsidP="00974B9D">
            <w:pPr>
              <w:jc w:val="both"/>
              <w:rPr>
                <w:rFonts w:eastAsia="Calibri"/>
                <w:sz w:val="20"/>
                <w:lang w:val="fr-CA"/>
              </w:rPr>
            </w:pPr>
            <w:r w:rsidRPr="003C6CEA">
              <w:rPr>
                <w:rFonts w:eastAsia="Calibri"/>
                <w:sz w:val="20"/>
                <w:lang w:val="fr-CA"/>
              </w:rPr>
              <w:t>9 juin 2014</w:t>
            </w:r>
          </w:p>
          <w:p w:rsidR="00A67577" w:rsidRPr="003C6CEA" w:rsidRDefault="00A67577" w:rsidP="00974B9D">
            <w:pPr>
              <w:jc w:val="both"/>
              <w:rPr>
                <w:rFonts w:eastAsia="Calibri"/>
                <w:sz w:val="20"/>
                <w:lang w:val="fr-CA"/>
              </w:rPr>
            </w:pPr>
            <w:r w:rsidRPr="003C6CEA">
              <w:rPr>
                <w:rFonts w:eastAsia="Calibri"/>
                <w:sz w:val="20"/>
                <w:lang w:val="fr-CA"/>
              </w:rPr>
              <w:t>Cour suprême du Canada</w:t>
            </w:r>
          </w:p>
        </w:tc>
        <w:tc>
          <w:tcPr>
            <w:tcW w:w="243" w:type="pct"/>
          </w:tcPr>
          <w:p w:rsidR="00A67577" w:rsidRPr="003C6CEA" w:rsidRDefault="00A67577" w:rsidP="00974B9D">
            <w:pPr>
              <w:jc w:val="both"/>
              <w:rPr>
                <w:rFonts w:eastAsia="Calibri"/>
                <w:sz w:val="20"/>
                <w:lang w:val="fr-CA"/>
              </w:rPr>
            </w:pPr>
          </w:p>
        </w:tc>
        <w:tc>
          <w:tcPr>
            <w:tcW w:w="2330" w:type="pct"/>
          </w:tcPr>
          <w:p w:rsidR="00A67577" w:rsidRPr="003C6CEA" w:rsidRDefault="00A67577" w:rsidP="00974B9D">
            <w:pPr>
              <w:jc w:val="both"/>
              <w:rPr>
                <w:rFonts w:eastAsia="Calibri"/>
                <w:sz w:val="20"/>
                <w:lang w:val="fr-CA"/>
              </w:rPr>
            </w:pPr>
            <w:r w:rsidRPr="003C6CEA">
              <w:rPr>
                <w:rFonts w:eastAsia="Calibri"/>
                <w:sz w:val="20"/>
                <w:lang w:val="fr-CA"/>
              </w:rPr>
              <w:t>Demande d’autorisation d’appel, déposée</w:t>
            </w: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60"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5204" w:rsidRPr="00225EDC" w:rsidTr="001068B6">
        <w:trPr>
          <w:cantSplit/>
        </w:trPr>
        <w:tc>
          <w:tcPr>
            <w:tcW w:w="1458" w:type="dxa"/>
          </w:tcPr>
          <w:p w:rsidR="00AD5204" w:rsidRPr="00A04AD5" w:rsidRDefault="00AD5204" w:rsidP="001068B6">
            <w:pPr>
              <w:rPr>
                <w:sz w:val="20"/>
                <w:szCs w:val="20"/>
              </w:rPr>
            </w:pPr>
            <w:r w:rsidRPr="00A04AD5">
              <w:rPr>
                <w:rStyle w:val="SCCFileNumberChar"/>
                <w:sz w:val="20"/>
                <w:szCs w:val="20"/>
              </w:rPr>
              <w:t>35897</w:t>
            </w:r>
          </w:p>
          <w:p w:rsidR="00AD5204" w:rsidRPr="00A04AD5" w:rsidRDefault="00AD5204" w:rsidP="001068B6">
            <w:pPr>
              <w:rPr>
                <w:b/>
                <w:sz w:val="20"/>
                <w:szCs w:val="20"/>
                <w:lang w:val="fr-CA"/>
              </w:rPr>
            </w:pPr>
          </w:p>
        </w:tc>
        <w:tc>
          <w:tcPr>
            <w:tcW w:w="8118" w:type="dxa"/>
          </w:tcPr>
          <w:p w:rsidR="00AD5204" w:rsidRPr="00A04AD5" w:rsidRDefault="00AD5204" w:rsidP="001068B6">
            <w:pPr>
              <w:jc w:val="both"/>
              <w:rPr>
                <w:sz w:val="20"/>
                <w:szCs w:val="20"/>
                <w:lang w:val="fr-CA"/>
              </w:rPr>
            </w:pPr>
            <w:r w:rsidRPr="00A04AD5">
              <w:rPr>
                <w:rStyle w:val="SCCLsocChar"/>
                <w:sz w:val="20"/>
                <w:szCs w:val="20"/>
              </w:rPr>
              <w:t>Louis Gagné c. Laurette Gingras Gauvreau, en sa qualité de liquidatrice de la succession de feu Gilbert Gauvreau</w:t>
            </w:r>
            <w:r w:rsidRPr="00A04AD5">
              <w:rPr>
                <w:sz w:val="20"/>
                <w:szCs w:val="20"/>
                <w:lang w:val="fr-CA"/>
              </w:rPr>
              <w:t xml:space="preserve"> (Qc) (Civile) (Autorisation)</w:t>
            </w:r>
          </w:p>
          <w:p w:rsidR="00AD5204" w:rsidRPr="00A04AD5" w:rsidRDefault="00AD5204" w:rsidP="001068B6">
            <w:pPr>
              <w:jc w:val="both"/>
              <w:rPr>
                <w:sz w:val="20"/>
                <w:szCs w:val="20"/>
                <w:lang w:val="fr-CA"/>
              </w:rPr>
            </w:pPr>
          </w:p>
        </w:tc>
      </w:tr>
      <w:tr w:rsidR="00AD5204" w:rsidRPr="00225EDC" w:rsidTr="001068B6">
        <w:trPr>
          <w:cantSplit/>
        </w:trPr>
        <w:tc>
          <w:tcPr>
            <w:tcW w:w="1458" w:type="dxa"/>
          </w:tcPr>
          <w:p w:rsidR="00AD5204" w:rsidRPr="00A04AD5" w:rsidRDefault="00AD5204" w:rsidP="001068B6">
            <w:pPr>
              <w:rPr>
                <w:sz w:val="20"/>
                <w:szCs w:val="20"/>
              </w:rPr>
            </w:pPr>
            <w:r w:rsidRPr="00A04AD5">
              <w:rPr>
                <w:sz w:val="20"/>
                <w:szCs w:val="20"/>
              </w:rPr>
              <w:t>Coram :</w:t>
            </w:r>
          </w:p>
        </w:tc>
        <w:tc>
          <w:tcPr>
            <w:tcW w:w="8118" w:type="dxa"/>
          </w:tcPr>
          <w:p w:rsidR="00AD5204" w:rsidRPr="00A04AD5" w:rsidRDefault="00AD5204" w:rsidP="001068B6">
            <w:pPr>
              <w:rPr>
                <w:sz w:val="20"/>
                <w:szCs w:val="20"/>
                <w:lang w:val="fr-CA"/>
              </w:rPr>
            </w:pPr>
            <w:r w:rsidRPr="00A04AD5">
              <w:rPr>
                <w:rStyle w:val="SCCCoramChar"/>
                <w:sz w:val="20"/>
                <w:szCs w:val="20"/>
              </w:rPr>
              <w:t>La juge en chef McLachlin et les juges Cromwell et Wagner</w:t>
            </w:r>
          </w:p>
          <w:p w:rsidR="00AD5204" w:rsidRPr="00A04AD5" w:rsidRDefault="00AD5204" w:rsidP="001068B6">
            <w:pPr>
              <w:rPr>
                <w:sz w:val="20"/>
                <w:szCs w:val="20"/>
                <w:u w:val="single"/>
                <w:lang w:val="fr-CA"/>
              </w:rPr>
            </w:pPr>
          </w:p>
        </w:tc>
      </w:tr>
      <w:tr w:rsidR="00AD5204" w:rsidRPr="00A04AD5" w:rsidTr="001068B6">
        <w:trPr>
          <w:cantSplit/>
        </w:trPr>
        <w:tc>
          <w:tcPr>
            <w:tcW w:w="9576" w:type="dxa"/>
            <w:gridSpan w:val="2"/>
          </w:tcPr>
          <w:p w:rsidR="00AD5204" w:rsidRPr="00A04AD5" w:rsidRDefault="00AD5204" w:rsidP="001068B6">
            <w:pPr>
              <w:pStyle w:val="SCCShortJudgment"/>
              <w:rPr>
                <w:szCs w:val="20"/>
                <w:lang w:val="fr-CA"/>
              </w:rPr>
            </w:pPr>
            <w:r w:rsidRPr="00A04AD5">
              <w:rPr>
                <w:szCs w:val="20"/>
                <w:lang w:val="fr-CA"/>
              </w:rPr>
              <w:t>La demande d’autorisation d’appel de l’arrêt de la Cour d’appel du Québec (Montréal), numéro 500-09-022823-124, 2014 QCCA 615, daté du 25 mars 2014, est rejetée sans dépens.</w:t>
            </w:r>
          </w:p>
          <w:p w:rsidR="00AD5204" w:rsidRPr="00A04AD5" w:rsidRDefault="00AD5204" w:rsidP="001068B6">
            <w:pPr>
              <w:pStyle w:val="SCCShortJudgment"/>
              <w:ind w:firstLine="0"/>
              <w:rPr>
                <w:szCs w:val="20"/>
                <w:lang w:val="fr-CA"/>
              </w:rPr>
            </w:pPr>
          </w:p>
          <w:p w:rsidR="00AD5204" w:rsidRPr="00A04AD5" w:rsidRDefault="00AD5204" w:rsidP="001068B6">
            <w:pPr>
              <w:pStyle w:val="SCCShortJudgment"/>
              <w:rPr>
                <w:szCs w:val="20"/>
              </w:rPr>
            </w:pPr>
            <w:r w:rsidRPr="00A04AD5">
              <w:rPr>
                <w:szCs w:val="20"/>
              </w:rPr>
              <w:t>The application for leave to appeal from the judgment of the Court of Appeal of Quebec (Montréal), Number 500-09-022823-124, 2014 QCCA 615, dated March 25, 2014, is dismissed without costs.</w:t>
            </w:r>
          </w:p>
        </w:tc>
      </w:tr>
    </w:tbl>
    <w:p w:rsidR="00402B2C" w:rsidRDefault="00402B2C" w:rsidP="00402B2C">
      <w:pPr>
        <w:rPr>
          <w:sz w:val="20"/>
          <w:szCs w:val="20"/>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4B9D" w:rsidRPr="003C6CEA" w:rsidTr="00974B9D">
        <w:tc>
          <w:tcPr>
            <w:tcW w:w="5000" w:type="pct"/>
            <w:gridSpan w:val="3"/>
          </w:tcPr>
          <w:p w:rsidR="00974B9D" w:rsidRPr="003C6CEA" w:rsidRDefault="00974B9D" w:rsidP="00974B9D">
            <w:pPr>
              <w:jc w:val="both"/>
              <w:rPr>
                <w:rFonts w:eastAsia="Calibri"/>
                <w:sz w:val="20"/>
              </w:rPr>
            </w:pPr>
            <w:r w:rsidRPr="003C6CEA">
              <w:rPr>
                <w:rFonts w:eastAsia="Calibri"/>
                <w:sz w:val="20"/>
              </w:rPr>
              <w:t>Contracts – Loan contract – Term – Negotiable instruments – Prescription – Trial judge finding that there was loan with indefinite term and ordering applicant to repay amount owed – Whether courts should have found that there was no loan – In alternative, whether claim prescribed or whether term set unreasonable.</w:t>
            </w:r>
          </w:p>
        </w:tc>
      </w:tr>
      <w:tr w:rsidR="00974B9D" w:rsidRPr="003C6CEA" w:rsidTr="00974B9D">
        <w:tc>
          <w:tcPr>
            <w:tcW w:w="5000" w:type="pct"/>
            <w:gridSpan w:val="3"/>
          </w:tcPr>
          <w:p w:rsidR="00974B9D" w:rsidRPr="003C6CEA" w:rsidRDefault="00974B9D" w:rsidP="00974B9D">
            <w:pPr>
              <w:jc w:val="both"/>
              <w:rPr>
                <w:rFonts w:eastAsia="Calibri"/>
                <w:sz w:val="20"/>
              </w:rPr>
            </w:pPr>
          </w:p>
        </w:tc>
      </w:tr>
      <w:tr w:rsidR="00974B9D" w:rsidRPr="003C6CEA" w:rsidTr="00974B9D">
        <w:tc>
          <w:tcPr>
            <w:tcW w:w="5000" w:type="pct"/>
            <w:gridSpan w:val="3"/>
          </w:tcPr>
          <w:p w:rsidR="00974B9D" w:rsidRPr="003C6CEA" w:rsidRDefault="00974B9D" w:rsidP="00974B9D">
            <w:pPr>
              <w:jc w:val="both"/>
              <w:rPr>
                <w:rFonts w:eastAsia="Calibri"/>
                <w:sz w:val="20"/>
              </w:rPr>
            </w:pPr>
            <w:r w:rsidRPr="003C6CEA">
              <w:rPr>
                <w:rFonts w:eastAsia="Calibri"/>
                <w:sz w:val="20"/>
              </w:rPr>
              <w:t>Between 2003 and 2005, Gilbert Gauvreau made advances totalling $45,436.35 to the applicant, Mr. Gagné.  Mr. Gauvreau died on April 9, 2009.  The respondent, Ms. Gingras Gauvreau, was the liquidator of his succession.  Since she considered the advances to be loans with an indefinite term, and in light of Mr. Gagné’s refusal to repay the amounts claimed, Ms. Gingras Gauvreau went to court to have a term set and secure repayment.  In his defence, Mr. Gagné argued that the advances were not loans and that the cash payments had not been structured as loans and had no repayment terms.  According to him, Mr. Gauvreau had given him financial support to carry out a joint project to develop a construction material that Mr. Gauvreau hoped to use for commercial purposes.</w:t>
            </w:r>
          </w:p>
          <w:p w:rsidR="00974B9D" w:rsidRPr="003C6CEA" w:rsidRDefault="00974B9D" w:rsidP="00974B9D">
            <w:pPr>
              <w:jc w:val="both"/>
              <w:rPr>
                <w:rFonts w:eastAsia="Calibri"/>
                <w:sz w:val="20"/>
              </w:rPr>
            </w:pPr>
          </w:p>
          <w:p w:rsidR="00974B9D" w:rsidRPr="003C6CEA" w:rsidRDefault="00974B9D" w:rsidP="00974B9D">
            <w:pPr>
              <w:jc w:val="both"/>
              <w:rPr>
                <w:rFonts w:eastAsia="Calibri"/>
                <w:sz w:val="20"/>
              </w:rPr>
            </w:pPr>
            <w:r w:rsidRPr="003C6CEA">
              <w:rPr>
                <w:rFonts w:eastAsia="Calibri"/>
                <w:sz w:val="20"/>
              </w:rPr>
              <w:t xml:space="preserve">The Court of Québec allowed the action.  Judge Séguin found that the legal nature of the obligation between the late Mr. Gauvreau and Mr. Gagné was that of a loan with an indefinite term.  According to the judge, the intention to end the loan and require its repayment had been expressed for the first time in November 2009 by the liquidator of the succession when she had gone to Mr. Gagné’s home to seek repayment of the amounts.  In the circumstances, the judge found that the action instituted by the liquidator on April 14, 2011 was not prescribed by art. 2925 C.C.Q.  He ordered Mr. Gagné to pay $45,436.35 with interest and an additional indemnity.  The Court of Appeal dismissed the </w:t>
            </w:r>
            <w:r w:rsidRPr="003C6CEA">
              <w:rPr>
                <w:rFonts w:eastAsia="Calibri"/>
                <w:sz w:val="20"/>
              </w:rPr>
              <w:lastRenderedPageBreak/>
              <w:t>appeal.</w:t>
            </w:r>
          </w:p>
          <w:p w:rsidR="00974B9D" w:rsidRPr="003C6CEA" w:rsidRDefault="00974B9D" w:rsidP="00974B9D">
            <w:pPr>
              <w:jc w:val="both"/>
              <w:rPr>
                <w:rFonts w:eastAsia="Calibri"/>
                <w:sz w:val="20"/>
              </w:rPr>
            </w:pPr>
          </w:p>
        </w:tc>
      </w:tr>
      <w:tr w:rsidR="00974B9D" w:rsidRPr="003C6CEA" w:rsidTr="00974B9D">
        <w:tc>
          <w:tcPr>
            <w:tcW w:w="2427" w:type="pct"/>
          </w:tcPr>
          <w:p w:rsidR="00974B9D" w:rsidRPr="003C6CEA" w:rsidRDefault="00974B9D" w:rsidP="00974B9D">
            <w:pPr>
              <w:jc w:val="both"/>
              <w:rPr>
                <w:rFonts w:eastAsia="Calibri"/>
                <w:sz w:val="20"/>
              </w:rPr>
            </w:pPr>
            <w:r w:rsidRPr="003C6CEA">
              <w:rPr>
                <w:rFonts w:eastAsia="Calibri"/>
                <w:sz w:val="20"/>
              </w:rPr>
              <w:lastRenderedPageBreak/>
              <w:t>June 12, 2012</w:t>
            </w:r>
          </w:p>
          <w:p w:rsidR="00974B9D" w:rsidRPr="003C6CEA" w:rsidRDefault="00974B9D" w:rsidP="00974B9D">
            <w:pPr>
              <w:jc w:val="both"/>
              <w:rPr>
                <w:rFonts w:eastAsia="Calibri"/>
                <w:sz w:val="20"/>
              </w:rPr>
            </w:pPr>
            <w:r w:rsidRPr="003C6CEA">
              <w:rPr>
                <w:rFonts w:eastAsia="Calibri"/>
                <w:sz w:val="20"/>
              </w:rPr>
              <w:t>Court of Québec</w:t>
            </w:r>
          </w:p>
          <w:p w:rsidR="00974B9D" w:rsidRPr="003C6CEA" w:rsidRDefault="00974B9D" w:rsidP="00974B9D">
            <w:pPr>
              <w:jc w:val="both"/>
              <w:rPr>
                <w:rFonts w:eastAsia="Calibri"/>
                <w:sz w:val="20"/>
              </w:rPr>
            </w:pPr>
            <w:r w:rsidRPr="003C6CEA">
              <w:rPr>
                <w:rFonts w:eastAsia="Calibri"/>
                <w:sz w:val="20"/>
              </w:rPr>
              <w:t>(Judge Séguin)</w:t>
            </w:r>
          </w:p>
          <w:p w:rsidR="00974B9D" w:rsidRPr="003C6CEA" w:rsidRDefault="00974B9D" w:rsidP="00974B9D">
            <w:pPr>
              <w:jc w:val="both"/>
              <w:rPr>
                <w:rFonts w:eastAsia="Calibri"/>
                <w:sz w:val="20"/>
              </w:rPr>
            </w:pPr>
          </w:p>
        </w:tc>
        <w:tc>
          <w:tcPr>
            <w:tcW w:w="243" w:type="pct"/>
          </w:tcPr>
          <w:p w:rsidR="00974B9D" w:rsidRPr="003C6CEA" w:rsidRDefault="00974B9D" w:rsidP="00974B9D">
            <w:pPr>
              <w:jc w:val="both"/>
              <w:rPr>
                <w:rFonts w:eastAsia="Calibri"/>
                <w:sz w:val="20"/>
              </w:rPr>
            </w:pPr>
          </w:p>
        </w:tc>
        <w:tc>
          <w:tcPr>
            <w:tcW w:w="2330" w:type="pct"/>
          </w:tcPr>
          <w:p w:rsidR="00974B9D" w:rsidRPr="003C6CEA" w:rsidRDefault="00974B9D" w:rsidP="00974B9D">
            <w:pPr>
              <w:jc w:val="both"/>
              <w:rPr>
                <w:rFonts w:eastAsia="Calibri"/>
                <w:sz w:val="20"/>
              </w:rPr>
            </w:pPr>
            <w:r w:rsidRPr="003C6CEA">
              <w:rPr>
                <w:rFonts w:eastAsia="Calibri"/>
                <w:sz w:val="20"/>
              </w:rPr>
              <w:t>Action allowed; applicant ordered to pay $45,436.35 with interest and additional indemnity</w:t>
            </w:r>
          </w:p>
          <w:p w:rsidR="00974B9D" w:rsidRPr="003C6CEA" w:rsidRDefault="00974B9D" w:rsidP="00974B9D">
            <w:pPr>
              <w:jc w:val="both"/>
              <w:rPr>
                <w:rFonts w:eastAsia="Calibri"/>
                <w:sz w:val="20"/>
              </w:rPr>
            </w:pPr>
          </w:p>
        </w:tc>
      </w:tr>
      <w:tr w:rsidR="00974B9D" w:rsidRPr="003C6CEA" w:rsidTr="00974B9D">
        <w:tc>
          <w:tcPr>
            <w:tcW w:w="2427" w:type="pct"/>
          </w:tcPr>
          <w:p w:rsidR="00974B9D" w:rsidRPr="003C6CEA" w:rsidRDefault="00974B9D" w:rsidP="00974B9D">
            <w:pPr>
              <w:jc w:val="both"/>
              <w:rPr>
                <w:rFonts w:eastAsia="Calibri"/>
                <w:sz w:val="20"/>
              </w:rPr>
            </w:pPr>
            <w:r w:rsidRPr="003C6CEA">
              <w:rPr>
                <w:rFonts w:eastAsia="Calibri"/>
                <w:sz w:val="20"/>
              </w:rPr>
              <w:t>March 25, 2014</w:t>
            </w:r>
          </w:p>
          <w:p w:rsidR="00974B9D" w:rsidRPr="003C6CEA" w:rsidRDefault="00974B9D" w:rsidP="00974B9D">
            <w:pPr>
              <w:jc w:val="both"/>
              <w:rPr>
                <w:rFonts w:eastAsia="Calibri"/>
                <w:sz w:val="20"/>
              </w:rPr>
            </w:pPr>
            <w:r w:rsidRPr="003C6CEA">
              <w:rPr>
                <w:rFonts w:eastAsia="Calibri"/>
                <w:sz w:val="20"/>
              </w:rPr>
              <w:t>Quebec Court of Appeal (Montréal)</w:t>
            </w:r>
          </w:p>
          <w:p w:rsidR="00974B9D" w:rsidRPr="003C6CEA" w:rsidRDefault="00974B9D" w:rsidP="00974B9D">
            <w:pPr>
              <w:jc w:val="both"/>
              <w:rPr>
                <w:rFonts w:eastAsia="Calibri"/>
                <w:sz w:val="20"/>
              </w:rPr>
            </w:pPr>
            <w:r w:rsidRPr="003C6CEA">
              <w:rPr>
                <w:rFonts w:eastAsia="Calibri"/>
                <w:sz w:val="20"/>
              </w:rPr>
              <w:t>(Duval Hesler C.J. and Doyon and Léger JJ.A.)</w:t>
            </w:r>
          </w:p>
          <w:p w:rsidR="00974B9D" w:rsidRPr="003C6CEA" w:rsidRDefault="00974B9D" w:rsidP="00974B9D">
            <w:pPr>
              <w:jc w:val="both"/>
              <w:rPr>
                <w:rFonts w:eastAsia="Calibri"/>
                <w:sz w:val="20"/>
              </w:rPr>
            </w:pPr>
            <w:r w:rsidRPr="003C6CEA">
              <w:rPr>
                <w:rFonts w:eastAsia="Calibri"/>
                <w:sz w:val="20"/>
              </w:rPr>
              <w:t>500-09-022823-124;</w:t>
            </w:r>
            <w:hyperlink r:id="rId59" w:history="1">
              <w:r w:rsidRPr="003C6CEA">
                <w:rPr>
                  <w:rFonts w:eastAsia="Calibri"/>
                  <w:color w:val="0000FF"/>
                  <w:sz w:val="20"/>
                </w:rPr>
                <w:t xml:space="preserve"> </w:t>
              </w:r>
              <w:r w:rsidRPr="003C6CEA">
                <w:rPr>
                  <w:rFonts w:eastAsia="Calibri"/>
                  <w:color w:val="0000FF"/>
                  <w:sz w:val="20"/>
                  <w:u w:val="single"/>
                </w:rPr>
                <w:t>2014 QCCA 615</w:t>
              </w:r>
            </w:hyperlink>
          </w:p>
          <w:p w:rsidR="00974B9D" w:rsidRPr="003C6CEA" w:rsidRDefault="00974B9D" w:rsidP="00974B9D">
            <w:pPr>
              <w:jc w:val="both"/>
              <w:rPr>
                <w:rFonts w:eastAsia="Calibri"/>
                <w:sz w:val="20"/>
              </w:rPr>
            </w:pPr>
          </w:p>
        </w:tc>
        <w:tc>
          <w:tcPr>
            <w:tcW w:w="243" w:type="pct"/>
          </w:tcPr>
          <w:p w:rsidR="00974B9D" w:rsidRPr="003C6CEA" w:rsidRDefault="00974B9D" w:rsidP="00974B9D">
            <w:pPr>
              <w:jc w:val="both"/>
              <w:rPr>
                <w:rFonts w:eastAsia="Calibri"/>
                <w:sz w:val="20"/>
              </w:rPr>
            </w:pPr>
          </w:p>
        </w:tc>
        <w:tc>
          <w:tcPr>
            <w:tcW w:w="2330" w:type="pct"/>
          </w:tcPr>
          <w:p w:rsidR="00974B9D" w:rsidRPr="003C6CEA" w:rsidRDefault="00974B9D" w:rsidP="00974B9D">
            <w:pPr>
              <w:jc w:val="both"/>
              <w:rPr>
                <w:rFonts w:eastAsia="Calibri"/>
                <w:sz w:val="20"/>
              </w:rPr>
            </w:pPr>
            <w:r w:rsidRPr="003C6CEA">
              <w:rPr>
                <w:rFonts w:eastAsia="Calibri"/>
                <w:sz w:val="20"/>
              </w:rPr>
              <w:t>Appeal dismissed</w:t>
            </w:r>
          </w:p>
          <w:p w:rsidR="00974B9D" w:rsidRPr="003C6CEA" w:rsidRDefault="00974B9D" w:rsidP="00974B9D">
            <w:pPr>
              <w:jc w:val="both"/>
              <w:rPr>
                <w:rFonts w:eastAsia="Calibri"/>
                <w:sz w:val="20"/>
              </w:rPr>
            </w:pPr>
          </w:p>
        </w:tc>
      </w:tr>
      <w:tr w:rsidR="00974B9D" w:rsidRPr="003C6CEA" w:rsidTr="00974B9D">
        <w:tc>
          <w:tcPr>
            <w:tcW w:w="2427" w:type="pct"/>
          </w:tcPr>
          <w:p w:rsidR="00974B9D" w:rsidRPr="003C6CEA" w:rsidRDefault="00974B9D" w:rsidP="00974B9D">
            <w:pPr>
              <w:jc w:val="both"/>
              <w:rPr>
                <w:rFonts w:eastAsia="Calibri"/>
                <w:sz w:val="20"/>
              </w:rPr>
            </w:pPr>
            <w:r w:rsidRPr="003C6CEA">
              <w:rPr>
                <w:rFonts w:eastAsia="Calibri"/>
                <w:sz w:val="20"/>
              </w:rPr>
              <w:t>May 20, 2014</w:t>
            </w:r>
          </w:p>
          <w:p w:rsidR="00974B9D" w:rsidRPr="003C6CEA" w:rsidRDefault="00974B9D" w:rsidP="00974B9D">
            <w:pPr>
              <w:jc w:val="both"/>
              <w:rPr>
                <w:rFonts w:eastAsia="Calibri"/>
                <w:sz w:val="20"/>
              </w:rPr>
            </w:pPr>
            <w:r w:rsidRPr="003C6CEA">
              <w:rPr>
                <w:rFonts w:eastAsia="Calibri"/>
                <w:sz w:val="20"/>
              </w:rPr>
              <w:t>Supreme Court of Canada</w:t>
            </w:r>
          </w:p>
        </w:tc>
        <w:tc>
          <w:tcPr>
            <w:tcW w:w="243" w:type="pct"/>
          </w:tcPr>
          <w:p w:rsidR="00974B9D" w:rsidRPr="003C6CEA" w:rsidRDefault="00974B9D" w:rsidP="00974B9D">
            <w:pPr>
              <w:jc w:val="both"/>
              <w:rPr>
                <w:rFonts w:eastAsia="Calibri"/>
                <w:sz w:val="20"/>
              </w:rPr>
            </w:pPr>
          </w:p>
        </w:tc>
        <w:tc>
          <w:tcPr>
            <w:tcW w:w="2330" w:type="pct"/>
          </w:tcPr>
          <w:p w:rsidR="00974B9D" w:rsidRPr="003C6CEA" w:rsidRDefault="00974B9D" w:rsidP="00974B9D">
            <w:pPr>
              <w:jc w:val="both"/>
              <w:rPr>
                <w:rFonts w:eastAsia="Calibri"/>
                <w:sz w:val="20"/>
              </w:rPr>
            </w:pPr>
            <w:r w:rsidRPr="003C6CEA">
              <w:rPr>
                <w:rFonts w:eastAsia="Calibri"/>
                <w:sz w:val="20"/>
              </w:rPr>
              <w:t>Application for leave to appeal filed</w:t>
            </w:r>
          </w:p>
          <w:p w:rsidR="00974B9D" w:rsidRPr="003C6CEA" w:rsidRDefault="00974B9D" w:rsidP="00974B9D">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61"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Contrats – Contrat de prêt – Terme – Effets de commerce – Prescription – Juge du procès concluant à l’existence d’un prêt à terme indéterminé et condamnant le demandeur à rembourser la somme due – Les tribunaux auraient-ils dû conclure à l’inexistence d’un prêt? – Dans l’alternative, la créance est-elle prescrite, ou le terme fixé est-il déraisonnable?</w:t>
            </w:r>
          </w:p>
        </w:tc>
      </w:tr>
      <w:tr w:rsidR="005F39D8" w:rsidRPr="00225EDC" w:rsidTr="00347C73">
        <w:tc>
          <w:tcPr>
            <w:tcW w:w="5000" w:type="pct"/>
            <w:gridSpan w:val="3"/>
          </w:tcPr>
          <w:p w:rsidR="005F39D8" w:rsidRPr="003C6CEA" w:rsidRDefault="005F39D8" w:rsidP="00347C73">
            <w:pPr>
              <w:jc w:val="both"/>
              <w:rPr>
                <w:rFonts w:eastAsia="Calibri"/>
                <w:sz w:val="20"/>
                <w:lang w:val="fr-CA"/>
              </w:rPr>
            </w:pPr>
          </w:p>
        </w:tc>
      </w:tr>
      <w:tr w:rsidR="005F39D8" w:rsidRPr="003C6CEA"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Entre 2003 et 2005, M. Gilbert Gauvreau consent au demandeur, M. Gagné, des avances qui totalisent 45 436,35 $.  M. Gauvreau meurt le 9 avril 2009.  L’intimée, Mme Gingras Gauvreau, est la liquidatrice de sa succession.  D’avis que les avances étaient des prêts à terme indéfini, et face au refus de M. Gagné de rembourser les sommes réclamées, Mme Gingras Gauvreau s’adresse aux tribunaux pour faire fixer un terme et pour obtenir le remboursement.  En défense, M. Gagné soutient que les avances ne constituent pas des prêts et que les versements d’argent comptant n’étaient pas structurés en prêts et ne comportaient pas de modalités de remboursement.  Selon lui, M. Gauvreau lui avait fourni un support financier pour réaliser un projet commun de développement d’un matériau de construction, que M. Gauvreau espérait utiliser à des fins commerciales.</w:t>
            </w:r>
          </w:p>
          <w:p w:rsidR="005F39D8" w:rsidRPr="003C6CEA" w:rsidRDefault="005F39D8" w:rsidP="00347C73">
            <w:pPr>
              <w:jc w:val="both"/>
              <w:rPr>
                <w:rFonts w:eastAsia="Calibri"/>
                <w:sz w:val="20"/>
                <w:lang w:val="fr-CA"/>
              </w:rPr>
            </w:pPr>
          </w:p>
          <w:p w:rsidR="005F39D8" w:rsidRPr="003C6CEA" w:rsidRDefault="005F39D8" w:rsidP="00347C73">
            <w:pPr>
              <w:jc w:val="both"/>
              <w:rPr>
                <w:rFonts w:eastAsia="Calibri"/>
                <w:sz w:val="20"/>
                <w:lang w:val="fr-CA"/>
              </w:rPr>
            </w:pPr>
            <w:r w:rsidRPr="003C6CEA">
              <w:rPr>
                <w:rFonts w:eastAsia="Calibri"/>
                <w:sz w:val="20"/>
                <w:lang w:val="fr-CA"/>
              </w:rPr>
              <w:t>La Cour du Québec accueille l’action.  Le juge Séguin estime que la nature juridique de l’obligation qui est intervenue entre feu M. Gauvreau et M. Gagné est celle d’un prêt à terme indéfini.  Selon le juge, l’intention de mettre un terme au prêt et d’en exiger le remboursement a été exprimée pour la première fois en novembre 2009 par la liquidatrice de la succession, lorsque celle-ci s’est rendue chez M. Gagné pour réclamer le remboursement des sommes.  Dans ces circonstances, le juge estime que l’action, intentée par la liquidatrice le 14 avril 2011, n’est pas prescrite par l’art. 2925 C.c.Q.  Il condamne M. Gagné à payer une somme de 45 436,35 $ avec intérêts et indemnité additionnelle.  La Cour d’appel rejette l’appel.</w:t>
            </w:r>
          </w:p>
          <w:p w:rsidR="005F39D8" w:rsidRPr="003C6CEA" w:rsidRDefault="005F39D8" w:rsidP="00347C73">
            <w:pPr>
              <w:jc w:val="both"/>
              <w:rPr>
                <w:rFonts w:eastAsia="Calibri"/>
                <w:sz w:val="20"/>
                <w:lang w:val="fr-CA"/>
              </w:rPr>
            </w:pPr>
          </w:p>
        </w:tc>
      </w:tr>
      <w:tr w:rsidR="005F39D8" w:rsidRPr="00225EDC"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Le 12 juin 2012</w:t>
            </w:r>
          </w:p>
          <w:p w:rsidR="005F39D8" w:rsidRPr="003C6CEA" w:rsidRDefault="005F39D8" w:rsidP="00347C73">
            <w:pPr>
              <w:jc w:val="both"/>
              <w:rPr>
                <w:rFonts w:eastAsia="Calibri"/>
                <w:sz w:val="20"/>
                <w:lang w:val="fr-CA"/>
              </w:rPr>
            </w:pPr>
            <w:r w:rsidRPr="003C6CEA">
              <w:rPr>
                <w:rFonts w:eastAsia="Calibri"/>
                <w:sz w:val="20"/>
                <w:lang w:val="fr-CA"/>
              </w:rPr>
              <w:t>Cour du Québec</w:t>
            </w:r>
          </w:p>
          <w:p w:rsidR="005F39D8" w:rsidRPr="003C6CEA" w:rsidRDefault="005F39D8" w:rsidP="00347C73">
            <w:pPr>
              <w:jc w:val="both"/>
              <w:rPr>
                <w:rFonts w:eastAsia="Calibri"/>
                <w:sz w:val="20"/>
                <w:lang w:val="fr-CA"/>
              </w:rPr>
            </w:pPr>
            <w:r w:rsidRPr="003C6CEA">
              <w:rPr>
                <w:rFonts w:eastAsia="Calibri"/>
                <w:sz w:val="20"/>
                <w:lang w:val="fr-CA"/>
              </w:rPr>
              <w:t>(Le juge Séguin)</w:t>
            </w:r>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Action accueillie; demandeur condamné à payer une somme de 45 436,35 $, avec intérêts et indemnité additionnelle</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Le 25 mars 2014</w:t>
            </w:r>
          </w:p>
          <w:p w:rsidR="005F39D8" w:rsidRPr="003C6CEA" w:rsidRDefault="005F39D8" w:rsidP="00347C73">
            <w:pPr>
              <w:jc w:val="both"/>
              <w:rPr>
                <w:rFonts w:eastAsia="Calibri"/>
                <w:sz w:val="20"/>
                <w:lang w:val="fr-CA"/>
              </w:rPr>
            </w:pPr>
            <w:r w:rsidRPr="003C6CEA">
              <w:rPr>
                <w:rFonts w:eastAsia="Calibri"/>
                <w:sz w:val="20"/>
                <w:lang w:val="fr-CA"/>
              </w:rPr>
              <w:t>Cour d’appel du Québec (Montréal)</w:t>
            </w:r>
          </w:p>
          <w:p w:rsidR="005F39D8" w:rsidRPr="003C6CEA" w:rsidRDefault="005F39D8" w:rsidP="00347C73">
            <w:pPr>
              <w:jc w:val="both"/>
              <w:rPr>
                <w:rFonts w:eastAsia="Calibri"/>
                <w:sz w:val="20"/>
                <w:lang w:val="fr-CA"/>
              </w:rPr>
            </w:pPr>
            <w:r w:rsidRPr="003C6CEA">
              <w:rPr>
                <w:rFonts w:eastAsia="Calibri"/>
                <w:sz w:val="20"/>
                <w:lang w:val="fr-CA"/>
              </w:rPr>
              <w:t>(La juge en chef Duval Hesler et les juges Doyon et Léger)</w:t>
            </w:r>
          </w:p>
          <w:p w:rsidR="005F39D8" w:rsidRPr="003C6CEA" w:rsidRDefault="005F39D8" w:rsidP="00347C73">
            <w:pPr>
              <w:jc w:val="both"/>
              <w:rPr>
                <w:rFonts w:eastAsia="Calibri"/>
                <w:sz w:val="20"/>
                <w:lang w:val="fr-CA"/>
              </w:rPr>
            </w:pPr>
            <w:r w:rsidRPr="003C6CEA">
              <w:rPr>
                <w:rFonts w:eastAsia="Calibri"/>
                <w:sz w:val="20"/>
                <w:lang w:val="fr-CA"/>
              </w:rPr>
              <w:t>500-09-022823-124;</w:t>
            </w:r>
            <w:hyperlink r:id="rId60" w:history="1">
              <w:r w:rsidRPr="003C6CEA">
                <w:rPr>
                  <w:rFonts w:eastAsia="Calibri"/>
                  <w:color w:val="0000FF"/>
                  <w:sz w:val="20"/>
                  <w:u w:val="single"/>
                  <w:lang w:val="fr-CA"/>
                </w:rPr>
                <w:t xml:space="preserve"> 2014 QCCA 615</w:t>
              </w:r>
            </w:hyperlink>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Appel rejeté</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lastRenderedPageBreak/>
              <w:t>Le 20 mai 2014</w:t>
            </w:r>
          </w:p>
          <w:p w:rsidR="005F39D8" w:rsidRPr="003C6CEA" w:rsidRDefault="005F39D8" w:rsidP="00347C73">
            <w:pPr>
              <w:jc w:val="both"/>
              <w:rPr>
                <w:rFonts w:eastAsia="Calibri"/>
                <w:sz w:val="20"/>
                <w:lang w:val="fr-CA"/>
              </w:rPr>
            </w:pPr>
            <w:r w:rsidRPr="003C6CEA">
              <w:rPr>
                <w:rFonts w:eastAsia="Calibri"/>
                <w:sz w:val="20"/>
                <w:lang w:val="fr-CA"/>
              </w:rPr>
              <w:t>Cour suprême du Canada</w:t>
            </w: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Demande d’autorisation d’appel déposée</w:t>
            </w:r>
          </w:p>
          <w:p w:rsidR="005F39D8" w:rsidRPr="003C6CEA" w:rsidRDefault="005F39D8" w:rsidP="00347C73">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62"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5204" w:rsidRPr="00225EDC" w:rsidTr="001068B6">
        <w:trPr>
          <w:cantSplit/>
        </w:trPr>
        <w:tc>
          <w:tcPr>
            <w:tcW w:w="1458" w:type="dxa"/>
          </w:tcPr>
          <w:p w:rsidR="00AD5204" w:rsidRPr="00A04AD5" w:rsidRDefault="00AD5204" w:rsidP="001068B6">
            <w:pPr>
              <w:rPr>
                <w:sz w:val="20"/>
                <w:szCs w:val="20"/>
              </w:rPr>
            </w:pPr>
            <w:r w:rsidRPr="00A04AD5">
              <w:rPr>
                <w:rStyle w:val="SCCFileNumberChar"/>
                <w:sz w:val="20"/>
                <w:szCs w:val="20"/>
              </w:rPr>
              <w:t>35900</w:t>
            </w:r>
          </w:p>
          <w:p w:rsidR="00AD5204" w:rsidRPr="00A04AD5" w:rsidRDefault="00AD5204" w:rsidP="001068B6">
            <w:pPr>
              <w:rPr>
                <w:b/>
                <w:sz w:val="20"/>
                <w:szCs w:val="20"/>
                <w:lang w:val="fr-CA"/>
              </w:rPr>
            </w:pPr>
          </w:p>
        </w:tc>
        <w:tc>
          <w:tcPr>
            <w:tcW w:w="8118" w:type="dxa"/>
          </w:tcPr>
          <w:p w:rsidR="00AD5204" w:rsidRPr="00A04AD5" w:rsidRDefault="00AD5204" w:rsidP="001068B6">
            <w:pPr>
              <w:jc w:val="both"/>
              <w:rPr>
                <w:sz w:val="20"/>
                <w:szCs w:val="20"/>
                <w:lang w:val="fr-CA"/>
              </w:rPr>
            </w:pPr>
            <w:r w:rsidRPr="00A04AD5">
              <w:rPr>
                <w:rStyle w:val="SCCLsocChar"/>
                <w:sz w:val="20"/>
                <w:szCs w:val="20"/>
              </w:rPr>
              <w:t>Louis-Jacques Perreault c. Commission de la santé et de la sécurité du travail</w:t>
            </w:r>
            <w:r w:rsidRPr="00A04AD5">
              <w:rPr>
                <w:sz w:val="20"/>
                <w:szCs w:val="20"/>
                <w:lang w:val="fr-CA"/>
              </w:rPr>
              <w:t xml:space="preserve"> (Qc) (Civile) (Autorisation)</w:t>
            </w:r>
          </w:p>
          <w:p w:rsidR="00AD5204" w:rsidRPr="00A04AD5" w:rsidRDefault="00AD5204" w:rsidP="001068B6">
            <w:pPr>
              <w:jc w:val="both"/>
              <w:rPr>
                <w:sz w:val="20"/>
                <w:szCs w:val="20"/>
                <w:lang w:val="fr-CA"/>
              </w:rPr>
            </w:pPr>
          </w:p>
        </w:tc>
      </w:tr>
      <w:tr w:rsidR="00AD5204" w:rsidRPr="00225EDC" w:rsidTr="001068B6">
        <w:trPr>
          <w:cantSplit/>
        </w:trPr>
        <w:tc>
          <w:tcPr>
            <w:tcW w:w="1458" w:type="dxa"/>
          </w:tcPr>
          <w:p w:rsidR="00AD5204" w:rsidRPr="00A04AD5" w:rsidRDefault="00AD5204" w:rsidP="001068B6">
            <w:pPr>
              <w:rPr>
                <w:sz w:val="20"/>
                <w:szCs w:val="20"/>
              </w:rPr>
            </w:pPr>
            <w:r w:rsidRPr="00A04AD5">
              <w:rPr>
                <w:sz w:val="20"/>
                <w:szCs w:val="20"/>
              </w:rPr>
              <w:t>Coram :</w:t>
            </w:r>
          </w:p>
        </w:tc>
        <w:tc>
          <w:tcPr>
            <w:tcW w:w="8118" w:type="dxa"/>
          </w:tcPr>
          <w:p w:rsidR="00AD5204" w:rsidRPr="00A04AD5" w:rsidRDefault="00AD5204" w:rsidP="001068B6">
            <w:pPr>
              <w:rPr>
                <w:sz w:val="20"/>
                <w:szCs w:val="20"/>
                <w:lang w:val="fr-CA"/>
              </w:rPr>
            </w:pPr>
            <w:r w:rsidRPr="00A04AD5">
              <w:rPr>
                <w:rStyle w:val="SCCCoramChar"/>
                <w:sz w:val="20"/>
                <w:szCs w:val="20"/>
              </w:rPr>
              <w:t>Les juges LeBel, Karakatsanis et Gascon</w:t>
            </w:r>
          </w:p>
          <w:p w:rsidR="00AD5204" w:rsidRPr="00A04AD5" w:rsidRDefault="00AD5204" w:rsidP="001068B6">
            <w:pPr>
              <w:rPr>
                <w:sz w:val="20"/>
                <w:szCs w:val="20"/>
                <w:u w:val="single"/>
                <w:lang w:val="fr-CA"/>
              </w:rPr>
            </w:pPr>
          </w:p>
        </w:tc>
      </w:tr>
      <w:tr w:rsidR="00AD5204" w:rsidRPr="00A04AD5" w:rsidTr="001068B6">
        <w:trPr>
          <w:cantSplit/>
        </w:trPr>
        <w:tc>
          <w:tcPr>
            <w:tcW w:w="9576" w:type="dxa"/>
            <w:gridSpan w:val="2"/>
          </w:tcPr>
          <w:p w:rsidR="00AD5204" w:rsidRPr="00A04AD5" w:rsidRDefault="00AD5204" w:rsidP="001068B6">
            <w:pPr>
              <w:pStyle w:val="SCCShortJudgment"/>
              <w:rPr>
                <w:szCs w:val="20"/>
                <w:lang w:val="fr-CA"/>
              </w:rPr>
            </w:pPr>
            <w:r w:rsidRPr="00A04AD5">
              <w:rPr>
                <w:szCs w:val="20"/>
                <w:lang w:val="fr-CA"/>
              </w:rPr>
              <w:t>La demande d’autorisation d’appel de l’arrêt de la Cour d’appel du Québec (Québec), numéro 200-09-008259-142, 2014 QCCA 539, daté du 10 mars 2014, est rejetée avec dépens.</w:t>
            </w:r>
          </w:p>
          <w:p w:rsidR="00AD5204" w:rsidRPr="00A04AD5" w:rsidRDefault="00AD5204" w:rsidP="001068B6">
            <w:pPr>
              <w:pStyle w:val="SCCShortJudgment"/>
              <w:ind w:firstLine="0"/>
              <w:rPr>
                <w:szCs w:val="20"/>
                <w:lang w:val="fr-CA"/>
              </w:rPr>
            </w:pPr>
          </w:p>
          <w:p w:rsidR="00AD5204" w:rsidRPr="00A04AD5" w:rsidRDefault="00AD5204" w:rsidP="001068B6">
            <w:pPr>
              <w:pStyle w:val="SCCShortJudgment"/>
              <w:rPr>
                <w:szCs w:val="20"/>
              </w:rPr>
            </w:pPr>
            <w:r w:rsidRPr="00A04AD5">
              <w:rPr>
                <w:szCs w:val="20"/>
              </w:rPr>
              <w:t>The application for leave to appeal from the judgment of the Court of Appeal of Quebec (Québec), Number 200-09-008259-142, 2014 QCCA 539, dated March 10, 2014, is dismissed with costs.</w:t>
            </w:r>
          </w:p>
        </w:tc>
      </w:tr>
    </w:tbl>
    <w:p w:rsidR="005F39D8" w:rsidRPr="00AD5204" w:rsidRDefault="005F39D8" w:rsidP="00402B2C">
      <w:pPr>
        <w:rPr>
          <w:sz w:val="20"/>
          <w:szCs w:val="20"/>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3C6CEA" w:rsidTr="00347C73">
        <w:tc>
          <w:tcPr>
            <w:tcW w:w="5000" w:type="pct"/>
            <w:gridSpan w:val="3"/>
          </w:tcPr>
          <w:p w:rsidR="005F39D8" w:rsidRPr="003C6CEA" w:rsidRDefault="005F39D8" w:rsidP="00347C73">
            <w:pPr>
              <w:jc w:val="both"/>
              <w:rPr>
                <w:rFonts w:eastAsia="Calibri"/>
                <w:sz w:val="20"/>
              </w:rPr>
            </w:pPr>
            <w:r w:rsidRPr="003C6CEA">
              <w:rPr>
                <w:rFonts w:eastAsia="Calibri"/>
                <w:sz w:val="20"/>
              </w:rPr>
              <w:t>Workers’ compensation – Occupational diseases – Worker’s claim denied because of lack of causal relationship between diseases alleged (tendonitis, carpal tunnel syndrome) and work (bricklaying</w:t>
            </w:r>
            <w:r w:rsidRPr="003C6CEA">
              <w:rPr>
                <w:rFonts w:eastAsia="Calibri"/>
                <w:sz w:val="20"/>
              </w:rPr>
              <w:noBreakHyphen/>
              <w:t>masonry) – Applications for administrative and judicial review dismissed – Leave to appeal denied by Court of Appeal – Whether Commission des lésions professionnelles made overriding errors in assessing chronology of events – Whether it erred in its assessment of causal relationship between symptoms and movements performed by worker.</w:t>
            </w:r>
          </w:p>
        </w:tc>
      </w:tr>
      <w:tr w:rsidR="005F39D8" w:rsidRPr="003C6CEA" w:rsidTr="00347C73">
        <w:tc>
          <w:tcPr>
            <w:tcW w:w="5000" w:type="pct"/>
            <w:gridSpan w:val="3"/>
          </w:tcPr>
          <w:p w:rsidR="005F39D8" w:rsidRPr="003C6CEA" w:rsidRDefault="005F39D8" w:rsidP="00347C73">
            <w:pPr>
              <w:jc w:val="both"/>
              <w:rPr>
                <w:rFonts w:eastAsia="Calibri"/>
                <w:sz w:val="20"/>
              </w:rPr>
            </w:pPr>
          </w:p>
        </w:tc>
      </w:tr>
      <w:tr w:rsidR="005F39D8" w:rsidRPr="003C6CEA" w:rsidTr="00347C73">
        <w:tc>
          <w:tcPr>
            <w:tcW w:w="5000" w:type="pct"/>
            <w:gridSpan w:val="3"/>
          </w:tcPr>
          <w:p w:rsidR="005F39D8" w:rsidRPr="003C6CEA" w:rsidRDefault="005F39D8" w:rsidP="00347C73">
            <w:pPr>
              <w:jc w:val="both"/>
              <w:rPr>
                <w:rFonts w:eastAsia="Calibri"/>
                <w:sz w:val="20"/>
              </w:rPr>
            </w:pPr>
            <w:r w:rsidRPr="003C6CEA">
              <w:rPr>
                <w:rFonts w:eastAsia="Calibri"/>
                <w:sz w:val="20"/>
              </w:rPr>
              <w:t xml:space="preserve">Mr. Perreault, who was born in 1956, had worked as a brickmason since 1986.  On September 19, 2006, he filed a claim with the Commission de la santé et de la sécurité du travail (CSST) alleging that he had occupational diseases: tendonitis of the shoulders and bilateral carpal tunnel syndrome.  The CSST denied the claim and confirmed its decision following an administrative review.  Mr. Perreault then applied to the Commission des lésions professionnelles (CLP) four times with no success. </w:t>
            </w:r>
          </w:p>
          <w:p w:rsidR="005F39D8" w:rsidRPr="003C6CEA" w:rsidRDefault="005F39D8" w:rsidP="00347C73">
            <w:pPr>
              <w:jc w:val="both"/>
              <w:rPr>
                <w:rFonts w:eastAsia="Calibri"/>
                <w:sz w:val="20"/>
              </w:rPr>
            </w:pPr>
          </w:p>
          <w:p w:rsidR="005F39D8" w:rsidRPr="003C6CEA" w:rsidRDefault="005F39D8" w:rsidP="00347C73">
            <w:pPr>
              <w:jc w:val="both"/>
              <w:rPr>
                <w:rFonts w:eastAsia="Calibri"/>
                <w:sz w:val="20"/>
              </w:rPr>
            </w:pPr>
            <w:r w:rsidRPr="003C6CEA">
              <w:rPr>
                <w:rFonts w:eastAsia="Calibri"/>
                <w:sz w:val="20"/>
              </w:rPr>
              <w:t xml:space="preserve">The Superior Court dismissed Mr. Perreault’s application for judicial review of the CLP’s four decisions.  It found that the CLP’s decisions fell within a range of possible, reasonable outcomes having regard to the evidence.  Lévesque J.A. of the Court of Appeal denied leave to appeal because he was of the opinion that the Superior Court’s judgment raised no question of principle or of general interest and contained no serious flaw that could justify reviewing it (art. 26 C.C.P.). </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January 21, 2014</w:t>
            </w:r>
          </w:p>
          <w:p w:rsidR="005F39D8" w:rsidRPr="003C6CEA" w:rsidRDefault="005F39D8" w:rsidP="00347C73">
            <w:pPr>
              <w:jc w:val="both"/>
              <w:rPr>
                <w:rFonts w:eastAsia="Calibri"/>
                <w:sz w:val="20"/>
              </w:rPr>
            </w:pPr>
            <w:r w:rsidRPr="003C6CEA">
              <w:rPr>
                <w:rFonts w:eastAsia="Calibri"/>
                <w:sz w:val="20"/>
              </w:rPr>
              <w:t>Quebec Superior Court</w:t>
            </w:r>
          </w:p>
          <w:p w:rsidR="005F39D8" w:rsidRPr="003C6CEA" w:rsidRDefault="005F39D8" w:rsidP="00347C73">
            <w:pPr>
              <w:jc w:val="both"/>
              <w:rPr>
                <w:rFonts w:eastAsia="Calibri"/>
                <w:sz w:val="20"/>
              </w:rPr>
            </w:pPr>
            <w:r w:rsidRPr="003C6CEA">
              <w:rPr>
                <w:rFonts w:eastAsia="Calibri"/>
                <w:sz w:val="20"/>
              </w:rPr>
              <w:t>(Samson J.)</w:t>
            </w:r>
          </w:p>
          <w:p w:rsidR="005F39D8" w:rsidRPr="003C6CEA" w:rsidRDefault="00215143" w:rsidP="00347C73">
            <w:pPr>
              <w:jc w:val="both"/>
              <w:rPr>
                <w:rFonts w:eastAsia="Calibri"/>
                <w:sz w:val="20"/>
              </w:rPr>
            </w:pPr>
            <w:hyperlink r:id="rId61" w:history="1">
              <w:r w:rsidR="005F39D8" w:rsidRPr="003C6CEA">
                <w:rPr>
                  <w:rFonts w:eastAsia="Calibri"/>
                  <w:color w:val="0000FF"/>
                  <w:sz w:val="20"/>
                  <w:u w:val="single"/>
                </w:rPr>
                <w:t>2014 QCCS 125</w:t>
              </w:r>
            </w:hyperlink>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Motion for judicial review dismissed</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March 10, 2014</w:t>
            </w:r>
          </w:p>
          <w:p w:rsidR="005F39D8" w:rsidRPr="003C6CEA" w:rsidRDefault="005F39D8" w:rsidP="00347C73">
            <w:pPr>
              <w:jc w:val="both"/>
              <w:rPr>
                <w:rFonts w:eastAsia="Calibri"/>
                <w:sz w:val="20"/>
              </w:rPr>
            </w:pPr>
            <w:r w:rsidRPr="003C6CEA">
              <w:rPr>
                <w:rFonts w:eastAsia="Calibri"/>
                <w:sz w:val="20"/>
              </w:rPr>
              <w:t>Quebec Court of Appeal (Québec)</w:t>
            </w:r>
          </w:p>
          <w:p w:rsidR="005F39D8" w:rsidRPr="003C6CEA" w:rsidRDefault="005F39D8" w:rsidP="00347C73">
            <w:pPr>
              <w:jc w:val="both"/>
              <w:rPr>
                <w:rFonts w:eastAsia="Calibri"/>
                <w:sz w:val="20"/>
              </w:rPr>
            </w:pPr>
            <w:r w:rsidRPr="003C6CEA">
              <w:rPr>
                <w:rFonts w:eastAsia="Calibri"/>
                <w:sz w:val="20"/>
              </w:rPr>
              <w:t>(Lévesque J.A.)</w:t>
            </w:r>
          </w:p>
          <w:p w:rsidR="005F39D8" w:rsidRPr="003C6CEA" w:rsidRDefault="005F39D8" w:rsidP="00347C73">
            <w:pPr>
              <w:jc w:val="both"/>
              <w:rPr>
                <w:rFonts w:eastAsia="Calibri"/>
                <w:sz w:val="20"/>
              </w:rPr>
            </w:pPr>
            <w:r w:rsidRPr="003C6CEA">
              <w:rPr>
                <w:rFonts w:eastAsia="Calibri"/>
                <w:sz w:val="20"/>
              </w:rPr>
              <w:t xml:space="preserve">200-09-008259-142; </w:t>
            </w:r>
            <w:hyperlink r:id="rId62" w:history="1">
              <w:r w:rsidRPr="003C6CEA">
                <w:rPr>
                  <w:rFonts w:eastAsia="Calibri"/>
                  <w:color w:val="0000FF"/>
                  <w:sz w:val="20"/>
                  <w:u w:val="single"/>
                </w:rPr>
                <w:t>2014 QCCA 539</w:t>
              </w:r>
            </w:hyperlink>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Motion for leave to appeal dismissed</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May 9, 2014</w:t>
            </w:r>
          </w:p>
          <w:p w:rsidR="005F39D8" w:rsidRPr="003C6CEA" w:rsidRDefault="005F39D8" w:rsidP="00347C73">
            <w:pPr>
              <w:jc w:val="both"/>
              <w:rPr>
                <w:rFonts w:eastAsia="Calibri"/>
                <w:sz w:val="20"/>
              </w:rPr>
            </w:pPr>
            <w:r w:rsidRPr="003C6CEA">
              <w:rPr>
                <w:rFonts w:eastAsia="Calibri"/>
                <w:sz w:val="20"/>
              </w:rPr>
              <w:t>Supreme Court of Canada</w:t>
            </w: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Application for leave to appeal filed</w:t>
            </w:r>
          </w:p>
          <w:p w:rsidR="005F39D8" w:rsidRPr="003C6CEA" w:rsidRDefault="005F39D8" w:rsidP="00347C73">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63"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Accidents du travail – Maladies professionnelles – Réclamation du travailleur rejetée au motif d’absence de lien causal entre les maladies invoquées (tendinites, canal carpien) et le travail (briquetage-maçonnerie) – Demandes de révision administrative et judiciaire rejetées – Permission d’appel refusée par la Cour d’appel – La Commission des lésions professionnelles a-t-elle commis des erreurs déterminantes dans l’appréciation de la chronologie des événements? – A-t-elle mal apprécié le lien causal entre les symptômes et les mouvements accomplis par le travailleur?</w:t>
            </w:r>
          </w:p>
        </w:tc>
      </w:tr>
      <w:tr w:rsidR="005F39D8" w:rsidRPr="00225EDC" w:rsidTr="00347C73">
        <w:tc>
          <w:tcPr>
            <w:tcW w:w="5000" w:type="pct"/>
            <w:gridSpan w:val="3"/>
          </w:tcPr>
          <w:p w:rsidR="005F39D8" w:rsidRPr="003C6CEA" w:rsidRDefault="005F39D8" w:rsidP="00347C73">
            <w:pPr>
              <w:jc w:val="both"/>
              <w:rPr>
                <w:rFonts w:eastAsia="Calibri"/>
                <w:sz w:val="20"/>
                <w:lang w:val="fr-CA"/>
              </w:rPr>
            </w:pPr>
          </w:p>
        </w:tc>
      </w:tr>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 xml:space="preserve">Né en 1956, M. Perreault travaille comme briqueteur-maçon depuis 1986.  Le 19 septembre 2006, il produit une réclamation à la Commission de la santé et de la sécurité du travail (CSST) alléguant la présence de maladies professionnelles : tendinites aux épaules et canal carpien bilatéral.  La CSST refuse la réclamation et confirme sa décision au terme d’une révision administrative. M. Perreault s’adresse alors à la Commission des lésions professionnelles (CLP), à quatre reprises et sans succès. </w:t>
            </w:r>
          </w:p>
          <w:p w:rsidR="005F39D8" w:rsidRPr="003C6CEA" w:rsidRDefault="005F39D8" w:rsidP="00347C73">
            <w:pPr>
              <w:jc w:val="both"/>
              <w:rPr>
                <w:rFonts w:eastAsia="Calibri"/>
                <w:sz w:val="20"/>
                <w:lang w:val="fr-CA"/>
              </w:rPr>
            </w:pPr>
          </w:p>
          <w:p w:rsidR="005F39D8" w:rsidRPr="003C6CEA" w:rsidRDefault="005F39D8" w:rsidP="00347C73">
            <w:pPr>
              <w:jc w:val="both"/>
              <w:rPr>
                <w:rFonts w:eastAsia="Calibri"/>
                <w:sz w:val="20"/>
                <w:lang w:val="fr-CA"/>
              </w:rPr>
            </w:pPr>
            <w:r w:rsidRPr="003C6CEA">
              <w:rPr>
                <w:rFonts w:eastAsia="Calibri"/>
                <w:sz w:val="20"/>
                <w:lang w:val="fr-CA"/>
              </w:rPr>
              <w:t xml:space="preserve">La Cour supérieure rejette le recours de M. Perreault en révision judiciaire des quatre décisions de la CLP.  Elle conclut que les décisions de la CLP faisaient partie des issues possibles et raisonnables eu égard à la preuve.  D’avis que le jugement de la Cour supérieure ne soulève aucune question de principe ou d’intérêt général ou même qu’il n’est entaché d’aucune faiblesse grave qui pourrait en justifier la révision (art. 26 C.p.c.), le juge Lévesque de la Cour d’appel refuse la permission d’appeler. </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Le 21 janvier 2014</w:t>
            </w:r>
          </w:p>
          <w:p w:rsidR="005F39D8" w:rsidRPr="003C6CEA" w:rsidRDefault="005F39D8" w:rsidP="00347C73">
            <w:pPr>
              <w:jc w:val="both"/>
              <w:rPr>
                <w:rFonts w:eastAsia="Calibri"/>
                <w:sz w:val="20"/>
                <w:lang w:val="fr-CA"/>
              </w:rPr>
            </w:pPr>
            <w:r w:rsidRPr="003C6CEA">
              <w:rPr>
                <w:rFonts w:eastAsia="Calibri"/>
                <w:sz w:val="20"/>
                <w:lang w:val="fr-CA"/>
              </w:rPr>
              <w:t>Cour supérieure du Québec</w:t>
            </w:r>
          </w:p>
          <w:p w:rsidR="005F39D8" w:rsidRPr="003C6CEA" w:rsidRDefault="005F39D8" w:rsidP="00347C73">
            <w:pPr>
              <w:jc w:val="both"/>
              <w:rPr>
                <w:rFonts w:eastAsia="Calibri"/>
                <w:sz w:val="20"/>
                <w:lang w:val="fr-CA"/>
              </w:rPr>
            </w:pPr>
            <w:r w:rsidRPr="003C6CEA">
              <w:rPr>
                <w:rFonts w:eastAsia="Calibri"/>
                <w:sz w:val="20"/>
                <w:lang w:val="fr-CA"/>
              </w:rPr>
              <w:t>(Le juge Samson)</w:t>
            </w:r>
          </w:p>
          <w:p w:rsidR="005F39D8" w:rsidRPr="003C6CEA" w:rsidRDefault="00215143" w:rsidP="00347C73">
            <w:pPr>
              <w:jc w:val="both"/>
              <w:rPr>
                <w:rFonts w:eastAsia="Calibri"/>
                <w:sz w:val="20"/>
                <w:lang w:val="fr-CA"/>
              </w:rPr>
            </w:pPr>
            <w:hyperlink r:id="rId63" w:history="1">
              <w:r w:rsidR="005F39D8" w:rsidRPr="003C6CEA">
                <w:rPr>
                  <w:rFonts w:eastAsia="Calibri"/>
                  <w:color w:val="0000FF"/>
                  <w:sz w:val="20"/>
                  <w:u w:val="single"/>
                  <w:lang w:val="fr-CA"/>
                </w:rPr>
                <w:t>2014 QCCS 125</w:t>
              </w:r>
            </w:hyperlink>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Requête en révision judiciaire rejetée</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Le 10 mars 2014</w:t>
            </w:r>
          </w:p>
          <w:p w:rsidR="005F39D8" w:rsidRPr="003C6CEA" w:rsidRDefault="005F39D8" w:rsidP="00347C73">
            <w:pPr>
              <w:jc w:val="both"/>
              <w:rPr>
                <w:rFonts w:eastAsia="Calibri"/>
                <w:sz w:val="20"/>
                <w:lang w:val="fr-CA"/>
              </w:rPr>
            </w:pPr>
            <w:r w:rsidRPr="003C6CEA">
              <w:rPr>
                <w:rFonts w:eastAsia="Calibri"/>
                <w:sz w:val="20"/>
                <w:lang w:val="fr-CA"/>
              </w:rPr>
              <w:t>Cour d’appel du Québec (Québec)</w:t>
            </w:r>
          </w:p>
          <w:p w:rsidR="005F39D8" w:rsidRPr="003C6CEA" w:rsidRDefault="005F39D8" w:rsidP="00347C73">
            <w:pPr>
              <w:jc w:val="both"/>
              <w:rPr>
                <w:rFonts w:eastAsia="Calibri"/>
                <w:sz w:val="20"/>
                <w:lang w:val="fr-CA"/>
              </w:rPr>
            </w:pPr>
            <w:r w:rsidRPr="003C6CEA">
              <w:rPr>
                <w:rFonts w:eastAsia="Calibri"/>
                <w:sz w:val="20"/>
                <w:lang w:val="fr-CA"/>
              </w:rPr>
              <w:t>(Le juge Lévesque)</w:t>
            </w:r>
          </w:p>
          <w:p w:rsidR="005F39D8" w:rsidRPr="003C6CEA" w:rsidRDefault="005F39D8" w:rsidP="00347C73">
            <w:pPr>
              <w:jc w:val="both"/>
              <w:rPr>
                <w:rFonts w:eastAsia="Calibri"/>
                <w:sz w:val="20"/>
                <w:lang w:val="fr-CA"/>
              </w:rPr>
            </w:pPr>
            <w:r w:rsidRPr="003C6CEA">
              <w:rPr>
                <w:rFonts w:eastAsia="Calibri"/>
                <w:sz w:val="20"/>
                <w:lang w:val="fr-CA"/>
              </w:rPr>
              <w:t xml:space="preserve">200-09-008259-142; </w:t>
            </w:r>
            <w:hyperlink r:id="rId64" w:history="1">
              <w:r w:rsidRPr="003C6CEA">
                <w:rPr>
                  <w:rFonts w:eastAsia="Calibri"/>
                  <w:color w:val="0000FF"/>
                  <w:sz w:val="20"/>
                  <w:u w:val="single"/>
                  <w:lang w:val="fr-CA"/>
                </w:rPr>
                <w:t>2014 QCCA 539</w:t>
              </w:r>
            </w:hyperlink>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Requête pour permission d’appeler rejetée</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Le 9 mai 2014</w:t>
            </w:r>
          </w:p>
          <w:p w:rsidR="005F39D8" w:rsidRPr="003C6CEA" w:rsidRDefault="005F39D8" w:rsidP="00347C73">
            <w:pPr>
              <w:jc w:val="both"/>
              <w:rPr>
                <w:rFonts w:eastAsia="Calibri"/>
                <w:sz w:val="20"/>
                <w:lang w:val="fr-CA"/>
              </w:rPr>
            </w:pPr>
            <w:r w:rsidRPr="003C6CEA">
              <w:rPr>
                <w:rFonts w:eastAsia="Calibri"/>
                <w:sz w:val="20"/>
                <w:lang w:val="fr-CA"/>
              </w:rPr>
              <w:t>Cour suprême du Canada</w:t>
            </w: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Demande d'autorisation d'appel déposée</w:t>
            </w:r>
          </w:p>
          <w:p w:rsidR="005F39D8" w:rsidRPr="003C6CEA" w:rsidRDefault="005F39D8" w:rsidP="00347C73">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64"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5204" w:rsidRPr="00A04AD5" w:rsidTr="001068B6">
        <w:trPr>
          <w:cantSplit/>
        </w:trPr>
        <w:tc>
          <w:tcPr>
            <w:tcW w:w="1458" w:type="dxa"/>
          </w:tcPr>
          <w:p w:rsidR="00AD5204" w:rsidRPr="00A04AD5" w:rsidRDefault="00AD5204" w:rsidP="001068B6">
            <w:pPr>
              <w:rPr>
                <w:sz w:val="20"/>
                <w:szCs w:val="20"/>
              </w:rPr>
            </w:pPr>
            <w:r w:rsidRPr="00A04AD5">
              <w:rPr>
                <w:rStyle w:val="SCCFileNumberChar"/>
                <w:sz w:val="20"/>
                <w:szCs w:val="20"/>
              </w:rPr>
              <w:t>35908</w:t>
            </w:r>
          </w:p>
          <w:p w:rsidR="00AD5204" w:rsidRPr="00A04AD5" w:rsidRDefault="00AD5204" w:rsidP="001068B6">
            <w:pPr>
              <w:rPr>
                <w:b/>
                <w:sz w:val="20"/>
                <w:szCs w:val="20"/>
                <w:lang w:val="fr-CA"/>
              </w:rPr>
            </w:pPr>
          </w:p>
        </w:tc>
        <w:tc>
          <w:tcPr>
            <w:tcW w:w="8118" w:type="dxa"/>
          </w:tcPr>
          <w:p w:rsidR="00AD5204" w:rsidRPr="00A04AD5" w:rsidRDefault="00AD5204" w:rsidP="001068B6">
            <w:pPr>
              <w:jc w:val="both"/>
              <w:rPr>
                <w:sz w:val="20"/>
                <w:szCs w:val="20"/>
              </w:rPr>
            </w:pPr>
            <w:r w:rsidRPr="00A04AD5">
              <w:rPr>
                <w:rStyle w:val="SCCLsocChar"/>
                <w:sz w:val="20"/>
                <w:szCs w:val="20"/>
                <w:lang w:val="en-CA"/>
              </w:rPr>
              <w:t>Director of the Ontario Disability Support Program v. Glynn Surdivall</w:t>
            </w:r>
            <w:r w:rsidRPr="00A04AD5">
              <w:rPr>
                <w:sz w:val="20"/>
                <w:szCs w:val="20"/>
              </w:rPr>
              <w:t xml:space="preserve"> (Ont.) (Civil) (By Leave)</w:t>
            </w:r>
          </w:p>
          <w:p w:rsidR="00AD5204" w:rsidRPr="00A04AD5" w:rsidRDefault="00AD5204" w:rsidP="001068B6">
            <w:pPr>
              <w:jc w:val="both"/>
              <w:rPr>
                <w:sz w:val="20"/>
                <w:szCs w:val="20"/>
              </w:rPr>
            </w:pPr>
          </w:p>
        </w:tc>
      </w:tr>
      <w:tr w:rsidR="00AD5204" w:rsidRPr="00A04AD5" w:rsidTr="001068B6">
        <w:trPr>
          <w:cantSplit/>
        </w:trPr>
        <w:tc>
          <w:tcPr>
            <w:tcW w:w="1458" w:type="dxa"/>
          </w:tcPr>
          <w:p w:rsidR="00AD5204" w:rsidRPr="00A04AD5" w:rsidRDefault="00AD5204" w:rsidP="001068B6">
            <w:pPr>
              <w:rPr>
                <w:sz w:val="20"/>
                <w:szCs w:val="20"/>
              </w:rPr>
            </w:pPr>
            <w:r w:rsidRPr="00A04AD5">
              <w:rPr>
                <w:sz w:val="20"/>
                <w:szCs w:val="20"/>
              </w:rPr>
              <w:t>Coram :</w:t>
            </w:r>
          </w:p>
        </w:tc>
        <w:tc>
          <w:tcPr>
            <w:tcW w:w="8118" w:type="dxa"/>
          </w:tcPr>
          <w:p w:rsidR="00AD5204" w:rsidRPr="00A04AD5" w:rsidRDefault="00AD5204" w:rsidP="001068B6">
            <w:pPr>
              <w:rPr>
                <w:sz w:val="20"/>
                <w:szCs w:val="20"/>
              </w:rPr>
            </w:pPr>
            <w:r w:rsidRPr="00A04AD5">
              <w:rPr>
                <w:rStyle w:val="SCCCoramChar"/>
                <w:sz w:val="20"/>
                <w:szCs w:val="20"/>
                <w:lang w:val="en-CA"/>
              </w:rPr>
              <w:t>McLachlin C.J. and Cromwell and Wagner JJ.</w:t>
            </w:r>
          </w:p>
          <w:p w:rsidR="00AD5204" w:rsidRPr="00A04AD5" w:rsidRDefault="00AD5204" w:rsidP="001068B6">
            <w:pPr>
              <w:rPr>
                <w:sz w:val="20"/>
                <w:szCs w:val="20"/>
                <w:u w:val="single"/>
              </w:rPr>
            </w:pPr>
          </w:p>
        </w:tc>
      </w:tr>
      <w:tr w:rsidR="00AD5204" w:rsidRPr="00225EDC" w:rsidTr="001068B6">
        <w:trPr>
          <w:cantSplit/>
        </w:trPr>
        <w:tc>
          <w:tcPr>
            <w:tcW w:w="9576" w:type="dxa"/>
            <w:gridSpan w:val="2"/>
          </w:tcPr>
          <w:p w:rsidR="00AD5204" w:rsidRPr="00A04AD5" w:rsidRDefault="00AD5204" w:rsidP="001068B6">
            <w:pPr>
              <w:pStyle w:val="SCCShortJudgment"/>
              <w:rPr>
                <w:szCs w:val="20"/>
              </w:rPr>
            </w:pPr>
            <w:r w:rsidRPr="00A04AD5">
              <w:rPr>
                <w:szCs w:val="20"/>
              </w:rPr>
              <w:t>The application for leave to appeal from the judgment of the Court of Appeal for Ontario, Number C56206, 2014 ONCA 240, dated March 31, 2014, is dismissed without costs.</w:t>
            </w:r>
          </w:p>
          <w:p w:rsidR="00AD5204" w:rsidRPr="00A04AD5" w:rsidRDefault="00AD5204" w:rsidP="001068B6">
            <w:pPr>
              <w:pStyle w:val="SCCShortJudgment"/>
              <w:ind w:firstLine="0"/>
              <w:rPr>
                <w:szCs w:val="20"/>
              </w:rPr>
            </w:pPr>
          </w:p>
          <w:p w:rsidR="00AD5204" w:rsidRPr="00A04AD5" w:rsidRDefault="00AD5204" w:rsidP="001068B6">
            <w:pPr>
              <w:pStyle w:val="SCCShortJudgment"/>
              <w:rPr>
                <w:szCs w:val="20"/>
                <w:lang w:val="fr-CA"/>
              </w:rPr>
            </w:pPr>
            <w:r w:rsidRPr="00A04AD5">
              <w:rPr>
                <w:szCs w:val="20"/>
                <w:lang w:val="fr-CA"/>
              </w:rPr>
              <w:t>La demande d’autorisation d’appel de l’arrêt de la Cour d’appel de l’Ontario, numéro C56206, 2014 ONCA 240, daté du 31 mars 2014, est rejetée sans dépens.</w:t>
            </w:r>
          </w:p>
        </w:tc>
      </w:tr>
    </w:tbl>
    <w:p w:rsidR="005F39D8" w:rsidRPr="00AD5204" w:rsidRDefault="005F39D8"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3C6CEA" w:rsidTr="00347C73">
        <w:tc>
          <w:tcPr>
            <w:tcW w:w="5000" w:type="pct"/>
            <w:gridSpan w:val="3"/>
          </w:tcPr>
          <w:p w:rsidR="005F39D8" w:rsidRPr="003C6CEA" w:rsidRDefault="005F39D8" w:rsidP="00347C73">
            <w:pPr>
              <w:jc w:val="both"/>
              <w:rPr>
                <w:rFonts w:eastAsia="Calibri"/>
                <w:sz w:val="20"/>
              </w:rPr>
            </w:pPr>
            <w:r w:rsidRPr="003C6CEA">
              <w:rPr>
                <w:rFonts w:eastAsia="Calibri"/>
                <w:sz w:val="20"/>
              </w:rPr>
              <w:t xml:space="preserve">Social law – Administrative law – Boards and Tribunals – Jurisdiction – Whether the Director of the Ontario </w:t>
            </w:r>
            <w:r w:rsidRPr="003C6CEA">
              <w:rPr>
                <w:rFonts w:eastAsia="Calibri"/>
                <w:sz w:val="20"/>
              </w:rPr>
              <w:lastRenderedPageBreak/>
              <w:t xml:space="preserve">Disability Support Program has the authority to forego recovery of part or all of an overpayment of income support made to a disabled recipient under the </w:t>
            </w:r>
            <w:r w:rsidRPr="003C6CEA">
              <w:rPr>
                <w:rFonts w:eastAsia="Calibri"/>
                <w:i/>
                <w:sz w:val="20"/>
              </w:rPr>
              <w:t>Ontario Disability Support Program Act</w:t>
            </w:r>
            <w:r w:rsidRPr="003C6CEA">
              <w:rPr>
                <w:rFonts w:eastAsia="Calibri"/>
                <w:sz w:val="20"/>
              </w:rPr>
              <w:t xml:space="preserve">, 1997, S.O. 1997, c. 25, Sched B – Whether the Social Benefits Tribunal has the authority to restrict the Director’s recovery of an overpayment and order that all or part of an overpayment not be recovered – Application of </w:t>
            </w:r>
            <w:r w:rsidRPr="003C6CEA">
              <w:rPr>
                <w:rFonts w:eastAsia="Calibri"/>
                <w:i/>
                <w:sz w:val="20"/>
              </w:rPr>
              <w:t xml:space="preserve">Canada (Attorney General) </w:t>
            </w:r>
            <w:r w:rsidRPr="003C6CEA">
              <w:rPr>
                <w:rFonts w:eastAsia="Calibri"/>
                <w:i/>
                <w:iCs/>
                <w:sz w:val="20"/>
              </w:rPr>
              <w:t>v.</w:t>
            </w:r>
            <w:r w:rsidRPr="003C6CEA">
              <w:rPr>
                <w:rFonts w:eastAsia="Calibri"/>
                <w:i/>
                <w:sz w:val="20"/>
              </w:rPr>
              <w:t xml:space="preserve"> Mavi, </w:t>
            </w:r>
            <w:bookmarkStart w:id="3" w:name="reflex-caselaw-142287799"/>
            <w:bookmarkEnd w:id="3"/>
            <w:r w:rsidRPr="003C6CEA">
              <w:rPr>
                <w:rFonts w:eastAsia="Calibri"/>
                <w:sz w:val="20"/>
              </w:rPr>
              <w:t>2011 SCC 30, [2011] 2 S.C.R. 504.</w:t>
            </w:r>
          </w:p>
        </w:tc>
      </w:tr>
      <w:tr w:rsidR="005F39D8" w:rsidRPr="003C6CEA" w:rsidTr="00347C73">
        <w:tc>
          <w:tcPr>
            <w:tcW w:w="5000" w:type="pct"/>
            <w:gridSpan w:val="3"/>
          </w:tcPr>
          <w:p w:rsidR="005F39D8" w:rsidRPr="003C6CEA" w:rsidRDefault="005F39D8" w:rsidP="00347C73">
            <w:pPr>
              <w:jc w:val="both"/>
              <w:rPr>
                <w:rFonts w:eastAsia="Calibri"/>
                <w:sz w:val="20"/>
              </w:rPr>
            </w:pPr>
          </w:p>
        </w:tc>
      </w:tr>
      <w:tr w:rsidR="005F39D8" w:rsidRPr="003C6CEA" w:rsidTr="00347C73">
        <w:tc>
          <w:tcPr>
            <w:tcW w:w="5000" w:type="pct"/>
            <w:gridSpan w:val="3"/>
          </w:tcPr>
          <w:p w:rsidR="005F39D8" w:rsidRPr="003C6CEA" w:rsidRDefault="005F39D8" w:rsidP="00347C73">
            <w:pPr>
              <w:jc w:val="both"/>
              <w:rPr>
                <w:rFonts w:eastAsia="Calibri"/>
                <w:sz w:val="20"/>
              </w:rPr>
            </w:pPr>
            <w:r w:rsidRPr="003C6CEA">
              <w:rPr>
                <w:rFonts w:eastAsia="Calibri"/>
                <w:sz w:val="20"/>
              </w:rPr>
              <w:t xml:space="preserve">The respondent, Mr. Surdivall, received monthly income support from the Ontario Disability Support Program until the age of 65.  Because of an innocent reporting error, he received for a period of ten months more income support than that to which he was entitled.  The applicant, the Director of the Ontario Disability Support Program (the “Director”), sought to recover the overpayment.  Mr. Surdivall appealed that decision to the Social Benefits Tribunal.  The Tribunal found that while an overpayment had been made, only half the overpayment should be recovered by the Director.  In its view, the discretion to recover an overpayment should be flexible and that the circumstances of each case, as well as the purpose of the </w:t>
            </w:r>
            <w:r w:rsidRPr="003C6CEA">
              <w:rPr>
                <w:rFonts w:eastAsia="Calibri"/>
                <w:i/>
                <w:sz w:val="20"/>
              </w:rPr>
              <w:t>Ontario Disability Support Program Act</w:t>
            </w:r>
            <w:r w:rsidRPr="003C6CEA">
              <w:rPr>
                <w:rFonts w:eastAsia="Calibri"/>
                <w:sz w:val="20"/>
              </w:rPr>
              <w:t xml:space="preserve">, 1997, S.O. 1997, c. 25, Sched B., should be considered. In this case, the Tribunal found that Mr. Surdivall would suffer financial hardship if he had to pay back the entire amount.  Moreover, while Mr. Surdivall had not intentionally deceived the Director, he had some responsibility to Ontario taxpayers to repay a portion of the overpayment.  The Director appealed that decision to the Divisional Court which allowed the appeal on the basis that neither the Director nor the Tribunal had the authority to forgive any part of an overpayment.  The Court of Appeal allowed the appeal and reinstated the Tribunal’s decision. </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March 30, 2012</w:t>
            </w:r>
          </w:p>
          <w:p w:rsidR="005F39D8" w:rsidRPr="003C6CEA" w:rsidRDefault="005F39D8" w:rsidP="00347C73">
            <w:pPr>
              <w:jc w:val="both"/>
              <w:rPr>
                <w:rFonts w:eastAsia="Calibri"/>
                <w:sz w:val="20"/>
              </w:rPr>
            </w:pPr>
            <w:r w:rsidRPr="003C6CEA">
              <w:rPr>
                <w:rFonts w:eastAsia="Calibri"/>
                <w:sz w:val="20"/>
              </w:rPr>
              <w:t>Ontario Superior Court of Justice (Divisional Court)</w:t>
            </w:r>
          </w:p>
          <w:p w:rsidR="005F39D8" w:rsidRPr="003C6CEA" w:rsidRDefault="005F39D8" w:rsidP="00347C73">
            <w:pPr>
              <w:jc w:val="both"/>
              <w:rPr>
                <w:rFonts w:eastAsia="Calibri"/>
                <w:sz w:val="20"/>
              </w:rPr>
            </w:pPr>
            <w:r w:rsidRPr="003C6CEA">
              <w:rPr>
                <w:rFonts w:eastAsia="Calibri"/>
                <w:sz w:val="20"/>
              </w:rPr>
              <w:t>(Jennings, Swinton and Harvison Young JJ.)</w:t>
            </w:r>
          </w:p>
          <w:p w:rsidR="005F39D8" w:rsidRPr="003C6CEA" w:rsidRDefault="00215143" w:rsidP="00347C73">
            <w:pPr>
              <w:jc w:val="both"/>
              <w:rPr>
                <w:rFonts w:eastAsia="Calibri"/>
                <w:sz w:val="20"/>
              </w:rPr>
            </w:pPr>
            <w:hyperlink r:id="rId65" w:history="1">
              <w:r w:rsidR="005F39D8" w:rsidRPr="003C6CEA">
                <w:rPr>
                  <w:rFonts w:eastAsia="Calibri"/>
                  <w:color w:val="0000FF"/>
                  <w:sz w:val="20"/>
                  <w:u w:val="single"/>
                </w:rPr>
                <w:t>2012 ONSC 1851</w:t>
              </w:r>
            </w:hyperlink>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Appeal allowed; Social Benefits Tribunal’s order restricting applicant’s recovery of overpayment made to respondent set aside</w:t>
            </w:r>
          </w:p>
          <w:p w:rsidR="005F39D8" w:rsidRPr="003C6CEA" w:rsidRDefault="005F39D8" w:rsidP="00347C73">
            <w:pPr>
              <w:jc w:val="both"/>
              <w:rPr>
                <w:rFonts w:eastAsia="Calibri"/>
                <w:sz w:val="20"/>
              </w:rPr>
            </w:pP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March 31, 2014</w:t>
            </w:r>
          </w:p>
          <w:p w:rsidR="005F39D8" w:rsidRPr="003C6CEA" w:rsidRDefault="005F39D8" w:rsidP="00347C73">
            <w:pPr>
              <w:jc w:val="both"/>
              <w:rPr>
                <w:rFonts w:eastAsia="Calibri"/>
                <w:sz w:val="20"/>
              </w:rPr>
            </w:pPr>
            <w:r w:rsidRPr="003C6CEA">
              <w:rPr>
                <w:rFonts w:eastAsia="Calibri"/>
                <w:sz w:val="20"/>
              </w:rPr>
              <w:t>Court of Appeal for Ontario</w:t>
            </w:r>
          </w:p>
          <w:p w:rsidR="005F39D8" w:rsidRPr="003C6CEA" w:rsidRDefault="005F39D8" w:rsidP="00347C73">
            <w:pPr>
              <w:jc w:val="both"/>
              <w:rPr>
                <w:rFonts w:eastAsia="Calibri"/>
                <w:sz w:val="20"/>
              </w:rPr>
            </w:pPr>
            <w:r w:rsidRPr="003C6CEA">
              <w:rPr>
                <w:rFonts w:eastAsia="Calibri"/>
                <w:sz w:val="20"/>
              </w:rPr>
              <w:t>(Laskin, Goudge and Feldman Kathryn JJ.A.)</w:t>
            </w:r>
          </w:p>
          <w:p w:rsidR="005F39D8" w:rsidRPr="003C6CEA" w:rsidRDefault="00215143" w:rsidP="00347C73">
            <w:pPr>
              <w:jc w:val="both"/>
              <w:rPr>
                <w:rFonts w:eastAsia="Calibri"/>
                <w:sz w:val="20"/>
              </w:rPr>
            </w:pPr>
            <w:hyperlink r:id="rId66" w:history="1">
              <w:r w:rsidR="005F39D8" w:rsidRPr="003C6CEA">
                <w:rPr>
                  <w:rFonts w:eastAsia="Calibri"/>
                  <w:color w:val="0000FF"/>
                  <w:sz w:val="20"/>
                  <w:u w:val="single"/>
                </w:rPr>
                <w:t>2014 ONCA 240</w:t>
              </w:r>
            </w:hyperlink>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Appeal allowed; Tribunal’s order reinstated</w:t>
            </w: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May 27, 2014</w:t>
            </w:r>
          </w:p>
          <w:p w:rsidR="005F39D8" w:rsidRPr="003C6CEA" w:rsidRDefault="005F39D8" w:rsidP="00347C73">
            <w:pPr>
              <w:jc w:val="both"/>
              <w:rPr>
                <w:rFonts w:eastAsia="Calibri"/>
                <w:sz w:val="20"/>
              </w:rPr>
            </w:pPr>
            <w:r w:rsidRPr="003C6CEA">
              <w:rPr>
                <w:rFonts w:eastAsia="Calibri"/>
                <w:sz w:val="20"/>
              </w:rPr>
              <w:t>Supreme Court of Canada</w:t>
            </w: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Application for leave to appeal filed</w:t>
            </w:r>
          </w:p>
          <w:p w:rsidR="005F39D8" w:rsidRPr="003C6CEA" w:rsidRDefault="005F39D8" w:rsidP="00347C73">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65"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 xml:space="preserve">Droit social – Droit administratif – Organismes et tribunaux administratifs – Compétence – Le directeur du Programme ontarien de soutien aux personnes handicapées a-t-il le pouvoir de renoncer au recouvrement, en totalité ou en partie, d’un paiement excédentaire de prestations de soutien du revenu versées à un bénéficiaire handicapé en application de la </w:t>
            </w:r>
            <w:r w:rsidRPr="003C6CEA">
              <w:rPr>
                <w:rFonts w:eastAsia="Calibri"/>
                <w:i/>
                <w:sz w:val="20"/>
                <w:lang w:val="fr-CA"/>
              </w:rPr>
              <w:t>Loi sur le Programme ontarien de soutien aux personnes handicapées</w:t>
            </w:r>
            <w:r w:rsidRPr="003C6CEA">
              <w:rPr>
                <w:rFonts w:eastAsia="Calibri"/>
                <w:sz w:val="20"/>
                <w:lang w:val="fr-CA"/>
              </w:rPr>
              <w:t xml:space="preserve">, 1997, L.O. 1997, ch. 25, ann. B? – Le Tribunal de l’aide sociale a-t-il compétence pour limiter le recouvrement, par le Directeur, d’un paiement excédentaire et ordonner que le paiement excédentaire ne soit pas recouvré, en totalité ou en partie? – Application de </w:t>
            </w:r>
            <w:r w:rsidRPr="003C6CEA">
              <w:rPr>
                <w:rFonts w:eastAsia="Calibri"/>
                <w:i/>
                <w:sz w:val="20"/>
                <w:lang w:val="fr-CA"/>
              </w:rPr>
              <w:t xml:space="preserve">Canada (Procureur général) </w:t>
            </w:r>
            <w:r w:rsidRPr="003C6CEA">
              <w:rPr>
                <w:rFonts w:eastAsia="Calibri"/>
                <w:i/>
                <w:iCs/>
                <w:sz w:val="20"/>
                <w:lang w:val="fr-CA"/>
              </w:rPr>
              <w:t>c.</w:t>
            </w:r>
            <w:r w:rsidRPr="003C6CEA">
              <w:rPr>
                <w:rFonts w:eastAsia="Calibri"/>
                <w:i/>
                <w:sz w:val="20"/>
                <w:lang w:val="fr-CA"/>
              </w:rPr>
              <w:t xml:space="preserve"> Mavi, </w:t>
            </w:r>
            <w:r w:rsidRPr="003C6CEA">
              <w:rPr>
                <w:rFonts w:eastAsia="Calibri"/>
                <w:sz w:val="20"/>
                <w:lang w:val="fr-CA"/>
              </w:rPr>
              <w:t>2011 CSC 30, [2011] 2 R.C.S. 504.</w:t>
            </w:r>
          </w:p>
          <w:p w:rsidR="005F39D8" w:rsidRPr="003C6CEA" w:rsidRDefault="005F39D8" w:rsidP="00347C73">
            <w:pPr>
              <w:jc w:val="both"/>
              <w:rPr>
                <w:rFonts w:eastAsia="Calibri"/>
                <w:sz w:val="20"/>
                <w:lang w:val="fr-CA"/>
              </w:rPr>
            </w:pPr>
          </w:p>
        </w:tc>
      </w:tr>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 xml:space="preserve">L’intimé, M. Surdivall, a reçu des prestations mensuelles de soutien du revenu du Programme ontarien de soutien aux personnes handicapées jusqu’à l’âge de 65 ans.  En raison d’une erreur de déclaration commise de bonne foi, il a reçu, pendant dix mois, plus de prestations de soutien du revenu que ce à quoi il avait droit.  Le demandeur, le directeur du Programme ontarien de soutien aux personnes handicapées (le « directeur ») a tenté de recouvrer le paiement excédentaire.  Monsieur Surdivall a interjeté appel de cette décision au Tribunal de l’aide sociale.  Le Tribunal a conclu que même si un paiement excédentaire avait été fait, le directeur ne devait en recouvrer que la moitié.  De l’avis du Tribunal, le pouvoir discrétionnaire de recouvrer un paiement excédentaire devait être souple et il fallait </w:t>
            </w:r>
            <w:r w:rsidRPr="003C6CEA">
              <w:rPr>
                <w:rFonts w:eastAsia="Calibri"/>
                <w:sz w:val="20"/>
                <w:lang w:val="fr-CA"/>
              </w:rPr>
              <w:lastRenderedPageBreak/>
              <w:t xml:space="preserve">prendre en compte les circonstances de chaque affaire ainsi que l’objet de la </w:t>
            </w:r>
            <w:r w:rsidRPr="003C6CEA">
              <w:rPr>
                <w:rFonts w:eastAsia="Calibri"/>
                <w:i/>
                <w:sz w:val="20"/>
                <w:lang w:val="fr-CA"/>
              </w:rPr>
              <w:t>Loi sur le Programme ontarien de soutien aux personnes handicapées</w:t>
            </w:r>
            <w:r w:rsidRPr="003C6CEA">
              <w:rPr>
                <w:rFonts w:eastAsia="Calibri"/>
                <w:sz w:val="20"/>
                <w:lang w:val="fr-CA"/>
              </w:rPr>
              <w:t xml:space="preserve">, 1997, L.O. 1997, ch. 25, ann. B.  En l’espèce, le Tribunal a conclu que M. Surdivall éprouverait des difficultés financières s’il devait rembourser le montant intégral.  Par ailleurs, même si M. Surdivall n’avait pas intentionnellement trompé le directeur, il avait une certaine responsabilité envers les contribuables ontariens de rembourser une partie du paiement excédentaire.  Le directeur a interjeté appel de cette décision à la Cour divisionnaire qui a accueilli l’appel au motif que ni le directeur ni le Tribunal n’avait le pouvoir de faire grâce de quelque partie que ce soit d’un paiement excédentaire.  La Cour d’appel a accueilli l’appel et a rétabli la décision du Tribunal. </w:t>
            </w:r>
          </w:p>
          <w:p w:rsidR="005F39D8" w:rsidRPr="003C6CEA" w:rsidRDefault="005F39D8" w:rsidP="00347C73">
            <w:pPr>
              <w:jc w:val="both"/>
              <w:rPr>
                <w:rFonts w:eastAsia="Calibri"/>
                <w:sz w:val="20"/>
                <w:lang w:val="fr-CA"/>
              </w:rPr>
            </w:pPr>
          </w:p>
        </w:tc>
      </w:tr>
      <w:tr w:rsidR="005F39D8" w:rsidRPr="00225EDC"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lastRenderedPageBreak/>
              <w:t>30 mars 2012</w:t>
            </w:r>
          </w:p>
          <w:p w:rsidR="005F39D8" w:rsidRPr="003C6CEA" w:rsidRDefault="005F39D8" w:rsidP="00347C73">
            <w:pPr>
              <w:jc w:val="both"/>
              <w:rPr>
                <w:rFonts w:eastAsia="Calibri"/>
                <w:sz w:val="20"/>
                <w:lang w:val="fr-CA"/>
              </w:rPr>
            </w:pPr>
            <w:r w:rsidRPr="003C6CEA">
              <w:rPr>
                <w:rFonts w:eastAsia="Calibri"/>
                <w:sz w:val="20"/>
                <w:lang w:val="fr-CA"/>
              </w:rPr>
              <w:t>Cour supérieure de justice de l’Ontario (Cour divisionnaire)</w:t>
            </w:r>
          </w:p>
          <w:p w:rsidR="005F39D8" w:rsidRPr="003C6CEA" w:rsidRDefault="005F39D8" w:rsidP="00347C73">
            <w:pPr>
              <w:jc w:val="both"/>
              <w:rPr>
                <w:rFonts w:eastAsia="Calibri"/>
                <w:sz w:val="20"/>
                <w:lang w:val="fr-CA"/>
              </w:rPr>
            </w:pPr>
            <w:r w:rsidRPr="003C6CEA">
              <w:rPr>
                <w:rFonts w:eastAsia="Calibri"/>
                <w:sz w:val="20"/>
                <w:lang w:val="fr-CA"/>
              </w:rPr>
              <w:t>(Juges Jennings, Swinton et Harvison)</w:t>
            </w:r>
          </w:p>
          <w:p w:rsidR="005F39D8" w:rsidRPr="003C6CEA" w:rsidRDefault="00215143" w:rsidP="00347C73">
            <w:pPr>
              <w:jc w:val="both"/>
              <w:rPr>
                <w:rFonts w:eastAsia="Calibri"/>
                <w:sz w:val="20"/>
                <w:lang w:val="fr-CA"/>
              </w:rPr>
            </w:pPr>
            <w:hyperlink r:id="rId67" w:history="1">
              <w:r w:rsidR="005F39D8" w:rsidRPr="003C6CEA">
                <w:rPr>
                  <w:rFonts w:eastAsia="Calibri"/>
                  <w:color w:val="0000FF"/>
                  <w:sz w:val="20"/>
                  <w:u w:val="single"/>
                  <w:lang w:val="fr-CA"/>
                </w:rPr>
                <w:t>2012 ONSC 1851</w:t>
              </w:r>
            </w:hyperlink>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Appel accueilli; ordonnance du Tribunal de l’aide sociale limitant le recouvrement, par le demandeur, du paiement excédentaire fait à l’intimé, annulée</w:t>
            </w:r>
          </w:p>
          <w:p w:rsidR="005F39D8" w:rsidRPr="003C6CEA" w:rsidRDefault="005F39D8" w:rsidP="00347C73">
            <w:pPr>
              <w:jc w:val="both"/>
              <w:rPr>
                <w:rFonts w:eastAsia="Calibri"/>
                <w:sz w:val="20"/>
                <w:lang w:val="fr-CA"/>
              </w:rPr>
            </w:pPr>
          </w:p>
          <w:p w:rsidR="005F39D8" w:rsidRPr="003C6CEA" w:rsidRDefault="005F39D8" w:rsidP="00347C73">
            <w:pPr>
              <w:jc w:val="both"/>
              <w:rPr>
                <w:rFonts w:eastAsia="Calibri"/>
                <w:sz w:val="20"/>
                <w:lang w:val="fr-CA"/>
              </w:rPr>
            </w:pPr>
          </w:p>
        </w:tc>
      </w:tr>
      <w:tr w:rsidR="005F39D8" w:rsidRPr="00225EDC"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31 mars 2014</w:t>
            </w:r>
          </w:p>
          <w:p w:rsidR="005F39D8" w:rsidRPr="003C6CEA" w:rsidRDefault="005F39D8" w:rsidP="00347C73">
            <w:pPr>
              <w:jc w:val="both"/>
              <w:rPr>
                <w:rFonts w:eastAsia="Calibri"/>
                <w:sz w:val="20"/>
                <w:lang w:val="fr-CA"/>
              </w:rPr>
            </w:pPr>
            <w:r w:rsidRPr="003C6CEA">
              <w:rPr>
                <w:rFonts w:eastAsia="Calibri"/>
                <w:sz w:val="20"/>
                <w:lang w:val="fr-CA"/>
              </w:rPr>
              <w:t>Cour d’appel de l’Ontario</w:t>
            </w:r>
          </w:p>
          <w:p w:rsidR="005F39D8" w:rsidRPr="003C6CEA" w:rsidRDefault="005F39D8" w:rsidP="00347C73">
            <w:pPr>
              <w:jc w:val="both"/>
              <w:rPr>
                <w:rFonts w:eastAsia="Calibri"/>
                <w:sz w:val="20"/>
                <w:lang w:val="fr-CA"/>
              </w:rPr>
            </w:pPr>
            <w:r w:rsidRPr="003C6CEA">
              <w:rPr>
                <w:rFonts w:eastAsia="Calibri"/>
                <w:sz w:val="20"/>
                <w:lang w:val="fr-CA"/>
              </w:rPr>
              <w:t>(Juges Laskin, Goudge et Feldman)</w:t>
            </w:r>
          </w:p>
          <w:p w:rsidR="005F39D8" w:rsidRPr="003C6CEA" w:rsidRDefault="00215143" w:rsidP="00347C73">
            <w:pPr>
              <w:jc w:val="both"/>
              <w:rPr>
                <w:rFonts w:eastAsia="Calibri"/>
                <w:sz w:val="20"/>
                <w:lang w:val="fr-CA"/>
              </w:rPr>
            </w:pPr>
            <w:hyperlink r:id="rId68" w:history="1">
              <w:r w:rsidR="005F39D8" w:rsidRPr="003C6CEA">
                <w:rPr>
                  <w:rFonts w:eastAsia="Calibri"/>
                  <w:color w:val="0000FF"/>
                  <w:sz w:val="20"/>
                  <w:u w:val="single"/>
                  <w:lang w:val="fr-CA"/>
                </w:rPr>
                <w:t>2014 ONCA 240</w:t>
              </w:r>
            </w:hyperlink>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Appel accueilli; ordonnance du Tribunal rétablie</w:t>
            </w: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27 mai 2014</w:t>
            </w:r>
          </w:p>
          <w:p w:rsidR="005F39D8" w:rsidRPr="003C6CEA" w:rsidRDefault="005F39D8" w:rsidP="00347C73">
            <w:pPr>
              <w:jc w:val="both"/>
              <w:rPr>
                <w:rFonts w:eastAsia="Calibri"/>
                <w:sz w:val="20"/>
                <w:lang w:val="fr-CA"/>
              </w:rPr>
            </w:pPr>
            <w:r w:rsidRPr="003C6CEA">
              <w:rPr>
                <w:rFonts w:eastAsia="Calibri"/>
                <w:sz w:val="20"/>
                <w:lang w:val="fr-CA"/>
              </w:rPr>
              <w:t>Cour suprême du Canada</w:t>
            </w: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Demande d’autorisation d’appel, déposée</w:t>
            </w:r>
          </w:p>
          <w:p w:rsidR="005F39D8" w:rsidRPr="003C6CEA" w:rsidRDefault="005F39D8" w:rsidP="00347C73">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66"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5204" w:rsidRPr="00A04AD5" w:rsidTr="001068B6">
        <w:trPr>
          <w:cantSplit/>
        </w:trPr>
        <w:tc>
          <w:tcPr>
            <w:tcW w:w="1458" w:type="dxa"/>
          </w:tcPr>
          <w:p w:rsidR="00AD5204" w:rsidRPr="00A04AD5" w:rsidRDefault="00AD5204" w:rsidP="001068B6">
            <w:pPr>
              <w:rPr>
                <w:sz w:val="20"/>
                <w:szCs w:val="20"/>
              </w:rPr>
            </w:pPr>
            <w:r w:rsidRPr="00A04AD5">
              <w:rPr>
                <w:rStyle w:val="SCCFileNumberChar"/>
                <w:sz w:val="20"/>
                <w:szCs w:val="20"/>
              </w:rPr>
              <w:t>35911</w:t>
            </w:r>
          </w:p>
          <w:p w:rsidR="00AD5204" w:rsidRPr="00A04AD5" w:rsidRDefault="00AD5204" w:rsidP="001068B6">
            <w:pPr>
              <w:rPr>
                <w:b/>
                <w:sz w:val="20"/>
                <w:szCs w:val="20"/>
                <w:lang w:val="fr-CA"/>
              </w:rPr>
            </w:pPr>
          </w:p>
        </w:tc>
        <w:tc>
          <w:tcPr>
            <w:tcW w:w="8118" w:type="dxa"/>
          </w:tcPr>
          <w:p w:rsidR="00AD5204" w:rsidRPr="00A04AD5" w:rsidRDefault="00AD5204" w:rsidP="001068B6">
            <w:pPr>
              <w:jc w:val="both"/>
              <w:rPr>
                <w:sz w:val="20"/>
                <w:szCs w:val="20"/>
              </w:rPr>
            </w:pPr>
            <w:r w:rsidRPr="00A04AD5">
              <w:rPr>
                <w:rStyle w:val="SCCLsocChar"/>
                <w:sz w:val="20"/>
                <w:szCs w:val="20"/>
                <w:lang w:val="en-CA"/>
              </w:rPr>
              <w:t>Svetlana Fotinov, Citizen of Canada</w:t>
            </w:r>
            <w:r w:rsidR="00A6102E">
              <w:rPr>
                <w:rStyle w:val="SCCLsocChar"/>
                <w:sz w:val="20"/>
                <w:szCs w:val="20"/>
                <w:lang w:val="en-CA"/>
              </w:rPr>
              <w:t xml:space="preserve"> and</w:t>
            </w:r>
            <w:r w:rsidRPr="00A04AD5">
              <w:rPr>
                <w:rStyle w:val="SCCLsocChar"/>
                <w:sz w:val="20"/>
                <w:szCs w:val="20"/>
                <w:lang w:val="en-CA"/>
              </w:rPr>
              <w:t xml:space="preserve"> Citizen of the Russian Federation v. Royal Bank of Canada</w:t>
            </w:r>
            <w:r w:rsidRPr="00A04AD5">
              <w:rPr>
                <w:sz w:val="20"/>
                <w:szCs w:val="20"/>
              </w:rPr>
              <w:t xml:space="preserve"> (F</w:t>
            </w:r>
            <w:r w:rsidR="00A6102E">
              <w:rPr>
                <w:sz w:val="20"/>
                <w:szCs w:val="20"/>
              </w:rPr>
              <w:t>.</w:t>
            </w:r>
            <w:r w:rsidRPr="00A04AD5">
              <w:rPr>
                <w:sz w:val="20"/>
                <w:szCs w:val="20"/>
              </w:rPr>
              <w:t>C</w:t>
            </w:r>
            <w:r w:rsidR="00A6102E">
              <w:rPr>
                <w:sz w:val="20"/>
                <w:szCs w:val="20"/>
              </w:rPr>
              <w:t>.</w:t>
            </w:r>
            <w:r w:rsidRPr="00A04AD5">
              <w:rPr>
                <w:sz w:val="20"/>
                <w:szCs w:val="20"/>
              </w:rPr>
              <w:t>) (Civil) (By Leave)</w:t>
            </w:r>
          </w:p>
          <w:p w:rsidR="00AD5204" w:rsidRPr="00A04AD5" w:rsidRDefault="00AD5204" w:rsidP="001068B6">
            <w:pPr>
              <w:jc w:val="both"/>
              <w:rPr>
                <w:sz w:val="20"/>
                <w:szCs w:val="20"/>
              </w:rPr>
            </w:pPr>
          </w:p>
        </w:tc>
      </w:tr>
      <w:tr w:rsidR="00AD5204" w:rsidRPr="00A04AD5" w:rsidTr="001068B6">
        <w:trPr>
          <w:cantSplit/>
        </w:trPr>
        <w:tc>
          <w:tcPr>
            <w:tcW w:w="1458" w:type="dxa"/>
          </w:tcPr>
          <w:p w:rsidR="00AD5204" w:rsidRPr="00A04AD5" w:rsidRDefault="00AD5204" w:rsidP="001068B6">
            <w:pPr>
              <w:rPr>
                <w:sz w:val="20"/>
                <w:szCs w:val="20"/>
              </w:rPr>
            </w:pPr>
            <w:r w:rsidRPr="00A04AD5">
              <w:rPr>
                <w:sz w:val="20"/>
                <w:szCs w:val="20"/>
              </w:rPr>
              <w:t>Coram :</w:t>
            </w:r>
          </w:p>
        </w:tc>
        <w:tc>
          <w:tcPr>
            <w:tcW w:w="8118" w:type="dxa"/>
          </w:tcPr>
          <w:p w:rsidR="00AD5204" w:rsidRPr="00A04AD5" w:rsidRDefault="00AD5204" w:rsidP="001068B6">
            <w:pPr>
              <w:rPr>
                <w:sz w:val="20"/>
                <w:szCs w:val="20"/>
              </w:rPr>
            </w:pPr>
            <w:r w:rsidRPr="00A04AD5">
              <w:rPr>
                <w:rStyle w:val="SCCCoramChar"/>
                <w:sz w:val="20"/>
                <w:szCs w:val="20"/>
                <w:lang w:val="en-CA"/>
              </w:rPr>
              <w:t>LeBel, Karakatsanis and Gascon JJ.</w:t>
            </w:r>
          </w:p>
          <w:p w:rsidR="00AD5204" w:rsidRPr="00A04AD5" w:rsidRDefault="00AD5204" w:rsidP="001068B6">
            <w:pPr>
              <w:rPr>
                <w:sz w:val="20"/>
                <w:szCs w:val="20"/>
                <w:u w:val="single"/>
              </w:rPr>
            </w:pPr>
          </w:p>
        </w:tc>
      </w:tr>
      <w:tr w:rsidR="00AD5204" w:rsidRPr="00225EDC" w:rsidTr="001068B6">
        <w:trPr>
          <w:cantSplit/>
        </w:trPr>
        <w:tc>
          <w:tcPr>
            <w:tcW w:w="9576" w:type="dxa"/>
            <w:gridSpan w:val="2"/>
          </w:tcPr>
          <w:p w:rsidR="00AD5204" w:rsidRPr="00A04AD5" w:rsidRDefault="00AD5204" w:rsidP="001068B6">
            <w:pPr>
              <w:pStyle w:val="SCCShortJudgment"/>
              <w:rPr>
                <w:szCs w:val="20"/>
              </w:rPr>
            </w:pPr>
            <w:r w:rsidRPr="00A04AD5">
              <w:rPr>
                <w:szCs w:val="20"/>
              </w:rPr>
              <w:t>The application for leave to appeal from the judgment of the Federal Court of Appeal, Number A-390-13, 2014 FCA 70, dated March 18, 2014, is dismissed with costs.</w:t>
            </w:r>
          </w:p>
          <w:p w:rsidR="00AD5204" w:rsidRPr="00A04AD5" w:rsidRDefault="00AD5204" w:rsidP="001068B6">
            <w:pPr>
              <w:pStyle w:val="SCCShortJudgment"/>
              <w:ind w:firstLine="0"/>
              <w:rPr>
                <w:szCs w:val="20"/>
              </w:rPr>
            </w:pPr>
          </w:p>
          <w:p w:rsidR="00AD5204" w:rsidRPr="00A04AD5" w:rsidRDefault="00AD5204" w:rsidP="001068B6">
            <w:pPr>
              <w:pStyle w:val="SCCShortJudgment"/>
              <w:rPr>
                <w:szCs w:val="20"/>
                <w:lang w:val="fr-CA"/>
              </w:rPr>
            </w:pPr>
            <w:r w:rsidRPr="00A04AD5">
              <w:rPr>
                <w:szCs w:val="20"/>
                <w:lang w:val="fr-CA"/>
              </w:rPr>
              <w:t>La demande d’autorisation d’appel de l’arrêt de la Cour d’appel fédérale, numéro A-390-13, 2014 CAF 70, daté du 18 mars 2014, est rejetée avec dépens.</w:t>
            </w:r>
          </w:p>
        </w:tc>
      </w:tr>
    </w:tbl>
    <w:p w:rsidR="005F39D8" w:rsidRPr="00AD5204" w:rsidRDefault="005F39D8"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3C6CEA" w:rsidTr="00347C73">
        <w:tc>
          <w:tcPr>
            <w:tcW w:w="5000" w:type="pct"/>
            <w:gridSpan w:val="3"/>
          </w:tcPr>
          <w:p w:rsidR="005F39D8" w:rsidRPr="003C6CEA" w:rsidRDefault="005F39D8" w:rsidP="00347C73">
            <w:pPr>
              <w:jc w:val="both"/>
              <w:rPr>
                <w:rFonts w:eastAsia="Calibri"/>
                <w:sz w:val="20"/>
              </w:rPr>
            </w:pPr>
            <w:r w:rsidRPr="003C6CEA">
              <w:rPr>
                <w:rFonts w:eastAsia="Calibri"/>
                <w:sz w:val="20"/>
              </w:rPr>
              <w:t>Courts — Federal court — Jurisdiction — Statement of claim struck for want of jurisdiction — Royal Bank repossessed house owned by Applicant and mortgaged to Respondent — Whether Royal Bank withheld information pertaining to vital financial transactions from Applicant — Whether Royal Bank put Applicant at a disadvantage and discriminated against her by withholding information routinely available to other mortgage holders — Whether Royal Bank obtained an order for forcible eviction due to that discrimination and on the basis of false information presented to the Superior Court of Quebec — Whether Royal Bank proceeded with the foreclosure and eviction in an appropriate manner.</w:t>
            </w:r>
          </w:p>
        </w:tc>
      </w:tr>
      <w:tr w:rsidR="005F39D8" w:rsidRPr="003C6CEA" w:rsidTr="00347C73">
        <w:tc>
          <w:tcPr>
            <w:tcW w:w="5000" w:type="pct"/>
            <w:gridSpan w:val="3"/>
          </w:tcPr>
          <w:p w:rsidR="005F39D8" w:rsidRPr="003C6CEA" w:rsidRDefault="005F39D8" w:rsidP="00347C73">
            <w:pPr>
              <w:jc w:val="both"/>
              <w:rPr>
                <w:rFonts w:eastAsia="Calibri"/>
                <w:sz w:val="20"/>
              </w:rPr>
            </w:pPr>
          </w:p>
        </w:tc>
      </w:tr>
      <w:tr w:rsidR="005F39D8" w:rsidRPr="003C6CEA" w:rsidTr="00347C73">
        <w:tc>
          <w:tcPr>
            <w:tcW w:w="5000" w:type="pct"/>
            <w:gridSpan w:val="3"/>
          </w:tcPr>
          <w:p w:rsidR="005F39D8" w:rsidRPr="003C6CEA" w:rsidRDefault="005F39D8" w:rsidP="00347C73">
            <w:pPr>
              <w:jc w:val="both"/>
              <w:rPr>
                <w:rFonts w:eastAsia="Calibri"/>
                <w:sz w:val="20"/>
              </w:rPr>
            </w:pPr>
            <w:r w:rsidRPr="003C6CEA">
              <w:rPr>
                <w:rFonts w:eastAsia="Calibri"/>
                <w:sz w:val="20"/>
              </w:rPr>
              <w:t xml:space="preserve">Due to municipal tax arrears, Ms. Fotinov was declared in default of a mortgage and hypothec given to the Royal Bank on a property in Quebec.  The Royal Bank had paid the arrears upon notice that the municipality was going to proceed with the sale of the house.  Ms. Fotinov’s home was ordered to be surrendered and sold, and the Fotinovs were evicted in a manner they considered excessive.  As a result, Ms. Fotinov filed a Statement of Claim in the </w:t>
            </w:r>
            <w:r w:rsidRPr="003C6CEA">
              <w:rPr>
                <w:rFonts w:eastAsia="Calibri"/>
                <w:sz w:val="20"/>
              </w:rPr>
              <w:lastRenderedPageBreak/>
              <w:t xml:space="preserve">Federal Court based on the same general facts but seeking different damages than those sought in this case (File No. T-443-13).  It was struck for want of jurisdiction.  That decision was not appealed, but the instant Statement of Claim was commenced.  It sought damages in the amount of $12,000 from the Royal Bank for the foreclosure on the mortgage and all the related matters, violations of consumer protection, and </w:t>
            </w:r>
            <w:r w:rsidRPr="003C6CEA">
              <w:rPr>
                <w:rFonts w:eastAsia="Calibri"/>
                <w:i/>
                <w:sz w:val="20"/>
              </w:rPr>
              <w:t>Charter</w:t>
            </w:r>
            <w:r w:rsidRPr="003C6CEA">
              <w:rPr>
                <w:rFonts w:eastAsia="Calibri"/>
                <w:sz w:val="20"/>
              </w:rPr>
              <w:t xml:space="preserve"> rights. The Prothonotary struck the Statement of Claim without leave to amend pursuant to Rule 221(1)(a).  Ms. Fotinov appealed the Prothonotary’s order, and the Federal Court held an appeal </w:t>
            </w:r>
            <w:r w:rsidRPr="003C6CEA">
              <w:rPr>
                <w:rFonts w:eastAsia="Calibri"/>
                <w:i/>
                <w:sz w:val="20"/>
              </w:rPr>
              <w:t>de novo</w:t>
            </w:r>
            <w:r w:rsidRPr="003C6CEA">
              <w:rPr>
                <w:rFonts w:eastAsia="Calibri"/>
                <w:sz w:val="20"/>
              </w:rPr>
              <w:t>.  The appeal was dismissed.  When Ms. Fotinov filed a further appeal, the Royal Bank successfully moved to strike the appeal in the Federal Court of Appeal.</w:t>
            </w:r>
          </w:p>
          <w:p w:rsidR="005F39D8" w:rsidRPr="003C6CEA" w:rsidRDefault="005F39D8" w:rsidP="00347C73">
            <w:pPr>
              <w:jc w:val="both"/>
              <w:rPr>
                <w:rFonts w:eastAsia="Calibri"/>
                <w:sz w:val="20"/>
              </w:rPr>
            </w:pPr>
            <w:r w:rsidRPr="003C6CEA">
              <w:rPr>
                <w:rFonts w:eastAsia="Calibri"/>
                <w:sz w:val="20"/>
              </w:rPr>
              <w:t xml:space="preserve"> </w:t>
            </w: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lastRenderedPageBreak/>
              <w:t>August 29, 2013</w:t>
            </w:r>
          </w:p>
          <w:p w:rsidR="005F39D8" w:rsidRPr="003C6CEA" w:rsidRDefault="005F39D8" w:rsidP="00347C73">
            <w:pPr>
              <w:jc w:val="both"/>
              <w:rPr>
                <w:rFonts w:eastAsia="Calibri"/>
                <w:sz w:val="20"/>
              </w:rPr>
            </w:pPr>
            <w:r w:rsidRPr="003C6CEA">
              <w:rPr>
                <w:rFonts w:eastAsia="Calibri"/>
                <w:sz w:val="20"/>
              </w:rPr>
              <w:t>Federal Court</w:t>
            </w:r>
          </w:p>
          <w:p w:rsidR="005F39D8" w:rsidRPr="003C6CEA" w:rsidRDefault="005F39D8" w:rsidP="00347C73">
            <w:pPr>
              <w:jc w:val="both"/>
              <w:rPr>
                <w:rFonts w:eastAsia="Calibri"/>
                <w:sz w:val="20"/>
              </w:rPr>
            </w:pPr>
            <w:r w:rsidRPr="003C6CEA">
              <w:rPr>
                <w:rFonts w:eastAsia="Calibri"/>
                <w:sz w:val="20"/>
              </w:rPr>
              <w:t>(Prothonotary Morneau)</w:t>
            </w:r>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Statement of Claim struck for want of jurisdiction with costs and without leave to amend</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October 23, 2013</w:t>
            </w:r>
          </w:p>
          <w:p w:rsidR="005F39D8" w:rsidRPr="003C6CEA" w:rsidRDefault="005F39D8" w:rsidP="00347C73">
            <w:pPr>
              <w:jc w:val="both"/>
              <w:rPr>
                <w:rFonts w:eastAsia="Calibri"/>
                <w:sz w:val="20"/>
              </w:rPr>
            </w:pPr>
            <w:r w:rsidRPr="003C6CEA">
              <w:rPr>
                <w:rFonts w:eastAsia="Calibri"/>
                <w:sz w:val="20"/>
              </w:rPr>
              <w:t>Federal Court</w:t>
            </w:r>
          </w:p>
          <w:p w:rsidR="005F39D8" w:rsidRPr="003C6CEA" w:rsidRDefault="005F39D8" w:rsidP="00347C73">
            <w:pPr>
              <w:jc w:val="both"/>
              <w:rPr>
                <w:rFonts w:eastAsia="Calibri"/>
                <w:sz w:val="20"/>
              </w:rPr>
            </w:pPr>
            <w:r w:rsidRPr="003C6CEA">
              <w:rPr>
                <w:rFonts w:eastAsia="Calibri"/>
                <w:sz w:val="20"/>
              </w:rPr>
              <w:t>(McVeigh J.)</w:t>
            </w:r>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Appeal dismissed without costs</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March 18, 2014</w:t>
            </w:r>
          </w:p>
          <w:p w:rsidR="005F39D8" w:rsidRPr="003C6CEA" w:rsidRDefault="005F39D8" w:rsidP="00347C73">
            <w:pPr>
              <w:jc w:val="both"/>
              <w:rPr>
                <w:rFonts w:eastAsia="Calibri"/>
                <w:sz w:val="20"/>
              </w:rPr>
            </w:pPr>
            <w:r w:rsidRPr="003C6CEA">
              <w:rPr>
                <w:rFonts w:eastAsia="Calibri"/>
                <w:sz w:val="20"/>
              </w:rPr>
              <w:t>Federal Court of Appeal</w:t>
            </w:r>
          </w:p>
          <w:p w:rsidR="005F39D8" w:rsidRPr="005F39D8" w:rsidRDefault="005F39D8" w:rsidP="00347C73">
            <w:pPr>
              <w:jc w:val="both"/>
              <w:rPr>
                <w:rFonts w:eastAsia="Calibri"/>
                <w:sz w:val="20"/>
              </w:rPr>
            </w:pPr>
            <w:r w:rsidRPr="005F39D8">
              <w:rPr>
                <w:rFonts w:eastAsia="Calibri"/>
                <w:sz w:val="20"/>
              </w:rPr>
              <w:t>(Pelletier, Gauthier, Webb JJ.A.)</w:t>
            </w:r>
          </w:p>
          <w:p w:rsidR="005F39D8" w:rsidRPr="003C6CEA" w:rsidRDefault="005F39D8" w:rsidP="00347C73">
            <w:pPr>
              <w:jc w:val="both"/>
              <w:rPr>
                <w:rFonts w:eastAsia="Calibri"/>
                <w:sz w:val="20"/>
              </w:rPr>
            </w:pPr>
            <w:r w:rsidRPr="003C6CEA">
              <w:rPr>
                <w:rFonts w:eastAsia="Calibri"/>
                <w:sz w:val="20"/>
              </w:rPr>
              <w:t xml:space="preserve">A-390-13, </w:t>
            </w:r>
            <w:hyperlink r:id="rId69" w:history="1">
              <w:r w:rsidRPr="003C6CEA">
                <w:rPr>
                  <w:rFonts w:eastAsia="Calibri"/>
                  <w:color w:val="0000FF"/>
                  <w:sz w:val="20"/>
                  <w:u w:val="single"/>
                </w:rPr>
                <w:t>2014 FCA 70</w:t>
              </w:r>
            </w:hyperlink>
          </w:p>
          <w:p w:rsidR="005F39D8" w:rsidRPr="003C6CEA" w:rsidRDefault="005F39D8" w:rsidP="00347C73">
            <w:pPr>
              <w:jc w:val="both"/>
              <w:rPr>
                <w:rFonts w:eastAsia="Calibri"/>
                <w:sz w:val="20"/>
              </w:rPr>
            </w:pP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Motion to strike granted; appeal dismissed with costs</w:t>
            </w:r>
          </w:p>
          <w:p w:rsidR="005F39D8" w:rsidRPr="003C6CEA" w:rsidRDefault="005F39D8" w:rsidP="00347C73">
            <w:pPr>
              <w:jc w:val="both"/>
              <w:rPr>
                <w:rFonts w:eastAsia="Calibri"/>
                <w:sz w:val="20"/>
              </w:rPr>
            </w:pPr>
          </w:p>
        </w:tc>
      </w:tr>
      <w:tr w:rsidR="005F39D8" w:rsidRPr="003C6CEA" w:rsidTr="00347C73">
        <w:tc>
          <w:tcPr>
            <w:tcW w:w="2427" w:type="pct"/>
          </w:tcPr>
          <w:p w:rsidR="005F39D8" w:rsidRPr="003C6CEA" w:rsidRDefault="005F39D8" w:rsidP="00347C73">
            <w:pPr>
              <w:jc w:val="both"/>
              <w:rPr>
                <w:rFonts w:eastAsia="Calibri"/>
                <w:sz w:val="20"/>
              </w:rPr>
            </w:pPr>
            <w:r w:rsidRPr="003C6CEA">
              <w:rPr>
                <w:rFonts w:eastAsia="Calibri"/>
                <w:sz w:val="20"/>
              </w:rPr>
              <w:t>May 20, 2014</w:t>
            </w:r>
          </w:p>
          <w:p w:rsidR="005F39D8" w:rsidRPr="003C6CEA" w:rsidRDefault="005F39D8" w:rsidP="00347C73">
            <w:pPr>
              <w:jc w:val="both"/>
              <w:rPr>
                <w:rFonts w:eastAsia="Calibri"/>
                <w:sz w:val="20"/>
              </w:rPr>
            </w:pPr>
            <w:r w:rsidRPr="003C6CEA">
              <w:rPr>
                <w:rFonts w:eastAsia="Calibri"/>
                <w:sz w:val="20"/>
              </w:rPr>
              <w:t>Supreme Court of Canada</w:t>
            </w:r>
          </w:p>
        </w:tc>
        <w:tc>
          <w:tcPr>
            <w:tcW w:w="243" w:type="pct"/>
          </w:tcPr>
          <w:p w:rsidR="005F39D8" w:rsidRPr="003C6CEA" w:rsidRDefault="005F39D8" w:rsidP="00347C73">
            <w:pPr>
              <w:jc w:val="both"/>
              <w:rPr>
                <w:rFonts w:eastAsia="Calibri"/>
                <w:sz w:val="20"/>
              </w:rPr>
            </w:pPr>
          </w:p>
        </w:tc>
        <w:tc>
          <w:tcPr>
            <w:tcW w:w="2330" w:type="pct"/>
          </w:tcPr>
          <w:p w:rsidR="005F39D8" w:rsidRPr="003C6CEA" w:rsidRDefault="005F39D8" w:rsidP="00347C73">
            <w:pPr>
              <w:jc w:val="both"/>
              <w:rPr>
                <w:rFonts w:eastAsia="Calibri"/>
                <w:sz w:val="20"/>
              </w:rPr>
            </w:pPr>
            <w:r w:rsidRPr="003C6CEA">
              <w:rPr>
                <w:rFonts w:eastAsia="Calibri"/>
                <w:sz w:val="20"/>
              </w:rPr>
              <w:t>Application for leave to appeal filed</w:t>
            </w:r>
          </w:p>
          <w:p w:rsidR="005F39D8" w:rsidRPr="003C6CEA" w:rsidRDefault="005F39D8" w:rsidP="00347C73">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67"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Tribunaux — Cour fédérale — Compétence — Déclaration annulée pour absence de compétence — La Banque Royale a repris possession de la maison appartenant à la demanderesse et hypothéquée en faveur de l’intimée — La Banque Royale a-t-elle omis de transmettre à la demanderesse des renseignements relatifs à des opérations financières essentielles? — La Banque Royale a-t-elle placé la demanderesse dans une situation désavantageuse et a-t-elle fait preuve de discrimination à son égard en ne communiquant pas des renseignements qui étaient habituellement mis à la disposition d’autres débiteurs hypothécaires? — La Banque Royale a-t-elle obtenu une ordonnance d’expulsion en raison de cette discrimination et sur le fondement de faux renseignements présentés à la Cour supérieure du Québec? — La Banque Royale a-t-elle procédé à la forclusion et à l’expulsion de façon appropriée?</w:t>
            </w:r>
          </w:p>
        </w:tc>
      </w:tr>
      <w:tr w:rsidR="005F39D8" w:rsidRPr="00225EDC" w:rsidTr="00347C73">
        <w:tc>
          <w:tcPr>
            <w:tcW w:w="5000" w:type="pct"/>
            <w:gridSpan w:val="3"/>
          </w:tcPr>
          <w:p w:rsidR="005F39D8" w:rsidRPr="003C6CEA" w:rsidRDefault="005F39D8" w:rsidP="00347C73">
            <w:pPr>
              <w:jc w:val="both"/>
              <w:rPr>
                <w:rFonts w:eastAsia="Calibri"/>
                <w:sz w:val="20"/>
                <w:lang w:val="fr-CA"/>
              </w:rPr>
            </w:pPr>
          </w:p>
        </w:tc>
      </w:tr>
      <w:tr w:rsidR="005F39D8" w:rsidRPr="00225EDC" w:rsidTr="00347C73">
        <w:tc>
          <w:tcPr>
            <w:tcW w:w="5000" w:type="pct"/>
            <w:gridSpan w:val="3"/>
          </w:tcPr>
          <w:p w:rsidR="005F39D8" w:rsidRPr="003C6CEA" w:rsidRDefault="005F39D8" w:rsidP="00347C73">
            <w:pPr>
              <w:jc w:val="both"/>
              <w:rPr>
                <w:rFonts w:eastAsia="Calibri"/>
                <w:sz w:val="20"/>
                <w:lang w:val="fr-CA"/>
              </w:rPr>
            </w:pPr>
            <w:r w:rsidRPr="003C6CEA">
              <w:rPr>
                <w:rFonts w:eastAsia="Calibri"/>
                <w:sz w:val="20"/>
                <w:lang w:val="fr-CA"/>
              </w:rPr>
              <w:t>En raison d’arriérés de taxes municipales, Mme Fotinov a été déclarée en défaut pour non-paiement d’un prêt garanti par une hypothèque consentie à la Banque Royale et grevant un bien situé au Québec.  La Banque Royale avait payé les arriérés après avoir reçu un avis comme quoi la municipalité allait procéder à la vente de la maison.  Une ordonnance de délaissement et de vente de la maison de Mme Fotinov a été rendue et les Fotinov ont été expulsés d’une manière qu’ils jugeaient excessive.  En conséquence, Mme Fotinov a déposé une demande en Cour fédérale, fondée sur les mêmes faits généraux, mais sollicitant des dommages-intérêts différents de ceux qui sont demandés en l’espèce (n</w:t>
            </w:r>
            <w:r w:rsidRPr="003C6CEA">
              <w:rPr>
                <w:rFonts w:eastAsia="Calibri"/>
                <w:sz w:val="20"/>
                <w:vertAlign w:val="superscript"/>
                <w:lang w:val="fr-CA"/>
              </w:rPr>
              <w:t>o</w:t>
            </w:r>
            <w:r w:rsidRPr="003C6CEA">
              <w:rPr>
                <w:rFonts w:eastAsia="Calibri"/>
                <w:sz w:val="20"/>
                <w:lang w:val="fr-CA"/>
              </w:rPr>
              <w:t xml:space="preserve"> du greffe T-443-13).  La demande a été radiée pour absence de compétence.  Cette décision n’a pas été portée en appel, mais la présente déclaration a été introduite.  En l’espèce, la demanderesse sollicite des dommages-intérêts de 12 000 $ de la Banque Royale pour la forclusion hypothécaire et toutes les questions connexes, violations de lois sur la protection du consommateur et violations de droits garantis par la </w:t>
            </w:r>
            <w:r w:rsidRPr="003C6CEA">
              <w:rPr>
                <w:rFonts w:eastAsia="Calibri"/>
                <w:i/>
                <w:sz w:val="20"/>
                <w:lang w:val="fr-CA"/>
              </w:rPr>
              <w:t>Charte</w:t>
            </w:r>
            <w:r w:rsidRPr="003C6CEA">
              <w:rPr>
                <w:rFonts w:eastAsia="Calibri"/>
                <w:sz w:val="20"/>
                <w:lang w:val="fr-CA"/>
              </w:rPr>
              <w:t>.  Le protonotaire a radié la déclaration sans autorisation d’appel en application de la règle 221(1)</w:t>
            </w:r>
            <w:r w:rsidRPr="003C6CEA">
              <w:rPr>
                <w:rFonts w:eastAsia="Calibri"/>
                <w:i/>
                <w:sz w:val="20"/>
                <w:lang w:val="fr-CA"/>
              </w:rPr>
              <w:t>a</w:t>
            </w:r>
            <w:r w:rsidRPr="003C6CEA">
              <w:rPr>
                <w:rFonts w:eastAsia="Calibri"/>
                <w:sz w:val="20"/>
                <w:lang w:val="fr-CA"/>
              </w:rPr>
              <w:t xml:space="preserve">).  Madame Fotinov a interjeté appel de l’ordonnance du protonotaire et la Cour fédérale a tenu un appel </w:t>
            </w:r>
            <w:r w:rsidRPr="003C6CEA">
              <w:rPr>
                <w:rFonts w:eastAsia="Calibri"/>
                <w:i/>
                <w:sz w:val="20"/>
                <w:lang w:val="fr-CA"/>
              </w:rPr>
              <w:t>de novo</w:t>
            </w:r>
            <w:r w:rsidRPr="003C6CEA">
              <w:rPr>
                <w:rFonts w:eastAsia="Calibri"/>
                <w:sz w:val="20"/>
                <w:lang w:val="fr-CA"/>
              </w:rPr>
              <w:t>.  L’appel a été rejeté.  Lorsque Mme Fotinov déposé un autre appel, la Banque Royale a demandé par requête la radiation de l’appel et cette demande a été accueillie.</w:t>
            </w:r>
          </w:p>
          <w:p w:rsidR="005F39D8" w:rsidRPr="003C6CEA" w:rsidRDefault="005F39D8" w:rsidP="00347C73">
            <w:pPr>
              <w:jc w:val="both"/>
              <w:rPr>
                <w:rFonts w:eastAsia="Calibri"/>
                <w:sz w:val="20"/>
                <w:lang w:val="fr-CA"/>
              </w:rPr>
            </w:pPr>
          </w:p>
        </w:tc>
      </w:tr>
      <w:tr w:rsidR="005F39D8" w:rsidRPr="00225EDC"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lastRenderedPageBreak/>
              <w:t>29 août 2013</w:t>
            </w:r>
          </w:p>
          <w:p w:rsidR="005F39D8" w:rsidRPr="003C6CEA" w:rsidRDefault="005F39D8" w:rsidP="00347C73">
            <w:pPr>
              <w:jc w:val="both"/>
              <w:rPr>
                <w:rFonts w:eastAsia="Calibri"/>
                <w:sz w:val="20"/>
                <w:lang w:val="fr-CA"/>
              </w:rPr>
            </w:pPr>
            <w:r w:rsidRPr="003C6CEA">
              <w:rPr>
                <w:rFonts w:eastAsia="Calibri"/>
                <w:sz w:val="20"/>
                <w:lang w:val="fr-CA"/>
              </w:rPr>
              <w:t>Cour fédérale</w:t>
            </w:r>
          </w:p>
          <w:p w:rsidR="005F39D8" w:rsidRPr="003C6CEA" w:rsidRDefault="005F39D8" w:rsidP="00347C73">
            <w:pPr>
              <w:jc w:val="both"/>
              <w:rPr>
                <w:rFonts w:eastAsia="Calibri"/>
                <w:sz w:val="20"/>
                <w:lang w:val="fr-CA"/>
              </w:rPr>
            </w:pPr>
            <w:r w:rsidRPr="003C6CEA">
              <w:rPr>
                <w:rFonts w:eastAsia="Calibri"/>
                <w:sz w:val="20"/>
                <w:lang w:val="fr-CA"/>
              </w:rPr>
              <w:t>(Protonotaire Morneau)</w:t>
            </w:r>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Déclaration radiée pour absence de compétence avec dépens et sans autorisation de modifier</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23 octobre 2013</w:t>
            </w:r>
          </w:p>
          <w:p w:rsidR="005F39D8" w:rsidRPr="003C6CEA" w:rsidRDefault="005F39D8" w:rsidP="00347C73">
            <w:pPr>
              <w:jc w:val="both"/>
              <w:rPr>
                <w:rFonts w:eastAsia="Calibri"/>
                <w:sz w:val="20"/>
                <w:lang w:val="fr-CA"/>
              </w:rPr>
            </w:pPr>
            <w:r w:rsidRPr="003C6CEA">
              <w:rPr>
                <w:rFonts w:eastAsia="Calibri"/>
                <w:sz w:val="20"/>
                <w:lang w:val="fr-CA"/>
              </w:rPr>
              <w:t>Cour fédérale</w:t>
            </w:r>
          </w:p>
          <w:p w:rsidR="005F39D8" w:rsidRPr="003C6CEA" w:rsidRDefault="005F39D8" w:rsidP="00347C73">
            <w:pPr>
              <w:jc w:val="both"/>
              <w:rPr>
                <w:rFonts w:eastAsia="Calibri"/>
                <w:sz w:val="20"/>
                <w:lang w:val="fr-CA"/>
              </w:rPr>
            </w:pPr>
            <w:r w:rsidRPr="003C6CEA">
              <w:rPr>
                <w:rFonts w:eastAsia="Calibri"/>
                <w:sz w:val="20"/>
                <w:lang w:val="fr-CA"/>
              </w:rPr>
              <w:t>(Juge McVeigh)</w:t>
            </w:r>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Appel rejeté sans frais</w:t>
            </w:r>
          </w:p>
          <w:p w:rsidR="005F39D8" w:rsidRPr="003C6CEA" w:rsidRDefault="005F39D8" w:rsidP="00347C73">
            <w:pPr>
              <w:jc w:val="both"/>
              <w:rPr>
                <w:rFonts w:eastAsia="Calibri"/>
                <w:sz w:val="20"/>
                <w:lang w:val="fr-CA"/>
              </w:rPr>
            </w:pPr>
          </w:p>
        </w:tc>
      </w:tr>
      <w:tr w:rsidR="005F39D8" w:rsidRPr="00225EDC"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18 mars 2014</w:t>
            </w:r>
          </w:p>
          <w:p w:rsidR="005F39D8" w:rsidRPr="003C6CEA" w:rsidRDefault="005F39D8" w:rsidP="00347C73">
            <w:pPr>
              <w:jc w:val="both"/>
              <w:rPr>
                <w:rFonts w:eastAsia="Calibri"/>
                <w:sz w:val="20"/>
                <w:lang w:val="fr-CA"/>
              </w:rPr>
            </w:pPr>
            <w:r w:rsidRPr="003C6CEA">
              <w:rPr>
                <w:rFonts w:eastAsia="Calibri"/>
                <w:sz w:val="20"/>
                <w:lang w:val="fr-CA"/>
              </w:rPr>
              <w:t>Cour d’appel fédérale</w:t>
            </w:r>
          </w:p>
          <w:p w:rsidR="005F39D8" w:rsidRPr="003C6CEA" w:rsidRDefault="005F39D8" w:rsidP="00347C73">
            <w:pPr>
              <w:jc w:val="both"/>
              <w:rPr>
                <w:rFonts w:eastAsia="Calibri"/>
                <w:sz w:val="20"/>
                <w:lang w:val="fr-CA"/>
              </w:rPr>
            </w:pPr>
            <w:r w:rsidRPr="003C6CEA">
              <w:rPr>
                <w:rFonts w:eastAsia="Calibri"/>
                <w:sz w:val="20"/>
                <w:lang w:val="fr-CA"/>
              </w:rPr>
              <w:t>(Juges Pelletier, Gauthier et Webb)</w:t>
            </w:r>
          </w:p>
          <w:p w:rsidR="005F39D8" w:rsidRPr="003C6CEA" w:rsidRDefault="005F39D8" w:rsidP="00347C73">
            <w:pPr>
              <w:jc w:val="both"/>
              <w:rPr>
                <w:rFonts w:eastAsia="Calibri"/>
                <w:sz w:val="20"/>
                <w:lang w:val="fr-CA"/>
              </w:rPr>
            </w:pPr>
            <w:r w:rsidRPr="003C6CEA">
              <w:rPr>
                <w:rFonts w:eastAsia="Calibri"/>
                <w:sz w:val="20"/>
                <w:lang w:val="fr-CA"/>
              </w:rPr>
              <w:t xml:space="preserve">A-390-13, </w:t>
            </w:r>
            <w:hyperlink r:id="rId70" w:history="1">
              <w:r w:rsidRPr="003C6CEA">
                <w:rPr>
                  <w:rFonts w:eastAsia="Calibri"/>
                  <w:color w:val="0000FF"/>
                  <w:sz w:val="20"/>
                  <w:u w:val="single"/>
                  <w:lang w:val="fr-CA"/>
                </w:rPr>
                <w:t>2014 FCA 70</w:t>
              </w:r>
            </w:hyperlink>
          </w:p>
          <w:p w:rsidR="005F39D8" w:rsidRPr="003C6CEA" w:rsidRDefault="005F39D8" w:rsidP="00347C73">
            <w:pPr>
              <w:jc w:val="both"/>
              <w:rPr>
                <w:rFonts w:eastAsia="Calibri"/>
                <w:sz w:val="20"/>
                <w:lang w:val="fr-CA"/>
              </w:rPr>
            </w:pP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Requête en radiation, accueillie; appel rejeté sans frais</w:t>
            </w:r>
          </w:p>
          <w:p w:rsidR="005F39D8" w:rsidRPr="003C6CEA" w:rsidRDefault="005F39D8" w:rsidP="00347C73">
            <w:pPr>
              <w:jc w:val="both"/>
              <w:rPr>
                <w:rFonts w:eastAsia="Calibri"/>
                <w:sz w:val="20"/>
                <w:lang w:val="fr-CA"/>
              </w:rPr>
            </w:pPr>
          </w:p>
        </w:tc>
      </w:tr>
      <w:tr w:rsidR="005F39D8" w:rsidRPr="003C6CEA" w:rsidTr="00347C73">
        <w:tc>
          <w:tcPr>
            <w:tcW w:w="2427" w:type="pct"/>
          </w:tcPr>
          <w:p w:rsidR="005F39D8" w:rsidRPr="003C6CEA" w:rsidRDefault="005F39D8" w:rsidP="00347C73">
            <w:pPr>
              <w:jc w:val="both"/>
              <w:rPr>
                <w:rFonts w:eastAsia="Calibri"/>
                <w:sz w:val="20"/>
                <w:lang w:val="fr-CA"/>
              </w:rPr>
            </w:pPr>
            <w:r w:rsidRPr="003C6CEA">
              <w:rPr>
                <w:rFonts w:eastAsia="Calibri"/>
                <w:sz w:val="20"/>
                <w:lang w:val="fr-CA"/>
              </w:rPr>
              <w:t>20 mai 2014</w:t>
            </w:r>
          </w:p>
          <w:p w:rsidR="005F39D8" w:rsidRPr="003C6CEA" w:rsidRDefault="005F39D8" w:rsidP="00347C73">
            <w:pPr>
              <w:jc w:val="both"/>
              <w:rPr>
                <w:rFonts w:eastAsia="Calibri"/>
                <w:sz w:val="20"/>
                <w:lang w:val="fr-CA"/>
              </w:rPr>
            </w:pPr>
            <w:r w:rsidRPr="003C6CEA">
              <w:rPr>
                <w:rFonts w:eastAsia="Calibri"/>
                <w:sz w:val="20"/>
                <w:lang w:val="fr-CA"/>
              </w:rPr>
              <w:t>Cour suprême du Canada</w:t>
            </w:r>
          </w:p>
        </w:tc>
        <w:tc>
          <w:tcPr>
            <w:tcW w:w="243" w:type="pct"/>
          </w:tcPr>
          <w:p w:rsidR="005F39D8" w:rsidRPr="003C6CEA" w:rsidRDefault="005F39D8" w:rsidP="00347C73">
            <w:pPr>
              <w:jc w:val="both"/>
              <w:rPr>
                <w:rFonts w:eastAsia="Calibri"/>
                <w:sz w:val="20"/>
                <w:lang w:val="fr-CA"/>
              </w:rPr>
            </w:pPr>
          </w:p>
        </w:tc>
        <w:tc>
          <w:tcPr>
            <w:tcW w:w="2330" w:type="pct"/>
          </w:tcPr>
          <w:p w:rsidR="005F39D8" w:rsidRPr="003C6CEA" w:rsidRDefault="005F39D8" w:rsidP="00347C73">
            <w:pPr>
              <w:jc w:val="both"/>
              <w:rPr>
                <w:rFonts w:eastAsia="Calibri"/>
                <w:sz w:val="20"/>
                <w:lang w:val="fr-CA"/>
              </w:rPr>
            </w:pPr>
            <w:r w:rsidRPr="003C6CEA">
              <w:rPr>
                <w:rFonts w:eastAsia="Calibri"/>
                <w:sz w:val="20"/>
                <w:lang w:val="fr-CA"/>
              </w:rPr>
              <w:t>Demande d’autorisation d’appel, déposée</w:t>
            </w:r>
          </w:p>
          <w:p w:rsidR="005F39D8" w:rsidRPr="003C6CEA" w:rsidRDefault="005F39D8" w:rsidP="00347C73">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68"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5204" w:rsidRPr="00A04AD5" w:rsidTr="001068B6">
        <w:trPr>
          <w:cantSplit/>
        </w:trPr>
        <w:tc>
          <w:tcPr>
            <w:tcW w:w="1458" w:type="dxa"/>
          </w:tcPr>
          <w:p w:rsidR="00AD5204" w:rsidRPr="00A04AD5" w:rsidRDefault="00AD5204" w:rsidP="001068B6">
            <w:pPr>
              <w:rPr>
                <w:sz w:val="20"/>
                <w:szCs w:val="20"/>
              </w:rPr>
            </w:pPr>
            <w:r w:rsidRPr="00A04AD5">
              <w:rPr>
                <w:rStyle w:val="SCCFileNumberChar"/>
                <w:sz w:val="20"/>
                <w:szCs w:val="20"/>
              </w:rPr>
              <w:t>35917</w:t>
            </w:r>
          </w:p>
          <w:p w:rsidR="00AD5204" w:rsidRPr="00A04AD5" w:rsidRDefault="00AD5204" w:rsidP="001068B6">
            <w:pPr>
              <w:rPr>
                <w:b/>
                <w:sz w:val="20"/>
                <w:szCs w:val="20"/>
                <w:lang w:val="fr-CA"/>
              </w:rPr>
            </w:pPr>
          </w:p>
        </w:tc>
        <w:tc>
          <w:tcPr>
            <w:tcW w:w="8118" w:type="dxa"/>
          </w:tcPr>
          <w:p w:rsidR="00AD5204" w:rsidRPr="00A04AD5" w:rsidRDefault="00AD5204" w:rsidP="001068B6">
            <w:pPr>
              <w:jc w:val="both"/>
              <w:rPr>
                <w:sz w:val="20"/>
                <w:szCs w:val="20"/>
              </w:rPr>
            </w:pPr>
            <w:r w:rsidRPr="00A04AD5">
              <w:rPr>
                <w:rStyle w:val="SCCLsocChar"/>
                <w:sz w:val="20"/>
                <w:szCs w:val="20"/>
                <w:lang w:val="en-CA"/>
              </w:rPr>
              <w:t>Egg Films Incorporated v. Labour Board</w:t>
            </w:r>
            <w:r w:rsidR="002F298A">
              <w:rPr>
                <w:rStyle w:val="SCCLsocChar"/>
                <w:sz w:val="20"/>
                <w:szCs w:val="20"/>
                <w:lang w:val="en-CA"/>
              </w:rPr>
              <w:t xml:space="preserve"> and</w:t>
            </w:r>
            <w:r w:rsidRPr="00A04AD5">
              <w:rPr>
                <w:rStyle w:val="SCCLsocChar"/>
                <w:sz w:val="20"/>
                <w:szCs w:val="20"/>
                <w:lang w:val="en-CA"/>
              </w:rPr>
              <w:t xml:space="preserve"> International Alliance of Theatrical Stage Employees, Moving Picture Technicians, Artists and Allied Crafts of the United States, its Territories, and Canada, Local 849</w:t>
            </w:r>
            <w:r w:rsidRPr="00A04AD5">
              <w:rPr>
                <w:sz w:val="20"/>
                <w:szCs w:val="20"/>
              </w:rPr>
              <w:t xml:space="preserve"> (N.S.) (Civil) (By Leave)</w:t>
            </w:r>
          </w:p>
          <w:p w:rsidR="00AD5204" w:rsidRPr="00A04AD5" w:rsidRDefault="00AD5204" w:rsidP="001068B6">
            <w:pPr>
              <w:jc w:val="both"/>
              <w:rPr>
                <w:sz w:val="20"/>
                <w:szCs w:val="20"/>
              </w:rPr>
            </w:pPr>
          </w:p>
        </w:tc>
      </w:tr>
      <w:tr w:rsidR="00AD5204" w:rsidRPr="00A04AD5" w:rsidTr="001068B6">
        <w:trPr>
          <w:cantSplit/>
        </w:trPr>
        <w:tc>
          <w:tcPr>
            <w:tcW w:w="1458" w:type="dxa"/>
          </w:tcPr>
          <w:p w:rsidR="00AD5204" w:rsidRPr="00A04AD5" w:rsidRDefault="00AD5204" w:rsidP="001068B6">
            <w:pPr>
              <w:rPr>
                <w:sz w:val="20"/>
                <w:szCs w:val="20"/>
              </w:rPr>
            </w:pPr>
            <w:r w:rsidRPr="00A04AD5">
              <w:rPr>
                <w:sz w:val="20"/>
                <w:szCs w:val="20"/>
              </w:rPr>
              <w:t>Coram :</w:t>
            </w:r>
          </w:p>
        </w:tc>
        <w:tc>
          <w:tcPr>
            <w:tcW w:w="8118" w:type="dxa"/>
          </w:tcPr>
          <w:p w:rsidR="00AD5204" w:rsidRPr="00A04AD5" w:rsidRDefault="00AD5204" w:rsidP="001068B6">
            <w:pPr>
              <w:rPr>
                <w:sz w:val="20"/>
                <w:szCs w:val="20"/>
              </w:rPr>
            </w:pPr>
            <w:r w:rsidRPr="00A04AD5">
              <w:rPr>
                <w:rStyle w:val="SCCCoramChar"/>
                <w:sz w:val="20"/>
                <w:szCs w:val="20"/>
                <w:lang w:val="en-CA"/>
              </w:rPr>
              <w:t>McLachlin C.J. and Cromwell and Wagner JJ.</w:t>
            </w:r>
          </w:p>
          <w:p w:rsidR="00AD5204" w:rsidRPr="00A04AD5" w:rsidRDefault="00AD5204" w:rsidP="001068B6">
            <w:pPr>
              <w:rPr>
                <w:sz w:val="20"/>
                <w:szCs w:val="20"/>
                <w:u w:val="single"/>
              </w:rPr>
            </w:pPr>
          </w:p>
        </w:tc>
      </w:tr>
      <w:tr w:rsidR="00AD5204" w:rsidRPr="00225EDC" w:rsidTr="001068B6">
        <w:trPr>
          <w:cantSplit/>
        </w:trPr>
        <w:tc>
          <w:tcPr>
            <w:tcW w:w="9576" w:type="dxa"/>
            <w:gridSpan w:val="2"/>
          </w:tcPr>
          <w:p w:rsidR="00AD5204" w:rsidRPr="00A04AD5" w:rsidRDefault="00AD5204" w:rsidP="001068B6">
            <w:pPr>
              <w:pStyle w:val="SCCShortJudgment"/>
              <w:rPr>
                <w:szCs w:val="20"/>
              </w:rPr>
            </w:pPr>
            <w:r w:rsidRPr="00A04AD5">
              <w:rPr>
                <w:szCs w:val="20"/>
              </w:rPr>
              <w:t>The application for leave to appeal from the judgment of the Nova Scotia Court of Appeal, Number CA416865, 2014 NSCA 33, dated April 3, 2014, is dismissed with costs to the Respondent, International Alliance of Theatrical Stage Employees, Moving Picture Technicians, Artists and Allied Crafts of the United States, its Territories, and Canada, Local 849.</w:t>
            </w:r>
          </w:p>
          <w:p w:rsidR="00AD5204" w:rsidRPr="00A04AD5" w:rsidRDefault="00AD5204" w:rsidP="001068B6">
            <w:pPr>
              <w:pStyle w:val="SCCShortJudgment"/>
              <w:ind w:firstLine="0"/>
              <w:rPr>
                <w:szCs w:val="20"/>
              </w:rPr>
            </w:pPr>
          </w:p>
          <w:p w:rsidR="00AD5204" w:rsidRPr="00A04AD5" w:rsidRDefault="00AD5204" w:rsidP="001068B6">
            <w:pPr>
              <w:pStyle w:val="SCCShortJudgment"/>
              <w:rPr>
                <w:szCs w:val="20"/>
                <w:lang w:val="fr-CA"/>
              </w:rPr>
            </w:pPr>
            <w:r w:rsidRPr="00A04AD5">
              <w:rPr>
                <w:szCs w:val="20"/>
                <w:lang w:val="fr-CA"/>
              </w:rPr>
              <w:t>La demande d’autorisation d’appel de l’arrêt de la Cour d’appel de la Nouvelle-Écosse, numéro CA416865, 2014 NSCA 33, daté du 3 avril 2014, est rejetée avec dépens en faveur de l’intimée Alliance internationale des employés de scène de théâtre et de cinéma des États-Unis, de ses territoires et du Canada, section locale 849.</w:t>
            </w:r>
          </w:p>
        </w:tc>
      </w:tr>
    </w:tbl>
    <w:p w:rsidR="005F39D8" w:rsidRPr="00AD5204" w:rsidRDefault="005F39D8"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70A" w:rsidRPr="003C6CEA" w:rsidTr="00347C73">
        <w:tc>
          <w:tcPr>
            <w:tcW w:w="5000" w:type="pct"/>
            <w:gridSpan w:val="3"/>
          </w:tcPr>
          <w:p w:rsidR="002F170A" w:rsidRPr="003C6CEA" w:rsidRDefault="002F170A" w:rsidP="00347C73">
            <w:pPr>
              <w:jc w:val="both"/>
              <w:rPr>
                <w:sz w:val="20"/>
                <w:lang w:eastAsia="en-CA"/>
              </w:rPr>
            </w:pPr>
            <w:r w:rsidRPr="003C6CEA">
              <w:rPr>
                <w:sz w:val="20"/>
                <w:lang w:eastAsia="en-CA"/>
              </w:rPr>
              <w:t xml:space="preserve">Labour relations — Unions — Certification — Status as employee — Whether it was appropriate for the Board to significantly modify the common law test for employment status such that workers need only to demonstrate dependence upon an industry of which an “employer” is a part, as opposed to dependence upon the employer, in order to establish that an employment relationship exists — Whether, by relying upon </w:t>
            </w:r>
            <w:r w:rsidRPr="003C6CEA">
              <w:rPr>
                <w:i/>
                <w:sz w:val="20"/>
                <w:lang w:eastAsia="en-CA"/>
              </w:rPr>
              <w:t>Charter</w:t>
            </w:r>
            <w:r w:rsidRPr="003C6CEA">
              <w:rPr>
                <w:sz w:val="20"/>
                <w:lang w:eastAsia="en-CA"/>
              </w:rPr>
              <w:t xml:space="preserve"> values, the preamble to the </w:t>
            </w:r>
            <w:r w:rsidRPr="003C6CEA">
              <w:rPr>
                <w:i/>
                <w:sz w:val="20"/>
                <w:lang w:eastAsia="en-CA"/>
              </w:rPr>
              <w:t>Trade Union Act</w:t>
            </w:r>
            <w:r w:rsidRPr="003C6CEA">
              <w:rPr>
                <w:sz w:val="20"/>
                <w:lang w:eastAsia="en-CA"/>
              </w:rPr>
              <w:t xml:space="preserve">, R.S.N.S. 1989, c. 475, and various public policy considerations, a labour board or tribunal can effectively ignore legislative intent by amending its governing statute so that collective bargaining rights can be extended to persons not originally contemplated under a province’s </w:t>
            </w:r>
            <w:r w:rsidRPr="003C6CEA">
              <w:rPr>
                <w:i/>
                <w:sz w:val="20"/>
                <w:lang w:eastAsia="en-CA"/>
              </w:rPr>
              <w:t>Wagner Act</w:t>
            </w:r>
            <w:r w:rsidRPr="003C6CEA">
              <w:rPr>
                <w:sz w:val="20"/>
                <w:lang w:eastAsia="en-CA"/>
              </w:rPr>
              <w:t xml:space="preserve">-style regime. </w:t>
            </w:r>
          </w:p>
        </w:tc>
      </w:tr>
      <w:tr w:rsidR="002F170A" w:rsidRPr="003C6CEA" w:rsidTr="00347C73">
        <w:tc>
          <w:tcPr>
            <w:tcW w:w="5000" w:type="pct"/>
            <w:gridSpan w:val="3"/>
          </w:tcPr>
          <w:p w:rsidR="002F170A" w:rsidRPr="003C6CEA" w:rsidRDefault="002F170A" w:rsidP="00347C73">
            <w:pPr>
              <w:jc w:val="both"/>
              <w:rPr>
                <w:rFonts w:eastAsia="Calibri"/>
                <w:sz w:val="20"/>
              </w:rPr>
            </w:pPr>
          </w:p>
        </w:tc>
      </w:tr>
      <w:tr w:rsidR="002F170A" w:rsidRPr="003C6CEA" w:rsidTr="00347C73">
        <w:tc>
          <w:tcPr>
            <w:tcW w:w="5000" w:type="pct"/>
            <w:gridSpan w:val="3"/>
          </w:tcPr>
          <w:p w:rsidR="002F170A" w:rsidRPr="003C6CEA" w:rsidRDefault="002F170A" w:rsidP="00347C73">
            <w:pPr>
              <w:jc w:val="both"/>
              <w:rPr>
                <w:rFonts w:eastAsia="Calibri"/>
                <w:sz w:val="20"/>
              </w:rPr>
            </w:pPr>
            <w:r w:rsidRPr="003C6CEA">
              <w:rPr>
                <w:rFonts w:eastAsia="Calibri"/>
                <w:sz w:val="20"/>
              </w:rPr>
              <w:t xml:space="preserve">On March 5, 2011, Egg Films was involved in a one-day shoot of a television ad for the Atlantic Lottery Corporation.  It hired the technicians subject to the certification application for the project, then laid them off at the end of the day.  Most of the employees were paid a daily or flat rate for the day and preparatory work done before the shooting day.  Also on March 5, the International Alliance of Theatrical Stage Employees, Moving Picture Technicians, Artists and Allied Crafts of the United States, its Territories, and Canada (the “Union”), applied under s. 23 of the </w:t>
            </w:r>
            <w:r w:rsidRPr="003C6CEA">
              <w:rPr>
                <w:rFonts w:eastAsia="Calibri"/>
                <w:i/>
                <w:sz w:val="20"/>
              </w:rPr>
              <w:t xml:space="preserve">Trade Union </w:t>
            </w:r>
            <w:r w:rsidRPr="003C6CEA">
              <w:rPr>
                <w:rFonts w:eastAsia="Calibri"/>
                <w:i/>
                <w:sz w:val="20"/>
              </w:rPr>
              <w:lastRenderedPageBreak/>
              <w:t>Act</w:t>
            </w:r>
            <w:r w:rsidRPr="003C6CEA">
              <w:rPr>
                <w:rFonts w:eastAsia="Calibri"/>
                <w:sz w:val="20"/>
              </w:rPr>
              <w:t>, R.S.N.S. 1989, c. 475, to become certified as the bargaining agent for motion picture technicians employed by Egg Films, sending the application to the Board by registered mail.  The application was received March 9 and a vote was held on April 16.  The ballot box was sealed, and the votes were not counted until both Board decisions had been released.</w:t>
            </w:r>
          </w:p>
          <w:p w:rsidR="002F170A" w:rsidRPr="003C6CEA" w:rsidRDefault="002F170A" w:rsidP="00347C73">
            <w:pPr>
              <w:jc w:val="both"/>
              <w:rPr>
                <w:rFonts w:eastAsia="Calibri"/>
                <w:sz w:val="20"/>
              </w:rPr>
            </w:pPr>
          </w:p>
          <w:p w:rsidR="002F170A" w:rsidRPr="003C6CEA" w:rsidRDefault="002F170A" w:rsidP="00347C73">
            <w:pPr>
              <w:jc w:val="both"/>
              <w:rPr>
                <w:rFonts w:eastAsia="Calibri"/>
                <w:sz w:val="20"/>
              </w:rPr>
            </w:pPr>
            <w:r w:rsidRPr="003C6CEA">
              <w:rPr>
                <w:rFonts w:eastAsia="Calibri"/>
                <w:sz w:val="20"/>
              </w:rPr>
              <w:t>On April 3, 2012, the Nova Scotia Labour Relations Board issued an interim decision in which it found that the commercial and corporate advertising industry was a part of the film industry for purposes of the Act, that the technicians hired by Egg Films were “employees” within the meaning of the Act, that the unit applied for was appropriate in terms of membership and continuity or temporality, and that the unit was not precluded by the craft unit regulations.  It also agreed that the “double date” voting rule was not appropriate here.  On September 20, 2012, the Board issued a second interim order settling the employee inclusions and exclusions, as well as procedural issues concerning notice to the employees and the conduct of the vote.</w:t>
            </w:r>
          </w:p>
          <w:p w:rsidR="002F170A" w:rsidRPr="003C6CEA" w:rsidRDefault="002F170A" w:rsidP="00347C73">
            <w:pPr>
              <w:jc w:val="both"/>
              <w:rPr>
                <w:rFonts w:eastAsia="Calibri"/>
                <w:sz w:val="20"/>
              </w:rPr>
            </w:pPr>
          </w:p>
          <w:p w:rsidR="002F170A" w:rsidRPr="003C6CEA" w:rsidRDefault="002F170A" w:rsidP="00347C73">
            <w:pPr>
              <w:jc w:val="both"/>
              <w:rPr>
                <w:rFonts w:eastAsia="Calibri"/>
                <w:sz w:val="20"/>
              </w:rPr>
            </w:pPr>
            <w:r w:rsidRPr="003C6CEA">
              <w:rPr>
                <w:rFonts w:eastAsia="Calibri"/>
                <w:sz w:val="20"/>
              </w:rPr>
              <w:t>IATSE was certified as bargaining agent on October 1, 2012.  An application for judicial review was dismissed, as was an appeal.</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lastRenderedPageBreak/>
              <w:t>April 17, 2013</w:t>
            </w:r>
          </w:p>
          <w:p w:rsidR="002F170A" w:rsidRPr="003C6CEA" w:rsidRDefault="002F170A" w:rsidP="00347C73">
            <w:pPr>
              <w:jc w:val="both"/>
              <w:rPr>
                <w:rFonts w:eastAsia="Calibri"/>
                <w:sz w:val="20"/>
              </w:rPr>
            </w:pPr>
            <w:r w:rsidRPr="003C6CEA">
              <w:rPr>
                <w:rFonts w:eastAsia="Calibri"/>
                <w:sz w:val="20"/>
              </w:rPr>
              <w:t>Supreme Court of Nova Scotia, Trial Division</w:t>
            </w:r>
          </w:p>
          <w:p w:rsidR="002F170A" w:rsidRPr="003C6CEA" w:rsidRDefault="002F170A" w:rsidP="00347C73">
            <w:pPr>
              <w:jc w:val="both"/>
              <w:rPr>
                <w:rFonts w:eastAsia="Calibri"/>
                <w:b/>
                <w:bCs/>
                <w:sz w:val="20"/>
              </w:rPr>
            </w:pPr>
            <w:r w:rsidRPr="003C6CEA">
              <w:rPr>
                <w:rFonts w:eastAsia="Calibri"/>
                <w:sz w:val="20"/>
              </w:rPr>
              <w:t>(Pickup J.)</w:t>
            </w:r>
          </w:p>
          <w:p w:rsidR="002F170A" w:rsidRPr="003C6CEA" w:rsidRDefault="00215143" w:rsidP="00347C73">
            <w:pPr>
              <w:jc w:val="both"/>
              <w:rPr>
                <w:rFonts w:eastAsia="Calibri"/>
                <w:sz w:val="20"/>
              </w:rPr>
            </w:pPr>
            <w:hyperlink r:id="rId71" w:history="1">
              <w:r w:rsidR="002F170A" w:rsidRPr="003C6CEA">
                <w:rPr>
                  <w:rFonts w:eastAsia="Calibri"/>
                  <w:color w:val="0000FF"/>
                  <w:sz w:val="20"/>
                  <w:u w:val="single"/>
                </w:rPr>
                <w:t>2013 NSSC 123</w:t>
              </w:r>
            </w:hyperlink>
          </w:p>
          <w:p w:rsidR="002F170A" w:rsidRPr="003C6CEA" w:rsidRDefault="002F170A" w:rsidP="00347C73">
            <w:pPr>
              <w:jc w:val="both"/>
              <w:rPr>
                <w:rFonts w:eastAsia="Calibri"/>
                <w:sz w:val="20"/>
              </w:rPr>
            </w:pPr>
            <w:r w:rsidRPr="003C6CEA">
              <w:rPr>
                <w:rFonts w:eastAsia="Calibri"/>
                <w:sz w:val="20"/>
              </w:rPr>
              <w:t xml:space="preserve"> </w:t>
            </w: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Application for judicial review dismissed</w:t>
            </w: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April 3, 2014</w:t>
            </w:r>
          </w:p>
          <w:p w:rsidR="002F170A" w:rsidRPr="003C6CEA" w:rsidRDefault="002F170A" w:rsidP="00347C73">
            <w:pPr>
              <w:jc w:val="both"/>
              <w:rPr>
                <w:rFonts w:eastAsia="Calibri"/>
                <w:sz w:val="20"/>
              </w:rPr>
            </w:pPr>
            <w:r w:rsidRPr="003C6CEA">
              <w:rPr>
                <w:rFonts w:eastAsia="Calibri"/>
                <w:sz w:val="20"/>
              </w:rPr>
              <w:t>Nova Scotia Court of Appeal</w:t>
            </w:r>
          </w:p>
          <w:p w:rsidR="002F170A" w:rsidRPr="003C6CEA" w:rsidRDefault="002F170A" w:rsidP="00347C73">
            <w:pPr>
              <w:jc w:val="both"/>
              <w:rPr>
                <w:rFonts w:eastAsia="Calibri"/>
                <w:sz w:val="20"/>
              </w:rPr>
            </w:pPr>
            <w:r w:rsidRPr="003C6CEA">
              <w:rPr>
                <w:rFonts w:eastAsia="Calibri"/>
                <w:sz w:val="20"/>
              </w:rPr>
              <w:t>(Saunders, Fichaud, Bryson [dissenting] J.A.)</w:t>
            </w:r>
          </w:p>
          <w:p w:rsidR="002F170A" w:rsidRPr="003C6CEA" w:rsidRDefault="00215143" w:rsidP="00347C73">
            <w:pPr>
              <w:jc w:val="both"/>
              <w:rPr>
                <w:rFonts w:eastAsia="Calibri"/>
                <w:sz w:val="20"/>
              </w:rPr>
            </w:pPr>
            <w:hyperlink r:id="rId72" w:history="1">
              <w:r w:rsidR="002F170A" w:rsidRPr="003C6CEA">
                <w:rPr>
                  <w:rFonts w:eastAsia="Calibri"/>
                  <w:color w:val="0000FF"/>
                  <w:sz w:val="20"/>
                  <w:u w:val="single"/>
                </w:rPr>
                <w:t>2014 NSCA 33</w:t>
              </w:r>
            </w:hyperlink>
          </w:p>
          <w:p w:rsidR="002F170A" w:rsidRPr="003C6CEA" w:rsidRDefault="002F170A" w:rsidP="00347C73">
            <w:pPr>
              <w:jc w:val="both"/>
              <w:rPr>
                <w:rFonts w:eastAsia="Calibri"/>
                <w:sz w:val="20"/>
              </w:rPr>
            </w:pP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Appeal dismissed</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May 30, 2014</w:t>
            </w:r>
          </w:p>
          <w:p w:rsidR="002F170A" w:rsidRPr="003C6CEA" w:rsidRDefault="002F170A" w:rsidP="00347C73">
            <w:pPr>
              <w:jc w:val="both"/>
              <w:rPr>
                <w:rFonts w:eastAsia="Calibri"/>
                <w:sz w:val="20"/>
              </w:rPr>
            </w:pPr>
            <w:r w:rsidRPr="003C6CEA">
              <w:rPr>
                <w:rFonts w:eastAsia="Calibri"/>
                <w:sz w:val="20"/>
              </w:rPr>
              <w:t>Supreme Court of Canada</w:t>
            </w: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69"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70A" w:rsidRPr="00225EDC" w:rsidTr="00347C73">
        <w:tc>
          <w:tcPr>
            <w:tcW w:w="5000" w:type="pct"/>
            <w:gridSpan w:val="3"/>
          </w:tcPr>
          <w:p w:rsidR="002F170A" w:rsidRPr="003C6CEA" w:rsidRDefault="002F170A" w:rsidP="00347C73">
            <w:pPr>
              <w:jc w:val="both"/>
              <w:rPr>
                <w:sz w:val="20"/>
                <w:lang w:val="fr-CA" w:eastAsia="en-CA"/>
              </w:rPr>
            </w:pPr>
            <w:r w:rsidRPr="003C6CEA">
              <w:rPr>
                <w:sz w:val="20"/>
                <w:lang w:val="fr-CA" w:eastAsia="en-CA"/>
              </w:rPr>
              <w:t xml:space="preserve">Relations du travail — Syndicat — Accréditation — Qualité d’employé — Le Conseil pouvait-il modifier substantiellement le critère de common law qui permet de déterminer la qualité d’employé, si bien qu’il suffirait aux travailleurs de démontrer une dépendance à l’égard du secteur d’activité de l’« employeur », par opposition à une dépendance à l’égard de l’employeur lui-même, pour établir l’existence d’une relation d’emploi? — Un conseil ou un tribunal des relations du travail peut-il s’appuyer sur des valeurs de la </w:t>
            </w:r>
            <w:r w:rsidRPr="003C6CEA">
              <w:rPr>
                <w:i/>
                <w:sz w:val="20"/>
                <w:lang w:val="fr-CA" w:eastAsia="en-CA"/>
              </w:rPr>
              <w:t>Charte</w:t>
            </w:r>
            <w:r w:rsidRPr="003C6CEA">
              <w:rPr>
                <w:sz w:val="20"/>
                <w:lang w:val="fr-CA" w:eastAsia="en-CA"/>
              </w:rPr>
              <w:t xml:space="preserve">, le préambule de la </w:t>
            </w:r>
            <w:r w:rsidRPr="003C6CEA">
              <w:rPr>
                <w:i/>
                <w:sz w:val="20"/>
                <w:lang w:val="fr-CA" w:eastAsia="en-CA"/>
              </w:rPr>
              <w:t>Trade Union Act</w:t>
            </w:r>
            <w:r w:rsidRPr="003C6CEA">
              <w:rPr>
                <w:sz w:val="20"/>
                <w:lang w:val="fr-CA" w:eastAsia="en-CA"/>
              </w:rPr>
              <w:t xml:space="preserve">, R.S.N.S. 1989, ch. 475, et diverses considérations d’ordre public pour effectivement faire fi de l’intention du législateur en modifiant sa loi habilitante de manière à étendre les droits de négociation collective aux personnes qui n’étaient pas initialement visées par le régime législatif des relations de travail d’une province? </w:t>
            </w:r>
          </w:p>
        </w:tc>
      </w:tr>
      <w:tr w:rsidR="002F170A" w:rsidRPr="00225EDC" w:rsidTr="00347C73">
        <w:tc>
          <w:tcPr>
            <w:tcW w:w="5000" w:type="pct"/>
            <w:gridSpan w:val="3"/>
          </w:tcPr>
          <w:p w:rsidR="002F170A" w:rsidRPr="003C6CEA" w:rsidRDefault="002F170A" w:rsidP="00347C73">
            <w:pPr>
              <w:jc w:val="both"/>
              <w:rPr>
                <w:rFonts w:eastAsia="Calibri"/>
                <w:sz w:val="20"/>
                <w:lang w:val="fr-CA"/>
              </w:rPr>
            </w:pPr>
          </w:p>
        </w:tc>
      </w:tr>
      <w:tr w:rsidR="002F170A" w:rsidRPr="00225EDC" w:rsidTr="00347C73">
        <w:tc>
          <w:tcPr>
            <w:tcW w:w="5000" w:type="pct"/>
            <w:gridSpan w:val="3"/>
          </w:tcPr>
          <w:p w:rsidR="002F170A" w:rsidRPr="003C6CEA" w:rsidRDefault="002F170A" w:rsidP="00347C73">
            <w:pPr>
              <w:jc w:val="both"/>
              <w:rPr>
                <w:rFonts w:eastAsia="Calibri"/>
                <w:sz w:val="20"/>
                <w:lang w:val="fr-CA"/>
              </w:rPr>
            </w:pPr>
            <w:r w:rsidRPr="003C6CEA">
              <w:rPr>
                <w:rFonts w:eastAsia="Calibri"/>
                <w:sz w:val="20"/>
                <w:lang w:val="fr-CA"/>
              </w:rPr>
              <w:t xml:space="preserve">Le 5 mars 2011, Egg Films a pris part au tournage — d’une durée d’un jour — d’une publicité télévisuelle pour la Société des loteries de l’Atlantique.  Egg Films a embauché des techniciens qui faisaient l’objet de la demande d’accréditation pour le projet, puis les a congédiés à la fin de la journée.  La plupart des employés ont été rémunérés à un tarif quotidien ou forfaitaire pour la journée et pour les travaux préparatoires effectués avant le jour du tournage.  Le même jour, soit le 5 mars, l’Alliance internationale des employés de scène, de théâtre, du cinéma, des métiers connexes et des artistes des États-Unis et du Canada (le « syndicat »), a présenté une demande d’accréditation en application de l’art. 23 de la </w:t>
            </w:r>
            <w:r w:rsidRPr="003C6CEA">
              <w:rPr>
                <w:rFonts w:eastAsia="Calibri"/>
                <w:i/>
                <w:sz w:val="20"/>
                <w:lang w:val="fr-CA"/>
              </w:rPr>
              <w:t>Trade Union Act</w:t>
            </w:r>
            <w:r w:rsidRPr="003C6CEA">
              <w:rPr>
                <w:rFonts w:eastAsia="Calibri"/>
                <w:sz w:val="20"/>
                <w:lang w:val="fr-CA"/>
              </w:rPr>
              <w:t xml:space="preserve">, R.S.N.S. 1989, ch. 475, pour devenir l’agent négociateur des techniciens du cinéma employés par Egg Films, envoyant la demande au Conseil par courrier recommandé.  La demande a été reçue le 9 mars et un scrutin a été tenu de 16 avril.  La boîte de scrutin a été scellée et les votes n’ont </w:t>
            </w:r>
            <w:r w:rsidRPr="003C6CEA">
              <w:rPr>
                <w:rFonts w:eastAsia="Calibri"/>
                <w:sz w:val="20"/>
                <w:lang w:val="fr-CA"/>
              </w:rPr>
              <w:lastRenderedPageBreak/>
              <w:t>pas été comptés tant que les deux décisions du Conseil n’avaient pas été publiées.</w:t>
            </w:r>
          </w:p>
          <w:p w:rsidR="002F170A" w:rsidRPr="003C6CEA" w:rsidRDefault="002F170A" w:rsidP="00347C73">
            <w:pPr>
              <w:jc w:val="both"/>
              <w:rPr>
                <w:rFonts w:eastAsia="Calibri"/>
                <w:sz w:val="20"/>
                <w:lang w:val="fr-CA"/>
              </w:rPr>
            </w:pPr>
          </w:p>
          <w:p w:rsidR="002F170A" w:rsidRPr="003C6CEA" w:rsidRDefault="002F170A" w:rsidP="00347C73">
            <w:pPr>
              <w:jc w:val="both"/>
              <w:rPr>
                <w:rFonts w:eastAsia="Calibri"/>
                <w:sz w:val="20"/>
                <w:lang w:val="fr-CA"/>
              </w:rPr>
            </w:pPr>
            <w:r w:rsidRPr="003C6CEA">
              <w:rPr>
                <w:rFonts w:eastAsia="Calibri"/>
                <w:sz w:val="20"/>
                <w:lang w:val="fr-CA"/>
              </w:rPr>
              <w:t>Le 3 avril 2012, le Conseil des relations du travail de la Nouvelle-Écosse a rendu une décision provisoire, concluant que le secteur de la publicité commerciale et institutionnelle faisait partie de l’industrie cinématographique pour l’application de la loi et que les techniciens qui avaient été embauchés par Egg Films étaient des « employés » au sens de la loi, que l’unité pour laquelle l’accréditation avait été demandée était appropriée quant à l’effectif et à la continuité ou la temporalité, et que l’unité n’était pas interdite par le règlement relatif aux unités par métier.  Le Conseil a également convenu que la règle de vote à « double date » n’était pas appropriée en l’espèce.  Le 20 septembre 2012, le Conseil a prononcé une deuxième ordonnance provisoire réglant les inclusions et les exclusions d’employés, de même que des questions de procédure relativement  aux avis donnés aux employés et la tenue du scrutin.</w:t>
            </w:r>
          </w:p>
          <w:p w:rsidR="002F170A" w:rsidRPr="003C6CEA" w:rsidRDefault="002F170A" w:rsidP="00347C73">
            <w:pPr>
              <w:jc w:val="both"/>
              <w:rPr>
                <w:rFonts w:eastAsia="Calibri"/>
                <w:sz w:val="20"/>
                <w:lang w:val="fr-CA"/>
              </w:rPr>
            </w:pPr>
          </w:p>
          <w:p w:rsidR="002F170A" w:rsidRPr="003C6CEA" w:rsidRDefault="002F170A" w:rsidP="00347C73">
            <w:pPr>
              <w:jc w:val="both"/>
              <w:rPr>
                <w:rFonts w:eastAsia="Calibri"/>
                <w:sz w:val="20"/>
                <w:lang w:val="fr-CA"/>
              </w:rPr>
            </w:pPr>
            <w:r w:rsidRPr="003C6CEA">
              <w:rPr>
                <w:rFonts w:eastAsia="Calibri"/>
                <w:sz w:val="20"/>
                <w:lang w:val="fr-CA"/>
              </w:rPr>
              <w:t>L’AIEST a été accréditée comme agent négociateur le 1</w:t>
            </w:r>
            <w:r w:rsidRPr="003C6CEA">
              <w:rPr>
                <w:rFonts w:eastAsia="Calibri"/>
                <w:sz w:val="20"/>
                <w:vertAlign w:val="superscript"/>
                <w:lang w:val="fr-CA"/>
              </w:rPr>
              <w:t>er</w:t>
            </w:r>
            <w:r w:rsidRPr="003C6CEA">
              <w:rPr>
                <w:rFonts w:eastAsia="Calibri"/>
                <w:sz w:val="20"/>
                <w:lang w:val="fr-CA"/>
              </w:rPr>
              <w:t> octobre 2012.  Une demande de contrôle judiciaire et un appel ont a été rejetés.</w:t>
            </w:r>
          </w:p>
          <w:p w:rsidR="002F170A" w:rsidRPr="003C6CEA" w:rsidRDefault="002F170A" w:rsidP="00347C73">
            <w:pPr>
              <w:jc w:val="both"/>
              <w:rPr>
                <w:rFonts w:eastAsia="Calibri"/>
                <w:sz w:val="20"/>
                <w:lang w:val="fr-CA"/>
              </w:rPr>
            </w:pPr>
          </w:p>
        </w:tc>
      </w:tr>
      <w:tr w:rsidR="002F170A" w:rsidRPr="00225EDC"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lastRenderedPageBreak/>
              <w:t>17 avril 2013</w:t>
            </w:r>
          </w:p>
          <w:p w:rsidR="002F170A" w:rsidRPr="003C6CEA" w:rsidRDefault="002F170A" w:rsidP="00347C73">
            <w:pPr>
              <w:jc w:val="both"/>
              <w:rPr>
                <w:rFonts w:eastAsia="Calibri"/>
                <w:sz w:val="20"/>
                <w:lang w:val="fr-CA"/>
              </w:rPr>
            </w:pPr>
            <w:r w:rsidRPr="003C6CEA">
              <w:rPr>
                <w:rFonts w:eastAsia="Calibri"/>
                <w:sz w:val="20"/>
                <w:lang w:val="fr-CA"/>
              </w:rPr>
              <w:t>Cour suprême de la Nouvelle-Écosse, Section de première instance</w:t>
            </w:r>
          </w:p>
          <w:p w:rsidR="002F170A" w:rsidRPr="003C6CEA" w:rsidRDefault="002F170A" w:rsidP="00347C73">
            <w:pPr>
              <w:jc w:val="both"/>
              <w:rPr>
                <w:rFonts w:eastAsia="Calibri"/>
                <w:b/>
                <w:bCs/>
                <w:sz w:val="20"/>
                <w:lang w:val="fr-CA"/>
              </w:rPr>
            </w:pPr>
            <w:r w:rsidRPr="003C6CEA">
              <w:rPr>
                <w:rFonts w:eastAsia="Calibri"/>
                <w:sz w:val="20"/>
                <w:lang w:val="fr-CA"/>
              </w:rPr>
              <w:t>(Juge Pickup)</w:t>
            </w:r>
          </w:p>
          <w:p w:rsidR="002F170A" w:rsidRPr="003C6CEA" w:rsidRDefault="00215143" w:rsidP="00347C73">
            <w:pPr>
              <w:jc w:val="both"/>
              <w:rPr>
                <w:rFonts w:eastAsia="Calibri"/>
                <w:sz w:val="20"/>
                <w:lang w:val="fr-CA"/>
              </w:rPr>
            </w:pPr>
            <w:hyperlink r:id="rId73" w:history="1">
              <w:r w:rsidR="002F170A" w:rsidRPr="003C6CEA">
                <w:rPr>
                  <w:rFonts w:eastAsia="Calibri"/>
                  <w:color w:val="0000FF"/>
                  <w:sz w:val="20"/>
                  <w:u w:val="single"/>
                  <w:lang w:val="fr-CA"/>
                </w:rPr>
                <w:t>2013 NSSC 123</w:t>
              </w:r>
            </w:hyperlink>
          </w:p>
          <w:p w:rsidR="002F170A" w:rsidRPr="003C6CEA" w:rsidRDefault="002F170A" w:rsidP="00347C73">
            <w:pPr>
              <w:jc w:val="both"/>
              <w:rPr>
                <w:rFonts w:eastAsia="Calibri"/>
                <w:sz w:val="20"/>
                <w:lang w:val="fr-CA"/>
              </w:rPr>
            </w:pPr>
            <w:r w:rsidRPr="003C6CEA">
              <w:rPr>
                <w:rFonts w:eastAsia="Calibri"/>
                <w:sz w:val="20"/>
                <w:lang w:val="fr-CA"/>
              </w:rPr>
              <w:t xml:space="preserve"> </w:t>
            </w: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Demande de contrôle judiciaire, rejetée</w:t>
            </w: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t>3 avril 2014</w:t>
            </w:r>
          </w:p>
          <w:p w:rsidR="002F170A" w:rsidRPr="003C6CEA" w:rsidRDefault="002F170A" w:rsidP="00347C73">
            <w:pPr>
              <w:jc w:val="both"/>
              <w:rPr>
                <w:rFonts w:eastAsia="Calibri"/>
                <w:sz w:val="20"/>
                <w:lang w:val="fr-CA"/>
              </w:rPr>
            </w:pPr>
            <w:r w:rsidRPr="003C6CEA">
              <w:rPr>
                <w:rFonts w:eastAsia="Calibri"/>
                <w:sz w:val="20"/>
                <w:lang w:val="fr-CA"/>
              </w:rPr>
              <w:t>Cour d’appel de la Nouvelle-Écosse</w:t>
            </w:r>
          </w:p>
          <w:p w:rsidR="002F170A" w:rsidRPr="003C6CEA" w:rsidRDefault="002F170A" w:rsidP="00347C73">
            <w:pPr>
              <w:jc w:val="both"/>
              <w:rPr>
                <w:rFonts w:eastAsia="Calibri"/>
                <w:sz w:val="20"/>
                <w:lang w:val="fr-CA"/>
              </w:rPr>
            </w:pPr>
            <w:r w:rsidRPr="003C6CEA">
              <w:rPr>
                <w:rFonts w:eastAsia="Calibri"/>
                <w:sz w:val="20"/>
                <w:lang w:val="fr-CA"/>
              </w:rPr>
              <w:t>(Juges Saunders, Fichaud et Bryson [dissident])</w:t>
            </w:r>
          </w:p>
          <w:p w:rsidR="002F170A" w:rsidRPr="003C6CEA" w:rsidRDefault="00215143" w:rsidP="00347C73">
            <w:pPr>
              <w:jc w:val="both"/>
              <w:rPr>
                <w:rFonts w:eastAsia="Calibri"/>
                <w:sz w:val="20"/>
                <w:lang w:val="fr-CA"/>
              </w:rPr>
            </w:pPr>
            <w:hyperlink r:id="rId74" w:history="1">
              <w:r w:rsidR="002F170A" w:rsidRPr="003C6CEA">
                <w:rPr>
                  <w:rFonts w:eastAsia="Calibri"/>
                  <w:color w:val="0000FF"/>
                  <w:sz w:val="20"/>
                  <w:u w:val="single"/>
                  <w:lang w:val="fr-CA"/>
                </w:rPr>
                <w:t>2014 NSCA 33</w:t>
              </w:r>
            </w:hyperlink>
          </w:p>
          <w:p w:rsidR="002F170A" w:rsidRPr="003C6CEA" w:rsidRDefault="002F170A" w:rsidP="00347C73">
            <w:pPr>
              <w:jc w:val="both"/>
              <w:rPr>
                <w:rFonts w:eastAsia="Calibri"/>
                <w:sz w:val="20"/>
                <w:lang w:val="fr-CA"/>
              </w:rPr>
            </w:pP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Appel rejeté</w:t>
            </w:r>
          </w:p>
          <w:p w:rsidR="002F170A" w:rsidRPr="003C6CEA" w:rsidRDefault="002F170A" w:rsidP="00347C73">
            <w:pPr>
              <w:jc w:val="both"/>
              <w:rPr>
                <w:rFonts w:eastAsia="Calibri"/>
                <w:sz w:val="20"/>
                <w:lang w:val="fr-CA"/>
              </w:rPr>
            </w:pP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t>30 mai 2014</w:t>
            </w:r>
          </w:p>
          <w:p w:rsidR="002F170A" w:rsidRPr="003C6CEA" w:rsidRDefault="002F170A" w:rsidP="00347C73">
            <w:pPr>
              <w:jc w:val="both"/>
              <w:rPr>
                <w:rFonts w:eastAsia="Calibri"/>
                <w:sz w:val="20"/>
                <w:lang w:val="fr-CA"/>
              </w:rPr>
            </w:pPr>
            <w:r w:rsidRPr="003C6CEA">
              <w:rPr>
                <w:rFonts w:eastAsia="Calibri"/>
                <w:sz w:val="20"/>
                <w:lang w:val="fr-CA"/>
              </w:rPr>
              <w:t>Cour suprême du Canada</w:t>
            </w: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Demande d’autorisation d’appel, déposé</w:t>
            </w: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70"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5204" w:rsidRPr="00225EDC" w:rsidTr="001068B6">
        <w:trPr>
          <w:cantSplit/>
        </w:trPr>
        <w:tc>
          <w:tcPr>
            <w:tcW w:w="1458" w:type="dxa"/>
          </w:tcPr>
          <w:p w:rsidR="00AD5204" w:rsidRPr="00A04AD5" w:rsidRDefault="00AD5204" w:rsidP="001068B6">
            <w:pPr>
              <w:rPr>
                <w:sz w:val="20"/>
                <w:szCs w:val="20"/>
              </w:rPr>
            </w:pPr>
            <w:r w:rsidRPr="00A04AD5">
              <w:rPr>
                <w:rStyle w:val="SCCFileNumberChar"/>
                <w:sz w:val="20"/>
                <w:szCs w:val="20"/>
              </w:rPr>
              <w:t>35921</w:t>
            </w:r>
          </w:p>
          <w:p w:rsidR="00AD5204" w:rsidRPr="00A04AD5" w:rsidRDefault="00AD5204" w:rsidP="001068B6">
            <w:pPr>
              <w:rPr>
                <w:b/>
                <w:sz w:val="20"/>
                <w:szCs w:val="20"/>
                <w:lang w:val="fr-CA"/>
              </w:rPr>
            </w:pPr>
          </w:p>
        </w:tc>
        <w:tc>
          <w:tcPr>
            <w:tcW w:w="8118" w:type="dxa"/>
          </w:tcPr>
          <w:p w:rsidR="00AD5204" w:rsidRPr="00A04AD5" w:rsidRDefault="00AD5204" w:rsidP="001068B6">
            <w:pPr>
              <w:jc w:val="both"/>
              <w:rPr>
                <w:sz w:val="20"/>
                <w:szCs w:val="20"/>
                <w:lang w:val="fr-CA"/>
              </w:rPr>
            </w:pPr>
            <w:r w:rsidRPr="00A04AD5">
              <w:rPr>
                <w:rStyle w:val="SCCLsocChar"/>
                <w:sz w:val="20"/>
                <w:szCs w:val="20"/>
              </w:rPr>
              <w:t>Jean Bouchard c. Corporation des pilotes pour le havre de Québec et au-dessous</w:t>
            </w:r>
            <w:r w:rsidRPr="00A04AD5">
              <w:rPr>
                <w:sz w:val="20"/>
                <w:szCs w:val="20"/>
                <w:lang w:val="fr-CA"/>
              </w:rPr>
              <w:t xml:space="preserve"> (Qc) (Civile) (Autorisation)</w:t>
            </w:r>
          </w:p>
          <w:p w:rsidR="00AD5204" w:rsidRPr="00A04AD5" w:rsidRDefault="00AD5204" w:rsidP="001068B6">
            <w:pPr>
              <w:jc w:val="both"/>
              <w:rPr>
                <w:sz w:val="20"/>
                <w:szCs w:val="20"/>
                <w:lang w:val="fr-CA"/>
              </w:rPr>
            </w:pPr>
          </w:p>
        </w:tc>
      </w:tr>
      <w:tr w:rsidR="00AD5204" w:rsidRPr="00225EDC" w:rsidTr="001068B6">
        <w:trPr>
          <w:cantSplit/>
        </w:trPr>
        <w:tc>
          <w:tcPr>
            <w:tcW w:w="1458" w:type="dxa"/>
          </w:tcPr>
          <w:p w:rsidR="00AD5204" w:rsidRPr="00A04AD5" w:rsidRDefault="00AD5204" w:rsidP="001068B6">
            <w:pPr>
              <w:rPr>
                <w:sz w:val="20"/>
                <w:szCs w:val="20"/>
              </w:rPr>
            </w:pPr>
            <w:r w:rsidRPr="00A04AD5">
              <w:rPr>
                <w:sz w:val="20"/>
                <w:szCs w:val="20"/>
              </w:rPr>
              <w:t>Coram :</w:t>
            </w:r>
          </w:p>
        </w:tc>
        <w:tc>
          <w:tcPr>
            <w:tcW w:w="8118" w:type="dxa"/>
          </w:tcPr>
          <w:p w:rsidR="00AD5204" w:rsidRPr="00A04AD5" w:rsidRDefault="00AD5204" w:rsidP="001068B6">
            <w:pPr>
              <w:rPr>
                <w:sz w:val="20"/>
                <w:szCs w:val="20"/>
                <w:lang w:val="fr-CA"/>
              </w:rPr>
            </w:pPr>
            <w:r w:rsidRPr="00A04AD5">
              <w:rPr>
                <w:rStyle w:val="SCCCoramChar"/>
                <w:sz w:val="20"/>
                <w:szCs w:val="20"/>
              </w:rPr>
              <w:t>Les juges LeBel, Karakatsanis et Gascon</w:t>
            </w:r>
          </w:p>
          <w:p w:rsidR="00AD5204" w:rsidRPr="00A04AD5" w:rsidRDefault="00AD5204" w:rsidP="001068B6">
            <w:pPr>
              <w:rPr>
                <w:sz w:val="20"/>
                <w:szCs w:val="20"/>
                <w:u w:val="single"/>
                <w:lang w:val="fr-CA"/>
              </w:rPr>
            </w:pPr>
          </w:p>
        </w:tc>
      </w:tr>
      <w:tr w:rsidR="00AD5204" w:rsidRPr="00A04AD5" w:rsidTr="001068B6">
        <w:trPr>
          <w:cantSplit/>
        </w:trPr>
        <w:tc>
          <w:tcPr>
            <w:tcW w:w="9576" w:type="dxa"/>
            <w:gridSpan w:val="2"/>
          </w:tcPr>
          <w:p w:rsidR="00AD5204" w:rsidRPr="00A04AD5" w:rsidRDefault="00AD5204" w:rsidP="001068B6">
            <w:pPr>
              <w:pStyle w:val="SCCShortJudgment"/>
              <w:rPr>
                <w:szCs w:val="20"/>
                <w:lang w:val="fr-CA"/>
              </w:rPr>
            </w:pPr>
            <w:r w:rsidRPr="00A04AD5">
              <w:rPr>
                <w:szCs w:val="20"/>
                <w:lang w:val="fr-CA"/>
              </w:rPr>
              <w:t>La demande d’autorisation d’appel de l’arrêt de la Cour d’appel du Québec (Québec), numéro 200-09-007940-130, 2014 QCCA 643, daté du 31 mars 2014, est rejetée avec dépens.</w:t>
            </w:r>
          </w:p>
          <w:p w:rsidR="00AD5204" w:rsidRPr="00A04AD5" w:rsidRDefault="00AD5204" w:rsidP="001068B6">
            <w:pPr>
              <w:pStyle w:val="SCCShortJudgment"/>
              <w:ind w:firstLine="0"/>
              <w:rPr>
                <w:szCs w:val="20"/>
                <w:lang w:val="fr-CA"/>
              </w:rPr>
            </w:pPr>
          </w:p>
          <w:p w:rsidR="00AD5204" w:rsidRPr="00A04AD5" w:rsidRDefault="00AD5204" w:rsidP="001068B6">
            <w:pPr>
              <w:pStyle w:val="SCCShortJudgment"/>
              <w:rPr>
                <w:szCs w:val="20"/>
              </w:rPr>
            </w:pPr>
            <w:r w:rsidRPr="00A04AD5">
              <w:rPr>
                <w:szCs w:val="20"/>
              </w:rPr>
              <w:t>The application for leave to appeal from the judgment of the Court of Appeal of Quebec (Québec), Number 200-09-007940-130, 2014 QCCA 643, dated March 31, 2014, is dismissed with costs.</w:t>
            </w:r>
          </w:p>
        </w:tc>
      </w:tr>
    </w:tbl>
    <w:p w:rsidR="00402B2C" w:rsidRDefault="00402B2C" w:rsidP="00402B2C">
      <w:pPr>
        <w:rPr>
          <w:sz w:val="20"/>
          <w:szCs w:val="20"/>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70A" w:rsidRPr="003C6CEA" w:rsidTr="00347C73">
        <w:tc>
          <w:tcPr>
            <w:tcW w:w="5000" w:type="pct"/>
            <w:gridSpan w:val="3"/>
          </w:tcPr>
          <w:p w:rsidR="002F170A" w:rsidRPr="003C6CEA" w:rsidRDefault="002F170A" w:rsidP="00347C73">
            <w:pPr>
              <w:jc w:val="both"/>
              <w:rPr>
                <w:rFonts w:eastAsia="Calibri"/>
                <w:sz w:val="20"/>
              </w:rPr>
            </w:pPr>
            <w:r w:rsidRPr="003C6CEA">
              <w:rPr>
                <w:rFonts w:eastAsia="Calibri"/>
                <w:sz w:val="20"/>
              </w:rPr>
              <w:t xml:space="preserve">Pensions — Pension plans — Option to transfer pension benefit credits — Determination of actuarial value of credits to be transferred — Whether pension plan subject to </w:t>
            </w:r>
            <w:r w:rsidRPr="003C6CEA">
              <w:rPr>
                <w:rFonts w:eastAsia="Calibri"/>
                <w:i/>
                <w:sz w:val="20"/>
              </w:rPr>
              <w:t>Pension Benefits Standards Act, 1985</w:t>
            </w:r>
            <w:r w:rsidRPr="003C6CEA">
              <w:rPr>
                <w:rFonts w:eastAsia="Calibri"/>
                <w:sz w:val="20"/>
              </w:rPr>
              <w:t xml:space="preserve">, R.S.C. 1985, c. 32, can have terms less beneficial for members than terms set out in </w:t>
            </w:r>
            <w:r w:rsidRPr="003C6CEA">
              <w:rPr>
                <w:rFonts w:eastAsia="Calibri"/>
                <w:i/>
                <w:sz w:val="20"/>
              </w:rPr>
              <w:t>PBSA</w:t>
            </w:r>
            <w:r w:rsidRPr="003C6CEA">
              <w:rPr>
                <w:rFonts w:eastAsia="Calibri"/>
                <w:sz w:val="20"/>
              </w:rPr>
              <w:t xml:space="preserve"> and regulations thereunder — Specifically, whether such plan, through its by-laws, can limit members’ right to transfer to pension plan if otherwise allowed by </w:t>
            </w:r>
            <w:r w:rsidRPr="003C6CEA">
              <w:rPr>
                <w:rFonts w:eastAsia="Calibri"/>
                <w:i/>
                <w:sz w:val="20"/>
              </w:rPr>
              <w:t>PBSA</w:t>
            </w:r>
            <w:r w:rsidRPr="003C6CEA">
              <w:rPr>
                <w:rFonts w:eastAsia="Calibri"/>
                <w:sz w:val="20"/>
              </w:rPr>
              <w:t xml:space="preserve"> and regulations thereunder.</w:t>
            </w:r>
          </w:p>
        </w:tc>
      </w:tr>
      <w:tr w:rsidR="002F170A" w:rsidRPr="003C6CEA" w:rsidTr="00347C73">
        <w:tc>
          <w:tcPr>
            <w:tcW w:w="5000" w:type="pct"/>
            <w:gridSpan w:val="3"/>
          </w:tcPr>
          <w:p w:rsidR="002F170A" w:rsidRPr="003C6CEA" w:rsidRDefault="002F170A" w:rsidP="00347C73">
            <w:pPr>
              <w:jc w:val="both"/>
              <w:rPr>
                <w:rFonts w:eastAsia="Calibri"/>
                <w:sz w:val="20"/>
              </w:rPr>
            </w:pPr>
          </w:p>
        </w:tc>
      </w:tr>
      <w:tr w:rsidR="002F170A" w:rsidRPr="003C6CEA" w:rsidTr="00347C73">
        <w:tc>
          <w:tcPr>
            <w:tcW w:w="5000" w:type="pct"/>
            <w:gridSpan w:val="3"/>
          </w:tcPr>
          <w:p w:rsidR="002F170A" w:rsidRPr="003C6CEA" w:rsidRDefault="002F170A" w:rsidP="00347C73">
            <w:pPr>
              <w:jc w:val="both"/>
              <w:rPr>
                <w:rFonts w:eastAsia="Calibri"/>
                <w:sz w:val="20"/>
              </w:rPr>
            </w:pPr>
            <w:r w:rsidRPr="003C6CEA">
              <w:rPr>
                <w:rFonts w:eastAsia="Calibri"/>
                <w:sz w:val="20"/>
              </w:rPr>
              <w:lastRenderedPageBreak/>
              <w:t xml:space="preserve">Mr. Bouchard worked as a marine pilot on the St. Lawrence River from April 27, 1968 to January 15, 2009.  During that period, he contributed on an ongoing basis to the pension plan for pilots of the Corporation of the Lower St. Lawrence Pilots established and administered by the Corporation of Pilots for and below the Harbour of Quebec (“fund”).  The applicable provisions of the fund are set out in </w:t>
            </w:r>
            <w:r w:rsidRPr="003C6CEA">
              <w:rPr>
                <w:rFonts w:eastAsia="Calibri"/>
                <w:i/>
                <w:sz w:val="20"/>
              </w:rPr>
              <w:t>Réglement numéro 2</w:t>
            </w:r>
            <w:r w:rsidRPr="003C6CEA">
              <w:rPr>
                <w:rFonts w:eastAsia="Calibri"/>
                <w:sz w:val="20"/>
              </w:rPr>
              <w:t xml:space="preserve"> (“by-law no. 2”).  The </w:t>
            </w:r>
            <w:r w:rsidRPr="003C6CEA">
              <w:rPr>
                <w:rFonts w:eastAsia="Calibri"/>
                <w:i/>
                <w:sz w:val="20"/>
              </w:rPr>
              <w:t>Pilotage Act</w:t>
            </w:r>
            <w:r w:rsidRPr="003C6CEA">
              <w:rPr>
                <w:rFonts w:eastAsia="Calibri"/>
                <w:sz w:val="20"/>
              </w:rPr>
              <w:t xml:space="preserve">, R.S.C. 1985, c. P-14, which gives the respondent Corporation the power to administer the fund, expressly states in s. 56 that the </w:t>
            </w:r>
            <w:r w:rsidRPr="003C6CEA">
              <w:rPr>
                <w:rFonts w:eastAsia="Calibri"/>
                <w:i/>
                <w:sz w:val="20"/>
              </w:rPr>
              <w:t>Pension Benefits Standards Act, 1985</w:t>
            </w:r>
            <w:r w:rsidRPr="003C6CEA">
              <w:rPr>
                <w:rFonts w:eastAsia="Calibri"/>
                <w:sz w:val="20"/>
              </w:rPr>
              <w:t xml:space="preserve"> applies in respect of the pension plan administered by the respondent.</w:t>
            </w:r>
          </w:p>
          <w:p w:rsidR="002F170A" w:rsidRPr="003C6CEA" w:rsidRDefault="002F170A" w:rsidP="00347C73">
            <w:pPr>
              <w:ind w:right="4"/>
              <w:jc w:val="both"/>
              <w:rPr>
                <w:rFonts w:eastAsia="Calibri"/>
                <w:sz w:val="20"/>
              </w:rPr>
            </w:pPr>
          </w:p>
          <w:p w:rsidR="002F170A" w:rsidRPr="003C6CEA" w:rsidRDefault="002F170A" w:rsidP="00347C73">
            <w:pPr>
              <w:ind w:right="4"/>
              <w:jc w:val="both"/>
              <w:rPr>
                <w:rFonts w:eastAsia="Calibri"/>
                <w:sz w:val="20"/>
              </w:rPr>
            </w:pPr>
            <w:r w:rsidRPr="003C6CEA">
              <w:rPr>
                <w:rFonts w:eastAsia="Calibri"/>
                <w:sz w:val="20"/>
              </w:rPr>
              <w:t>In June 2004, Mr. Bouchard availed himself of s. 24 of by</w:t>
            </w:r>
            <w:r w:rsidRPr="003C6CEA">
              <w:rPr>
                <w:rFonts w:eastAsia="Calibri"/>
                <w:sz w:val="20"/>
              </w:rPr>
              <w:noBreakHyphen/>
              <w:t xml:space="preserve">law no. 2 and informed the respondent that, when he retired, he wanted the value of his accrued credits in the fund to be transferred to another pension plan.  Mr. Bouchard married in December 2007.  The spouses no longer live together now but are still married.  Mr. Bouchard retired on January 15, 2009.  A few weeks later, he received a letter from the respondent informing him of the amount determined by the actuaries for the value of his credits to be transferred.  That amount did not include the actuarial value of the joint and survivor pension benefit credits for the surviving spouse.  Mr. Bouchard brought an action against the respondent to recover all of his accrued benefits in the fund, which, according to him, included the actuarial value of his spouse’s pension benefit credits.  He argued that, having regard to the fund’s promise of a joint and survivor annuity and the mandatory provisions of the </w:t>
            </w:r>
            <w:r w:rsidRPr="003C6CEA">
              <w:rPr>
                <w:rFonts w:eastAsia="Calibri"/>
                <w:i/>
                <w:sz w:val="20"/>
              </w:rPr>
              <w:t>Pension Benefits Standards Act, 1985</w:t>
            </w:r>
            <w:r w:rsidRPr="003C6CEA">
              <w:rPr>
                <w:rFonts w:eastAsia="Calibri"/>
                <w:sz w:val="20"/>
              </w:rPr>
              <w:t xml:space="preserve"> and the regulations thereunder, the transfer of the [</w:t>
            </w:r>
            <w:r w:rsidRPr="003C6CEA">
              <w:rPr>
                <w:rFonts w:eastAsia="Calibri"/>
                <w:smallCaps/>
                <w:sz w:val="20"/>
              </w:rPr>
              <w:t>translation</w:t>
            </w:r>
            <w:r w:rsidRPr="003C6CEA">
              <w:rPr>
                <w:rFonts w:eastAsia="Calibri"/>
                <w:sz w:val="20"/>
              </w:rPr>
              <w:t xml:space="preserve">] “value of his benefits” provided for in by-law no. 2 corresponded to the aggregate actuarial value of the plan benefits, including the value of the joint and survivor annuity for the surviving spouse. </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December 17, 2012</w:t>
            </w:r>
          </w:p>
          <w:p w:rsidR="002F170A" w:rsidRPr="003C6CEA" w:rsidRDefault="002F170A" w:rsidP="00347C73">
            <w:pPr>
              <w:jc w:val="both"/>
              <w:rPr>
                <w:rFonts w:eastAsia="Calibri"/>
                <w:sz w:val="20"/>
              </w:rPr>
            </w:pPr>
            <w:r w:rsidRPr="003C6CEA">
              <w:rPr>
                <w:rFonts w:eastAsia="Calibri"/>
                <w:sz w:val="20"/>
              </w:rPr>
              <w:t>Quebec Superior Court</w:t>
            </w:r>
          </w:p>
          <w:p w:rsidR="002F170A" w:rsidRPr="003C6CEA" w:rsidRDefault="002F170A" w:rsidP="00347C73">
            <w:pPr>
              <w:jc w:val="both"/>
              <w:rPr>
                <w:rFonts w:eastAsia="Calibri"/>
                <w:sz w:val="20"/>
              </w:rPr>
            </w:pPr>
            <w:r w:rsidRPr="003C6CEA">
              <w:rPr>
                <w:rFonts w:eastAsia="Calibri"/>
                <w:sz w:val="20"/>
              </w:rPr>
              <w:t>(Goodwin J.)</w:t>
            </w:r>
          </w:p>
          <w:p w:rsidR="002F170A" w:rsidRPr="003C6CEA" w:rsidRDefault="00215143" w:rsidP="00347C73">
            <w:pPr>
              <w:jc w:val="both"/>
              <w:rPr>
                <w:rFonts w:eastAsia="Calibri"/>
                <w:sz w:val="20"/>
              </w:rPr>
            </w:pPr>
            <w:hyperlink r:id="rId75" w:history="1">
              <w:r w:rsidR="002F170A" w:rsidRPr="003C6CEA">
                <w:rPr>
                  <w:rFonts w:eastAsia="Calibri"/>
                  <w:color w:val="0000FF"/>
                  <w:sz w:val="20"/>
                  <w:u w:val="single"/>
                </w:rPr>
                <w:t>2012 QCCS 6970</w:t>
              </w:r>
            </w:hyperlink>
          </w:p>
          <w:p w:rsidR="002F170A" w:rsidRPr="003C6CEA" w:rsidRDefault="002F170A" w:rsidP="00347C73">
            <w:pPr>
              <w:jc w:val="both"/>
              <w:rPr>
                <w:rFonts w:eastAsia="Calibri"/>
                <w:sz w:val="20"/>
              </w:rPr>
            </w:pP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Action dismissed</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March 31, 2014</w:t>
            </w:r>
          </w:p>
          <w:p w:rsidR="002F170A" w:rsidRPr="003C6CEA" w:rsidRDefault="002F170A" w:rsidP="00347C73">
            <w:pPr>
              <w:jc w:val="both"/>
              <w:rPr>
                <w:rFonts w:eastAsia="Calibri"/>
                <w:sz w:val="20"/>
              </w:rPr>
            </w:pPr>
            <w:r w:rsidRPr="003C6CEA">
              <w:rPr>
                <w:rFonts w:eastAsia="Calibri"/>
                <w:sz w:val="20"/>
              </w:rPr>
              <w:t>Quebec Court of Appeal (Québec)</w:t>
            </w:r>
          </w:p>
          <w:p w:rsidR="002F170A" w:rsidRPr="003C6CEA" w:rsidRDefault="002F170A" w:rsidP="00347C73">
            <w:pPr>
              <w:jc w:val="both"/>
              <w:rPr>
                <w:rFonts w:eastAsia="Calibri"/>
                <w:sz w:val="20"/>
                <w:lang w:val="fr-CA"/>
              </w:rPr>
            </w:pPr>
            <w:r w:rsidRPr="003C6CEA">
              <w:rPr>
                <w:rFonts w:eastAsia="Calibri"/>
                <w:sz w:val="20"/>
                <w:lang w:val="fr-CA"/>
              </w:rPr>
              <w:t>(Morissette, Dutil and Lévesque JJ.A.)</w:t>
            </w:r>
          </w:p>
          <w:p w:rsidR="002F170A" w:rsidRPr="003C6CEA" w:rsidRDefault="00215143" w:rsidP="00347C73">
            <w:pPr>
              <w:jc w:val="both"/>
              <w:rPr>
                <w:rFonts w:eastAsia="Calibri"/>
                <w:sz w:val="20"/>
              </w:rPr>
            </w:pPr>
            <w:hyperlink r:id="rId76" w:history="1">
              <w:r w:rsidR="002F170A" w:rsidRPr="003C6CEA">
                <w:rPr>
                  <w:rFonts w:eastAsia="Calibri"/>
                  <w:color w:val="0000FF"/>
                  <w:sz w:val="20"/>
                  <w:u w:val="single"/>
                </w:rPr>
                <w:t>2014 QCCA 643</w:t>
              </w:r>
            </w:hyperlink>
          </w:p>
          <w:p w:rsidR="002F170A" w:rsidRPr="003C6CEA" w:rsidRDefault="002F170A" w:rsidP="00347C73">
            <w:pPr>
              <w:jc w:val="both"/>
              <w:rPr>
                <w:rFonts w:eastAsia="Calibri"/>
                <w:sz w:val="20"/>
              </w:rPr>
            </w:pP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Action dismissed</w:t>
            </w: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May 30, 2014</w:t>
            </w:r>
          </w:p>
          <w:p w:rsidR="002F170A" w:rsidRPr="003C6CEA" w:rsidRDefault="002F170A" w:rsidP="00347C73">
            <w:pPr>
              <w:jc w:val="both"/>
              <w:rPr>
                <w:rFonts w:eastAsia="Calibri"/>
                <w:sz w:val="20"/>
              </w:rPr>
            </w:pPr>
            <w:r w:rsidRPr="003C6CEA">
              <w:rPr>
                <w:rFonts w:eastAsia="Calibri"/>
                <w:sz w:val="20"/>
              </w:rPr>
              <w:t>Supreme Court of Canada</w:t>
            </w: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71"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70A" w:rsidRPr="00225EDC" w:rsidTr="00347C73">
        <w:tc>
          <w:tcPr>
            <w:tcW w:w="5000" w:type="pct"/>
            <w:gridSpan w:val="3"/>
          </w:tcPr>
          <w:p w:rsidR="002F170A" w:rsidRPr="003C6CEA" w:rsidRDefault="002F170A" w:rsidP="00347C73">
            <w:pPr>
              <w:jc w:val="both"/>
              <w:rPr>
                <w:rFonts w:eastAsia="Calibri"/>
                <w:sz w:val="20"/>
                <w:lang w:val="fr-CA"/>
              </w:rPr>
            </w:pPr>
            <w:r w:rsidRPr="003C6CEA">
              <w:rPr>
                <w:rFonts w:eastAsia="Calibri"/>
                <w:sz w:val="20"/>
                <w:lang w:val="fr-CA"/>
              </w:rPr>
              <w:t xml:space="preserve">Pensions — Régimes de retraite — Option de transfert des droits à pension — Détermination de la valeur actuarielle des droits à transférer — Est-ce qu’un régime de pension assujetti à la </w:t>
            </w:r>
            <w:r w:rsidRPr="003C6CEA">
              <w:rPr>
                <w:rFonts w:eastAsia="Calibri"/>
                <w:i/>
                <w:sz w:val="20"/>
                <w:lang w:val="fr-CA"/>
              </w:rPr>
              <w:t>Loi de 1985 sur les normes de prestation de pension</w:t>
            </w:r>
            <w:r w:rsidRPr="003C6CEA">
              <w:rPr>
                <w:rFonts w:eastAsia="Calibri"/>
                <w:sz w:val="20"/>
                <w:lang w:val="fr-CA"/>
              </w:rPr>
              <w:t xml:space="preserve">, L.R.C. 1985, ch. 32, peut prévoir des conditions moins avantageuses pour le participant que celles prévues dans la </w:t>
            </w:r>
            <w:r w:rsidRPr="003C6CEA">
              <w:rPr>
                <w:rFonts w:eastAsia="Calibri"/>
                <w:i/>
                <w:sz w:val="20"/>
                <w:lang w:val="fr-CA"/>
              </w:rPr>
              <w:t>LNPP</w:t>
            </w:r>
            <w:r w:rsidRPr="003C6CEA">
              <w:rPr>
                <w:rFonts w:eastAsia="Calibri"/>
                <w:sz w:val="20"/>
                <w:lang w:val="fr-CA"/>
              </w:rPr>
              <w:t xml:space="preserve"> et son règlement d’application? — Plus spécifiquement, un tel régime peut-il restreindre, par ses règlements internes, les droits de transfert des participants à un régime de pension, dans la mesure où ces droits sont autrement permis par la </w:t>
            </w:r>
            <w:r w:rsidRPr="003C6CEA">
              <w:rPr>
                <w:rFonts w:eastAsia="Calibri"/>
                <w:i/>
                <w:sz w:val="20"/>
                <w:lang w:val="fr-CA"/>
              </w:rPr>
              <w:t>LNPP</w:t>
            </w:r>
            <w:r w:rsidRPr="003C6CEA">
              <w:rPr>
                <w:rFonts w:eastAsia="Calibri"/>
                <w:sz w:val="20"/>
                <w:lang w:val="fr-CA"/>
              </w:rPr>
              <w:t xml:space="preserve"> et son règlement d’application?</w:t>
            </w:r>
          </w:p>
        </w:tc>
      </w:tr>
      <w:tr w:rsidR="002F170A" w:rsidRPr="00225EDC" w:rsidTr="00347C73">
        <w:tc>
          <w:tcPr>
            <w:tcW w:w="5000" w:type="pct"/>
            <w:gridSpan w:val="3"/>
          </w:tcPr>
          <w:p w:rsidR="002F170A" w:rsidRPr="003C6CEA" w:rsidRDefault="002F170A" w:rsidP="00347C73">
            <w:pPr>
              <w:jc w:val="both"/>
              <w:rPr>
                <w:rFonts w:eastAsia="Calibri"/>
                <w:sz w:val="20"/>
                <w:lang w:val="fr-CA"/>
              </w:rPr>
            </w:pPr>
          </w:p>
        </w:tc>
      </w:tr>
      <w:tr w:rsidR="002F170A" w:rsidRPr="00225EDC" w:rsidTr="00347C73">
        <w:tc>
          <w:tcPr>
            <w:tcW w:w="5000" w:type="pct"/>
            <w:gridSpan w:val="3"/>
          </w:tcPr>
          <w:p w:rsidR="002F170A" w:rsidRPr="003C6CEA" w:rsidRDefault="002F170A" w:rsidP="00347C73">
            <w:pPr>
              <w:jc w:val="both"/>
              <w:rPr>
                <w:rFonts w:eastAsia="Calibri"/>
                <w:sz w:val="20"/>
                <w:lang w:val="fr-CA"/>
              </w:rPr>
            </w:pPr>
            <w:r w:rsidRPr="003C6CEA">
              <w:rPr>
                <w:rFonts w:eastAsia="Calibri"/>
                <w:sz w:val="20"/>
                <w:lang w:val="fr-CA"/>
              </w:rPr>
              <w:t xml:space="preserve">M. Bouchard a travaillé comme pilote maritime sur le fleuve Saint-Laurent du 27 avril 1968 au 15 janvier 2009.  Pendant cette période, il a contribué de façon continue au « Régime de pension des pilotes de Corporation des pilotes du Bas St-Laurent établi et géré par la Corporation des pilotes pour le havre de Québec et au-dessous » (« Fonds »).  Les dispositions applicables au Fonds sont énumérées au </w:t>
            </w:r>
            <w:r w:rsidRPr="003C6CEA">
              <w:rPr>
                <w:rFonts w:eastAsia="Calibri"/>
                <w:i/>
                <w:sz w:val="20"/>
                <w:lang w:val="fr-CA"/>
              </w:rPr>
              <w:t>Règlement numéro 2</w:t>
            </w:r>
            <w:r w:rsidRPr="003C6CEA">
              <w:rPr>
                <w:rFonts w:eastAsia="Calibri"/>
                <w:sz w:val="20"/>
                <w:lang w:val="fr-CA"/>
              </w:rPr>
              <w:t xml:space="preserve">.  La </w:t>
            </w:r>
            <w:r w:rsidRPr="003C6CEA">
              <w:rPr>
                <w:rFonts w:eastAsia="Calibri"/>
                <w:i/>
                <w:sz w:val="20"/>
                <w:lang w:val="fr-CA"/>
              </w:rPr>
              <w:t>Loi sur le pilotage</w:t>
            </w:r>
            <w:r w:rsidRPr="003C6CEA">
              <w:rPr>
                <w:rFonts w:eastAsia="Calibri"/>
                <w:sz w:val="20"/>
                <w:lang w:val="fr-CA"/>
              </w:rPr>
              <w:t xml:space="preserve">, L.R.C. (1985), ch. P-14, qui attribue à la Corporation intimée le pouvoir de gérer le Fonds, prévoit expressément à l’art. 56 que la </w:t>
            </w:r>
            <w:r w:rsidRPr="003C6CEA">
              <w:rPr>
                <w:rFonts w:eastAsia="Calibri"/>
                <w:i/>
                <w:sz w:val="20"/>
                <w:lang w:val="fr-CA"/>
              </w:rPr>
              <w:t>Loi de 1985 sur les normes de prestation de pension</w:t>
            </w:r>
            <w:r w:rsidRPr="003C6CEA">
              <w:rPr>
                <w:rFonts w:eastAsia="Calibri"/>
                <w:sz w:val="20"/>
                <w:lang w:val="fr-CA"/>
              </w:rPr>
              <w:t xml:space="preserve"> s’applique au régime de pension géré par l’intimée.</w:t>
            </w:r>
          </w:p>
          <w:p w:rsidR="002F170A" w:rsidRPr="003C6CEA" w:rsidRDefault="002F170A" w:rsidP="00347C73">
            <w:pPr>
              <w:ind w:right="4"/>
              <w:jc w:val="both"/>
              <w:rPr>
                <w:rFonts w:eastAsia="Calibri"/>
                <w:sz w:val="20"/>
                <w:lang w:val="fr-CA"/>
              </w:rPr>
            </w:pPr>
          </w:p>
          <w:p w:rsidR="002F170A" w:rsidRPr="003C6CEA" w:rsidRDefault="002F170A" w:rsidP="00347C73">
            <w:pPr>
              <w:ind w:right="4"/>
              <w:jc w:val="both"/>
              <w:rPr>
                <w:rFonts w:eastAsia="Calibri"/>
                <w:sz w:val="20"/>
                <w:lang w:val="fr-CA"/>
              </w:rPr>
            </w:pPr>
            <w:r w:rsidRPr="003C6CEA">
              <w:rPr>
                <w:rFonts w:eastAsia="Calibri"/>
                <w:sz w:val="20"/>
                <w:lang w:val="fr-CA"/>
              </w:rPr>
              <w:t xml:space="preserve">En juin 2004, M. Bouchard se prévaut de l’art. 24 du </w:t>
            </w:r>
            <w:r w:rsidRPr="003C6CEA">
              <w:rPr>
                <w:rFonts w:eastAsia="Calibri"/>
                <w:i/>
                <w:sz w:val="20"/>
                <w:lang w:val="fr-CA"/>
              </w:rPr>
              <w:t>Règlement numéro 2</w:t>
            </w:r>
            <w:r w:rsidRPr="003C6CEA">
              <w:rPr>
                <w:rFonts w:eastAsia="Calibri"/>
                <w:sz w:val="20"/>
                <w:lang w:val="fr-CA"/>
              </w:rPr>
              <w:t xml:space="preserve"> et informe l’intimée qu’il souhaiterait, au moment de sa retraite, que la valeur de ses droits accumulés dans le Fonds soient transférés dans un autre régime de pension.  M. Bouchard se marie en décembre 2007.  Les conjoints ne font plus vie commune aujourd’hui mais demeurent toujours mariés.  M. Bouchard prend sa retraite en date du 15 janvier 2009.  Quelques semaines plus tard, il reçoit de l’intimée une lettre l’informant du montant que les actuaires ont établi concernant la valeur de ses droits à transférer.  Ce montant n’inclut pas la valeur actuarielle des droits de pension réversible à la conjointe survivante.  M. Bouchard intente une action contre l’intimée visant à récupérer la totalité de ses droits accumulés dans le Fonds qui comprennent, selon lui, la valeur actuarielle des droits de pension de sa conjointe.  Il plaide que le transfert de la « valeur de ses prestations » prévue par les dispositions du </w:t>
            </w:r>
            <w:r w:rsidRPr="003C6CEA">
              <w:rPr>
                <w:rFonts w:eastAsia="Calibri"/>
                <w:i/>
                <w:sz w:val="20"/>
                <w:lang w:val="fr-CA"/>
              </w:rPr>
              <w:t>Règlement numéro 2</w:t>
            </w:r>
            <w:r w:rsidRPr="003C6CEA">
              <w:rPr>
                <w:rFonts w:eastAsia="Calibri"/>
                <w:sz w:val="20"/>
                <w:lang w:val="fr-CA"/>
              </w:rPr>
              <w:t xml:space="preserve"> correspond, compte tenu de la promesse d’une rente réversible prévue au Fonds et des dispositions impératives de la </w:t>
            </w:r>
            <w:r w:rsidRPr="003C6CEA">
              <w:rPr>
                <w:rFonts w:eastAsia="Calibri"/>
                <w:i/>
                <w:sz w:val="20"/>
                <w:lang w:val="fr-CA"/>
              </w:rPr>
              <w:t>Loi de 1985 sur les normes de prestation de pension</w:t>
            </w:r>
            <w:r w:rsidRPr="003C6CEA">
              <w:rPr>
                <w:rFonts w:eastAsia="Calibri"/>
                <w:sz w:val="20"/>
                <w:lang w:val="fr-CA"/>
              </w:rPr>
              <w:t xml:space="preserve"> et de son règlement d’application, à la valeur actuarielle globale des prestations du régime, comprenant la valeur de la rente réversible au conjoint survivant. </w:t>
            </w:r>
          </w:p>
          <w:p w:rsidR="002F170A" w:rsidRPr="003C6CEA" w:rsidRDefault="002F170A" w:rsidP="00347C73">
            <w:pPr>
              <w:jc w:val="both"/>
              <w:rPr>
                <w:rFonts w:eastAsia="Calibri"/>
                <w:sz w:val="20"/>
                <w:lang w:val="fr-CA"/>
              </w:rPr>
            </w:pP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lastRenderedPageBreak/>
              <w:t>Le 17 décembre 2012</w:t>
            </w:r>
          </w:p>
          <w:p w:rsidR="002F170A" w:rsidRPr="003C6CEA" w:rsidRDefault="002F170A" w:rsidP="00347C73">
            <w:pPr>
              <w:jc w:val="both"/>
              <w:rPr>
                <w:rFonts w:eastAsia="Calibri"/>
                <w:sz w:val="20"/>
                <w:lang w:val="fr-CA"/>
              </w:rPr>
            </w:pPr>
            <w:r w:rsidRPr="003C6CEA">
              <w:rPr>
                <w:rFonts w:eastAsia="Calibri"/>
                <w:sz w:val="20"/>
                <w:lang w:val="fr-CA"/>
              </w:rPr>
              <w:t>Cour supérieure du Québec</w:t>
            </w:r>
          </w:p>
          <w:p w:rsidR="002F170A" w:rsidRPr="003C6CEA" w:rsidRDefault="002F170A" w:rsidP="00347C73">
            <w:pPr>
              <w:jc w:val="both"/>
              <w:rPr>
                <w:rFonts w:eastAsia="Calibri"/>
                <w:sz w:val="20"/>
                <w:lang w:val="fr-CA"/>
              </w:rPr>
            </w:pPr>
            <w:r w:rsidRPr="003C6CEA">
              <w:rPr>
                <w:rFonts w:eastAsia="Calibri"/>
                <w:sz w:val="20"/>
                <w:lang w:val="fr-CA"/>
              </w:rPr>
              <w:t>(Le juge Goodwin)</w:t>
            </w:r>
          </w:p>
          <w:p w:rsidR="002F170A" w:rsidRPr="003C6CEA" w:rsidRDefault="00215143" w:rsidP="00347C73">
            <w:pPr>
              <w:jc w:val="both"/>
              <w:rPr>
                <w:rFonts w:eastAsia="Calibri"/>
                <w:sz w:val="20"/>
                <w:lang w:val="fr-CA"/>
              </w:rPr>
            </w:pPr>
            <w:hyperlink r:id="rId77" w:history="1">
              <w:r w:rsidR="002F170A" w:rsidRPr="003C6CEA">
                <w:rPr>
                  <w:rFonts w:eastAsia="Calibri"/>
                  <w:color w:val="0000FF"/>
                  <w:sz w:val="20"/>
                  <w:u w:val="single"/>
                  <w:lang w:val="fr-CA"/>
                </w:rPr>
                <w:t>2012 QCCS 6970</w:t>
              </w:r>
            </w:hyperlink>
          </w:p>
          <w:p w:rsidR="002F170A" w:rsidRPr="003C6CEA" w:rsidRDefault="002F170A" w:rsidP="00347C73">
            <w:pPr>
              <w:jc w:val="both"/>
              <w:rPr>
                <w:rFonts w:eastAsia="Calibri"/>
                <w:sz w:val="20"/>
                <w:lang w:val="fr-CA"/>
              </w:rPr>
            </w:pP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Action rejetée</w:t>
            </w:r>
          </w:p>
          <w:p w:rsidR="002F170A" w:rsidRPr="003C6CEA" w:rsidRDefault="002F170A" w:rsidP="00347C73">
            <w:pPr>
              <w:jc w:val="both"/>
              <w:rPr>
                <w:rFonts w:eastAsia="Calibri"/>
                <w:sz w:val="20"/>
                <w:lang w:val="fr-CA"/>
              </w:rPr>
            </w:pP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t>Le 31 mars 2014</w:t>
            </w:r>
          </w:p>
          <w:p w:rsidR="002F170A" w:rsidRPr="003C6CEA" w:rsidRDefault="002F170A" w:rsidP="00347C73">
            <w:pPr>
              <w:jc w:val="both"/>
              <w:rPr>
                <w:rFonts w:eastAsia="Calibri"/>
                <w:sz w:val="20"/>
                <w:lang w:val="fr-CA"/>
              </w:rPr>
            </w:pPr>
            <w:r w:rsidRPr="003C6CEA">
              <w:rPr>
                <w:rFonts w:eastAsia="Calibri"/>
                <w:sz w:val="20"/>
                <w:lang w:val="fr-CA"/>
              </w:rPr>
              <w:t>Cour d’appel du Québec (Québec)</w:t>
            </w:r>
          </w:p>
          <w:p w:rsidR="002F170A" w:rsidRPr="003C6CEA" w:rsidRDefault="002F170A" w:rsidP="00347C73">
            <w:pPr>
              <w:jc w:val="both"/>
              <w:rPr>
                <w:rFonts w:eastAsia="Calibri"/>
                <w:sz w:val="20"/>
                <w:lang w:val="fr-CA"/>
              </w:rPr>
            </w:pPr>
            <w:r w:rsidRPr="003C6CEA">
              <w:rPr>
                <w:rFonts w:eastAsia="Calibri"/>
                <w:sz w:val="20"/>
                <w:lang w:val="fr-CA"/>
              </w:rPr>
              <w:t>(Les juges Morissette, Dutil et Lévesque)</w:t>
            </w:r>
          </w:p>
          <w:p w:rsidR="002F170A" w:rsidRPr="003C6CEA" w:rsidRDefault="00215143" w:rsidP="00347C73">
            <w:pPr>
              <w:jc w:val="both"/>
              <w:rPr>
                <w:rFonts w:eastAsia="Calibri"/>
                <w:sz w:val="20"/>
                <w:lang w:val="fr-CA"/>
              </w:rPr>
            </w:pPr>
            <w:hyperlink r:id="rId78" w:history="1">
              <w:r w:rsidR="002F170A" w:rsidRPr="003C6CEA">
                <w:rPr>
                  <w:rFonts w:eastAsia="Calibri"/>
                  <w:color w:val="0000FF"/>
                  <w:sz w:val="20"/>
                  <w:u w:val="single"/>
                  <w:lang w:val="fr-CA"/>
                </w:rPr>
                <w:t>2014 QCCA 643</w:t>
              </w:r>
            </w:hyperlink>
          </w:p>
          <w:p w:rsidR="002F170A" w:rsidRPr="003C6CEA" w:rsidRDefault="002F170A" w:rsidP="00347C73">
            <w:pPr>
              <w:jc w:val="both"/>
              <w:rPr>
                <w:rFonts w:eastAsia="Calibri"/>
                <w:sz w:val="20"/>
                <w:lang w:val="fr-CA"/>
              </w:rPr>
            </w:pP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Action rejetée</w:t>
            </w: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t>Le 30 mai 2014</w:t>
            </w:r>
          </w:p>
          <w:p w:rsidR="002F170A" w:rsidRPr="003C6CEA" w:rsidRDefault="002F170A" w:rsidP="00347C73">
            <w:pPr>
              <w:jc w:val="both"/>
              <w:rPr>
                <w:rFonts w:eastAsia="Calibri"/>
                <w:sz w:val="20"/>
                <w:lang w:val="fr-CA"/>
              </w:rPr>
            </w:pPr>
            <w:r w:rsidRPr="003C6CEA">
              <w:rPr>
                <w:rFonts w:eastAsia="Calibri"/>
                <w:sz w:val="20"/>
                <w:lang w:val="fr-CA"/>
              </w:rPr>
              <w:t>Cour suprême du Canada</w:t>
            </w: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Demande d’autorisation d’appel déposée</w:t>
            </w: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72"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068B6" w:rsidRPr="00A04AD5" w:rsidTr="001068B6">
        <w:trPr>
          <w:cantSplit/>
        </w:trPr>
        <w:tc>
          <w:tcPr>
            <w:tcW w:w="1458" w:type="dxa"/>
          </w:tcPr>
          <w:p w:rsidR="001068B6" w:rsidRPr="00A04AD5" w:rsidRDefault="001068B6" w:rsidP="001068B6">
            <w:pPr>
              <w:rPr>
                <w:sz w:val="20"/>
                <w:szCs w:val="20"/>
              </w:rPr>
            </w:pPr>
            <w:r w:rsidRPr="00A04AD5">
              <w:rPr>
                <w:rStyle w:val="SCCFileNumberChar"/>
                <w:sz w:val="20"/>
                <w:szCs w:val="20"/>
              </w:rPr>
              <w:t>35923</w:t>
            </w:r>
          </w:p>
          <w:p w:rsidR="001068B6" w:rsidRPr="00A04AD5" w:rsidRDefault="001068B6" w:rsidP="001068B6">
            <w:pPr>
              <w:rPr>
                <w:b/>
                <w:sz w:val="20"/>
                <w:szCs w:val="20"/>
                <w:lang w:val="fr-CA"/>
              </w:rPr>
            </w:pPr>
          </w:p>
        </w:tc>
        <w:tc>
          <w:tcPr>
            <w:tcW w:w="8118" w:type="dxa"/>
          </w:tcPr>
          <w:p w:rsidR="001068B6" w:rsidRPr="00A04AD5" w:rsidRDefault="001068B6" w:rsidP="001068B6">
            <w:pPr>
              <w:rPr>
                <w:sz w:val="20"/>
                <w:szCs w:val="20"/>
              </w:rPr>
            </w:pPr>
            <w:r w:rsidRPr="00A04AD5">
              <w:rPr>
                <w:rStyle w:val="SCCLsocChar"/>
                <w:sz w:val="20"/>
                <w:szCs w:val="20"/>
                <w:lang w:val="en-CA"/>
              </w:rPr>
              <w:t>Attorney General for Saskatchewan v. Lemare Lake Logging Ltd.</w:t>
            </w:r>
            <w:r w:rsidRPr="00A04AD5">
              <w:rPr>
                <w:sz w:val="20"/>
                <w:szCs w:val="20"/>
              </w:rPr>
              <w:t xml:space="preserve"> (Sask.) (Civil) (By Leave)</w:t>
            </w:r>
          </w:p>
          <w:p w:rsidR="001068B6" w:rsidRPr="00A04AD5" w:rsidRDefault="001068B6" w:rsidP="001068B6">
            <w:pPr>
              <w:rPr>
                <w:sz w:val="20"/>
                <w:szCs w:val="20"/>
              </w:rPr>
            </w:pPr>
          </w:p>
        </w:tc>
      </w:tr>
      <w:tr w:rsidR="001068B6" w:rsidRPr="00A04AD5" w:rsidTr="001068B6">
        <w:trPr>
          <w:cantSplit/>
        </w:trPr>
        <w:tc>
          <w:tcPr>
            <w:tcW w:w="1458" w:type="dxa"/>
          </w:tcPr>
          <w:p w:rsidR="001068B6" w:rsidRPr="00A04AD5" w:rsidRDefault="001068B6" w:rsidP="001068B6">
            <w:pPr>
              <w:rPr>
                <w:sz w:val="20"/>
                <w:szCs w:val="20"/>
              </w:rPr>
            </w:pPr>
            <w:r w:rsidRPr="00A04AD5">
              <w:rPr>
                <w:sz w:val="20"/>
                <w:szCs w:val="20"/>
              </w:rPr>
              <w:t>Coram :</w:t>
            </w:r>
          </w:p>
        </w:tc>
        <w:tc>
          <w:tcPr>
            <w:tcW w:w="8118" w:type="dxa"/>
          </w:tcPr>
          <w:p w:rsidR="001068B6" w:rsidRPr="00A04AD5" w:rsidRDefault="001068B6" w:rsidP="001068B6">
            <w:pPr>
              <w:rPr>
                <w:sz w:val="20"/>
                <w:szCs w:val="20"/>
              </w:rPr>
            </w:pPr>
            <w:r w:rsidRPr="00A04AD5">
              <w:rPr>
                <w:rStyle w:val="SCCCoramChar"/>
                <w:sz w:val="20"/>
                <w:szCs w:val="20"/>
                <w:lang w:val="en-CA"/>
              </w:rPr>
              <w:t>McLachlin C.J. and Cromwell and Wagner JJ.</w:t>
            </w:r>
          </w:p>
          <w:p w:rsidR="001068B6" w:rsidRPr="00A04AD5" w:rsidRDefault="001068B6" w:rsidP="001068B6">
            <w:pPr>
              <w:rPr>
                <w:sz w:val="20"/>
                <w:szCs w:val="20"/>
                <w:u w:val="single"/>
              </w:rPr>
            </w:pPr>
          </w:p>
        </w:tc>
      </w:tr>
      <w:tr w:rsidR="001068B6" w:rsidRPr="00225EDC" w:rsidTr="001068B6">
        <w:trPr>
          <w:cantSplit/>
        </w:trPr>
        <w:tc>
          <w:tcPr>
            <w:tcW w:w="9576" w:type="dxa"/>
            <w:gridSpan w:val="2"/>
          </w:tcPr>
          <w:p w:rsidR="001068B6" w:rsidRPr="00A04AD5" w:rsidRDefault="001068B6" w:rsidP="001068B6">
            <w:pPr>
              <w:pStyle w:val="SCCShortJudgment"/>
              <w:rPr>
                <w:szCs w:val="20"/>
              </w:rPr>
            </w:pPr>
            <w:r w:rsidRPr="00A04AD5">
              <w:rPr>
                <w:szCs w:val="20"/>
              </w:rPr>
              <w:t>The application for leave to appeal from the judgment of the Court of Appeal for Saskatchewan, Number CACV2443, 2014 SKCA 35, dated April 1, 2014, is granted without costs.</w:t>
            </w:r>
          </w:p>
          <w:p w:rsidR="001068B6" w:rsidRPr="00A04AD5" w:rsidRDefault="001068B6" w:rsidP="001068B6">
            <w:pPr>
              <w:pStyle w:val="SCCShortJudgment"/>
              <w:ind w:firstLine="0"/>
              <w:rPr>
                <w:szCs w:val="20"/>
              </w:rPr>
            </w:pPr>
          </w:p>
          <w:p w:rsidR="001068B6" w:rsidRPr="00A04AD5" w:rsidRDefault="001068B6" w:rsidP="001068B6">
            <w:pPr>
              <w:pStyle w:val="SCCShortJudgment"/>
              <w:rPr>
                <w:szCs w:val="20"/>
                <w:lang w:val="fr-CA"/>
              </w:rPr>
            </w:pPr>
            <w:r w:rsidRPr="00A04AD5">
              <w:rPr>
                <w:szCs w:val="20"/>
                <w:lang w:val="fr-CA"/>
              </w:rPr>
              <w:t>La demande d’autorisation d’appel de l’arrêt de la Cour d’appel de la Saskatchewan, numéro CACV2443, 2014 SKCA 35, daté du 1</w:t>
            </w:r>
            <w:r w:rsidRPr="006B3BD1">
              <w:rPr>
                <w:szCs w:val="20"/>
                <w:vertAlign w:val="superscript"/>
                <w:lang w:val="fr-CA"/>
              </w:rPr>
              <w:t>er</w:t>
            </w:r>
            <w:r w:rsidRPr="00A04AD5">
              <w:rPr>
                <w:szCs w:val="20"/>
                <w:lang w:val="fr-CA"/>
              </w:rPr>
              <w:t xml:space="preserve"> avril 2014, est accueillie sans dépens.</w:t>
            </w:r>
          </w:p>
        </w:tc>
      </w:tr>
    </w:tbl>
    <w:p w:rsidR="00402B2C" w:rsidRPr="001068B6"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70A" w:rsidRPr="003C6CEA" w:rsidTr="00347C73">
        <w:tc>
          <w:tcPr>
            <w:tcW w:w="5000" w:type="pct"/>
            <w:gridSpan w:val="3"/>
          </w:tcPr>
          <w:p w:rsidR="002F170A" w:rsidRPr="003C6CEA" w:rsidRDefault="002F170A" w:rsidP="00347C73">
            <w:pPr>
              <w:jc w:val="both"/>
              <w:rPr>
                <w:rFonts w:eastAsia="Calibri"/>
                <w:sz w:val="20"/>
              </w:rPr>
            </w:pPr>
            <w:r w:rsidRPr="003C6CEA">
              <w:rPr>
                <w:rFonts w:eastAsia="Calibri"/>
                <w:sz w:val="20"/>
              </w:rPr>
              <w:t xml:space="preserve">Constitutional law – Federal Paramountcy – Bankruptcy and Insolvency – Whether the </w:t>
            </w:r>
            <w:r w:rsidRPr="003C6CEA">
              <w:rPr>
                <w:rFonts w:eastAsia="Calibri"/>
                <w:i/>
                <w:sz w:val="20"/>
              </w:rPr>
              <w:t>Bankruptcy and Insolvency Act</w:t>
            </w:r>
            <w:r w:rsidRPr="003C6CEA">
              <w:rPr>
                <w:rFonts w:eastAsia="Calibri"/>
                <w:sz w:val="20"/>
              </w:rPr>
              <w:t xml:space="preserve">, R.S.C. 1985, c. B-3, renders Part II of the </w:t>
            </w:r>
            <w:r w:rsidRPr="003C6CEA">
              <w:rPr>
                <w:rFonts w:eastAsia="Calibri"/>
                <w:i/>
                <w:sz w:val="20"/>
              </w:rPr>
              <w:t>Saskatchewan Farm Security Act</w:t>
            </w:r>
            <w:r w:rsidRPr="003C6CEA">
              <w:rPr>
                <w:rFonts w:eastAsia="Calibri"/>
                <w:sz w:val="20"/>
              </w:rPr>
              <w:t xml:space="preserve">, S.S. 1988-89, c. S-17, inoperative by virtue of the doctrine of federal paramountcy – </w:t>
            </w:r>
            <w:r w:rsidRPr="003C6CEA">
              <w:rPr>
                <w:rFonts w:eastAsia="Calibri"/>
                <w:i/>
                <w:sz w:val="20"/>
              </w:rPr>
              <w:t>Bankruptcy and Insolvency Act</w:t>
            </w:r>
            <w:r w:rsidRPr="003C6CEA">
              <w:rPr>
                <w:rFonts w:eastAsia="Calibri"/>
                <w:sz w:val="20"/>
              </w:rPr>
              <w:t xml:space="preserve">, s. 243. </w:t>
            </w:r>
          </w:p>
        </w:tc>
      </w:tr>
      <w:tr w:rsidR="002F170A" w:rsidRPr="003C6CEA" w:rsidTr="00347C73">
        <w:tc>
          <w:tcPr>
            <w:tcW w:w="5000" w:type="pct"/>
            <w:gridSpan w:val="3"/>
          </w:tcPr>
          <w:p w:rsidR="002F170A" w:rsidRPr="003C6CEA" w:rsidRDefault="002F170A" w:rsidP="00347C73">
            <w:pPr>
              <w:jc w:val="both"/>
              <w:rPr>
                <w:rFonts w:eastAsia="Calibri"/>
                <w:sz w:val="20"/>
              </w:rPr>
            </w:pPr>
          </w:p>
        </w:tc>
      </w:tr>
      <w:tr w:rsidR="002F170A" w:rsidRPr="003C6CEA" w:rsidTr="00347C73">
        <w:tc>
          <w:tcPr>
            <w:tcW w:w="5000" w:type="pct"/>
            <w:gridSpan w:val="3"/>
          </w:tcPr>
          <w:p w:rsidR="002F170A" w:rsidRPr="003C6CEA" w:rsidRDefault="002F170A" w:rsidP="00347C73">
            <w:pPr>
              <w:jc w:val="both"/>
              <w:rPr>
                <w:rFonts w:eastAsia="Calibri"/>
                <w:sz w:val="20"/>
              </w:rPr>
            </w:pPr>
            <w:r w:rsidRPr="003C6CEA">
              <w:rPr>
                <w:rFonts w:eastAsia="Calibri"/>
                <w:sz w:val="20"/>
              </w:rPr>
              <w:t xml:space="preserve">The respondent, Lemare Lake Logging Ltd. (“Lemare Lake”), a secured creditor, brought an application for the court appointment of a receiver and manager of assets, excluding livestock, against a debtor, pursuant to s. 243(1) of the </w:t>
            </w:r>
            <w:r w:rsidRPr="003C6CEA">
              <w:rPr>
                <w:rFonts w:eastAsia="Calibri"/>
                <w:i/>
                <w:sz w:val="20"/>
              </w:rPr>
              <w:t>Bankruptcy and Insolvency Act</w:t>
            </w:r>
            <w:r w:rsidRPr="003C6CEA">
              <w:rPr>
                <w:rFonts w:eastAsia="Calibri"/>
                <w:sz w:val="20"/>
              </w:rPr>
              <w:t>, R.S.C. 1985, c. B-3 (“</w:t>
            </w:r>
            <w:r w:rsidRPr="003C6CEA">
              <w:rPr>
                <w:rFonts w:eastAsia="Calibri"/>
                <w:i/>
                <w:sz w:val="20"/>
              </w:rPr>
              <w:t>BIA</w:t>
            </w:r>
            <w:r w:rsidRPr="003C6CEA">
              <w:rPr>
                <w:rFonts w:eastAsia="Calibri"/>
                <w:sz w:val="20"/>
              </w:rPr>
              <w:t xml:space="preserve">”).  The debtor, a “farmer” within the meaning of the </w:t>
            </w:r>
            <w:r w:rsidRPr="003C6CEA">
              <w:rPr>
                <w:rFonts w:eastAsia="Calibri"/>
                <w:i/>
                <w:sz w:val="20"/>
              </w:rPr>
              <w:t>Saskatchewan Farm Security Act</w:t>
            </w:r>
            <w:r w:rsidRPr="003C6CEA">
              <w:rPr>
                <w:rFonts w:eastAsia="Calibri"/>
                <w:sz w:val="20"/>
              </w:rPr>
              <w:t>, S.S. 1988-89, c. S-17 (“</w:t>
            </w:r>
            <w:r w:rsidRPr="003C6CEA">
              <w:rPr>
                <w:rFonts w:eastAsia="Calibri"/>
                <w:i/>
                <w:sz w:val="20"/>
              </w:rPr>
              <w:t>SFSA</w:t>
            </w:r>
            <w:r w:rsidRPr="003C6CEA">
              <w:rPr>
                <w:rFonts w:eastAsia="Calibri"/>
                <w:sz w:val="20"/>
              </w:rPr>
              <w:t xml:space="preserve">”), took the position that Lemare Lake first had to comply with Part II of the </w:t>
            </w:r>
            <w:r w:rsidRPr="003C6CEA">
              <w:rPr>
                <w:rFonts w:eastAsia="Calibri"/>
                <w:i/>
                <w:sz w:val="20"/>
              </w:rPr>
              <w:t>SFSA</w:t>
            </w:r>
            <w:r w:rsidRPr="003C6CEA">
              <w:rPr>
                <w:rFonts w:eastAsia="Calibri"/>
                <w:sz w:val="20"/>
              </w:rPr>
              <w:t xml:space="preserve"> before seeking the appointment of a receiver under s. 243(1) of the </w:t>
            </w:r>
            <w:r w:rsidRPr="003C6CEA">
              <w:rPr>
                <w:rFonts w:eastAsia="Calibri"/>
                <w:i/>
                <w:sz w:val="20"/>
              </w:rPr>
              <w:t>BIA</w:t>
            </w:r>
            <w:r w:rsidRPr="003C6CEA">
              <w:rPr>
                <w:rFonts w:eastAsia="Calibri"/>
                <w:sz w:val="20"/>
              </w:rPr>
              <w:t xml:space="preserve">. Lemare Lake </w:t>
            </w:r>
            <w:r w:rsidRPr="003C6CEA">
              <w:rPr>
                <w:rFonts w:eastAsia="Calibri"/>
                <w:sz w:val="20"/>
              </w:rPr>
              <w:lastRenderedPageBreak/>
              <w:t xml:space="preserve">argued that the doctrine of federal paramountcy rendered the relevant provisions of the </w:t>
            </w:r>
            <w:r w:rsidRPr="003C6CEA">
              <w:rPr>
                <w:rFonts w:eastAsia="Calibri"/>
                <w:i/>
                <w:sz w:val="20"/>
              </w:rPr>
              <w:t>SFSA</w:t>
            </w:r>
            <w:r w:rsidRPr="003C6CEA">
              <w:rPr>
                <w:rFonts w:eastAsia="Calibri"/>
                <w:sz w:val="20"/>
              </w:rPr>
              <w:t xml:space="preserve"> inoperative.  The applicant, Attorney General for Saskatchewan, intervened on the constitutional issue pursuant to the </w:t>
            </w:r>
            <w:r w:rsidRPr="003C6CEA">
              <w:rPr>
                <w:rFonts w:eastAsia="Calibri"/>
                <w:i/>
                <w:sz w:val="20"/>
              </w:rPr>
              <w:t>Constitutional Questions Act</w:t>
            </w:r>
            <w:r w:rsidRPr="003C6CEA">
              <w:rPr>
                <w:rFonts w:eastAsia="Calibri"/>
                <w:sz w:val="20"/>
              </w:rPr>
              <w:t xml:space="preserve">, 2012, S.S. 2012, c. 29.01.  The chambers judge dismissed the application.  She found there was no operational conflict between the provincial and federal statutes, and that the </w:t>
            </w:r>
            <w:r w:rsidRPr="003C6CEA">
              <w:rPr>
                <w:rFonts w:eastAsia="Calibri"/>
                <w:i/>
                <w:sz w:val="20"/>
              </w:rPr>
              <w:t>SFSA</w:t>
            </w:r>
            <w:r w:rsidRPr="003C6CEA">
              <w:rPr>
                <w:rFonts w:eastAsia="Calibri"/>
                <w:sz w:val="20"/>
              </w:rPr>
              <w:t xml:space="preserve"> was not incompatible with the purpose of s. 243(1) of the </w:t>
            </w:r>
            <w:r w:rsidRPr="003C6CEA">
              <w:rPr>
                <w:rFonts w:eastAsia="Calibri"/>
                <w:i/>
                <w:sz w:val="20"/>
              </w:rPr>
              <w:t>BIA</w:t>
            </w:r>
            <w:r w:rsidRPr="003C6CEA">
              <w:rPr>
                <w:rFonts w:eastAsia="Calibri"/>
                <w:sz w:val="20"/>
              </w:rPr>
              <w:t xml:space="preserve">, which is to allow for the appointment of a national receiver.  In the chambers judge’s view, Part II of the </w:t>
            </w:r>
            <w:r w:rsidRPr="003C6CEA">
              <w:rPr>
                <w:rFonts w:eastAsia="Calibri"/>
                <w:i/>
                <w:sz w:val="20"/>
              </w:rPr>
              <w:t xml:space="preserve">SFSA </w:t>
            </w:r>
            <w:r w:rsidRPr="003C6CEA">
              <w:rPr>
                <w:rFonts w:eastAsia="Calibri"/>
                <w:sz w:val="20"/>
              </w:rPr>
              <w:t xml:space="preserve">did not frustrate that objective.  In the event that she was wrong, the chambers judge explained that she would nevertheless have dismissed the application on the basis that the foreclosure procedure was the appropriate remedy in this case. In her view, it would be neither convenient nor just to appoint a receiver.  The Court of Appeal agreed that it was not appropriate to appoint a receiver, and the appeal was dismissed.  However, the Court nevertheless addressed the constitutional issue, finding Part II of the </w:t>
            </w:r>
            <w:r w:rsidRPr="003C6CEA">
              <w:rPr>
                <w:rFonts w:eastAsia="Calibri"/>
                <w:i/>
                <w:sz w:val="20"/>
              </w:rPr>
              <w:t>SFSA</w:t>
            </w:r>
            <w:r w:rsidRPr="003C6CEA">
              <w:rPr>
                <w:rFonts w:eastAsia="Calibri"/>
                <w:sz w:val="20"/>
              </w:rPr>
              <w:t xml:space="preserve"> to be inoperative by virtue of the doctrine of federal paramountcy. </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lastRenderedPageBreak/>
              <w:t>July 19, 2013</w:t>
            </w:r>
          </w:p>
          <w:p w:rsidR="002F170A" w:rsidRPr="003C6CEA" w:rsidRDefault="002F170A" w:rsidP="00347C73">
            <w:pPr>
              <w:jc w:val="both"/>
              <w:rPr>
                <w:rFonts w:eastAsia="Calibri"/>
                <w:sz w:val="20"/>
              </w:rPr>
            </w:pPr>
            <w:r w:rsidRPr="003C6CEA">
              <w:rPr>
                <w:rFonts w:eastAsia="Calibri"/>
                <w:sz w:val="20"/>
              </w:rPr>
              <w:t>Court of Queen’s Bench of Saskatchewan</w:t>
            </w:r>
          </w:p>
          <w:p w:rsidR="002F170A" w:rsidRPr="003C6CEA" w:rsidRDefault="002F170A" w:rsidP="00347C73">
            <w:pPr>
              <w:jc w:val="both"/>
              <w:rPr>
                <w:rFonts w:eastAsia="Calibri"/>
                <w:sz w:val="20"/>
              </w:rPr>
            </w:pPr>
            <w:r w:rsidRPr="003C6CEA">
              <w:rPr>
                <w:rFonts w:eastAsia="Calibri"/>
                <w:sz w:val="20"/>
              </w:rPr>
              <w:t>(Rothery J.)</w:t>
            </w:r>
          </w:p>
          <w:p w:rsidR="002F170A" w:rsidRPr="003C6CEA" w:rsidRDefault="00215143" w:rsidP="00347C73">
            <w:pPr>
              <w:jc w:val="both"/>
              <w:rPr>
                <w:rFonts w:eastAsia="Calibri"/>
                <w:sz w:val="20"/>
              </w:rPr>
            </w:pPr>
            <w:hyperlink r:id="rId79" w:history="1">
              <w:r w:rsidR="002F170A" w:rsidRPr="003C6CEA">
                <w:rPr>
                  <w:rFonts w:eastAsia="Calibri"/>
                  <w:color w:val="0000FF"/>
                  <w:sz w:val="20"/>
                  <w:u w:val="single"/>
                </w:rPr>
                <w:t>2013 SKQB 278</w:t>
              </w:r>
            </w:hyperlink>
          </w:p>
          <w:p w:rsidR="002F170A" w:rsidRPr="003C6CEA" w:rsidRDefault="002F170A" w:rsidP="00347C73">
            <w:pPr>
              <w:jc w:val="both"/>
              <w:rPr>
                <w:rFonts w:eastAsia="Calibri"/>
                <w:sz w:val="20"/>
              </w:rPr>
            </w:pP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 xml:space="preserve">Respondent’s application pursuant to s. 243(1) of the </w:t>
            </w:r>
            <w:r w:rsidRPr="003C6CEA">
              <w:rPr>
                <w:rFonts w:eastAsia="Calibri"/>
                <w:i/>
                <w:sz w:val="20"/>
              </w:rPr>
              <w:t>Bankruptcy and Insolvency Act</w:t>
            </w:r>
            <w:r w:rsidRPr="003C6CEA">
              <w:rPr>
                <w:rFonts w:eastAsia="Calibri"/>
                <w:sz w:val="20"/>
              </w:rPr>
              <w:t>, R.S.C. 1985, c. B-3, for appointment of receiver dismissed</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April 1, 2014</w:t>
            </w:r>
          </w:p>
          <w:p w:rsidR="002F170A" w:rsidRPr="003C6CEA" w:rsidRDefault="002F170A" w:rsidP="00347C73">
            <w:pPr>
              <w:jc w:val="both"/>
              <w:rPr>
                <w:rFonts w:eastAsia="Calibri"/>
                <w:sz w:val="20"/>
              </w:rPr>
            </w:pPr>
            <w:r w:rsidRPr="003C6CEA">
              <w:rPr>
                <w:rFonts w:eastAsia="Calibri"/>
                <w:sz w:val="20"/>
              </w:rPr>
              <w:t>Court of Appeal for Saskatchewan</w:t>
            </w:r>
          </w:p>
          <w:p w:rsidR="002F170A" w:rsidRPr="003C6CEA" w:rsidRDefault="002F170A" w:rsidP="00347C73">
            <w:pPr>
              <w:jc w:val="both"/>
              <w:rPr>
                <w:rFonts w:eastAsia="Calibri"/>
                <w:sz w:val="20"/>
              </w:rPr>
            </w:pPr>
            <w:r w:rsidRPr="003C6CEA">
              <w:rPr>
                <w:rFonts w:eastAsia="Calibri"/>
                <w:sz w:val="20"/>
              </w:rPr>
              <w:t>(Richards C.J. and Ottenbreit and Whitmore JJ.A.)</w:t>
            </w:r>
          </w:p>
          <w:p w:rsidR="002F170A" w:rsidRPr="003C6CEA" w:rsidRDefault="002F170A" w:rsidP="00347C73">
            <w:pPr>
              <w:jc w:val="both"/>
              <w:rPr>
                <w:rFonts w:eastAsia="Calibri"/>
                <w:sz w:val="20"/>
              </w:rPr>
            </w:pPr>
            <w:r w:rsidRPr="003C6CEA">
              <w:rPr>
                <w:rFonts w:eastAsia="Calibri"/>
                <w:sz w:val="20"/>
              </w:rPr>
              <w:t>CACV2443</w:t>
            </w:r>
          </w:p>
          <w:p w:rsidR="002F170A" w:rsidRPr="003C6CEA" w:rsidRDefault="00215143" w:rsidP="00347C73">
            <w:pPr>
              <w:jc w:val="both"/>
              <w:rPr>
                <w:rFonts w:eastAsia="Calibri"/>
                <w:sz w:val="20"/>
              </w:rPr>
            </w:pPr>
            <w:hyperlink r:id="rId80" w:history="1">
              <w:r w:rsidR="002F170A" w:rsidRPr="003C6CEA">
                <w:rPr>
                  <w:rFonts w:eastAsia="Calibri"/>
                  <w:color w:val="0000FF"/>
                  <w:sz w:val="20"/>
                  <w:u w:val="single"/>
                </w:rPr>
                <w:t>2014 SKCA 35</w:t>
              </w:r>
            </w:hyperlink>
          </w:p>
          <w:p w:rsidR="002F170A" w:rsidRPr="003C6CEA" w:rsidRDefault="002F170A" w:rsidP="00347C73">
            <w:pPr>
              <w:jc w:val="both"/>
              <w:rPr>
                <w:rFonts w:eastAsia="Calibri"/>
                <w:sz w:val="20"/>
              </w:rPr>
            </w:pP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 xml:space="preserve">Appeal dismissed; Part II of the </w:t>
            </w:r>
            <w:r w:rsidRPr="003C6CEA">
              <w:rPr>
                <w:rFonts w:eastAsia="Calibri"/>
                <w:i/>
                <w:sz w:val="20"/>
              </w:rPr>
              <w:t>Saskatchewan Farm Security Act</w:t>
            </w:r>
            <w:r w:rsidRPr="003C6CEA">
              <w:rPr>
                <w:rFonts w:eastAsia="Calibri"/>
                <w:sz w:val="20"/>
              </w:rPr>
              <w:t>, S.S. 1988-89, c. S-17, declared inoperative by virtue of the doctrine of federal paramountcy</w:t>
            </w:r>
          </w:p>
          <w:p w:rsidR="002F170A" w:rsidRPr="003C6CEA" w:rsidRDefault="002F170A" w:rsidP="00347C73">
            <w:pPr>
              <w:jc w:val="both"/>
              <w:rPr>
                <w:rFonts w:eastAsia="Calibri"/>
                <w:sz w:val="20"/>
              </w:rPr>
            </w:pPr>
          </w:p>
        </w:tc>
      </w:tr>
      <w:tr w:rsidR="002F170A" w:rsidRPr="003C6CEA" w:rsidTr="00347C73">
        <w:tc>
          <w:tcPr>
            <w:tcW w:w="2427" w:type="pct"/>
          </w:tcPr>
          <w:p w:rsidR="002F170A" w:rsidRPr="003C6CEA" w:rsidRDefault="002F170A" w:rsidP="00347C73">
            <w:pPr>
              <w:jc w:val="both"/>
              <w:rPr>
                <w:rFonts w:eastAsia="Calibri"/>
                <w:sz w:val="20"/>
              </w:rPr>
            </w:pPr>
            <w:r w:rsidRPr="003C6CEA">
              <w:rPr>
                <w:rFonts w:eastAsia="Calibri"/>
                <w:sz w:val="20"/>
              </w:rPr>
              <w:t>June 2, 2014</w:t>
            </w:r>
          </w:p>
          <w:p w:rsidR="002F170A" w:rsidRPr="003C6CEA" w:rsidRDefault="002F170A" w:rsidP="00347C73">
            <w:pPr>
              <w:jc w:val="both"/>
              <w:rPr>
                <w:rFonts w:eastAsia="Calibri"/>
                <w:sz w:val="20"/>
              </w:rPr>
            </w:pPr>
            <w:r w:rsidRPr="003C6CEA">
              <w:rPr>
                <w:rFonts w:eastAsia="Calibri"/>
                <w:sz w:val="20"/>
              </w:rPr>
              <w:t>Supreme Court of Canada</w:t>
            </w:r>
          </w:p>
        </w:tc>
        <w:tc>
          <w:tcPr>
            <w:tcW w:w="243" w:type="pct"/>
          </w:tcPr>
          <w:p w:rsidR="002F170A" w:rsidRPr="003C6CEA" w:rsidRDefault="002F170A" w:rsidP="00347C73">
            <w:pPr>
              <w:jc w:val="both"/>
              <w:rPr>
                <w:rFonts w:eastAsia="Calibri"/>
                <w:sz w:val="20"/>
              </w:rPr>
            </w:pPr>
          </w:p>
        </w:tc>
        <w:tc>
          <w:tcPr>
            <w:tcW w:w="2330" w:type="pct"/>
          </w:tcPr>
          <w:p w:rsidR="002F170A" w:rsidRPr="003C6CEA" w:rsidRDefault="002F170A" w:rsidP="00347C73">
            <w:pPr>
              <w:jc w:val="both"/>
              <w:rPr>
                <w:rFonts w:eastAsia="Calibri"/>
                <w:sz w:val="20"/>
              </w:rPr>
            </w:pPr>
            <w:r w:rsidRPr="003C6CEA">
              <w:rPr>
                <w:rFonts w:eastAsia="Calibri"/>
                <w:sz w:val="20"/>
              </w:rPr>
              <w:t>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73"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70A" w:rsidRPr="00225EDC" w:rsidTr="00347C73">
        <w:tc>
          <w:tcPr>
            <w:tcW w:w="5000" w:type="pct"/>
            <w:gridSpan w:val="3"/>
          </w:tcPr>
          <w:p w:rsidR="002F170A" w:rsidRPr="003C6CEA" w:rsidRDefault="002F170A" w:rsidP="00347C73">
            <w:pPr>
              <w:jc w:val="both"/>
              <w:rPr>
                <w:rFonts w:eastAsia="Calibri"/>
                <w:sz w:val="20"/>
                <w:lang w:val="fr-CA"/>
              </w:rPr>
            </w:pPr>
            <w:r w:rsidRPr="003C6CEA">
              <w:rPr>
                <w:rFonts w:eastAsia="Calibri"/>
                <w:sz w:val="20"/>
                <w:lang w:val="fr-CA"/>
              </w:rPr>
              <w:t xml:space="preserve">Droit constitutionnel – Prépondérance fédérale – Faillite et insolvabilité – La </w:t>
            </w:r>
            <w:r w:rsidRPr="003C6CEA">
              <w:rPr>
                <w:rFonts w:eastAsia="Calibri"/>
                <w:i/>
                <w:sz w:val="20"/>
                <w:lang w:val="fr-CA"/>
              </w:rPr>
              <w:t>Loi sur la faillite et l’insolvabilité</w:t>
            </w:r>
            <w:r w:rsidRPr="003C6CEA">
              <w:rPr>
                <w:rFonts w:eastAsia="Calibri"/>
                <w:sz w:val="20"/>
                <w:lang w:val="fr-CA"/>
              </w:rPr>
              <w:t xml:space="preserve">, L.R.C. 1985, ch. B-3, rend-elle la Partie II de la </w:t>
            </w:r>
            <w:r w:rsidRPr="003C6CEA">
              <w:rPr>
                <w:rFonts w:eastAsia="Calibri"/>
                <w:i/>
                <w:sz w:val="20"/>
                <w:lang w:val="fr-CA"/>
              </w:rPr>
              <w:t>Saskatchewan Farm Security Act</w:t>
            </w:r>
            <w:r w:rsidRPr="003C6CEA">
              <w:rPr>
                <w:rFonts w:eastAsia="Calibri"/>
                <w:sz w:val="20"/>
                <w:lang w:val="fr-CA"/>
              </w:rPr>
              <w:t xml:space="preserve">, S.S. 1988-89, ch. S-17, inopérante en vertu de la doctrine de la prépondérance des lois fédérales? – </w:t>
            </w:r>
            <w:r w:rsidRPr="003C6CEA">
              <w:rPr>
                <w:rFonts w:eastAsia="Calibri"/>
                <w:i/>
                <w:sz w:val="20"/>
                <w:lang w:val="fr-CA"/>
              </w:rPr>
              <w:t>Loi sur la faillite et l’insolvabilité</w:t>
            </w:r>
            <w:r w:rsidRPr="003C6CEA">
              <w:rPr>
                <w:rFonts w:eastAsia="Calibri"/>
                <w:sz w:val="20"/>
                <w:lang w:val="fr-CA"/>
              </w:rPr>
              <w:t xml:space="preserve">, art. 243. </w:t>
            </w:r>
          </w:p>
        </w:tc>
      </w:tr>
      <w:tr w:rsidR="002F170A" w:rsidRPr="00225EDC" w:rsidTr="00347C73">
        <w:tc>
          <w:tcPr>
            <w:tcW w:w="5000" w:type="pct"/>
            <w:gridSpan w:val="3"/>
          </w:tcPr>
          <w:p w:rsidR="002F170A" w:rsidRPr="003C6CEA" w:rsidRDefault="002F170A" w:rsidP="00347C73">
            <w:pPr>
              <w:jc w:val="both"/>
              <w:rPr>
                <w:rFonts w:eastAsia="Calibri"/>
                <w:sz w:val="20"/>
                <w:lang w:val="fr-CA"/>
              </w:rPr>
            </w:pPr>
          </w:p>
        </w:tc>
      </w:tr>
      <w:tr w:rsidR="002F170A" w:rsidRPr="00225EDC" w:rsidTr="00347C73">
        <w:tc>
          <w:tcPr>
            <w:tcW w:w="5000" w:type="pct"/>
            <w:gridSpan w:val="3"/>
          </w:tcPr>
          <w:p w:rsidR="002F170A" w:rsidRPr="003C6CEA" w:rsidRDefault="002F170A" w:rsidP="00347C73">
            <w:pPr>
              <w:jc w:val="both"/>
              <w:rPr>
                <w:rFonts w:eastAsia="Calibri"/>
                <w:sz w:val="20"/>
                <w:lang w:val="fr-CA"/>
              </w:rPr>
            </w:pPr>
            <w:r w:rsidRPr="003C6CEA">
              <w:rPr>
                <w:rFonts w:eastAsia="Calibri"/>
                <w:sz w:val="20"/>
                <w:lang w:val="fr-CA"/>
              </w:rPr>
              <w:t xml:space="preserve">L’intimée, Lemare Lake Logging Ltd. (« Lemare Lake »), une créancière garantie, a présenté une demande pour que tribunal nomme un séquestre et un gérant de l’actif, à l’exclusion du bétail, contre un débiteur, en application du par. 243(1) de la </w:t>
            </w:r>
            <w:r w:rsidRPr="003C6CEA">
              <w:rPr>
                <w:rFonts w:eastAsia="Calibri"/>
                <w:i/>
                <w:sz w:val="20"/>
                <w:lang w:val="fr-CA"/>
              </w:rPr>
              <w:t>Loi sur la faillite et l’insolvabilité</w:t>
            </w:r>
            <w:r w:rsidRPr="003C6CEA">
              <w:rPr>
                <w:rFonts w:eastAsia="Calibri"/>
                <w:sz w:val="20"/>
                <w:lang w:val="fr-CA"/>
              </w:rPr>
              <w:t>, L.R.C. 1985, ch. B-3 (« </w:t>
            </w:r>
            <w:r w:rsidRPr="003C6CEA">
              <w:rPr>
                <w:rFonts w:eastAsia="Calibri"/>
                <w:i/>
                <w:sz w:val="20"/>
                <w:lang w:val="fr-CA"/>
              </w:rPr>
              <w:t>LFI</w:t>
            </w:r>
            <w:r w:rsidRPr="003C6CEA">
              <w:rPr>
                <w:rFonts w:eastAsia="Calibri"/>
                <w:sz w:val="20"/>
                <w:lang w:val="fr-CA"/>
              </w:rPr>
              <w:t> »).  Le débiteur, un agriculteur (« </w:t>
            </w:r>
            <w:r w:rsidRPr="003C6CEA">
              <w:rPr>
                <w:rFonts w:eastAsia="Calibri"/>
                <w:i/>
                <w:sz w:val="20"/>
                <w:lang w:val="fr-CA"/>
              </w:rPr>
              <w:t>farmer </w:t>
            </w:r>
            <w:r w:rsidRPr="003C6CEA">
              <w:rPr>
                <w:rFonts w:eastAsia="Calibri"/>
                <w:sz w:val="20"/>
                <w:lang w:val="fr-CA"/>
              </w:rPr>
              <w:t xml:space="preserve">») au sens de la </w:t>
            </w:r>
            <w:r w:rsidRPr="003C6CEA">
              <w:rPr>
                <w:rFonts w:eastAsia="Calibri"/>
                <w:i/>
                <w:sz w:val="20"/>
                <w:lang w:val="fr-CA"/>
              </w:rPr>
              <w:t>Saskatchewan Farm Security Act</w:t>
            </w:r>
            <w:r w:rsidRPr="003C6CEA">
              <w:rPr>
                <w:rFonts w:eastAsia="Calibri"/>
                <w:sz w:val="20"/>
                <w:lang w:val="fr-CA"/>
              </w:rPr>
              <w:t>, S.S. 1988-89, ch. S-17 (« </w:t>
            </w:r>
            <w:r w:rsidRPr="003C6CEA">
              <w:rPr>
                <w:rFonts w:eastAsia="Calibri"/>
                <w:i/>
                <w:sz w:val="20"/>
                <w:lang w:val="fr-CA"/>
              </w:rPr>
              <w:t>SFSA</w:t>
            </w:r>
            <w:r w:rsidRPr="003C6CEA">
              <w:rPr>
                <w:rFonts w:eastAsia="Calibri"/>
                <w:sz w:val="20"/>
                <w:lang w:val="fr-CA"/>
              </w:rPr>
              <w:t xml:space="preserve"> »), a soutenu que Lemare Lake devait d’abord se conformer à la Partie II de la </w:t>
            </w:r>
            <w:r w:rsidRPr="003C6CEA">
              <w:rPr>
                <w:rFonts w:eastAsia="Calibri"/>
                <w:i/>
                <w:sz w:val="20"/>
                <w:lang w:val="fr-CA"/>
              </w:rPr>
              <w:t>SFSA</w:t>
            </w:r>
            <w:r w:rsidRPr="003C6CEA">
              <w:rPr>
                <w:rFonts w:eastAsia="Calibri"/>
                <w:sz w:val="20"/>
                <w:lang w:val="fr-CA"/>
              </w:rPr>
              <w:t xml:space="preserve"> avant de demander la nomination d’un séquestre en application du par. 243(1) de la </w:t>
            </w:r>
            <w:r w:rsidRPr="003C6CEA">
              <w:rPr>
                <w:rFonts w:eastAsia="Calibri"/>
                <w:i/>
                <w:sz w:val="20"/>
                <w:lang w:val="fr-CA"/>
              </w:rPr>
              <w:t>LFI</w:t>
            </w:r>
            <w:r w:rsidRPr="003C6CEA">
              <w:rPr>
                <w:rFonts w:eastAsia="Calibri"/>
                <w:sz w:val="20"/>
                <w:lang w:val="fr-CA"/>
              </w:rPr>
              <w:t xml:space="preserve">.  Lemare Lake a plaidé que la doctrine de la prépondérance des lois fédérales rendait inopérantes les dispositions pertinentes de la </w:t>
            </w:r>
            <w:r w:rsidRPr="003C6CEA">
              <w:rPr>
                <w:rFonts w:eastAsia="Calibri"/>
                <w:i/>
                <w:sz w:val="20"/>
                <w:lang w:val="fr-CA"/>
              </w:rPr>
              <w:t>SFSA</w:t>
            </w:r>
            <w:r w:rsidRPr="003C6CEA">
              <w:rPr>
                <w:rFonts w:eastAsia="Calibri"/>
                <w:sz w:val="20"/>
                <w:lang w:val="fr-CA"/>
              </w:rPr>
              <w:t xml:space="preserve">.  Le demandeur, le procureur général de la Saskatchewan, est intervenu sur la question constitutionnelle en application de la </w:t>
            </w:r>
            <w:r w:rsidRPr="003C6CEA">
              <w:rPr>
                <w:rFonts w:eastAsia="Calibri"/>
                <w:i/>
                <w:sz w:val="20"/>
                <w:lang w:val="fr-CA"/>
              </w:rPr>
              <w:t>Constitutional Questions Act</w:t>
            </w:r>
            <w:r w:rsidRPr="003C6CEA">
              <w:rPr>
                <w:rFonts w:eastAsia="Calibri"/>
                <w:sz w:val="20"/>
                <w:lang w:val="fr-CA"/>
              </w:rPr>
              <w:t xml:space="preserve">, 2012, S.S. 2012, ch. 29.01.  La juge en son cabinet a rejeté la requête.  Elle a conclu qu’il n’y avait aucun conflit d’application entre les lois provinciales et fédérales et que la </w:t>
            </w:r>
            <w:r w:rsidRPr="003C6CEA">
              <w:rPr>
                <w:rFonts w:eastAsia="Calibri"/>
                <w:i/>
                <w:sz w:val="20"/>
                <w:lang w:val="fr-CA"/>
              </w:rPr>
              <w:t>SFSA</w:t>
            </w:r>
            <w:r w:rsidRPr="003C6CEA">
              <w:rPr>
                <w:rFonts w:eastAsia="Calibri"/>
                <w:sz w:val="20"/>
                <w:lang w:val="fr-CA"/>
              </w:rPr>
              <w:t xml:space="preserve"> n’était pas incompatible avec l’objet du par. 243(1) de la </w:t>
            </w:r>
            <w:r w:rsidRPr="003C6CEA">
              <w:rPr>
                <w:rFonts w:eastAsia="Calibri"/>
                <w:i/>
                <w:sz w:val="20"/>
                <w:lang w:val="fr-CA"/>
              </w:rPr>
              <w:t>LFI</w:t>
            </w:r>
            <w:r w:rsidRPr="003C6CEA">
              <w:rPr>
                <w:rFonts w:eastAsia="Calibri"/>
                <w:sz w:val="20"/>
                <w:lang w:val="fr-CA"/>
              </w:rPr>
              <w:t xml:space="preserve">, c’est-à-dire de permettre la nomination d’un séquestre national. De l’avis de la juge en son cabinet, la Partie II de la </w:t>
            </w:r>
            <w:r w:rsidRPr="003C6CEA">
              <w:rPr>
                <w:rFonts w:eastAsia="Calibri"/>
                <w:i/>
                <w:sz w:val="20"/>
                <w:lang w:val="fr-CA"/>
              </w:rPr>
              <w:t xml:space="preserve">SFSA </w:t>
            </w:r>
            <w:r w:rsidRPr="003C6CEA">
              <w:rPr>
                <w:rFonts w:eastAsia="Calibri"/>
                <w:sz w:val="20"/>
                <w:lang w:val="fr-CA"/>
              </w:rPr>
              <w:t xml:space="preserve">n’entravait pas la réalisation de cet objectif.  La juge a statué que dans l’hypothèse où elle avait tort, elle était néanmoins d’avis de rejeter la demande au motif que la procédure en forclusion était la réparation appropriée en l’espèce.  À son avis, il ne serait ni opportun ni juste de nommer un séquestre.  La Cour d’appel était également d’avis qu’il n’était pas approprié de nommer un séquestre et l’appel a été rejeté. Néanmoins, la Cour a traité la question constitutionnelle, concluant que la Partie II de la </w:t>
            </w:r>
            <w:r w:rsidRPr="003C6CEA">
              <w:rPr>
                <w:rFonts w:eastAsia="Calibri"/>
                <w:i/>
                <w:sz w:val="20"/>
                <w:lang w:val="fr-CA"/>
              </w:rPr>
              <w:t>SFSA</w:t>
            </w:r>
            <w:r w:rsidRPr="003C6CEA">
              <w:rPr>
                <w:rFonts w:eastAsia="Calibri"/>
                <w:sz w:val="20"/>
                <w:lang w:val="fr-CA"/>
              </w:rPr>
              <w:t xml:space="preserve"> était inopérante en vertu de la doctrine de la prépondérance des lois fédérales. </w:t>
            </w:r>
          </w:p>
          <w:p w:rsidR="002F170A" w:rsidRPr="003C6CEA" w:rsidRDefault="002F170A" w:rsidP="00347C73">
            <w:pPr>
              <w:jc w:val="both"/>
              <w:rPr>
                <w:rFonts w:eastAsia="Calibri"/>
                <w:sz w:val="20"/>
                <w:lang w:val="fr-CA"/>
              </w:rPr>
            </w:pP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lastRenderedPageBreak/>
              <w:t>19 juillet 2013</w:t>
            </w:r>
          </w:p>
          <w:p w:rsidR="002F170A" w:rsidRPr="003C6CEA" w:rsidRDefault="002F170A" w:rsidP="00347C73">
            <w:pPr>
              <w:jc w:val="both"/>
              <w:rPr>
                <w:rFonts w:eastAsia="Calibri"/>
                <w:sz w:val="20"/>
                <w:lang w:val="fr-CA"/>
              </w:rPr>
            </w:pPr>
            <w:r w:rsidRPr="003C6CEA">
              <w:rPr>
                <w:rFonts w:eastAsia="Calibri"/>
                <w:sz w:val="20"/>
                <w:lang w:val="fr-CA"/>
              </w:rPr>
              <w:t>Cour du Banc de la Reine de la Saskatchewan</w:t>
            </w:r>
          </w:p>
          <w:p w:rsidR="002F170A" w:rsidRPr="003C6CEA" w:rsidRDefault="002F170A" w:rsidP="00347C73">
            <w:pPr>
              <w:jc w:val="both"/>
              <w:rPr>
                <w:rFonts w:eastAsia="Calibri"/>
                <w:sz w:val="20"/>
                <w:lang w:val="fr-CA"/>
              </w:rPr>
            </w:pPr>
            <w:r w:rsidRPr="003C6CEA">
              <w:rPr>
                <w:rFonts w:eastAsia="Calibri"/>
                <w:sz w:val="20"/>
                <w:lang w:val="fr-CA"/>
              </w:rPr>
              <w:t>(Juge Rothery)</w:t>
            </w:r>
          </w:p>
          <w:p w:rsidR="002F170A" w:rsidRPr="003C6CEA" w:rsidRDefault="00215143" w:rsidP="00347C73">
            <w:pPr>
              <w:jc w:val="both"/>
              <w:rPr>
                <w:rFonts w:eastAsia="Calibri"/>
                <w:sz w:val="20"/>
                <w:lang w:val="fr-CA"/>
              </w:rPr>
            </w:pPr>
            <w:hyperlink r:id="rId81" w:history="1">
              <w:r w:rsidR="002F170A" w:rsidRPr="003C6CEA">
                <w:rPr>
                  <w:rFonts w:eastAsia="Calibri"/>
                  <w:color w:val="0000FF"/>
                  <w:sz w:val="20"/>
                  <w:u w:val="single"/>
                  <w:lang w:val="fr-CA"/>
                </w:rPr>
                <w:t>2013 SKQB 278</w:t>
              </w:r>
            </w:hyperlink>
          </w:p>
          <w:p w:rsidR="002F170A" w:rsidRPr="003C6CEA" w:rsidRDefault="002F170A" w:rsidP="00347C73">
            <w:pPr>
              <w:jc w:val="both"/>
              <w:rPr>
                <w:rFonts w:eastAsia="Calibri"/>
                <w:sz w:val="20"/>
                <w:lang w:val="fr-CA"/>
              </w:rPr>
            </w:pP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 xml:space="preserve">Demande de l’intimée en application du par. 243(1) de la </w:t>
            </w:r>
            <w:r w:rsidRPr="003C6CEA">
              <w:rPr>
                <w:rFonts w:eastAsia="Calibri"/>
                <w:i/>
                <w:sz w:val="20"/>
                <w:lang w:val="fr-CA"/>
              </w:rPr>
              <w:t>Loi sur la faillite et l’insolvabilité</w:t>
            </w:r>
            <w:r w:rsidRPr="003C6CEA">
              <w:rPr>
                <w:rFonts w:eastAsia="Calibri"/>
                <w:sz w:val="20"/>
                <w:lang w:val="fr-CA"/>
              </w:rPr>
              <w:t>, L.R.C. 1985, ch. B-3, en vue de la nomination d’un séquestre, rejetée</w:t>
            </w:r>
          </w:p>
          <w:p w:rsidR="002F170A" w:rsidRPr="003C6CEA" w:rsidRDefault="002F170A" w:rsidP="00347C73">
            <w:pPr>
              <w:jc w:val="both"/>
              <w:rPr>
                <w:rFonts w:eastAsia="Calibri"/>
                <w:sz w:val="20"/>
                <w:lang w:val="fr-CA"/>
              </w:rPr>
            </w:pPr>
          </w:p>
        </w:tc>
      </w:tr>
      <w:tr w:rsidR="002F170A" w:rsidRPr="00225EDC"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t>1</w:t>
            </w:r>
            <w:r w:rsidRPr="003C6CEA">
              <w:rPr>
                <w:rFonts w:eastAsia="Calibri"/>
                <w:sz w:val="20"/>
                <w:vertAlign w:val="superscript"/>
                <w:lang w:val="fr-CA"/>
              </w:rPr>
              <w:t>er</w:t>
            </w:r>
            <w:r w:rsidRPr="003C6CEA">
              <w:rPr>
                <w:rFonts w:eastAsia="Calibri"/>
                <w:sz w:val="20"/>
                <w:lang w:val="fr-CA"/>
              </w:rPr>
              <w:t xml:space="preserve"> avril 2014</w:t>
            </w:r>
          </w:p>
          <w:p w:rsidR="002F170A" w:rsidRPr="003C6CEA" w:rsidRDefault="002F170A" w:rsidP="00347C73">
            <w:pPr>
              <w:jc w:val="both"/>
              <w:rPr>
                <w:rFonts w:eastAsia="Calibri"/>
                <w:sz w:val="20"/>
                <w:lang w:val="fr-CA"/>
              </w:rPr>
            </w:pPr>
            <w:r w:rsidRPr="003C6CEA">
              <w:rPr>
                <w:rFonts w:eastAsia="Calibri"/>
                <w:sz w:val="20"/>
                <w:lang w:val="fr-CA"/>
              </w:rPr>
              <w:t>Cour d’appel de la Saskatchewan</w:t>
            </w:r>
          </w:p>
          <w:p w:rsidR="002F170A" w:rsidRPr="003C6CEA" w:rsidRDefault="002F170A" w:rsidP="00347C73">
            <w:pPr>
              <w:jc w:val="both"/>
              <w:rPr>
                <w:rFonts w:eastAsia="Calibri"/>
                <w:sz w:val="20"/>
                <w:lang w:val="fr-CA"/>
              </w:rPr>
            </w:pPr>
            <w:r w:rsidRPr="003C6CEA">
              <w:rPr>
                <w:rFonts w:eastAsia="Calibri"/>
                <w:sz w:val="20"/>
                <w:lang w:val="fr-CA"/>
              </w:rPr>
              <w:t>(Juge en chef Richards, juges Ottenbreit et Whitmore)</w:t>
            </w:r>
          </w:p>
          <w:p w:rsidR="002F170A" w:rsidRPr="003C6CEA" w:rsidRDefault="002F170A" w:rsidP="00347C73">
            <w:pPr>
              <w:jc w:val="both"/>
              <w:rPr>
                <w:rFonts w:eastAsia="Calibri"/>
                <w:sz w:val="20"/>
                <w:lang w:val="fr-CA"/>
              </w:rPr>
            </w:pPr>
            <w:r w:rsidRPr="003C6CEA">
              <w:rPr>
                <w:rFonts w:eastAsia="Calibri"/>
                <w:sz w:val="20"/>
                <w:lang w:val="fr-CA"/>
              </w:rPr>
              <w:t>CACV2443</w:t>
            </w:r>
          </w:p>
          <w:p w:rsidR="002F170A" w:rsidRPr="003C6CEA" w:rsidRDefault="00215143" w:rsidP="00347C73">
            <w:pPr>
              <w:jc w:val="both"/>
              <w:rPr>
                <w:rFonts w:eastAsia="Calibri"/>
                <w:sz w:val="20"/>
                <w:lang w:val="fr-CA"/>
              </w:rPr>
            </w:pPr>
            <w:hyperlink r:id="rId82" w:history="1">
              <w:r w:rsidR="002F170A" w:rsidRPr="003C6CEA">
                <w:rPr>
                  <w:rFonts w:eastAsia="Calibri"/>
                  <w:color w:val="0000FF"/>
                  <w:sz w:val="20"/>
                  <w:u w:val="single"/>
                  <w:lang w:val="fr-CA"/>
                </w:rPr>
                <w:t>2014 SKCA 35</w:t>
              </w:r>
            </w:hyperlink>
          </w:p>
          <w:p w:rsidR="002F170A" w:rsidRPr="003C6CEA" w:rsidRDefault="002F170A" w:rsidP="00347C73">
            <w:pPr>
              <w:jc w:val="both"/>
              <w:rPr>
                <w:rFonts w:eastAsia="Calibri"/>
                <w:sz w:val="20"/>
                <w:lang w:val="fr-CA"/>
              </w:rPr>
            </w:pP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 xml:space="preserve">Appel rejeté; la Partie II de la </w:t>
            </w:r>
            <w:r w:rsidRPr="003C6CEA">
              <w:rPr>
                <w:rFonts w:eastAsia="Calibri"/>
                <w:i/>
                <w:sz w:val="20"/>
                <w:lang w:val="fr-CA"/>
              </w:rPr>
              <w:t>Saskatchewan Farm Security Act</w:t>
            </w:r>
            <w:r w:rsidRPr="003C6CEA">
              <w:rPr>
                <w:rFonts w:eastAsia="Calibri"/>
                <w:sz w:val="20"/>
                <w:lang w:val="fr-CA"/>
              </w:rPr>
              <w:t xml:space="preserve">, S.S. 1988-89, ch. S-17, est déclarée inopérante en vertu de la doctrine de la prépondérance des lois fédérales </w:t>
            </w:r>
          </w:p>
          <w:p w:rsidR="002F170A" w:rsidRPr="003C6CEA" w:rsidRDefault="002F170A" w:rsidP="00347C73">
            <w:pPr>
              <w:jc w:val="both"/>
              <w:rPr>
                <w:rFonts w:eastAsia="Calibri"/>
                <w:sz w:val="20"/>
                <w:lang w:val="fr-CA"/>
              </w:rPr>
            </w:pPr>
          </w:p>
        </w:tc>
      </w:tr>
      <w:tr w:rsidR="002F170A" w:rsidRPr="003C6CEA" w:rsidTr="00347C73">
        <w:tc>
          <w:tcPr>
            <w:tcW w:w="2427" w:type="pct"/>
          </w:tcPr>
          <w:p w:rsidR="002F170A" w:rsidRPr="003C6CEA" w:rsidRDefault="002F170A" w:rsidP="00347C73">
            <w:pPr>
              <w:jc w:val="both"/>
              <w:rPr>
                <w:rFonts w:eastAsia="Calibri"/>
                <w:sz w:val="20"/>
                <w:lang w:val="fr-CA"/>
              </w:rPr>
            </w:pPr>
            <w:r w:rsidRPr="003C6CEA">
              <w:rPr>
                <w:rFonts w:eastAsia="Calibri"/>
                <w:sz w:val="20"/>
                <w:lang w:val="fr-CA"/>
              </w:rPr>
              <w:t>2 juin 2014</w:t>
            </w:r>
          </w:p>
          <w:p w:rsidR="002F170A" w:rsidRPr="003C6CEA" w:rsidRDefault="002F170A" w:rsidP="00347C73">
            <w:pPr>
              <w:jc w:val="both"/>
              <w:rPr>
                <w:rFonts w:eastAsia="Calibri"/>
                <w:sz w:val="20"/>
                <w:lang w:val="fr-CA"/>
              </w:rPr>
            </w:pPr>
            <w:r w:rsidRPr="003C6CEA">
              <w:rPr>
                <w:rFonts w:eastAsia="Calibri"/>
                <w:sz w:val="20"/>
                <w:lang w:val="fr-CA"/>
              </w:rPr>
              <w:t>Cour suprême du Canada</w:t>
            </w:r>
          </w:p>
        </w:tc>
        <w:tc>
          <w:tcPr>
            <w:tcW w:w="243" w:type="pct"/>
          </w:tcPr>
          <w:p w:rsidR="002F170A" w:rsidRPr="003C6CEA" w:rsidRDefault="002F170A" w:rsidP="00347C73">
            <w:pPr>
              <w:jc w:val="both"/>
              <w:rPr>
                <w:rFonts w:eastAsia="Calibri"/>
                <w:sz w:val="20"/>
                <w:lang w:val="fr-CA"/>
              </w:rPr>
            </w:pPr>
          </w:p>
        </w:tc>
        <w:tc>
          <w:tcPr>
            <w:tcW w:w="2330" w:type="pct"/>
          </w:tcPr>
          <w:p w:rsidR="002F170A" w:rsidRPr="003C6CEA" w:rsidRDefault="002F170A" w:rsidP="00347C73">
            <w:pPr>
              <w:jc w:val="both"/>
              <w:rPr>
                <w:rFonts w:eastAsia="Calibri"/>
                <w:sz w:val="20"/>
                <w:lang w:val="fr-CA"/>
              </w:rPr>
            </w:pPr>
            <w:r w:rsidRPr="003C6CEA">
              <w:rPr>
                <w:rFonts w:eastAsia="Calibri"/>
                <w:sz w:val="20"/>
                <w:lang w:val="fr-CA"/>
              </w:rPr>
              <w:t>Demande d’autorisation d’appel, déposée</w:t>
            </w: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74"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59A6" w:rsidRPr="0020097A" w:rsidTr="00A43C58">
        <w:trPr>
          <w:cantSplit/>
        </w:trPr>
        <w:tc>
          <w:tcPr>
            <w:tcW w:w="1458" w:type="dxa"/>
          </w:tcPr>
          <w:p w:rsidR="008359A6" w:rsidRPr="0020097A" w:rsidRDefault="008359A6" w:rsidP="00A43C58">
            <w:pPr>
              <w:rPr>
                <w:sz w:val="20"/>
                <w:szCs w:val="20"/>
              </w:rPr>
            </w:pPr>
            <w:r w:rsidRPr="0020097A">
              <w:rPr>
                <w:rStyle w:val="SCCFileNumberChar"/>
                <w:sz w:val="20"/>
                <w:szCs w:val="20"/>
              </w:rPr>
              <w:t>35925</w:t>
            </w:r>
          </w:p>
          <w:p w:rsidR="008359A6" w:rsidRPr="0020097A" w:rsidRDefault="008359A6" w:rsidP="00A43C58">
            <w:pPr>
              <w:rPr>
                <w:b/>
                <w:sz w:val="20"/>
                <w:szCs w:val="20"/>
                <w:lang w:val="fr-CA"/>
              </w:rPr>
            </w:pPr>
          </w:p>
        </w:tc>
        <w:tc>
          <w:tcPr>
            <w:tcW w:w="8118" w:type="dxa"/>
          </w:tcPr>
          <w:p w:rsidR="008359A6" w:rsidRPr="0020097A" w:rsidRDefault="008359A6" w:rsidP="00A43C58">
            <w:pPr>
              <w:rPr>
                <w:sz w:val="20"/>
                <w:szCs w:val="20"/>
              </w:rPr>
            </w:pPr>
            <w:r w:rsidRPr="0020097A">
              <w:rPr>
                <w:rStyle w:val="SCCLsocChar"/>
                <w:sz w:val="20"/>
                <w:szCs w:val="20"/>
                <w:lang w:val="en-CA"/>
              </w:rPr>
              <w:t>Her Majesty the Queen v. J.P.</w:t>
            </w:r>
            <w:r w:rsidRPr="0020097A">
              <w:rPr>
                <w:sz w:val="20"/>
                <w:szCs w:val="20"/>
              </w:rPr>
              <w:t xml:space="preserve"> (N.S.) (Criminal) (By Leave)</w:t>
            </w:r>
          </w:p>
          <w:p w:rsidR="008359A6" w:rsidRPr="0020097A" w:rsidRDefault="008359A6" w:rsidP="00A43C58">
            <w:pPr>
              <w:rPr>
                <w:sz w:val="20"/>
                <w:szCs w:val="20"/>
              </w:rPr>
            </w:pPr>
          </w:p>
        </w:tc>
      </w:tr>
      <w:tr w:rsidR="008359A6" w:rsidRPr="0020097A" w:rsidTr="00A43C58">
        <w:trPr>
          <w:cantSplit/>
        </w:trPr>
        <w:tc>
          <w:tcPr>
            <w:tcW w:w="1458" w:type="dxa"/>
          </w:tcPr>
          <w:p w:rsidR="008359A6" w:rsidRPr="0020097A" w:rsidRDefault="008359A6" w:rsidP="00A43C58">
            <w:pPr>
              <w:rPr>
                <w:sz w:val="20"/>
                <w:szCs w:val="20"/>
              </w:rPr>
            </w:pPr>
            <w:r w:rsidRPr="0020097A">
              <w:rPr>
                <w:sz w:val="20"/>
                <w:szCs w:val="20"/>
              </w:rPr>
              <w:t>Coram :</w:t>
            </w:r>
          </w:p>
        </w:tc>
        <w:tc>
          <w:tcPr>
            <w:tcW w:w="8118" w:type="dxa"/>
          </w:tcPr>
          <w:p w:rsidR="008359A6" w:rsidRPr="0020097A" w:rsidRDefault="008359A6" w:rsidP="00A43C58">
            <w:pPr>
              <w:rPr>
                <w:sz w:val="20"/>
                <w:szCs w:val="20"/>
              </w:rPr>
            </w:pPr>
            <w:r w:rsidRPr="0020097A">
              <w:rPr>
                <w:rStyle w:val="SCCCoramChar"/>
                <w:sz w:val="20"/>
                <w:szCs w:val="20"/>
                <w:lang w:val="en-CA"/>
              </w:rPr>
              <w:t>Abella, Rothstein and Moldaver JJ.</w:t>
            </w:r>
          </w:p>
          <w:p w:rsidR="008359A6" w:rsidRPr="0020097A" w:rsidRDefault="008359A6" w:rsidP="00A43C58">
            <w:pPr>
              <w:rPr>
                <w:sz w:val="20"/>
                <w:szCs w:val="20"/>
                <w:u w:val="single"/>
              </w:rPr>
            </w:pPr>
          </w:p>
        </w:tc>
      </w:tr>
      <w:tr w:rsidR="008359A6" w:rsidRPr="00225EDC" w:rsidTr="00A43C58">
        <w:trPr>
          <w:cantSplit/>
        </w:trPr>
        <w:tc>
          <w:tcPr>
            <w:tcW w:w="9576" w:type="dxa"/>
            <w:gridSpan w:val="2"/>
          </w:tcPr>
          <w:p w:rsidR="008359A6" w:rsidRPr="0020097A" w:rsidRDefault="008359A6" w:rsidP="00A43C58">
            <w:pPr>
              <w:pStyle w:val="SCCShortJudgment"/>
              <w:rPr>
                <w:szCs w:val="20"/>
              </w:rPr>
            </w:pPr>
            <w:r w:rsidRPr="0020097A">
              <w:rPr>
                <w:szCs w:val="20"/>
              </w:rPr>
              <w:t>The motion for an extension of time to serve and file the application for leave to appeal is granted. The application for leave to appeal from the judgment of the Nova Scotia Court of Appeal, Number CAC 412682,  2014 NSCA 29, dated March 25, 2014, is dismissed without costs.</w:t>
            </w:r>
          </w:p>
          <w:p w:rsidR="008359A6" w:rsidRPr="0020097A" w:rsidRDefault="008359A6" w:rsidP="00A43C58">
            <w:pPr>
              <w:pStyle w:val="SCCShortJudgment"/>
              <w:ind w:firstLine="0"/>
              <w:rPr>
                <w:szCs w:val="20"/>
              </w:rPr>
            </w:pPr>
          </w:p>
          <w:p w:rsidR="008359A6" w:rsidRPr="0020097A" w:rsidRDefault="008359A6" w:rsidP="00A43C58">
            <w:pPr>
              <w:pStyle w:val="SCCShortJudgment"/>
              <w:rPr>
                <w:szCs w:val="20"/>
                <w:lang w:val="fr-CA"/>
              </w:rPr>
            </w:pPr>
            <w:r w:rsidRPr="0020097A">
              <w:rPr>
                <w:szCs w:val="20"/>
                <w:lang w:val="fr-CA"/>
              </w:rPr>
              <w:t>La requête en prorogation du délai de signification et de dépôt de la demande d’autorisation d’appel est accueillie. La demande d’autorisation d’appel de l’arrêt de la Cour d’appel de la Nouvelle-Écosse, numéro CAC 412682,  2014 NSCA 29, daté du 25 mars 2014, est rejetée sans dépens.</w:t>
            </w:r>
          </w:p>
        </w:tc>
      </w:tr>
    </w:tbl>
    <w:p w:rsidR="00402B2C" w:rsidRPr="008359A6"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717"/>
        <w:gridCol w:w="351"/>
        <w:gridCol w:w="4459"/>
      </w:tblGrid>
      <w:tr w:rsidR="00B25972" w:rsidRPr="003C6CEA" w:rsidTr="00347C73">
        <w:tc>
          <w:tcPr>
            <w:tcW w:w="5000" w:type="pct"/>
            <w:gridSpan w:val="3"/>
          </w:tcPr>
          <w:p w:rsidR="00B25972" w:rsidRPr="003C6CEA" w:rsidRDefault="00B25972" w:rsidP="00347C73">
            <w:pPr>
              <w:jc w:val="both"/>
              <w:rPr>
                <w:rFonts w:eastAsia="Calibri"/>
                <w:smallCaps/>
                <w:sz w:val="20"/>
              </w:rPr>
            </w:pPr>
            <w:r w:rsidRPr="003C6CEA">
              <w:rPr>
                <w:rFonts w:eastAsia="Calibri"/>
                <w:smallCaps/>
                <w:sz w:val="20"/>
              </w:rPr>
              <w:t xml:space="preserve">(Publication </w:t>
            </w:r>
            <w:r>
              <w:rPr>
                <w:rFonts w:eastAsia="Calibri"/>
                <w:smallCaps/>
                <w:sz w:val="20"/>
              </w:rPr>
              <w:t>B</w:t>
            </w:r>
            <w:r w:rsidRPr="003C6CEA">
              <w:rPr>
                <w:rFonts w:eastAsia="Calibri"/>
                <w:smallCaps/>
                <w:sz w:val="20"/>
              </w:rPr>
              <w:t xml:space="preserve">an in </w:t>
            </w:r>
            <w:r>
              <w:rPr>
                <w:rFonts w:eastAsia="Calibri"/>
                <w:smallCaps/>
                <w:sz w:val="20"/>
              </w:rPr>
              <w:t>C</w:t>
            </w:r>
            <w:r w:rsidRPr="003C6CEA">
              <w:rPr>
                <w:rFonts w:eastAsia="Calibri"/>
                <w:smallCaps/>
                <w:sz w:val="20"/>
              </w:rPr>
              <w:t xml:space="preserve">ase) (Publication </w:t>
            </w:r>
            <w:r>
              <w:rPr>
                <w:rFonts w:eastAsia="Calibri"/>
                <w:smallCaps/>
                <w:sz w:val="20"/>
              </w:rPr>
              <w:t>B</w:t>
            </w:r>
            <w:r w:rsidRPr="003C6CEA">
              <w:rPr>
                <w:rFonts w:eastAsia="Calibri"/>
                <w:smallCaps/>
                <w:sz w:val="20"/>
              </w:rPr>
              <w:t xml:space="preserve">an on </w:t>
            </w:r>
            <w:r>
              <w:rPr>
                <w:rFonts w:eastAsia="Calibri"/>
                <w:smallCaps/>
                <w:sz w:val="20"/>
              </w:rPr>
              <w:t>P</w:t>
            </w:r>
            <w:r w:rsidRPr="003C6CEA">
              <w:rPr>
                <w:rFonts w:eastAsia="Calibri"/>
                <w:smallCaps/>
                <w:sz w:val="20"/>
              </w:rPr>
              <w:t>arty)</w:t>
            </w:r>
          </w:p>
          <w:p w:rsidR="00B25972" w:rsidRPr="003C6CEA" w:rsidRDefault="00B25972" w:rsidP="00347C73">
            <w:pPr>
              <w:jc w:val="both"/>
              <w:rPr>
                <w:rFonts w:eastAsia="Calibri"/>
                <w:sz w:val="20"/>
              </w:rPr>
            </w:pPr>
          </w:p>
          <w:p w:rsidR="00B25972" w:rsidRPr="003C6CEA" w:rsidRDefault="00B25972" w:rsidP="00347C73">
            <w:pPr>
              <w:jc w:val="both"/>
              <w:rPr>
                <w:sz w:val="20"/>
                <w:lang w:eastAsia="en-CA"/>
              </w:rPr>
            </w:pPr>
            <w:r w:rsidRPr="003C6CEA">
              <w:rPr>
                <w:sz w:val="20"/>
                <w:lang w:eastAsia="en-CA"/>
              </w:rPr>
              <w:t xml:space="preserve">Criminal Law – Evidence – Accused person’s testimony – Whether Court of Appeal erred in law by extending and misapplying the principle whereby an inference of consciousness of guilt is unavailable merely from the fact that a judge or jury has disbelieved exculpatory evidence from an accused person – Whether this principle was extended so as to require a consideration of all elements of an accused person’s testimony separately, so that disbelief of an accused person’s exculpatory evidence on any number of elements of his or her testimony could not be used to evaluate credibility with respect to the other elements of the accused person’s testimony. </w:t>
            </w:r>
          </w:p>
        </w:tc>
      </w:tr>
      <w:tr w:rsidR="00B25972" w:rsidRPr="003C6CEA" w:rsidTr="00347C73">
        <w:tc>
          <w:tcPr>
            <w:tcW w:w="5000" w:type="pct"/>
            <w:gridSpan w:val="3"/>
          </w:tcPr>
          <w:p w:rsidR="00B25972" w:rsidRPr="003C6CEA" w:rsidRDefault="00B25972" w:rsidP="00347C73">
            <w:pPr>
              <w:jc w:val="both"/>
              <w:rPr>
                <w:rFonts w:eastAsia="Calibri"/>
                <w:sz w:val="20"/>
              </w:rPr>
            </w:pPr>
          </w:p>
        </w:tc>
      </w:tr>
      <w:tr w:rsidR="00B25972" w:rsidRPr="003C6CEA" w:rsidTr="00347C73">
        <w:trPr>
          <w:trHeight w:val="576"/>
        </w:trPr>
        <w:tc>
          <w:tcPr>
            <w:tcW w:w="5000" w:type="pct"/>
            <w:gridSpan w:val="3"/>
          </w:tcPr>
          <w:p w:rsidR="00B25972" w:rsidRPr="003C6CEA" w:rsidRDefault="00B25972" w:rsidP="00347C73">
            <w:pPr>
              <w:jc w:val="both"/>
              <w:rPr>
                <w:rFonts w:eastAsia="Calibri"/>
                <w:sz w:val="20"/>
              </w:rPr>
            </w:pPr>
            <w:r w:rsidRPr="003C6CEA">
              <w:rPr>
                <w:rFonts w:eastAsia="Calibri"/>
                <w:sz w:val="20"/>
              </w:rPr>
              <w:t xml:space="preserve">In 2010, the complainant alleged that J.P., between 1994 and 2000 when she was 6 to 12 years old, engaged her in sexual misconduct.  J.P. was convicted of sexual assault, touching a person under the age of 14 for a sexual purpose, and inviting a person under the age of 14 to touch his penis for a sexual purpose.  The complainant </w:t>
            </w:r>
            <w:r w:rsidRPr="003C6CEA">
              <w:rPr>
                <w:rFonts w:eastAsia="Calibri"/>
                <w:color w:val="000000"/>
                <w:sz w:val="20"/>
              </w:rPr>
              <w:t xml:space="preserve">testified that the misconduct occurred usually twice a week when J.P. visited her grandparent’s house where she lived.  In a den of the house, </w:t>
            </w:r>
            <w:r w:rsidRPr="003C6CEA">
              <w:rPr>
                <w:rFonts w:eastAsia="Calibri"/>
                <w:sz w:val="20"/>
              </w:rPr>
              <w:t xml:space="preserve">J.P. kissed her and inserted his tongue into her mouth.  He took her alone in his car to a cemetery on trips to a Tim Hortons and he touched her sexually while she sat in his lap and pretended to drive the car.  Once in the den, he exposed his penis and asked her to touch it.  J.P. testified and denied the allegations.  He denied opportunity.  The defence led evidence that the </w:t>
            </w:r>
            <w:r w:rsidRPr="003C6CEA">
              <w:rPr>
                <w:rFonts w:eastAsia="Calibri"/>
                <w:color w:val="000000"/>
                <w:sz w:val="20"/>
              </w:rPr>
              <w:t xml:space="preserve">cemetery was inaccessible in winter and the den was open to view, arguing it was not possible to commit the alleged misconduct.  There were </w:t>
            </w:r>
            <w:r w:rsidRPr="003C6CEA">
              <w:rPr>
                <w:rFonts w:eastAsia="Calibri"/>
                <w:sz w:val="20"/>
              </w:rPr>
              <w:t xml:space="preserve">inconsistencies and omissions in the complainant’s testimony. </w:t>
            </w:r>
          </w:p>
          <w:p w:rsidR="00B25972" w:rsidRPr="003C6CEA" w:rsidRDefault="00B25972" w:rsidP="00347C73">
            <w:pPr>
              <w:jc w:val="both"/>
              <w:rPr>
                <w:rFonts w:eastAsia="Calibri"/>
                <w:sz w:val="20"/>
              </w:rPr>
            </w:pPr>
          </w:p>
        </w:tc>
      </w:tr>
      <w:tr w:rsidR="00B25972" w:rsidRPr="003C6CEA" w:rsidTr="00347C73">
        <w:tblPrEx>
          <w:tblCellMar>
            <w:bottom w:w="0" w:type="dxa"/>
          </w:tblCellMar>
        </w:tblPrEx>
        <w:tc>
          <w:tcPr>
            <w:tcW w:w="2476" w:type="pct"/>
          </w:tcPr>
          <w:p w:rsidR="00B25972" w:rsidRPr="003C6CEA" w:rsidRDefault="00B25972" w:rsidP="00347C73">
            <w:pPr>
              <w:jc w:val="both"/>
              <w:rPr>
                <w:rFonts w:eastAsia="Calibri"/>
                <w:sz w:val="20"/>
              </w:rPr>
            </w:pPr>
            <w:r w:rsidRPr="003C6CEA">
              <w:rPr>
                <w:rFonts w:eastAsia="Calibri"/>
                <w:sz w:val="20"/>
              </w:rPr>
              <w:lastRenderedPageBreak/>
              <w:t>August 20, 2012</w:t>
            </w:r>
          </w:p>
          <w:p w:rsidR="00B25972" w:rsidRPr="003C6CEA" w:rsidRDefault="00B25972" w:rsidP="00347C73">
            <w:pPr>
              <w:jc w:val="both"/>
              <w:rPr>
                <w:rFonts w:eastAsia="Calibri"/>
                <w:sz w:val="20"/>
              </w:rPr>
            </w:pPr>
            <w:r w:rsidRPr="003C6CEA">
              <w:rPr>
                <w:rFonts w:eastAsia="Calibri"/>
                <w:sz w:val="20"/>
              </w:rPr>
              <w:t>Supreme Court of Nova Scotia, Trial Division</w:t>
            </w:r>
          </w:p>
          <w:p w:rsidR="00B25972" w:rsidRPr="003C6CEA" w:rsidRDefault="00B25972" w:rsidP="00347C73">
            <w:pPr>
              <w:jc w:val="both"/>
              <w:rPr>
                <w:rFonts w:eastAsia="Calibri"/>
                <w:sz w:val="20"/>
              </w:rPr>
            </w:pPr>
            <w:r w:rsidRPr="003C6CEA">
              <w:rPr>
                <w:rFonts w:eastAsia="Calibri"/>
                <w:sz w:val="20"/>
              </w:rPr>
              <w:t>(Murray J.)</w:t>
            </w:r>
          </w:p>
          <w:p w:rsidR="00B25972" w:rsidRPr="003C6CEA" w:rsidRDefault="00215143" w:rsidP="00347C73">
            <w:pPr>
              <w:jc w:val="both"/>
              <w:rPr>
                <w:rFonts w:eastAsia="Calibri"/>
                <w:sz w:val="20"/>
              </w:rPr>
            </w:pPr>
            <w:hyperlink r:id="rId83" w:history="1">
              <w:r w:rsidR="00B25972" w:rsidRPr="003C6CEA">
                <w:rPr>
                  <w:rFonts w:eastAsia="Calibri"/>
                  <w:color w:val="0000FF"/>
                  <w:sz w:val="20"/>
                  <w:u w:val="single"/>
                </w:rPr>
                <w:t>2012 NSSC 365</w:t>
              </w:r>
            </w:hyperlink>
          </w:p>
          <w:p w:rsidR="00B25972" w:rsidRPr="003C6CEA" w:rsidRDefault="00B25972" w:rsidP="00347C73">
            <w:pPr>
              <w:jc w:val="both"/>
              <w:rPr>
                <w:rFonts w:eastAsia="Calibri"/>
                <w:sz w:val="20"/>
              </w:rPr>
            </w:pPr>
          </w:p>
        </w:tc>
        <w:tc>
          <w:tcPr>
            <w:tcW w:w="184" w:type="pct"/>
          </w:tcPr>
          <w:p w:rsidR="00B25972" w:rsidRPr="003C6CEA" w:rsidRDefault="00B25972" w:rsidP="00347C73">
            <w:pPr>
              <w:jc w:val="both"/>
              <w:rPr>
                <w:rFonts w:eastAsia="Calibri"/>
                <w:sz w:val="20"/>
              </w:rPr>
            </w:pPr>
          </w:p>
        </w:tc>
        <w:tc>
          <w:tcPr>
            <w:tcW w:w="2340" w:type="pct"/>
          </w:tcPr>
          <w:p w:rsidR="00B25972" w:rsidRPr="003C6CEA" w:rsidRDefault="00B25972" w:rsidP="00347C73">
            <w:pPr>
              <w:jc w:val="both"/>
              <w:rPr>
                <w:rFonts w:eastAsia="Calibri"/>
                <w:sz w:val="20"/>
              </w:rPr>
            </w:pPr>
            <w:r w:rsidRPr="003C6CEA">
              <w:rPr>
                <w:rFonts w:eastAsia="Calibri"/>
                <w:sz w:val="20"/>
              </w:rPr>
              <w:t>Convictions: sexual assault, sexual touching, invitation to sexual touching</w:t>
            </w:r>
          </w:p>
        </w:tc>
      </w:tr>
      <w:tr w:rsidR="00B25972" w:rsidRPr="003C6CEA" w:rsidTr="00347C73">
        <w:tblPrEx>
          <w:tblCellMar>
            <w:bottom w:w="0" w:type="dxa"/>
          </w:tblCellMar>
        </w:tblPrEx>
        <w:tc>
          <w:tcPr>
            <w:tcW w:w="2476" w:type="pct"/>
          </w:tcPr>
          <w:p w:rsidR="00B25972" w:rsidRPr="003C6CEA" w:rsidRDefault="00B25972" w:rsidP="00347C73">
            <w:pPr>
              <w:jc w:val="both"/>
              <w:rPr>
                <w:rFonts w:eastAsia="Calibri"/>
                <w:sz w:val="20"/>
              </w:rPr>
            </w:pPr>
            <w:r w:rsidRPr="003C6CEA">
              <w:rPr>
                <w:rFonts w:eastAsia="Calibri"/>
                <w:sz w:val="20"/>
              </w:rPr>
              <w:t>March 25, 2014</w:t>
            </w:r>
          </w:p>
          <w:p w:rsidR="00B25972" w:rsidRPr="003C6CEA" w:rsidRDefault="00B25972" w:rsidP="00347C73">
            <w:pPr>
              <w:jc w:val="both"/>
              <w:rPr>
                <w:rFonts w:eastAsia="Calibri"/>
                <w:sz w:val="20"/>
              </w:rPr>
            </w:pPr>
            <w:r w:rsidRPr="003C6CEA">
              <w:rPr>
                <w:rFonts w:eastAsia="Calibri"/>
                <w:sz w:val="20"/>
              </w:rPr>
              <w:t>Nova Scotia Court of Appeal</w:t>
            </w:r>
          </w:p>
          <w:p w:rsidR="00B25972" w:rsidRPr="003C6CEA" w:rsidRDefault="00B25972" w:rsidP="00347C73">
            <w:pPr>
              <w:jc w:val="both"/>
              <w:rPr>
                <w:rFonts w:eastAsia="Calibri"/>
                <w:sz w:val="20"/>
              </w:rPr>
            </w:pPr>
            <w:r w:rsidRPr="003C6CEA">
              <w:rPr>
                <w:rFonts w:eastAsia="Calibri"/>
                <w:sz w:val="20"/>
              </w:rPr>
              <w:t>(Oland, Beveridge, Farrar JJ.A.)</w:t>
            </w:r>
          </w:p>
          <w:p w:rsidR="00B25972" w:rsidRPr="003C6CEA" w:rsidRDefault="00B25972" w:rsidP="00347C73">
            <w:pPr>
              <w:jc w:val="both"/>
              <w:rPr>
                <w:rFonts w:eastAsia="Calibri"/>
                <w:sz w:val="20"/>
              </w:rPr>
            </w:pPr>
            <w:r w:rsidRPr="003C6CEA">
              <w:rPr>
                <w:rFonts w:eastAsia="Calibri"/>
                <w:sz w:val="20"/>
              </w:rPr>
              <w:t xml:space="preserve">CAC 412682; </w:t>
            </w:r>
            <w:hyperlink r:id="rId84" w:history="1">
              <w:r w:rsidRPr="003C6CEA">
                <w:rPr>
                  <w:rFonts w:eastAsia="Calibri"/>
                  <w:color w:val="0000FF"/>
                  <w:sz w:val="20"/>
                  <w:u w:val="single"/>
                </w:rPr>
                <w:t>2014 NSCA 29</w:t>
              </w:r>
            </w:hyperlink>
          </w:p>
          <w:p w:rsidR="00B25972" w:rsidRPr="003C6CEA" w:rsidRDefault="00B25972" w:rsidP="00347C73">
            <w:pPr>
              <w:jc w:val="both"/>
              <w:rPr>
                <w:rFonts w:eastAsia="Calibri"/>
                <w:sz w:val="20"/>
              </w:rPr>
            </w:pPr>
          </w:p>
        </w:tc>
        <w:tc>
          <w:tcPr>
            <w:tcW w:w="184" w:type="pct"/>
          </w:tcPr>
          <w:p w:rsidR="00B25972" w:rsidRPr="003C6CEA" w:rsidRDefault="00B25972" w:rsidP="00347C73">
            <w:pPr>
              <w:jc w:val="both"/>
              <w:rPr>
                <w:rFonts w:eastAsia="Calibri"/>
                <w:sz w:val="20"/>
              </w:rPr>
            </w:pPr>
          </w:p>
        </w:tc>
        <w:tc>
          <w:tcPr>
            <w:tcW w:w="2340" w:type="pct"/>
          </w:tcPr>
          <w:p w:rsidR="00B25972" w:rsidRPr="003C6CEA" w:rsidRDefault="00B25972" w:rsidP="00347C73">
            <w:pPr>
              <w:jc w:val="both"/>
              <w:rPr>
                <w:rFonts w:eastAsia="Calibri"/>
                <w:sz w:val="20"/>
              </w:rPr>
            </w:pPr>
            <w:r w:rsidRPr="003C6CEA">
              <w:rPr>
                <w:rFonts w:eastAsia="Calibri"/>
                <w:sz w:val="20"/>
              </w:rPr>
              <w:t>Appeal allowed, convictions quashed, new trial ordered</w:t>
            </w:r>
          </w:p>
        </w:tc>
      </w:tr>
      <w:tr w:rsidR="00B25972" w:rsidRPr="003C6CEA" w:rsidTr="00347C73">
        <w:tblPrEx>
          <w:tblCellMar>
            <w:bottom w:w="0" w:type="dxa"/>
          </w:tblCellMar>
        </w:tblPrEx>
        <w:tc>
          <w:tcPr>
            <w:tcW w:w="2476" w:type="pct"/>
          </w:tcPr>
          <w:p w:rsidR="00B25972" w:rsidRPr="003C6CEA" w:rsidRDefault="00B25972" w:rsidP="00347C73">
            <w:pPr>
              <w:jc w:val="both"/>
              <w:rPr>
                <w:rFonts w:eastAsia="Calibri"/>
                <w:sz w:val="20"/>
              </w:rPr>
            </w:pPr>
            <w:r w:rsidRPr="003C6CEA">
              <w:rPr>
                <w:rFonts w:eastAsia="Calibri"/>
                <w:sz w:val="20"/>
              </w:rPr>
              <w:t>June 3, 2014</w:t>
            </w:r>
          </w:p>
          <w:p w:rsidR="00B25972" w:rsidRPr="003C6CEA" w:rsidRDefault="00B25972" w:rsidP="00347C73">
            <w:pPr>
              <w:jc w:val="both"/>
              <w:rPr>
                <w:rFonts w:eastAsia="Calibri"/>
                <w:sz w:val="20"/>
              </w:rPr>
            </w:pPr>
            <w:r w:rsidRPr="003C6CEA">
              <w:rPr>
                <w:rFonts w:eastAsia="Calibri"/>
                <w:sz w:val="20"/>
              </w:rPr>
              <w:t>Supreme Court of Canada</w:t>
            </w:r>
          </w:p>
        </w:tc>
        <w:tc>
          <w:tcPr>
            <w:tcW w:w="184" w:type="pct"/>
          </w:tcPr>
          <w:p w:rsidR="00B25972" w:rsidRPr="003C6CEA" w:rsidRDefault="00B25972" w:rsidP="00347C73">
            <w:pPr>
              <w:jc w:val="both"/>
              <w:rPr>
                <w:rFonts w:eastAsia="Calibri"/>
                <w:sz w:val="20"/>
              </w:rPr>
            </w:pPr>
          </w:p>
        </w:tc>
        <w:tc>
          <w:tcPr>
            <w:tcW w:w="2340" w:type="pct"/>
          </w:tcPr>
          <w:p w:rsidR="00B25972" w:rsidRPr="003C6CEA" w:rsidRDefault="00B25972" w:rsidP="00347C73">
            <w:pPr>
              <w:jc w:val="both"/>
              <w:rPr>
                <w:rFonts w:eastAsia="Calibri"/>
                <w:sz w:val="20"/>
              </w:rPr>
            </w:pPr>
            <w:r w:rsidRPr="003C6CEA">
              <w:rPr>
                <w:rFonts w:eastAsia="Calibri"/>
                <w:sz w:val="20"/>
              </w:rPr>
              <w:t>Motion for extension of time to serve and file application for leave to appeal and Application for leave to appeal filed</w:t>
            </w:r>
          </w:p>
          <w:p w:rsidR="00B25972" w:rsidRPr="003C6CEA" w:rsidRDefault="00B25972" w:rsidP="00347C73">
            <w:pPr>
              <w:jc w:val="both"/>
              <w:rPr>
                <w:rFonts w:eastAsia="Calibri"/>
                <w:sz w:val="20"/>
              </w:rPr>
            </w:pP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75"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717"/>
        <w:gridCol w:w="351"/>
        <w:gridCol w:w="4459"/>
      </w:tblGrid>
      <w:tr w:rsidR="00B25972" w:rsidRPr="00225EDC" w:rsidTr="00347C73">
        <w:tc>
          <w:tcPr>
            <w:tcW w:w="5000" w:type="pct"/>
            <w:gridSpan w:val="3"/>
          </w:tcPr>
          <w:p w:rsidR="00B25972" w:rsidRPr="003C6CEA" w:rsidRDefault="00B25972" w:rsidP="00347C73">
            <w:pPr>
              <w:jc w:val="both"/>
              <w:rPr>
                <w:rFonts w:eastAsia="Calibri"/>
                <w:smallCaps/>
                <w:sz w:val="20"/>
                <w:lang w:val="fr-CA"/>
              </w:rPr>
            </w:pPr>
            <w:r w:rsidRPr="003C6CEA">
              <w:rPr>
                <w:rFonts w:eastAsia="Calibri"/>
                <w:smallCaps/>
                <w:sz w:val="20"/>
                <w:lang w:val="fr-CA"/>
              </w:rPr>
              <w:t>(Ordonnance de non-publication dans le dossier) (</w:t>
            </w:r>
            <w:r>
              <w:rPr>
                <w:rFonts w:eastAsia="Calibri"/>
                <w:smallCaps/>
                <w:sz w:val="20"/>
                <w:lang w:val="fr-CA"/>
              </w:rPr>
              <w:t>O</w:t>
            </w:r>
            <w:r w:rsidRPr="003C6CEA">
              <w:rPr>
                <w:rFonts w:eastAsia="Calibri"/>
                <w:smallCaps/>
                <w:sz w:val="20"/>
                <w:lang w:val="fr-CA"/>
              </w:rPr>
              <w:t>rdonnance de non-publication visant une partie)</w:t>
            </w:r>
          </w:p>
          <w:p w:rsidR="00B25972" w:rsidRPr="003C6CEA" w:rsidRDefault="00B25972" w:rsidP="00347C73">
            <w:pPr>
              <w:jc w:val="both"/>
              <w:rPr>
                <w:rFonts w:eastAsia="Calibri"/>
                <w:sz w:val="20"/>
                <w:lang w:val="fr-CA"/>
              </w:rPr>
            </w:pPr>
          </w:p>
          <w:p w:rsidR="00B25972" w:rsidRPr="003C6CEA" w:rsidRDefault="00B25972" w:rsidP="00347C73">
            <w:pPr>
              <w:jc w:val="both"/>
              <w:rPr>
                <w:sz w:val="20"/>
                <w:lang w:val="fr-CA" w:eastAsia="en-CA"/>
              </w:rPr>
            </w:pPr>
            <w:r w:rsidRPr="003C6CEA">
              <w:rPr>
                <w:sz w:val="20"/>
                <w:lang w:val="fr-CA" w:eastAsia="en-CA"/>
              </w:rPr>
              <w:t xml:space="preserve">Droit criminel – Preuve – Témoignage de l’accusé – La Cour d’appel a-t-elle commis une erreur de droit en élargissant et en appliquant à mauvais escient le principe selon lequel il ne saurait être conclu à l’existence d’un sentiment de culpabilité du seul fait qu’un juge ou un jury n’ajoutait pas foi au témoignage disculpatoire de l’accusé? – Ce principe a-t-il été élargi de manière à obliger un examen de tous les éléments du témoignage de l’accusé séparément, de sorte que le fait que l’on n’ajoute pas foi au témoignage disculpatoire de l’accusé sur un certain nombre d’éléments ne pourrait pas être utilisé pour évaluer la crédibilité à l’égard des autres éléments de son témoignage? </w:t>
            </w:r>
          </w:p>
        </w:tc>
      </w:tr>
      <w:tr w:rsidR="00B25972" w:rsidRPr="00225EDC" w:rsidTr="00347C73">
        <w:tc>
          <w:tcPr>
            <w:tcW w:w="5000" w:type="pct"/>
            <w:gridSpan w:val="3"/>
          </w:tcPr>
          <w:p w:rsidR="00B25972" w:rsidRPr="003C6CEA" w:rsidRDefault="00B25972" w:rsidP="00347C73">
            <w:pPr>
              <w:jc w:val="both"/>
              <w:rPr>
                <w:rFonts w:eastAsia="Calibri"/>
                <w:sz w:val="20"/>
                <w:lang w:val="fr-CA"/>
              </w:rPr>
            </w:pPr>
          </w:p>
        </w:tc>
      </w:tr>
      <w:tr w:rsidR="00B25972" w:rsidRPr="00225EDC" w:rsidTr="00347C73">
        <w:trPr>
          <w:trHeight w:val="3312"/>
        </w:trPr>
        <w:tc>
          <w:tcPr>
            <w:tcW w:w="5000" w:type="pct"/>
            <w:gridSpan w:val="3"/>
          </w:tcPr>
          <w:p w:rsidR="00B25972" w:rsidRPr="003C6CEA" w:rsidRDefault="00B25972" w:rsidP="00347C73">
            <w:pPr>
              <w:jc w:val="both"/>
              <w:rPr>
                <w:rFonts w:eastAsia="Calibri"/>
                <w:sz w:val="20"/>
                <w:lang w:val="fr-CA"/>
              </w:rPr>
            </w:pPr>
            <w:r w:rsidRPr="003C6CEA">
              <w:rPr>
                <w:rFonts w:eastAsia="Calibri"/>
                <w:sz w:val="20"/>
                <w:lang w:val="fr-CA"/>
              </w:rPr>
              <w:t>En 2010, la plaignante a allégué que J.P., entre 1994 et 2000, alors qu’elle était âgée de six à douze ans, aurait commis des actes d’inconduite sexuelle à son égard.  J.P. a été déclaré coupable d’agression sexuelle, de contacts sexuels à l’endroit d’une personne âgée de moins de 14 ans et d’avoir incité une personne âgée de moins de 14 ans à toucher son pénis à des fins d’ordre sexuel.  Dans son témoignage, la plaignante a affirmé que l’inconduite se produisait habituellement deux fois par semaine lorsque que J.P. visitait la maison de ses grands-parents où elle vivait</w:t>
            </w:r>
            <w:r w:rsidRPr="003C6CEA">
              <w:rPr>
                <w:rFonts w:eastAsia="Calibri"/>
                <w:color w:val="000000"/>
                <w:sz w:val="20"/>
                <w:lang w:val="fr-CA"/>
              </w:rPr>
              <w:t xml:space="preserve">.  Dans un cabinet de la maison, </w:t>
            </w:r>
            <w:r w:rsidRPr="003C6CEA">
              <w:rPr>
                <w:rFonts w:eastAsia="Calibri"/>
                <w:sz w:val="20"/>
                <w:lang w:val="fr-CA"/>
              </w:rPr>
              <w:t>J.P. l’aurait embrassée et aurait inséré sa langue dans la bouche de la plaignante.  Il l’emmenait seule dans sa voiture à un cimetière à l’occasion de sorties au Tim Hortons et lui faisait des attouchements sexuels alors qu’elle était assise sur lui et faisait semblant de conduire la voiture.  À une occasion dans le cabinet, il aurait montré son pénis et lui aurait demandé de le toucher.  J.P. a témoigné et a nié les allégations. Il a nié avoir eu l’occasion de commettre les actes qu’on lui reproche.  La défense a présenté une preuve selon laquelle le cimetière était inaccessible l’hiver et selon laquelle le cabinet était ouvert à la vue de tous, plaidant qu’il n’était pas possible d’y commettre les actes d’inconduite allégués</w:t>
            </w:r>
            <w:r w:rsidRPr="003C6CEA">
              <w:rPr>
                <w:rFonts w:eastAsia="Calibri"/>
                <w:color w:val="000000"/>
                <w:sz w:val="20"/>
                <w:lang w:val="fr-CA"/>
              </w:rPr>
              <w:t>.  Le témoignage de la plaignante comportait des incohérences et des omissions</w:t>
            </w:r>
            <w:r w:rsidRPr="003C6CEA">
              <w:rPr>
                <w:rFonts w:eastAsia="Calibri"/>
                <w:sz w:val="20"/>
                <w:lang w:val="fr-CA"/>
              </w:rPr>
              <w:t xml:space="preserve">. </w:t>
            </w:r>
          </w:p>
          <w:p w:rsidR="00B25972" w:rsidRPr="003C6CEA" w:rsidRDefault="00B25972" w:rsidP="00347C73">
            <w:pPr>
              <w:jc w:val="both"/>
              <w:rPr>
                <w:rFonts w:eastAsia="Calibri"/>
                <w:sz w:val="20"/>
                <w:lang w:val="fr-CA"/>
              </w:rPr>
            </w:pPr>
          </w:p>
        </w:tc>
      </w:tr>
      <w:tr w:rsidR="00B25972" w:rsidRPr="00225EDC" w:rsidTr="00347C73">
        <w:tblPrEx>
          <w:tblCellMar>
            <w:bottom w:w="0" w:type="dxa"/>
          </w:tblCellMar>
        </w:tblPrEx>
        <w:tc>
          <w:tcPr>
            <w:tcW w:w="2476" w:type="pct"/>
          </w:tcPr>
          <w:p w:rsidR="00B25972" w:rsidRPr="003C6CEA" w:rsidRDefault="00B25972" w:rsidP="00347C73">
            <w:pPr>
              <w:jc w:val="both"/>
              <w:rPr>
                <w:rFonts w:eastAsia="Calibri"/>
                <w:sz w:val="20"/>
                <w:lang w:val="fr-CA"/>
              </w:rPr>
            </w:pPr>
            <w:r w:rsidRPr="003C6CEA">
              <w:rPr>
                <w:rFonts w:eastAsia="Calibri"/>
                <w:sz w:val="20"/>
                <w:lang w:val="fr-CA"/>
              </w:rPr>
              <w:t>20 août 2012</w:t>
            </w:r>
          </w:p>
          <w:p w:rsidR="00B25972" w:rsidRPr="003C6CEA" w:rsidRDefault="00B25972" w:rsidP="00347C73">
            <w:pPr>
              <w:jc w:val="both"/>
              <w:rPr>
                <w:rFonts w:eastAsia="Calibri"/>
                <w:sz w:val="20"/>
                <w:lang w:val="fr-CA"/>
              </w:rPr>
            </w:pPr>
            <w:r w:rsidRPr="003C6CEA">
              <w:rPr>
                <w:rFonts w:eastAsia="Calibri"/>
                <w:sz w:val="20"/>
                <w:lang w:val="fr-CA"/>
              </w:rPr>
              <w:t>Cour suprême de la Nouvelle-Écosse, Section de première instance</w:t>
            </w:r>
          </w:p>
          <w:p w:rsidR="00B25972" w:rsidRPr="003C6CEA" w:rsidRDefault="00B25972" w:rsidP="00347C73">
            <w:pPr>
              <w:jc w:val="both"/>
              <w:rPr>
                <w:rFonts w:eastAsia="Calibri"/>
                <w:sz w:val="20"/>
                <w:lang w:val="fr-CA"/>
              </w:rPr>
            </w:pPr>
            <w:r w:rsidRPr="003C6CEA">
              <w:rPr>
                <w:rFonts w:eastAsia="Calibri"/>
                <w:sz w:val="20"/>
                <w:lang w:val="fr-CA"/>
              </w:rPr>
              <w:t>(Juge Murray)</w:t>
            </w:r>
          </w:p>
          <w:p w:rsidR="00B25972" w:rsidRPr="003C6CEA" w:rsidRDefault="00215143" w:rsidP="00347C73">
            <w:pPr>
              <w:jc w:val="both"/>
              <w:rPr>
                <w:rFonts w:eastAsia="Calibri"/>
                <w:sz w:val="20"/>
                <w:lang w:val="fr-CA"/>
              </w:rPr>
            </w:pPr>
            <w:hyperlink r:id="rId85" w:history="1">
              <w:r w:rsidR="00B25972" w:rsidRPr="003C6CEA">
                <w:rPr>
                  <w:rFonts w:eastAsia="Calibri"/>
                  <w:color w:val="0000FF"/>
                  <w:sz w:val="20"/>
                  <w:u w:val="single"/>
                  <w:lang w:val="fr-CA"/>
                </w:rPr>
                <w:t>2012 NSSC 365</w:t>
              </w:r>
            </w:hyperlink>
          </w:p>
          <w:p w:rsidR="00B25972" w:rsidRPr="003C6CEA" w:rsidRDefault="00B25972" w:rsidP="00347C73">
            <w:pPr>
              <w:jc w:val="both"/>
              <w:rPr>
                <w:rFonts w:eastAsia="Calibri"/>
                <w:sz w:val="20"/>
                <w:lang w:val="fr-CA"/>
              </w:rPr>
            </w:pPr>
          </w:p>
        </w:tc>
        <w:tc>
          <w:tcPr>
            <w:tcW w:w="184" w:type="pct"/>
          </w:tcPr>
          <w:p w:rsidR="00B25972" w:rsidRPr="003C6CEA" w:rsidRDefault="00B25972" w:rsidP="00347C73">
            <w:pPr>
              <w:jc w:val="both"/>
              <w:rPr>
                <w:rFonts w:eastAsia="Calibri"/>
                <w:sz w:val="20"/>
                <w:lang w:val="fr-CA"/>
              </w:rPr>
            </w:pPr>
          </w:p>
        </w:tc>
        <w:tc>
          <w:tcPr>
            <w:tcW w:w="2340" w:type="pct"/>
          </w:tcPr>
          <w:p w:rsidR="00B25972" w:rsidRPr="003C6CEA" w:rsidRDefault="00B25972" w:rsidP="00347C73">
            <w:pPr>
              <w:jc w:val="both"/>
              <w:rPr>
                <w:rFonts w:eastAsia="Calibri"/>
                <w:sz w:val="20"/>
                <w:lang w:val="fr-CA"/>
              </w:rPr>
            </w:pPr>
            <w:r w:rsidRPr="003C6CEA">
              <w:rPr>
                <w:rFonts w:eastAsia="Calibri"/>
                <w:sz w:val="20"/>
                <w:lang w:val="fr-CA"/>
              </w:rPr>
              <w:t>Déclaration de culpabilité : agression sexuelle, contacts sexuels et incitation à des attouchements sexuels</w:t>
            </w:r>
          </w:p>
        </w:tc>
      </w:tr>
      <w:tr w:rsidR="00B25972" w:rsidRPr="00225EDC" w:rsidTr="00347C73">
        <w:tblPrEx>
          <w:tblCellMar>
            <w:bottom w:w="0" w:type="dxa"/>
          </w:tblCellMar>
        </w:tblPrEx>
        <w:tc>
          <w:tcPr>
            <w:tcW w:w="2476" w:type="pct"/>
          </w:tcPr>
          <w:p w:rsidR="00B25972" w:rsidRPr="003C6CEA" w:rsidRDefault="00B25972" w:rsidP="00347C73">
            <w:pPr>
              <w:jc w:val="both"/>
              <w:rPr>
                <w:rFonts w:eastAsia="Calibri"/>
                <w:sz w:val="20"/>
                <w:lang w:val="fr-CA"/>
              </w:rPr>
            </w:pPr>
            <w:r w:rsidRPr="003C6CEA">
              <w:rPr>
                <w:rFonts w:eastAsia="Calibri"/>
                <w:sz w:val="20"/>
                <w:lang w:val="fr-CA"/>
              </w:rPr>
              <w:t>25 mars 2014</w:t>
            </w:r>
          </w:p>
          <w:p w:rsidR="00B25972" w:rsidRPr="003C6CEA" w:rsidRDefault="00B25972" w:rsidP="00347C73">
            <w:pPr>
              <w:jc w:val="both"/>
              <w:rPr>
                <w:rFonts w:eastAsia="Calibri"/>
                <w:sz w:val="20"/>
                <w:lang w:val="fr-CA"/>
              </w:rPr>
            </w:pPr>
            <w:r w:rsidRPr="003C6CEA">
              <w:rPr>
                <w:rFonts w:eastAsia="Calibri"/>
                <w:sz w:val="20"/>
                <w:lang w:val="fr-CA"/>
              </w:rPr>
              <w:t>Cour d’appel de la Nouvelle-Écosse</w:t>
            </w:r>
          </w:p>
          <w:p w:rsidR="00B25972" w:rsidRPr="003C6CEA" w:rsidRDefault="00B25972" w:rsidP="00347C73">
            <w:pPr>
              <w:jc w:val="both"/>
              <w:rPr>
                <w:rFonts w:eastAsia="Calibri"/>
                <w:sz w:val="20"/>
                <w:lang w:val="fr-CA"/>
              </w:rPr>
            </w:pPr>
            <w:r w:rsidRPr="003C6CEA">
              <w:rPr>
                <w:rFonts w:eastAsia="Calibri"/>
                <w:sz w:val="20"/>
                <w:lang w:val="fr-CA"/>
              </w:rPr>
              <w:t>(Jugea Oland, Beveridge et Farrar)</w:t>
            </w:r>
          </w:p>
          <w:p w:rsidR="00B25972" w:rsidRPr="003C6CEA" w:rsidRDefault="00B25972" w:rsidP="00347C73">
            <w:pPr>
              <w:jc w:val="both"/>
              <w:rPr>
                <w:rFonts w:eastAsia="Calibri"/>
                <w:sz w:val="20"/>
                <w:lang w:val="fr-CA"/>
              </w:rPr>
            </w:pPr>
            <w:r w:rsidRPr="003C6CEA">
              <w:rPr>
                <w:rFonts w:eastAsia="Calibri"/>
                <w:sz w:val="20"/>
                <w:lang w:val="fr-CA"/>
              </w:rPr>
              <w:t xml:space="preserve">CAC 412682; </w:t>
            </w:r>
            <w:hyperlink r:id="rId86" w:history="1">
              <w:r w:rsidRPr="003C6CEA">
                <w:rPr>
                  <w:rFonts w:eastAsia="Calibri"/>
                  <w:color w:val="0000FF"/>
                  <w:sz w:val="20"/>
                  <w:u w:val="single"/>
                  <w:lang w:val="fr-CA"/>
                </w:rPr>
                <w:t>2014 NSCA 29</w:t>
              </w:r>
            </w:hyperlink>
          </w:p>
          <w:p w:rsidR="00B25972" w:rsidRPr="003C6CEA" w:rsidRDefault="00B25972" w:rsidP="00347C73">
            <w:pPr>
              <w:jc w:val="both"/>
              <w:rPr>
                <w:rFonts w:eastAsia="Calibri"/>
                <w:sz w:val="20"/>
                <w:lang w:val="fr-CA"/>
              </w:rPr>
            </w:pPr>
          </w:p>
        </w:tc>
        <w:tc>
          <w:tcPr>
            <w:tcW w:w="184" w:type="pct"/>
          </w:tcPr>
          <w:p w:rsidR="00B25972" w:rsidRPr="003C6CEA" w:rsidRDefault="00B25972" w:rsidP="00347C73">
            <w:pPr>
              <w:jc w:val="both"/>
              <w:rPr>
                <w:rFonts w:eastAsia="Calibri"/>
                <w:sz w:val="20"/>
                <w:lang w:val="fr-CA"/>
              </w:rPr>
            </w:pPr>
          </w:p>
        </w:tc>
        <w:tc>
          <w:tcPr>
            <w:tcW w:w="2340" w:type="pct"/>
          </w:tcPr>
          <w:p w:rsidR="00B25972" w:rsidRPr="003C6CEA" w:rsidRDefault="00B25972" w:rsidP="00347C73">
            <w:pPr>
              <w:jc w:val="both"/>
              <w:rPr>
                <w:rFonts w:eastAsia="Calibri"/>
                <w:sz w:val="20"/>
                <w:lang w:val="fr-CA"/>
              </w:rPr>
            </w:pPr>
            <w:r w:rsidRPr="003C6CEA">
              <w:rPr>
                <w:rFonts w:eastAsia="Calibri"/>
                <w:sz w:val="20"/>
                <w:lang w:val="fr-CA"/>
              </w:rPr>
              <w:t>Appel accueilli, déclaration de culpabilité annulée, nouveau procès ordonné</w:t>
            </w:r>
          </w:p>
        </w:tc>
      </w:tr>
      <w:tr w:rsidR="00B25972" w:rsidRPr="00225EDC" w:rsidTr="00347C73">
        <w:tblPrEx>
          <w:tblCellMar>
            <w:bottom w:w="0" w:type="dxa"/>
          </w:tblCellMar>
        </w:tblPrEx>
        <w:tc>
          <w:tcPr>
            <w:tcW w:w="2476" w:type="pct"/>
          </w:tcPr>
          <w:p w:rsidR="00B25972" w:rsidRPr="003C6CEA" w:rsidRDefault="00B25972" w:rsidP="00347C73">
            <w:pPr>
              <w:jc w:val="both"/>
              <w:rPr>
                <w:rFonts w:eastAsia="Calibri"/>
                <w:sz w:val="20"/>
                <w:lang w:val="fr-CA"/>
              </w:rPr>
            </w:pPr>
            <w:r w:rsidRPr="003C6CEA">
              <w:rPr>
                <w:rFonts w:eastAsia="Calibri"/>
                <w:sz w:val="20"/>
                <w:lang w:val="fr-CA"/>
              </w:rPr>
              <w:lastRenderedPageBreak/>
              <w:t>3 juin 2014</w:t>
            </w:r>
          </w:p>
          <w:p w:rsidR="00B25972" w:rsidRPr="003C6CEA" w:rsidRDefault="00B25972" w:rsidP="00347C73">
            <w:pPr>
              <w:jc w:val="both"/>
              <w:rPr>
                <w:rFonts w:eastAsia="Calibri"/>
                <w:sz w:val="20"/>
                <w:lang w:val="fr-CA"/>
              </w:rPr>
            </w:pPr>
            <w:r w:rsidRPr="003C6CEA">
              <w:rPr>
                <w:rFonts w:eastAsia="Calibri"/>
                <w:sz w:val="20"/>
                <w:lang w:val="fr-CA"/>
              </w:rPr>
              <w:t>Cour suprême du Canada</w:t>
            </w:r>
          </w:p>
        </w:tc>
        <w:tc>
          <w:tcPr>
            <w:tcW w:w="184" w:type="pct"/>
          </w:tcPr>
          <w:p w:rsidR="00B25972" w:rsidRPr="003C6CEA" w:rsidRDefault="00B25972" w:rsidP="00347C73">
            <w:pPr>
              <w:jc w:val="both"/>
              <w:rPr>
                <w:rFonts w:eastAsia="Calibri"/>
                <w:sz w:val="20"/>
                <w:lang w:val="fr-CA"/>
              </w:rPr>
            </w:pPr>
          </w:p>
        </w:tc>
        <w:tc>
          <w:tcPr>
            <w:tcW w:w="2340" w:type="pct"/>
          </w:tcPr>
          <w:p w:rsidR="00B25972" w:rsidRPr="003C6CEA" w:rsidRDefault="00B25972" w:rsidP="00347C73">
            <w:pPr>
              <w:jc w:val="both"/>
              <w:rPr>
                <w:rFonts w:eastAsia="Calibri"/>
                <w:sz w:val="20"/>
                <w:lang w:val="fr-CA"/>
              </w:rPr>
            </w:pPr>
            <w:r w:rsidRPr="003C6CEA">
              <w:rPr>
                <w:rFonts w:eastAsia="Calibri"/>
                <w:sz w:val="20"/>
                <w:lang w:val="fr-CA"/>
              </w:rPr>
              <w:t>Requête en prorogation du délai de signification et de dépôt de la demande d’autorisation d’appel et demande d’autorisation d’appel, déposées</w:t>
            </w:r>
          </w:p>
        </w:tc>
      </w:tr>
    </w:tbl>
    <w:p w:rsidR="00402B2C" w:rsidRPr="00B25972" w:rsidRDefault="00402B2C" w:rsidP="00402B2C">
      <w:pPr>
        <w:rPr>
          <w:sz w:val="20"/>
          <w:szCs w:val="20"/>
          <w:lang w:val="fr-CA"/>
        </w:rPr>
      </w:pPr>
    </w:p>
    <w:p w:rsidR="00402B2C" w:rsidRDefault="00215143" w:rsidP="00402B2C">
      <w:pPr>
        <w:rPr>
          <w:sz w:val="20"/>
          <w:szCs w:val="20"/>
          <w:lang w:val="fr-CA"/>
        </w:rPr>
      </w:pPr>
      <w:r>
        <w:rPr>
          <w:sz w:val="20"/>
          <w:szCs w:val="20"/>
          <w:lang w:val="fr-CA"/>
        </w:rPr>
        <w:pict>
          <v:rect id="_x0000_i1076"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068B6" w:rsidRPr="00A04AD5" w:rsidTr="001068B6">
        <w:trPr>
          <w:cantSplit/>
        </w:trPr>
        <w:tc>
          <w:tcPr>
            <w:tcW w:w="1458" w:type="dxa"/>
          </w:tcPr>
          <w:p w:rsidR="001068B6" w:rsidRPr="00A04AD5" w:rsidRDefault="001068B6" w:rsidP="001068B6">
            <w:pPr>
              <w:rPr>
                <w:sz w:val="20"/>
                <w:szCs w:val="20"/>
              </w:rPr>
            </w:pPr>
            <w:r w:rsidRPr="00A04AD5">
              <w:rPr>
                <w:rStyle w:val="SCCFileNumberChar"/>
                <w:sz w:val="20"/>
                <w:szCs w:val="20"/>
              </w:rPr>
              <w:t>35932</w:t>
            </w:r>
          </w:p>
          <w:p w:rsidR="001068B6" w:rsidRPr="00A04AD5" w:rsidRDefault="001068B6" w:rsidP="001068B6">
            <w:pPr>
              <w:rPr>
                <w:b/>
                <w:sz w:val="20"/>
                <w:szCs w:val="20"/>
                <w:lang w:val="fr-CA"/>
              </w:rPr>
            </w:pPr>
          </w:p>
        </w:tc>
        <w:tc>
          <w:tcPr>
            <w:tcW w:w="8118" w:type="dxa"/>
          </w:tcPr>
          <w:p w:rsidR="001068B6" w:rsidRPr="00A04AD5" w:rsidRDefault="001068B6" w:rsidP="001068B6">
            <w:pPr>
              <w:rPr>
                <w:sz w:val="20"/>
                <w:szCs w:val="20"/>
              </w:rPr>
            </w:pPr>
            <w:r w:rsidRPr="00A04AD5">
              <w:rPr>
                <w:rStyle w:val="SCCLsocChar"/>
                <w:sz w:val="20"/>
                <w:szCs w:val="20"/>
                <w:lang w:val="en-CA"/>
              </w:rPr>
              <w:t>Dave Thompson v. Her Majesty the Queen</w:t>
            </w:r>
            <w:r w:rsidRPr="00A04AD5">
              <w:rPr>
                <w:sz w:val="20"/>
                <w:szCs w:val="20"/>
              </w:rPr>
              <w:t xml:space="preserve"> (Ont.) (Criminal) (By Leave)</w:t>
            </w:r>
          </w:p>
          <w:p w:rsidR="001068B6" w:rsidRPr="00A04AD5" w:rsidRDefault="001068B6" w:rsidP="001068B6">
            <w:pPr>
              <w:rPr>
                <w:sz w:val="20"/>
                <w:szCs w:val="20"/>
              </w:rPr>
            </w:pPr>
          </w:p>
        </w:tc>
      </w:tr>
      <w:tr w:rsidR="001068B6" w:rsidRPr="00A04AD5" w:rsidTr="001068B6">
        <w:trPr>
          <w:cantSplit/>
        </w:trPr>
        <w:tc>
          <w:tcPr>
            <w:tcW w:w="1458" w:type="dxa"/>
          </w:tcPr>
          <w:p w:rsidR="001068B6" w:rsidRPr="00A04AD5" w:rsidRDefault="001068B6" w:rsidP="001068B6">
            <w:pPr>
              <w:rPr>
                <w:sz w:val="20"/>
                <w:szCs w:val="20"/>
              </w:rPr>
            </w:pPr>
            <w:r w:rsidRPr="00A04AD5">
              <w:rPr>
                <w:sz w:val="20"/>
                <w:szCs w:val="20"/>
              </w:rPr>
              <w:t>Coram :</w:t>
            </w:r>
          </w:p>
        </w:tc>
        <w:tc>
          <w:tcPr>
            <w:tcW w:w="8118" w:type="dxa"/>
          </w:tcPr>
          <w:p w:rsidR="001068B6" w:rsidRPr="00A04AD5" w:rsidRDefault="001068B6" w:rsidP="001068B6">
            <w:pPr>
              <w:rPr>
                <w:sz w:val="20"/>
                <w:szCs w:val="20"/>
              </w:rPr>
            </w:pPr>
            <w:r w:rsidRPr="00A04AD5">
              <w:rPr>
                <w:rStyle w:val="SCCCoramChar"/>
                <w:sz w:val="20"/>
                <w:szCs w:val="20"/>
                <w:lang w:val="en-CA"/>
              </w:rPr>
              <w:t>McLachlin C.J. and Cromwell and Wagner JJ.</w:t>
            </w:r>
          </w:p>
          <w:p w:rsidR="001068B6" w:rsidRPr="00A04AD5" w:rsidRDefault="001068B6" w:rsidP="001068B6">
            <w:pPr>
              <w:rPr>
                <w:sz w:val="20"/>
                <w:szCs w:val="20"/>
                <w:u w:val="single"/>
              </w:rPr>
            </w:pPr>
          </w:p>
        </w:tc>
      </w:tr>
      <w:tr w:rsidR="001068B6" w:rsidRPr="00225EDC" w:rsidTr="001068B6">
        <w:trPr>
          <w:cantSplit/>
        </w:trPr>
        <w:tc>
          <w:tcPr>
            <w:tcW w:w="9576" w:type="dxa"/>
            <w:gridSpan w:val="2"/>
          </w:tcPr>
          <w:p w:rsidR="001068B6" w:rsidRPr="00A04AD5" w:rsidRDefault="001068B6" w:rsidP="001068B6">
            <w:pPr>
              <w:pStyle w:val="SCCShortJudgment"/>
              <w:rPr>
                <w:szCs w:val="20"/>
              </w:rPr>
            </w:pPr>
            <w:r w:rsidRPr="00A04AD5">
              <w:rPr>
                <w:szCs w:val="20"/>
              </w:rPr>
              <w:t>The motion for an extension of time to serve and file the application for leave to appeal is granted.  The application for leave to appeal from the judgment of the Court of Appeal for Ontario, Number C55783, 2014 ONCA 43, dated January 20, 2014 is dismissed without costs.</w:t>
            </w:r>
          </w:p>
          <w:p w:rsidR="001068B6" w:rsidRPr="00A04AD5" w:rsidRDefault="001068B6" w:rsidP="001068B6">
            <w:pPr>
              <w:pStyle w:val="SCCShortJudgment"/>
              <w:ind w:firstLine="0"/>
              <w:rPr>
                <w:szCs w:val="20"/>
              </w:rPr>
            </w:pPr>
          </w:p>
          <w:p w:rsidR="001068B6" w:rsidRPr="00A04AD5" w:rsidRDefault="001068B6" w:rsidP="001068B6">
            <w:pPr>
              <w:pStyle w:val="SCCShortJudgment"/>
              <w:rPr>
                <w:szCs w:val="20"/>
                <w:lang w:val="fr-CA"/>
              </w:rPr>
            </w:pPr>
            <w:r w:rsidRPr="00A04AD5">
              <w:rPr>
                <w:szCs w:val="20"/>
                <w:lang w:val="fr-CA"/>
              </w:rPr>
              <w:t>La requête en prorogation du délai de signification et de dépôt de la demande d’autorisation d’appel est accueillie.  La demande d’autorisation d’appel de l’arrêt de la Cour d’appel de l’Ontario, numéro C55783, 2014 ONCA 43, daté du 20 janvier 2014, est rejetée sans dépens.</w:t>
            </w:r>
          </w:p>
        </w:tc>
      </w:tr>
    </w:tbl>
    <w:p w:rsidR="00402B2C" w:rsidRPr="001068B6" w:rsidRDefault="00402B2C" w:rsidP="00402B2C">
      <w:pPr>
        <w:rPr>
          <w:sz w:val="20"/>
          <w:szCs w:val="20"/>
          <w:lang w:val="fr-CA"/>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5972" w:rsidRPr="003C6CEA" w:rsidTr="00347C73">
        <w:tc>
          <w:tcPr>
            <w:tcW w:w="5000" w:type="pct"/>
            <w:gridSpan w:val="3"/>
          </w:tcPr>
          <w:p w:rsidR="00B25972" w:rsidRPr="003C6CEA" w:rsidRDefault="00B25972" w:rsidP="00347C73">
            <w:pPr>
              <w:jc w:val="both"/>
              <w:rPr>
                <w:rFonts w:eastAsia="Calibri"/>
                <w:sz w:val="20"/>
              </w:rPr>
            </w:pPr>
            <w:r w:rsidRPr="003C6CEA">
              <w:rPr>
                <w:rFonts w:eastAsia="Calibri"/>
                <w:sz w:val="20"/>
              </w:rPr>
              <w:t>Criminal law – Trial – Stay of Proceedings – Estoppel – Appeal by Crown from stay of proceedings entered on charge of possession of cocaine for purpose of trafficking due to issue estoppel allowed – What is the test for finality in relation to criminal law issue estoppel – When the requirements of criminal law issue estoppel are met, is there discretion not to apply it – Whether there are any issues of public importance raised.</w:t>
            </w:r>
          </w:p>
        </w:tc>
      </w:tr>
      <w:tr w:rsidR="00B25972" w:rsidRPr="003C6CEA" w:rsidTr="00347C73">
        <w:tc>
          <w:tcPr>
            <w:tcW w:w="5000" w:type="pct"/>
            <w:gridSpan w:val="3"/>
          </w:tcPr>
          <w:p w:rsidR="00B25972" w:rsidRPr="003C6CEA" w:rsidRDefault="00B25972" w:rsidP="00347C73">
            <w:pPr>
              <w:jc w:val="both"/>
              <w:rPr>
                <w:rFonts w:eastAsia="Calibri"/>
                <w:sz w:val="20"/>
              </w:rPr>
            </w:pPr>
          </w:p>
        </w:tc>
      </w:tr>
      <w:tr w:rsidR="00B25972" w:rsidRPr="003C6CEA" w:rsidTr="00347C73">
        <w:tc>
          <w:tcPr>
            <w:tcW w:w="5000" w:type="pct"/>
            <w:gridSpan w:val="3"/>
          </w:tcPr>
          <w:p w:rsidR="00B25972" w:rsidRPr="003C6CEA" w:rsidRDefault="00B25972" w:rsidP="00347C73">
            <w:pPr>
              <w:jc w:val="both"/>
              <w:rPr>
                <w:rFonts w:eastAsia="Calibri"/>
                <w:sz w:val="20"/>
              </w:rPr>
            </w:pPr>
            <w:r w:rsidRPr="003C6CEA">
              <w:rPr>
                <w:rFonts w:eastAsia="Calibri"/>
                <w:sz w:val="20"/>
              </w:rPr>
              <w:t>In the first proceeding, the respondent Crown alleged that the applicant breached a term of his conditional sentence order – to keep the peace and be of good behaviour – after police officers found crack and powder cocaine in his bedroom.  The Crown’s application failed because its evidence did not establish that the applicant was in possession of the substances seized.</w:t>
            </w:r>
          </w:p>
          <w:p w:rsidR="00B25972" w:rsidRPr="003C6CEA" w:rsidRDefault="00B25972" w:rsidP="00347C73">
            <w:pPr>
              <w:jc w:val="both"/>
              <w:rPr>
                <w:rFonts w:eastAsia="Calibri"/>
                <w:sz w:val="20"/>
              </w:rPr>
            </w:pPr>
          </w:p>
          <w:p w:rsidR="00B25972" w:rsidRPr="003C6CEA" w:rsidRDefault="00B25972" w:rsidP="00347C73">
            <w:pPr>
              <w:jc w:val="both"/>
              <w:rPr>
                <w:rFonts w:eastAsia="Calibri"/>
                <w:sz w:val="20"/>
              </w:rPr>
            </w:pPr>
            <w:r w:rsidRPr="003C6CEA">
              <w:rPr>
                <w:rFonts w:eastAsia="Calibri"/>
                <w:sz w:val="20"/>
              </w:rPr>
              <w:t>In the second proceeding, the applicant was charged with possession of the same cocaine for the purpose of trafficking.  That prosecution failed too.  The trial judge held that issue estoppel precluded the Crown from introducing evidence that the applicant was in possession of cocaine for the purpose of trafficking, because the issue of possession of the cocaine had been decided in the applicant’s favour on the revocation hearing.  The trial judge entered a stay of proceedings on the basis of issue estoppel.  The Court of Appeal allowed the respondent Crown’s appeal, set aside the stay of proceedings and ordered a new trial.</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July 5, 2012</w:t>
            </w:r>
          </w:p>
          <w:p w:rsidR="00B25972" w:rsidRPr="003C6CEA" w:rsidRDefault="00B25972" w:rsidP="00347C73">
            <w:pPr>
              <w:jc w:val="both"/>
              <w:rPr>
                <w:rFonts w:eastAsia="Calibri"/>
                <w:sz w:val="20"/>
              </w:rPr>
            </w:pPr>
            <w:r w:rsidRPr="003C6CEA">
              <w:rPr>
                <w:rFonts w:eastAsia="Calibri"/>
                <w:sz w:val="20"/>
              </w:rPr>
              <w:t>Ontario Superior Court of Justice</w:t>
            </w:r>
          </w:p>
          <w:p w:rsidR="00B25972" w:rsidRPr="003C6CEA" w:rsidRDefault="00B25972" w:rsidP="00347C73">
            <w:pPr>
              <w:jc w:val="both"/>
              <w:rPr>
                <w:rFonts w:eastAsia="Calibri"/>
                <w:sz w:val="20"/>
              </w:rPr>
            </w:pPr>
            <w:r w:rsidRPr="003C6CEA">
              <w:rPr>
                <w:rFonts w:eastAsia="Calibri"/>
                <w:sz w:val="20"/>
              </w:rPr>
              <w:t>(Allen J.)</w:t>
            </w:r>
          </w:p>
          <w:p w:rsidR="00B25972" w:rsidRPr="003C6CEA" w:rsidRDefault="00B25972" w:rsidP="00347C73">
            <w:pPr>
              <w:jc w:val="both"/>
              <w:rPr>
                <w:rFonts w:eastAsia="Calibri"/>
                <w:sz w:val="20"/>
              </w:rPr>
            </w:pPr>
            <w:r w:rsidRPr="003C6CEA">
              <w:rPr>
                <w:rFonts w:eastAsia="Calibri"/>
                <w:sz w:val="20"/>
              </w:rPr>
              <w:t>2012 ONSC 3979</w:t>
            </w:r>
          </w:p>
          <w:p w:rsidR="00B25972" w:rsidRPr="003C6CEA" w:rsidRDefault="00215143" w:rsidP="00347C73">
            <w:pPr>
              <w:jc w:val="both"/>
              <w:rPr>
                <w:rFonts w:eastAsia="Calibri"/>
                <w:sz w:val="20"/>
              </w:rPr>
            </w:pPr>
            <w:hyperlink r:id="rId87" w:history="1">
              <w:r w:rsidR="00B25972" w:rsidRPr="003C6CEA">
                <w:rPr>
                  <w:color w:val="0000FF"/>
                  <w:sz w:val="20"/>
                  <w:u w:val="single"/>
                </w:rPr>
                <w:t>http://canlii.ca/t/fs02p</w:t>
              </w:r>
            </w:hyperlink>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 xml:space="preserve">Stay of proceedings entered on charges of possession of cocaine for the purpose of trafficking  </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January 20, 2014</w:t>
            </w:r>
          </w:p>
          <w:p w:rsidR="00B25972" w:rsidRPr="003C6CEA" w:rsidRDefault="00B25972" w:rsidP="00347C73">
            <w:pPr>
              <w:jc w:val="both"/>
              <w:rPr>
                <w:rFonts w:eastAsia="Calibri"/>
                <w:sz w:val="20"/>
              </w:rPr>
            </w:pPr>
            <w:r w:rsidRPr="003C6CEA">
              <w:rPr>
                <w:rFonts w:eastAsia="Calibri"/>
                <w:sz w:val="20"/>
              </w:rPr>
              <w:t>Court of Appeal for Ontario</w:t>
            </w:r>
          </w:p>
          <w:p w:rsidR="00B25972" w:rsidRPr="003C6CEA" w:rsidRDefault="00B25972" w:rsidP="00347C73">
            <w:pPr>
              <w:jc w:val="both"/>
              <w:rPr>
                <w:rFonts w:eastAsia="Calibri"/>
                <w:sz w:val="20"/>
              </w:rPr>
            </w:pPr>
            <w:r w:rsidRPr="003C6CEA">
              <w:rPr>
                <w:rFonts w:eastAsia="Calibri"/>
                <w:sz w:val="20"/>
              </w:rPr>
              <w:t>(Cronk,Watt, van Rensburg JJ.A.)</w:t>
            </w:r>
          </w:p>
          <w:p w:rsidR="00B25972" w:rsidRPr="003C6CEA" w:rsidRDefault="00B25972" w:rsidP="00347C73">
            <w:pPr>
              <w:jc w:val="both"/>
              <w:rPr>
                <w:rFonts w:eastAsia="Calibri"/>
                <w:sz w:val="20"/>
              </w:rPr>
            </w:pPr>
            <w:r w:rsidRPr="003C6CEA">
              <w:rPr>
                <w:rFonts w:eastAsia="Calibri"/>
                <w:sz w:val="20"/>
              </w:rPr>
              <w:t>2014 ONCA 43</w:t>
            </w:r>
          </w:p>
          <w:p w:rsidR="00B25972" w:rsidRPr="003C6CEA" w:rsidRDefault="00215143" w:rsidP="00347C73">
            <w:pPr>
              <w:jc w:val="both"/>
              <w:rPr>
                <w:rFonts w:eastAsia="Calibri"/>
                <w:sz w:val="20"/>
              </w:rPr>
            </w:pPr>
            <w:hyperlink r:id="rId88" w:history="1">
              <w:r w:rsidR="00B25972" w:rsidRPr="003C6CEA">
                <w:rPr>
                  <w:color w:val="0000FF"/>
                  <w:sz w:val="20"/>
                  <w:u w:val="single"/>
                </w:rPr>
                <w:t>http://canlii.ca/t/g2pzr</w:t>
              </w:r>
            </w:hyperlink>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Crown’s appeal allowed; stay of proceedings set aside; new trial ordered</w:t>
            </w:r>
          </w:p>
          <w:p w:rsidR="00B25972" w:rsidRPr="003C6CEA" w:rsidRDefault="00B25972" w:rsidP="00347C73">
            <w:pPr>
              <w:jc w:val="both"/>
              <w:rPr>
                <w:rFonts w:eastAsia="Calibri"/>
                <w:sz w:val="20"/>
              </w:rPr>
            </w:pPr>
          </w:p>
        </w:tc>
      </w:tr>
      <w:tr w:rsidR="00B25972" w:rsidRPr="003C6CEA" w:rsidTr="00FA1DE8">
        <w:trPr>
          <w:cantSplit/>
        </w:trPr>
        <w:tc>
          <w:tcPr>
            <w:tcW w:w="2427" w:type="pct"/>
          </w:tcPr>
          <w:p w:rsidR="00B25972" w:rsidRPr="003C6CEA" w:rsidRDefault="00B25972" w:rsidP="00347C73">
            <w:pPr>
              <w:jc w:val="both"/>
              <w:rPr>
                <w:rFonts w:eastAsia="Calibri"/>
                <w:sz w:val="20"/>
              </w:rPr>
            </w:pPr>
            <w:r w:rsidRPr="003C6CEA">
              <w:rPr>
                <w:rFonts w:eastAsia="Calibri"/>
                <w:sz w:val="20"/>
              </w:rPr>
              <w:lastRenderedPageBreak/>
              <w:t>June 9, 2014</w:t>
            </w:r>
          </w:p>
          <w:p w:rsidR="00B25972" w:rsidRPr="003C6CEA" w:rsidRDefault="00B25972" w:rsidP="00347C73">
            <w:pPr>
              <w:jc w:val="both"/>
              <w:rPr>
                <w:rFonts w:eastAsia="Calibri"/>
                <w:sz w:val="20"/>
              </w:rPr>
            </w:pPr>
            <w:r w:rsidRPr="003C6CEA">
              <w:rPr>
                <w:rFonts w:eastAsia="Calibri"/>
                <w:sz w:val="20"/>
              </w:rPr>
              <w:t>Supreme Court of Canada</w:t>
            </w:r>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Motion for an extension of time to serve and file the application for leave to appeal and 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77"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5972" w:rsidRPr="00225EDC" w:rsidTr="00347C73">
        <w:tc>
          <w:tcPr>
            <w:tcW w:w="5000" w:type="pct"/>
            <w:gridSpan w:val="3"/>
          </w:tcPr>
          <w:p w:rsidR="00B25972" w:rsidRPr="003C6CEA" w:rsidRDefault="00B25972" w:rsidP="00347C73">
            <w:pPr>
              <w:jc w:val="both"/>
              <w:rPr>
                <w:rFonts w:eastAsia="Calibri"/>
                <w:sz w:val="20"/>
                <w:lang w:val="fr-CA"/>
              </w:rPr>
            </w:pPr>
            <w:r w:rsidRPr="003C6CEA">
              <w:rPr>
                <w:rFonts w:eastAsia="Calibri"/>
                <w:sz w:val="20"/>
                <w:lang w:val="fr-CA"/>
              </w:rPr>
              <w:t>Droit criminel – Procès – Arrêt des procédures – Préclusion – Appel interjeté par le ministère public d’un arrêt des procédures pour préclusion découlant d’une question déjà tranchée prononcé relativement à une accusation de possession de cocaïne en vue d’en faire le trafic, accueilli – En matière pénale, quel est le critère d’appréciation du caractère définitif relativement à la préclusion découlant d’une question déjà tranchée? – Lorsque les conditions de la préclusion découlant d’une question déjà tranchée en matière pénale sont remplies, le tribunal a-t-il le pouvoir discrétionnaire de ne pas l’appliquer? – L’affaire soulève-t-elle des questions d’importance pour le public?</w:t>
            </w:r>
          </w:p>
        </w:tc>
      </w:tr>
      <w:tr w:rsidR="00B25972" w:rsidRPr="00225EDC" w:rsidTr="00347C73">
        <w:tc>
          <w:tcPr>
            <w:tcW w:w="5000" w:type="pct"/>
            <w:gridSpan w:val="3"/>
          </w:tcPr>
          <w:p w:rsidR="00B25972" w:rsidRPr="003C6CEA" w:rsidRDefault="00B25972" w:rsidP="00347C73">
            <w:pPr>
              <w:jc w:val="both"/>
              <w:rPr>
                <w:rFonts w:eastAsia="Calibri"/>
                <w:sz w:val="20"/>
                <w:lang w:val="fr-CA"/>
              </w:rPr>
            </w:pPr>
          </w:p>
        </w:tc>
      </w:tr>
      <w:tr w:rsidR="00B25972" w:rsidRPr="00225EDC" w:rsidTr="00347C73">
        <w:tc>
          <w:tcPr>
            <w:tcW w:w="5000" w:type="pct"/>
            <w:gridSpan w:val="3"/>
          </w:tcPr>
          <w:p w:rsidR="00B25972" w:rsidRPr="003C6CEA" w:rsidRDefault="00B25972" w:rsidP="00347C73">
            <w:pPr>
              <w:jc w:val="both"/>
              <w:rPr>
                <w:rFonts w:eastAsia="Calibri"/>
                <w:sz w:val="20"/>
                <w:lang w:val="fr-CA"/>
              </w:rPr>
            </w:pPr>
            <w:r w:rsidRPr="003C6CEA">
              <w:rPr>
                <w:rFonts w:eastAsia="Calibri"/>
                <w:sz w:val="20"/>
                <w:lang w:val="fr-CA"/>
              </w:rPr>
              <w:t>Dans la première instance, le ministère public intimé a allégué que le demandeur avait enfreint une ordonnance de sursis – de ne pas troubler l’ordre public et d’avoir une bonne conduite – après que les policiers eurent trouvé du crack et de la cocaïne en poudre dans sa chambre à coucher.  Le ministère public a été débouté, faute de preuve permettant d’établir que le demandeur était en possession des substances saisies.</w:t>
            </w:r>
          </w:p>
          <w:p w:rsidR="00B25972" w:rsidRPr="003C6CEA" w:rsidRDefault="00B25972" w:rsidP="00347C73">
            <w:pPr>
              <w:jc w:val="both"/>
              <w:rPr>
                <w:rFonts w:eastAsia="Calibri"/>
                <w:sz w:val="20"/>
                <w:lang w:val="fr-CA"/>
              </w:rPr>
            </w:pPr>
          </w:p>
          <w:p w:rsidR="00B25972" w:rsidRPr="003C6CEA" w:rsidRDefault="00B25972" w:rsidP="00347C73">
            <w:pPr>
              <w:jc w:val="both"/>
              <w:rPr>
                <w:rFonts w:eastAsia="Calibri"/>
                <w:sz w:val="20"/>
                <w:lang w:val="fr-CA"/>
              </w:rPr>
            </w:pPr>
            <w:r w:rsidRPr="003C6CEA">
              <w:rPr>
                <w:rFonts w:eastAsia="Calibri"/>
                <w:sz w:val="20"/>
                <w:lang w:val="fr-CA"/>
              </w:rPr>
              <w:t>Dans la deuxième instance, le demandeur a été accusé de possession de la même cocaïne aux fins d’en faire le trafic.  Cette poursuite a échoué elle aussi.  La juge du procès a statué que la préclusion découlant d’une question déjà tranchée empêchait le ministère public d’introduire des éléments de preuve selon lesquelles le demandeur était en possession de cocaïne en vue d’en faire le trafic, puisque la question de la possession de cocaïne avait été tranchée en faveur du demandeur à l’audience sur la révocation.  La juge du procès a ordonné l’arrêt des procédures pour préclusion découlant d’une question déjà tranchée.  La Cour d’appel a accueilli l’appel du ministère public, annulé l’arrêt des procédures et ordonné un nouveau procès.</w:t>
            </w:r>
          </w:p>
          <w:p w:rsidR="00B25972" w:rsidRPr="003C6CEA" w:rsidRDefault="00B25972" w:rsidP="00347C73">
            <w:pPr>
              <w:jc w:val="both"/>
              <w:rPr>
                <w:rFonts w:eastAsia="Calibri"/>
                <w:sz w:val="20"/>
                <w:lang w:val="fr-CA"/>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5 juillet 2012</w:t>
            </w:r>
          </w:p>
          <w:p w:rsidR="00B25972" w:rsidRPr="003C6CEA" w:rsidRDefault="00B25972" w:rsidP="00347C73">
            <w:pPr>
              <w:jc w:val="both"/>
              <w:rPr>
                <w:rFonts w:eastAsia="Calibri"/>
                <w:sz w:val="20"/>
                <w:lang w:val="fr-CA"/>
              </w:rPr>
            </w:pPr>
            <w:r w:rsidRPr="003C6CEA">
              <w:rPr>
                <w:rFonts w:eastAsia="Calibri"/>
                <w:sz w:val="20"/>
                <w:lang w:val="fr-CA"/>
              </w:rPr>
              <w:t>Cour supérieure de justice de l’Ontario</w:t>
            </w:r>
          </w:p>
          <w:p w:rsidR="00B25972" w:rsidRPr="003C6CEA" w:rsidRDefault="00B25972" w:rsidP="00347C73">
            <w:pPr>
              <w:jc w:val="both"/>
              <w:rPr>
                <w:rFonts w:eastAsia="Calibri"/>
                <w:sz w:val="20"/>
                <w:lang w:val="fr-CA"/>
              </w:rPr>
            </w:pPr>
            <w:r w:rsidRPr="003C6CEA">
              <w:rPr>
                <w:rFonts w:eastAsia="Calibri"/>
                <w:sz w:val="20"/>
                <w:lang w:val="fr-CA"/>
              </w:rPr>
              <w:t>(Juge Allen)</w:t>
            </w:r>
          </w:p>
          <w:p w:rsidR="00B25972" w:rsidRPr="003C6CEA" w:rsidRDefault="00B25972" w:rsidP="00347C73">
            <w:pPr>
              <w:jc w:val="both"/>
              <w:rPr>
                <w:rFonts w:eastAsia="Calibri"/>
                <w:sz w:val="20"/>
                <w:lang w:val="fr-CA"/>
              </w:rPr>
            </w:pPr>
            <w:r w:rsidRPr="003C6CEA">
              <w:rPr>
                <w:rFonts w:eastAsia="Calibri"/>
                <w:sz w:val="20"/>
                <w:lang w:val="fr-CA"/>
              </w:rPr>
              <w:t>2012 ONSC 3979</w:t>
            </w:r>
          </w:p>
          <w:p w:rsidR="00B25972" w:rsidRPr="003C6CEA" w:rsidRDefault="00215143" w:rsidP="00347C73">
            <w:pPr>
              <w:jc w:val="both"/>
              <w:rPr>
                <w:rFonts w:eastAsia="Calibri"/>
                <w:sz w:val="20"/>
                <w:lang w:val="fr-CA"/>
              </w:rPr>
            </w:pPr>
            <w:hyperlink r:id="rId89" w:history="1">
              <w:r w:rsidR="00B25972" w:rsidRPr="003C6CEA">
                <w:rPr>
                  <w:color w:val="0000FF"/>
                  <w:sz w:val="20"/>
                  <w:u w:val="single"/>
                  <w:lang w:val="fr-CA"/>
                </w:rPr>
                <w:t>http://canlii.ca/t/fs02p</w:t>
              </w:r>
            </w:hyperlink>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Arrêt des procédures prononcé relativement à des accusations de possession de cocaïne en vue d’en faire le trafic</w:t>
            </w:r>
          </w:p>
          <w:p w:rsidR="00B25972" w:rsidRPr="003C6CEA" w:rsidRDefault="00B25972" w:rsidP="00347C73">
            <w:pPr>
              <w:jc w:val="both"/>
              <w:rPr>
                <w:rFonts w:eastAsia="Calibri"/>
                <w:sz w:val="20"/>
                <w:lang w:val="fr-CA"/>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20 janvier 2014</w:t>
            </w:r>
          </w:p>
          <w:p w:rsidR="00B25972" w:rsidRPr="003C6CEA" w:rsidRDefault="00B25972" w:rsidP="00347C73">
            <w:pPr>
              <w:jc w:val="both"/>
              <w:rPr>
                <w:rFonts w:eastAsia="Calibri"/>
                <w:sz w:val="20"/>
                <w:lang w:val="fr-CA"/>
              </w:rPr>
            </w:pPr>
            <w:r w:rsidRPr="003C6CEA">
              <w:rPr>
                <w:rFonts w:eastAsia="Calibri"/>
                <w:sz w:val="20"/>
                <w:lang w:val="fr-CA"/>
              </w:rPr>
              <w:t>Cour d’appel de l’Ontario</w:t>
            </w:r>
          </w:p>
          <w:p w:rsidR="00B25972" w:rsidRPr="003C6CEA" w:rsidRDefault="00B25972" w:rsidP="00347C73">
            <w:pPr>
              <w:jc w:val="both"/>
              <w:rPr>
                <w:rFonts w:eastAsia="Calibri"/>
                <w:sz w:val="20"/>
                <w:lang w:val="fr-CA"/>
              </w:rPr>
            </w:pPr>
            <w:r w:rsidRPr="003C6CEA">
              <w:rPr>
                <w:rFonts w:eastAsia="Calibri"/>
                <w:sz w:val="20"/>
                <w:lang w:val="fr-CA"/>
              </w:rPr>
              <w:t>(Juges Cronk, Watt et van Rensburg)</w:t>
            </w:r>
          </w:p>
          <w:p w:rsidR="00B25972" w:rsidRPr="003C6CEA" w:rsidRDefault="00B25972" w:rsidP="00347C73">
            <w:pPr>
              <w:jc w:val="both"/>
              <w:rPr>
                <w:rFonts w:eastAsia="Calibri"/>
                <w:sz w:val="20"/>
              </w:rPr>
            </w:pPr>
            <w:r w:rsidRPr="003C6CEA">
              <w:rPr>
                <w:rFonts w:eastAsia="Calibri"/>
                <w:sz w:val="20"/>
              </w:rPr>
              <w:t>2014 ONCA 43</w:t>
            </w:r>
          </w:p>
          <w:p w:rsidR="00B25972" w:rsidRPr="003C6CEA" w:rsidRDefault="00215143" w:rsidP="00347C73">
            <w:pPr>
              <w:jc w:val="both"/>
              <w:rPr>
                <w:rFonts w:eastAsia="Calibri"/>
                <w:sz w:val="20"/>
              </w:rPr>
            </w:pPr>
            <w:hyperlink r:id="rId90" w:history="1">
              <w:r w:rsidR="00B25972" w:rsidRPr="003C6CEA">
                <w:rPr>
                  <w:color w:val="0000FF"/>
                  <w:sz w:val="20"/>
                  <w:u w:val="single"/>
                </w:rPr>
                <w:t>http://canlii.ca/t/g2pzr</w:t>
              </w:r>
            </w:hyperlink>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Appel du ministère public, accueilli; arrêt des procédures annulé; nouveau procès ordonné</w:t>
            </w:r>
          </w:p>
          <w:p w:rsidR="00B25972" w:rsidRPr="003C6CEA" w:rsidRDefault="00B25972" w:rsidP="00347C73">
            <w:pPr>
              <w:jc w:val="both"/>
              <w:rPr>
                <w:rFonts w:eastAsia="Calibri"/>
                <w:sz w:val="20"/>
                <w:lang w:val="fr-CA"/>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9 juin 2014</w:t>
            </w:r>
          </w:p>
          <w:p w:rsidR="00B25972" w:rsidRPr="003C6CEA" w:rsidRDefault="00B25972" w:rsidP="00347C73">
            <w:pPr>
              <w:jc w:val="both"/>
              <w:rPr>
                <w:rFonts w:eastAsia="Calibri"/>
                <w:sz w:val="20"/>
                <w:lang w:val="fr-CA"/>
              </w:rPr>
            </w:pPr>
            <w:r w:rsidRPr="003C6CEA">
              <w:rPr>
                <w:rFonts w:eastAsia="Calibri"/>
                <w:sz w:val="20"/>
                <w:lang w:val="fr-CA"/>
              </w:rPr>
              <w:t>Cour suprême du Canada</w:t>
            </w:r>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Requête en prorogation du délai de signification et de dépôt de la demande d’autorisation d’appel et demande d’autorisation d’appel, déposées</w:t>
            </w:r>
          </w:p>
        </w:tc>
      </w:tr>
    </w:tbl>
    <w:p w:rsidR="00402B2C" w:rsidRPr="00B25972" w:rsidRDefault="00402B2C" w:rsidP="00402B2C">
      <w:pPr>
        <w:rPr>
          <w:sz w:val="20"/>
          <w:szCs w:val="20"/>
          <w:lang w:val="fr-CA"/>
        </w:rPr>
      </w:pPr>
    </w:p>
    <w:p w:rsidR="00402B2C" w:rsidRDefault="00215143" w:rsidP="00402B2C">
      <w:pPr>
        <w:rPr>
          <w:sz w:val="20"/>
          <w:szCs w:val="20"/>
          <w:lang w:val="fr-CA"/>
        </w:rPr>
      </w:pPr>
      <w:r>
        <w:rPr>
          <w:sz w:val="20"/>
          <w:szCs w:val="20"/>
          <w:lang w:val="fr-CA"/>
        </w:rPr>
        <w:pict>
          <v:rect id="_x0000_i1078" style="width:2in;height:1pt" o:hrpct="0" o:hralign="center" o:hrstd="t" o:hrnoshade="t" o:hr="t" fillcolor="black [3213]" stroked="f"/>
        </w:pict>
      </w:r>
    </w:p>
    <w:p w:rsidR="00FA1DE8" w:rsidRDefault="00FA1DE8">
      <w:pPr>
        <w:rPr>
          <w:sz w:val="20"/>
          <w:szCs w:val="20"/>
          <w:lang w:val="fr-CA"/>
        </w:rPr>
      </w:pPr>
    </w:p>
    <w:p w:rsidR="00FA1DE8" w:rsidRDefault="00FA1DE8">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59A6" w:rsidRPr="00225EDC" w:rsidTr="00A43C58">
        <w:trPr>
          <w:cantSplit/>
        </w:trPr>
        <w:tc>
          <w:tcPr>
            <w:tcW w:w="1458" w:type="dxa"/>
          </w:tcPr>
          <w:p w:rsidR="008359A6" w:rsidRPr="0020097A" w:rsidRDefault="008359A6" w:rsidP="00A43C58">
            <w:pPr>
              <w:rPr>
                <w:sz w:val="20"/>
                <w:szCs w:val="20"/>
              </w:rPr>
            </w:pPr>
            <w:r w:rsidRPr="0020097A">
              <w:rPr>
                <w:rStyle w:val="SCCFileNumberChar"/>
                <w:sz w:val="20"/>
                <w:szCs w:val="20"/>
              </w:rPr>
              <w:lastRenderedPageBreak/>
              <w:t>35937</w:t>
            </w:r>
          </w:p>
          <w:p w:rsidR="008359A6" w:rsidRPr="0020097A" w:rsidRDefault="008359A6" w:rsidP="00A43C58">
            <w:pPr>
              <w:rPr>
                <w:b/>
                <w:sz w:val="20"/>
                <w:szCs w:val="20"/>
                <w:lang w:val="fr-CA"/>
              </w:rPr>
            </w:pPr>
          </w:p>
        </w:tc>
        <w:tc>
          <w:tcPr>
            <w:tcW w:w="8118" w:type="dxa"/>
          </w:tcPr>
          <w:p w:rsidR="008359A6" w:rsidRPr="0020097A" w:rsidRDefault="008359A6" w:rsidP="00A43C58">
            <w:pPr>
              <w:jc w:val="both"/>
              <w:rPr>
                <w:sz w:val="20"/>
                <w:szCs w:val="20"/>
                <w:lang w:val="fr-CA"/>
              </w:rPr>
            </w:pPr>
            <w:r w:rsidRPr="0020097A">
              <w:rPr>
                <w:rStyle w:val="SCCLsocChar"/>
                <w:sz w:val="20"/>
                <w:szCs w:val="20"/>
              </w:rPr>
              <w:t>Martine Labos</w:t>
            </w:r>
            <w:r>
              <w:rPr>
                <w:rStyle w:val="SCCLsocChar"/>
                <w:sz w:val="20"/>
                <w:szCs w:val="20"/>
              </w:rPr>
              <w:t>sière c. Université de Montréal et</w:t>
            </w:r>
            <w:r w:rsidRPr="0020097A">
              <w:rPr>
                <w:rStyle w:val="SCCLsocChar"/>
                <w:sz w:val="20"/>
                <w:szCs w:val="20"/>
              </w:rPr>
              <w:t xml:space="preserve"> Commission d'accès à l</w:t>
            </w:r>
            <w:r>
              <w:rPr>
                <w:rStyle w:val="SCCLsocChar"/>
                <w:sz w:val="20"/>
                <w:szCs w:val="20"/>
              </w:rPr>
              <w:t>’</w:t>
            </w:r>
            <w:r w:rsidRPr="0020097A">
              <w:rPr>
                <w:rStyle w:val="SCCLsocChar"/>
                <w:sz w:val="20"/>
                <w:szCs w:val="20"/>
              </w:rPr>
              <w:t>information du Québec</w:t>
            </w:r>
            <w:r w:rsidRPr="0020097A">
              <w:rPr>
                <w:sz w:val="20"/>
                <w:szCs w:val="20"/>
                <w:lang w:val="fr-CA"/>
              </w:rPr>
              <w:t xml:space="preserve"> (Qc) (Civile) (Autorisation)</w:t>
            </w:r>
          </w:p>
          <w:p w:rsidR="008359A6" w:rsidRPr="0020097A" w:rsidRDefault="008359A6" w:rsidP="00A43C58">
            <w:pPr>
              <w:jc w:val="both"/>
              <w:rPr>
                <w:sz w:val="20"/>
                <w:szCs w:val="20"/>
                <w:lang w:val="fr-CA"/>
              </w:rPr>
            </w:pPr>
          </w:p>
        </w:tc>
      </w:tr>
      <w:tr w:rsidR="008359A6" w:rsidRPr="00225EDC" w:rsidTr="00A43C58">
        <w:trPr>
          <w:cantSplit/>
        </w:trPr>
        <w:tc>
          <w:tcPr>
            <w:tcW w:w="1458" w:type="dxa"/>
          </w:tcPr>
          <w:p w:rsidR="008359A6" w:rsidRPr="0020097A" w:rsidRDefault="008359A6" w:rsidP="00A43C58">
            <w:pPr>
              <w:rPr>
                <w:sz w:val="20"/>
                <w:szCs w:val="20"/>
              </w:rPr>
            </w:pPr>
            <w:r w:rsidRPr="0020097A">
              <w:rPr>
                <w:sz w:val="20"/>
                <w:szCs w:val="20"/>
              </w:rPr>
              <w:t>Coram :</w:t>
            </w:r>
          </w:p>
        </w:tc>
        <w:tc>
          <w:tcPr>
            <w:tcW w:w="8118" w:type="dxa"/>
          </w:tcPr>
          <w:p w:rsidR="008359A6" w:rsidRPr="0020097A" w:rsidRDefault="008359A6" w:rsidP="00A43C58">
            <w:pPr>
              <w:rPr>
                <w:sz w:val="20"/>
                <w:szCs w:val="20"/>
                <w:lang w:val="fr-CA"/>
              </w:rPr>
            </w:pPr>
            <w:r w:rsidRPr="0020097A">
              <w:rPr>
                <w:rStyle w:val="SCCCoramChar"/>
                <w:sz w:val="20"/>
                <w:szCs w:val="20"/>
              </w:rPr>
              <w:t>La juge en chef McLachlin et les juges Cromwell et Wagner</w:t>
            </w:r>
          </w:p>
          <w:p w:rsidR="008359A6" w:rsidRPr="0020097A" w:rsidRDefault="008359A6" w:rsidP="00A43C58">
            <w:pPr>
              <w:rPr>
                <w:sz w:val="20"/>
                <w:szCs w:val="20"/>
                <w:u w:val="single"/>
                <w:lang w:val="fr-CA"/>
              </w:rPr>
            </w:pPr>
          </w:p>
        </w:tc>
      </w:tr>
      <w:tr w:rsidR="008359A6" w:rsidRPr="0020097A" w:rsidTr="00A43C58">
        <w:trPr>
          <w:cantSplit/>
        </w:trPr>
        <w:tc>
          <w:tcPr>
            <w:tcW w:w="9576" w:type="dxa"/>
            <w:gridSpan w:val="2"/>
          </w:tcPr>
          <w:p w:rsidR="008359A6" w:rsidRPr="0020097A" w:rsidRDefault="008359A6" w:rsidP="00A43C58">
            <w:pPr>
              <w:pStyle w:val="SCCShortJudgment"/>
              <w:rPr>
                <w:szCs w:val="20"/>
                <w:lang w:val="fr-CA"/>
              </w:rPr>
            </w:pPr>
            <w:r w:rsidRPr="0020097A">
              <w:rPr>
                <w:szCs w:val="20"/>
                <w:lang w:val="fr-CA"/>
              </w:rPr>
              <w:t>La requête à un juge pour remédier aux abus de pouvoir est rejetée.  La demande d’autorisation d’appel de l’arrêt de la Cour d’appel du Québec (Montréal), numéro 500-09-024231-144, 2014 QCCA 715, daté du 7 avril 2014, est rejetée avec dépens.</w:t>
            </w:r>
          </w:p>
          <w:p w:rsidR="008359A6" w:rsidRPr="0020097A" w:rsidRDefault="008359A6" w:rsidP="00A43C58">
            <w:pPr>
              <w:pStyle w:val="SCCShortJudgment"/>
              <w:ind w:firstLine="0"/>
              <w:rPr>
                <w:szCs w:val="20"/>
                <w:lang w:val="fr-CA"/>
              </w:rPr>
            </w:pPr>
          </w:p>
          <w:p w:rsidR="008359A6" w:rsidRPr="0020097A" w:rsidRDefault="008359A6" w:rsidP="00A43C58">
            <w:pPr>
              <w:pStyle w:val="SCCShortJudgment"/>
              <w:rPr>
                <w:szCs w:val="20"/>
              </w:rPr>
            </w:pPr>
            <w:r w:rsidRPr="0020097A">
              <w:rPr>
                <w:szCs w:val="20"/>
              </w:rPr>
              <w:t>The motion to a judge to remedy abuses of power is dismissed.  The application for leave to appeal from the judgment of the Court of Appeal of Quebec (Montréal), Number 500-09-024231-144, 2014 QCCA 715, dated April 7, 2014, is dismissed with costs.</w:t>
            </w:r>
          </w:p>
        </w:tc>
      </w:tr>
    </w:tbl>
    <w:p w:rsidR="00402B2C" w:rsidRDefault="00402B2C" w:rsidP="00402B2C">
      <w:pPr>
        <w:rPr>
          <w:sz w:val="20"/>
          <w:szCs w:val="20"/>
        </w:rPr>
      </w:pPr>
    </w:p>
    <w:p w:rsidR="00402B2C" w:rsidRPr="001B157C" w:rsidRDefault="00402B2C" w:rsidP="00402B2C">
      <w:pPr>
        <w:rPr>
          <w:sz w:val="20"/>
          <w:szCs w:val="20"/>
          <w:u w:val="single"/>
        </w:rPr>
      </w:pPr>
      <w:r w:rsidRPr="001B157C">
        <w:rPr>
          <w:sz w:val="20"/>
          <w:szCs w:val="20"/>
          <w:u w:val="single"/>
        </w:rPr>
        <w:t>CASE SUMMARY</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5972" w:rsidRPr="003C6CEA" w:rsidTr="00347C73">
        <w:tc>
          <w:tcPr>
            <w:tcW w:w="5000" w:type="pct"/>
            <w:gridSpan w:val="3"/>
          </w:tcPr>
          <w:p w:rsidR="00B25972" w:rsidRPr="003C6CEA" w:rsidRDefault="00B25972" w:rsidP="00347C73">
            <w:pPr>
              <w:jc w:val="both"/>
              <w:rPr>
                <w:rFonts w:eastAsia="Calibri"/>
                <w:sz w:val="20"/>
              </w:rPr>
            </w:pPr>
            <w:r w:rsidRPr="003C6CEA">
              <w:rPr>
                <w:rFonts w:eastAsia="Calibri"/>
                <w:sz w:val="20"/>
              </w:rPr>
              <w:t xml:space="preserve">Civil procedure – Appeal – Motion for leave to appeal Court of Québec judgment dismissed for lack of jurisdiction, since s. 154 of </w:t>
            </w:r>
            <w:r w:rsidRPr="003C6CEA">
              <w:rPr>
                <w:rFonts w:eastAsia="Calibri"/>
                <w:i/>
                <w:sz w:val="20"/>
              </w:rPr>
              <w:t>Act respecting Access to documents held by public bodies and the Protection of personal information</w:t>
            </w:r>
            <w:r w:rsidRPr="003C6CEA">
              <w:rPr>
                <w:rFonts w:eastAsia="Calibri"/>
                <w:sz w:val="20"/>
              </w:rPr>
              <w:t>, R.S.Q., c. A-2.1, providing that such judgment final.</w:t>
            </w:r>
          </w:p>
        </w:tc>
      </w:tr>
      <w:tr w:rsidR="00B25972" w:rsidRPr="003C6CEA" w:rsidTr="00347C73">
        <w:tc>
          <w:tcPr>
            <w:tcW w:w="5000" w:type="pct"/>
            <w:gridSpan w:val="3"/>
          </w:tcPr>
          <w:p w:rsidR="00B25972" w:rsidRPr="003C6CEA" w:rsidRDefault="00B25972" w:rsidP="00347C73">
            <w:pPr>
              <w:jc w:val="both"/>
              <w:rPr>
                <w:rFonts w:eastAsia="Calibri"/>
                <w:sz w:val="20"/>
              </w:rPr>
            </w:pPr>
          </w:p>
        </w:tc>
      </w:tr>
      <w:tr w:rsidR="00B25972" w:rsidRPr="003C6CEA" w:rsidTr="00347C73">
        <w:tc>
          <w:tcPr>
            <w:tcW w:w="5000" w:type="pct"/>
            <w:gridSpan w:val="3"/>
          </w:tcPr>
          <w:p w:rsidR="00B25972" w:rsidRPr="003C6CEA" w:rsidRDefault="00B25972" w:rsidP="00347C73">
            <w:pPr>
              <w:jc w:val="both"/>
              <w:rPr>
                <w:rFonts w:eastAsia="Calibri"/>
                <w:sz w:val="20"/>
              </w:rPr>
            </w:pPr>
            <w:r w:rsidRPr="003C6CEA">
              <w:rPr>
                <w:rFonts w:eastAsia="Calibri"/>
                <w:sz w:val="20"/>
              </w:rPr>
              <w:t xml:space="preserve">In 2010, Ms. Labossière, then a student at the Université de Montréal, asked the university to send her two reports written by university authorities in connection with complaints (harassment, breach of ethics) she had filed after failing.  The documents were given to Ms. Labossière, but certain passages were redacted pursuant to ss. 14, 53 and 88 of the </w:t>
            </w:r>
            <w:r w:rsidRPr="003C6CEA">
              <w:rPr>
                <w:rFonts w:eastAsia="Calibri"/>
                <w:i/>
                <w:sz w:val="20"/>
              </w:rPr>
              <w:t>Act respecting Access to documents held by public bodies and the Protection of personal information</w:t>
            </w:r>
            <w:r w:rsidRPr="003C6CEA">
              <w:rPr>
                <w:rFonts w:eastAsia="Calibri"/>
                <w:sz w:val="20"/>
              </w:rPr>
              <w:t xml:space="preserve">.  Ms. Labossière then filed applications for review with the Commission d’accès à l’information.  On May 30, 2012, the Commission found in part in her favour and ordered the university to release some of the information to her. </w:t>
            </w:r>
          </w:p>
          <w:p w:rsidR="00B25972" w:rsidRPr="003C6CEA" w:rsidRDefault="00B25972" w:rsidP="00347C73">
            <w:pPr>
              <w:jc w:val="both"/>
              <w:rPr>
                <w:rFonts w:eastAsia="Calibri"/>
                <w:sz w:val="20"/>
              </w:rPr>
            </w:pPr>
          </w:p>
          <w:p w:rsidR="00B25972" w:rsidRPr="003C6CEA" w:rsidRDefault="00B25972" w:rsidP="00347C73">
            <w:pPr>
              <w:jc w:val="both"/>
              <w:rPr>
                <w:rFonts w:eastAsia="Calibri"/>
                <w:sz w:val="20"/>
              </w:rPr>
            </w:pPr>
            <w:r w:rsidRPr="003C6CEA">
              <w:rPr>
                <w:rFonts w:eastAsia="Calibri"/>
                <w:sz w:val="20"/>
              </w:rPr>
              <w:t>The university successfully appealed part of the decision to the Court of Québec.  Judge Cameron found that the Commission had not given adequate reasons for its decision applying the disclosure exception in s. 88 of the Act.  He therefore remitted the matter to the Commission so it could reconsider the application of the s. 88 criteria to the facts and circumstances and provide reasons for its decision accordingly.</w:t>
            </w:r>
          </w:p>
          <w:p w:rsidR="00B25972" w:rsidRPr="003C6CEA" w:rsidRDefault="00B25972" w:rsidP="00347C73">
            <w:pPr>
              <w:jc w:val="both"/>
              <w:rPr>
                <w:rFonts w:eastAsia="Calibri"/>
                <w:sz w:val="20"/>
              </w:rPr>
            </w:pPr>
          </w:p>
          <w:p w:rsidR="00B25972" w:rsidRPr="003C6CEA" w:rsidRDefault="00B25972" w:rsidP="00347C73">
            <w:pPr>
              <w:jc w:val="both"/>
              <w:rPr>
                <w:rFonts w:eastAsia="Calibri"/>
                <w:sz w:val="20"/>
              </w:rPr>
            </w:pPr>
            <w:r w:rsidRPr="003C6CEA">
              <w:rPr>
                <w:rFonts w:eastAsia="Calibri"/>
                <w:sz w:val="20"/>
              </w:rPr>
              <w:t>Ms. Labossière then sought leave to appeal the decision to the Court of Appeal, which found that it had no jurisdiction because s. 154 of the Act stated that the decision of the Court of Québec judge was final.  Given the lack of jurisdiction, it dismissed Ms. Labossière’s other motions.</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November 29, 2013</w:t>
            </w:r>
          </w:p>
          <w:p w:rsidR="00B25972" w:rsidRPr="003C6CEA" w:rsidRDefault="00B25972" w:rsidP="00347C73">
            <w:pPr>
              <w:jc w:val="both"/>
              <w:rPr>
                <w:rFonts w:eastAsia="Calibri"/>
                <w:sz w:val="20"/>
              </w:rPr>
            </w:pPr>
            <w:r w:rsidRPr="003C6CEA">
              <w:rPr>
                <w:rFonts w:eastAsia="Calibri"/>
                <w:sz w:val="20"/>
              </w:rPr>
              <w:t>Court of Québec</w:t>
            </w:r>
          </w:p>
          <w:p w:rsidR="00B25972" w:rsidRPr="003C6CEA" w:rsidRDefault="00B25972" w:rsidP="00347C73">
            <w:pPr>
              <w:jc w:val="both"/>
              <w:rPr>
                <w:rFonts w:eastAsia="Calibri"/>
                <w:sz w:val="20"/>
              </w:rPr>
            </w:pPr>
            <w:r w:rsidRPr="003C6CEA">
              <w:rPr>
                <w:rFonts w:eastAsia="Calibri"/>
                <w:sz w:val="20"/>
              </w:rPr>
              <w:t>(Judge Cameron)</w:t>
            </w:r>
          </w:p>
          <w:p w:rsidR="00B25972" w:rsidRPr="003C6CEA" w:rsidRDefault="00215143" w:rsidP="00347C73">
            <w:pPr>
              <w:jc w:val="both"/>
              <w:rPr>
                <w:rFonts w:eastAsia="Calibri"/>
                <w:sz w:val="20"/>
              </w:rPr>
            </w:pPr>
            <w:hyperlink r:id="rId91" w:history="1">
              <w:r w:rsidR="00B25972" w:rsidRPr="003C6CEA">
                <w:rPr>
                  <w:rFonts w:eastAsia="Calibri"/>
                  <w:color w:val="0000FF"/>
                  <w:sz w:val="20"/>
                  <w:u w:val="single"/>
                </w:rPr>
                <w:t>2013 QCCQ 15889</w:t>
              </w:r>
            </w:hyperlink>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Appeal from decision of Commission d’accès à l’information allowed; decision set aside; matter remitted to Commission for redetermination</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April 7, 2014</w:t>
            </w:r>
          </w:p>
          <w:p w:rsidR="00B25972" w:rsidRPr="003C6CEA" w:rsidRDefault="00B25972" w:rsidP="00347C73">
            <w:pPr>
              <w:jc w:val="both"/>
              <w:rPr>
                <w:rFonts w:eastAsia="Calibri"/>
                <w:sz w:val="20"/>
              </w:rPr>
            </w:pPr>
            <w:r w:rsidRPr="003C6CEA">
              <w:rPr>
                <w:rFonts w:eastAsia="Calibri"/>
                <w:sz w:val="20"/>
              </w:rPr>
              <w:t>Quebec Court of Appeal (Montréal)</w:t>
            </w:r>
          </w:p>
          <w:p w:rsidR="00B25972" w:rsidRPr="003C6CEA" w:rsidRDefault="00B25972" w:rsidP="00347C73">
            <w:pPr>
              <w:jc w:val="both"/>
              <w:rPr>
                <w:rFonts w:eastAsia="Calibri"/>
                <w:sz w:val="20"/>
              </w:rPr>
            </w:pPr>
            <w:r w:rsidRPr="003C6CEA">
              <w:rPr>
                <w:rFonts w:eastAsia="Calibri"/>
                <w:sz w:val="20"/>
              </w:rPr>
              <w:t>(Rochette, Rochon and Vézina JJ.A.)</w:t>
            </w:r>
          </w:p>
          <w:p w:rsidR="00B25972" w:rsidRPr="003C6CEA" w:rsidRDefault="00B25972" w:rsidP="00347C73">
            <w:pPr>
              <w:jc w:val="both"/>
              <w:rPr>
                <w:rFonts w:eastAsia="Calibri"/>
                <w:sz w:val="20"/>
              </w:rPr>
            </w:pPr>
            <w:r w:rsidRPr="003C6CEA">
              <w:rPr>
                <w:rFonts w:eastAsia="Calibri"/>
                <w:sz w:val="20"/>
              </w:rPr>
              <w:t xml:space="preserve">500-09-024231-144; </w:t>
            </w:r>
            <w:hyperlink r:id="rId92" w:history="1">
              <w:r w:rsidRPr="003C6CEA">
                <w:rPr>
                  <w:rFonts w:eastAsia="Calibri"/>
                  <w:color w:val="0000FF"/>
                  <w:sz w:val="20"/>
                  <w:u w:val="single"/>
                </w:rPr>
                <w:t>2014 QCCA 715</w:t>
              </w:r>
            </w:hyperlink>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Motion for leave to appeal dismissed</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June 6, 2014</w:t>
            </w:r>
          </w:p>
          <w:p w:rsidR="00B25972" w:rsidRPr="003C6CEA" w:rsidRDefault="00B25972" w:rsidP="00347C73">
            <w:pPr>
              <w:jc w:val="both"/>
              <w:rPr>
                <w:rFonts w:eastAsia="Calibri"/>
                <w:sz w:val="20"/>
              </w:rPr>
            </w:pPr>
            <w:r w:rsidRPr="003C6CEA">
              <w:rPr>
                <w:rFonts w:eastAsia="Calibri"/>
                <w:sz w:val="20"/>
              </w:rPr>
              <w:t>Supreme Court of Canada</w:t>
            </w: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Application for leave to appeal filed</w:t>
            </w:r>
          </w:p>
        </w:tc>
      </w:tr>
    </w:tbl>
    <w:p w:rsidR="00402B2C" w:rsidRDefault="00402B2C" w:rsidP="00402B2C">
      <w:pPr>
        <w:rPr>
          <w:sz w:val="20"/>
          <w:szCs w:val="20"/>
        </w:rPr>
      </w:pPr>
    </w:p>
    <w:p w:rsidR="00402B2C" w:rsidRPr="00C50A5C" w:rsidRDefault="00215143" w:rsidP="00402B2C">
      <w:pPr>
        <w:rPr>
          <w:sz w:val="20"/>
          <w:szCs w:val="20"/>
        </w:rPr>
      </w:pPr>
      <w:r>
        <w:rPr>
          <w:sz w:val="20"/>
          <w:szCs w:val="20"/>
          <w:lang w:val="fr-CA"/>
        </w:rPr>
        <w:pict>
          <v:rect id="_x0000_i1079" style="width:2in;height:1pt" o:hrpct="0" o:hralign="center" o:hrstd="t" o:hrnoshade="t" o:hr="t" fillcolor="black [3213]" stroked="f"/>
        </w:pict>
      </w:r>
    </w:p>
    <w:p w:rsidR="00402B2C" w:rsidRDefault="00402B2C" w:rsidP="00402B2C">
      <w:pPr>
        <w:rPr>
          <w:sz w:val="20"/>
          <w:szCs w:val="20"/>
        </w:rPr>
      </w:pPr>
    </w:p>
    <w:p w:rsidR="00402B2C" w:rsidRPr="001B157C" w:rsidRDefault="00402B2C" w:rsidP="00402B2C">
      <w:pPr>
        <w:rPr>
          <w:sz w:val="20"/>
          <w:szCs w:val="20"/>
          <w:u w:val="single"/>
          <w:lang w:val="fr-CA"/>
        </w:rPr>
      </w:pPr>
      <w:r w:rsidRPr="001B157C">
        <w:rPr>
          <w:sz w:val="20"/>
          <w:szCs w:val="20"/>
          <w:u w:val="single"/>
          <w:lang w:val="fr-CA"/>
        </w:rPr>
        <w:lastRenderedPageBreak/>
        <w:t>RÉSUMÉ DE L’AFFAIRE</w:t>
      </w:r>
    </w:p>
    <w:p w:rsidR="00402B2C" w:rsidRDefault="00402B2C" w:rsidP="00402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5972" w:rsidRPr="003C6CEA" w:rsidTr="00347C73">
        <w:tc>
          <w:tcPr>
            <w:tcW w:w="5000" w:type="pct"/>
            <w:gridSpan w:val="3"/>
          </w:tcPr>
          <w:p w:rsidR="00B25972" w:rsidRPr="003C6CEA" w:rsidRDefault="00B25972" w:rsidP="00347C73">
            <w:pPr>
              <w:jc w:val="both"/>
              <w:rPr>
                <w:rFonts w:eastAsia="Calibri"/>
                <w:sz w:val="20"/>
                <w:lang w:val="fr-CA"/>
              </w:rPr>
            </w:pPr>
            <w:r w:rsidRPr="003C6CEA">
              <w:rPr>
                <w:rFonts w:eastAsia="Calibri"/>
                <w:sz w:val="20"/>
                <w:lang w:val="fr-CA"/>
              </w:rPr>
              <w:t xml:space="preserve">Procédure civile – Appel – Requête pour permission d’appeler d’un jugement de la Cour du Québec rejetée au motif d’absence de compétence, l’art. 154 de la </w:t>
            </w:r>
            <w:r w:rsidRPr="003C6CEA">
              <w:rPr>
                <w:rFonts w:eastAsia="Calibri"/>
                <w:i/>
                <w:sz w:val="20"/>
                <w:lang w:val="fr-CA"/>
              </w:rPr>
              <w:t>Loi sur l’accès aux documents des organismes publics et sur la protection des renseignements personnels</w:t>
            </w:r>
            <w:r w:rsidRPr="003C6CEA">
              <w:rPr>
                <w:rFonts w:eastAsia="Calibri"/>
                <w:sz w:val="20"/>
                <w:lang w:val="fr-CA"/>
              </w:rPr>
              <w:t>, L.R.Q., ch. A-2.1, prévoyant qu’un tel jugement n’est pas susceptible d’appel.</w:t>
            </w:r>
          </w:p>
        </w:tc>
      </w:tr>
      <w:tr w:rsidR="00B25972" w:rsidRPr="003C6CEA" w:rsidTr="00347C73">
        <w:tc>
          <w:tcPr>
            <w:tcW w:w="5000" w:type="pct"/>
            <w:gridSpan w:val="3"/>
          </w:tcPr>
          <w:p w:rsidR="00B25972" w:rsidRPr="003C6CEA" w:rsidRDefault="00B25972" w:rsidP="00347C73">
            <w:pPr>
              <w:jc w:val="both"/>
              <w:rPr>
                <w:rFonts w:eastAsia="Calibri"/>
                <w:sz w:val="20"/>
                <w:lang w:val="fr-CA"/>
              </w:rPr>
            </w:pPr>
          </w:p>
        </w:tc>
      </w:tr>
      <w:tr w:rsidR="00B25972" w:rsidRPr="00225EDC" w:rsidTr="00347C73">
        <w:tc>
          <w:tcPr>
            <w:tcW w:w="5000" w:type="pct"/>
            <w:gridSpan w:val="3"/>
          </w:tcPr>
          <w:p w:rsidR="00B25972" w:rsidRPr="003C6CEA" w:rsidRDefault="00B25972" w:rsidP="00347C73">
            <w:pPr>
              <w:jc w:val="both"/>
              <w:rPr>
                <w:rFonts w:eastAsia="Calibri"/>
                <w:sz w:val="20"/>
                <w:lang w:val="fr-CA"/>
              </w:rPr>
            </w:pPr>
            <w:r w:rsidRPr="003C6CEA">
              <w:rPr>
                <w:rFonts w:eastAsia="Calibri"/>
                <w:sz w:val="20"/>
                <w:lang w:val="fr-CA"/>
              </w:rPr>
              <w:t xml:space="preserve">En 2010, Mme Labossière, alors étudiante à l’Université de Montréal, demande à l’Université de lui transmettre deux rapports rédigés par les autorités universitaires à l’occasion de plaintes (harcèlement; contravention à l’éthique) déposées par elle après qu’elle eut essuyé un échec. Les documents sont remis à Mme Labossière, mais certains passages sont masqués en application des art. 14, 53 et 88 de la </w:t>
            </w:r>
            <w:r w:rsidRPr="003C6CEA">
              <w:rPr>
                <w:rFonts w:eastAsia="Calibri"/>
                <w:i/>
                <w:sz w:val="20"/>
                <w:lang w:val="fr-CA"/>
              </w:rPr>
              <w:t>Loi sur l’accès aux documents des organismes publics et sur la protection des renseignements personnels</w:t>
            </w:r>
            <w:r w:rsidRPr="003C6CEA">
              <w:rPr>
                <w:rFonts w:eastAsia="Calibri"/>
                <w:sz w:val="20"/>
                <w:lang w:val="fr-CA"/>
              </w:rPr>
              <w:t xml:space="preserve">.  Mme Labossière dépose alors des demandes de révision à la Commission d’accès à l’information.  Le 30 mai 2012, la Commission lui donne en partie raison et ordonne à l’Université de lui communiquer certains des renseignements. </w:t>
            </w:r>
          </w:p>
          <w:p w:rsidR="00B25972" w:rsidRPr="003C6CEA" w:rsidRDefault="00B25972" w:rsidP="00347C73">
            <w:pPr>
              <w:jc w:val="both"/>
              <w:rPr>
                <w:rFonts w:eastAsia="Calibri"/>
                <w:sz w:val="20"/>
                <w:lang w:val="fr-CA"/>
              </w:rPr>
            </w:pPr>
          </w:p>
          <w:p w:rsidR="00B25972" w:rsidRPr="003C6CEA" w:rsidRDefault="00B25972" w:rsidP="00347C73">
            <w:pPr>
              <w:jc w:val="both"/>
              <w:rPr>
                <w:rFonts w:eastAsia="Calibri"/>
                <w:sz w:val="20"/>
                <w:lang w:val="fr-CA"/>
              </w:rPr>
            </w:pPr>
            <w:r w:rsidRPr="003C6CEA">
              <w:rPr>
                <w:rFonts w:eastAsia="Calibri"/>
                <w:sz w:val="20"/>
                <w:lang w:val="fr-CA"/>
              </w:rPr>
              <w:t>L’Université porte une partie de la décision en appel devant la Cour du Québec, avec succès.  Le juge Cameron estime que la décision de la Commission appliquant l’exception à la divulgation prévue par l’art. 88 de la Loi n’est pas suffisamment motivée.  Il retourne en conséquence le dossier à la Commission pour qu’elle étudie à nouveau l’application des critères de l’art. 88 aux faits et circonstances et pour qu’elle motive sa décision en conséquence.</w:t>
            </w:r>
          </w:p>
          <w:p w:rsidR="00B25972" w:rsidRPr="003C6CEA" w:rsidRDefault="00B25972" w:rsidP="00347C73">
            <w:pPr>
              <w:jc w:val="both"/>
              <w:rPr>
                <w:rFonts w:eastAsia="Calibri"/>
                <w:sz w:val="20"/>
                <w:lang w:val="fr-CA"/>
              </w:rPr>
            </w:pPr>
          </w:p>
          <w:p w:rsidR="00B25972" w:rsidRPr="003C6CEA" w:rsidRDefault="00B25972" w:rsidP="00347C73">
            <w:pPr>
              <w:jc w:val="both"/>
              <w:rPr>
                <w:rFonts w:eastAsia="Calibri"/>
                <w:sz w:val="20"/>
                <w:lang w:val="fr-CA"/>
              </w:rPr>
            </w:pPr>
            <w:r w:rsidRPr="003C6CEA">
              <w:rPr>
                <w:rFonts w:eastAsia="Calibri"/>
                <w:sz w:val="20"/>
                <w:lang w:val="fr-CA"/>
              </w:rPr>
              <w:t>Mme Labossière sollicite alors la permission d’appeler de la décision devant la Cour d’appel, mais celle-ci s’estime sans compétence, car l’art. 154 de la Loi énonce que la décision du juge de la Cour du Québec est sans appel.  Vu l’absence de compétence, elle rejette les autres requêtes de Mme Labossière.</w:t>
            </w:r>
          </w:p>
          <w:p w:rsidR="00B25972" w:rsidRPr="003C6CEA" w:rsidRDefault="00B25972" w:rsidP="00347C73">
            <w:pPr>
              <w:jc w:val="both"/>
              <w:rPr>
                <w:rFonts w:eastAsia="Calibri"/>
                <w:sz w:val="20"/>
                <w:lang w:val="fr-CA"/>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Le 29 novembre 2013</w:t>
            </w:r>
          </w:p>
          <w:p w:rsidR="00B25972" w:rsidRPr="003C6CEA" w:rsidRDefault="00B25972" w:rsidP="00347C73">
            <w:pPr>
              <w:jc w:val="both"/>
              <w:rPr>
                <w:rFonts w:eastAsia="Calibri"/>
                <w:sz w:val="20"/>
                <w:lang w:val="fr-CA"/>
              </w:rPr>
            </w:pPr>
            <w:r w:rsidRPr="003C6CEA">
              <w:rPr>
                <w:rFonts w:eastAsia="Calibri"/>
                <w:sz w:val="20"/>
                <w:lang w:val="fr-CA"/>
              </w:rPr>
              <w:t>Cour du Québec</w:t>
            </w:r>
          </w:p>
          <w:p w:rsidR="00B25972" w:rsidRPr="003C6CEA" w:rsidRDefault="00B25972" w:rsidP="00347C73">
            <w:pPr>
              <w:jc w:val="both"/>
              <w:rPr>
                <w:rFonts w:eastAsia="Calibri"/>
                <w:sz w:val="20"/>
                <w:lang w:val="fr-CA"/>
              </w:rPr>
            </w:pPr>
            <w:r w:rsidRPr="003C6CEA">
              <w:rPr>
                <w:rFonts w:eastAsia="Calibri"/>
                <w:sz w:val="20"/>
                <w:lang w:val="fr-CA"/>
              </w:rPr>
              <w:t>(Le juge Cameron)</w:t>
            </w:r>
          </w:p>
          <w:p w:rsidR="00B25972" w:rsidRPr="003C6CEA" w:rsidRDefault="00215143" w:rsidP="00347C73">
            <w:pPr>
              <w:jc w:val="both"/>
              <w:rPr>
                <w:rFonts w:eastAsia="Calibri"/>
                <w:sz w:val="20"/>
                <w:lang w:val="fr-CA"/>
              </w:rPr>
            </w:pPr>
            <w:hyperlink r:id="rId93" w:history="1">
              <w:r w:rsidR="00B25972" w:rsidRPr="003C6CEA">
                <w:rPr>
                  <w:rFonts w:eastAsia="Calibri"/>
                  <w:color w:val="0000FF"/>
                  <w:sz w:val="20"/>
                  <w:u w:val="single"/>
                  <w:lang w:val="fr-CA"/>
                </w:rPr>
                <w:t>2013 QCCQ 15889</w:t>
              </w:r>
            </w:hyperlink>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Appel d’une décision de la Commission d’accès à l’information accueilli; décision infirmée; dossier retourné à la Commission pour nouvelle décision</w:t>
            </w:r>
          </w:p>
          <w:p w:rsidR="00B25972" w:rsidRPr="003C6CEA" w:rsidRDefault="00B25972" w:rsidP="00347C73">
            <w:pPr>
              <w:jc w:val="both"/>
              <w:rPr>
                <w:rFonts w:eastAsia="Calibri"/>
                <w:sz w:val="20"/>
                <w:lang w:val="fr-CA"/>
              </w:rPr>
            </w:pPr>
          </w:p>
        </w:tc>
      </w:tr>
      <w:tr w:rsidR="00B25972" w:rsidRPr="003C6CEA"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Le 7 avril 2014</w:t>
            </w:r>
          </w:p>
          <w:p w:rsidR="00B25972" w:rsidRPr="003C6CEA" w:rsidRDefault="00B25972" w:rsidP="00347C73">
            <w:pPr>
              <w:jc w:val="both"/>
              <w:rPr>
                <w:rFonts w:eastAsia="Calibri"/>
                <w:sz w:val="20"/>
                <w:lang w:val="fr-CA"/>
              </w:rPr>
            </w:pPr>
            <w:r w:rsidRPr="003C6CEA">
              <w:rPr>
                <w:rFonts w:eastAsia="Calibri"/>
                <w:sz w:val="20"/>
                <w:lang w:val="fr-CA"/>
              </w:rPr>
              <w:t>Cour d’appel du Québec (Montréal)</w:t>
            </w:r>
          </w:p>
          <w:p w:rsidR="00B25972" w:rsidRPr="003C6CEA" w:rsidRDefault="00B25972" w:rsidP="00347C73">
            <w:pPr>
              <w:jc w:val="both"/>
              <w:rPr>
                <w:rFonts w:eastAsia="Calibri"/>
                <w:sz w:val="20"/>
                <w:lang w:val="fr-CA"/>
              </w:rPr>
            </w:pPr>
            <w:r w:rsidRPr="003C6CEA">
              <w:rPr>
                <w:rFonts w:eastAsia="Calibri"/>
                <w:sz w:val="20"/>
                <w:lang w:val="fr-CA"/>
              </w:rPr>
              <w:t>(Les juges Rochette, Rochon et Vézina)</w:t>
            </w:r>
          </w:p>
          <w:p w:rsidR="00B25972" w:rsidRPr="003C6CEA" w:rsidRDefault="00B25972" w:rsidP="00347C73">
            <w:pPr>
              <w:jc w:val="both"/>
              <w:rPr>
                <w:rFonts w:eastAsia="Calibri"/>
                <w:sz w:val="20"/>
                <w:lang w:val="fr-CA"/>
              </w:rPr>
            </w:pPr>
            <w:r w:rsidRPr="003C6CEA">
              <w:rPr>
                <w:rFonts w:eastAsia="Calibri"/>
                <w:sz w:val="20"/>
                <w:lang w:val="fr-CA"/>
              </w:rPr>
              <w:t xml:space="preserve">500-09-024231-144; </w:t>
            </w:r>
            <w:hyperlink r:id="rId94" w:history="1">
              <w:r w:rsidRPr="003C6CEA">
                <w:rPr>
                  <w:rFonts w:eastAsia="Calibri"/>
                  <w:color w:val="0000FF"/>
                  <w:sz w:val="20"/>
                  <w:u w:val="single"/>
                  <w:lang w:val="fr-CA"/>
                </w:rPr>
                <w:t>2014 QCCA 715</w:t>
              </w:r>
            </w:hyperlink>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Requête pour permission d’appeler rejetée</w:t>
            </w:r>
          </w:p>
          <w:p w:rsidR="00B25972" w:rsidRPr="003C6CEA" w:rsidRDefault="00B25972" w:rsidP="00347C73">
            <w:pPr>
              <w:jc w:val="both"/>
              <w:rPr>
                <w:rFonts w:eastAsia="Calibri"/>
                <w:sz w:val="20"/>
                <w:lang w:val="fr-CA"/>
              </w:rPr>
            </w:pPr>
          </w:p>
        </w:tc>
      </w:tr>
      <w:tr w:rsidR="00B25972" w:rsidRPr="003C6CEA"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Le 6 juin 2014</w:t>
            </w:r>
          </w:p>
          <w:p w:rsidR="00B25972" w:rsidRPr="003C6CEA" w:rsidRDefault="00B25972" w:rsidP="00347C73">
            <w:pPr>
              <w:jc w:val="both"/>
              <w:rPr>
                <w:rFonts w:eastAsia="Calibri"/>
                <w:sz w:val="20"/>
                <w:lang w:val="fr-CA"/>
              </w:rPr>
            </w:pPr>
            <w:r w:rsidRPr="003C6CEA">
              <w:rPr>
                <w:rFonts w:eastAsia="Calibri"/>
                <w:sz w:val="20"/>
                <w:lang w:val="fr-CA"/>
              </w:rPr>
              <w:t>Cour suprême du Canada</w:t>
            </w: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Demande d’autorisation d’appel déposée</w:t>
            </w:r>
          </w:p>
          <w:p w:rsidR="00B25972" w:rsidRPr="003C6CEA" w:rsidRDefault="00B25972" w:rsidP="00347C73">
            <w:pPr>
              <w:jc w:val="both"/>
              <w:rPr>
                <w:rFonts w:eastAsia="Calibri"/>
                <w:sz w:val="20"/>
                <w:lang w:val="fr-CA"/>
              </w:rPr>
            </w:pPr>
          </w:p>
        </w:tc>
      </w:tr>
    </w:tbl>
    <w:p w:rsidR="00402B2C" w:rsidRDefault="00402B2C" w:rsidP="00402B2C">
      <w:pPr>
        <w:rPr>
          <w:sz w:val="20"/>
          <w:szCs w:val="20"/>
        </w:rPr>
      </w:pPr>
    </w:p>
    <w:p w:rsidR="00402B2C" w:rsidRDefault="00215143" w:rsidP="00402B2C">
      <w:pPr>
        <w:rPr>
          <w:sz w:val="20"/>
          <w:szCs w:val="20"/>
          <w:lang w:val="fr-CA"/>
        </w:rPr>
      </w:pPr>
      <w:r>
        <w:rPr>
          <w:sz w:val="20"/>
          <w:szCs w:val="20"/>
          <w:lang w:val="fr-CA"/>
        </w:rPr>
        <w:pict>
          <v:rect id="_x0000_i1080" style="width:2in;height:1pt" o:hrpct="0" o:hralign="center" o:hrstd="t" o:hrnoshade="t" o:hr="t" fillcolor="black [3213]" stroked="f"/>
        </w:pict>
      </w:r>
    </w:p>
    <w:p w:rsidR="00402B2C" w:rsidRDefault="00402B2C" w:rsidP="00402B2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068B6" w:rsidRPr="00A04AD5" w:rsidTr="00FA1DE8">
        <w:tc>
          <w:tcPr>
            <w:tcW w:w="1458" w:type="dxa"/>
          </w:tcPr>
          <w:p w:rsidR="001068B6" w:rsidRPr="00A04AD5" w:rsidRDefault="001068B6" w:rsidP="001068B6">
            <w:pPr>
              <w:rPr>
                <w:sz w:val="20"/>
                <w:szCs w:val="20"/>
              </w:rPr>
            </w:pPr>
            <w:r w:rsidRPr="00A04AD5">
              <w:rPr>
                <w:rStyle w:val="SCCFileNumberChar"/>
                <w:sz w:val="20"/>
                <w:szCs w:val="20"/>
              </w:rPr>
              <w:t>35941</w:t>
            </w:r>
          </w:p>
          <w:p w:rsidR="001068B6" w:rsidRPr="00A04AD5" w:rsidRDefault="001068B6" w:rsidP="001068B6">
            <w:pPr>
              <w:rPr>
                <w:b/>
                <w:sz w:val="20"/>
                <w:szCs w:val="20"/>
                <w:lang w:val="fr-CA"/>
              </w:rPr>
            </w:pPr>
          </w:p>
        </w:tc>
        <w:tc>
          <w:tcPr>
            <w:tcW w:w="8118" w:type="dxa"/>
          </w:tcPr>
          <w:p w:rsidR="001068B6" w:rsidRPr="00A04AD5" w:rsidRDefault="001068B6" w:rsidP="001068B6">
            <w:pPr>
              <w:rPr>
                <w:sz w:val="20"/>
                <w:szCs w:val="20"/>
              </w:rPr>
            </w:pPr>
            <w:r w:rsidRPr="00A04AD5">
              <w:rPr>
                <w:rStyle w:val="SCCLsocChar"/>
                <w:sz w:val="20"/>
                <w:szCs w:val="20"/>
                <w:lang w:val="en-CA"/>
              </w:rPr>
              <w:t>Maria Theresa Avila Bagadiong v. Her Majesty the Queen</w:t>
            </w:r>
            <w:r w:rsidRPr="00A04AD5">
              <w:rPr>
                <w:sz w:val="20"/>
                <w:szCs w:val="20"/>
              </w:rPr>
              <w:t xml:space="preserve"> (B.C.) (Criminal) (By Leave)</w:t>
            </w:r>
          </w:p>
          <w:p w:rsidR="001068B6" w:rsidRPr="00A04AD5" w:rsidRDefault="001068B6" w:rsidP="001068B6">
            <w:pPr>
              <w:rPr>
                <w:sz w:val="20"/>
                <w:szCs w:val="20"/>
              </w:rPr>
            </w:pPr>
          </w:p>
        </w:tc>
      </w:tr>
      <w:tr w:rsidR="001068B6" w:rsidRPr="00A04AD5" w:rsidTr="00FA1DE8">
        <w:tc>
          <w:tcPr>
            <w:tcW w:w="1458" w:type="dxa"/>
          </w:tcPr>
          <w:p w:rsidR="001068B6" w:rsidRPr="00A04AD5" w:rsidRDefault="001068B6" w:rsidP="001068B6">
            <w:pPr>
              <w:rPr>
                <w:sz w:val="20"/>
                <w:szCs w:val="20"/>
              </w:rPr>
            </w:pPr>
            <w:r w:rsidRPr="00A04AD5">
              <w:rPr>
                <w:sz w:val="20"/>
                <w:szCs w:val="20"/>
              </w:rPr>
              <w:t>Coram :</w:t>
            </w:r>
          </w:p>
        </w:tc>
        <w:tc>
          <w:tcPr>
            <w:tcW w:w="8118" w:type="dxa"/>
          </w:tcPr>
          <w:p w:rsidR="001068B6" w:rsidRPr="00A04AD5" w:rsidRDefault="001068B6" w:rsidP="001068B6">
            <w:pPr>
              <w:rPr>
                <w:sz w:val="20"/>
                <w:szCs w:val="20"/>
              </w:rPr>
            </w:pPr>
            <w:r w:rsidRPr="00A04AD5">
              <w:rPr>
                <w:rStyle w:val="SCCCoramChar"/>
                <w:sz w:val="20"/>
                <w:szCs w:val="20"/>
                <w:lang w:val="en-CA"/>
              </w:rPr>
              <w:t>McLachlin C.J. and Cromwell and Wagner JJ.</w:t>
            </w:r>
          </w:p>
          <w:p w:rsidR="001068B6" w:rsidRPr="00A04AD5" w:rsidRDefault="001068B6" w:rsidP="001068B6">
            <w:pPr>
              <w:rPr>
                <w:sz w:val="20"/>
                <w:szCs w:val="20"/>
                <w:u w:val="single"/>
              </w:rPr>
            </w:pPr>
          </w:p>
        </w:tc>
      </w:tr>
      <w:tr w:rsidR="001068B6" w:rsidRPr="00225EDC" w:rsidTr="00FA1DE8">
        <w:tc>
          <w:tcPr>
            <w:tcW w:w="9576" w:type="dxa"/>
            <w:gridSpan w:val="2"/>
          </w:tcPr>
          <w:p w:rsidR="001068B6" w:rsidRPr="00A04AD5" w:rsidRDefault="001068B6" w:rsidP="001068B6">
            <w:pPr>
              <w:pStyle w:val="SCCShortJudgment"/>
              <w:rPr>
                <w:szCs w:val="20"/>
              </w:rPr>
            </w:pPr>
            <w:r w:rsidRPr="00A04AD5">
              <w:rPr>
                <w:szCs w:val="20"/>
              </w:rPr>
              <w:t>The motion for an extension of time to serve and file the application for leave to appeal is granted.  The motions for a stay of execution and to appoint counsel are dismissed.  The application for leave to appeal from the judgment of the Court of Appeal for British Columbia (Vancouver), Number CA040184, 2013 BCCA 538, dated December 13, 2013, is dismissed without costs.</w:t>
            </w:r>
          </w:p>
          <w:p w:rsidR="001068B6" w:rsidRPr="00A04AD5" w:rsidRDefault="001068B6" w:rsidP="001068B6">
            <w:pPr>
              <w:pStyle w:val="SCCShortJudgment"/>
              <w:ind w:firstLine="0"/>
              <w:rPr>
                <w:szCs w:val="20"/>
              </w:rPr>
            </w:pPr>
          </w:p>
          <w:p w:rsidR="001068B6" w:rsidRPr="00A04AD5" w:rsidRDefault="001068B6" w:rsidP="001068B6">
            <w:pPr>
              <w:pStyle w:val="SCCShortJudgment"/>
              <w:rPr>
                <w:szCs w:val="20"/>
                <w:lang w:val="fr-CA"/>
              </w:rPr>
            </w:pPr>
            <w:r w:rsidRPr="00A04AD5">
              <w:rPr>
                <w:szCs w:val="20"/>
                <w:lang w:val="fr-CA"/>
              </w:rPr>
              <w:t xml:space="preserve">La requête en prorogation du délai de signification et de dépôt de la demande d’autorisation d’appel est accueillie.   Les requêtes visant à obtenir un sursis d’exécution et sollicitant la nomination d’un avocat sont rejetées.  La demande d’autorisation d’appel de l’arrêt de la Cour d’appel de la Colombie-Britannique (Vancouver), numéro </w:t>
            </w:r>
            <w:r w:rsidRPr="00A04AD5">
              <w:rPr>
                <w:szCs w:val="20"/>
                <w:lang w:val="fr-CA"/>
              </w:rPr>
              <w:lastRenderedPageBreak/>
              <w:t>CA040184, 2013 BCCA 538, daté du 13 décembre 2013, est rejetée sans dépens.</w:t>
            </w:r>
          </w:p>
        </w:tc>
      </w:tr>
    </w:tbl>
    <w:p w:rsidR="00B25972" w:rsidRPr="001068B6" w:rsidRDefault="00B25972" w:rsidP="00B25972">
      <w:pPr>
        <w:rPr>
          <w:sz w:val="20"/>
          <w:szCs w:val="20"/>
          <w:lang w:val="fr-CA"/>
        </w:rPr>
      </w:pPr>
    </w:p>
    <w:p w:rsidR="00B25972" w:rsidRPr="001B157C" w:rsidRDefault="00B25972" w:rsidP="00B25972">
      <w:pPr>
        <w:rPr>
          <w:sz w:val="20"/>
          <w:szCs w:val="20"/>
          <w:u w:val="single"/>
        </w:rPr>
      </w:pPr>
      <w:r w:rsidRPr="001B157C">
        <w:rPr>
          <w:sz w:val="20"/>
          <w:szCs w:val="20"/>
          <w:u w:val="single"/>
        </w:rPr>
        <w:t>CASE SUMMARY</w:t>
      </w:r>
    </w:p>
    <w:p w:rsidR="00B25972" w:rsidRDefault="00B25972"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5972" w:rsidRPr="003C6CEA" w:rsidTr="00347C73">
        <w:tc>
          <w:tcPr>
            <w:tcW w:w="5000" w:type="pct"/>
            <w:gridSpan w:val="3"/>
          </w:tcPr>
          <w:p w:rsidR="00B25972" w:rsidRPr="003C6CEA" w:rsidRDefault="00B25972" w:rsidP="00347C73">
            <w:pPr>
              <w:jc w:val="both"/>
              <w:rPr>
                <w:rFonts w:eastAsia="Calibri"/>
                <w:sz w:val="20"/>
              </w:rPr>
            </w:pPr>
            <w:r w:rsidRPr="003C6CEA">
              <w:rPr>
                <w:rFonts w:eastAsia="Calibri"/>
                <w:sz w:val="20"/>
              </w:rPr>
              <w:t xml:space="preserve">Criminal law – Extortion – Limiting instructions on prior consistent statements – Right of accused to be present during trial – Whether the trial judge erred by not giving a limiting instruction on certain prior consistent statements – Whether applicant’s right to be present at trial was violated – </w:t>
            </w:r>
            <w:r w:rsidRPr="003C6CEA">
              <w:rPr>
                <w:rFonts w:eastAsia="Calibri"/>
                <w:i/>
                <w:sz w:val="20"/>
              </w:rPr>
              <w:t>Criminal Code</w:t>
            </w:r>
            <w:r w:rsidRPr="003C6CEA">
              <w:rPr>
                <w:rFonts w:eastAsia="Calibri"/>
                <w:sz w:val="20"/>
              </w:rPr>
              <w:t>, R.S.C. 1985, c. C-46, ss. 346(1.1)(</w:t>
            </w:r>
            <w:r w:rsidRPr="003C6CEA">
              <w:rPr>
                <w:rFonts w:eastAsia="Calibri"/>
                <w:i/>
                <w:sz w:val="20"/>
              </w:rPr>
              <w:t>b</w:t>
            </w:r>
            <w:r w:rsidRPr="003C6CEA">
              <w:rPr>
                <w:rFonts w:eastAsia="Calibri"/>
                <w:sz w:val="20"/>
              </w:rPr>
              <w:t>) and 650.</w:t>
            </w:r>
          </w:p>
        </w:tc>
      </w:tr>
      <w:tr w:rsidR="00B25972" w:rsidRPr="003C6CEA" w:rsidTr="00347C73">
        <w:tc>
          <w:tcPr>
            <w:tcW w:w="5000" w:type="pct"/>
            <w:gridSpan w:val="3"/>
          </w:tcPr>
          <w:p w:rsidR="00B25972" w:rsidRPr="003C6CEA" w:rsidRDefault="00B25972" w:rsidP="00347C73">
            <w:pPr>
              <w:jc w:val="both"/>
              <w:rPr>
                <w:rFonts w:eastAsia="Calibri"/>
                <w:sz w:val="20"/>
              </w:rPr>
            </w:pPr>
          </w:p>
          <w:p w:rsidR="00B25972" w:rsidRPr="003C6CEA" w:rsidRDefault="00B25972" w:rsidP="00347C73">
            <w:pPr>
              <w:jc w:val="both"/>
              <w:rPr>
                <w:rFonts w:eastAsia="Calibri"/>
                <w:sz w:val="20"/>
              </w:rPr>
            </w:pPr>
            <w:r w:rsidRPr="003C6CEA">
              <w:rPr>
                <w:rFonts w:eastAsia="Calibri"/>
                <w:sz w:val="20"/>
              </w:rPr>
              <w:t>The applicant, Ms. Bagadiong, was convicted of extortion and sentenced to a term of incarceration of 15 months.  After being fired by the son of an elderly couple for whom she was employed as a caregiver, she tried to extort 2.5 million dollars from the couple by threatening to tell the police that the husband had sexually assaulted her.  On appeal, Ms. Bagadiong argued that the trial judge erred by not providing a limiting instruction on a prior consistent statement made by the husband.  She also argued that the trial judge erred by directing the deputy sheriff to request the jury, which was outside the courtroom, to clarify a question it submitted in the course of deliberation.  Ms. Bagadiong submitted that her right to be present during the whole of trial had been violated.  The Court of Appeal dismissed the appeal.</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October 28, 2011</w:t>
            </w:r>
          </w:p>
          <w:p w:rsidR="00B25972" w:rsidRPr="003C6CEA" w:rsidRDefault="00B25972" w:rsidP="00347C73">
            <w:pPr>
              <w:jc w:val="both"/>
              <w:rPr>
                <w:rFonts w:eastAsia="Calibri"/>
                <w:sz w:val="20"/>
              </w:rPr>
            </w:pPr>
            <w:r w:rsidRPr="003C6CEA">
              <w:rPr>
                <w:rFonts w:eastAsia="Calibri"/>
                <w:sz w:val="20"/>
              </w:rPr>
              <w:t>Supreme Court of British Columbia</w:t>
            </w:r>
          </w:p>
          <w:p w:rsidR="00B25972" w:rsidRPr="003C6CEA" w:rsidRDefault="00B25972" w:rsidP="00347C73">
            <w:pPr>
              <w:jc w:val="both"/>
              <w:rPr>
                <w:rFonts w:eastAsia="Calibri"/>
                <w:sz w:val="20"/>
              </w:rPr>
            </w:pPr>
            <w:r w:rsidRPr="003C6CEA">
              <w:rPr>
                <w:rFonts w:eastAsia="Calibri"/>
                <w:sz w:val="20"/>
              </w:rPr>
              <w:t xml:space="preserve">(Ross J.) </w:t>
            </w:r>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Applicant convicted of extortion (s. 346(1.1)(</w:t>
            </w:r>
            <w:r w:rsidRPr="003C6CEA">
              <w:rPr>
                <w:rFonts w:eastAsia="Calibri"/>
                <w:i/>
                <w:sz w:val="20"/>
              </w:rPr>
              <w:t>b</w:t>
            </w:r>
            <w:r w:rsidRPr="003C6CEA">
              <w:rPr>
                <w:rFonts w:eastAsia="Calibri"/>
                <w:sz w:val="20"/>
              </w:rPr>
              <w:t xml:space="preserve">) of the </w:t>
            </w:r>
            <w:r w:rsidRPr="003C6CEA">
              <w:rPr>
                <w:rFonts w:eastAsia="Calibri"/>
                <w:i/>
                <w:sz w:val="20"/>
              </w:rPr>
              <w:t>Criminal Code</w:t>
            </w:r>
            <w:r w:rsidRPr="003C6CEA">
              <w:rPr>
                <w:rFonts w:eastAsia="Calibri"/>
                <w:sz w:val="20"/>
              </w:rPr>
              <w:t>)</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December 13, 2013</w:t>
            </w:r>
          </w:p>
          <w:p w:rsidR="00B25972" w:rsidRPr="003C6CEA" w:rsidRDefault="00B25972" w:rsidP="00347C73">
            <w:pPr>
              <w:jc w:val="both"/>
              <w:rPr>
                <w:rFonts w:eastAsia="Calibri"/>
                <w:sz w:val="20"/>
              </w:rPr>
            </w:pPr>
            <w:r w:rsidRPr="003C6CEA">
              <w:rPr>
                <w:rFonts w:eastAsia="Calibri"/>
                <w:sz w:val="20"/>
              </w:rPr>
              <w:t xml:space="preserve">Court of Appeal for British Columbia </w:t>
            </w:r>
          </w:p>
          <w:p w:rsidR="00B25972" w:rsidRPr="003C6CEA" w:rsidRDefault="00B25972" w:rsidP="00347C73">
            <w:pPr>
              <w:jc w:val="both"/>
              <w:rPr>
                <w:rFonts w:eastAsia="Calibri"/>
                <w:sz w:val="20"/>
              </w:rPr>
            </w:pPr>
            <w:r w:rsidRPr="003C6CEA">
              <w:rPr>
                <w:rFonts w:eastAsia="Calibri"/>
                <w:sz w:val="20"/>
              </w:rPr>
              <w:t>(Vancouver)</w:t>
            </w:r>
          </w:p>
          <w:p w:rsidR="00B25972" w:rsidRPr="003C6CEA" w:rsidRDefault="00B25972" w:rsidP="00347C73">
            <w:pPr>
              <w:jc w:val="both"/>
              <w:rPr>
                <w:rFonts w:eastAsia="Calibri"/>
                <w:sz w:val="20"/>
              </w:rPr>
            </w:pPr>
            <w:r w:rsidRPr="003C6CEA">
              <w:rPr>
                <w:rFonts w:eastAsia="Calibri"/>
                <w:sz w:val="20"/>
              </w:rPr>
              <w:t>(Hall, Garson and Willcock JJ.A.)</w:t>
            </w:r>
          </w:p>
          <w:p w:rsidR="00B25972" w:rsidRPr="003C6CEA" w:rsidRDefault="00B25972" w:rsidP="00347C73">
            <w:pPr>
              <w:jc w:val="both"/>
              <w:rPr>
                <w:rFonts w:eastAsia="Calibri"/>
                <w:sz w:val="20"/>
              </w:rPr>
            </w:pPr>
            <w:r w:rsidRPr="003C6CEA">
              <w:rPr>
                <w:rFonts w:eastAsia="Calibri"/>
                <w:sz w:val="20"/>
              </w:rPr>
              <w:t>CA040184</w:t>
            </w:r>
          </w:p>
          <w:p w:rsidR="00B25972" w:rsidRPr="003C6CEA" w:rsidRDefault="00215143" w:rsidP="00347C73">
            <w:pPr>
              <w:jc w:val="both"/>
              <w:rPr>
                <w:rFonts w:eastAsia="Calibri"/>
                <w:sz w:val="20"/>
              </w:rPr>
            </w:pPr>
            <w:hyperlink r:id="rId95" w:history="1">
              <w:r w:rsidR="00B25972" w:rsidRPr="003C6CEA">
                <w:rPr>
                  <w:rFonts w:eastAsia="Calibri"/>
                  <w:color w:val="0000FF"/>
                  <w:sz w:val="20"/>
                  <w:u w:val="single"/>
                </w:rPr>
                <w:t>2013 BCCA 538</w:t>
              </w:r>
            </w:hyperlink>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Appeal dismissed</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June 12, 2014</w:t>
            </w:r>
          </w:p>
          <w:p w:rsidR="00B25972" w:rsidRPr="003C6CEA" w:rsidRDefault="00B25972" w:rsidP="00347C73">
            <w:pPr>
              <w:jc w:val="both"/>
              <w:rPr>
                <w:rFonts w:eastAsia="Calibri"/>
                <w:sz w:val="20"/>
              </w:rPr>
            </w:pPr>
            <w:r w:rsidRPr="003C6CEA">
              <w:rPr>
                <w:rFonts w:eastAsia="Calibri"/>
                <w:sz w:val="20"/>
              </w:rPr>
              <w:t>Supreme Court of Canada</w:t>
            </w:r>
          </w:p>
          <w:p w:rsidR="00B25972" w:rsidRPr="003C6CEA" w:rsidRDefault="00B25972" w:rsidP="00347C73">
            <w:pPr>
              <w:jc w:val="both"/>
              <w:rPr>
                <w:rFonts w:eastAsia="Calibri"/>
                <w:sz w:val="20"/>
              </w:rPr>
            </w:pP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Motion for extension of time, motion to appoint counsel and application for leave to appeal filed</w:t>
            </w:r>
          </w:p>
          <w:p w:rsidR="00B25972" w:rsidRPr="003C6CEA" w:rsidRDefault="00B25972" w:rsidP="00347C73">
            <w:pPr>
              <w:jc w:val="both"/>
              <w:rPr>
                <w:rFonts w:eastAsia="Calibri"/>
                <w:sz w:val="20"/>
              </w:rPr>
            </w:pPr>
          </w:p>
        </w:tc>
      </w:tr>
      <w:tr w:rsidR="00B25972" w:rsidRPr="003C6CEA" w:rsidTr="00347C73">
        <w:tc>
          <w:tcPr>
            <w:tcW w:w="2427" w:type="pct"/>
          </w:tcPr>
          <w:p w:rsidR="00B25972" w:rsidRPr="003C6CEA" w:rsidRDefault="00B25972" w:rsidP="00347C73">
            <w:pPr>
              <w:jc w:val="both"/>
              <w:rPr>
                <w:rFonts w:eastAsia="Calibri"/>
                <w:sz w:val="20"/>
              </w:rPr>
            </w:pPr>
            <w:r w:rsidRPr="003C6CEA">
              <w:rPr>
                <w:rFonts w:eastAsia="Calibri"/>
                <w:sz w:val="20"/>
              </w:rPr>
              <w:t>June 18, 2014</w:t>
            </w:r>
          </w:p>
          <w:p w:rsidR="00B25972" w:rsidRPr="003C6CEA" w:rsidRDefault="00B25972" w:rsidP="00347C73">
            <w:pPr>
              <w:jc w:val="both"/>
              <w:rPr>
                <w:rFonts w:eastAsia="Calibri"/>
                <w:sz w:val="20"/>
              </w:rPr>
            </w:pPr>
            <w:r w:rsidRPr="003C6CEA">
              <w:rPr>
                <w:rFonts w:eastAsia="Calibri"/>
                <w:sz w:val="20"/>
              </w:rPr>
              <w:t>Supreme Court of Canada</w:t>
            </w:r>
          </w:p>
        </w:tc>
        <w:tc>
          <w:tcPr>
            <w:tcW w:w="243" w:type="pct"/>
          </w:tcPr>
          <w:p w:rsidR="00B25972" w:rsidRPr="003C6CEA" w:rsidRDefault="00B25972" w:rsidP="00347C73">
            <w:pPr>
              <w:jc w:val="both"/>
              <w:rPr>
                <w:rFonts w:eastAsia="Calibri"/>
                <w:sz w:val="20"/>
              </w:rPr>
            </w:pPr>
          </w:p>
        </w:tc>
        <w:tc>
          <w:tcPr>
            <w:tcW w:w="2330" w:type="pct"/>
          </w:tcPr>
          <w:p w:rsidR="00B25972" w:rsidRPr="003C6CEA" w:rsidRDefault="00B25972" w:rsidP="00347C73">
            <w:pPr>
              <w:jc w:val="both"/>
              <w:rPr>
                <w:rFonts w:eastAsia="Calibri"/>
                <w:sz w:val="20"/>
              </w:rPr>
            </w:pPr>
            <w:r w:rsidRPr="003C6CEA">
              <w:rPr>
                <w:rFonts w:eastAsia="Calibri"/>
                <w:sz w:val="20"/>
              </w:rPr>
              <w:t>Motion for stay of execution filed</w:t>
            </w:r>
          </w:p>
          <w:p w:rsidR="00B25972" w:rsidRPr="003C6CEA" w:rsidRDefault="00B25972" w:rsidP="00347C73">
            <w:pPr>
              <w:jc w:val="both"/>
              <w:rPr>
                <w:rFonts w:eastAsia="Calibri"/>
                <w:sz w:val="20"/>
              </w:rPr>
            </w:pPr>
          </w:p>
        </w:tc>
      </w:tr>
    </w:tbl>
    <w:p w:rsidR="00B25972" w:rsidRDefault="00B25972" w:rsidP="000E2959">
      <w:pPr>
        <w:rPr>
          <w:sz w:val="20"/>
          <w:szCs w:val="20"/>
        </w:rPr>
      </w:pPr>
    </w:p>
    <w:p w:rsidR="00B25972" w:rsidRDefault="00215143" w:rsidP="000E2959">
      <w:pPr>
        <w:rPr>
          <w:sz w:val="20"/>
          <w:szCs w:val="20"/>
        </w:rPr>
      </w:pPr>
      <w:r>
        <w:rPr>
          <w:sz w:val="20"/>
          <w:szCs w:val="20"/>
          <w:lang w:val="fr-CA"/>
        </w:rPr>
        <w:pict>
          <v:rect id="_x0000_i1081" style="width:2in;height:1pt" o:hrpct="0" o:hralign="center" o:hrstd="t" o:hrnoshade="t" o:hr="t" fillcolor="black [3213]" stroked="f"/>
        </w:pict>
      </w:r>
    </w:p>
    <w:p w:rsidR="00B25972" w:rsidRDefault="00B25972" w:rsidP="000E2959">
      <w:pPr>
        <w:rPr>
          <w:sz w:val="20"/>
          <w:szCs w:val="20"/>
        </w:rPr>
      </w:pPr>
    </w:p>
    <w:p w:rsidR="00B25972" w:rsidRPr="001B157C" w:rsidRDefault="00B25972" w:rsidP="00B25972">
      <w:pPr>
        <w:rPr>
          <w:sz w:val="20"/>
          <w:szCs w:val="20"/>
          <w:u w:val="single"/>
          <w:lang w:val="fr-CA"/>
        </w:rPr>
      </w:pPr>
      <w:r w:rsidRPr="001B157C">
        <w:rPr>
          <w:sz w:val="20"/>
          <w:szCs w:val="20"/>
          <w:u w:val="single"/>
          <w:lang w:val="fr-CA"/>
        </w:rPr>
        <w:t>RÉSUMÉ DE L’AFFAIRE</w:t>
      </w:r>
    </w:p>
    <w:p w:rsidR="00B25972" w:rsidRDefault="00B25972" w:rsidP="00B2597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5972" w:rsidRPr="003C6CEA" w:rsidTr="00347C73">
        <w:tc>
          <w:tcPr>
            <w:tcW w:w="5000" w:type="pct"/>
            <w:gridSpan w:val="3"/>
          </w:tcPr>
          <w:p w:rsidR="00B25972" w:rsidRPr="003C6CEA" w:rsidRDefault="00B25972" w:rsidP="00347C73">
            <w:pPr>
              <w:jc w:val="both"/>
              <w:rPr>
                <w:rFonts w:eastAsia="Calibri"/>
                <w:sz w:val="20"/>
                <w:lang w:val="fr-CA"/>
              </w:rPr>
            </w:pPr>
            <w:r w:rsidRPr="003C6CEA">
              <w:rPr>
                <w:rFonts w:eastAsia="Calibri"/>
                <w:sz w:val="20"/>
                <w:lang w:val="fr-CA"/>
              </w:rPr>
              <w:t xml:space="preserve">Droit criminel – Extorsion – Directives restrictives concernant les déclarations antérieures compatibles – Droit de l’accusée d’être présente pendant le procès – La juge du procès a-t-elle eu tort de ne pas avoir communiqué de directives restrictives concernant certaines déclarations antérieures compatibles? – Le droit de la demanderesse d’être présente au procès a-t-il été violé? – </w:t>
            </w:r>
            <w:r w:rsidRPr="003C6CEA">
              <w:rPr>
                <w:rFonts w:eastAsia="Calibri"/>
                <w:i/>
                <w:sz w:val="20"/>
                <w:lang w:val="fr-CA"/>
              </w:rPr>
              <w:t>Code criminel</w:t>
            </w:r>
            <w:r w:rsidRPr="003C6CEA">
              <w:rPr>
                <w:rFonts w:eastAsia="Calibri"/>
                <w:sz w:val="20"/>
                <w:lang w:val="fr-CA"/>
              </w:rPr>
              <w:t>, L.R.C. 1985, ch. C-46, art. 346(1.1)</w:t>
            </w:r>
            <w:r w:rsidRPr="003C6CEA">
              <w:rPr>
                <w:rFonts w:eastAsia="Calibri"/>
                <w:i/>
                <w:sz w:val="20"/>
                <w:lang w:val="fr-CA"/>
              </w:rPr>
              <w:t>b</w:t>
            </w:r>
            <w:r w:rsidRPr="003C6CEA">
              <w:rPr>
                <w:rFonts w:eastAsia="Calibri"/>
                <w:sz w:val="20"/>
                <w:lang w:val="fr-CA"/>
              </w:rPr>
              <w:t>) et 650.</w:t>
            </w:r>
          </w:p>
        </w:tc>
      </w:tr>
      <w:tr w:rsidR="00B25972" w:rsidRPr="003C6CEA" w:rsidTr="00347C73">
        <w:tc>
          <w:tcPr>
            <w:tcW w:w="5000" w:type="pct"/>
            <w:gridSpan w:val="3"/>
          </w:tcPr>
          <w:p w:rsidR="00B25972" w:rsidRPr="003C6CEA" w:rsidRDefault="00B25972" w:rsidP="00347C73">
            <w:pPr>
              <w:jc w:val="both"/>
              <w:rPr>
                <w:rFonts w:eastAsia="Calibri"/>
                <w:sz w:val="20"/>
                <w:lang w:val="fr-CA"/>
              </w:rPr>
            </w:pPr>
          </w:p>
          <w:p w:rsidR="00B25972" w:rsidRPr="003C6CEA" w:rsidRDefault="00B25972" w:rsidP="00347C73">
            <w:pPr>
              <w:jc w:val="both"/>
              <w:rPr>
                <w:rFonts w:eastAsia="Calibri"/>
                <w:sz w:val="20"/>
                <w:lang w:val="fr-CA"/>
              </w:rPr>
            </w:pPr>
            <w:r w:rsidRPr="003C6CEA">
              <w:rPr>
                <w:rFonts w:eastAsia="Calibri"/>
                <w:sz w:val="20"/>
                <w:lang w:val="fr-CA"/>
              </w:rPr>
              <w:t xml:space="preserve">La demanderesse, Mme Bagadiong, a été déclarée coupable d’extorsion et condamnée à une peine d’emprisonnement de 15 mois.  Après avoir été congédiée par le fils d’un couple de personnes âgées pour qui elle travaillait comme soignante, elle a tenté d’extorquer 2,5 millions de dollars du couple en les menaçant de dire à la police que l’époux l’avait agressée sexuellement.  En appel, Mme Bagadiong a plaidé que la juge du procès avait eu tort de ne pas communiquer de directives restrictives concernant une déclaration antérieure compatible faite par l’époux.  Elle a également plaidé que la juge du procès avait eu tort d’ordonner au shérif adjoint de demander au jury, qui se trouvait à </w:t>
            </w:r>
            <w:r w:rsidRPr="003C6CEA">
              <w:rPr>
                <w:rFonts w:eastAsia="Calibri"/>
                <w:sz w:val="20"/>
                <w:lang w:val="fr-CA"/>
              </w:rPr>
              <w:lastRenderedPageBreak/>
              <w:t>l’extérieur de la salle d’audience, de clarifier une question qu’il avait soumise au cours de ses délibérations.  Madame Bagadiong a soutenu que son droit d’être présente pendant tout le procès avait été violé.  La Cour d’appel a rejeté l’appel.</w:t>
            </w:r>
          </w:p>
          <w:p w:rsidR="00B25972" w:rsidRPr="003C6CEA" w:rsidRDefault="00B25972" w:rsidP="00347C73">
            <w:pPr>
              <w:jc w:val="both"/>
              <w:rPr>
                <w:rFonts w:eastAsia="Calibri"/>
                <w:sz w:val="20"/>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lastRenderedPageBreak/>
              <w:t>28 octobre 2011</w:t>
            </w:r>
          </w:p>
          <w:p w:rsidR="00B25972" w:rsidRPr="003C6CEA" w:rsidRDefault="00B25972" w:rsidP="00347C73">
            <w:pPr>
              <w:jc w:val="both"/>
              <w:rPr>
                <w:rFonts w:eastAsia="Calibri"/>
                <w:sz w:val="20"/>
                <w:lang w:val="fr-CA"/>
              </w:rPr>
            </w:pPr>
            <w:r w:rsidRPr="003C6CEA">
              <w:rPr>
                <w:rFonts w:eastAsia="Calibri"/>
                <w:sz w:val="20"/>
                <w:lang w:val="fr-CA"/>
              </w:rPr>
              <w:t>Cour suprême de la Colombie-Britannique</w:t>
            </w:r>
          </w:p>
          <w:p w:rsidR="00B25972" w:rsidRPr="003C6CEA" w:rsidRDefault="00B25972" w:rsidP="00347C73">
            <w:pPr>
              <w:jc w:val="both"/>
              <w:rPr>
                <w:rFonts w:eastAsia="Calibri"/>
                <w:sz w:val="20"/>
                <w:lang w:val="fr-CA"/>
              </w:rPr>
            </w:pPr>
            <w:r w:rsidRPr="003C6CEA">
              <w:rPr>
                <w:rFonts w:eastAsia="Calibri"/>
                <w:sz w:val="20"/>
                <w:lang w:val="fr-CA"/>
              </w:rPr>
              <w:t xml:space="preserve">(Juge Ross) </w:t>
            </w:r>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Demanderesse déclarée coupable d’extorsion (al. 346(1.1)</w:t>
            </w:r>
            <w:r w:rsidRPr="003C6CEA">
              <w:rPr>
                <w:rFonts w:eastAsia="Calibri"/>
                <w:i/>
                <w:sz w:val="20"/>
                <w:lang w:val="fr-CA"/>
              </w:rPr>
              <w:t>b</w:t>
            </w:r>
            <w:r w:rsidRPr="003C6CEA">
              <w:rPr>
                <w:rFonts w:eastAsia="Calibri"/>
                <w:sz w:val="20"/>
                <w:lang w:val="fr-CA"/>
              </w:rPr>
              <w:t xml:space="preserve">) du </w:t>
            </w:r>
            <w:r w:rsidRPr="003C6CEA">
              <w:rPr>
                <w:rFonts w:eastAsia="Calibri"/>
                <w:i/>
                <w:sz w:val="20"/>
                <w:lang w:val="fr-CA"/>
              </w:rPr>
              <w:t>Code criminel</w:t>
            </w:r>
            <w:r w:rsidRPr="003C6CEA">
              <w:rPr>
                <w:rFonts w:eastAsia="Calibri"/>
                <w:sz w:val="20"/>
                <w:lang w:val="fr-CA"/>
              </w:rPr>
              <w:t>)</w:t>
            </w:r>
          </w:p>
          <w:p w:rsidR="00B25972" w:rsidRPr="003C6CEA" w:rsidRDefault="00B25972" w:rsidP="00347C73">
            <w:pPr>
              <w:jc w:val="both"/>
              <w:rPr>
                <w:rFonts w:eastAsia="Calibri"/>
                <w:sz w:val="20"/>
                <w:lang w:val="fr-CA"/>
              </w:rPr>
            </w:pPr>
          </w:p>
        </w:tc>
      </w:tr>
      <w:tr w:rsidR="00B25972" w:rsidRPr="003C6CEA"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13 décembre 2013</w:t>
            </w:r>
          </w:p>
          <w:p w:rsidR="00B25972" w:rsidRPr="003C6CEA" w:rsidRDefault="00B25972" w:rsidP="00347C73">
            <w:pPr>
              <w:jc w:val="both"/>
              <w:rPr>
                <w:rFonts w:eastAsia="Calibri"/>
                <w:sz w:val="20"/>
                <w:lang w:val="fr-CA"/>
              </w:rPr>
            </w:pPr>
            <w:r w:rsidRPr="003C6CEA">
              <w:rPr>
                <w:rFonts w:eastAsia="Calibri"/>
                <w:sz w:val="20"/>
                <w:lang w:val="fr-CA"/>
              </w:rPr>
              <w:t>Cour d’appel de la Colombie-Britannique</w:t>
            </w:r>
          </w:p>
          <w:p w:rsidR="00B25972" w:rsidRPr="003C6CEA" w:rsidRDefault="00B25972" w:rsidP="00347C73">
            <w:pPr>
              <w:jc w:val="both"/>
              <w:rPr>
                <w:rFonts w:eastAsia="Calibri"/>
                <w:sz w:val="20"/>
                <w:lang w:val="fr-CA"/>
              </w:rPr>
            </w:pPr>
            <w:r w:rsidRPr="003C6CEA">
              <w:rPr>
                <w:rFonts w:eastAsia="Calibri"/>
                <w:sz w:val="20"/>
                <w:lang w:val="fr-CA"/>
              </w:rPr>
              <w:t>(Vancouver)</w:t>
            </w:r>
          </w:p>
          <w:p w:rsidR="00B25972" w:rsidRPr="003C6CEA" w:rsidRDefault="00B25972" w:rsidP="00347C73">
            <w:pPr>
              <w:jc w:val="both"/>
              <w:rPr>
                <w:rFonts w:eastAsia="Calibri"/>
                <w:sz w:val="20"/>
                <w:lang w:val="fr-CA"/>
              </w:rPr>
            </w:pPr>
            <w:r w:rsidRPr="003C6CEA">
              <w:rPr>
                <w:rFonts w:eastAsia="Calibri"/>
                <w:sz w:val="20"/>
                <w:lang w:val="fr-CA"/>
              </w:rPr>
              <w:t>(Juges Hall, Garson et Willcock)</w:t>
            </w:r>
          </w:p>
          <w:p w:rsidR="00B25972" w:rsidRPr="003C6CEA" w:rsidRDefault="00B25972" w:rsidP="00347C73">
            <w:pPr>
              <w:jc w:val="both"/>
              <w:rPr>
                <w:rFonts w:eastAsia="Calibri"/>
                <w:sz w:val="20"/>
                <w:lang w:val="fr-CA"/>
              </w:rPr>
            </w:pPr>
            <w:r w:rsidRPr="003C6CEA">
              <w:rPr>
                <w:rFonts w:eastAsia="Calibri"/>
                <w:sz w:val="20"/>
                <w:lang w:val="fr-CA"/>
              </w:rPr>
              <w:t>CA040184</w:t>
            </w:r>
          </w:p>
          <w:p w:rsidR="00B25972" w:rsidRPr="003C6CEA" w:rsidRDefault="00215143" w:rsidP="00347C73">
            <w:pPr>
              <w:jc w:val="both"/>
              <w:rPr>
                <w:rFonts w:eastAsia="Calibri"/>
                <w:sz w:val="20"/>
                <w:lang w:val="fr-CA"/>
              </w:rPr>
            </w:pPr>
            <w:hyperlink r:id="rId96" w:history="1">
              <w:r w:rsidR="00B25972" w:rsidRPr="003C6CEA">
                <w:rPr>
                  <w:rFonts w:eastAsia="Calibri"/>
                  <w:color w:val="0000FF"/>
                  <w:sz w:val="20"/>
                  <w:u w:val="single"/>
                  <w:lang w:val="fr-CA"/>
                </w:rPr>
                <w:t>2013 BCCA 538</w:t>
              </w:r>
            </w:hyperlink>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Appel rejeté</w:t>
            </w:r>
          </w:p>
          <w:p w:rsidR="00B25972" w:rsidRPr="003C6CEA" w:rsidRDefault="00B25972" w:rsidP="00347C73">
            <w:pPr>
              <w:jc w:val="both"/>
              <w:rPr>
                <w:rFonts w:eastAsia="Calibri"/>
                <w:sz w:val="20"/>
                <w:lang w:val="fr-CA"/>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12 juin 2014</w:t>
            </w:r>
          </w:p>
          <w:p w:rsidR="00B25972" w:rsidRPr="003C6CEA" w:rsidRDefault="00B25972" w:rsidP="00347C73">
            <w:pPr>
              <w:jc w:val="both"/>
              <w:rPr>
                <w:rFonts w:eastAsia="Calibri"/>
                <w:sz w:val="20"/>
                <w:lang w:val="fr-CA"/>
              </w:rPr>
            </w:pPr>
            <w:r w:rsidRPr="003C6CEA">
              <w:rPr>
                <w:rFonts w:eastAsia="Calibri"/>
                <w:sz w:val="20"/>
                <w:lang w:val="fr-CA"/>
              </w:rPr>
              <w:t>Cour suprême du Canada</w:t>
            </w:r>
          </w:p>
          <w:p w:rsidR="00B25972" w:rsidRPr="003C6CEA" w:rsidRDefault="00B25972" w:rsidP="00347C73">
            <w:pPr>
              <w:jc w:val="both"/>
              <w:rPr>
                <w:rFonts w:eastAsia="Calibri"/>
                <w:sz w:val="20"/>
                <w:lang w:val="fr-CA"/>
              </w:rPr>
            </w:pP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Requête en prorogation de délai, requête en nomination d’un procureur et demande d’autorisation d’appel, déposées</w:t>
            </w:r>
          </w:p>
          <w:p w:rsidR="00B25972" w:rsidRPr="003C6CEA" w:rsidRDefault="00B25972" w:rsidP="00347C73">
            <w:pPr>
              <w:jc w:val="both"/>
              <w:rPr>
                <w:rFonts w:eastAsia="Calibri"/>
                <w:sz w:val="20"/>
                <w:lang w:val="fr-CA"/>
              </w:rPr>
            </w:pPr>
          </w:p>
        </w:tc>
      </w:tr>
      <w:tr w:rsidR="00B25972" w:rsidRPr="00225EDC" w:rsidTr="00347C73">
        <w:tc>
          <w:tcPr>
            <w:tcW w:w="2427" w:type="pct"/>
          </w:tcPr>
          <w:p w:rsidR="00B25972" w:rsidRPr="003C6CEA" w:rsidRDefault="00B25972" w:rsidP="00347C73">
            <w:pPr>
              <w:jc w:val="both"/>
              <w:rPr>
                <w:rFonts w:eastAsia="Calibri"/>
                <w:sz w:val="20"/>
                <w:lang w:val="fr-CA"/>
              </w:rPr>
            </w:pPr>
            <w:r w:rsidRPr="003C6CEA">
              <w:rPr>
                <w:rFonts w:eastAsia="Calibri"/>
                <w:sz w:val="20"/>
                <w:lang w:val="fr-CA"/>
              </w:rPr>
              <w:t>18 juin 2014</w:t>
            </w:r>
          </w:p>
          <w:p w:rsidR="00B25972" w:rsidRPr="003C6CEA" w:rsidRDefault="00B25972" w:rsidP="00347C73">
            <w:pPr>
              <w:jc w:val="both"/>
              <w:rPr>
                <w:rFonts w:eastAsia="Calibri"/>
                <w:sz w:val="20"/>
                <w:lang w:val="fr-CA"/>
              </w:rPr>
            </w:pPr>
            <w:r w:rsidRPr="003C6CEA">
              <w:rPr>
                <w:rFonts w:eastAsia="Calibri"/>
                <w:sz w:val="20"/>
                <w:lang w:val="fr-CA"/>
              </w:rPr>
              <w:t>Cour suprême du Canada</w:t>
            </w:r>
          </w:p>
        </w:tc>
        <w:tc>
          <w:tcPr>
            <w:tcW w:w="243" w:type="pct"/>
          </w:tcPr>
          <w:p w:rsidR="00B25972" w:rsidRPr="003C6CEA" w:rsidRDefault="00B25972" w:rsidP="00347C73">
            <w:pPr>
              <w:jc w:val="both"/>
              <w:rPr>
                <w:rFonts w:eastAsia="Calibri"/>
                <w:sz w:val="20"/>
                <w:lang w:val="fr-CA"/>
              </w:rPr>
            </w:pPr>
          </w:p>
        </w:tc>
        <w:tc>
          <w:tcPr>
            <w:tcW w:w="2330" w:type="pct"/>
          </w:tcPr>
          <w:p w:rsidR="00B25972" w:rsidRPr="003C6CEA" w:rsidRDefault="00B25972" w:rsidP="00347C73">
            <w:pPr>
              <w:jc w:val="both"/>
              <w:rPr>
                <w:rFonts w:eastAsia="Calibri"/>
                <w:sz w:val="20"/>
                <w:lang w:val="fr-CA"/>
              </w:rPr>
            </w:pPr>
            <w:r w:rsidRPr="003C6CEA">
              <w:rPr>
                <w:rFonts w:eastAsia="Calibri"/>
                <w:sz w:val="20"/>
                <w:lang w:val="fr-CA"/>
              </w:rPr>
              <w:t>Requête en vue d’obtenir un sursis à l’exécution, déposée</w:t>
            </w:r>
          </w:p>
        </w:tc>
      </w:tr>
    </w:tbl>
    <w:p w:rsidR="00B25972" w:rsidRPr="00B25972" w:rsidRDefault="00B25972" w:rsidP="000E2959">
      <w:pPr>
        <w:rPr>
          <w:sz w:val="20"/>
          <w:szCs w:val="20"/>
          <w:lang w:val="fr-CA"/>
        </w:rPr>
      </w:pPr>
    </w:p>
    <w:p w:rsidR="00B25972" w:rsidRDefault="00215143" w:rsidP="000E2959">
      <w:pPr>
        <w:rPr>
          <w:sz w:val="20"/>
          <w:szCs w:val="20"/>
        </w:rPr>
      </w:pPr>
      <w:r>
        <w:rPr>
          <w:sz w:val="20"/>
          <w:szCs w:val="20"/>
          <w:lang w:val="fr-CA"/>
        </w:rPr>
        <w:pict>
          <v:rect id="_x0000_i1082" style="width:2in;height:1pt" o:hrpct="0" o:hralign="center" o:hrstd="t" o:hrnoshade="t" o:hr="t" fillcolor="black [3213]" stroked="f"/>
        </w:pict>
      </w:r>
    </w:p>
    <w:p w:rsidR="00B25972" w:rsidRDefault="00B25972" w:rsidP="000E2959">
      <w:pPr>
        <w:rPr>
          <w:sz w:val="20"/>
          <w:szCs w:val="20"/>
        </w:rPr>
      </w:pPr>
    </w:p>
    <w:p w:rsidR="000E2959" w:rsidRPr="00800D8C" w:rsidRDefault="000E2959" w:rsidP="000E2959">
      <w:pPr>
        <w:rPr>
          <w:sz w:val="20"/>
          <w:szCs w:val="20"/>
          <w:lang w:val="fr-CA"/>
        </w:rPr>
      </w:pPr>
    </w:p>
    <w:p w:rsidR="000E2959" w:rsidRPr="00800D8C"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25EDC" w:rsidRDefault="00225EDC" w:rsidP="00D0331C">
      <w:pPr>
        <w:tabs>
          <w:tab w:val="left" w:pos="-1440"/>
          <w:tab w:val="left" w:pos="-720"/>
        </w:tabs>
        <w:jc w:val="both"/>
        <w:rPr>
          <w:sz w:val="20"/>
          <w:szCs w:val="20"/>
          <w:lang w:val="fr-CA"/>
        </w:rPr>
      </w:pPr>
      <w:r>
        <w:rPr>
          <w:sz w:val="20"/>
          <w:szCs w:val="20"/>
          <w:lang w:val="fr-CA"/>
        </w:rPr>
        <w:t>23.09.2014 (RÉVISÉ / RÉVISÉE)</w:t>
      </w:r>
    </w:p>
    <w:p w:rsidR="00D0331C" w:rsidRPr="00D0331C" w:rsidRDefault="00D0331C" w:rsidP="00D0331C">
      <w:pPr>
        <w:tabs>
          <w:tab w:val="left" w:pos="-1440"/>
          <w:tab w:val="left" w:pos="-720"/>
        </w:tabs>
        <w:jc w:val="both"/>
        <w:rPr>
          <w:sz w:val="20"/>
          <w:szCs w:val="20"/>
          <w:lang w:val="fr-CA"/>
        </w:rPr>
      </w:pPr>
      <w:r w:rsidRPr="00D0331C">
        <w:rPr>
          <w:sz w:val="20"/>
          <w:szCs w:val="20"/>
          <w:lang w:val="fr-CA"/>
        </w:rPr>
        <w:t>16.09.2014</w:t>
      </w:r>
    </w:p>
    <w:p w:rsidR="00D0331C" w:rsidRPr="00D0331C" w:rsidRDefault="00D0331C" w:rsidP="00D0331C">
      <w:pPr>
        <w:tabs>
          <w:tab w:val="left" w:pos="-1440"/>
          <w:tab w:val="left" w:pos="-720"/>
        </w:tabs>
        <w:jc w:val="both"/>
        <w:rPr>
          <w:sz w:val="20"/>
          <w:szCs w:val="20"/>
          <w:lang w:val="fr-CA"/>
        </w:rPr>
      </w:pPr>
    </w:p>
    <w:p w:rsidR="00D0331C" w:rsidRPr="00D0331C" w:rsidRDefault="00D0331C" w:rsidP="00D0331C">
      <w:pPr>
        <w:tabs>
          <w:tab w:val="left" w:pos="-1440"/>
          <w:tab w:val="left" w:pos="-720"/>
        </w:tabs>
        <w:jc w:val="both"/>
        <w:rPr>
          <w:sz w:val="20"/>
          <w:szCs w:val="20"/>
          <w:lang w:val="fr-CA"/>
        </w:rPr>
      </w:pPr>
      <w:r w:rsidRPr="00D0331C">
        <w:rPr>
          <w:sz w:val="20"/>
          <w:szCs w:val="20"/>
          <w:lang w:val="fr-CA"/>
        </w:rPr>
        <w:t>Before / Devant :   CROMWELL J. / LE JUGE CROMWELL</w:t>
      </w:r>
    </w:p>
    <w:p w:rsidR="00D0331C" w:rsidRPr="00D0331C" w:rsidRDefault="00D0331C" w:rsidP="00D0331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0331C" w:rsidRPr="00225EDC" w:rsidTr="00714F1C">
        <w:tc>
          <w:tcPr>
            <w:tcW w:w="4338" w:type="dxa"/>
            <w:gridSpan w:val="2"/>
          </w:tcPr>
          <w:p w:rsidR="00D0331C" w:rsidRPr="00D0331C" w:rsidRDefault="00D0331C" w:rsidP="00714F1C">
            <w:pPr>
              <w:jc w:val="both"/>
              <w:rPr>
                <w:b/>
                <w:sz w:val="20"/>
                <w:szCs w:val="20"/>
              </w:rPr>
            </w:pPr>
            <w:r w:rsidRPr="00D0331C">
              <w:rPr>
                <w:b/>
                <w:sz w:val="20"/>
                <w:szCs w:val="20"/>
              </w:rPr>
              <w:t xml:space="preserve">Order on interventions with respect to oral argument </w:t>
            </w:r>
            <w:r w:rsidR="000944FD" w:rsidRPr="00D0331C">
              <w:rPr>
                <w:b/>
                <w:sz w:val="20"/>
                <w:szCs w:val="20"/>
              </w:rPr>
              <w:fldChar w:fldCharType="begin"/>
            </w:r>
            <w:r w:rsidRPr="00D0331C">
              <w:rPr>
                <w:b/>
                <w:sz w:val="20"/>
                <w:szCs w:val="20"/>
              </w:rPr>
              <w:instrText xml:space="preserve"> SEQ CHAPTER \h \r 1</w:instrText>
            </w:r>
            <w:r w:rsidR="000944FD" w:rsidRPr="00D0331C">
              <w:rPr>
                <w:b/>
                <w:sz w:val="20"/>
                <w:szCs w:val="20"/>
              </w:rPr>
              <w:fldChar w:fldCharType="end"/>
            </w:r>
          </w:p>
        </w:tc>
        <w:tc>
          <w:tcPr>
            <w:tcW w:w="1170" w:type="dxa"/>
          </w:tcPr>
          <w:p w:rsidR="00D0331C" w:rsidRPr="00D0331C" w:rsidRDefault="00D0331C" w:rsidP="00714F1C">
            <w:pPr>
              <w:rPr>
                <w:sz w:val="20"/>
                <w:szCs w:val="20"/>
              </w:rPr>
            </w:pPr>
          </w:p>
          <w:p w:rsidR="00D0331C" w:rsidRPr="00D0331C" w:rsidRDefault="00D0331C" w:rsidP="00714F1C">
            <w:pPr>
              <w:rPr>
                <w:sz w:val="20"/>
                <w:szCs w:val="20"/>
              </w:rPr>
            </w:pPr>
          </w:p>
          <w:p w:rsidR="00D0331C" w:rsidRPr="00D0331C" w:rsidRDefault="00D0331C" w:rsidP="00714F1C">
            <w:pPr>
              <w:rPr>
                <w:sz w:val="20"/>
                <w:szCs w:val="20"/>
              </w:rPr>
            </w:pPr>
          </w:p>
        </w:tc>
        <w:tc>
          <w:tcPr>
            <w:tcW w:w="4327" w:type="dxa"/>
          </w:tcPr>
          <w:p w:rsidR="00D0331C" w:rsidRPr="00D0331C" w:rsidRDefault="00D0331C" w:rsidP="00714F1C">
            <w:pPr>
              <w:jc w:val="both"/>
              <w:rPr>
                <w:b/>
                <w:sz w:val="20"/>
                <w:szCs w:val="20"/>
                <w:lang w:val="fr-CA"/>
              </w:rPr>
            </w:pPr>
            <w:r w:rsidRPr="00D0331C">
              <w:rPr>
                <w:b/>
                <w:sz w:val="20"/>
                <w:szCs w:val="20"/>
                <w:lang w:val="fr-CA"/>
              </w:rPr>
              <w:t>Ordonnance relative à la présentation d’une plaidoirie orale par les intervenant</w:t>
            </w:r>
            <w:r>
              <w:rPr>
                <w:b/>
                <w:sz w:val="20"/>
                <w:szCs w:val="20"/>
                <w:lang w:val="fr-CA"/>
              </w:rPr>
              <w:t>e</w:t>
            </w:r>
            <w:r w:rsidRPr="00D0331C">
              <w:rPr>
                <w:b/>
                <w:sz w:val="20"/>
                <w:szCs w:val="20"/>
                <w:lang w:val="fr-CA"/>
              </w:rPr>
              <w:t>s</w:t>
            </w:r>
            <w:r w:rsidR="000944FD" w:rsidRPr="00D0331C">
              <w:rPr>
                <w:b/>
                <w:sz w:val="20"/>
                <w:szCs w:val="20"/>
              </w:rPr>
              <w:fldChar w:fldCharType="begin"/>
            </w:r>
            <w:r w:rsidRPr="00D0331C">
              <w:rPr>
                <w:b/>
                <w:sz w:val="20"/>
                <w:szCs w:val="20"/>
                <w:lang w:val="fr-CA"/>
              </w:rPr>
              <w:instrText xml:space="preserve"> SEQ CHAPTER \h \r 1</w:instrText>
            </w:r>
            <w:r w:rsidR="000944FD" w:rsidRPr="00D0331C">
              <w:rPr>
                <w:b/>
                <w:sz w:val="20"/>
                <w:szCs w:val="20"/>
              </w:rPr>
              <w:fldChar w:fldCharType="end"/>
            </w:r>
          </w:p>
        </w:tc>
      </w:tr>
      <w:tr w:rsidR="00D0331C" w:rsidRPr="00225EDC" w:rsidTr="00714F1C">
        <w:trPr>
          <w:trHeight w:hRule="exact" w:val="576"/>
        </w:trPr>
        <w:tc>
          <w:tcPr>
            <w:tcW w:w="1368" w:type="dxa"/>
          </w:tcPr>
          <w:p w:rsidR="00D0331C" w:rsidRPr="00D0331C" w:rsidRDefault="00D0331C" w:rsidP="00714F1C">
            <w:pPr>
              <w:rPr>
                <w:sz w:val="20"/>
                <w:szCs w:val="20"/>
              </w:rPr>
            </w:pPr>
            <w:r w:rsidRPr="00D0331C">
              <w:rPr>
                <w:sz w:val="20"/>
                <w:szCs w:val="20"/>
              </w:rPr>
              <w:t>RE:</w:t>
            </w:r>
          </w:p>
        </w:tc>
        <w:tc>
          <w:tcPr>
            <w:tcW w:w="2970" w:type="dxa"/>
          </w:tcPr>
          <w:p w:rsidR="00D0331C" w:rsidRPr="00D0331C" w:rsidRDefault="00D0331C" w:rsidP="00714F1C">
            <w:pPr>
              <w:rPr>
                <w:sz w:val="20"/>
                <w:szCs w:val="20"/>
                <w:lang w:val="fr-CA"/>
              </w:rPr>
            </w:pPr>
            <w:r w:rsidRPr="00D0331C">
              <w:rPr>
                <w:sz w:val="20"/>
                <w:szCs w:val="20"/>
                <w:lang w:val="fr-CA"/>
              </w:rPr>
              <w:t>Coalition pour le contrôle des armes;</w:t>
            </w:r>
          </w:p>
        </w:tc>
        <w:tc>
          <w:tcPr>
            <w:tcW w:w="1170" w:type="dxa"/>
          </w:tcPr>
          <w:p w:rsidR="00D0331C" w:rsidRPr="00D0331C" w:rsidRDefault="00D0331C" w:rsidP="00714F1C">
            <w:pPr>
              <w:rPr>
                <w:sz w:val="20"/>
                <w:szCs w:val="20"/>
                <w:lang w:val="fr-CA"/>
              </w:rPr>
            </w:pPr>
          </w:p>
        </w:tc>
        <w:tc>
          <w:tcPr>
            <w:tcW w:w="4327" w:type="dxa"/>
          </w:tcPr>
          <w:p w:rsidR="00D0331C" w:rsidRPr="00D0331C" w:rsidRDefault="00D0331C" w:rsidP="00714F1C">
            <w:pPr>
              <w:rPr>
                <w:sz w:val="20"/>
                <w:szCs w:val="20"/>
                <w:lang w:val="fr-CA"/>
              </w:rPr>
            </w:pPr>
          </w:p>
        </w:tc>
      </w:tr>
      <w:tr w:rsidR="00D0331C" w:rsidRPr="00D0331C" w:rsidTr="00225EDC">
        <w:trPr>
          <w:trHeight w:hRule="exact" w:val="576"/>
        </w:trPr>
        <w:tc>
          <w:tcPr>
            <w:tcW w:w="1368" w:type="dxa"/>
          </w:tcPr>
          <w:p w:rsidR="00D0331C" w:rsidRPr="00D0331C" w:rsidRDefault="00D0331C" w:rsidP="00714F1C">
            <w:pPr>
              <w:rPr>
                <w:sz w:val="20"/>
                <w:szCs w:val="20"/>
                <w:lang w:val="fr-CA"/>
              </w:rPr>
            </w:pPr>
          </w:p>
        </w:tc>
        <w:tc>
          <w:tcPr>
            <w:tcW w:w="2970" w:type="dxa"/>
          </w:tcPr>
          <w:p w:rsidR="00D0331C" w:rsidRPr="00D0331C" w:rsidRDefault="00225EDC" w:rsidP="00714F1C">
            <w:pPr>
              <w:rPr>
                <w:sz w:val="20"/>
                <w:szCs w:val="20"/>
              </w:rPr>
            </w:pPr>
            <w:r>
              <w:rPr>
                <w:sz w:val="20"/>
                <w:szCs w:val="20"/>
                <w:lang w:val="fr-CA"/>
              </w:rPr>
              <w:t xml:space="preserve">Canada’s </w:t>
            </w:r>
            <w:r w:rsidR="00D0331C" w:rsidRPr="00D0331C">
              <w:rPr>
                <w:sz w:val="20"/>
                <w:szCs w:val="20"/>
                <w:lang w:val="fr-CA"/>
              </w:rPr>
              <w:t>National Firearms Association</w:t>
            </w:r>
          </w:p>
        </w:tc>
        <w:tc>
          <w:tcPr>
            <w:tcW w:w="1170" w:type="dxa"/>
          </w:tcPr>
          <w:p w:rsidR="00D0331C" w:rsidRPr="00D0331C" w:rsidRDefault="00D0331C" w:rsidP="00714F1C">
            <w:pPr>
              <w:rPr>
                <w:sz w:val="20"/>
                <w:szCs w:val="20"/>
              </w:rPr>
            </w:pPr>
          </w:p>
        </w:tc>
        <w:tc>
          <w:tcPr>
            <w:tcW w:w="4327" w:type="dxa"/>
          </w:tcPr>
          <w:p w:rsidR="00D0331C" w:rsidRPr="00D0331C" w:rsidRDefault="00D0331C" w:rsidP="00714F1C">
            <w:pPr>
              <w:rPr>
                <w:sz w:val="20"/>
                <w:szCs w:val="20"/>
              </w:rPr>
            </w:pPr>
          </w:p>
        </w:tc>
      </w:tr>
      <w:tr w:rsidR="00D0331C" w:rsidRPr="00D0331C" w:rsidTr="00714F1C">
        <w:tc>
          <w:tcPr>
            <w:tcW w:w="1368" w:type="dxa"/>
          </w:tcPr>
          <w:p w:rsidR="00D0331C" w:rsidRPr="00D0331C" w:rsidRDefault="00D0331C" w:rsidP="00714F1C">
            <w:pPr>
              <w:rPr>
                <w:sz w:val="20"/>
                <w:szCs w:val="20"/>
              </w:rPr>
            </w:pPr>
          </w:p>
        </w:tc>
        <w:tc>
          <w:tcPr>
            <w:tcW w:w="2970" w:type="dxa"/>
          </w:tcPr>
          <w:p w:rsidR="00D0331C" w:rsidRPr="00D0331C" w:rsidRDefault="00D0331C" w:rsidP="00714F1C">
            <w:pPr>
              <w:rPr>
                <w:sz w:val="20"/>
                <w:szCs w:val="20"/>
              </w:rPr>
            </w:pPr>
          </w:p>
        </w:tc>
        <w:tc>
          <w:tcPr>
            <w:tcW w:w="1170" w:type="dxa"/>
          </w:tcPr>
          <w:p w:rsidR="00D0331C" w:rsidRPr="00D0331C" w:rsidRDefault="00D0331C" w:rsidP="00714F1C">
            <w:pPr>
              <w:rPr>
                <w:sz w:val="20"/>
                <w:szCs w:val="20"/>
              </w:rPr>
            </w:pPr>
          </w:p>
        </w:tc>
        <w:tc>
          <w:tcPr>
            <w:tcW w:w="4327" w:type="dxa"/>
          </w:tcPr>
          <w:p w:rsidR="00D0331C" w:rsidRPr="00D0331C" w:rsidRDefault="00D0331C" w:rsidP="00714F1C">
            <w:pPr>
              <w:rPr>
                <w:sz w:val="20"/>
                <w:szCs w:val="20"/>
              </w:rPr>
            </w:pPr>
          </w:p>
        </w:tc>
      </w:tr>
      <w:tr w:rsidR="00D0331C" w:rsidRPr="00225EDC" w:rsidTr="00714F1C">
        <w:tc>
          <w:tcPr>
            <w:tcW w:w="1368" w:type="dxa"/>
          </w:tcPr>
          <w:p w:rsidR="00D0331C" w:rsidRPr="00D0331C" w:rsidRDefault="00D0331C" w:rsidP="00714F1C">
            <w:pPr>
              <w:rPr>
                <w:sz w:val="20"/>
                <w:szCs w:val="20"/>
              </w:rPr>
            </w:pPr>
            <w:r w:rsidRPr="00D0331C">
              <w:rPr>
                <w:sz w:val="20"/>
                <w:szCs w:val="20"/>
              </w:rPr>
              <w:t>IN / DANS :</w:t>
            </w:r>
          </w:p>
        </w:tc>
        <w:tc>
          <w:tcPr>
            <w:tcW w:w="2970" w:type="dxa"/>
          </w:tcPr>
          <w:p w:rsidR="00D0331C" w:rsidRPr="00D0331C" w:rsidRDefault="00D0331C" w:rsidP="00714F1C">
            <w:pPr>
              <w:rPr>
                <w:sz w:val="20"/>
                <w:szCs w:val="20"/>
                <w:lang w:val="fr-CA"/>
              </w:rPr>
            </w:pPr>
            <w:r w:rsidRPr="00D0331C">
              <w:rPr>
                <w:sz w:val="20"/>
                <w:szCs w:val="20"/>
                <w:lang w:val="fr-CA"/>
              </w:rPr>
              <w:t>Procureur général du Québec</w:t>
            </w:r>
          </w:p>
          <w:p w:rsidR="00D0331C" w:rsidRPr="00D0331C" w:rsidRDefault="00D0331C" w:rsidP="00714F1C">
            <w:pPr>
              <w:rPr>
                <w:sz w:val="20"/>
                <w:szCs w:val="20"/>
                <w:lang w:val="fr-CA"/>
              </w:rPr>
            </w:pPr>
          </w:p>
          <w:p w:rsidR="00D0331C" w:rsidRPr="00D0331C" w:rsidRDefault="00D0331C" w:rsidP="00714F1C">
            <w:pPr>
              <w:rPr>
                <w:sz w:val="20"/>
                <w:szCs w:val="20"/>
                <w:lang w:val="fr-CA"/>
              </w:rPr>
            </w:pPr>
            <w:r w:rsidRPr="00D0331C">
              <w:rPr>
                <w:sz w:val="20"/>
                <w:szCs w:val="20"/>
                <w:lang w:val="fr-CA"/>
              </w:rPr>
              <w:tab/>
              <w:t>c. (35448)</w:t>
            </w:r>
          </w:p>
          <w:p w:rsidR="00D0331C" w:rsidRPr="00D0331C" w:rsidRDefault="00D0331C" w:rsidP="00714F1C">
            <w:pPr>
              <w:rPr>
                <w:sz w:val="20"/>
                <w:szCs w:val="20"/>
                <w:lang w:val="fr-CA"/>
              </w:rPr>
            </w:pPr>
          </w:p>
          <w:p w:rsidR="00D0331C" w:rsidRPr="00D0331C" w:rsidRDefault="00D0331C" w:rsidP="00714F1C">
            <w:pPr>
              <w:rPr>
                <w:sz w:val="20"/>
                <w:szCs w:val="20"/>
                <w:lang w:val="fr-CA"/>
              </w:rPr>
            </w:pPr>
            <w:r w:rsidRPr="00D0331C">
              <w:rPr>
                <w:sz w:val="20"/>
                <w:szCs w:val="20"/>
                <w:lang w:val="fr-CA"/>
              </w:rPr>
              <w:t>Procureur général du Canada et autres (Qc)</w:t>
            </w:r>
          </w:p>
        </w:tc>
        <w:tc>
          <w:tcPr>
            <w:tcW w:w="1170" w:type="dxa"/>
          </w:tcPr>
          <w:p w:rsidR="00D0331C" w:rsidRPr="00D0331C" w:rsidRDefault="00D0331C" w:rsidP="00714F1C">
            <w:pPr>
              <w:rPr>
                <w:sz w:val="20"/>
                <w:szCs w:val="20"/>
                <w:lang w:val="fr-CA"/>
              </w:rPr>
            </w:pPr>
          </w:p>
        </w:tc>
        <w:tc>
          <w:tcPr>
            <w:tcW w:w="4327" w:type="dxa"/>
          </w:tcPr>
          <w:p w:rsidR="00D0331C" w:rsidRPr="00D0331C" w:rsidRDefault="00D0331C" w:rsidP="00714F1C">
            <w:pPr>
              <w:rPr>
                <w:sz w:val="20"/>
                <w:szCs w:val="20"/>
                <w:lang w:val="fr-CA"/>
              </w:rPr>
            </w:pPr>
          </w:p>
        </w:tc>
      </w:tr>
    </w:tbl>
    <w:p w:rsidR="00D0331C" w:rsidRPr="00D0331C" w:rsidRDefault="00D0331C" w:rsidP="00D0331C">
      <w:pPr>
        <w:tabs>
          <w:tab w:val="left" w:pos="-1440"/>
          <w:tab w:val="left" w:pos="-720"/>
        </w:tabs>
        <w:jc w:val="both"/>
        <w:rPr>
          <w:sz w:val="20"/>
          <w:szCs w:val="20"/>
          <w:lang w:val="fr-CA"/>
        </w:rPr>
      </w:pPr>
    </w:p>
    <w:p w:rsidR="00D0331C" w:rsidRPr="00D0331C" w:rsidRDefault="00D0331C" w:rsidP="00D0331C">
      <w:pPr>
        <w:spacing w:line="233" w:lineRule="auto"/>
        <w:jc w:val="both"/>
        <w:rPr>
          <w:sz w:val="20"/>
          <w:szCs w:val="20"/>
          <w:lang w:val="fr-FR"/>
        </w:rPr>
      </w:pPr>
      <w:r w:rsidRPr="00D0331C">
        <w:rPr>
          <w:b/>
          <w:sz w:val="20"/>
          <w:szCs w:val="20"/>
          <w:lang w:val="fr-CA"/>
        </w:rPr>
        <w:t>À LA SUITE DE L’ORDONNANCE</w:t>
      </w:r>
      <w:r w:rsidRPr="00D0331C">
        <w:rPr>
          <w:sz w:val="20"/>
          <w:szCs w:val="20"/>
          <w:lang w:val="fr-CA"/>
        </w:rPr>
        <w:t xml:space="preserve"> datée du 5 juin 2014</w:t>
      </w:r>
      <w:r w:rsidRPr="00D0331C">
        <w:rPr>
          <w:sz w:val="20"/>
          <w:szCs w:val="20"/>
          <w:lang w:val="fr-FR"/>
        </w:rPr>
        <w:t xml:space="preserve">, autorisant la </w:t>
      </w:r>
      <w:r w:rsidRPr="00D0331C">
        <w:rPr>
          <w:sz w:val="20"/>
          <w:szCs w:val="20"/>
          <w:lang w:val="fr-CA"/>
        </w:rPr>
        <w:t>Coalition pour le contrôle des armes et la Canada’s National Firearms Association</w:t>
      </w:r>
      <w:r w:rsidRPr="00D0331C">
        <w:rPr>
          <w:sz w:val="20"/>
          <w:szCs w:val="20"/>
          <w:lang w:val="fr-FR"/>
        </w:rPr>
        <w:t xml:space="preserve"> à intervenir;</w:t>
      </w:r>
    </w:p>
    <w:p w:rsidR="00D0331C" w:rsidRPr="00D0331C" w:rsidRDefault="00D0331C" w:rsidP="00D0331C">
      <w:pPr>
        <w:spacing w:line="233" w:lineRule="auto"/>
        <w:jc w:val="both"/>
        <w:rPr>
          <w:sz w:val="20"/>
          <w:szCs w:val="20"/>
          <w:lang w:val="fr-FR"/>
        </w:rPr>
      </w:pPr>
    </w:p>
    <w:p w:rsidR="00D0331C" w:rsidRPr="00D0331C" w:rsidRDefault="00D0331C" w:rsidP="00D0331C">
      <w:pPr>
        <w:spacing w:line="233" w:lineRule="auto"/>
        <w:jc w:val="both"/>
        <w:rPr>
          <w:sz w:val="20"/>
          <w:szCs w:val="20"/>
          <w:lang w:val="fr-CA"/>
        </w:rPr>
      </w:pPr>
      <w:r w:rsidRPr="00D0331C">
        <w:rPr>
          <w:b/>
          <w:bCs/>
          <w:sz w:val="20"/>
          <w:szCs w:val="20"/>
          <w:lang w:val="fr-CA"/>
        </w:rPr>
        <w:t xml:space="preserve">IL EST EN OUTRE ORDONNÉ QUE </w:t>
      </w:r>
      <w:r w:rsidRPr="00D0331C">
        <w:rPr>
          <w:bCs/>
          <w:sz w:val="20"/>
          <w:szCs w:val="20"/>
          <w:lang w:val="fr-CA"/>
        </w:rPr>
        <w:t>l</w:t>
      </w:r>
      <w:r w:rsidRPr="00D0331C">
        <w:rPr>
          <w:sz w:val="20"/>
          <w:szCs w:val="20"/>
          <w:lang w:val="fr-CA"/>
        </w:rPr>
        <w:t>es mémoires des deux intervenantes seront examinés sans qu’il soit nécessaire que ces intervenantes présentent une plaidoirie orale.</w:t>
      </w:r>
    </w:p>
    <w:p w:rsidR="00D0331C" w:rsidRPr="00D0331C" w:rsidRDefault="00D0331C" w:rsidP="00D0331C">
      <w:pPr>
        <w:spacing w:line="233" w:lineRule="auto"/>
        <w:jc w:val="both"/>
        <w:rPr>
          <w:sz w:val="20"/>
          <w:szCs w:val="20"/>
          <w:lang w:val="fr-CA"/>
        </w:rPr>
      </w:pPr>
    </w:p>
    <w:p w:rsidR="00D0331C" w:rsidRPr="00D0331C" w:rsidRDefault="00D0331C" w:rsidP="00D0331C">
      <w:pPr>
        <w:spacing w:line="233" w:lineRule="auto"/>
        <w:jc w:val="both"/>
        <w:rPr>
          <w:sz w:val="20"/>
          <w:szCs w:val="20"/>
          <w:lang w:val="fr-CA"/>
        </w:rPr>
      </w:pPr>
    </w:p>
    <w:p w:rsidR="00D0331C" w:rsidRPr="00D0331C" w:rsidRDefault="00D0331C" w:rsidP="00D0331C">
      <w:pPr>
        <w:spacing w:line="232" w:lineRule="auto"/>
        <w:jc w:val="both"/>
        <w:rPr>
          <w:b/>
          <w:bCs/>
          <w:sz w:val="20"/>
          <w:szCs w:val="20"/>
          <w:lang w:val="fr-CA"/>
        </w:rPr>
      </w:pPr>
    </w:p>
    <w:p w:rsidR="00D0331C" w:rsidRPr="00D0331C" w:rsidRDefault="00D0331C" w:rsidP="00D0331C">
      <w:pPr>
        <w:spacing w:line="232" w:lineRule="auto"/>
        <w:jc w:val="both"/>
        <w:rPr>
          <w:bCs/>
          <w:sz w:val="20"/>
          <w:szCs w:val="20"/>
        </w:rPr>
      </w:pPr>
      <w:r w:rsidRPr="00D0331C">
        <w:rPr>
          <w:b/>
          <w:bCs/>
          <w:sz w:val="20"/>
          <w:szCs w:val="20"/>
        </w:rPr>
        <w:t>FURTHER TO THE ORDER</w:t>
      </w:r>
      <w:r w:rsidRPr="00D0331C">
        <w:rPr>
          <w:sz w:val="20"/>
          <w:szCs w:val="20"/>
        </w:rPr>
        <w:t xml:space="preserve"> dated June 5, 2014, granting leave to intervene to</w:t>
      </w:r>
      <w:r w:rsidRPr="00D0331C">
        <w:rPr>
          <w:b/>
          <w:bCs/>
          <w:sz w:val="20"/>
          <w:szCs w:val="20"/>
        </w:rPr>
        <w:t xml:space="preserve"> </w:t>
      </w:r>
      <w:r w:rsidRPr="00D0331C">
        <w:rPr>
          <w:bCs/>
          <w:sz w:val="20"/>
          <w:szCs w:val="20"/>
        </w:rPr>
        <w:t>the</w:t>
      </w:r>
      <w:r w:rsidRPr="00D0331C">
        <w:rPr>
          <w:b/>
          <w:bCs/>
          <w:sz w:val="20"/>
          <w:szCs w:val="20"/>
        </w:rPr>
        <w:t xml:space="preserve"> </w:t>
      </w:r>
      <w:r w:rsidRPr="00D0331C">
        <w:rPr>
          <w:sz w:val="20"/>
          <w:szCs w:val="20"/>
        </w:rPr>
        <w:t>Coalition pour le contrôle des armes and the Canada’s National Firearms Association;</w:t>
      </w:r>
    </w:p>
    <w:p w:rsidR="00D0331C" w:rsidRPr="00D0331C" w:rsidRDefault="00D0331C" w:rsidP="00D0331C">
      <w:pPr>
        <w:spacing w:line="232" w:lineRule="auto"/>
        <w:jc w:val="both"/>
        <w:rPr>
          <w:sz w:val="20"/>
          <w:szCs w:val="20"/>
        </w:rPr>
      </w:pPr>
    </w:p>
    <w:p w:rsidR="00D0331C" w:rsidRPr="00D0331C" w:rsidRDefault="00D0331C" w:rsidP="00D0331C">
      <w:pPr>
        <w:spacing w:line="232" w:lineRule="auto"/>
        <w:jc w:val="both"/>
        <w:rPr>
          <w:sz w:val="20"/>
          <w:szCs w:val="20"/>
        </w:rPr>
      </w:pPr>
      <w:r w:rsidRPr="00D0331C">
        <w:rPr>
          <w:b/>
          <w:bCs/>
          <w:sz w:val="20"/>
          <w:szCs w:val="20"/>
        </w:rPr>
        <w:t xml:space="preserve">IT IS HEREBY FURTHER ORDERED THAT </w:t>
      </w:r>
      <w:r w:rsidRPr="00D0331C">
        <w:rPr>
          <w:sz w:val="20"/>
          <w:szCs w:val="20"/>
        </w:rPr>
        <w:t>the factum of the said two interveners will be considered without the need for oral argument.</w:t>
      </w:r>
    </w:p>
    <w:p w:rsidR="00D0331C" w:rsidRPr="001342D2" w:rsidRDefault="00D0331C" w:rsidP="00D0331C">
      <w:pPr>
        <w:spacing w:line="232" w:lineRule="auto"/>
        <w:jc w:val="both"/>
      </w:pPr>
    </w:p>
    <w:p w:rsidR="00CA2DEA" w:rsidRPr="006E5D7C" w:rsidRDefault="00215143"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25ED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714F1C">
              <w:rPr>
                <w:sz w:val="20"/>
                <w:szCs w:val="20"/>
              </w:rPr>
              <w:t>0</w:t>
            </w:r>
            <w:r w:rsidRPr="003B3977">
              <w:rPr>
                <w:sz w:val="20"/>
                <w:szCs w:val="20"/>
              </w:rPr>
              <w:t>.</w:t>
            </w:r>
            <w:r w:rsidR="00714F1C">
              <w:rPr>
                <w:sz w:val="20"/>
                <w:szCs w:val="20"/>
              </w:rPr>
              <w:t>09</w:t>
            </w:r>
            <w:r w:rsidRPr="003B3977">
              <w:rPr>
                <w:sz w:val="20"/>
                <w:szCs w:val="20"/>
              </w:rPr>
              <w:t>.201</w:t>
            </w:r>
            <w:r w:rsidR="00714F1C">
              <w:rPr>
                <w:sz w:val="20"/>
                <w:szCs w:val="20"/>
              </w:rPr>
              <w:t>4</w:t>
            </w:r>
          </w:p>
          <w:p w:rsidR="0086340B" w:rsidRPr="003B3977" w:rsidRDefault="0086340B" w:rsidP="005F1ED8">
            <w:pPr>
              <w:rPr>
                <w:sz w:val="20"/>
                <w:szCs w:val="20"/>
              </w:rPr>
            </w:pPr>
          </w:p>
          <w:p w:rsidR="0086340B" w:rsidRPr="003B3977" w:rsidRDefault="00714F1C" w:rsidP="005F1ED8">
            <w:pPr>
              <w:rPr>
                <w:b/>
                <w:sz w:val="20"/>
                <w:szCs w:val="20"/>
              </w:rPr>
            </w:pPr>
            <w:r>
              <w:rPr>
                <w:b/>
                <w:sz w:val="20"/>
                <w:szCs w:val="20"/>
              </w:rPr>
              <w:t>S</w:t>
            </w:r>
            <w:r w:rsidR="0086340B">
              <w:rPr>
                <w:b/>
                <w:sz w:val="20"/>
                <w:szCs w:val="20"/>
              </w:rPr>
              <w:t>h</w:t>
            </w:r>
            <w:r>
              <w:rPr>
                <w:b/>
                <w:sz w:val="20"/>
                <w:szCs w:val="20"/>
              </w:rPr>
              <w:t>an</w:t>
            </w:r>
            <w:r w:rsidR="0086340B" w:rsidRPr="003B3977">
              <w:rPr>
                <w:b/>
                <w:sz w:val="20"/>
                <w:szCs w:val="20"/>
              </w:rPr>
              <w:t>e</w:t>
            </w:r>
            <w:r w:rsidR="0086340B">
              <w:rPr>
                <w:b/>
                <w:sz w:val="20"/>
                <w:szCs w:val="20"/>
              </w:rPr>
              <w:t xml:space="preserve"> </w:t>
            </w:r>
            <w:r>
              <w:rPr>
                <w:b/>
                <w:sz w:val="20"/>
                <w:szCs w:val="20"/>
              </w:rPr>
              <w:t>Go</w:t>
            </w:r>
            <w:r w:rsidR="0086340B">
              <w:rPr>
                <w:b/>
                <w:sz w:val="20"/>
                <w:szCs w:val="20"/>
              </w:rPr>
              <w:t>r</w:t>
            </w:r>
            <w:r>
              <w:rPr>
                <w:b/>
                <w:sz w:val="20"/>
                <w:szCs w:val="20"/>
              </w:rPr>
              <w:t>do</w:t>
            </w:r>
            <w:r w:rsidR="0086340B">
              <w:rPr>
                <w:b/>
                <w:sz w:val="20"/>
                <w:szCs w:val="20"/>
              </w:rPr>
              <w:t>n</w:t>
            </w:r>
            <w:r>
              <w:rPr>
                <w:b/>
                <w:sz w:val="20"/>
                <w:szCs w:val="20"/>
              </w:rPr>
              <w:t xml:space="preserve"> Ro</w:t>
            </w:r>
            <w:r w:rsidR="0086340B">
              <w:rPr>
                <w:b/>
                <w:sz w:val="20"/>
                <w:szCs w:val="20"/>
              </w:rPr>
              <w:t>ll</w:t>
            </w:r>
            <w:r>
              <w:rPr>
                <w:b/>
                <w:sz w:val="20"/>
                <w:szCs w:val="20"/>
              </w:rPr>
              <w:t>iso</w:t>
            </w:r>
            <w:r w:rsidR="0086340B">
              <w:rPr>
                <w:b/>
                <w:sz w:val="20"/>
                <w:szCs w:val="20"/>
              </w:rPr>
              <w:t>n</w:t>
            </w:r>
            <w:r>
              <w:rPr>
                <w:b/>
                <w:sz w:val="20"/>
                <w:szCs w:val="20"/>
              </w:rPr>
              <w:t xml:space="preserve"> </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714F1C">
              <w:rPr>
                <w:b/>
                <w:sz w:val="20"/>
                <w:szCs w:val="20"/>
              </w:rPr>
              <w:t>6064</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H</w:t>
            </w:r>
            <w:r w:rsidR="00714F1C">
              <w:rPr>
                <w:b/>
                <w:sz w:val="20"/>
                <w:szCs w:val="20"/>
              </w:rPr>
              <w:t>er M</w:t>
            </w:r>
            <w:r>
              <w:rPr>
                <w:b/>
                <w:sz w:val="20"/>
                <w:szCs w:val="20"/>
              </w:rPr>
              <w:t>a</w:t>
            </w:r>
            <w:r w:rsidR="00714F1C">
              <w:rPr>
                <w:b/>
                <w:sz w:val="20"/>
                <w:szCs w:val="20"/>
              </w:rPr>
              <w:t>jes</w:t>
            </w:r>
            <w:r>
              <w:rPr>
                <w:b/>
                <w:sz w:val="20"/>
                <w:szCs w:val="20"/>
              </w:rPr>
              <w:t xml:space="preserve">ty </w:t>
            </w:r>
            <w:r w:rsidR="00714F1C">
              <w:rPr>
                <w:b/>
                <w:sz w:val="20"/>
                <w:szCs w:val="20"/>
              </w:rPr>
              <w:t>the Qu</w:t>
            </w:r>
            <w:r>
              <w:rPr>
                <w:b/>
                <w:sz w:val="20"/>
                <w:szCs w:val="20"/>
              </w:rPr>
              <w:t>e</w:t>
            </w:r>
            <w:r w:rsidR="00714F1C">
              <w:rPr>
                <w:b/>
                <w:sz w:val="20"/>
                <w:szCs w:val="20"/>
              </w:rPr>
              <w:t>en</w:t>
            </w:r>
            <w:r w:rsidRPr="003B3977">
              <w:rPr>
                <w:b/>
                <w:sz w:val="20"/>
                <w:szCs w:val="20"/>
              </w:rPr>
              <w:t xml:space="preserve"> (</w:t>
            </w:r>
            <w:r w:rsidR="00714F1C">
              <w:rPr>
                <w:b/>
                <w:sz w:val="20"/>
                <w:szCs w:val="20"/>
              </w:rPr>
              <w:t>Alta</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714F1C" w:rsidRPr="003B3977">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215143" w:rsidP="005F1ED8">
            <w:pPr>
              <w:rPr>
                <w:sz w:val="20"/>
                <w:szCs w:val="20"/>
                <w:lang w:val="fr-CA"/>
              </w:rPr>
            </w:pPr>
            <w:r>
              <w:rPr>
                <w:sz w:val="20"/>
                <w:szCs w:val="20"/>
                <w:lang w:val="fr-CA"/>
              </w:rPr>
              <w:pict>
                <v:rect id="_x0000_i108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714F1C" w:rsidRDefault="0086340B" w:rsidP="005F1ED8">
            <w:pPr>
              <w:rPr>
                <w:sz w:val="20"/>
                <w:szCs w:val="20"/>
              </w:rPr>
            </w:pPr>
            <w:r w:rsidRPr="00714F1C">
              <w:rPr>
                <w:sz w:val="20"/>
                <w:szCs w:val="20"/>
              </w:rPr>
              <w:t>1</w:t>
            </w:r>
            <w:r w:rsidR="00714F1C" w:rsidRPr="00714F1C">
              <w:rPr>
                <w:sz w:val="20"/>
                <w:szCs w:val="20"/>
              </w:rPr>
              <w:t>2</w:t>
            </w:r>
            <w:r w:rsidRPr="00714F1C">
              <w:rPr>
                <w:sz w:val="20"/>
                <w:szCs w:val="20"/>
              </w:rPr>
              <w:t>.</w:t>
            </w:r>
            <w:r w:rsidR="00714F1C" w:rsidRPr="00714F1C">
              <w:rPr>
                <w:sz w:val="20"/>
                <w:szCs w:val="20"/>
              </w:rPr>
              <w:t>09</w:t>
            </w:r>
            <w:r w:rsidRPr="00714F1C">
              <w:rPr>
                <w:sz w:val="20"/>
                <w:szCs w:val="20"/>
              </w:rPr>
              <w:t>.201</w:t>
            </w:r>
            <w:r w:rsidR="00714F1C" w:rsidRPr="00714F1C">
              <w:rPr>
                <w:sz w:val="20"/>
                <w:szCs w:val="20"/>
              </w:rPr>
              <w:t>4</w:t>
            </w:r>
          </w:p>
          <w:p w:rsidR="0086340B" w:rsidRPr="00714F1C" w:rsidRDefault="0086340B" w:rsidP="005F1ED8">
            <w:pPr>
              <w:rPr>
                <w:sz w:val="20"/>
                <w:szCs w:val="20"/>
              </w:rPr>
            </w:pPr>
          </w:p>
          <w:p w:rsidR="00714F1C" w:rsidRPr="00130B0E" w:rsidRDefault="00714F1C" w:rsidP="00714F1C">
            <w:pPr>
              <w:rPr>
                <w:b/>
                <w:sz w:val="20"/>
                <w:szCs w:val="20"/>
              </w:rPr>
            </w:pPr>
            <w:r w:rsidRPr="00130B0E">
              <w:rPr>
                <w:b/>
                <w:sz w:val="20"/>
                <w:szCs w:val="20"/>
              </w:rPr>
              <w:t>Her Majesty the Queen</w:t>
            </w:r>
          </w:p>
          <w:p w:rsidR="0086340B" w:rsidRPr="00714F1C" w:rsidRDefault="0086340B" w:rsidP="005F1ED8">
            <w:pPr>
              <w:rPr>
                <w:b/>
                <w:sz w:val="20"/>
                <w:szCs w:val="20"/>
              </w:rPr>
            </w:pPr>
          </w:p>
          <w:p w:rsidR="0086340B" w:rsidRPr="00714F1C" w:rsidRDefault="0086340B" w:rsidP="005F1ED8">
            <w:pPr>
              <w:rPr>
                <w:b/>
                <w:sz w:val="20"/>
                <w:szCs w:val="20"/>
              </w:rPr>
            </w:pPr>
            <w:r w:rsidRPr="00714F1C">
              <w:rPr>
                <w:b/>
                <w:sz w:val="20"/>
                <w:szCs w:val="20"/>
              </w:rPr>
              <w:tab/>
            </w:r>
            <w:r w:rsidR="00714F1C" w:rsidRPr="00714F1C">
              <w:rPr>
                <w:b/>
                <w:sz w:val="20"/>
                <w:szCs w:val="20"/>
              </w:rPr>
              <w:t>v</w:t>
            </w:r>
            <w:r w:rsidRPr="00714F1C">
              <w:rPr>
                <w:b/>
                <w:sz w:val="20"/>
                <w:szCs w:val="20"/>
              </w:rPr>
              <w:t>. (3</w:t>
            </w:r>
            <w:r w:rsidR="00714F1C" w:rsidRPr="00714F1C">
              <w:rPr>
                <w:b/>
                <w:sz w:val="20"/>
                <w:szCs w:val="20"/>
              </w:rPr>
              <w:t>60</w:t>
            </w:r>
            <w:r w:rsidRPr="00714F1C">
              <w:rPr>
                <w:b/>
                <w:sz w:val="20"/>
                <w:szCs w:val="20"/>
              </w:rPr>
              <w:t>5</w:t>
            </w:r>
            <w:r w:rsidR="00714F1C" w:rsidRPr="00714F1C">
              <w:rPr>
                <w:b/>
                <w:sz w:val="20"/>
                <w:szCs w:val="20"/>
              </w:rPr>
              <w:t>9</w:t>
            </w:r>
            <w:r w:rsidRPr="00714F1C">
              <w:rPr>
                <w:b/>
                <w:sz w:val="20"/>
                <w:szCs w:val="20"/>
              </w:rPr>
              <w:t>)</w:t>
            </w:r>
          </w:p>
          <w:p w:rsidR="0086340B" w:rsidRPr="00714F1C" w:rsidRDefault="0086340B" w:rsidP="005F1ED8">
            <w:pPr>
              <w:rPr>
                <w:b/>
                <w:sz w:val="20"/>
                <w:szCs w:val="20"/>
              </w:rPr>
            </w:pPr>
          </w:p>
          <w:p w:rsidR="0086340B" w:rsidRPr="00714F1C" w:rsidRDefault="00714F1C" w:rsidP="005F1ED8">
            <w:pPr>
              <w:rPr>
                <w:b/>
                <w:sz w:val="20"/>
                <w:szCs w:val="20"/>
              </w:rPr>
            </w:pPr>
            <w:r w:rsidRPr="00714F1C">
              <w:rPr>
                <w:b/>
                <w:sz w:val="20"/>
                <w:szCs w:val="20"/>
              </w:rPr>
              <w:t>Owen Edw</w:t>
            </w:r>
            <w:r w:rsidR="0086340B" w:rsidRPr="00714F1C">
              <w:rPr>
                <w:b/>
                <w:sz w:val="20"/>
                <w:szCs w:val="20"/>
              </w:rPr>
              <w:t>a</w:t>
            </w:r>
            <w:r w:rsidRPr="00714F1C">
              <w:rPr>
                <w:b/>
                <w:sz w:val="20"/>
                <w:szCs w:val="20"/>
              </w:rPr>
              <w:t>rd Smi</w:t>
            </w:r>
            <w:r w:rsidR="0086340B" w:rsidRPr="00714F1C">
              <w:rPr>
                <w:b/>
                <w:sz w:val="20"/>
                <w:szCs w:val="20"/>
              </w:rPr>
              <w:t>t</w:t>
            </w:r>
            <w:r w:rsidRPr="00714F1C">
              <w:rPr>
                <w:b/>
                <w:sz w:val="20"/>
                <w:szCs w:val="20"/>
              </w:rPr>
              <w:t>h</w:t>
            </w:r>
            <w:r w:rsidR="0086340B" w:rsidRPr="00714F1C">
              <w:rPr>
                <w:b/>
                <w:sz w:val="20"/>
                <w:szCs w:val="20"/>
              </w:rPr>
              <w:t xml:space="preserve"> (</w:t>
            </w:r>
            <w:r w:rsidRPr="00714F1C">
              <w:rPr>
                <w:b/>
                <w:sz w:val="20"/>
                <w:szCs w:val="20"/>
              </w:rPr>
              <w:t>B.C.</w:t>
            </w:r>
            <w:r w:rsidR="0086340B" w:rsidRPr="00714F1C">
              <w:rPr>
                <w:b/>
                <w:sz w:val="20"/>
                <w:szCs w:val="20"/>
              </w:rPr>
              <w:t>)</w:t>
            </w:r>
          </w:p>
          <w:p w:rsidR="0086340B" w:rsidRPr="00714F1C" w:rsidRDefault="0086340B" w:rsidP="005F1ED8">
            <w:pPr>
              <w:rPr>
                <w:sz w:val="20"/>
                <w:szCs w:val="20"/>
              </w:rPr>
            </w:pPr>
          </w:p>
          <w:p w:rsidR="0086340B" w:rsidRPr="003B3977" w:rsidRDefault="0086340B" w:rsidP="005F1ED8">
            <w:pPr>
              <w:rPr>
                <w:sz w:val="20"/>
                <w:szCs w:val="20"/>
              </w:rPr>
            </w:pPr>
            <w:r w:rsidRPr="003B3977">
              <w:rPr>
                <w:sz w:val="20"/>
                <w:szCs w:val="20"/>
              </w:rPr>
              <w:t>(</w:t>
            </w:r>
            <w:r w:rsidR="00714F1C" w:rsidRPr="0085756D">
              <w:rPr>
                <w:sz w:val="20"/>
                <w:szCs w:val="20"/>
              </w:rPr>
              <w:t>As of Right)</w:t>
            </w:r>
          </w:p>
          <w:p w:rsidR="0086340B" w:rsidRPr="003B3977" w:rsidRDefault="0086340B" w:rsidP="005F1ED8">
            <w:pPr>
              <w:rPr>
                <w:sz w:val="20"/>
                <w:szCs w:val="20"/>
              </w:rPr>
            </w:pPr>
          </w:p>
          <w:p w:rsidR="0086340B" w:rsidRPr="003B3977" w:rsidRDefault="00215143" w:rsidP="005F1ED8">
            <w:pPr>
              <w:rPr>
                <w:sz w:val="20"/>
                <w:szCs w:val="20"/>
              </w:rPr>
            </w:pPr>
            <w:r>
              <w:rPr>
                <w:sz w:val="20"/>
                <w:szCs w:val="20"/>
                <w:lang w:val="fr-CA"/>
              </w:rPr>
              <w:pict>
                <v:rect id="_x0000_i108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25ED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CB40D3" w:rsidP="0052229C">
      <w:pPr>
        <w:rPr>
          <w:b/>
          <w:sz w:val="20"/>
          <w:szCs w:val="20"/>
          <w:lang w:val="fr-CA"/>
        </w:rPr>
      </w:pPr>
      <w:r>
        <w:rPr>
          <w:b/>
          <w:sz w:val="20"/>
          <w:szCs w:val="20"/>
          <w:lang w:val="fr-CA"/>
        </w:rPr>
        <w:t>SEPTEMBER</w:t>
      </w:r>
      <w:r w:rsidR="0052229C" w:rsidRPr="00C42C54">
        <w:rPr>
          <w:b/>
          <w:sz w:val="20"/>
          <w:szCs w:val="20"/>
          <w:lang w:val="fr-CA"/>
        </w:rPr>
        <w:t xml:space="preserve"> </w:t>
      </w:r>
      <w:r>
        <w:rPr>
          <w:b/>
          <w:sz w:val="20"/>
          <w:szCs w:val="20"/>
          <w:lang w:val="fr-CA"/>
        </w:rPr>
        <w:t>26</w:t>
      </w:r>
      <w:r w:rsidR="0052229C" w:rsidRPr="00C42C54">
        <w:rPr>
          <w:b/>
          <w:sz w:val="20"/>
          <w:szCs w:val="20"/>
          <w:lang w:val="fr-CA"/>
        </w:rPr>
        <w:t xml:space="preserve">, 2014 / LE </w:t>
      </w:r>
      <w:r>
        <w:rPr>
          <w:b/>
          <w:sz w:val="20"/>
          <w:szCs w:val="20"/>
          <w:lang w:val="fr-CA"/>
        </w:rPr>
        <w:t>26 SEPTEMBRE</w:t>
      </w:r>
      <w:r w:rsidR="0052229C" w:rsidRPr="00C42C54">
        <w:rPr>
          <w:b/>
          <w:sz w:val="20"/>
          <w:szCs w:val="20"/>
          <w:lang w:val="fr-CA"/>
        </w:rPr>
        <w:t xml:space="preserve"> 2014</w:t>
      </w:r>
    </w:p>
    <w:p w:rsidR="0052229C" w:rsidRPr="00C42C54" w:rsidRDefault="0052229C" w:rsidP="0052229C">
      <w:pPr>
        <w:rPr>
          <w:sz w:val="20"/>
          <w:szCs w:val="20"/>
          <w:lang w:val="fr-CA"/>
        </w:rPr>
      </w:pPr>
    </w:p>
    <w:p w:rsidR="00900E57" w:rsidRPr="005C4F28" w:rsidRDefault="00900E57" w:rsidP="00900E57">
      <w:pPr>
        <w:ind w:left="1440" w:hanging="1440"/>
        <w:jc w:val="both"/>
        <w:rPr>
          <w:b/>
          <w:sz w:val="20"/>
          <w:szCs w:val="20"/>
        </w:rPr>
      </w:pPr>
      <w:r w:rsidRPr="005C4F28">
        <w:rPr>
          <w:b/>
          <w:sz w:val="20"/>
          <w:szCs w:val="20"/>
        </w:rPr>
        <w:t>35093</w:t>
      </w:r>
      <w:r w:rsidRPr="005C4F28">
        <w:rPr>
          <w:b/>
          <w:sz w:val="20"/>
          <w:szCs w:val="20"/>
        </w:rPr>
        <w:tab/>
      </w:r>
      <w:r w:rsidRPr="005C4F28">
        <w:rPr>
          <w:b/>
          <w:sz w:val="20"/>
          <w:szCs w:val="20"/>
          <w:u w:val="single"/>
        </w:rPr>
        <w:t>Dax Richard Mack v. Her Majesty The Queen</w:t>
      </w:r>
      <w:r w:rsidR="00432E29" w:rsidRPr="00432E29">
        <w:rPr>
          <w:b/>
          <w:sz w:val="20"/>
          <w:u w:val="single"/>
        </w:rPr>
        <w:t xml:space="preserve"> – and – </w:t>
      </w:r>
      <w:r w:rsidRPr="005C4F28">
        <w:rPr>
          <w:b/>
          <w:sz w:val="20"/>
          <w:szCs w:val="20"/>
          <w:u w:val="single"/>
        </w:rPr>
        <w:t>Attorney General of Ontario and Attorney General of British Columbia</w:t>
      </w:r>
      <w:r w:rsidRPr="005C4F28">
        <w:rPr>
          <w:b/>
          <w:sz w:val="20"/>
          <w:szCs w:val="20"/>
        </w:rPr>
        <w:t xml:space="preserve"> </w:t>
      </w:r>
      <w:r w:rsidRPr="005C4F28">
        <w:rPr>
          <w:sz w:val="20"/>
          <w:szCs w:val="20"/>
        </w:rPr>
        <w:t>(Alta.)</w:t>
      </w:r>
    </w:p>
    <w:p w:rsidR="00900E57" w:rsidRPr="00900E57" w:rsidRDefault="00900E57" w:rsidP="00900E57">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00E57">
        <w:rPr>
          <w:b/>
          <w:sz w:val="20"/>
        </w:rPr>
        <w:t xml:space="preserve">2014 SCC </w:t>
      </w:r>
      <w:r>
        <w:rPr>
          <w:b/>
          <w:sz w:val="20"/>
        </w:rPr>
        <w:t>58</w:t>
      </w:r>
      <w:r w:rsidRPr="00900E57">
        <w:rPr>
          <w:b/>
          <w:sz w:val="20"/>
        </w:rPr>
        <w:t xml:space="preserve"> / 2014 CSC </w:t>
      </w:r>
      <w:r>
        <w:rPr>
          <w:b/>
          <w:sz w:val="20"/>
        </w:rPr>
        <w:t>58</w:t>
      </w:r>
    </w:p>
    <w:p w:rsidR="00900E57" w:rsidRPr="00900E57" w:rsidRDefault="00900E57" w:rsidP="00900E5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900E57" w:rsidRPr="00823791" w:rsidRDefault="00900E57" w:rsidP="00900E57">
      <w:pPr>
        <w:ind w:left="1440" w:hanging="1440"/>
        <w:jc w:val="both"/>
        <w:rPr>
          <w:sz w:val="20"/>
          <w:szCs w:val="20"/>
        </w:rPr>
      </w:pPr>
      <w:r w:rsidRPr="00823791">
        <w:rPr>
          <w:sz w:val="20"/>
          <w:szCs w:val="20"/>
        </w:rPr>
        <w:t>Coram:</w:t>
      </w:r>
      <w:r>
        <w:rPr>
          <w:sz w:val="20"/>
          <w:szCs w:val="20"/>
        </w:rPr>
        <w:tab/>
      </w:r>
      <w:r w:rsidRPr="00900E57">
        <w:rPr>
          <w:sz w:val="20"/>
          <w:szCs w:val="20"/>
          <w:u w:val="single"/>
        </w:rPr>
        <w:t>McLachlin C.J. and LeBel, Abella, Cromwell, Moldaver, Karakatsanis and Wagner JJ.</w:t>
      </w:r>
    </w:p>
    <w:p w:rsidR="00D004FC" w:rsidRPr="00900E57"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900E57" w:rsidRDefault="00900E5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823791">
        <w:rPr>
          <w:sz w:val="20"/>
          <w:szCs w:val="20"/>
        </w:rPr>
        <w:t xml:space="preserve">The appeal from the judgment </w:t>
      </w:r>
      <w:bookmarkStart w:id="4" w:name="BM_1_"/>
      <w:bookmarkEnd w:id="4"/>
      <w:r w:rsidRPr="00823791">
        <w:rPr>
          <w:sz w:val="20"/>
          <w:szCs w:val="20"/>
        </w:rPr>
        <w:t>of the Court of Appeal of Alberta (Edmonton), Number 0803-0054-A, 2012 ABCA 42, dated February 27, 2012, heard on December 3, 2013, is dismissed.</w:t>
      </w:r>
    </w:p>
    <w:p w:rsidR="00900E57" w:rsidRDefault="00900E5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00E57" w:rsidRPr="00900E57" w:rsidRDefault="00900E5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823791">
        <w:rPr>
          <w:sz w:val="20"/>
          <w:szCs w:val="20"/>
          <w:lang w:val="fr-CA"/>
        </w:rPr>
        <w:t>L’appel interjeté contre l’arrêt de la Cour d’appel de l’Alberta (Edmonton), numéro 0803-0054-A, 2012 ABCA 42, en date du 27 février 2012, entendu le 3 décembre 2013, est rejeté.</w:t>
      </w:r>
    </w:p>
    <w:p w:rsidR="00900E57" w:rsidRDefault="00900E5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900E57" w:rsidRDefault="0021514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b/>
          <w:sz w:val="20"/>
          <w:szCs w:val="20"/>
        </w:rPr>
        <w:pict>
          <v:rect id="_x0000_i1092" style="width:144.3pt;height:1pt" o:hrpct="300" o:hralign="center" o:hrstd="t" o:hrnoshade="t" o:hr="t" fillcolor="black [3213]" stroked="f"/>
        </w:pict>
      </w:r>
    </w:p>
    <w:p w:rsidR="00900E57" w:rsidRPr="00900E57" w:rsidRDefault="00900E5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900E57" w:rsidRDefault="00732DB7" w:rsidP="00732DB7">
      <w:pPr>
        <w:widowControl w:val="0"/>
        <w:rPr>
          <w:sz w:val="20"/>
          <w:szCs w:val="20"/>
          <w:lang w:val="fr-CA"/>
        </w:rPr>
      </w:pPr>
    </w:p>
    <w:p w:rsidR="00697C62" w:rsidRPr="00900E57" w:rsidRDefault="00697C62" w:rsidP="00732DB7">
      <w:pPr>
        <w:widowControl w:val="0"/>
        <w:rPr>
          <w:sz w:val="20"/>
          <w:szCs w:val="20"/>
          <w:lang w:val="fr-CA"/>
        </w:rPr>
        <w:sectPr w:rsidR="00697C62" w:rsidRPr="00900E57" w:rsidSect="00782AE4">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B40D3" w:rsidRPr="007328F5" w:rsidRDefault="00CB40D3" w:rsidP="00CB40D3">
      <w:pPr>
        <w:tabs>
          <w:tab w:val="center" w:pos="4680"/>
        </w:tabs>
        <w:ind w:left="709" w:hanging="709"/>
        <w:rPr>
          <w:sz w:val="20"/>
          <w:szCs w:val="20"/>
        </w:rPr>
      </w:pPr>
      <w:r w:rsidRPr="007328F5">
        <w:rPr>
          <w:i/>
          <w:sz w:val="20"/>
          <w:szCs w:val="20"/>
        </w:rPr>
        <w:t>Dax Richard Mack v. Her Majesty the Queen</w:t>
      </w:r>
      <w:r w:rsidRPr="007328F5">
        <w:rPr>
          <w:sz w:val="20"/>
          <w:szCs w:val="20"/>
        </w:rPr>
        <w:t xml:space="preserve"> (Alta.) (</w:t>
      </w:r>
      <w:hyperlink r:id="rId121" w:history="1">
        <w:r w:rsidRPr="007328F5">
          <w:rPr>
            <w:rStyle w:val="Hyperlink"/>
            <w:sz w:val="20"/>
            <w:szCs w:val="20"/>
          </w:rPr>
          <w:t>35093</w:t>
        </w:r>
      </w:hyperlink>
      <w:r w:rsidRPr="007328F5">
        <w:rPr>
          <w:sz w:val="20"/>
          <w:szCs w:val="20"/>
        </w:rPr>
        <w:t>)</w:t>
      </w:r>
    </w:p>
    <w:p w:rsidR="00B321A3" w:rsidRPr="00B321A3" w:rsidRDefault="00B321A3" w:rsidP="00B321A3">
      <w:pPr>
        <w:jc w:val="both"/>
        <w:rPr>
          <w:b/>
          <w:sz w:val="20"/>
          <w:szCs w:val="20"/>
        </w:rPr>
      </w:pPr>
      <w:r w:rsidRPr="00C925B8">
        <w:rPr>
          <w:b/>
          <w:sz w:val="20"/>
          <w:szCs w:val="20"/>
        </w:rPr>
        <w:t xml:space="preserve">Indexed as:  R. </w:t>
      </w:r>
      <w:r w:rsidRPr="00C925B8">
        <w:rPr>
          <w:b/>
          <w:i/>
          <w:sz w:val="20"/>
          <w:szCs w:val="20"/>
        </w:rPr>
        <w:t>v.</w:t>
      </w:r>
      <w:r w:rsidRPr="00C925B8">
        <w:rPr>
          <w:b/>
          <w:sz w:val="20"/>
          <w:szCs w:val="20"/>
        </w:rPr>
        <w:t xml:space="preserve"> Mack</w:t>
      </w:r>
      <w:r>
        <w:rPr>
          <w:b/>
          <w:sz w:val="20"/>
          <w:szCs w:val="20"/>
        </w:rPr>
        <w:t xml:space="preserve"> / </w:t>
      </w:r>
      <w:r w:rsidRPr="00B321A3">
        <w:rPr>
          <w:b/>
          <w:sz w:val="20"/>
          <w:szCs w:val="20"/>
        </w:rPr>
        <w:t xml:space="preserve">Répertorié : R. </w:t>
      </w:r>
      <w:r w:rsidRPr="00B321A3">
        <w:rPr>
          <w:b/>
          <w:i/>
          <w:sz w:val="20"/>
          <w:szCs w:val="20"/>
        </w:rPr>
        <w:t>c.</w:t>
      </w:r>
      <w:r w:rsidRPr="00B321A3">
        <w:rPr>
          <w:b/>
          <w:sz w:val="20"/>
          <w:szCs w:val="20"/>
        </w:rPr>
        <w:t xml:space="preserve"> Mack</w:t>
      </w:r>
    </w:p>
    <w:p w:rsidR="0052229C" w:rsidRPr="00CB40D3" w:rsidRDefault="0052229C" w:rsidP="0052229C">
      <w:pPr>
        <w:pStyle w:val="SCCSystemYear"/>
        <w:jc w:val="both"/>
        <w:rPr>
          <w:sz w:val="20"/>
        </w:rPr>
      </w:pPr>
      <w:r w:rsidRPr="00CB40D3">
        <w:rPr>
          <w:sz w:val="20"/>
        </w:rPr>
        <w:t>Neutral citation:  2014 SCC </w:t>
      </w:r>
      <w:r w:rsidR="00CB40D3" w:rsidRPr="00CB40D3">
        <w:rPr>
          <w:sz w:val="20"/>
        </w:rPr>
        <w:t>58</w:t>
      </w:r>
      <w:r w:rsidRPr="00CB40D3">
        <w:rPr>
          <w:sz w:val="20"/>
        </w:rPr>
        <w:t xml:space="preserve"> / Référence neutre : 2014 CSC </w:t>
      </w:r>
      <w:r w:rsidR="00CB40D3" w:rsidRPr="00CB40D3">
        <w:rPr>
          <w:sz w:val="20"/>
        </w:rPr>
        <w:t>58</w:t>
      </w:r>
    </w:p>
    <w:p w:rsidR="0052229C" w:rsidRPr="00CB40D3" w:rsidRDefault="0052229C" w:rsidP="0052229C">
      <w:pPr>
        <w:rPr>
          <w:rFonts w:cs="Times New Roman"/>
          <w:sz w:val="20"/>
          <w:szCs w:val="20"/>
          <w:lang w:val="fr-CA"/>
        </w:rPr>
      </w:pPr>
      <w:r w:rsidRPr="00CB40D3">
        <w:rPr>
          <w:rFonts w:cs="Times New Roman"/>
          <w:sz w:val="20"/>
          <w:szCs w:val="20"/>
          <w:lang w:val="fr-CA"/>
        </w:rPr>
        <w:t xml:space="preserve">Hearing:  </w:t>
      </w:r>
      <w:r w:rsidR="00B321A3">
        <w:rPr>
          <w:rFonts w:cs="Times New Roman"/>
          <w:sz w:val="20"/>
          <w:szCs w:val="20"/>
          <w:lang w:val="fr-CA"/>
        </w:rPr>
        <w:t>Decembe</w:t>
      </w:r>
      <w:r w:rsidRPr="00CB40D3">
        <w:rPr>
          <w:rFonts w:cs="Times New Roman"/>
          <w:sz w:val="20"/>
          <w:szCs w:val="20"/>
          <w:lang w:val="fr-CA"/>
        </w:rPr>
        <w:t>r</w:t>
      </w:r>
      <w:r w:rsidR="00B321A3">
        <w:rPr>
          <w:rFonts w:cs="Times New Roman"/>
          <w:sz w:val="20"/>
          <w:szCs w:val="20"/>
          <w:lang w:val="fr-CA"/>
        </w:rPr>
        <w:t xml:space="preserve"> 3</w:t>
      </w:r>
      <w:r w:rsidRPr="00CB40D3">
        <w:rPr>
          <w:rFonts w:cs="Times New Roman"/>
          <w:sz w:val="20"/>
          <w:szCs w:val="20"/>
          <w:lang w:val="fr-CA"/>
        </w:rPr>
        <w:t xml:space="preserve"> , 2013 / Judgment:  </w:t>
      </w:r>
      <w:r w:rsidR="00CB40D3" w:rsidRPr="00CB40D3">
        <w:rPr>
          <w:rFonts w:cs="Times New Roman"/>
          <w:sz w:val="20"/>
          <w:szCs w:val="20"/>
          <w:lang w:val="fr-CA"/>
        </w:rPr>
        <w:t>Septembe</w:t>
      </w:r>
      <w:r w:rsidRPr="00CB40D3">
        <w:rPr>
          <w:rFonts w:cs="Times New Roman"/>
          <w:sz w:val="20"/>
          <w:szCs w:val="20"/>
          <w:lang w:val="fr-CA"/>
        </w:rPr>
        <w:t xml:space="preserve">r </w:t>
      </w:r>
      <w:r w:rsidR="00CB40D3" w:rsidRPr="00CB40D3">
        <w:rPr>
          <w:rFonts w:cs="Times New Roman"/>
          <w:sz w:val="20"/>
          <w:szCs w:val="20"/>
          <w:lang w:val="fr-CA"/>
        </w:rPr>
        <w:t>26</w:t>
      </w:r>
      <w:r w:rsidRPr="00CB40D3">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B321A3">
        <w:rPr>
          <w:rFonts w:cs="Times New Roman"/>
          <w:sz w:val="20"/>
          <w:szCs w:val="20"/>
          <w:lang w:val="fr-CA"/>
        </w:rPr>
        <w:t>3 décemb</w:t>
      </w:r>
      <w:r w:rsidRPr="003B3977">
        <w:rPr>
          <w:rFonts w:cs="Times New Roman"/>
          <w:sz w:val="20"/>
          <w:szCs w:val="20"/>
          <w:lang w:val="fr-CA"/>
        </w:rPr>
        <w:t>r</w:t>
      </w:r>
      <w:r w:rsidR="00B321A3">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sidR="00CB40D3">
        <w:rPr>
          <w:rFonts w:cs="Times New Roman"/>
          <w:sz w:val="20"/>
          <w:szCs w:val="20"/>
          <w:lang w:val="fr-CA"/>
        </w:rPr>
        <w:t>2</w:t>
      </w:r>
      <w:r>
        <w:rPr>
          <w:rFonts w:cs="Times New Roman"/>
          <w:sz w:val="20"/>
          <w:szCs w:val="20"/>
          <w:lang w:val="fr-CA"/>
        </w:rPr>
        <w:t xml:space="preserve">6 </w:t>
      </w:r>
      <w:r w:rsidR="00CB40D3">
        <w:rPr>
          <w:rFonts w:cs="Times New Roman"/>
          <w:sz w:val="20"/>
          <w:szCs w:val="20"/>
          <w:lang w:val="fr-CA"/>
        </w:rPr>
        <w:t>septemb</w:t>
      </w:r>
      <w:r>
        <w:rPr>
          <w:rFonts w:cs="Times New Roman"/>
          <w:sz w:val="20"/>
          <w:szCs w:val="20"/>
          <w:lang w:val="fr-CA"/>
        </w:rPr>
        <w:t>r</w:t>
      </w:r>
      <w:r w:rsidR="00CB40D3">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4</w:t>
      </w:r>
    </w:p>
    <w:p w:rsidR="005C6840" w:rsidRPr="003B3977" w:rsidRDefault="00215143" w:rsidP="005C6840">
      <w:pPr>
        <w:rPr>
          <w:rFonts w:cs="Times New Roman"/>
          <w:sz w:val="20"/>
          <w:szCs w:val="20"/>
          <w:lang w:val="fr-CA"/>
        </w:rPr>
      </w:pPr>
      <w:r>
        <w:rPr>
          <w:rFonts w:cs="Times New Roman"/>
          <w:i/>
          <w:sz w:val="20"/>
          <w:szCs w:val="20"/>
        </w:rPr>
        <w:pict>
          <v:rect id="_x0000_i109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B321A3" w:rsidRPr="00C925B8" w:rsidRDefault="00B321A3" w:rsidP="00B321A3">
      <w:pPr>
        <w:jc w:val="both"/>
        <w:rPr>
          <w:sz w:val="20"/>
          <w:szCs w:val="20"/>
        </w:rPr>
      </w:pPr>
      <w:r w:rsidRPr="00C925B8">
        <w:rPr>
          <w:sz w:val="20"/>
          <w:szCs w:val="20"/>
        </w:rPr>
        <w:t>Present:  McLachlin C.J. and LeBel, Abella, Cromwell, Moldaver, Karakatsanis and Wagner JJ.</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i/>
          <w:sz w:val="20"/>
        </w:rPr>
      </w:pPr>
      <w:r w:rsidRPr="00C925B8">
        <w:rPr>
          <w:sz w:val="20"/>
        </w:rPr>
        <w:tab/>
      </w:r>
      <w:r w:rsidRPr="00C925B8">
        <w:rPr>
          <w:i/>
          <w:sz w:val="20"/>
        </w:rPr>
        <w:t>Criminal Law — Evidence — Admissibility — Confessions — “Mr. Big” confessions — Charge to jury — Accused confessing to murdering his roommate during Mr. Big operation — Whether accused’s confessions should be excluded under s. 24(2) of Charter — If not, whether trial judge’s jury charge adequate on evidentiary concerns of Mr. Big confessions — Whether trial judge’s jury charge also adequate on reliability of Crown witness’ testimony — Canadian Charter of Rights and Freedoms, s. 24(2).</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 xml:space="preserve">After a murder victim was reported missing, the police received information that his roommate M had confessed to killing him and initiated an investigation. The investigation had two components:  a Mr. Big operation and a wiretap authorization to intercept M’s phone calls. During the Mr. Big operation, M twice admitted to undercover police officers that he shot the victim and burned his body. That information led police to conduct a search of a firepit where they located fragments of bones and teeth later identified as belonging to the victim, and shell casings later determined to have been fired from a gun seized from M’s apartment. M was arrested and charged with first degree murder. At the time of M’s arrest, the Mr. Big operation had been in progress for four months and M had participated in 30 “scenarios” with undercover officers. He had been paid approximately $5,000 for his work, plus expenses. At trial, the Crown conceded that its wiretap authorization did not comply with the </w:t>
      </w:r>
      <w:r w:rsidRPr="00C925B8">
        <w:rPr>
          <w:i/>
          <w:sz w:val="20"/>
        </w:rPr>
        <w:t>Criminal Code</w:t>
      </w:r>
      <w:r w:rsidRPr="00C925B8">
        <w:rPr>
          <w:sz w:val="20"/>
        </w:rPr>
        <w:t xml:space="preserve"> and therefore, violated s. 8 of the </w:t>
      </w:r>
      <w:r w:rsidRPr="00C925B8">
        <w:rPr>
          <w:i/>
          <w:sz w:val="20"/>
        </w:rPr>
        <w:t>Charter</w:t>
      </w:r>
      <w:r w:rsidRPr="00C925B8">
        <w:rPr>
          <w:sz w:val="20"/>
        </w:rPr>
        <w:t xml:space="preserve">. As a result of this violation, the Crown did not adduce any of M’s calls, but did adduce his two confessions to the undercover police officers during the Mr. Big operation. However, M argued that the wiretap authorization was so intertwined with the Mr. Big operation that the illegality of the authorization necessitated excluding his confessions under s. 24(2) of the </w:t>
      </w:r>
      <w:r w:rsidRPr="00C925B8">
        <w:rPr>
          <w:i/>
          <w:sz w:val="20"/>
        </w:rPr>
        <w:t>Charter</w:t>
      </w:r>
      <w:r w:rsidRPr="00C925B8">
        <w:rPr>
          <w:sz w:val="20"/>
        </w:rPr>
        <w:t xml:space="preserve">. The trial judge rejected this argument and determined that s. 24(2) was not engaged. The trial judge provided instructions to the jury in relation to the evidence arising from the Mr. Big operation. He also cautioned the jury about the testimony of the Crown’s principal witness and provided a </w:t>
      </w:r>
      <w:r w:rsidRPr="00C925B8">
        <w:rPr>
          <w:i/>
          <w:sz w:val="20"/>
        </w:rPr>
        <w:t>Vetrovec</w:t>
      </w:r>
      <w:r w:rsidRPr="00C925B8">
        <w:rPr>
          <w:sz w:val="20"/>
        </w:rPr>
        <w:t xml:space="preserve"> warning in relation to his evidence. The jury found M guilty of first degree murder and his appeal from conviction was dismissed by the Court of Appeal.</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r>
      <w:r w:rsidRPr="00C925B8">
        <w:rPr>
          <w:i/>
          <w:sz w:val="20"/>
        </w:rPr>
        <w:t>Held</w:t>
      </w:r>
      <w:r w:rsidRPr="00C925B8">
        <w:rPr>
          <w:sz w:val="20"/>
        </w:rPr>
        <w:t>:  The appeal should be dismissed.</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 xml:space="preserve">Section 24(2) of the </w:t>
      </w:r>
      <w:r w:rsidRPr="00C925B8">
        <w:rPr>
          <w:i/>
          <w:sz w:val="20"/>
        </w:rPr>
        <w:t>Charter</w:t>
      </w:r>
      <w:r w:rsidRPr="00C925B8">
        <w:rPr>
          <w:sz w:val="20"/>
        </w:rPr>
        <w:t xml:space="preserve"> was not engaged because M’s confessions to the undercover officers were not obtained in a manner that infringed M’s rights. Whether evidence was obtained in a manner that infringed an accused’s rights depends on the nature of the connection between the infringement and the evidence obtained. While a causal connection is not required, the nature and extent of the connection remains an important factor for the trial judge’s consideration. In this case, M confessed to the undercover officers while the illegal wiretap was in place. Although the trial judge found a temporal connection between M’s confessions and the wiretap, its significance was undermined by a tenuous causal connection. That finding was open to the trial judge and there is no basis for interfering with it.</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 xml:space="preserve">Neither the courts below nor the parties had the benefit of this Court’s decision in </w:t>
      </w:r>
      <w:r w:rsidRPr="00C925B8">
        <w:rPr>
          <w:i/>
          <w:sz w:val="20"/>
        </w:rPr>
        <w:t>R. v. Hart</w:t>
      </w:r>
      <w:r w:rsidRPr="00C925B8">
        <w:rPr>
          <w:sz w:val="20"/>
        </w:rPr>
        <w:t xml:space="preserve">, 2014 SCC 52, under which framework a Mr. Big confession will be excluded where its prejudicial effect outweighs its probative value, or where it is the product of an abuse of process. This poses no difficulty, however, as M’s confessions would clearly be admissible under that framework. </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 xml:space="preserve">The probative value of M’s confessions was high because there was an abundance of evidence that was potentially confirmatory. First, M’s purported confessions to his acquaintances A and L describe the same motive for killing the victim as M’s confessions to the undercover officers. They also made reference to burning the victim’s body. Second, immediately after confessing to one of the undercover officers, M led him to the firepit in which the victim’s remains lay undiscovered. And third, shell casings fired from a gun found in M’s apartment were found in the same </w:t>
      </w:r>
      <w:r w:rsidRPr="00C925B8">
        <w:rPr>
          <w:sz w:val="20"/>
        </w:rPr>
        <w:lastRenderedPageBreak/>
        <w:t xml:space="preserve">firepit. On the other hand, the confessions’ prejudicial effect was limited. The operation did not reveal unsavoury facts about M’s history, nor did M participate in any scenarios that involved violence. </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Nor did the undercover officers engage in any improper conduct that could ground an application for abuse of process. M was not presented with overwhelming inducements. He had prospects for legitimate work that would have paid even more than the undercover officers were offering. Nor did the officers threaten M with violence if he would not confess. The most that can be said is that the officers created an air of intimidation by referring to violent acts committed by members of the organization. M, however, was not coerced into confessing.</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 xml:space="preserve">While the </w:t>
      </w:r>
      <w:r w:rsidRPr="00C925B8">
        <w:rPr>
          <w:i/>
          <w:sz w:val="20"/>
        </w:rPr>
        <w:t>Hart</w:t>
      </w:r>
      <w:r w:rsidRPr="00C925B8">
        <w:rPr>
          <w:sz w:val="20"/>
        </w:rPr>
        <w:t xml:space="preserve"> framework was intended to respond to the evidentiary concerns raised by Mr. Big confessions, it does not erase them. Rather, it falls to the trial judge to adequately instruct the jury on how to approach these confessions. The nature and extent of the instructions required will vary from case to case. However, there is some guidance — short of a prescriptive formula — that can be provided. The trial judge should tell the jury that the reliability of the accused’s confession is a question for them. The trial judge should then review with the jury the factors relevant to the confession and the evidence surrounding it. For example, the trial judge should alert the jury to the length of the operation, the number of interactions between the police and the accused, the nature of the relationship between the undercover officers and the accused, the nature and extent of the inducements offered, the presence of any threats, the conduct of the interrogation itself, and the personality of the accused. Moreover, the trial judge should discuss the fact that the confession itself may contain markers of reliability (or unreliability). Jurors should be told to consider the level of detail in the confession, whether it led to the discovery of additional evidence, whether it identified any elements of the crime that had not been made public, or whether it accurately described mundane details of the crime the accused would not likely have known had he not committed it. </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With respect to the bad character evidence, the challenge is a more familiar one. The trial judge must instruct the jury that this sort of evidence has been admitted for the limited purpose of providing context for the confession. The jury should be instructed that it cannot rely on that evidence in determining whether the accused is guilty. Moreover, the trial judge should remind the jury that the simulated criminal activity was fabricated and encouraged by agents of the state.</w:t>
      </w:r>
    </w:p>
    <w:p w:rsid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C925B8">
        <w:rPr>
          <w:sz w:val="20"/>
        </w:rPr>
        <w:tab/>
        <w:t>In this case, the trial judge instructed the jury adequately and no error has been shown. The trial judge told the jury that it had to “carefully consider whether the themes of violence and the level of inducements may reasonably have compromised the reliability” of M’s confessions. He specifically instructed the jury that it had to “assess the environment, the themes of easy money, violence, the importance of honesty and integrity, any offers of exit points, and any threats or intimidation”. Ultimately, the trial judge left the final assessment of the reliability of M’s confessions to the jury. With respect to the bad character evidence, although the trial judge did not address it specifically, he provided the jury with a standard limiting instruction on the use that could be made of any evidence that bore on M’s character. Undoubtedly, the trial judge could have said more, but this does not mean his instructions were deficient.</w:t>
      </w:r>
      <w:r w:rsidRPr="00C925B8">
        <w:rPr>
          <w:sz w:val="20"/>
        </w:rPr>
        <w:tab/>
      </w:r>
    </w:p>
    <w:p w:rsidR="00B321A3" w:rsidRDefault="00B321A3" w:rsidP="00B321A3">
      <w:pPr>
        <w:pStyle w:val="SCCNormalDoubleSpacing"/>
        <w:spacing w:line="240" w:lineRule="auto"/>
        <w:rPr>
          <w:sz w:val="20"/>
        </w:rPr>
      </w:pPr>
    </w:p>
    <w:p w:rsidR="00B321A3" w:rsidRDefault="00B321A3" w:rsidP="00B321A3">
      <w:pPr>
        <w:pStyle w:val="SCCNormalDoubleSpacing"/>
        <w:spacing w:line="240" w:lineRule="auto"/>
        <w:rPr>
          <w:sz w:val="20"/>
        </w:rPr>
      </w:pPr>
      <w:r w:rsidRPr="00C925B8">
        <w:rPr>
          <w:sz w:val="20"/>
        </w:rPr>
        <w:tab/>
        <w:t xml:space="preserve">Finally, the trial judge conveyed to the jury the reliability concerns with the evidence of A, the Crown’s principal witness. He reminded the jury that the defence position was that A was the killer. He told them that M’s knowledge of the murder could have come from A. He brought up A’s apparent lie to the police and cautioned the jury that it left open the question of whether they could rely on anything he said. And he told the jury that it would be dangerous to accept A’s evidence in the absence of confirmatory evidence. Nothing more was required. </w:t>
      </w:r>
    </w:p>
    <w:p w:rsidR="00B321A3" w:rsidRPr="00B321A3" w:rsidRDefault="00B321A3" w:rsidP="00B321A3">
      <w:pPr>
        <w:pStyle w:val="SCCNormalDoubleSpacing"/>
        <w:spacing w:line="240" w:lineRule="auto"/>
        <w:rPr>
          <w:sz w:val="20"/>
        </w:rPr>
      </w:pPr>
    </w:p>
    <w:p w:rsidR="00B321A3" w:rsidRPr="00C925B8" w:rsidRDefault="00B321A3" w:rsidP="00B321A3">
      <w:pPr>
        <w:pStyle w:val="SCCNormalDoubleSpacing"/>
        <w:spacing w:line="240" w:lineRule="auto"/>
        <w:rPr>
          <w:sz w:val="20"/>
        </w:rPr>
      </w:pPr>
      <w:r w:rsidRPr="00B321A3">
        <w:rPr>
          <w:sz w:val="20"/>
        </w:rPr>
        <w:tab/>
      </w:r>
      <w:r w:rsidRPr="00C925B8">
        <w:rPr>
          <w:sz w:val="20"/>
        </w:rPr>
        <w:t>APPEAL from a judgment of the Alberta Court of Appeal (Côté, McFadyen and O’Brien JJ.A.), 2012 ABCA 42, 66 Alta. L.R. (5th) 377, 522 A.R. 262, 544 W.A.C. 262, 253 C.R.R. (2d) 157, [2012] A.J. No. 174 (QL), 2012 CarswellAlta 255, affirming the accused’s conviction for first degree murder. Appeal dismissed.</w:t>
      </w:r>
    </w:p>
    <w:p w:rsidR="00B321A3" w:rsidRDefault="00B321A3" w:rsidP="00B321A3">
      <w:pPr>
        <w:pStyle w:val="SCCNormalDoubleSpacing"/>
        <w:spacing w:line="240" w:lineRule="auto"/>
        <w:rPr>
          <w:i/>
          <w:sz w:val="20"/>
        </w:rPr>
      </w:pPr>
    </w:p>
    <w:p w:rsidR="00B321A3" w:rsidRPr="00C925B8" w:rsidRDefault="00B321A3" w:rsidP="00B321A3">
      <w:pPr>
        <w:pStyle w:val="SCCNormalDoubleSpacing"/>
        <w:spacing w:line="240" w:lineRule="auto"/>
        <w:rPr>
          <w:sz w:val="20"/>
        </w:rPr>
      </w:pPr>
      <w:r w:rsidRPr="00C925B8">
        <w:rPr>
          <w:i/>
          <w:sz w:val="20"/>
        </w:rPr>
        <w:tab/>
        <w:t>Laura K. Stevens, Q.C.</w:t>
      </w:r>
      <w:r w:rsidRPr="00C925B8">
        <w:rPr>
          <w:sz w:val="20"/>
        </w:rPr>
        <w:t xml:space="preserve">, and </w:t>
      </w:r>
      <w:r w:rsidRPr="00C925B8">
        <w:rPr>
          <w:i/>
          <w:sz w:val="20"/>
        </w:rPr>
        <w:t>Sarah N. DeSouza</w:t>
      </w:r>
      <w:r w:rsidRPr="00C925B8">
        <w:rPr>
          <w:sz w:val="20"/>
        </w:rPr>
        <w:t>, for the appellant.</w:t>
      </w:r>
    </w:p>
    <w:p w:rsidR="00B321A3" w:rsidRDefault="00B321A3" w:rsidP="00B321A3">
      <w:pPr>
        <w:pStyle w:val="SCCNormalDoubleSpacing"/>
        <w:spacing w:line="240" w:lineRule="auto"/>
        <w:rPr>
          <w:i/>
          <w:sz w:val="20"/>
        </w:rPr>
      </w:pPr>
    </w:p>
    <w:p w:rsidR="00B321A3" w:rsidRPr="00C925B8" w:rsidRDefault="00B321A3" w:rsidP="00B321A3">
      <w:pPr>
        <w:pStyle w:val="SCCNormalDoubleSpacing"/>
        <w:spacing w:line="240" w:lineRule="auto"/>
        <w:rPr>
          <w:sz w:val="20"/>
        </w:rPr>
      </w:pPr>
      <w:r w:rsidRPr="00C925B8">
        <w:rPr>
          <w:i/>
          <w:sz w:val="20"/>
        </w:rPr>
        <w:tab/>
        <w:t>James C. Robb, Q.C.</w:t>
      </w:r>
      <w:r w:rsidRPr="00C925B8">
        <w:rPr>
          <w:sz w:val="20"/>
        </w:rPr>
        <w:t xml:space="preserve">, and </w:t>
      </w:r>
      <w:r w:rsidRPr="00C925B8">
        <w:rPr>
          <w:i/>
          <w:sz w:val="20"/>
        </w:rPr>
        <w:t>David A. Labrenz, Q.C.</w:t>
      </w:r>
      <w:r w:rsidRPr="00C925B8">
        <w:rPr>
          <w:sz w:val="20"/>
        </w:rPr>
        <w:t>, for the respondent.</w:t>
      </w:r>
    </w:p>
    <w:p w:rsidR="00B321A3" w:rsidRDefault="00B321A3" w:rsidP="00B321A3">
      <w:pPr>
        <w:pStyle w:val="SCCNormalDoubleSpacing"/>
        <w:spacing w:line="240" w:lineRule="auto"/>
        <w:rPr>
          <w:i/>
          <w:sz w:val="20"/>
        </w:rPr>
      </w:pPr>
    </w:p>
    <w:p w:rsidR="00B321A3" w:rsidRPr="00C925B8" w:rsidRDefault="00B321A3" w:rsidP="00B321A3">
      <w:pPr>
        <w:pStyle w:val="SCCNormalDoubleSpacing"/>
        <w:spacing w:line="240" w:lineRule="auto"/>
        <w:rPr>
          <w:sz w:val="20"/>
        </w:rPr>
      </w:pPr>
      <w:r w:rsidRPr="00C925B8">
        <w:rPr>
          <w:i/>
          <w:sz w:val="20"/>
        </w:rPr>
        <w:tab/>
        <w:t>Michael Bernstein</w:t>
      </w:r>
      <w:r w:rsidRPr="00C925B8">
        <w:rPr>
          <w:sz w:val="20"/>
        </w:rPr>
        <w:t>, for the intervener Attorney General of Ontario.</w:t>
      </w:r>
    </w:p>
    <w:p w:rsidR="00B321A3" w:rsidRDefault="00B321A3" w:rsidP="00B321A3">
      <w:pPr>
        <w:pStyle w:val="SCCNormalDoubleSpacing"/>
        <w:spacing w:line="240" w:lineRule="auto"/>
        <w:rPr>
          <w:i/>
          <w:sz w:val="20"/>
        </w:rPr>
      </w:pPr>
    </w:p>
    <w:p w:rsidR="00B321A3" w:rsidRPr="00C925B8" w:rsidRDefault="00B321A3" w:rsidP="00B321A3">
      <w:pPr>
        <w:pStyle w:val="SCCNormalDoubleSpacing"/>
        <w:spacing w:line="240" w:lineRule="auto"/>
        <w:rPr>
          <w:sz w:val="20"/>
        </w:rPr>
      </w:pPr>
      <w:r w:rsidRPr="00C925B8">
        <w:rPr>
          <w:i/>
          <w:sz w:val="20"/>
        </w:rPr>
        <w:tab/>
        <w:t>Lesley A. Ruzicka</w:t>
      </w:r>
      <w:r w:rsidRPr="00C925B8">
        <w:rPr>
          <w:sz w:val="20"/>
        </w:rPr>
        <w:t>, for the intervener Attorney General of British Columbia.</w:t>
      </w:r>
    </w:p>
    <w:p w:rsidR="00B321A3" w:rsidRDefault="00B321A3" w:rsidP="00B321A3">
      <w:pPr>
        <w:pStyle w:val="SCCLawFirm"/>
        <w:spacing w:line="240" w:lineRule="auto"/>
        <w:rPr>
          <w:sz w:val="20"/>
        </w:rPr>
      </w:pPr>
    </w:p>
    <w:p w:rsidR="00B321A3" w:rsidRPr="00C925B8" w:rsidRDefault="00B321A3" w:rsidP="00B321A3">
      <w:pPr>
        <w:pStyle w:val="SCCLawFirm"/>
        <w:spacing w:line="240" w:lineRule="auto"/>
        <w:rPr>
          <w:sz w:val="20"/>
        </w:rPr>
      </w:pPr>
      <w:r w:rsidRPr="00C925B8">
        <w:rPr>
          <w:sz w:val="20"/>
        </w:rPr>
        <w:tab/>
        <w:t>Solicitors for the appellant:  Dawson Stevens Duckett &amp; Shaigec, Edmonton.</w:t>
      </w:r>
    </w:p>
    <w:p w:rsidR="00B321A3" w:rsidRDefault="00B321A3" w:rsidP="00B321A3">
      <w:pPr>
        <w:pStyle w:val="SCCLawFirm"/>
        <w:spacing w:line="240" w:lineRule="auto"/>
        <w:rPr>
          <w:sz w:val="20"/>
        </w:rPr>
      </w:pPr>
    </w:p>
    <w:p w:rsidR="00B321A3" w:rsidRPr="00C925B8" w:rsidRDefault="00B321A3" w:rsidP="00B321A3">
      <w:pPr>
        <w:pStyle w:val="SCCLawFirm"/>
        <w:spacing w:line="240" w:lineRule="auto"/>
        <w:rPr>
          <w:sz w:val="20"/>
        </w:rPr>
      </w:pPr>
      <w:r w:rsidRPr="00C925B8">
        <w:rPr>
          <w:sz w:val="20"/>
        </w:rPr>
        <w:tab/>
        <w:t>Solicitor for the respondent:  Attorney General of Alberta, Edmonton and Lethbridge.</w:t>
      </w:r>
    </w:p>
    <w:p w:rsidR="00B321A3" w:rsidRDefault="00B321A3" w:rsidP="00B321A3">
      <w:pPr>
        <w:pStyle w:val="SCCLawFirm"/>
        <w:spacing w:line="240" w:lineRule="auto"/>
        <w:rPr>
          <w:sz w:val="20"/>
        </w:rPr>
      </w:pPr>
    </w:p>
    <w:p w:rsidR="00B321A3" w:rsidRPr="00C925B8" w:rsidRDefault="00B321A3" w:rsidP="00B321A3">
      <w:pPr>
        <w:pStyle w:val="SCCLawFirm"/>
        <w:spacing w:line="240" w:lineRule="auto"/>
        <w:rPr>
          <w:sz w:val="20"/>
        </w:rPr>
      </w:pPr>
      <w:r w:rsidRPr="00C925B8">
        <w:rPr>
          <w:sz w:val="20"/>
        </w:rPr>
        <w:tab/>
        <w:t>Solicitor for the intervener the Attorney General of Ontario:  Attorney General of Ontario, Toronto.</w:t>
      </w:r>
    </w:p>
    <w:p w:rsidR="00B321A3" w:rsidRDefault="00B321A3" w:rsidP="00B321A3">
      <w:pPr>
        <w:pStyle w:val="SCCLawFirm"/>
        <w:spacing w:line="240" w:lineRule="auto"/>
        <w:rPr>
          <w:sz w:val="20"/>
        </w:rPr>
      </w:pPr>
    </w:p>
    <w:p w:rsidR="00B321A3" w:rsidRDefault="00B321A3" w:rsidP="00B321A3">
      <w:pPr>
        <w:pStyle w:val="SCCLawFirm"/>
        <w:spacing w:line="240" w:lineRule="auto"/>
        <w:rPr>
          <w:sz w:val="20"/>
        </w:rPr>
      </w:pPr>
      <w:r w:rsidRPr="00C925B8">
        <w:rPr>
          <w:sz w:val="20"/>
        </w:rPr>
        <w:tab/>
        <w:t>Solicitor for the intervener the Attorney General of British Columbia:  Attorney General of British Columbia, Victoria.</w:t>
      </w:r>
    </w:p>
    <w:p w:rsidR="0052229C" w:rsidRPr="00B321A3" w:rsidRDefault="0052229C" w:rsidP="0052229C">
      <w:pPr>
        <w:rPr>
          <w:rFonts w:cs="Times New Roman"/>
          <w:sz w:val="20"/>
          <w:szCs w:val="20"/>
          <w:lang w:val="fr-CA"/>
        </w:rPr>
      </w:pPr>
      <w:r w:rsidRPr="00B321A3">
        <w:rPr>
          <w:rFonts w:cs="Times New Roman"/>
          <w:sz w:val="20"/>
          <w:szCs w:val="20"/>
          <w:lang w:val="fr-CA"/>
        </w:rPr>
        <w:t>________________________</w:t>
      </w:r>
    </w:p>
    <w:p w:rsidR="0052229C" w:rsidRPr="00B321A3" w:rsidRDefault="0052229C" w:rsidP="0052229C">
      <w:pPr>
        <w:rPr>
          <w:rFonts w:cs="Times New Roman"/>
          <w:sz w:val="20"/>
          <w:szCs w:val="20"/>
          <w:lang w:val="fr-CA"/>
        </w:rPr>
      </w:pPr>
    </w:p>
    <w:p w:rsidR="00B321A3" w:rsidRPr="009A5D43" w:rsidRDefault="00B321A3" w:rsidP="00B321A3">
      <w:pPr>
        <w:jc w:val="both"/>
        <w:rPr>
          <w:sz w:val="20"/>
          <w:szCs w:val="20"/>
          <w:lang w:val="fr-CA"/>
        </w:rPr>
      </w:pPr>
      <w:r w:rsidRPr="009A5D43">
        <w:rPr>
          <w:sz w:val="20"/>
          <w:szCs w:val="20"/>
          <w:lang w:val="fr-CA"/>
        </w:rPr>
        <w:t>Présents : La juge en chef McLachlin et les juges LeBel, Abella, Cromwell, Moldaver, Karakatsanis et Wagner.</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i/>
          <w:sz w:val="20"/>
          <w:lang w:val="fr-CA"/>
        </w:rPr>
      </w:pPr>
      <w:r w:rsidRPr="009A5D43">
        <w:rPr>
          <w:sz w:val="20"/>
          <w:lang w:val="fr-CA"/>
        </w:rPr>
        <w:tab/>
      </w:r>
      <w:r w:rsidRPr="009A5D43">
        <w:rPr>
          <w:i/>
          <w:sz w:val="20"/>
          <w:lang w:val="fr-CA"/>
        </w:rPr>
        <w:t>Droit criminel — Preuve — Admissibilité — Aveux — Aveux issus d’une opération « Monsieur Big » — Exposé au jury — Aveux du meurtre de son colocataire par l’accusé lors d’une opération Monsieur Big — Ces aveux doivent-ils être écartés en application du par. 24(2) de la Charte? — Dans la négative, les directives du juge du procès au jury sur les craintes liées à la valeur probante de ces aveux sont</w:t>
      </w:r>
      <w:r w:rsidRPr="009A5D43">
        <w:rPr>
          <w:i/>
          <w:sz w:val="20"/>
          <w:lang w:val="fr-CA"/>
        </w:rPr>
        <w:noBreakHyphen/>
        <w:t>elles adéquates? — Ses directives sur la fiabilité du témoignage du témoin à charge sont</w:t>
      </w:r>
      <w:r w:rsidRPr="009A5D43">
        <w:rPr>
          <w:i/>
          <w:sz w:val="20"/>
          <w:lang w:val="fr-CA"/>
        </w:rPr>
        <w:noBreakHyphen/>
        <w:t>elles également adéquates? — Charte canadienne des droits et libertés, art. 24(2).</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 xml:space="preserve">Après que la disparition de la victime lui eut été signalée, la police a été informée que M avait avoué le meurtre de la victime, son colocataire. Elle a ouvert une enquête qui a comporté deux volets : une opération Monsieur Big et, sur autorisation d’un juge, l’interception des conversations téléphoniques de M. Pendant l’opération Monsieur Big, M a reconnu deux fois en présence d’agents banalisés qu’il avait abattu la victime et fait brûler sa dépouille. Ces aveux ont amené les policiers à fouiller un foyer en plein air dans lequel ils ont trouvé des fragments d’os et des dents dont on a ensuite déterminé qu’ils provenaient de la victime, ainsi que des douilles dont il a par la suite été établi qu’elles provenaient de l’arme à feu saisie dans l’appartement de M. Ce dernier a été arrêté et accusé de meurtre au premier degré. Au moment de l’arrestation, l’opération Monsieur Big avait duré quatre mois et M avait participé à 30 « scénarios » avec des agents banalisés. M avait touché une rémunération d’environ 5000 $, et ses dépenses lui avaient été remboursées. Au procès, le ministère public a admis que l’interception des conversations téléphoniques n’avait pas été autorisée conformément aux exigences du </w:t>
      </w:r>
      <w:r w:rsidRPr="009A5D43">
        <w:rPr>
          <w:i/>
          <w:sz w:val="20"/>
          <w:lang w:val="fr-CA"/>
        </w:rPr>
        <w:t>Code criminel</w:t>
      </w:r>
      <w:r w:rsidRPr="009A5D43">
        <w:rPr>
          <w:sz w:val="20"/>
          <w:lang w:val="fr-CA"/>
        </w:rPr>
        <w:t xml:space="preserve"> et qu’elle avait donc porté atteinte aux garanties de l’art. 8 de la </w:t>
      </w:r>
      <w:r w:rsidRPr="009A5D43">
        <w:rPr>
          <w:i/>
          <w:sz w:val="20"/>
          <w:lang w:val="fr-CA"/>
        </w:rPr>
        <w:t>Charte</w:t>
      </w:r>
      <w:r w:rsidRPr="009A5D43">
        <w:rPr>
          <w:sz w:val="20"/>
          <w:lang w:val="fr-CA"/>
        </w:rPr>
        <w:t xml:space="preserve">. Il n’a donc pu utiliser les conversations interceptées, mais il a produit en preuve deux aveux faits par M à des agents banalisés au cours de l’opération Monsieur Big. M a cependant fait valoir que l’autorisation de mise sous écoute électronique était si étroitement liée à l’opération Monsieur Big que l’illégalité de son obtention commandait l’exclusion de ses aveux suivant le par. 24(2) de la </w:t>
      </w:r>
      <w:r w:rsidRPr="009A5D43">
        <w:rPr>
          <w:i/>
          <w:sz w:val="20"/>
          <w:lang w:val="fr-CA"/>
        </w:rPr>
        <w:t>Charte</w:t>
      </w:r>
      <w:r w:rsidRPr="009A5D43">
        <w:rPr>
          <w:sz w:val="20"/>
          <w:lang w:val="fr-CA"/>
        </w:rPr>
        <w:t>. Le juge du procès a rejeté la prétention et conclu que le par. 24(2) ne s’appliquait pas. Il a donné des directives au jury sur les éléments de preuve issus de l’opération Monsieur Big. Il a également incité les jurés à la prudence vis</w:t>
      </w:r>
      <w:r w:rsidRPr="009A5D43">
        <w:rPr>
          <w:sz w:val="20"/>
          <w:lang w:val="fr-CA"/>
        </w:rPr>
        <w:noBreakHyphen/>
        <w:t>à</w:t>
      </w:r>
      <w:r w:rsidRPr="009A5D43">
        <w:rPr>
          <w:sz w:val="20"/>
          <w:lang w:val="fr-CA"/>
        </w:rPr>
        <w:noBreakHyphen/>
        <w:t xml:space="preserve">vis du témoignage du principal témoin à charge et il leur a fait une mise en garde de type </w:t>
      </w:r>
      <w:r w:rsidRPr="009A5D43">
        <w:rPr>
          <w:i/>
          <w:sz w:val="20"/>
          <w:lang w:val="fr-CA"/>
        </w:rPr>
        <w:t>Vetrovec</w:t>
      </w:r>
      <w:r w:rsidRPr="009A5D43">
        <w:rPr>
          <w:sz w:val="20"/>
          <w:lang w:val="fr-CA"/>
        </w:rPr>
        <w:t xml:space="preserve"> à l’égard de cette preuve. Le jury a déclaré M coupable de meurtre au premier degré, et la Cour d’appel a rejeté son appel de la déclaration de culpabilité.</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r>
      <w:r w:rsidRPr="009A5D43">
        <w:rPr>
          <w:i/>
          <w:sz w:val="20"/>
          <w:lang w:val="fr-CA"/>
        </w:rPr>
        <w:t>Arrêt</w:t>
      </w:r>
      <w:r w:rsidRPr="009A5D43">
        <w:rPr>
          <w:sz w:val="20"/>
          <w:lang w:val="fr-CA"/>
        </w:rPr>
        <w:t> : Le pourvoi est rejeté.</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 xml:space="preserve">Le paragraphe 24(2) de la </w:t>
      </w:r>
      <w:r w:rsidRPr="009A5D43">
        <w:rPr>
          <w:i/>
          <w:sz w:val="20"/>
          <w:lang w:val="fr-CA"/>
        </w:rPr>
        <w:t xml:space="preserve">Charte </w:t>
      </w:r>
      <w:r w:rsidRPr="009A5D43">
        <w:rPr>
          <w:sz w:val="20"/>
          <w:lang w:val="fr-CA"/>
        </w:rPr>
        <w:t>ne s’applique pas car les aveux de M aux agents banalisés n’ont pas été obtenus dans des conditions qui ont porté atteinte à ses droits. Une preuve est obtenue dans des conditions qui portent atteinte ou non aux droits garantis à l’accusé selon la nature du lien entre l’atteinte et la preuve. L’existence d’un lien causal n’est pas nécessaire, mais la nature et l’importance du lien demeurent des facteurs importants dont doit tenir compte le juge du procès. En l’espèce, M a fait ses aveux aux agents banalisés alors qu’il était illégalement sous écoute électronique. Bien qu’il ait conclu à l’existence d’un lien temporel entre les aveux de M et l’écoute électronique, le juge du procès a estimé que le caractère ténu du lien causal diminuait l’importance du lien temporel. Il lui était loisible de tirer cette conclusion et rien ne justifie de la modifier.</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 xml:space="preserve">Ni les juridictions inférieures ni les parties n’ont pu invoquer l’arrêt </w:t>
      </w:r>
      <w:r w:rsidRPr="009A5D43">
        <w:rPr>
          <w:i/>
          <w:sz w:val="20"/>
          <w:lang w:val="fr-CA"/>
        </w:rPr>
        <w:t>R. c. Hart</w:t>
      </w:r>
      <w:r w:rsidRPr="009A5D43">
        <w:rPr>
          <w:sz w:val="20"/>
          <w:lang w:val="fr-CA"/>
        </w:rPr>
        <w:t>, 2014 CSC 52, dans lequel notre Cour établit une démarche selon laquelle l’aveu obtenu dans le cadre d’une opération Monsieur Big est écarté lorsque son effet préjudiciable l’emporte sur sa valeur probante ou lorsqu’il résulte d’un abus de procédure. Mais, peu importe, les aveux de M seraient clairement admissibles suivant cette démarche.</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lastRenderedPageBreak/>
        <w:tab/>
        <w:t>La valeur probante des aveux de M était grande du fait que de nombreux éléments de preuve étaient susceptibles de les corroborer. Premièrement, dans les aveux qu’il aurait faits à des connaissances, A et L, M invoque le même mobile pour le meurtre de la victime que dans ses aveux aux agents banalisés. Dans ses aveux, il mentionne également que la dépouille de la victime a été brûlée. Deuxièmement, juste après lui avoir avoué son crime, M a conduit l’un des agents banalisés au foyer en plein air où se trouvaient toujours les restes de la victime. Troisièmement, on a découvert dans ce foyer des douilles de l’arme à feu trouvée dans l’appartement de M. En revanche, l’effet préjudiciable des aveux était limité. L’opération n’avait rien révélé d’abject sur le passé de M, et ce dernier n’avait pris part à aucun scénario ayant comporté de la violence.</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 xml:space="preserve">Les agents banalisés n’ont pas non plus eu une conduite irrégulière susceptible de justifier une demande fondée sur l’abus de procédure. M ne s’est pas vu offrir d’incitations irrésistibles. Il aurait pu exercer des fonctions légitimes encore plus rémunératrices. Les agents ne l’ont pas menacé de violence s’il ne passait pas aux aveux. Ils ont tout au plus créé un climat d’intimidation en faisant allusion à des actes de violence commis par des membres de l’organisation. Ses aveux n’ont toutefois pas été obtenus sous la contrainte. </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 xml:space="preserve">La démarche établie dans </w:t>
      </w:r>
      <w:r w:rsidRPr="009A5D43">
        <w:rPr>
          <w:i/>
          <w:sz w:val="20"/>
          <w:lang w:val="fr-CA"/>
        </w:rPr>
        <w:t>Hart</w:t>
      </w:r>
      <w:r w:rsidRPr="009A5D43">
        <w:rPr>
          <w:sz w:val="20"/>
          <w:lang w:val="fr-CA"/>
        </w:rPr>
        <w:t xml:space="preserve"> vise à pallier les problèmes que soulèvent, sur le plan de la preuve, les aveux obtenus dans le cadre d’une opération Monsieur Big, mais elle ne les fait pas disparaître. Il incombe plutôt au juge du procès de donner au jury des directives appropriées sur la manière de jauger ces aveux. La nature et l’ampleur des directives requises varient d’une affaire à l’autre. Faute d’une formule consacrée, certaines balises peuvent cependant être arrêtées. Le juge doit expliquer aux jurés qu’il leur incombe de décider si l’aveu de l’accusé est digne de foi ou non. Il doit ensuite examiner avec eux les facteurs qui sont pertinents pour l’appréciation de l’aveu et de la preuve y afférente. À titre d’exemple, il doit attirer leur attention sur la durée de l’opération, le nombre d’interactions entre les policiers et l’accusé, la nature de la relation qui s’est tissée entre les agents et l’accusé, la nature des incitations et leur importance, le recours à des menaces, la conduite de l’interrogatoire, ainsi que la personnalité de l’accusé. De plus, le juge du procès doit indiquer aux jurés que l’aveu peut renfermer des indices de sa fiabilité (ou de sa non</w:t>
      </w:r>
      <w:r w:rsidRPr="009A5D43">
        <w:rPr>
          <w:sz w:val="20"/>
          <w:lang w:val="fr-CA"/>
        </w:rPr>
        <w:noBreakHyphen/>
        <w:t xml:space="preserve">fiabilité). Il doit aussi les inviter à tenir compte de son caractère plus ou moins détaillé, du fait qu’il a mené ou non à la découverte d’autres éléments de preuve, de la mention de modalités du crime non révélées au public ou du fait qu’il décrit fidèlement ou non certaines données prosaïques que l’accusé n’aurait pas connues s’il n’avait pas commis le crime. </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Pour ce qui est de la preuve de mauvaise moralité, la démarche qui s’impose est plus familière. Le juge doit expliquer au jury que cette preuve est admise seulement pour situer l’aveu dans son contexte. Il devrait préciser au jury qu’il ne peut se fonder sur cette seule preuve pour déclarer l’accusé coupable. De plus, il devrait lui rappeler que l’activité criminelle simulée est une pure invention des représentants de l’État, qui ont encouragé l’accusé à y participer.</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Dans la présente affaire, le juge du procès a donné des directives appropriées au jury et nulle erreur de sa part n’a été démontrée. Il a expliqué aux jurés qu’ils devaient « examiner attentivement si les éléments que sont la violence et l’importance des gratifications offertes ont pu raisonnablement compromettre la fiabilité » des aveux de M. Il leur a enjoint expressément de</w:t>
      </w:r>
      <w:r w:rsidRPr="009A5D43">
        <w:rPr>
          <w:smallCaps/>
          <w:sz w:val="20"/>
          <w:lang w:val="fr-CA"/>
        </w:rPr>
        <w:t xml:space="preserve"> </w:t>
      </w:r>
      <w:r w:rsidRPr="009A5D43">
        <w:rPr>
          <w:sz w:val="20"/>
          <w:lang w:val="fr-CA"/>
        </w:rPr>
        <w:t>« tenir compte du contexte, de l’attrait de l’argent facile, de la violence, de l’importance accordée à l’honnêteté et à l’intégrité, de toute porte de sortie offerte et de tout acte de menace ou d’intimidation ». Finalement, il a laissé au jury le soin de décider au final si les aveux de M étaient dignes de foi ou non. En ce qui a trait à la preuve de mauvaise moralité, sans l’aborder directement, il a donné au jury la directive restrictive habituelle sur l’utilisation qui peut être faite de tout élément de preuve relatif à la moralité de l’accusé. Le juge du procès aurait certes pu en dire davantage, mais ses directives ne sont pas pour autant lacunaires.</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Enfin, le juge du procès a fait part aux jurés des doutes relatifs à la fiabilité du témoignage de A, le principal témoin à charge. Il leur a rappelé la thèse de la défense voulant que A soit l’assassin. Il leur a dit que c’était peut</w:t>
      </w:r>
      <w:r w:rsidRPr="009A5D43">
        <w:rPr>
          <w:sz w:val="20"/>
          <w:lang w:val="fr-CA"/>
        </w:rPr>
        <w:noBreakHyphen/>
        <w:t>être A qui avait informé M du meurtre. Il a indiqué que A avait manifestement menti aux policiers et que cela permettait de se demander si l’on pouvait ajouter foi à ses propos quels qu’ils soient. Il a également précisé qu’il était risqué d’ajouter foi au témoignage de A sans que celui</w:t>
      </w:r>
      <w:r w:rsidRPr="009A5D43">
        <w:rPr>
          <w:sz w:val="20"/>
          <w:lang w:val="fr-CA"/>
        </w:rPr>
        <w:noBreakHyphen/>
        <w:t>ci ne soit corroboré. Il n’était pas tenu d’en faire davantage.</w:t>
      </w:r>
    </w:p>
    <w:p w:rsidR="00B321A3" w:rsidRDefault="00B321A3" w:rsidP="00B321A3">
      <w:pPr>
        <w:pStyle w:val="SCCNormalDoubleSpacing"/>
        <w:spacing w:line="240" w:lineRule="auto"/>
        <w:rPr>
          <w:sz w:val="20"/>
          <w:lang w:val="fr-CA"/>
        </w:rPr>
      </w:pPr>
    </w:p>
    <w:p w:rsidR="00B321A3" w:rsidRPr="009A5D43" w:rsidRDefault="00B321A3" w:rsidP="00B321A3">
      <w:pPr>
        <w:pStyle w:val="SCCNormalDoubleSpacing"/>
        <w:spacing w:line="240" w:lineRule="auto"/>
        <w:rPr>
          <w:sz w:val="20"/>
          <w:lang w:val="fr-CA"/>
        </w:rPr>
      </w:pPr>
      <w:r w:rsidRPr="009A5D43">
        <w:rPr>
          <w:sz w:val="20"/>
          <w:lang w:val="fr-CA"/>
        </w:rPr>
        <w:tab/>
        <w:t>POURVOI contre un arrêt de la Cour d’appel de l’Alberta (les juges Côté, McFadyen et O’Brien), 2012 ABCA 42, 66 Alta. L.R. (5th) 377, 522 A.R. 262, 544 W.A.C. 262, 253 C.R.R. (2d) 157, [2012] A.J. No. 174 (QL), 2012 CarswellAlta 255, qui a confirmé la déclaration de culpabilité de meurtre au premier degré prononcée contre l’accusé.  Pourvoi rejeté.</w:t>
      </w:r>
    </w:p>
    <w:p w:rsidR="00B321A3" w:rsidRDefault="00B321A3" w:rsidP="00B321A3">
      <w:pPr>
        <w:pStyle w:val="SCCNormalDoubleSpacing"/>
        <w:spacing w:line="240" w:lineRule="auto"/>
        <w:rPr>
          <w:i/>
          <w:sz w:val="20"/>
          <w:lang w:val="fr-CA"/>
        </w:rPr>
      </w:pPr>
    </w:p>
    <w:p w:rsidR="00B321A3" w:rsidRPr="009A5D43" w:rsidRDefault="00B321A3" w:rsidP="00B321A3">
      <w:pPr>
        <w:pStyle w:val="SCCNormalDoubleSpacing"/>
        <w:spacing w:line="240" w:lineRule="auto"/>
        <w:rPr>
          <w:sz w:val="20"/>
          <w:lang w:val="fr-CA"/>
        </w:rPr>
      </w:pPr>
      <w:r w:rsidRPr="009A5D43">
        <w:rPr>
          <w:i/>
          <w:sz w:val="20"/>
          <w:lang w:val="fr-CA"/>
        </w:rPr>
        <w:lastRenderedPageBreak/>
        <w:tab/>
        <w:t>Laura K. Stevens, c.r.</w:t>
      </w:r>
      <w:r w:rsidRPr="009A5D43">
        <w:rPr>
          <w:sz w:val="20"/>
          <w:lang w:val="fr-CA"/>
        </w:rPr>
        <w:t xml:space="preserve">, et </w:t>
      </w:r>
      <w:r w:rsidRPr="009A5D43">
        <w:rPr>
          <w:i/>
          <w:sz w:val="20"/>
          <w:lang w:val="fr-CA"/>
        </w:rPr>
        <w:t>Sarah N. DeSouza</w:t>
      </w:r>
      <w:r w:rsidRPr="009A5D43">
        <w:rPr>
          <w:sz w:val="20"/>
          <w:lang w:val="fr-CA"/>
        </w:rPr>
        <w:t>, pour l’appelant.</w:t>
      </w:r>
    </w:p>
    <w:p w:rsidR="00B321A3" w:rsidRDefault="00B321A3" w:rsidP="00B321A3">
      <w:pPr>
        <w:pStyle w:val="SCCNormalDoubleSpacing"/>
        <w:spacing w:line="240" w:lineRule="auto"/>
        <w:rPr>
          <w:i/>
          <w:sz w:val="20"/>
          <w:lang w:val="fr-CA"/>
        </w:rPr>
      </w:pPr>
    </w:p>
    <w:p w:rsidR="00B321A3" w:rsidRPr="009A5D43" w:rsidRDefault="00B321A3" w:rsidP="00B321A3">
      <w:pPr>
        <w:pStyle w:val="SCCNormalDoubleSpacing"/>
        <w:spacing w:line="240" w:lineRule="auto"/>
        <w:rPr>
          <w:sz w:val="20"/>
          <w:lang w:val="fr-CA"/>
        </w:rPr>
      </w:pPr>
      <w:r w:rsidRPr="009A5D43">
        <w:rPr>
          <w:i/>
          <w:sz w:val="20"/>
          <w:lang w:val="fr-CA"/>
        </w:rPr>
        <w:tab/>
        <w:t>James C. Robb, c.r.</w:t>
      </w:r>
      <w:r w:rsidRPr="009A5D43">
        <w:rPr>
          <w:sz w:val="20"/>
          <w:lang w:val="fr-CA"/>
        </w:rPr>
        <w:t xml:space="preserve">, et </w:t>
      </w:r>
      <w:r w:rsidRPr="009A5D43">
        <w:rPr>
          <w:i/>
          <w:sz w:val="20"/>
          <w:lang w:val="fr-CA"/>
        </w:rPr>
        <w:t>David A. Labrenz, c.r.</w:t>
      </w:r>
      <w:r w:rsidRPr="009A5D43">
        <w:rPr>
          <w:sz w:val="20"/>
          <w:lang w:val="fr-CA"/>
        </w:rPr>
        <w:t>, pour l’intimée.</w:t>
      </w:r>
    </w:p>
    <w:p w:rsidR="00B321A3" w:rsidRDefault="00B321A3" w:rsidP="00B321A3">
      <w:pPr>
        <w:pStyle w:val="SCCNormalDoubleSpacing"/>
        <w:spacing w:line="240" w:lineRule="auto"/>
        <w:rPr>
          <w:i/>
          <w:sz w:val="20"/>
          <w:lang w:val="fr-CA"/>
        </w:rPr>
      </w:pPr>
    </w:p>
    <w:p w:rsidR="00B321A3" w:rsidRPr="009A5D43" w:rsidRDefault="00B321A3" w:rsidP="00B321A3">
      <w:pPr>
        <w:pStyle w:val="SCCNormalDoubleSpacing"/>
        <w:spacing w:line="240" w:lineRule="auto"/>
        <w:rPr>
          <w:sz w:val="20"/>
          <w:lang w:val="fr-CA"/>
        </w:rPr>
      </w:pPr>
      <w:r w:rsidRPr="009A5D43">
        <w:rPr>
          <w:i/>
          <w:sz w:val="20"/>
          <w:lang w:val="fr-CA"/>
        </w:rPr>
        <w:tab/>
        <w:t>Michael Bernstein</w:t>
      </w:r>
      <w:r w:rsidRPr="009A5D43">
        <w:rPr>
          <w:sz w:val="20"/>
          <w:lang w:val="fr-CA"/>
        </w:rPr>
        <w:t>, pour l’intervenant le procureur général de l’Ontario.</w:t>
      </w:r>
    </w:p>
    <w:p w:rsidR="00B321A3" w:rsidRDefault="00B321A3" w:rsidP="00B321A3">
      <w:pPr>
        <w:pStyle w:val="SCCNormalDoubleSpacing"/>
        <w:spacing w:line="240" w:lineRule="auto"/>
        <w:rPr>
          <w:i/>
          <w:sz w:val="20"/>
          <w:lang w:val="fr-CA"/>
        </w:rPr>
      </w:pPr>
    </w:p>
    <w:p w:rsidR="00B321A3" w:rsidRPr="009A5D43" w:rsidRDefault="00B321A3" w:rsidP="00B321A3">
      <w:pPr>
        <w:pStyle w:val="SCCNormalDoubleSpacing"/>
        <w:spacing w:line="240" w:lineRule="auto"/>
        <w:rPr>
          <w:sz w:val="20"/>
          <w:lang w:val="fr-CA"/>
        </w:rPr>
      </w:pPr>
      <w:r w:rsidRPr="009A5D43">
        <w:rPr>
          <w:i/>
          <w:sz w:val="20"/>
          <w:lang w:val="fr-CA"/>
        </w:rPr>
        <w:tab/>
        <w:t>Lesley A. Ruzicka</w:t>
      </w:r>
      <w:r w:rsidRPr="009A5D43">
        <w:rPr>
          <w:sz w:val="20"/>
          <w:lang w:val="fr-CA"/>
        </w:rPr>
        <w:t>, pour l’intervenant le procureur général de la Colombie</w:t>
      </w:r>
      <w:r w:rsidRPr="009A5D43">
        <w:rPr>
          <w:sz w:val="20"/>
          <w:lang w:val="fr-CA"/>
        </w:rPr>
        <w:noBreakHyphen/>
        <w:t>Britannique.</w:t>
      </w:r>
    </w:p>
    <w:p w:rsidR="00B321A3" w:rsidRDefault="00B321A3" w:rsidP="00B321A3">
      <w:pPr>
        <w:pStyle w:val="SCCLawFirm"/>
        <w:spacing w:line="240" w:lineRule="auto"/>
        <w:rPr>
          <w:sz w:val="20"/>
          <w:lang w:val="fr-CA"/>
        </w:rPr>
      </w:pPr>
    </w:p>
    <w:p w:rsidR="00B321A3" w:rsidRPr="009A5D43" w:rsidRDefault="00B321A3" w:rsidP="00B321A3">
      <w:pPr>
        <w:pStyle w:val="SCCLawFirm"/>
        <w:spacing w:line="240" w:lineRule="auto"/>
        <w:rPr>
          <w:sz w:val="20"/>
          <w:lang w:val="fr-CA"/>
        </w:rPr>
      </w:pPr>
      <w:r w:rsidRPr="009A5D43">
        <w:rPr>
          <w:sz w:val="20"/>
          <w:lang w:val="fr-CA"/>
        </w:rPr>
        <w:tab/>
        <w:t>Procureurs de l’appelant : Dawson Stevens Duckett &amp; Shaigec, Edmonton.</w:t>
      </w:r>
    </w:p>
    <w:p w:rsidR="00B321A3" w:rsidRDefault="00B321A3" w:rsidP="00B321A3">
      <w:pPr>
        <w:pStyle w:val="SCCLawFirm"/>
        <w:spacing w:line="240" w:lineRule="auto"/>
        <w:rPr>
          <w:sz w:val="20"/>
          <w:lang w:val="fr-CA"/>
        </w:rPr>
      </w:pPr>
    </w:p>
    <w:p w:rsidR="00B321A3" w:rsidRPr="009A5D43" w:rsidRDefault="00B321A3" w:rsidP="00B321A3">
      <w:pPr>
        <w:pStyle w:val="SCCLawFirm"/>
        <w:spacing w:line="240" w:lineRule="auto"/>
        <w:rPr>
          <w:sz w:val="20"/>
          <w:lang w:val="fr-CA"/>
        </w:rPr>
      </w:pPr>
      <w:r w:rsidRPr="009A5D43">
        <w:rPr>
          <w:sz w:val="20"/>
          <w:lang w:val="fr-CA"/>
        </w:rPr>
        <w:tab/>
        <w:t>Procureur de l’intimée : Procureur général de l’Alberta, Edmonton et Lethbridge.</w:t>
      </w:r>
    </w:p>
    <w:p w:rsidR="00B321A3" w:rsidRDefault="00B321A3" w:rsidP="00B321A3">
      <w:pPr>
        <w:pStyle w:val="SCCLawFirm"/>
        <w:spacing w:line="240" w:lineRule="auto"/>
        <w:rPr>
          <w:sz w:val="20"/>
          <w:lang w:val="fr-CA"/>
        </w:rPr>
      </w:pPr>
    </w:p>
    <w:p w:rsidR="00B321A3" w:rsidRPr="009A5D43" w:rsidRDefault="00B321A3" w:rsidP="00B321A3">
      <w:pPr>
        <w:pStyle w:val="SCCLawFirm"/>
        <w:spacing w:line="240" w:lineRule="auto"/>
        <w:rPr>
          <w:sz w:val="20"/>
          <w:lang w:val="fr-CA"/>
        </w:rPr>
      </w:pPr>
      <w:r w:rsidRPr="009A5D43">
        <w:rPr>
          <w:sz w:val="20"/>
          <w:lang w:val="fr-CA"/>
        </w:rPr>
        <w:tab/>
        <w:t>Procureur de l’intervenant le procureur général de l’Ontario : Procureur général de l’Ontario, Toronto.</w:t>
      </w:r>
    </w:p>
    <w:p w:rsidR="00B321A3" w:rsidRDefault="00B321A3" w:rsidP="00B321A3">
      <w:pPr>
        <w:pStyle w:val="SCCLawFirm"/>
        <w:spacing w:line="240" w:lineRule="auto"/>
        <w:rPr>
          <w:sz w:val="20"/>
          <w:lang w:val="fr-CA"/>
        </w:rPr>
      </w:pPr>
    </w:p>
    <w:p w:rsidR="00B321A3" w:rsidRDefault="00B321A3" w:rsidP="00B321A3">
      <w:pPr>
        <w:pStyle w:val="SCCLawFirm"/>
        <w:spacing w:line="240" w:lineRule="auto"/>
        <w:rPr>
          <w:sz w:val="20"/>
          <w:lang w:val="fr-CA"/>
        </w:rPr>
      </w:pPr>
      <w:r w:rsidRPr="009A5D43">
        <w:rPr>
          <w:sz w:val="20"/>
          <w:lang w:val="fr-CA"/>
        </w:rPr>
        <w:tab/>
        <w:t>Procureur de l’intervenant le procureur général de la Colombie</w:t>
      </w:r>
      <w:r w:rsidRPr="009A5D43">
        <w:rPr>
          <w:sz w:val="20"/>
          <w:lang w:val="fr-CA"/>
        </w:rPr>
        <w:noBreakHyphen/>
        <w:t>Britannique : Procureur général de la Colombie</w:t>
      </w:r>
      <w:r w:rsidRPr="009A5D43">
        <w:rPr>
          <w:sz w:val="20"/>
          <w:lang w:val="fr-CA"/>
        </w:rPr>
        <w:noBreakHyphen/>
        <w:t>Britannique, Victoria.</w:t>
      </w:r>
    </w:p>
    <w:p w:rsidR="003B3977" w:rsidRPr="00B321A3" w:rsidRDefault="003B3977" w:rsidP="005C6840">
      <w:pPr>
        <w:rPr>
          <w:rFonts w:cs="Times New Roman"/>
          <w:sz w:val="20"/>
          <w:szCs w:val="20"/>
          <w:lang w:val="fr-CA"/>
        </w:rPr>
      </w:pPr>
    </w:p>
    <w:p w:rsidR="00902E51" w:rsidRPr="00352A49" w:rsidRDefault="00215143" w:rsidP="00A67A3B">
      <w:pPr>
        <w:rPr>
          <w:sz w:val="20"/>
          <w:szCs w:val="20"/>
          <w:lang w:val="fr-CA"/>
        </w:rPr>
      </w:pPr>
      <w:r>
        <w:rPr>
          <w:rFonts w:cs="Times New Roman"/>
          <w:sz w:val="20"/>
          <w:szCs w:val="20"/>
          <w:lang w:val="fr-CA"/>
        </w:rPr>
        <w:pict>
          <v:rect id="_x0000_i1096"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EA5E64">
            <w:pPr>
              <w:keepNext/>
              <w:keepLines/>
              <w:rPr>
                <w:b/>
                <w:szCs w:val="24"/>
              </w:rPr>
            </w:pPr>
            <w:r w:rsidRPr="00C50A5C">
              <w:rPr>
                <w:b/>
                <w:szCs w:val="24"/>
              </w:rPr>
              <w:lastRenderedPageBreak/>
              <w:t xml:space="preserve">AGENDA FOR </w:t>
            </w:r>
            <w:r w:rsidR="00EA5E64">
              <w:rPr>
                <w:b/>
                <w:szCs w:val="24"/>
              </w:rPr>
              <w:t>OCTOBE</w:t>
            </w:r>
            <w:r w:rsidR="005F1ED8">
              <w:rPr>
                <w:b/>
                <w:szCs w:val="24"/>
              </w:rPr>
              <w:t>R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EA5E64">
            <w:pPr>
              <w:keepNext/>
              <w:keepLines/>
              <w:rPr>
                <w:b/>
                <w:szCs w:val="24"/>
                <w:lang w:val="fr-CA"/>
              </w:rPr>
            </w:pPr>
            <w:r w:rsidRPr="00C50A5C">
              <w:rPr>
                <w:b/>
                <w:szCs w:val="24"/>
                <w:lang w:val="fr-CA"/>
              </w:rPr>
              <w:t>CALENDRIER D</w:t>
            </w:r>
            <w:r w:rsidR="005F1ED8">
              <w:rPr>
                <w:b/>
                <w:szCs w:val="24"/>
                <w:lang w:val="fr-CA"/>
              </w:rPr>
              <w:t>’</w:t>
            </w:r>
            <w:r w:rsidR="00EA5E64">
              <w:rPr>
                <w:b/>
                <w:szCs w:val="24"/>
                <w:lang w:val="fr-CA"/>
              </w:rPr>
              <w:t>OCTOB</w:t>
            </w:r>
            <w:r w:rsidRPr="00C50A5C">
              <w:rPr>
                <w:b/>
                <w:szCs w:val="24"/>
                <w:lang w:val="fr-CA"/>
              </w:rPr>
              <w:t>R</w:t>
            </w:r>
            <w:r w:rsidR="00EA5E64">
              <w:rPr>
                <w:b/>
                <w:szCs w:val="24"/>
                <w:lang w:val="fr-CA"/>
              </w:rPr>
              <w:t>E</w:t>
            </w:r>
            <w:r w:rsidRPr="00C50A5C">
              <w:rPr>
                <w:b/>
                <w:szCs w:val="24"/>
                <w:lang w:val="fr-CA"/>
              </w:rPr>
              <w:t xml:space="preserve"> </w:t>
            </w:r>
            <w:r w:rsidR="005F1ED8">
              <w:rPr>
                <w:b/>
                <w:szCs w:val="24"/>
                <w:lang w:val="fr-CA"/>
              </w:rPr>
              <w:t>2014</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EA5E64">
        <w:rPr>
          <w:b/>
          <w:sz w:val="20"/>
          <w:szCs w:val="20"/>
        </w:rPr>
        <w:t>October</w:t>
      </w:r>
      <w:r>
        <w:rPr>
          <w:b/>
          <w:sz w:val="20"/>
          <w:szCs w:val="20"/>
        </w:rPr>
        <w:t xml:space="preserve"> </w:t>
      </w:r>
      <w:r w:rsidR="00EA5E64">
        <w:rPr>
          <w:b/>
          <w:sz w:val="20"/>
          <w:szCs w:val="20"/>
        </w:rPr>
        <w:t>6</w:t>
      </w:r>
      <w:r w:rsidRPr="00DD0B49">
        <w:rPr>
          <w:b/>
          <w:sz w:val="20"/>
          <w:szCs w:val="20"/>
        </w:rPr>
        <w:t xml:space="preserve"> and </w:t>
      </w:r>
      <w:r>
        <w:rPr>
          <w:b/>
          <w:sz w:val="20"/>
          <w:szCs w:val="20"/>
        </w:rPr>
        <w:t>1</w:t>
      </w:r>
      <w:r w:rsidR="00EA5E64">
        <w:rPr>
          <w:b/>
          <w:sz w:val="20"/>
          <w:szCs w:val="20"/>
        </w:rPr>
        <w:t>3</w:t>
      </w:r>
      <w:r w:rsidRPr="00DD0B49">
        <w:rPr>
          <w:b/>
          <w:sz w:val="20"/>
          <w:szCs w:val="20"/>
        </w:rPr>
        <w:t>, 201</w:t>
      </w:r>
      <w:r>
        <w:rPr>
          <w:b/>
          <w:sz w:val="20"/>
          <w:szCs w:val="20"/>
        </w:rPr>
        <w:t>4</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EA5E64">
        <w:rPr>
          <w:b/>
          <w:sz w:val="20"/>
          <w:szCs w:val="20"/>
          <w:lang w:val="fr-CA"/>
        </w:rPr>
        <w:t>6</w:t>
      </w:r>
      <w:r>
        <w:rPr>
          <w:b/>
          <w:sz w:val="20"/>
          <w:szCs w:val="20"/>
          <w:lang w:val="fr-CA"/>
        </w:rPr>
        <w:t xml:space="preserve"> </w:t>
      </w:r>
      <w:r w:rsidR="00EA5E64">
        <w:rPr>
          <w:b/>
          <w:sz w:val="20"/>
          <w:szCs w:val="20"/>
          <w:lang w:val="fr-CA"/>
        </w:rPr>
        <w:t>octobre</w:t>
      </w:r>
      <w:r>
        <w:rPr>
          <w:b/>
          <w:sz w:val="20"/>
          <w:szCs w:val="20"/>
          <w:lang w:val="fr-CA"/>
        </w:rPr>
        <w:t xml:space="preserve"> </w:t>
      </w:r>
      <w:r w:rsidRPr="00DD0B49">
        <w:rPr>
          <w:b/>
          <w:sz w:val="20"/>
          <w:szCs w:val="20"/>
          <w:lang w:val="fr-CA"/>
        </w:rPr>
        <w:t xml:space="preserve">et celle du </w:t>
      </w:r>
      <w:r>
        <w:rPr>
          <w:b/>
          <w:sz w:val="20"/>
          <w:szCs w:val="20"/>
          <w:lang w:val="fr-CA"/>
        </w:rPr>
        <w:t>1</w:t>
      </w:r>
      <w:r w:rsidR="00EA5E64">
        <w:rPr>
          <w:b/>
          <w:sz w:val="20"/>
          <w:szCs w:val="20"/>
          <w:lang w:val="fr-CA"/>
        </w:rPr>
        <w:t>3</w:t>
      </w:r>
      <w:r w:rsidRPr="00DD0B49">
        <w:rPr>
          <w:b/>
          <w:sz w:val="20"/>
          <w:szCs w:val="20"/>
          <w:lang w:val="fr-CA"/>
        </w:rPr>
        <w:t xml:space="preserve"> </w:t>
      </w:r>
      <w:r w:rsidR="00EA5E64">
        <w:rPr>
          <w:b/>
          <w:sz w:val="20"/>
          <w:szCs w:val="20"/>
          <w:lang w:val="fr-CA"/>
        </w:rPr>
        <w:t>octobre</w:t>
      </w:r>
      <w:r w:rsidRPr="00DD0B49">
        <w:rPr>
          <w:b/>
          <w:sz w:val="20"/>
          <w:szCs w:val="20"/>
          <w:lang w:val="fr-CA"/>
        </w:rPr>
        <w:t xml:space="preserve"> 201</w:t>
      </w:r>
      <w:r>
        <w:rPr>
          <w:b/>
          <w:sz w:val="20"/>
          <w:szCs w:val="20"/>
          <w:lang w:val="fr-CA"/>
        </w:rPr>
        <w:t>4</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EA5E64">
        <w:rPr>
          <w:sz w:val="20"/>
          <w:szCs w:val="20"/>
        </w:rPr>
        <w:t>October</w:t>
      </w:r>
      <w:r>
        <w:rPr>
          <w:sz w:val="20"/>
          <w:szCs w:val="20"/>
        </w:rPr>
        <w:t xml:space="preserve"> </w:t>
      </w:r>
      <w:r w:rsidR="00EA5E64">
        <w:rPr>
          <w:sz w:val="20"/>
          <w:szCs w:val="20"/>
        </w:rPr>
        <w:t>20</w:t>
      </w:r>
      <w:r w:rsidRPr="00DD0B49">
        <w:rPr>
          <w:sz w:val="20"/>
          <w:szCs w:val="20"/>
        </w:rPr>
        <w:t xml:space="preserve"> and 2</w:t>
      </w:r>
      <w:r w:rsidR="00EA5E64">
        <w:rPr>
          <w:sz w:val="20"/>
          <w:szCs w:val="20"/>
        </w:rPr>
        <w:t>7</w:t>
      </w:r>
      <w:r w:rsidRPr="00DD0B49">
        <w:rPr>
          <w:sz w:val="20"/>
          <w:szCs w:val="20"/>
        </w:rPr>
        <w:t>, 201</w:t>
      </w:r>
      <w:r>
        <w:rPr>
          <w:sz w:val="20"/>
          <w:szCs w:val="20"/>
        </w:rPr>
        <w:t>4</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EA5E64">
        <w:rPr>
          <w:sz w:val="20"/>
          <w:szCs w:val="20"/>
          <w:lang w:val="fr-CA"/>
        </w:rPr>
        <w:t>20</w:t>
      </w:r>
      <w:r w:rsidRPr="00DD0B49">
        <w:rPr>
          <w:sz w:val="20"/>
          <w:szCs w:val="20"/>
          <w:lang w:val="fr-CA"/>
        </w:rPr>
        <w:t xml:space="preserve"> et du 2</w:t>
      </w:r>
      <w:r w:rsidR="00EA5E64">
        <w:rPr>
          <w:sz w:val="20"/>
          <w:szCs w:val="20"/>
          <w:lang w:val="fr-CA"/>
        </w:rPr>
        <w:t>7</w:t>
      </w:r>
      <w:r w:rsidRPr="00DD0B49">
        <w:rPr>
          <w:sz w:val="20"/>
          <w:szCs w:val="20"/>
          <w:lang w:val="fr-CA"/>
        </w:rPr>
        <w:t xml:space="preserve"> </w:t>
      </w:r>
      <w:r w:rsidR="00EA5E64">
        <w:rPr>
          <w:sz w:val="20"/>
          <w:szCs w:val="20"/>
          <w:lang w:val="fr-CA"/>
        </w:rPr>
        <w:t>octobre</w:t>
      </w:r>
      <w:r w:rsidRPr="00DD0B49">
        <w:rPr>
          <w:sz w:val="20"/>
          <w:szCs w:val="20"/>
          <w:lang w:val="fr-CA"/>
        </w:rPr>
        <w:t xml:space="preserve"> 201</w:t>
      </w:r>
      <w:r>
        <w:rPr>
          <w:sz w:val="20"/>
          <w:szCs w:val="20"/>
          <w:lang w:val="fr-CA"/>
        </w:rPr>
        <w:t>4</w:t>
      </w:r>
      <w:r w:rsidRPr="00DD0B49">
        <w:rPr>
          <w:sz w:val="20"/>
          <w:szCs w:val="20"/>
          <w:lang w:val="fr-CA"/>
        </w:rPr>
        <w:t>.</w:t>
      </w:r>
    </w:p>
    <w:p w:rsidR="004B66B4" w:rsidRPr="00DD0B49" w:rsidRDefault="00215143" w:rsidP="004B66B4">
      <w:pPr>
        <w:rPr>
          <w:sz w:val="20"/>
          <w:szCs w:val="20"/>
        </w:rPr>
      </w:pPr>
      <w:r>
        <w:rPr>
          <w:sz w:val="20"/>
          <w:szCs w:val="20"/>
        </w:rPr>
        <w:pict>
          <v:rect id="_x0000_i1099"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225EDC"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F1ED8">
        <w:trPr>
          <w:cantSplit/>
          <w:trHeight w:hRule="exact" w:val="648"/>
        </w:trPr>
        <w:tc>
          <w:tcPr>
            <w:tcW w:w="2398" w:type="dxa"/>
          </w:tcPr>
          <w:p w:rsidR="005F1ED8" w:rsidRPr="003A74F5" w:rsidRDefault="005F1ED8"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EA5E64">
              <w:rPr>
                <w:rFonts w:eastAsia="Calibri" w:cs="Times New Roman"/>
                <w:sz w:val="20"/>
                <w:szCs w:val="20"/>
              </w:rPr>
              <w:t>10</w:t>
            </w:r>
            <w:r w:rsidRPr="003A74F5">
              <w:rPr>
                <w:rFonts w:eastAsia="Calibri" w:cs="Times New Roman"/>
                <w:sz w:val="20"/>
                <w:szCs w:val="20"/>
              </w:rPr>
              <w:t>-</w:t>
            </w:r>
            <w:r w:rsidR="00EA5E64">
              <w:rPr>
                <w:rFonts w:eastAsia="Calibri" w:cs="Times New Roman"/>
                <w:sz w:val="20"/>
                <w:szCs w:val="20"/>
              </w:rPr>
              <w:t>06</w:t>
            </w:r>
          </w:p>
        </w:tc>
        <w:tc>
          <w:tcPr>
            <w:tcW w:w="7178" w:type="dxa"/>
          </w:tcPr>
          <w:p w:rsidR="005F1ED8" w:rsidRDefault="00C05451" w:rsidP="00C05451">
            <w:pPr>
              <w:jc w:val="both"/>
              <w:rPr>
                <w:rFonts w:eastAsia="Calibri" w:cs="Times New Roman"/>
                <w:sz w:val="20"/>
                <w:szCs w:val="20"/>
              </w:rPr>
            </w:pPr>
            <w:r>
              <w:rPr>
                <w:rFonts w:eastAsia="Calibri" w:cs="Times New Roman"/>
                <w:i/>
                <w:sz w:val="20"/>
                <w:szCs w:val="20"/>
              </w:rPr>
              <w:t>He</w:t>
            </w:r>
            <w:r w:rsidR="005F1ED8">
              <w:rPr>
                <w:rFonts w:eastAsia="Calibri" w:cs="Times New Roman"/>
                <w:i/>
                <w:sz w:val="20"/>
                <w:szCs w:val="20"/>
              </w:rPr>
              <w:t>r</w:t>
            </w:r>
            <w:r>
              <w:rPr>
                <w:rFonts w:eastAsia="Calibri" w:cs="Times New Roman"/>
                <w:i/>
                <w:sz w:val="20"/>
                <w:szCs w:val="20"/>
              </w:rPr>
              <w:t xml:space="preserve"> Majesty the Queen </w:t>
            </w:r>
            <w:r w:rsidR="005F1ED8" w:rsidRPr="003A74F5">
              <w:rPr>
                <w:rFonts w:eastAsia="Calibri" w:cs="Times New Roman"/>
                <w:i/>
                <w:sz w:val="20"/>
                <w:szCs w:val="20"/>
              </w:rPr>
              <w:t xml:space="preserve">v. </w:t>
            </w:r>
            <w:r>
              <w:rPr>
                <w:rFonts w:eastAsia="Calibri" w:cs="Times New Roman"/>
                <w:i/>
                <w:sz w:val="20"/>
                <w:szCs w:val="20"/>
              </w:rPr>
              <w:t>Clifford Kokopenace</w:t>
            </w:r>
            <w:r w:rsidR="005F1ED8">
              <w:rPr>
                <w:rFonts w:eastAsia="Calibri" w:cs="Times New Roman"/>
                <w:i/>
                <w:sz w:val="20"/>
                <w:szCs w:val="20"/>
              </w:rPr>
              <w:t xml:space="preserve">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w:t>
            </w:r>
            <w:r>
              <w:rPr>
                <w:rFonts w:eastAsia="Calibri" w:cs="Times New Roman"/>
                <w:sz w:val="20"/>
                <w:szCs w:val="20"/>
              </w:rPr>
              <w:t>r</w:t>
            </w:r>
            <w:r w:rsidR="005F1ED8" w:rsidRPr="003A74F5">
              <w:rPr>
                <w:rFonts w:eastAsia="Calibri" w:cs="Times New Roman"/>
                <w:sz w:val="20"/>
                <w:szCs w:val="20"/>
              </w:rPr>
              <w:t>i</w:t>
            </w:r>
            <w:r>
              <w:rPr>
                <w:rFonts w:eastAsia="Calibri" w:cs="Times New Roman"/>
                <w:sz w:val="20"/>
                <w:szCs w:val="20"/>
              </w:rPr>
              <w:t>m</w:t>
            </w:r>
            <w:r w:rsidR="005F1ED8" w:rsidRPr="003A74F5">
              <w:rPr>
                <w:rFonts w:eastAsia="Calibri" w:cs="Times New Roman"/>
                <w:sz w:val="20"/>
                <w:szCs w:val="20"/>
              </w:rPr>
              <w:t>i</w:t>
            </w:r>
            <w:r>
              <w:rPr>
                <w:rFonts w:eastAsia="Calibri" w:cs="Times New Roman"/>
                <w:sz w:val="20"/>
                <w:szCs w:val="20"/>
              </w:rPr>
              <w:t>na</w:t>
            </w:r>
            <w:r w:rsidR="005F1ED8" w:rsidRPr="003A74F5">
              <w:rPr>
                <w:rFonts w:eastAsia="Calibri" w:cs="Times New Roman"/>
                <w:sz w:val="20"/>
                <w:szCs w:val="20"/>
              </w:rPr>
              <w:t>l) (By Leave) (3</w:t>
            </w:r>
            <w:r w:rsidR="005F1ED8">
              <w:rPr>
                <w:rFonts w:eastAsia="Calibri" w:cs="Times New Roman"/>
                <w:sz w:val="20"/>
                <w:szCs w:val="20"/>
              </w:rPr>
              <w:t>5</w:t>
            </w:r>
            <w:r>
              <w:rPr>
                <w:rFonts w:eastAsia="Calibri" w:cs="Times New Roman"/>
                <w:sz w:val="20"/>
                <w:szCs w:val="20"/>
              </w:rPr>
              <w:t>47</w:t>
            </w:r>
            <w:r w:rsidR="005F1ED8">
              <w:rPr>
                <w:rFonts w:eastAsia="Calibri" w:cs="Times New Roman"/>
                <w:sz w:val="20"/>
                <w:szCs w:val="20"/>
              </w:rPr>
              <w:t>5</w:t>
            </w:r>
            <w:r w:rsidR="005F1ED8" w:rsidRPr="003A74F5">
              <w:rPr>
                <w:rFonts w:eastAsia="Calibri" w:cs="Times New Roman"/>
                <w:sz w:val="20"/>
                <w:szCs w:val="20"/>
              </w:rPr>
              <w:t>)</w:t>
            </w:r>
          </w:p>
          <w:p w:rsidR="00C05451" w:rsidRPr="003A74F5" w:rsidRDefault="00C05451" w:rsidP="00C05451">
            <w:pPr>
              <w:jc w:val="both"/>
              <w:rPr>
                <w:rFonts w:eastAsia="Calibri" w:cs="Times New Roman"/>
                <w:sz w:val="20"/>
                <w:szCs w:val="20"/>
              </w:rPr>
            </w:pPr>
            <w:r>
              <w:rPr>
                <w:rFonts w:eastAsia="Calibri" w:cs="Times New Roman"/>
                <w:sz w:val="20"/>
                <w:szCs w:val="20"/>
              </w:rPr>
              <w:t>(Early start time: 9:00 a.m. / Horaire modifié : audience debutant à 9h)</w:t>
            </w:r>
          </w:p>
        </w:tc>
      </w:tr>
      <w:tr w:rsidR="005F1ED8" w:rsidRPr="003A74F5" w:rsidTr="00C05451">
        <w:trPr>
          <w:cantSplit/>
          <w:trHeight w:hRule="exact" w:val="821"/>
        </w:trPr>
        <w:tc>
          <w:tcPr>
            <w:tcW w:w="2398" w:type="dxa"/>
          </w:tcPr>
          <w:p w:rsidR="005F1ED8" w:rsidRPr="003A74F5" w:rsidRDefault="005F1ED8"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EA5E64">
              <w:rPr>
                <w:rFonts w:eastAsia="Calibri" w:cs="Times New Roman"/>
                <w:sz w:val="20"/>
                <w:szCs w:val="20"/>
              </w:rPr>
              <w:t>10</w:t>
            </w:r>
            <w:r w:rsidRPr="003A74F5">
              <w:rPr>
                <w:rFonts w:eastAsia="Calibri" w:cs="Times New Roman"/>
                <w:sz w:val="20"/>
                <w:szCs w:val="20"/>
              </w:rPr>
              <w:t>-</w:t>
            </w:r>
            <w:r w:rsidR="00EA5E64">
              <w:rPr>
                <w:rFonts w:eastAsia="Calibri" w:cs="Times New Roman"/>
                <w:sz w:val="20"/>
                <w:szCs w:val="20"/>
              </w:rPr>
              <w:t>07</w:t>
            </w:r>
          </w:p>
        </w:tc>
        <w:tc>
          <w:tcPr>
            <w:tcW w:w="7178" w:type="dxa"/>
          </w:tcPr>
          <w:p w:rsidR="005F1ED8" w:rsidRPr="003A74F5" w:rsidRDefault="00C05451" w:rsidP="00C05451">
            <w:pPr>
              <w:jc w:val="both"/>
              <w:rPr>
                <w:rFonts w:eastAsia="Calibri" w:cs="Times New Roman"/>
                <w:sz w:val="20"/>
                <w:szCs w:val="20"/>
              </w:rPr>
            </w:pPr>
            <w:r>
              <w:rPr>
                <w:rFonts w:eastAsia="Calibri" w:cs="Times New Roman"/>
                <w:i/>
                <w:sz w:val="20"/>
                <w:szCs w:val="20"/>
              </w:rPr>
              <w:t>W</w:t>
            </w:r>
            <w:r w:rsidR="005F1ED8">
              <w:rPr>
                <w:rFonts w:eastAsia="Calibri" w:cs="Times New Roman"/>
                <w:i/>
                <w:sz w:val="20"/>
                <w:szCs w:val="20"/>
              </w:rPr>
              <w:t>h</w:t>
            </w:r>
            <w:r>
              <w:rPr>
                <w:rFonts w:eastAsia="Calibri" w:cs="Times New Roman"/>
                <w:i/>
                <w:sz w:val="20"/>
                <w:szCs w:val="20"/>
              </w:rPr>
              <w:t>ite Burge</w:t>
            </w:r>
            <w:r w:rsidR="005F1ED8">
              <w:rPr>
                <w:rFonts w:eastAsia="Calibri" w:cs="Times New Roman"/>
                <w:i/>
                <w:sz w:val="20"/>
                <w:szCs w:val="20"/>
              </w:rPr>
              <w:t>ss</w:t>
            </w:r>
            <w:r>
              <w:rPr>
                <w:rFonts w:eastAsia="Calibri" w:cs="Times New Roman"/>
                <w:i/>
                <w:sz w:val="20"/>
                <w:szCs w:val="20"/>
              </w:rPr>
              <w:t xml:space="preserve"> L</w:t>
            </w:r>
            <w:r w:rsidR="005F1ED8">
              <w:rPr>
                <w:rFonts w:eastAsia="Calibri" w:cs="Times New Roman"/>
                <w:i/>
                <w:sz w:val="20"/>
                <w:szCs w:val="20"/>
              </w:rPr>
              <w:t>an</w:t>
            </w:r>
            <w:r>
              <w:rPr>
                <w:rFonts w:eastAsia="Calibri" w:cs="Times New Roman"/>
                <w:i/>
                <w:sz w:val="20"/>
                <w:szCs w:val="20"/>
              </w:rPr>
              <w:t>gille Inm</w:t>
            </w:r>
            <w:r w:rsidR="005F1ED8">
              <w:rPr>
                <w:rFonts w:eastAsia="Calibri" w:cs="Times New Roman"/>
                <w:i/>
                <w:sz w:val="20"/>
                <w:szCs w:val="20"/>
              </w:rPr>
              <w:t>an</w:t>
            </w:r>
            <w:r>
              <w:rPr>
                <w:rFonts w:eastAsia="Calibri" w:cs="Times New Roman"/>
                <w:i/>
                <w:sz w:val="20"/>
                <w:szCs w:val="20"/>
              </w:rPr>
              <w:t>, carrying on business as WBLI Chartered Accountants et al.</w:t>
            </w:r>
            <w:r w:rsidR="005F1ED8">
              <w:rPr>
                <w:rFonts w:eastAsia="Calibri" w:cs="Times New Roman"/>
                <w:i/>
                <w:sz w:val="20"/>
                <w:szCs w:val="20"/>
              </w:rPr>
              <w:t xml:space="preserve"> </w:t>
            </w:r>
            <w:r w:rsidR="005F1ED8" w:rsidRPr="003A74F5">
              <w:rPr>
                <w:rFonts w:eastAsia="Calibri" w:cs="Times New Roman"/>
                <w:i/>
                <w:sz w:val="20"/>
                <w:szCs w:val="20"/>
              </w:rPr>
              <w:t xml:space="preserve">v. </w:t>
            </w:r>
            <w:r>
              <w:rPr>
                <w:rFonts w:eastAsia="Calibri" w:cs="Times New Roman"/>
                <w:i/>
                <w:sz w:val="20"/>
                <w:szCs w:val="20"/>
              </w:rPr>
              <w:t xml:space="preserve">Abbott and </w:t>
            </w:r>
            <w:r w:rsidR="005F1ED8" w:rsidRPr="003A74F5">
              <w:rPr>
                <w:rFonts w:eastAsia="Calibri" w:cs="Times New Roman"/>
                <w:i/>
                <w:sz w:val="20"/>
                <w:szCs w:val="20"/>
              </w:rPr>
              <w:t>H</w:t>
            </w:r>
            <w:r>
              <w:rPr>
                <w:rFonts w:eastAsia="Calibri" w:cs="Times New Roman"/>
                <w:i/>
                <w:sz w:val="20"/>
                <w:szCs w:val="20"/>
              </w:rPr>
              <w:t>alibu</w:t>
            </w:r>
            <w:r w:rsidR="005F1ED8" w:rsidRPr="003A74F5">
              <w:rPr>
                <w:rFonts w:eastAsia="Calibri" w:cs="Times New Roman"/>
                <w:i/>
                <w:sz w:val="20"/>
                <w:szCs w:val="20"/>
              </w:rPr>
              <w:t>rt</w:t>
            </w:r>
            <w:r>
              <w:rPr>
                <w:rFonts w:eastAsia="Calibri" w:cs="Times New Roman"/>
                <w:i/>
                <w:sz w:val="20"/>
                <w:szCs w:val="20"/>
              </w:rPr>
              <w:t>on Company</w:t>
            </w:r>
            <w:r w:rsidR="005F1ED8" w:rsidRPr="003A74F5">
              <w:rPr>
                <w:rFonts w:eastAsia="Calibri" w:cs="Times New Roman"/>
                <w:i/>
                <w:sz w:val="20"/>
                <w:szCs w:val="20"/>
              </w:rPr>
              <w:t xml:space="preserve"> </w:t>
            </w:r>
            <w:r>
              <w:rPr>
                <w:rFonts w:eastAsia="Calibri" w:cs="Times New Roman"/>
                <w:i/>
                <w:sz w:val="20"/>
                <w:szCs w:val="20"/>
              </w:rPr>
              <w:t>Limit</w:t>
            </w:r>
            <w:r w:rsidR="005F1ED8" w:rsidRPr="003A74F5">
              <w:rPr>
                <w:rFonts w:eastAsia="Calibri" w:cs="Times New Roman"/>
                <w:i/>
                <w:sz w:val="20"/>
                <w:szCs w:val="20"/>
              </w:rPr>
              <w:t>e</w:t>
            </w:r>
            <w:r>
              <w:rPr>
                <w:rFonts w:eastAsia="Calibri" w:cs="Times New Roman"/>
                <w:i/>
                <w:sz w:val="20"/>
                <w:szCs w:val="20"/>
              </w:rPr>
              <w:t xml:space="preserve">d </w:t>
            </w:r>
            <w:r w:rsidR="005F1ED8" w:rsidRPr="003A74F5">
              <w:rPr>
                <w:rFonts w:eastAsia="Calibri" w:cs="Times New Roman"/>
                <w:i/>
                <w:sz w:val="20"/>
                <w:szCs w:val="20"/>
              </w:rPr>
              <w:t>e</w:t>
            </w:r>
            <w:r>
              <w:rPr>
                <w:rFonts w:eastAsia="Calibri" w:cs="Times New Roman"/>
                <w:i/>
                <w:sz w:val="20"/>
                <w:szCs w:val="20"/>
              </w:rPr>
              <w:t>t al.</w:t>
            </w:r>
            <w:r w:rsidR="005F1ED8" w:rsidRPr="003A74F5">
              <w:rPr>
                <w:rFonts w:eastAsia="Calibri" w:cs="Times New Roman"/>
                <w:sz w:val="20"/>
                <w:szCs w:val="20"/>
              </w:rPr>
              <w:t xml:space="preserve"> (</w:t>
            </w:r>
            <w:r>
              <w:rPr>
                <w:rFonts w:eastAsia="Calibri" w:cs="Times New Roman"/>
                <w:sz w:val="20"/>
                <w:szCs w:val="20"/>
              </w:rPr>
              <w:t>N.S</w:t>
            </w:r>
            <w:r w:rsidR="005F1ED8" w:rsidRPr="003A74F5">
              <w:rPr>
                <w:rFonts w:eastAsia="Calibri" w:cs="Times New Roman"/>
                <w:sz w:val="20"/>
                <w:szCs w:val="20"/>
              </w:rPr>
              <w:t>.) (Ci</w:t>
            </w:r>
            <w:r>
              <w:rPr>
                <w:rFonts w:eastAsia="Calibri" w:cs="Times New Roman"/>
                <w:sz w:val="20"/>
                <w:szCs w:val="20"/>
              </w:rPr>
              <w:t>v</w:t>
            </w:r>
            <w:r w:rsidR="005F1ED8" w:rsidRPr="003A74F5">
              <w:rPr>
                <w:rFonts w:eastAsia="Calibri" w:cs="Times New Roman"/>
                <w:sz w:val="20"/>
                <w:szCs w:val="20"/>
              </w:rPr>
              <w:t>il) (</w:t>
            </w:r>
            <w:r w:rsidR="005F1ED8">
              <w:rPr>
                <w:rFonts w:eastAsia="Calibri" w:cs="Times New Roman"/>
                <w:sz w:val="20"/>
                <w:szCs w:val="20"/>
              </w:rPr>
              <w:t>By Leave</w:t>
            </w:r>
            <w:r w:rsidR="005F1ED8" w:rsidRPr="003A74F5">
              <w:rPr>
                <w:rFonts w:eastAsia="Calibri" w:cs="Times New Roman"/>
                <w:sz w:val="20"/>
                <w:szCs w:val="20"/>
              </w:rPr>
              <w:t>) (3</w:t>
            </w:r>
            <w:r w:rsidR="005F1ED8">
              <w:rPr>
                <w:rFonts w:eastAsia="Calibri" w:cs="Times New Roman"/>
                <w:sz w:val="20"/>
                <w:szCs w:val="20"/>
              </w:rPr>
              <w:t>5</w:t>
            </w:r>
            <w:r>
              <w:rPr>
                <w:rFonts w:eastAsia="Calibri" w:cs="Times New Roman"/>
                <w:sz w:val="20"/>
                <w:szCs w:val="20"/>
              </w:rPr>
              <w:t>49</w:t>
            </w:r>
            <w:r w:rsidR="005F1ED8">
              <w:rPr>
                <w:rFonts w:eastAsia="Calibri" w:cs="Times New Roman"/>
                <w:sz w:val="20"/>
                <w:szCs w:val="20"/>
              </w:rPr>
              <w:t>2</w:t>
            </w:r>
            <w:r w:rsidR="005F1ED8" w:rsidRPr="003A74F5">
              <w:rPr>
                <w:rFonts w:eastAsia="Calibri" w:cs="Times New Roman"/>
                <w:sz w:val="20"/>
                <w:szCs w:val="20"/>
              </w:rPr>
              <w:t>)</w:t>
            </w:r>
          </w:p>
        </w:tc>
      </w:tr>
      <w:tr w:rsidR="00C05451" w:rsidRPr="00225EDC" w:rsidTr="004E79F7">
        <w:trPr>
          <w:cantSplit/>
          <w:trHeight w:hRule="exact" w:val="648"/>
        </w:trPr>
        <w:tc>
          <w:tcPr>
            <w:tcW w:w="2398" w:type="dxa"/>
          </w:tcPr>
          <w:p w:rsidR="00C05451" w:rsidRPr="003A74F5" w:rsidRDefault="00C05451"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10</w:t>
            </w:r>
            <w:r w:rsidRPr="003A74F5">
              <w:rPr>
                <w:rFonts w:eastAsia="Calibri" w:cs="Times New Roman"/>
                <w:sz w:val="20"/>
                <w:szCs w:val="20"/>
              </w:rPr>
              <w:t>-</w:t>
            </w:r>
            <w:r>
              <w:rPr>
                <w:rFonts w:eastAsia="Calibri" w:cs="Times New Roman"/>
                <w:sz w:val="20"/>
                <w:szCs w:val="20"/>
              </w:rPr>
              <w:t>08</w:t>
            </w:r>
          </w:p>
        </w:tc>
        <w:tc>
          <w:tcPr>
            <w:tcW w:w="7178" w:type="dxa"/>
          </w:tcPr>
          <w:p w:rsidR="00C05451" w:rsidRPr="00A708C5" w:rsidRDefault="00C05451" w:rsidP="004E79F7">
            <w:pPr>
              <w:jc w:val="both"/>
              <w:rPr>
                <w:rFonts w:eastAsia="Calibri" w:cs="Times New Roman"/>
                <w:i/>
                <w:sz w:val="20"/>
                <w:szCs w:val="20"/>
                <w:lang w:val="fr-CA"/>
              </w:rPr>
            </w:pPr>
            <w:r w:rsidRPr="00A708C5">
              <w:rPr>
                <w:rFonts w:eastAsia="Calibri" w:cs="Times New Roman"/>
                <w:i/>
                <w:sz w:val="20"/>
                <w:szCs w:val="20"/>
                <w:lang w:val="fr-CA"/>
              </w:rPr>
              <w:t>Pro</w:t>
            </w:r>
            <w:r>
              <w:rPr>
                <w:rFonts w:eastAsia="Calibri" w:cs="Times New Roman"/>
                <w:i/>
                <w:sz w:val="20"/>
                <w:szCs w:val="20"/>
                <w:lang w:val="fr-CA"/>
              </w:rPr>
              <w:t>cur</w:t>
            </w:r>
            <w:r w:rsidRPr="00A708C5">
              <w:rPr>
                <w:rFonts w:eastAsia="Calibri" w:cs="Times New Roman"/>
                <w:i/>
                <w:sz w:val="20"/>
                <w:szCs w:val="20"/>
                <w:lang w:val="fr-CA"/>
              </w:rPr>
              <w:t>e</w:t>
            </w:r>
            <w:r>
              <w:rPr>
                <w:rFonts w:eastAsia="Calibri" w:cs="Times New Roman"/>
                <w:i/>
                <w:sz w:val="20"/>
                <w:szCs w:val="20"/>
                <w:lang w:val="fr-CA"/>
              </w:rPr>
              <w:t>ur général du Québec</w:t>
            </w:r>
            <w:r w:rsidRPr="00A708C5">
              <w:rPr>
                <w:rFonts w:eastAsia="Calibri" w:cs="Times New Roman"/>
                <w:i/>
                <w:sz w:val="20"/>
                <w:szCs w:val="20"/>
                <w:lang w:val="fr-CA"/>
              </w:rPr>
              <w:t xml:space="preserve"> c. Pro</w:t>
            </w:r>
            <w:r>
              <w:rPr>
                <w:rFonts w:eastAsia="Calibri" w:cs="Times New Roman"/>
                <w:i/>
                <w:sz w:val="20"/>
                <w:szCs w:val="20"/>
                <w:lang w:val="fr-CA"/>
              </w:rPr>
              <w:t>cur</w:t>
            </w:r>
            <w:r w:rsidRPr="00A708C5">
              <w:rPr>
                <w:rFonts w:eastAsia="Calibri" w:cs="Times New Roman"/>
                <w:i/>
                <w:sz w:val="20"/>
                <w:szCs w:val="20"/>
                <w:lang w:val="fr-CA"/>
              </w:rPr>
              <w:t>e</w:t>
            </w:r>
            <w:r>
              <w:rPr>
                <w:rFonts w:eastAsia="Calibri" w:cs="Times New Roman"/>
                <w:i/>
                <w:sz w:val="20"/>
                <w:szCs w:val="20"/>
                <w:lang w:val="fr-CA"/>
              </w:rPr>
              <w:t>ur général du Canada</w:t>
            </w:r>
            <w:r w:rsidRPr="00A708C5">
              <w:rPr>
                <w:rFonts w:eastAsia="Calibri" w:cs="Times New Roman"/>
                <w:i/>
                <w:sz w:val="20"/>
                <w:szCs w:val="20"/>
                <w:lang w:val="fr-CA"/>
              </w:rPr>
              <w:t xml:space="preserve"> et autres </w:t>
            </w:r>
            <w:r w:rsidRPr="00A708C5">
              <w:rPr>
                <w:rFonts w:eastAsia="Calibri" w:cs="Times New Roman"/>
                <w:sz w:val="20"/>
                <w:szCs w:val="20"/>
                <w:lang w:val="fr-CA"/>
              </w:rPr>
              <w:t>(Qc) (Civile) (Autorisation) (35</w:t>
            </w:r>
            <w:r w:rsidR="004E79F7">
              <w:rPr>
                <w:rFonts w:eastAsia="Calibri" w:cs="Times New Roman"/>
                <w:sz w:val="20"/>
                <w:szCs w:val="20"/>
                <w:lang w:val="fr-CA"/>
              </w:rPr>
              <w:t>448</w:t>
            </w:r>
            <w:r w:rsidRPr="00A708C5">
              <w:rPr>
                <w:rFonts w:eastAsia="Calibri" w:cs="Times New Roman"/>
                <w:sz w:val="20"/>
                <w:szCs w:val="20"/>
                <w:lang w:val="fr-CA"/>
              </w:rPr>
              <w:t>)</w:t>
            </w:r>
          </w:p>
        </w:tc>
      </w:tr>
      <w:tr w:rsidR="005F1ED8" w:rsidRPr="00C5600D" w:rsidTr="006A6E04">
        <w:trPr>
          <w:cantSplit/>
          <w:trHeight w:hRule="exact" w:val="360"/>
        </w:trPr>
        <w:tc>
          <w:tcPr>
            <w:tcW w:w="2398" w:type="dxa"/>
          </w:tcPr>
          <w:p w:rsidR="005F1ED8" w:rsidRPr="00216AEB" w:rsidRDefault="005F1ED8" w:rsidP="00EA5E64">
            <w:pPr>
              <w:rPr>
                <w:rFonts w:eastAsia="Calibri" w:cs="Times New Roman"/>
                <w:sz w:val="20"/>
                <w:szCs w:val="20"/>
                <w:lang w:val="fr-CA"/>
              </w:rPr>
            </w:pPr>
            <w:r>
              <w:rPr>
                <w:rFonts w:eastAsia="Calibri" w:cs="Times New Roman"/>
                <w:sz w:val="20"/>
                <w:szCs w:val="20"/>
                <w:lang w:val="fr-CA"/>
              </w:rPr>
              <w:t>2014</w:t>
            </w:r>
            <w:r w:rsidRPr="00216AEB">
              <w:rPr>
                <w:rFonts w:eastAsia="Calibri" w:cs="Times New Roman"/>
                <w:sz w:val="20"/>
                <w:szCs w:val="20"/>
                <w:lang w:val="fr-CA"/>
              </w:rPr>
              <w:t>-</w:t>
            </w:r>
            <w:r w:rsidR="00EA5E64">
              <w:rPr>
                <w:rFonts w:eastAsia="Calibri" w:cs="Times New Roman"/>
                <w:sz w:val="20"/>
                <w:szCs w:val="20"/>
                <w:lang w:val="fr-CA"/>
              </w:rPr>
              <w:t>1</w:t>
            </w:r>
            <w:r>
              <w:rPr>
                <w:rFonts w:eastAsia="Calibri" w:cs="Times New Roman"/>
                <w:sz w:val="20"/>
                <w:szCs w:val="20"/>
                <w:lang w:val="fr-CA"/>
              </w:rPr>
              <w:t>0</w:t>
            </w:r>
            <w:r w:rsidRPr="00216AEB">
              <w:rPr>
                <w:rFonts w:eastAsia="Calibri" w:cs="Times New Roman"/>
                <w:sz w:val="20"/>
                <w:szCs w:val="20"/>
                <w:lang w:val="fr-CA"/>
              </w:rPr>
              <w:t>-</w:t>
            </w:r>
            <w:r w:rsidR="00EA5E64">
              <w:rPr>
                <w:rFonts w:eastAsia="Calibri" w:cs="Times New Roman"/>
                <w:sz w:val="20"/>
                <w:szCs w:val="20"/>
                <w:lang w:val="fr-CA"/>
              </w:rPr>
              <w:t>09</w:t>
            </w:r>
          </w:p>
        </w:tc>
        <w:tc>
          <w:tcPr>
            <w:tcW w:w="7178" w:type="dxa"/>
          </w:tcPr>
          <w:p w:rsidR="005F1ED8" w:rsidRPr="00571EC4" w:rsidRDefault="00571EC4" w:rsidP="006A6E04">
            <w:pPr>
              <w:jc w:val="both"/>
              <w:rPr>
                <w:rFonts w:eastAsia="Calibri" w:cs="Times New Roman"/>
                <w:sz w:val="20"/>
                <w:szCs w:val="20"/>
              </w:rPr>
            </w:pPr>
            <w:r>
              <w:rPr>
                <w:rFonts w:eastAsia="Calibri" w:cs="Times New Roman"/>
                <w:i/>
                <w:sz w:val="20"/>
                <w:szCs w:val="20"/>
              </w:rPr>
              <w:t>Chi</w:t>
            </w:r>
            <w:r w:rsidR="005F1ED8" w:rsidRPr="003B7455">
              <w:rPr>
                <w:rFonts w:eastAsia="Calibri" w:cs="Times New Roman"/>
                <w:i/>
                <w:sz w:val="20"/>
                <w:szCs w:val="20"/>
              </w:rPr>
              <w:t>e</w:t>
            </w:r>
            <w:r>
              <w:rPr>
                <w:rFonts w:eastAsia="Calibri" w:cs="Times New Roman"/>
                <w:i/>
                <w:sz w:val="20"/>
                <w:szCs w:val="20"/>
              </w:rPr>
              <w:t>f Sh</w:t>
            </w:r>
            <w:r w:rsidR="005F1ED8" w:rsidRPr="003B7455">
              <w:rPr>
                <w:rFonts w:eastAsia="Calibri" w:cs="Times New Roman"/>
                <w:i/>
                <w:sz w:val="20"/>
                <w:szCs w:val="20"/>
              </w:rPr>
              <w:t>e</w:t>
            </w:r>
            <w:r>
              <w:rPr>
                <w:rFonts w:eastAsia="Calibri" w:cs="Times New Roman"/>
                <w:i/>
                <w:sz w:val="20"/>
                <w:szCs w:val="20"/>
              </w:rPr>
              <w:t>ld</w:t>
            </w:r>
            <w:r w:rsidR="005F1ED8" w:rsidRPr="003B7455">
              <w:rPr>
                <w:rFonts w:eastAsia="Calibri" w:cs="Times New Roman"/>
                <w:i/>
                <w:sz w:val="20"/>
                <w:szCs w:val="20"/>
              </w:rPr>
              <w:t>on</w:t>
            </w:r>
            <w:r>
              <w:rPr>
                <w:rFonts w:eastAsia="Calibri" w:cs="Times New Roman"/>
                <w:i/>
                <w:sz w:val="20"/>
                <w:szCs w:val="20"/>
              </w:rPr>
              <w:t xml:space="preserve"> Taypotat et</w:t>
            </w:r>
            <w:r w:rsidR="006A6E04">
              <w:rPr>
                <w:rFonts w:eastAsia="Calibri" w:cs="Times New Roman"/>
                <w:i/>
                <w:sz w:val="20"/>
                <w:szCs w:val="20"/>
              </w:rPr>
              <w:t xml:space="preserve"> </w:t>
            </w:r>
            <w:r>
              <w:rPr>
                <w:rFonts w:eastAsia="Calibri" w:cs="Times New Roman"/>
                <w:i/>
                <w:sz w:val="20"/>
                <w:szCs w:val="20"/>
              </w:rPr>
              <w:t>al</w:t>
            </w:r>
            <w:r w:rsidR="006A6E04">
              <w:rPr>
                <w:rFonts w:eastAsia="Calibri" w:cs="Times New Roman"/>
                <w:i/>
                <w:sz w:val="20"/>
                <w:szCs w:val="20"/>
              </w:rPr>
              <w:t xml:space="preserve">. </w:t>
            </w:r>
            <w:r w:rsidR="005F1ED8" w:rsidRPr="003B7455">
              <w:rPr>
                <w:rFonts w:eastAsia="Calibri" w:cs="Times New Roman"/>
                <w:i/>
                <w:sz w:val="20"/>
                <w:szCs w:val="20"/>
              </w:rPr>
              <w:t xml:space="preserve">v. </w:t>
            </w:r>
            <w:r>
              <w:rPr>
                <w:rFonts w:eastAsia="Calibri" w:cs="Times New Roman"/>
                <w:i/>
                <w:sz w:val="20"/>
                <w:szCs w:val="20"/>
              </w:rPr>
              <w:t>Louis Taypotat</w:t>
            </w:r>
            <w:r w:rsidR="005F1ED8" w:rsidRPr="003A74F5">
              <w:rPr>
                <w:rFonts w:eastAsia="Calibri" w:cs="Times New Roman"/>
                <w:i/>
                <w:sz w:val="20"/>
                <w:szCs w:val="20"/>
              </w:rPr>
              <w:t xml:space="preserve"> </w:t>
            </w:r>
            <w:r w:rsidR="005F1ED8" w:rsidRPr="003B7455">
              <w:rPr>
                <w:rFonts w:eastAsia="Calibri" w:cs="Times New Roman"/>
                <w:sz w:val="20"/>
                <w:szCs w:val="20"/>
              </w:rPr>
              <w:t>(</w:t>
            </w:r>
            <w:r>
              <w:rPr>
                <w:rFonts w:eastAsia="Calibri" w:cs="Times New Roman"/>
                <w:sz w:val="20"/>
                <w:szCs w:val="20"/>
              </w:rPr>
              <w:t>F.C</w:t>
            </w:r>
            <w:r w:rsidR="005F1ED8" w:rsidRPr="003B7455">
              <w:rPr>
                <w:rFonts w:eastAsia="Calibri" w:cs="Times New Roman"/>
                <w:sz w:val="20"/>
                <w:szCs w:val="20"/>
              </w:rPr>
              <w:t xml:space="preserve">.) </w:t>
            </w:r>
            <w:r w:rsidR="005F1ED8" w:rsidRPr="00571EC4">
              <w:rPr>
                <w:rFonts w:eastAsia="Calibri" w:cs="Times New Roman"/>
                <w:sz w:val="20"/>
                <w:szCs w:val="20"/>
              </w:rPr>
              <w:t>(Ci</w:t>
            </w:r>
            <w:r>
              <w:rPr>
                <w:rFonts w:eastAsia="Calibri" w:cs="Times New Roman"/>
                <w:sz w:val="20"/>
                <w:szCs w:val="20"/>
              </w:rPr>
              <w:t>v</w:t>
            </w:r>
            <w:r w:rsidR="005F1ED8" w:rsidRPr="00571EC4">
              <w:rPr>
                <w:rFonts w:eastAsia="Calibri" w:cs="Times New Roman"/>
                <w:sz w:val="20"/>
                <w:szCs w:val="20"/>
              </w:rPr>
              <w:t>il) (By Leave) (35</w:t>
            </w:r>
            <w:r>
              <w:rPr>
                <w:rFonts w:eastAsia="Calibri" w:cs="Times New Roman"/>
                <w:sz w:val="20"/>
                <w:szCs w:val="20"/>
              </w:rPr>
              <w:t>518</w:t>
            </w:r>
            <w:r w:rsidR="005F1ED8" w:rsidRPr="00571EC4">
              <w:rPr>
                <w:rFonts w:eastAsia="Calibri" w:cs="Times New Roman"/>
                <w:sz w:val="20"/>
                <w:szCs w:val="20"/>
              </w:rPr>
              <w:t>)</w:t>
            </w:r>
          </w:p>
        </w:tc>
      </w:tr>
      <w:tr w:rsidR="005F1ED8" w:rsidRPr="00216AEB" w:rsidTr="00924935">
        <w:trPr>
          <w:cantSplit/>
          <w:trHeight w:hRule="exact" w:val="360"/>
        </w:trPr>
        <w:tc>
          <w:tcPr>
            <w:tcW w:w="2398" w:type="dxa"/>
          </w:tcPr>
          <w:p w:rsidR="005F1ED8" w:rsidRPr="006A6E04" w:rsidRDefault="005F1ED8" w:rsidP="00EA5E64">
            <w:pPr>
              <w:rPr>
                <w:rFonts w:eastAsia="Calibri" w:cs="Times New Roman"/>
                <w:sz w:val="20"/>
                <w:szCs w:val="20"/>
              </w:rPr>
            </w:pPr>
            <w:r w:rsidRPr="006A6E04">
              <w:rPr>
                <w:rFonts w:eastAsia="Calibri" w:cs="Times New Roman"/>
                <w:sz w:val="20"/>
                <w:szCs w:val="20"/>
              </w:rPr>
              <w:t>2014-</w:t>
            </w:r>
            <w:r w:rsidR="00EA5E64" w:rsidRPr="006A6E04">
              <w:rPr>
                <w:rFonts w:eastAsia="Calibri" w:cs="Times New Roman"/>
                <w:sz w:val="20"/>
                <w:szCs w:val="20"/>
              </w:rPr>
              <w:t>1</w:t>
            </w:r>
            <w:r w:rsidRPr="006A6E04">
              <w:rPr>
                <w:rFonts w:eastAsia="Calibri" w:cs="Times New Roman"/>
                <w:sz w:val="20"/>
                <w:szCs w:val="20"/>
              </w:rPr>
              <w:t>0-1</w:t>
            </w:r>
            <w:r w:rsidR="00EA5E64" w:rsidRPr="006A6E04">
              <w:rPr>
                <w:rFonts w:eastAsia="Calibri" w:cs="Times New Roman"/>
                <w:sz w:val="20"/>
                <w:szCs w:val="20"/>
              </w:rPr>
              <w:t>0</w:t>
            </w:r>
          </w:p>
        </w:tc>
        <w:tc>
          <w:tcPr>
            <w:tcW w:w="7178" w:type="dxa"/>
          </w:tcPr>
          <w:p w:rsidR="005F1ED8" w:rsidRPr="003B7455" w:rsidRDefault="00571EC4" w:rsidP="00924935">
            <w:pPr>
              <w:jc w:val="both"/>
              <w:rPr>
                <w:rFonts w:eastAsia="Calibri" w:cs="Times New Roman"/>
                <w:sz w:val="20"/>
                <w:szCs w:val="20"/>
              </w:rPr>
            </w:pPr>
            <w:r>
              <w:rPr>
                <w:rFonts w:eastAsia="Calibri" w:cs="Times New Roman"/>
                <w:i/>
                <w:sz w:val="20"/>
                <w:szCs w:val="20"/>
              </w:rPr>
              <w:t>Sami</w:t>
            </w:r>
            <w:r w:rsidR="005F1ED8" w:rsidRPr="003B7455">
              <w:rPr>
                <w:rFonts w:eastAsia="Calibri" w:cs="Times New Roman"/>
                <w:i/>
                <w:sz w:val="20"/>
                <w:szCs w:val="20"/>
              </w:rPr>
              <w:t xml:space="preserve">r </w:t>
            </w:r>
            <w:r w:rsidR="005F1ED8" w:rsidRPr="0085047E">
              <w:rPr>
                <w:rFonts w:eastAsia="Calibri" w:cs="Times New Roman"/>
                <w:i/>
                <w:sz w:val="20"/>
                <w:szCs w:val="20"/>
              </w:rPr>
              <w:t>M</w:t>
            </w:r>
            <w:r>
              <w:rPr>
                <w:rFonts w:eastAsia="Calibri" w:cs="Times New Roman"/>
                <w:i/>
                <w:sz w:val="20"/>
                <w:szCs w:val="20"/>
              </w:rPr>
              <w:t>oh</w:t>
            </w:r>
            <w:r w:rsidR="005F1ED8" w:rsidRPr="0085047E">
              <w:rPr>
                <w:rFonts w:eastAsia="Calibri" w:cs="Times New Roman"/>
                <w:i/>
                <w:sz w:val="20"/>
                <w:szCs w:val="20"/>
              </w:rPr>
              <w:t>a</w:t>
            </w:r>
            <w:r>
              <w:rPr>
                <w:rFonts w:eastAsia="Calibri" w:cs="Times New Roman"/>
                <w:i/>
                <w:sz w:val="20"/>
                <w:szCs w:val="20"/>
              </w:rPr>
              <w:t>m</w:t>
            </w:r>
            <w:r w:rsidR="005F1ED8" w:rsidRPr="0085047E">
              <w:rPr>
                <w:rFonts w:eastAsia="Calibri" w:cs="Times New Roman"/>
                <w:i/>
                <w:sz w:val="20"/>
                <w:szCs w:val="20"/>
              </w:rPr>
              <w:t>e</w:t>
            </w:r>
            <w:r>
              <w:rPr>
                <w:rFonts w:eastAsia="Calibri" w:cs="Times New Roman"/>
                <w:i/>
                <w:sz w:val="20"/>
                <w:szCs w:val="20"/>
              </w:rPr>
              <w:t>d</w:t>
            </w:r>
            <w:r w:rsidR="005F1ED8" w:rsidRPr="0085047E">
              <w:rPr>
                <w:rFonts w:eastAsia="Calibri" w:cs="Times New Roman"/>
                <w:sz w:val="20"/>
                <w:szCs w:val="20"/>
              </w:rPr>
              <w:t xml:space="preserve"> </w:t>
            </w:r>
            <w:r w:rsidR="005F1ED8" w:rsidRPr="003B7455">
              <w:rPr>
                <w:rFonts w:eastAsia="Calibri" w:cs="Times New Roman"/>
                <w:i/>
                <w:sz w:val="20"/>
                <w:szCs w:val="20"/>
              </w:rPr>
              <w:t>v.</w:t>
            </w:r>
            <w:r w:rsidR="005F1ED8">
              <w:rPr>
                <w:rFonts w:eastAsia="Calibri" w:cs="Times New Roman"/>
                <w:i/>
                <w:sz w:val="20"/>
                <w:szCs w:val="20"/>
              </w:rPr>
              <w:t xml:space="preserve"> </w:t>
            </w:r>
            <w:r w:rsidRPr="003B7455">
              <w:rPr>
                <w:rFonts w:eastAsia="Calibri" w:cs="Times New Roman"/>
                <w:i/>
                <w:sz w:val="20"/>
                <w:szCs w:val="20"/>
              </w:rPr>
              <w:t xml:space="preserve">Her </w:t>
            </w:r>
            <w:r w:rsidRPr="0085047E">
              <w:rPr>
                <w:rFonts w:eastAsia="Calibri" w:cs="Times New Roman"/>
                <w:i/>
                <w:sz w:val="20"/>
                <w:szCs w:val="20"/>
              </w:rPr>
              <w:t>Majesty the Queen</w:t>
            </w:r>
            <w:r w:rsidR="005F1ED8" w:rsidRPr="003B7455">
              <w:rPr>
                <w:rFonts w:eastAsia="Calibri" w:cs="Times New Roman"/>
                <w:i/>
                <w:sz w:val="20"/>
                <w:szCs w:val="20"/>
              </w:rPr>
              <w:t xml:space="preserve"> </w:t>
            </w:r>
            <w:r w:rsidR="005F1ED8" w:rsidRPr="0085047E">
              <w:rPr>
                <w:rFonts w:eastAsia="Calibri" w:cs="Times New Roman"/>
                <w:sz w:val="20"/>
                <w:szCs w:val="20"/>
              </w:rPr>
              <w:t>(</w:t>
            </w:r>
            <w:r>
              <w:rPr>
                <w:rFonts w:eastAsia="Calibri" w:cs="Times New Roman"/>
                <w:sz w:val="20"/>
                <w:szCs w:val="20"/>
              </w:rPr>
              <w:t>Alt</w:t>
            </w:r>
            <w:r w:rsidR="005F1ED8" w:rsidRPr="0085047E">
              <w:rPr>
                <w:rFonts w:eastAsia="Calibri" w:cs="Times New Roman"/>
                <w:sz w:val="20"/>
                <w:szCs w:val="20"/>
              </w:rPr>
              <w:t xml:space="preserve">a.) </w:t>
            </w:r>
            <w:r w:rsidR="005F1ED8" w:rsidRPr="003B7455">
              <w:rPr>
                <w:rFonts w:eastAsia="Calibri" w:cs="Times New Roman"/>
                <w:sz w:val="20"/>
                <w:szCs w:val="20"/>
              </w:rPr>
              <w:t>(Criminal) (</w:t>
            </w:r>
            <w:r w:rsidR="00924935">
              <w:rPr>
                <w:rFonts w:eastAsia="Calibri" w:cs="Times New Roman"/>
                <w:sz w:val="20"/>
                <w:szCs w:val="20"/>
              </w:rPr>
              <w:t>As of Right</w:t>
            </w:r>
            <w:r w:rsidR="005F1ED8">
              <w:rPr>
                <w:rFonts w:eastAsia="Calibri" w:cs="Times New Roman"/>
                <w:sz w:val="20"/>
                <w:szCs w:val="20"/>
              </w:rPr>
              <w:t>)</w:t>
            </w:r>
            <w:r w:rsidR="005F1ED8" w:rsidRPr="003B7455">
              <w:rPr>
                <w:rFonts w:eastAsia="Calibri" w:cs="Times New Roman"/>
                <w:sz w:val="20"/>
                <w:szCs w:val="20"/>
              </w:rPr>
              <w:t xml:space="preserve"> (3</w:t>
            </w:r>
            <w:r w:rsidR="005F1ED8">
              <w:rPr>
                <w:rFonts w:eastAsia="Calibri" w:cs="Times New Roman"/>
                <w:sz w:val="20"/>
                <w:szCs w:val="20"/>
              </w:rPr>
              <w:t>56</w:t>
            </w:r>
            <w:r w:rsidR="00924935">
              <w:rPr>
                <w:rFonts w:eastAsia="Calibri" w:cs="Times New Roman"/>
                <w:sz w:val="20"/>
                <w:szCs w:val="20"/>
              </w:rPr>
              <w:t>4</w:t>
            </w:r>
            <w:r w:rsidR="005F1ED8" w:rsidRPr="003B7455">
              <w:rPr>
                <w:rFonts w:eastAsia="Calibri" w:cs="Times New Roman"/>
                <w:sz w:val="20"/>
                <w:szCs w:val="20"/>
              </w:rPr>
              <w:t>4)</w:t>
            </w:r>
          </w:p>
        </w:tc>
      </w:tr>
      <w:tr w:rsidR="00924935" w:rsidRPr="00924935" w:rsidTr="00924935">
        <w:trPr>
          <w:cantSplit/>
          <w:trHeight w:hRule="exact" w:val="821"/>
        </w:trPr>
        <w:tc>
          <w:tcPr>
            <w:tcW w:w="2398" w:type="dxa"/>
          </w:tcPr>
          <w:p w:rsidR="00924935" w:rsidRPr="003A74F5" w:rsidRDefault="00924935"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10</w:t>
            </w:r>
            <w:r w:rsidRPr="003A74F5">
              <w:rPr>
                <w:rFonts w:eastAsia="Calibri" w:cs="Times New Roman"/>
                <w:sz w:val="20"/>
                <w:szCs w:val="20"/>
              </w:rPr>
              <w:t>-</w:t>
            </w:r>
            <w:r>
              <w:rPr>
                <w:rFonts w:eastAsia="Calibri" w:cs="Times New Roman"/>
                <w:sz w:val="20"/>
                <w:szCs w:val="20"/>
              </w:rPr>
              <w:t>10</w:t>
            </w:r>
          </w:p>
        </w:tc>
        <w:tc>
          <w:tcPr>
            <w:tcW w:w="7178" w:type="dxa"/>
          </w:tcPr>
          <w:p w:rsidR="00924935" w:rsidRDefault="00924935" w:rsidP="00924935">
            <w:pPr>
              <w:jc w:val="both"/>
              <w:rPr>
                <w:rFonts w:eastAsia="Calibri" w:cs="Times New Roman"/>
                <w:sz w:val="20"/>
                <w:szCs w:val="20"/>
                <w:lang w:val="fr-CA"/>
              </w:rPr>
            </w:pPr>
            <w:r w:rsidRPr="006A6E04">
              <w:rPr>
                <w:rFonts w:eastAsia="Calibri" w:cs="Times New Roman"/>
                <w:i/>
                <w:sz w:val="20"/>
                <w:szCs w:val="20"/>
                <w:lang w:val="fr-CA"/>
              </w:rPr>
              <w:t xml:space="preserve">Sa Majesté la Reine c. </w:t>
            </w:r>
            <w:r>
              <w:rPr>
                <w:rFonts w:eastAsia="Calibri" w:cs="Times New Roman"/>
                <w:i/>
                <w:sz w:val="20"/>
                <w:szCs w:val="20"/>
                <w:lang w:val="fr-CA"/>
              </w:rPr>
              <w:t>Dan</w:t>
            </w:r>
            <w:r w:rsidRPr="00A708C5">
              <w:rPr>
                <w:rFonts w:eastAsia="Calibri" w:cs="Times New Roman"/>
                <w:i/>
                <w:sz w:val="20"/>
                <w:szCs w:val="20"/>
                <w:lang w:val="fr-CA"/>
              </w:rPr>
              <w:t>i</w:t>
            </w:r>
            <w:r>
              <w:rPr>
                <w:rFonts w:eastAsia="Calibri" w:cs="Times New Roman"/>
                <w:i/>
                <w:sz w:val="20"/>
                <w:szCs w:val="20"/>
                <w:lang w:val="fr-CA"/>
              </w:rPr>
              <w:t>el J</w:t>
            </w:r>
            <w:r w:rsidRPr="00A708C5">
              <w:rPr>
                <w:rFonts w:eastAsia="Calibri" w:cs="Times New Roman"/>
                <w:i/>
                <w:sz w:val="20"/>
                <w:szCs w:val="20"/>
                <w:lang w:val="fr-CA"/>
              </w:rPr>
              <w:t>o</w:t>
            </w:r>
            <w:r>
              <w:rPr>
                <w:rFonts w:eastAsia="Calibri" w:cs="Times New Roman"/>
                <w:i/>
                <w:sz w:val="20"/>
                <w:szCs w:val="20"/>
                <w:lang w:val="fr-CA"/>
              </w:rPr>
              <w:t>liv</w:t>
            </w:r>
            <w:r w:rsidRPr="00A708C5">
              <w:rPr>
                <w:rFonts w:eastAsia="Calibri" w:cs="Times New Roman"/>
                <w:i/>
                <w:sz w:val="20"/>
                <w:szCs w:val="20"/>
                <w:lang w:val="fr-CA"/>
              </w:rPr>
              <w:t xml:space="preserve">et </w:t>
            </w:r>
            <w:r w:rsidRPr="00A708C5">
              <w:rPr>
                <w:rFonts w:eastAsia="Calibri" w:cs="Times New Roman"/>
                <w:sz w:val="20"/>
                <w:szCs w:val="20"/>
                <w:lang w:val="fr-CA"/>
              </w:rPr>
              <w:t>(Qc) (C</w:t>
            </w:r>
            <w:r>
              <w:rPr>
                <w:rFonts w:eastAsia="Calibri" w:cs="Times New Roman"/>
                <w:sz w:val="20"/>
                <w:szCs w:val="20"/>
                <w:lang w:val="fr-CA"/>
              </w:rPr>
              <w:t>r</w:t>
            </w:r>
            <w:r w:rsidRPr="00A708C5">
              <w:rPr>
                <w:rFonts w:eastAsia="Calibri" w:cs="Times New Roman"/>
                <w:sz w:val="20"/>
                <w:szCs w:val="20"/>
                <w:lang w:val="fr-CA"/>
              </w:rPr>
              <w:t>i</w:t>
            </w:r>
            <w:r>
              <w:rPr>
                <w:rFonts w:eastAsia="Calibri" w:cs="Times New Roman"/>
                <w:sz w:val="20"/>
                <w:szCs w:val="20"/>
                <w:lang w:val="fr-CA"/>
              </w:rPr>
              <w:t>minel</w:t>
            </w:r>
            <w:r w:rsidRPr="00A708C5">
              <w:rPr>
                <w:rFonts w:eastAsia="Calibri" w:cs="Times New Roman"/>
                <w:sz w:val="20"/>
                <w:szCs w:val="20"/>
                <w:lang w:val="fr-CA"/>
              </w:rPr>
              <w:t>le) (</w:t>
            </w:r>
            <w:r>
              <w:rPr>
                <w:rFonts w:eastAsia="Calibri" w:cs="Times New Roman"/>
                <w:sz w:val="20"/>
                <w:szCs w:val="20"/>
                <w:lang w:val="fr-CA"/>
              </w:rPr>
              <w:t>De plein d</w:t>
            </w:r>
            <w:r w:rsidRPr="00A708C5">
              <w:rPr>
                <w:rFonts w:eastAsia="Calibri" w:cs="Times New Roman"/>
                <w:sz w:val="20"/>
                <w:szCs w:val="20"/>
                <w:lang w:val="fr-CA"/>
              </w:rPr>
              <w:t>ro</w:t>
            </w:r>
            <w:r>
              <w:rPr>
                <w:rFonts w:eastAsia="Calibri" w:cs="Times New Roman"/>
                <w:sz w:val="20"/>
                <w:szCs w:val="20"/>
                <w:lang w:val="fr-CA"/>
              </w:rPr>
              <w:t>it</w:t>
            </w:r>
            <w:r w:rsidRPr="00A708C5">
              <w:rPr>
                <w:rFonts w:eastAsia="Calibri" w:cs="Times New Roman"/>
                <w:sz w:val="20"/>
                <w:szCs w:val="20"/>
                <w:lang w:val="fr-CA"/>
              </w:rPr>
              <w:t>) (2</w:t>
            </w:r>
            <w:r>
              <w:rPr>
                <w:rFonts w:eastAsia="Calibri" w:cs="Times New Roman"/>
                <w:sz w:val="20"/>
                <w:szCs w:val="20"/>
                <w:lang w:val="fr-CA"/>
              </w:rPr>
              <w:t>66</w:t>
            </w:r>
            <w:r w:rsidR="006A6E04">
              <w:rPr>
                <w:rFonts w:eastAsia="Calibri" w:cs="Times New Roman"/>
                <w:sz w:val="20"/>
                <w:szCs w:val="20"/>
                <w:lang w:val="fr-CA"/>
              </w:rPr>
              <w:t>4</w:t>
            </w:r>
            <w:r>
              <w:rPr>
                <w:rFonts w:eastAsia="Calibri" w:cs="Times New Roman"/>
                <w:sz w:val="20"/>
                <w:szCs w:val="20"/>
                <w:lang w:val="fr-CA"/>
              </w:rPr>
              <w:t>6</w:t>
            </w:r>
            <w:r w:rsidRPr="00A708C5">
              <w:rPr>
                <w:rFonts w:eastAsia="Calibri" w:cs="Times New Roman"/>
                <w:sz w:val="20"/>
                <w:szCs w:val="20"/>
                <w:lang w:val="fr-CA"/>
              </w:rPr>
              <w:t>)</w:t>
            </w:r>
          </w:p>
          <w:p w:rsidR="00924935" w:rsidRDefault="00924935" w:rsidP="00924935">
            <w:pPr>
              <w:jc w:val="both"/>
              <w:rPr>
                <w:rFonts w:eastAsia="Calibri" w:cs="Times New Roman"/>
                <w:sz w:val="20"/>
                <w:szCs w:val="20"/>
                <w:lang w:val="fr-CA"/>
              </w:rPr>
            </w:pPr>
            <w:r>
              <w:rPr>
                <w:rFonts w:eastAsia="Calibri" w:cs="Times New Roman"/>
                <w:sz w:val="20"/>
                <w:szCs w:val="20"/>
                <w:lang w:val="fr-CA"/>
              </w:rPr>
              <w:t xml:space="preserve">(Oral hearing on </w:t>
            </w:r>
            <w:r w:rsidR="005A493E">
              <w:rPr>
                <w:rFonts w:eastAsia="Calibri" w:cs="Times New Roman"/>
                <w:sz w:val="20"/>
                <w:szCs w:val="20"/>
                <w:lang w:val="fr-CA"/>
              </w:rPr>
              <w:t>mo</w:t>
            </w:r>
            <w:r>
              <w:rPr>
                <w:rFonts w:eastAsia="Calibri" w:cs="Times New Roman"/>
                <w:sz w:val="20"/>
                <w:szCs w:val="20"/>
                <w:lang w:val="fr-CA"/>
              </w:rPr>
              <w:t>tion</w:t>
            </w:r>
            <w:r w:rsidR="005A493E">
              <w:rPr>
                <w:rFonts w:eastAsia="Calibri" w:cs="Times New Roman"/>
                <w:sz w:val="20"/>
                <w:szCs w:val="20"/>
                <w:lang w:val="fr-CA"/>
              </w:rPr>
              <w:t>s</w:t>
            </w:r>
            <w:r>
              <w:rPr>
                <w:rFonts w:eastAsia="Calibri" w:cs="Times New Roman"/>
                <w:sz w:val="20"/>
                <w:szCs w:val="20"/>
                <w:lang w:val="fr-CA"/>
              </w:rPr>
              <w:t xml:space="preserve"> / Audition </w:t>
            </w:r>
            <w:r w:rsidR="005A493E">
              <w:rPr>
                <w:rFonts w:eastAsia="Calibri" w:cs="Times New Roman"/>
                <w:sz w:val="20"/>
                <w:szCs w:val="20"/>
                <w:lang w:val="fr-CA"/>
              </w:rPr>
              <w:t>or</w:t>
            </w:r>
            <w:r>
              <w:rPr>
                <w:rFonts w:eastAsia="Calibri" w:cs="Times New Roman"/>
                <w:sz w:val="20"/>
                <w:szCs w:val="20"/>
                <w:lang w:val="fr-CA"/>
              </w:rPr>
              <w:t>a</w:t>
            </w:r>
            <w:r w:rsidR="005A493E">
              <w:rPr>
                <w:rFonts w:eastAsia="Calibri" w:cs="Times New Roman"/>
                <w:sz w:val="20"/>
                <w:szCs w:val="20"/>
                <w:lang w:val="fr-CA"/>
              </w:rPr>
              <w:t>l</w:t>
            </w:r>
            <w:r>
              <w:rPr>
                <w:rFonts w:eastAsia="Calibri" w:cs="Times New Roman"/>
                <w:sz w:val="20"/>
                <w:szCs w:val="20"/>
                <w:lang w:val="fr-CA"/>
              </w:rPr>
              <w:t>e</w:t>
            </w:r>
            <w:r w:rsidR="005A493E">
              <w:rPr>
                <w:rFonts w:eastAsia="Calibri" w:cs="Times New Roman"/>
                <w:sz w:val="20"/>
                <w:szCs w:val="20"/>
                <w:lang w:val="fr-CA"/>
              </w:rPr>
              <w:t xml:space="preserve"> s</w:t>
            </w:r>
            <w:r>
              <w:rPr>
                <w:rFonts w:eastAsia="Calibri" w:cs="Times New Roman"/>
                <w:sz w:val="20"/>
                <w:szCs w:val="20"/>
                <w:lang w:val="fr-CA"/>
              </w:rPr>
              <w:t>ur</w:t>
            </w:r>
            <w:r w:rsidR="005A493E">
              <w:rPr>
                <w:rFonts w:eastAsia="Calibri" w:cs="Times New Roman"/>
                <w:sz w:val="20"/>
                <w:szCs w:val="20"/>
                <w:lang w:val="fr-CA"/>
              </w:rPr>
              <w:t xml:space="preserve"> requêt</w:t>
            </w:r>
            <w:r>
              <w:rPr>
                <w:rFonts w:eastAsia="Calibri" w:cs="Times New Roman"/>
                <w:sz w:val="20"/>
                <w:szCs w:val="20"/>
                <w:lang w:val="fr-CA"/>
              </w:rPr>
              <w:t>e</w:t>
            </w:r>
            <w:r w:rsidR="005A493E">
              <w:rPr>
                <w:rFonts w:eastAsia="Calibri" w:cs="Times New Roman"/>
                <w:sz w:val="20"/>
                <w:szCs w:val="20"/>
                <w:lang w:val="fr-CA"/>
              </w:rPr>
              <w:t>s</w:t>
            </w:r>
            <w:r>
              <w:rPr>
                <w:rFonts w:eastAsia="Calibri" w:cs="Times New Roman"/>
                <w:sz w:val="20"/>
                <w:szCs w:val="20"/>
                <w:lang w:val="fr-CA"/>
              </w:rPr>
              <w:t>)</w:t>
            </w:r>
          </w:p>
          <w:p w:rsidR="00924935" w:rsidRPr="00924935" w:rsidRDefault="00924935" w:rsidP="00924935">
            <w:pPr>
              <w:jc w:val="both"/>
              <w:rPr>
                <w:rFonts w:eastAsia="Calibri" w:cs="Times New Roman"/>
                <w:i/>
                <w:sz w:val="20"/>
                <w:szCs w:val="20"/>
              </w:rPr>
            </w:pPr>
            <w:r w:rsidRPr="00924935">
              <w:rPr>
                <w:rFonts w:eastAsia="Calibri" w:cs="Times New Roman"/>
                <w:sz w:val="20"/>
                <w:szCs w:val="20"/>
              </w:rPr>
              <w:t>(Start time: 2:00 p.m. / Audience debutant à 14h)</w:t>
            </w:r>
          </w:p>
        </w:tc>
      </w:tr>
      <w:tr w:rsidR="00924935" w:rsidRPr="00225EDC" w:rsidTr="005F1ED8">
        <w:trPr>
          <w:cantSplit/>
          <w:trHeight w:hRule="exact" w:val="648"/>
        </w:trPr>
        <w:tc>
          <w:tcPr>
            <w:tcW w:w="2398" w:type="dxa"/>
          </w:tcPr>
          <w:p w:rsidR="00924935" w:rsidRPr="003A74F5" w:rsidRDefault="00924935"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10-14</w:t>
            </w:r>
          </w:p>
        </w:tc>
        <w:tc>
          <w:tcPr>
            <w:tcW w:w="7178" w:type="dxa"/>
          </w:tcPr>
          <w:p w:rsidR="00924935" w:rsidRPr="00A708C5" w:rsidRDefault="00924935" w:rsidP="00924935">
            <w:pPr>
              <w:jc w:val="both"/>
              <w:rPr>
                <w:rFonts w:eastAsia="Calibri" w:cs="Times New Roman"/>
                <w:i/>
                <w:sz w:val="20"/>
                <w:szCs w:val="20"/>
                <w:lang w:val="fr-CA"/>
              </w:rPr>
            </w:pPr>
            <w:r>
              <w:rPr>
                <w:rFonts w:eastAsia="Calibri" w:cs="Times New Roman"/>
                <w:i/>
                <w:sz w:val="20"/>
                <w:szCs w:val="20"/>
                <w:lang w:val="fr-CA"/>
              </w:rPr>
              <w:t>M</w:t>
            </w:r>
            <w:r w:rsidRPr="00A708C5">
              <w:rPr>
                <w:rFonts w:eastAsia="Calibri" w:cs="Times New Roman"/>
                <w:i/>
                <w:sz w:val="20"/>
                <w:szCs w:val="20"/>
                <w:lang w:val="fr-CA"/>
              </w:rPr>
              <w:t>o</w:t>
            </w:r>
            <w:r>
              <w:rPr>
                <w:rFonts w:eastAsia="Calibri" w:cs="Times New Roman"/>
                <w:i/>
                <w:sz w:val="20"/>
                <w:szCs w:val="20"/>
                <w:lang w:val="fr-CA"/>
              </w:rPr>
              <w:t>uvement laïque québécois et autre</w:t>
            </w:r>
            <w:r w:rsidRPr="00A708C5">
              <w:rPr>
                <w:rFonts w:eastAsia="Calibri" w:cs="Times New Roman"/>
                <w:i/>
                <w:sz w:val="20"/>
                <w:szCs w:val="20"/>
                <w:lang w:val="fr-CA"/>
              </w:rPr>
              <w:t xml:space="preserve"> c. </w:t>
            </w:r>
            <w:r>
              <w:rPr>
                <w:rFonts w:eastAsia="Calibri" w:cs="Times New Roman"/>
                <w:i/>
                <w:sz w:val="20"/>
                <w:szCs w:val="20"/>
                <w:lang w:val="fr-CA"/>
              </w:rPr>
              <w:t>Ville de Saguenay et a</w:t>
            </w:r>
            <w:r w:rsidRPr="00A708C5">
              <w:rPr>
                <w:rFonts w:eastAsia="Calibri" w:cs="Times New Roman"/>
                <w:i/>
                <w:sz w:val="20"/>
                <w:szCs w:val="20"/>
                <w:lang w:val="fr-CA"/>
              </w:rPr>
              <w:t xml:space="preserve">utre </w:t>
            </w:r>
            <w:r w:rsidRPr="00A708C5">
              <w:rPr>
                <w:rFonts w:eastAsia="Calibri" w:cs="Times New Roman"/>
                <w:sz w:val="20"/>
                <w:szCs w:val="20"/>
                <w:lang w:val="fr-CA"/>
              </w:rPr>
              <w:t>(Qc) (Civile) (Autorisation) (35</w:t>
            </w:r>
            <w:r>
              <w:rPr>
                <w:rFonts w:eastAsia="Calibri" w:cs="Times New Roman"/>
                <w:sz w:val="20"/>
                <w:szCs w:val="20"/>
                <w:lang w:val="fr-CA"/>
              </w:rPr>
              <w:t>496</w:t>
            </w:r>
            <w:r w:rsidRPr="00A708C5">
              <w:rPr>
                <w:rFonts w:eastAsia="Calibri" w:cs="Times New Roman"/>
                <w:sz w:val="20"/>
                <w:szCs w:val="20"/>
                <w:lang w:val="fr-CA"/>
              </w:rPr>
              <w:t>)</w:t>
            </w:r>
          </w:p>
        </w:tc>
      </w:tr>
      <w:tr w:rsidR="005F1ED8" w:rsidRPr="00924935" w:rsidTr="007E0051">
        <w:trPr>
          <w:cantSplit/>
          <w:trHeight w:hRule="exact" w:val="821"/>
        </w:trPr>
        <w:tc>
          <w:tcPr>
            <w:tcW w:w="2398" w:type="dxa"/>
          </w:tcPr>
          <w:p w:rsidR="005F1ED8" w:rsidRPr="00924935" w:rsidRDefault="005F1ED8" w:rsidP="00EA5E64">
            <w:pPr>
              <w:rPr>
                <w:rFonts w:eastAsia="Calibri" w:cs="Times New Roman"/>
                <w:sz w:val="20"/>
                <w:szCs w:val="20"/>
                <w:lang w:val="fr-CA"/>
              </w:rPr>
            </w:pPr>
            <w:r w:rsidRPr="00924935">
              <w:rPr>
                <w:rFonts w:eastAsia="Calibri" w:cs="Times New Roman"/>
                <w:sz w:val="20"/>
                <w:szCs w:val="20"/>
                <w:lang w:val="fr-CA"/>
              </w:rPr>
              <w:t>2014-</w:t>
            </w:r>
            <w:r w:rsidR="00EA5E64" w:rsidRPr="00924935">
              <w:rPr>
                <w:rFonts w:eastAsia="Calibri" w:cs="Times New Roman"/>
                <w:sz w:val="20"/>
                <w:szCs w:val="20"/>
                <w:lang w:val="fr-CA"/>
              </w:rPr>
              <w:t>1</w:t>
            </w:r>
            <w:r w:rsidRPr="00924935">
              <w:rPr>
                <w:rFonts w:eastAsia="Calibri" w:cs="Times New Roman"/>
                <w:sz w:val="20"/>
                <w:szCs w:val="20"/>
                <w:lang w:val="fr-CA"/>
              </w:rPr>
              <w:t>0-</w:t>
            </w:r>
            <w:r w:rsidR="00EA5E64" w:rsidRPr="00924935">
              <w:rPr>
                <w:rFonts w:eastAsia="Calibri" w:cs="Times New Roman"/>
                <w:sz w:val="20"/>
                <w:szCs w:val="20"/>
                <w:lang w:val="fr-CA"/>
              </w:rPr>
              <w:t>15</w:t>
            </w:r>
          </w:p>
        </w:tc>
        <w:tc>
          <w:tcPr>
            <w:tcW w:w="7178" w:type="dxa"/>
          </w:tcPr>
          <w:p w:rsidR="005F1ED8" w:rsidRDefault="00924935" w:rsidP="00924935">
            <w:pPr>
              <w:jc w:val="both"/>
              <w:rPr>
                <w:rFonts w:eastAsia="Calibri" w:cs="Times New Roman"/>
                <w:sz w:val="20"/>
                <w:szCs w:val="20"/>
              </w:rPr>
            </w:pPr>
            <w:r w:rsidRPr="00924935">
              <w:rPr>
                <w:rFonts w:eastAsia="Calibri" w:cs="Times New Roman"/>
                <w:i/>
                <w:sz w:val="20"/>
                <w:szCs w:val="20"/>
              </w:rPr>
              <w:t>Lee C</w:t>
            </w:r>
            <w:r w:rsidR="005F1ED8" w:rsidRPr="00924935">
              <w:rPr>
                <w:rFonts w:eastAsia="Calibri" w:cs="Times New Roman"/>
                <w:i/>
                <w:sz w:val="20"/>
                <w:szCs w:val="20"/>
              </w:rPr>
              <w:t>a</w:t>
            </w:r>
            <w:r w:rsidRPr="00924935">
              <w:rPr>
                <w:rFonts w:eastAsia="Calibri" w:cs="Times New Roman"/>
                <w:i/>
                <w:sz w:val="20"/>
                <w:szCs w:val="20"/>
              </w:rPr>
              <w:t xml:space="preserve">rter et </w:t>
            </w:r>
            <w:r w:rsidR="005F1ED8" w:rsidRPr="00924935">
              <w:rPr>
                <w:rFonts w:eastAsia="Calibri" w:cs="Times New Roman"/>
                <w:i/>
                <w:sz w:val="20"/>
                <w:szCs w:val="20"/>
              </w:rPr>
              <w:t>a</w:t>
            </w:r>
            <w:r w:rsidRPr="00924935">
              <w:rPr>
                <w:rFonts w:eastAsia="Calibri" w:cs="Times New Roman"/>
                <w:i/>
                <w:sz w:val="20"/>
                <w:szCs w:val="20"/>
              </w:rPr>
              <w:t>l.</w:t>
            </w:r>
            <w:r w:rsidR="005F1ED8" w:rsidRPr="00924935">
              <w:rPr>
                <w:rFonts w:eastAsia="Calibri" w:cs="Times New Roman"/>
                <w:i/>
                <w:sz w:val="20"/>
                <w:szCs w:val="20"/>
              </w:rPr>
              <w:t xml:space="preserve"> v. </w:t>
            </w:r>
            <w:r>
              <w:rPr>
                <w:rFonts w:eastAsia="Calibri" w:cs="Times New Roman"/>
                <w:i/>
                <w:sz w:val="20"/>
                <w:szCs w:val="20"/>
              </w:rPr>
              <w:t>Atto</w:t>
            </w:r>
            <w:r w:rsidR="005F1ED8" w:rsidRPr="00924935">
              <w:rPr>
                <w:rFonts w:eastAsia="Calibri" w:cs="Times New Roman"/>
                <w:i/>
                <w:sz w:val="20"/>
                <w:szCs w:val="20"/>
              </w:rPr>
              <w:t>r</w:t>
            </w:r>
            <w:r>
              <w:rPr>
                <w:rFonts w:eastAsia="Calibri" w:cs="Times New Roman"/>
                <w:i/>
                <w:sz w:val="20"/>
                <w:szCs w:val="20"/>
              </w:rPr>
              <w:t>n</w:t>
            </w:r>
            <w:r w:rsidR="005F1ED8" w:rsidRPr="00924935">
              <w:rPr>
                <w:rFonts w:eastAsia="Calibri" w:cs="Times New Roman"/>
                <w:i/>
                <w:sz w:val="20"/>
                <w:szCs w:val="20"/>
              </w:rPr>
              <w:t xml:space="preserve">ey </w:t>
            </w:r>
            <w:r>
              <w:rPr>
                <w:rFonts w:eastAsia="Calibri" w:cs="Times New Roman"/>
                <w:i/>
                <w:sz w:val="20"/>
                <w:szCs w:val="20"/>
              </w:rPr>
              <w:t xml:space="preserve">General of Canada </w:t>
            </w:r>
            <w:r w:rsidR="005F1ED8" w:rsidRPr="00924935">
              <w:rPr>
                <w:rFonts w:eastAsia="Calibri" w:cs="Times New Roman"/>
                <w:i/>
                <w:sz w:val="20"/>
                <w:szCs w:val="20"/>
              </w:rPr>
              <w:t>e</w:t>
            </w:r>
            <w:r>
              <w:rPr>
                <w:rFonts w:eastAsia="Calibri" w:cs="Times New Roman"/>
                <w:i/>
                <w:sz w:val="20"/>
                <w:szCs w:val="20"/>
              </w:rPr>
              <w:t>t al.</w:t>
            </w:r>
            <w:r w:rsidR="005F1ED8" w:rsidRPr="00924935">
              <w:rPr>
                <w:rFonts w:eastAsia="Calibri" w:cs="Times New Roman"/>
                <w:i/>
                <w:sz w:val="20"/>
                <w:szCs w:val="20"/>
              </w:rPr>
              <w:t xml:space="preserve"> </w:t>
            </w:r>
            <w:r w:rsidR="005F1ED8" w:rsidRPr="00924935">
              <w:rPr>
                <w:rFonts w:eastAsia="Calibri" w:cs="Times New Roman"/>
                <w:sz w:val="20"/>
                <w:szCs w:val="20"/>
              </w:rPr>
              <w:t>(</w:t>
            </w:r>
            <w:r>
              <w:rPr>
                <w:rFonts w:eastAsia="Calibri" w:cs="Times New Roman"/>
                <w:sz w:val="20"/>
                <w:szCs w:val="20"/>
              </w:rPr>
              <w:t>B.C.</w:t>
            </w:r>
            <w:r w:rsidR="005F1ED8" w:rsidRPr="00924935">
              <w:rPr>
                <w:rFonts w:eastAsia="Calibri" w:cs="Times New Roman"/>
                <w:sz w:val="20"/>
                <w:szCs w:val="20"/>
              </w:rPr>
              <w:t>) (Ci</w:t>
            </w:r>
            <w:r w:rsidRPr="00924935">
              <w:rPr>
                <w:rFonts w:eastAsia="Calibri" w:cs="Times New Roman"/>
                <w:sz w:val="20"/>
                <w:szCs w:val="20"/>
              </w:rPr>
              <w:t>v</w:t>
            </w:r>
            <w:r w:rsidR="005F1ED8" w:rsidRPr="00924935">
              <w:rPr>
                <w:rFonts w:eastAsia="Calibri" w:cs="Times New Roman"/>
                <w:sz w:val="20"/>
                <w:szCs w:val="20"/>
              </w:rPr>
              <w:t>il) (</w:t>
            </w:r>
            <w:r w:rsidRPr="00924935">
              <w:rPr>
                <w:rFonts w:eastAsia="Calibri" w:cs="Times New Roman"/>
                <w:sz w:val="20"/>
                <w:szCs w:val="20"/>
              </w:rPr>
              <w:t>By Leave</w:t>
            </w:r>
            <w:r w:rsidR="005F1ED8" w:rsidRPr="00924935">
              <w:rPr>
                <w:rFonts w:eastAsia="Calibri" w:cs="Times New Roman"/>
                <w:sz w:val="20"/>
                <w:szCs w:val="20"/>
              </w:rPr>
              <w:t>) (35</w:t>
            </w:r>
            <w:r>
              <w:rPr>
                <w:rFonts w:eastAsia="Calibri" w:cs="Times New Roman"/>
                <w:sz w:val="20"/>
                <w:szCs w:val="20"/>
              </w:rPr>
              <w:t>591</w:t>
            </w:r>
            <w:r w:rsidR="005F1ED8" w:rsidRPr="00924935">
              <w:rPr>
                <w:rFonts w:eastAsia="Calibri" w:cs="Times New Roman"/>
                <w:sz w:val="20"/>
                <w:szCs w:val="20"/>
              </w:rPr>
              <w:t>)</w:t>
            </w:r>
          </w:p>
          <w:p w:rsidR="00924935" w:rsidRPr="00924935" w:rsidRDefault="00924935" w:rsidP="00924935">
            <w:pPr>
              <w:jc w:val="both"/>
              <w:rPr>
                <w:rFonts w:eastAsia="Calibri" w:cs="Times New Roman"/>
                <w:i/>
                <w:sz w:val="20"/>
                <w:szCs w:val="20"/>
              </w:rPr>
            </w:pPr>
            <w:r>
              <w:rPr>
                <w:rFonts w:eastAsia="Calibri" w:cs="Times New Roman"/>
                <w:sz w:val="20"/>
                <w:szCs w:val="20"/>
              </w:rPr>
              <w:t>(Early start time: 9:00 a.m. / Horaire modifié : audience debutant à 9h</w:t>
            </w:r>
            <w:r w:rsidR="00FE4C0A">
              <w:rPr>
                <w:rFonts w:eastAsia="Calibri" w:cs="Times New Roman"/>
                <w:sz w:val="20"/>
                <w:szCs w:val="20"/>
              </w:rPr>
              <w:t>)</w:t>
            </w:r>
          </w:p>
        </w:tc>
      </w:tr>
      <w:tr w:rsidR="007E0051" w:rsidRPr="007E0051" w:rsidTr="007E0051">
        <w:trPr>
          <w:cantSplit/>
          <w:trHeight w:hRule="exact" w:val="360"/>
        </w:trPr>
        <w:tc>
          <w:tcPr>
            <w:tcW w:w="2398" w:type="dxa"/>
          </w:tcPr>
          <w:p w:rsidR="007E0051" w:rsidRPr="00924935" w:rsidRDefault="007E0051" w:rsidP="00EA5E64">
            <w:pPr>
              <w:rPr>
                <w:rFonts w:eastAsia="Calibri" w:cs="Times New Roman"/>
                <w:sz w:val="20"/>
                <w:szCs w:val="20"/>
                <w:lang w:val="fr-CA"/>
              </w:rPr>
            </w:pPr>
            <w:r w:rsidRPr="00924935">
              <w:rPr>
                <w:rFonts w:eastAsia="Calibri" w:cs="Times New Roman"/>
                <w:sz w:val="20"/>
                <w:szCs w:val="20"/>
                <w:lang w:val="fr-CA"/>
              </w:rPr>
              <w:t>2014-10-16</w:t>
            </w:r>
          </w:p>
        </w:tc>
        <w:tc>
          <w:tcPr>
            <w:tcW w:w="7178" w:type="dxa"/>
          </w:tcPr>
          <w:p w:rsidR="007E0051" w:rsidRPr="003B7455" w:rsidRDefault="007E0051" w:rsidP="007E0051">
            <w:pPr>
              <w:jc w:val="both"/>
              <w:rPr>
                <w:rFonts w:eastAsia="Calibri" w:cs="Times New Roman"/>
                <w:sz w:val="20"/>
                <w:szCs w:val="20"/>
              </w:rPr>
            </w:pPr>
            <w:r>
              <w:rPr>
                <w:rFonts w:eastAsia="Calibri" w:cs="Times New Roman"/>
                <w:i/>
                <w:sz w:val="20"/>
                <w:szCs w:val="20"/>
              </w:rPr>
              <w:t>He</w:t>
            </w:r>
            <w:r w:rsidRPr="003B7455">
              <w:rPr>
                <w:rFonts w:eastAsia="Calibri" w:cs="Times New Roman"/>
                <w:i/>
                <w:sz w:val="20"/>
                <w:szCs w:val="20"/>
              </w:rPr>
              <w:t xml:space="preserve">r </w:t>
            </w:r>
            <w:r w:rsidRPr="0085047E">
              <w:rPr>
                <w:rFonts w:eastAsia="Calibri" w:cs="Times New Roman"/>
                <w:i/>
                <w:sz w:val="20"/>
                <w:szCs w:val="20"/>
              </w:rPr>
              <w:t>Ma</w:t>
            </w:r>
            <w:r>
              <w:rPr>
                <w:rFonts w:eastAsia="Calibri" w:cs="Times New Roman"/>
                <w:i/>
                <w:sz w:val="20"/>
                <w:szCs w:val="20"/>
              </w:rPr>
              <w:t>jesty the Queen</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S</w:t>
            </w:r>
            <w:r w:rsidRPr="003B7455">
              <w:rPr>
                <w:rFonts w:eastAsia="Calibri" w:cs="Times New Roman"/>
                <w:i/>
                <w:sz w:val="20"/>
                <w:szCs w:val="20"/>
              </w:rPr>
              <w:t>e</w:t>
            </w:r>
            <w:r>
              <w:rPr>
                <w:rFonts w:eastAsia="Calibri" w:cs="Times New Roman"/>
                <w:i/>
                <w:sz w:val="20"/>
                <w:szCs w:val="20"/>
              </w:rPr>
              <w:t>b</w:t>
            </w:r>
            <w:r w:rsidRPr="0085047E">
              <w:rPr>
                <w:rFonts w:eastAsia="Calibri" w:cs="Times New Roman"/>
                <w:i/>
                <w:sz w:val="20"/>
                <w:szCs w:val="20"/>
              </w:rPr>
              <w:t>ast</w:t>
            </w:r>
            <w:r>
              <w:rPr>
                <w:rFonts w:eastAsia="Calibri" w:cs="Times New Roman"/>
                <w:i/>
                <w:sz w:val="20"/>
                <w:szCs w:val="20"/>
              </w:rPr>
              <w:t>ien Bouchard</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Ont</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As of Right)</w:t>
            </w:r>
            <w:r w:rsidRPr="003B7455">
              <w:rPr>
                <w:rFonts w:eastAsia="Calibri" w:cs="Times New Roman"/>
                <w:sz w:val="20"/>
                <w:szCs w:val="20"/>
              </w:rPr>
              <w:t xml:space="preserve"> (3</w:t>
            </w:r>
            <w:r>
              <w:rPr>
                <w:rFonts w:eastAsia="Calibri" w:cs="Times New Roman"/>
                <w:sz w:val="20"/>
                <w:szCs w:val="20"/>
              </w:rPr>
              <w:t>5690</w:t>
            </w:r>
            <w:r w:rsidRPr="003B7455">
              <w:rPr>
                <w:rFonts w:eastAsia="Calibri" w:cs="Times New Roman"/>
                <w:sz w:val="20"/>
                <w:szCs w:val="20"/>
              </w:rPr>
              <w:t>)</w:t>
            </w:r>
          </w:p>
        </w:tc>
      </w:tr>
      <w:tr w:rsidR="007E0051" w:rsidRPr="007E0051" w:rsidTr="007E0051">
        <w:trPr>
          <w:cantSplit/>
          <w:trHeight w:hRule="exact" w:val="360"/>
        </w:trPr>
        <w:tc>
          <w:tcPr>
            <w:tcW w:w="2398" w:type="dxa"/>
          </w:tcPr>
          <w:p w:rsidR="007E0051" w:rsidRDefault="007E0051"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10-16</w:t>
            </w:r>
          </w:p>
        </w:tc>
        <w:tc>
          <w:tcPr>
            <w:tcW w:w="7178" w:type="dxa"/>
          </w:tcPr>
          <w:p w:rsidR="007E0051" w:rsidRPr="003B7455" w:rsidRDefault="007E0051" w:rsidP="007E0051">
            <w:pPr>
              <w:jc w:val="both"/>
              <w:rPr>
                <w:rFonts w:eastAsia="Calibri" w:cs="Times New Roman"/>
                <w:sz w:val="20"/>
                <w:szCs w:val="20"/>
              </w:rPr>
            </w:pPr>
            <w:r>
              <w:rPr>
                <w:rFonts w:eastAsia="Calibri" w:cs="Times New Roman"/>
                <w:i/>
                <w:sz w:val="20"/>
                <w:szCs w:val="20"/>
              </w:rPr>
              <w:t>Vernon Lepine</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w:t>
            </w:r>
            <w:r w:rsidRPr="003B7455">
              <w:rPr>
                <w:rFonts w:eastAsia="Calibri" w:cs="Times New Roman"/>
                <w:i/>
                <w:sz w:val="20"/>
                <w:szCs w:val="20"/>
              </w:rPr>
              <w:t xml:space="preserve">Her </w:t>
            </w:r>
            <w:r w:rsidRPr="0085047E">
              <w:rPr>
                <w:rFonts w:eastAsia="Calibri" w:cs="Times New Roman"/>
                <w:i/>
                <w:sz w:val="20"/>
                <w:szCs w:val="20"/>
              </w:rPr>
              <w:t>Majesty the Queen</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N.W.T</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As of Right)</w:t>
            </w:r>
            <w:r w:rsidRPr="003B7455">
              <w:rPr>
                <w:rFonts w:eastAsia="Calibri" w:cs="Times New Roman"/>
                <w:sz w:val="20"/>
                <w:szCs w:val="20"/>
              </w:rPr>
              <w:t xml:space="preserve"> (3</w:t>
            </w:r>
            <w:r>
              <w:rPr>
                <w:rFonts w:eastAsia="Calibri" w:cs="Times New Roman"/>
                <w:sz w:val="20"/>
                <w:szCs w:val="20"/>
              </w:rPr>
              <w:t>5665</w:t>
            </w:r>
            <w:r w:rsidRPr="003B7455">
              <w:rPr>
                <w:rFonts w:eastAsia="Calibri" w:cs="Times New Roman"/>
                <w:sz w:val="20"/>
                <w:szCs w:val="20"/>
              </w:rPr>
              <w:t>)</w:t>
            </w:r>
          </w:p>
        </w:tc>
      </w:tr>
      <w:tr w:rsidR="007E0051" w:rsidRPr="007E0051" w:rsidTr="007E0051">
        <w:trPr>
          <w:cantSplit/>
          <w:trHeight w:hRule="exact" w:val="360"/>
        </w:trPr>
        <w:tc>
          <w:tcPr>
            <w:tcW w:w="2398" w:type="dxa"/>
          </w:tcPr>
          <w:p w:rsidR="007E0051" w:rsidRDefault="007E0051"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10-17</w:t>
            </w:r>
          </w:p>
        </w:tc>
        <w:tc>
          <w:tcPr>
            <w:tcW w:w="7178" w:type="dxa"/>
          </w:tcPr>
          <w:p w:rsidR="007E0051" w:rsidRPr="003B7455" w:rsidRDefault="007E0051" w:rsidP="007E0051">
            <w:pPr>
              <w:jc w:val="both"/>
              <w:rPr>
                <w:rFonts w:eastAsia="Calibri" w:cs="Times New Roman"/>
                <w:sz w:val="20"/>
                <w:szCs w:val="20"/>
              </w:rPr>
            </w:pPr>
            <w:r w:rsidRPr="003B7455">
              <w:rPr>
                <w:rFonts w:eastAsia="Calibri" w:cs="Times New Roman"/>
                <w:i/>
                <w:sz w:val="20"/>
                <w:szCs w:val="20"/>
              </w:rPr>
              <w:t xml:space="preserve">Her </w:t>
            </w:r>
            <w:r w:rsidRPr="0085047E">
              <w:rPr>
                <w:rFonts w:eastAsia="Calibri" w:cs="Times New Roman"/>
                <w:i/>
                <w:sz w:val="20"/>
                <w:szCs w:val="20"/>
              </w:rPr>
              <w:t>Majesty the Queen</w:t>
            </w:r>
            <w:r w:rsidRPr="003B7455">
              <w:rPr>
                <w:rFonts w:eastAsia="Calibri" w:cs="Times New Roman"/>
                <w:i/>
                <w:sz w:val="20"/>
                <w:szCs w:val="20"/>
              </w:rPr>
              <w:t xml:space="preserve"> v.</w:t>
            </w:r>
            <w:r>
              <w:rPr>
                <w:rFonts w:eastAsia="Calibri" w:cs="Times New Roman"/>
                <w:i/>
                <w:sz w:val="20"/>
                <w:szCs w:val="20"/>
              </w:rPr>
              <w:t xml:space="preserve"> N</w:t>
            </w:r>
            <w:r w:rsidRPr="0085047E">
              <w:rPr>
                <w:rFonts w:eastAsia="Calibri" w:cs="Times New Roman"/>
                <w:i/>
                <w:sz w:val="20"/>
                <w:szCs w:val="20"/>
              </w:rPr>
              <w:t>a</w:t>
            </w:r>
            <w:r>
              <w:rPr>
                <w:rFonts w:eastAsia="Calibri" w:cs="Times New Roman"/>
                <w:i/>
                <w:sz w:val="20"/>
                <w:szCs w:val="20"/>
              </w:rPr>
              <w:t>hoor Ara</w:t>
            </w:r>
            <w:r w:rsidRPr="0085047E">
              <w:rPr>
                <w:rFonts w:eastAsia="Calibri" w:cs="Times New Roman"/>
                <w:i/>
                <w:sz w:val="20"/>
                <w:szCs w:val="20"/>
              </w:rPr>
              <w:t>y</w:t>
            </w:r>
            <w:r>
              <w:rPr>
                <w:rFonts w:eastAsia="Calibri" w:cs="Times New Roman"/>
                <w:i/>
                <w:sz w:val="20"/>
                <w:szCs w:val="20"/>
              </w:rPr>
              <w:t>a</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Ont</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As of Right)</w:t>
            </w:r>
            <w:r w:rsidRPr="003B7455">
              <w:rPr>
                <w:rFonts w:eastAsia="Calibri" w:cs="Times New Roman"/>
                <w:sz w:val="20"/>
                <w:szCs w:val="20"/>
              </w:rPr>
              <w:t xml:space="preserve"> (3</w:t>
            </w:r>
            <w:r>
              <w:rPr>
                <w:rFonts w:eastAsia="Calibri" w:cs="Times New Roman"/>
                <w:sz w:val="20"/>
                <w:szCs w:val="20"/>
              </w:rPr>
              <w:t>5669</w:t>
            </w:r>
            <w:r w:rsidRPr="003B7455">
              <w:rPr>
                <w:rFonts w:eastAsia="Calibri" w:cs="Times New Roman"/>
                <w:sz w:val="20"/>
                <w:szCs w:val="20"/>
              </w:rPr>
              <w:t>)</w:t>
            </w:r>
          </w:p>
        </w:tc>
      </w:tr>
      <w:tr w:rsidR="007E0051" w:rsidRPr="007E0051" w:rsidTr="007E0051">
        <w:trPr>
          <w:cantSplit/>
          <w:trHeight w:hRule="exact" w:val="821"/>
        </w:trPr>
        <w:tc>
          <w:tcPr>
            <w:tcW w:w="2398" w:type="dxa"/>
          </w:tcPr>
          <w:p w:rsidR="007E0051" w:rsidRDefault="007E0051"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10-17</w:t>
            </w:r>
          </w:p>
        </w:tc>
        <w:tc>
          <w:tcPr>
            <w:tcW w:w="7178" w:type="dxa"/>
          </w:tcPr>
          <w:p w:rsidR="007E0051" w:rsidRDefault="007E0051" w:rsidP="007E0051">
            <w:pPr>
              <w:jc w:val="both"/>
              <w:rPr>
                <w:rFonts w:eastAsia="Calibri" w:cs="Times New Roman"/>
                <w:sz w:val="20"/>
                <w:szCs w:val="20"/>
              </w:rPr>
            </w:pPr>
            <w:r>
              <w:rPr>
                <w:rFonts w:eastAsia="Calibri" w:cs="Times New Roman"/>
                <w:i/>
                <w:sz w:val="20"/>
                <w:szCs w:val="20"/>
              </w:rPr>
              <w:t>Timothy Lee Felger</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w:t>
            </w:r>
            <w:r w:rsidRPr="003B7455">
              <w:rPr>
                <w:rFonts w:eastAsia="Calibri" w:cs="Times New Roman"/>
                <w:i/>
                <w:sz w:val="20"/>
                <w:szCs w:val="20"/>
              </w:rPr>
              <w:t xml:space="preserve">Her </w:t>
            </w:r>
            <w:r w:rsidRPr="0085047E">
              <w:rPr>
                <w:rFonts w:eastAsia="Calibri" w:cs="Times New Roman"/>
                <w:i/>
                <w:sz w:val="20"/>
                <w:szCs w:val="20"/>
              </w:rPr>
              <w:t>Majesty the Queen</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B.C</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5795</w:t>
            </w:r>
            <w:r w:rsidRPr="003B7455">
              <w:rPr>
                <w:rFonts w:eastAsia="Calibri" w:cs="Times New Roman"/>
                <w:sz w:val="20"/>
                <w:szCs w:val="20"/>
              </w:rPr>
              <w:t>)</w:t>
            </w:r>
          </w:p>
          <w:p w:rsidR="007E0051" w:rsidRPr="00CB435F" w:rsidRDefault="007E0051" w:rsidP="007E0051">
            <w:pPr>
              <w:jc w:val="both"/>
              <w:rPr>
                <w:rFonts w:eastAsia="Calibri" w:cs="Times New Roman"/>
                <w:sz w:val="20"/>
                <w:szCs w:val="20"/>
              </w:rPr>
            </w:pPr>
            <w:r w:rsidRPr="00CB435F">
              <w:rPr>
                <w:rFonts w:eastAsia="Calibri" w:cs="Times New Roman"/>
                <w:sz w:val="20"/>
                <w:szCs w:val="20"/>
              </w:rPr>
              <w:t>(Oral hearing on leave application / Audition de la demande d’autorisation d’appel)</w:t>
            </w:r>
          </w:p>
          <w:p w:rsidR="007E0051" w:rsidRPr="003B7455" w:rsidRDefault="007E0051" w:rsidP="007E0051">
            <w:pPr>
              <w:jc w:val="both"/>
              <w:rPr>
                <w:rFonts w:eastAsia="Calibri" w:cs="Times New Roman"/>
                <w:sz w:val="20"/>
                <w:szCs w:val="20"/>
              </w:rPr>
            </w:pPr>
            <w:r w:rsidRPr="00924935">
              <w:rPr>
                <w:rFonts w:eastAsia="Calibri" w:cs="Times New Roman"/>
                <w:sz w:val="20"/>
                <w:szCs w:val="20"/>
              </w:rPr>
              <w:t>(Start time: 2:00 p.m. / Audience debutant à 14h)</w:t>
            </w:r>
          </w:p>
        </w:tc>
      </w:tr>
      <w:tr w:rsidR="007E0051" w:rsidRPr="007E0051" w:rsidTr="007E0051">
        <w:trPr>
          <w:cantSplit/>
          <w:trHeight w:hRule="exact" w:val="821"/>
        </w:trPr>
        <w:tc>
          <w:tcPr>
            <w:tcW w:w="2398" w:type="dxa"/>
          </w:tcPr>
          <w:p w:rsidR="007E0051" w:rsidRPr="007E0051" w:rsidRDefault="007E0051" w:rsidP="00EA5E64">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 xml:space="preserve">10-17 </w:t>
            </w:r>
          </w:p>
        </w:tc>
        <w:tc>
          <w:tcPr>
            <w:tcW w:w="7178" w:type="dxa"/>
          </w:tcPr>
          <w:p w:rsidR="007E0051" w:rsidRDefault="007E0051" w:rsidP="007E0051">
            <w:pPr>
              <w:jc w:val="both"/>
              <w:rPr>
                <w:rFonts w:eastAsia="Calibri" w:cs="Times New Roman"/>
                <w:sz w:val="20"/>
                <w:szCs w:val="20"/>
              </w:rPr>
            </w:pPr>
            <w:r>
              <w:rPr>
                <w:rFonts w:eastAsia="Calibri" w:cs="Times New Roman"/>
                <w:i/>
                <w:sz w:val="20"/>
                <w:szCs w:val="20"/>
              </w:rPr>
              <w:t>Natasha Kaye Healy</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w:t>
            </w:r>
            <w:r w:rsidRPr="003B7455">
              <w:rPr>
                <w:rFonts w:eastAsia="Calibri" w:cs="Times New Roman"/>
                <w:i/>
                <w:sz w:val="20"/>
                <w:szCs w:val="20"/>
              </w:rPr>
              <w:t xml:space="preserve">Her </w:t>
            </w:r>
            <w:r w:rsidRPr="0085047E">
              <w:rPr>
                <w:rFonts w:eastAsia="Calibri" w:cs="Times New Roman"/>
                <w:i/>
                <w:sz w:val="20"/>
                <w:szCs w:val="20"/>
              </w:rPr>
              <w:t>Majesty the Queen</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B.C</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5907</w:t>
            </w:r>
            <w:r w:rsidRPr="003B7455">
              <w:rPr>
                <w:rFonts w:eastAsia="Calibri" w:cs="Times New Roman"/>
                <w:sz w:val="20"/>
                <w:szCs w:val="20"/>
              </w:rPr>
              <w:t>)</w:t>
            </w:r>
          </w:p>
          <w:p w:rsidR="007E0051" w:rsidRPr="00CB435F" w:rsidRDefault="007E0051" w:rsidP="007E0051">
            <w:pPr>
              <w:jc w:val="both"/>
              <w:rPr>
                <w:rFonts w:eastAsia="Calibri" w:cs="Times New Roman"/>
                <w:sz w:val="20"/>
                <w:szCs w:val="20"/>
              </w:rPr>
            </w:pPr>
            <w:r w:rsidRPr="00CB435F">
              <w:rPr>
                <w:rFonts w:eastAsia="Calibri" w:cs="Times New Roman"/>
                <w:sz w:val="20"/>
                <w:szCs w:val="20"/>
              </w:rPr>
              <w:t>(Oral hearing on leave application / Audition de la demande d’autorisation d’appel)</w:t>
            </w:r>
          </w:p>
          <w:p w:rsidR="007E0051" w:rsidRPr="003B7455" w:rsidRDefault="007E0051" w:rsidP="007E0051">
            <w:pPr>
              <w:jc w:val="both"/>
              <w:rPr>
                <w:rFonts w:eastAsia="Calibri" w:cs="Times New Roman"/>
                <w:sz w:val="20"/>
                <w:szCs w:val="20"/>
              </w:rPr>
            </w:pPr>
            <w:r w:rsidRPr="00924935">
              <w:rPr>
                <w:rFonts w:eastAsia="Calibri" w:cs="Times New Roman"/>
                <w:sz w:val="20"/>
                <w:szCs w:val="20"/>
              </w:rPr>
              <w:t>(Start time: 2:00 p.m. / Audience debutant à 14h)</w:t>
            </w:r>
          </w:p>
        </w:tc>
      </w:tr>
    </w:tbl>
    <w:p w:rsidR="005F1ED8" w:rsidRPr="007E0051" w:rsidRDefault="005F1ED8" w:rsidP="004B66B4">
      <w:pPr>
        <w:rPr>
          <w:sz w:val="20"/>
          <w:szCs w:val="20"/>
        </w:rPr>
      </w:pPr>
    </w:p>
    <w:p w:rsidR="004B66B4" w:rsidRPr="00DD0B49" w:rsidRDefault="00215143" w:rsidP="002868D0">
      <w:pPr>
        <w:jc w:val="both"/>
        <w:rPr>
          <w:sz w:val="20"/>
          <w:szCs w:val="20"/>
        </w:rPr>
      </w:pPr>
      <w:r>
        <w:rPr>
          <w:sz w:val="20"/>
          <w:szCs w:val="20"/>
          <w:lang w:val="fr-CA"/>
        </w:rPr>
        <w:pict>
          <v:rect id="_x0000_i1100"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w:t>
      </w:r>
      <w:r w:rsidRPr="00DD0B49">
        <w:rPr>
          <w:sz w:val="20"/>
          <w:szCs w:val="20"/>
        </w:rPr>
        <w:lastRenderedPageBreak/>
        <w:t>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28"/>
          <w:headerReference w:type="default" r:id="rId129"/>
          <w:footerReference w:type="even" r:id="rId130"/>
          <w:footerReference w:type="default" r:id="rId131"/>
          <w:headerReference w:type="first" r:id="rId132"/>
          <w:footerReference w:type="first" r:id="rId1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5" w:name="1"/>
    <w:bookmarkEnd w:id="5"/>
    <w:p w:rsidR="00CB435F" w:rsidRPr="00050274" w:rsidRDefault="000944FD" w:rsidP="00CB435F">
      <w:pPr>
        <w:widowControl w:val="0"/>
        <w:ind w:left="720" w:hanging="720"/>
        <w:jc w:val="both"/>
        <w:rPr>
          <w:sz w:val="20"/>
          <w:szCs w:val="20"/>
        </w:rPr>
      </w:pPr>
      <w:r w:rsidRPr="00050274">
        <w:rPr>
          <w:b/>
          <w:sz w:val="20"/>
          <w:szCs w:val="20"/>
        </w:rPr>
        <w:fldChar w:fldCharType="begin"/>
      </w:r>
      <w:r w:rsidR="00CB435F" w:rsidRPr="00050274">
        <w:rPr>
          <w:b/>
          <w:sz w:val="20"/>
          <w:szCs w:val="20"/>
        </w:rPr>
        <w:instrText xml:space="preserve"> SEQ CHAPTER \h \r 1</w:instrText>
      </w:r>
      <w:r w:rsidRPr="00050274">
        <w:rPr>
          <w:b/>
          <w:sz w:val="20"/>
          <w:szCs w:val="20"/>
        </w:rPr>
        <w:fldChar w:fldCharType="end"/>
      </w:r>
      <w:r w:rsidR="00CB435F" w:rsidRPr="00050274">
        <w:rPr>
          <w:b/>
          <w:sz w:val="20"/>
          <w:szCs w:val="20"/>
        </w:rPr>
        <w:t>35475</w:t>
      </w:r>
      <w:r w:rsidR="00CB435F" w:rsidRPr="00050274">
        <w:rPr>
          <w:sz w:val="20"/>
          <w:szCs w:val="20"/>
        </w:rPr>
        <w:tab/>
      </w:r>
      <w:bookmarkStart w:id="6" w:name="3"/>
      <w:bookmarkEnd w:id="6"/>
      <w:r w:rsidR="00CB435F" w:rsidRPr="00050274">
        <w:rPr>
          <w:b/>
          <w:i/>
          <w:sz w:val="20"/>
          <w:szCs w:val="20"/>
        </w:rPr>
        <w:t>Her Majesty the Queen v. Clifford Kokopenace</w:t>
      </w:r>
    </w:p>
    <w:p w:rsidR="00CB435F" w:rsidRPr="00050274" w:rsidRDefault="00CB435F" w:rsidP="00CB435F">
      <w:pPr>
        <w:widowControl w:val="0"/>
        <w:jc w:val="both"/>
        <w:rPr>
          <w:sz w:val="20"/>
          <w:szCs w:val="20"/>
        </w:rPr>
      </w:pPr>
    </w:p>
    <w:p w:rsidR="00CB435F" w:rsidRPr="00050274" w:rsidRDefault="00CB435F" w:rsidP="00CB435F">
      <w:pPr>
        <w:jc w:val="both"/>
        <w:rPr>
          <w:sz w:val="20"/>
          <w:szCs w:val="20"/>
        </w:rPr>
      </w:pPr>
      <w:r w:rsidRPr="00050274">
        <w:rPr>
          <w:i/>
          <w:sz w:val="20"/>
          <w:szCs w:val="20"/>
        </w:rPr>
        <w:t>Canadian Charter of Rights and Freedoms</w:t>
      </w:r>
      <w:r w:rsidRPr="00050274">
        <w:rPr>
          <w:sz w:val="20"/>
          <w:szCs w:val="20"/>
        </w:rPr>
        <w:t xml:space="preserve"> - Criminal law - Jury selection - Representativeness of jury - Accused appealing manslaughter conviction on basis that right to representative jury violated - Court of Appeal allowing the appeal and ordering a new trial - What is the meaning of jury representativeness, and how is it assessed? - Whether state fulfilled its representativeness obligation in compiling 2008 Kenora jury roll - What is the appropriate approach to remedy if there is a problem with jury representativeness? - </w:t>
      </w:r>
      <w:r w:rsidRPr="00050274">
        <w:rPr>
          <w:i/>
          <w:sz w:val="20"/>
          <w:szCs w:val="20"/>
        </w:rPr>
        <w:t>Canadian Charter of Rights and Freedoms</w:t>
      </w:r>
      <w:r w:rsidRPr="00050274">
        <w:rPr>
          <w:sz w:val="20"/>
          <w:szCs w:val="20"/>
        </w:rPr>
        <w:t>, ss. 11(</w:t>
      </w:r>
      <w:r w:rsidRPr="00050274">
        <w:rPr>
          <w:i/>
          <w:sz w:val="20"/>
          <w:szCs w:val="20"/>
        </w:rPr>
        <w:t>d</w:t>
      </w:r>
      <w:r w:rsidRPr="00050274">
        <w:rPr>
          <w:sz w:val="20"/>
          <w:szCs w:val="20"/>
        </w:rPr>
        <w:t>) and (</w:t>
      </w:r>
      <w:r w:rsidRPr="00050274">
        <w:rPr>
          <w:i/>
          <w:sz w:val="20"/>
          <w:szCs w:val="20"/>
        </w:rPr>
        <w:t>f</w:t>
      </w:r>
      <w:r w:rsidRPr="00050274">
        <w:rPr>
          <w:sz w:val="20"/>
          <w:szCs w:val="20"/>
        </w:rPr>
        <w:t xml:space="preserve">) - </w:t>
      </w:r>
      <w:r w:rsidRPr="00050274">
        <w:rPr>
          <w:i/>
          <w:sz w:val="20"/>
          <w:szCs w:val="20"/>
        </w:rPr>
        <w:t>Juries Act</w:t>
      </w:r>
      <w:r w:rsidRPr="00050274">
        <w:rPr>
          <w:sz w:val="20"/>
          <w:szCs w:val="20"/>
        </w:rPr>
        <w:t>, R.S.O. 1990, c. J. 3, s. 6(8).</w:t>
      </w:r>
    </w:p>
    <w:p w:rsidR="00CB435F" w:rsidRPr="00050274" w:rsidRDefault="00CB435F" w:rsidP="00CB435F">
      <w:pPr>
        <w:widowControl w:val="0"/>
        <w:jc w:val="both"/>
        <w:rPr>
          <w:sz w:val="20"/>
          <w:szCs w:val="20"/>
        </w:rPr>
      </w:pPr>
    </w:p>
    <w:p w:rsidR="00CB435F" w:rsidRPr="00050274" w:rsidRDefault="00CB435F" w:rsidP="00CB435F">
      <w:pPr>
        <w:jc w:val="both"/>
        <w:rPr>
          <w:sz w:val="20"/>
          <w:szCs w:val="20"/>
        </w:rPr>
      </w:pPr>
      <w:r w:rsidRPr="00050274">
        <w:rPr>
          <w:sz w:val="20"/>
          <w:szCs w:val="20"/>
        </w:rPr>
        <w:t>The respondent Clifford Kokopenace, an Aboriginal person from Grassy Narrows First Nation in the District of Kenora, Ontario, was charged with second-degree murder in the stabbing death of Taylor Assin. His trial before Stach J., sitting with a jury, took place in the Kenora District. The jury that tried the respondent was derived from the 2008 jury roll for that district, which consisted of 699 potential jurors, of whom 29 were First Nation on-reserve residents. This represented 4.1% of the jury roll. At the time, First Nation on-reserve residents represented between 30.2% and 36.8% of the total population of Kenora District, and the on-reserve adult population represented between 21.5% and 31.8% of the total population of that district. The respondent’s jury was selected from a panel list of 175 jurors, eight of whom were on-reserve residents. The respondent’s jury ultimately did not include any on-reserve residents.</w:t>
      </w:r>
    </w:p>
    <w:p w:rsidR="00CB435F" w:rsidRPr="00050274" w:rsidRDefault="00CB435F" w:rsidP="00CB435F">
      <w:pPr>
        <w:jc w:val="both"/>
        <w:rPr>
          <w:sz w:val="20"/>
          <w:szCs w:val="20"/>
        </w:rPr>
      </w:pPr>
    </w:p>
    <w:p w:rsidR="00CB435F" w:rsidRPr="00050274" w:rsidRDefault="00CB435F" w:rsidP="00CB435F">
      <w:pPr>
        <w:jc w:val="both"/>
        <w:rPr>
          <w:sz w:val="20"/>
          <w:szCs w:val="20"/>
        </w:rPr>
      </w:pPr>
      <w:r w:rsidRPr="00050274">
        <w:rPr>
          <w:sz w:val="20"/>
          <w:szCs w:val="20"/>
        </w:rPr>
        <w:t>After a three-week trial, the jury found the respondent guilty of manslaughter. Prior to sentencing, the respondent’s trial counsel learned of irregularities in the composition of the Kenora jury roll, particularly with respect to representativeness. Stach J. declined to adjourn the sentencing proceedings to hear a mistrial application.</w:t>
      </w:r>
    </w:p>
    <w:p w:rsidR="00CB435F" w:rsidRPr="00050274" w:rsidRDefault="00CB435F" w:rsidP="00CB435F">
      <w:pPr>
        <w:jc w:val="both"/>
        <w:rPr>
          <w:sz w:val="20"/>
          <w:szCs w:val="20"/>
        </w:rPr>
      </w:pPr>
    </w:p>
    <w:p w:rsidR="00CB435F" w:rsidRPr="00050274" w:rsidRDefault="00CB435F" w:rsidP="00CB435F">
      <w:pPr>
        <w:jc w:val="both"/>
        <w:rPr>
          <w:sz w:val="20"/>
          <w:szCs w:val="20"/>
        </w:rPr>
      </w:pPr>
      <w:r w:rsidRPr="00050274">
        <w:rPr>
          <w:sz w:val="20"/>
          <w:szCs w:val="20"/>
        </w:rPr>
        <w:t>On appeal, Mr. Kokopenace argued that the jury that found him guilty was derived from a jury roll that, because of the process used to prepare it, inadequately ensured representative inclusion of Aboriginal on-reserve residents. He further argued that this violated his rights under ss. 11(</w:t>
      </w:r>
      <w:r w:rsidRPr="00050274">
        <w:rPr>
          <w:i/>
          <w:sz w:val="20"/>
          <w:szCs w:val="20"/>
        </w:rPr>
        <w:t>d</w:t>
      </w:r>
      <w:r w:rsidRPr="00050274">
        <w:rPr>
          <w:sz w:val="20"/>
          <w:szCs w:val="20"/>
        </w:rPr>
        <w:t>), 11(</w:t>
      </w:r>
      <w:r w:rsidRPr="00050274">
        <w:rPr>
          <w:i/>
          <w:sz w:val="20"/>
          <w:szCs w:val="20"/>
        </w:rPr>
        <w:t>f</w:t>
      </w:r>
      <w:r w:rsidRPr="00050274">
        <w:rPr>
          <w:sz w:val="20"/>
          <w:szCs w:val="20"/>
        </w:rPr>
        <w:t xml:space="preserve">) and 15 of the </w:t>
      </w:r>
      <w:r w:rsidRPr="00050274">
        <w:rPr>
          <w:i/>
          <w:sz w:val="20"/>
          <w:szCs w:val="20"/>
        </w:rPr>
        <w:t>Charter</w:t>
      </w:r>
      <w:r w:rsidRPr="00050274">
        <w:rPr>
          <w:sz w:val="20"/>
          <w:szCs w:val="20"/>
        </w:rPr>
        <w:t xml:space="preserve"> and under the </w:t>
      </w:r>
      <w:r w:rsidRPr="00050274">
        <w:rPr>
          <w:i/>
          <w:sz w:val="20"/>
          <w:szCs w:val="20"/>
        </w:rPr>
        <w:t>Juries Act</w:t>
      </w:r>
      <w:r w:rsidRPr="00050274">
        <w:rPr>
          <w:sz w:val="20"/>
          <w:szCs w:val="20"/>
        </w:rPr>
        <w:t>, R.S.O. 1990, c. J. 3, that his jury was improperly constituted, and that he was entitled to a new trial. Extensive fresh evidence was filed on that issue. The Court of Appeal allowed the appeal and ordered a new trial. Rouleau J.A., dissenting, would have dismissed the appeal.</w:t>
      </w:r>
    </w:p>
    <w:p w:rsidR="00CB435F" w:rsidRPr="00050274" w:rsidRDefault="00CB435F" w:rsidP="00CB435F">
      <w:pPr>
        <w:widowControl w:val="0"/>
        <w:jc w:val="both"/>
        <w:rPr>
          <w:sz w:val="20"/>
          <w:szCs w:val="20"/>
        </w:rPr>
      </w:pPr>
    </w:p>
    <w:p w:rsidR="00CB435F" w:rsidRPr="00050274" w:rsidRDefault="00CB435F" w:rsidP="00CB435F">
      <w:pPr>
        <w:widowControl w:val="0"/>
        <w:jc w:val="both"/>
        <w:rPr>
          <w:sz w:val="20"/>
          <w:szCs w:val="20"/>
        </w:rPr>
      </w:pPr>
    </w:p>
    <w:p w:rsidR="00CB435F" w:rsidRPr="00050274" w:rsidRDefault="00CB435F" w:rsidP="00CB435F">
      <w:pPr>
        <w:widowControl w:val="0"/>
        <w:ind w:left="2880" w:hanging="2880"/>
        <w:jc w:val="both"/>
        <w:rPr>
          <w:sz w:val="20"/>
          <w:szCs w:val="20"/>
        </w:rPr>
      </w:pPr>
      <w:r w:rsidRPr="00050274">
        <w:rPr>
          <w:sz w:val="20"/>
          <w:szCs w:val="20"/>
        </w:rPr>
        <w:t>Origin of the case:</w:t>
      </w:r>
      <w:r w:rsidRPr="00050274">
        <w:rPr>
          <w:sz w:val="20"/>
          <w:szCs w:val="20"/>
        </w:rPr>
        <w:tab/>
      </w:r>
      <w:bookmarkStart w:id="7" w:name="4"/>
      <w:bookmarkEnd w:id="7"/>
      <w:r w:rsidRPr="00050274">
        <w:rPr>
          <w:sz w:val="20"/>
          <w:szCs w:val="20"/>
        </w:rPr>
        <w:t>Ontario</w:t>
      </w:r>
    </w:p>
    <w:p w:rsidR="00CB435F" w:rsidRPr="00050274" w:rsidRDefault="00CB435F" w:rsidP="00CB435F">
      <w:pPr>
        <w:widowControl w:val="0"/>
        <w:ind w:left="2880" w:hanging="2880"/>
        <w:jc w:val="both"/>
        <w:rPr>
          <w:sz w:val="20"/>
          <w:szCs w:val="20"/>
        </w:rPr>
      </w:pPr>
    </w:p>
    <w:p w:rsidR="00CB435F" w:rsidRPr="00050274" w:rsidRDefault="00CB435F" w:rsidP="00CB435F">
      <w:pPr>
        <w:widowControl w:val="0"/>
        <w:ind w:left="2880" w:hanging="2880"/>
        <w:jc w:val="both"/>
        <w:rPr>
          <w:sz w:val="20"/>
          <w:szCs w:val="20"/>
        </w:rPr>
      </w:pPr>
      <w:r w:rsidRPr="00050274">
        <w:rPr>
          <w:sz w:val="20"/>
          <w:szCs w:val="20"/>
        </w:rPr>
        <w:t>File No.:</w:t>
      </w:r>
      <w:r w:rsidRPr="00050274">
        <w:rPr>
          <w:sz w:val="20"/>
          <w:szCs w:val="20"/>
        </w:rPr>
        <w:tab/>
      </w:r>
      <w:bookmarkStart w:id="8" w:name="2"/>
      <w:bookmarkEnd w:id="8"/>
      <w:r w:rsidRPr="00050274">
        <w:rPr>
          <w:sz w:val="20"/>
          <w:szCs w:val="20"/>
        </w:rPr>
        <w:t>35475</w:t>
      </w:r>
    </w:p>
    <w:p w:rsidR="00CB435F" w:rsidRPr="00050274" w:rsidRDefault="00CB435F" w:rsidP="00CB435F">
      <w:pPr>
        <w:widowControl w:val="0"/>
        <w:ind w:left="2880" w:hanging="2880"/>
        <w:jc w:val="both"/>
        <w:rPr>
          <w:sz w:val="20"/>
          <w:szCs w:val="20"/>
        </w:rPr>
      </w:pPr>
    </w:p>
    <w:p w:rsidR="00CB435F" w:rsidRPr="00050274" w:rsidRDefault="00CB435F" w:rsidP="00CB435F">
      <w:pPr>
        <w:widowControl w:val="0"/>
        <w:ind w:left="2880" w:hanging="2880"/>
        <w:jc w:val="both"/>
        <w:rPr>
          <w:sz w:val="20"/>
          <w:szCs w:val="20"/>
        </w:rPr>
      </w:pPr>
      <w:r w:rsidRPr="00050274">
        <w:rPr>
          <w:sz w:val="20"/>
          <w:szCs w:val="20"/>
        </w:rPr>
        <w:t>Judgment of the Court of Appeal:</w:t>
      </w:r>
      <w:r w:rsidRPr="00050274">
        <w:rPr>
          <w:sz w:val="20"/>
          <w:szCs w:val="20"/>
        </w:rPr>
        <w:tab/>
      </w:r>
      <w:bookmarkStart w:id="9" w:name="5"/>
      <w:bookmarkEnd w:id="9"/>
      <w:r w:rsidRPr="00050274">
        <w:rPr>
          <w:sz w:val="20"/>
          <w:szCs w:val="20"/>
        </w:rPr>
        <w:t>June 14, 2013</w:t>
      </w:r>
    </w:p>
    <w:p w:rsidR="00CB435F" w:rsidRPr="00050274" w:rsidRDefault="00CB435F" w:rsidP="00CB435F">
      <w:pPr>
        <w:widowControl w:val="0"/>
        <w:ind w:left="2880" w:hanging="2880"/>
        <w:jc w:val="both"/>
        <w:rPr>
          <w:sz w:val="20"/>
          <w:szCs w:val="20"/>
        </w:rPr>
      </w:pPr>
    </w:p>
    <w:p w:rsidR="00CB435F" w:rsidRPr="00050274" w:rsidRDefault="00CB435F" w:rsidP="00CB435F">
      <w:pPr>
        <w:widowControl w:val="0"/>
        <w:ind w:left="2880" w:hanging="2880"/>
        <w:jc w:val="both"/>
        <w:rPr>
          <w:sz w:val="20"/>
          <w:szCs w:val="20"/>
        </w:rPr>
      </w:pPr>
      <w:r w:rsidRPr="00050274">
        <w:rPr>
          <w:sz w:val="20"/>
          <w:szCs w:val="20"/>
        </w:rPr>
        <w:t>Counsel:</w:t>
      </w:r>
      <w:r w:rsidRPr="00050274">
        <w:rPr>
          <w:sz w:val="20"/>
          <w:szCs w:val="20"/>
        </w:rPr>
        <w:tab/>
      </w:r>
      <w:bookmarkStart w:id="10" w:name="6"/>
      <w:bookmarkEnd w:id="10"/>
      <w:r w:rsidRPr="00050274">
        <w:rPr>
          <w:sz w:val="20"/>
          <w:szCs w:val="20"/>
        </w:rPr>
        <w:t>Gillian Roberts and Deborah Calderwood for the appellant</w:t>
      </w:r>
    </w:p>
    <w:p w:rsidR="00CB435F" w:rsidRPr="00050274" w:rsidRDefault="00CB435F" w:rsidP="00CB435F">
      <w:pPr>
        <w:widowControl w:val="0"/>
        <w:ind w:left="2880" w:hanging="2880"/>
        <w:jc w:val="both"/>
        <w:rPr>
          <w:sz w:val="20"/>
          <w:szCs w:val="20"/>
        </w:rPr>
      </w:pPr>
      <w:bookmarkStart w:id="11" w:name="7"/>
      <w:bookmarkEnd w:id="11"/>
      <w:r>
        <w:rPr>
          <w:sz w:val="20"/>
          <w:szCs w:val="20"/>
        </w:rPr>
        <w:tab/>
      </w:r>
      <w:r w:rsidRPr="00050274">
        <w:rPr>
          <w:sz w:val="20"/>
          <w:szCs w:val="20"/>
        </w:rPr>
        <w:t>Delmar Doucette, Angela Ruffo and Jessica Orkin for the respondent</w:t>
      </w:r>
    </w:p>
    <w:p w:rsidR="00CB435F" w:rsidRPr="00050274" w:rsidRDefault="00CB435F" w:rsidP="00CB435F">
      <w:pPr>
        <w:rPr>
          <w:sz w:val="20"/>
          <w:szCs w:val="20"/>
        </w:rPr>
      </w:pPr>
    </w:p>
    <w:p w:rsidR="000B3C9A" w:rsidRPr="00DD0B49" w:rsidRDefault="00215143" w:rsidP="000B3C9A">
      <w:pPr>
        <w:tabs>
          <w:tab w:val="left" w:pos="-1440"/>
          <w:tab w:val="left" w:pos="-720"/>
        </w:tabs>
        <w:ind w:left="720" w:hanging="720"/>
        <w:jc w:val="both"/>
        <w:rPr>
          <w:sz w:val="20"/>
          <w:szCs w:val="20"/>
          <w:lang w:val="fr-CA"/>
        </w:rPr>
      </w:pPr>
      <w:r>
        <w:rPr>
          <w:sz w:val="20"/>
          <w:szCs w:val="20"/>
          <w:lang w:val="fr-CA"/>
        </w:rPr>
        <w:pict>
          <v:rect id="_x0000_i1103"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CB435F" w:rsidRPr="00542A4B" w:rsidRDefault="000944FD" w:rsidP="00CB435F">
      <w:pPr>
        <w:widowControl w:val="0"/>
        <w:ind w:left="720" w:hanging="720"/>
        <w:jc w:val="both"/>
        <w:rPr>
          <w:sz w:val="20"/>
          <w:szCs w:val="20"/>
          <w:lang w:val="fr-CA"/>
        </w:rPr>
      </w:pPr>
      <w:r w:rsidRPr="00542A4B">
        <w:rPr>
          <w:b/>
          <w:sz w:val="20"/>
          <w:szCs w:val="20"/>
          <w:lang w:val="fr-CA"/>
        </w:rPr>
        <w:lastRenderedPageBreak/>
        <w:fldChar w:fldCharType="begin"/>
      </w:r>
      <w:r w:rsidR="00CB435F" w:rsidRPr="00542A4B">
        <w:rPr>
          <w:b/>
          <w:sz w:val="20"/>
          <w:szCs w:val="20"/>
          <w:lang w:val="fr-CA"/>
        </w:rPr>
        <w:instrText xml:space="preserve"> SEQ CHAPTER \h \r 1</w:instrText>
      </w:r>
      <w:r w:rsidRPr="00542A4B">
        <w:rPr>
          <w:b/>
          <w:sz w:val="20"/>
          <w:szCs w:val="20"/>
          <w:lang w:val="fr-CA"/>
        </w:rPr>
        <w:fldChar w:fldCharType="end"/>
      </w:r>
      <w:r w:rsidR="00CB435F" w:rsidRPr="00542A4B">
        <w:rPr>
          <w:b/>
          <w:sz w:val="20"/>
          <w:szCs w:val="20"/>
          <w:lang w:val="fr-CA"/>
        </w:rPr>
        <w:t>35475</w:t>
      </w:r>
      <w:r w:rsidR="00CB435F" w:rsidRPr="00542A4B">
        <w:rPr>
          <w:sz w:val="20"/>
          <w:szCs w:val="20"/>
          <w:lang w:val="fr-CA"/>
        </w:rPr>
        <w:tab/>
      </w:r>
      <w:r w:rsidR="00CB435F" w:rsidRPr="00542A4B">
        <w:rPr>
          <w:b/>
          <w:i/>
          <w:sz w:val="20"/>
          <w:szCs w:val="20"/>
          <w:lang w:val="fr-CA"/>
        </w:rPr>
        <w:t>Sa Majesté la Reine c. Clifford Kokopenace</w:t>
      </w:r>
    </w:p>
    <w:p w:rsidR="00CB435F" w:rsidRPr="00542A4B" w:rsidRDefault="00CB435F" w:rsidP="00CB435F">
      <w:pPr>
        <w:widowControl w:val="0"/>
        <w:jc w:val="both"/>
        <w:rPr>
          <w:sz w:val="20"/>
          <w:szCs w:val="20"/>
          <w:lang w:val="fr-CA"/>
        </w:rPr>
      </w:pPr>
    </w:p>
    <w:p w:rsidR="00CB435F" w:rsidRPr="00542A4B" w:rsidRDefault="00CB435F" w:rsidP="00CB435F">
      <w:pPr>
        <w:jc w:val="both"/>
        <w:rPr>
          <w:sz w:val="20"/>
          <w:szCs w:val="20"/>
          <w:lang w:val="fr-CA"/>
        </w:rPr>
      </w:pPr>
      <w:r w:rsidRPr="00542A4B">
        <w:rPr>
          <w:i/>
          <w:sz w:val="20"/>
          <w:szCs w:val="20"/>
          <w:lang w:val="fr-CA"/>
        </w:rPr>
        <w:t xml:space="preserve">Charte canadienne des droits et libertés </w:t>
      </w:r>
      <w:r w:rsidRPr="00542A4B">
        <w:rPr>
          <w:sz w:val="20"/>
          <w:szCs w:val="20"/>
          <w:lang w:val="fr-CA"/>
        </w:rPr>
        <w:t>- Droit criminel - Sélection des jurés - Représentativité du jury - L’accusé a interjeté appel de la déclaration de culpabilité d’homicide involontaire coupable, plaidant que son droit à un jury représentatif avait été violé - La Cour d’appel a accueilli l’appel et ordonné un nouveau procès - Qu’entend-on par la représentativité du jury et comment est-elle évaluée? - L’État s’est-il acquitté de son obligation en matière de représentativité en établissant la liste de jurés de Kenora en 2008? - Comment faut-il aborder la question de la réparation s’il y a un problème de représentativité du jury? -</w:t>
      </w:r>
      <w:r w:rsidRPr="00542A4B">
        <w:rPr>
          <w:i/>
          <w:sz w:val="20"/>
          <w:szCs w:val="20"/>
          <w:lang w:val="fr-CA"/>
        </w:rPr>
        <w:t xml:space="preserve"> Charte canadienne des droits et libertés</w:t>
      </w:r>
      <w:r w:rsidRPr="00542A4B">
        <w:rPr>
          <w:sz w:val="20"/>
          <w:szCs w:val="20"/>
          <w:lang w:val="fr-CA"/>
        </w:rPr>
        <w:t>, al. 11</w:t>
      </w:r>
      <w:r w:rsidRPr="00542A4B">
        <w:rPr>
          <w:i/>
          <w:sz w:val="20"/>
          <w:szCs w:val="20"/>
          <w:lang w:val="fr-CA"/>
        </w:rPr>
        <w:t>d</w:t>
      </w:r>
      <w:r w:rsidRPr="00542A4B">
        <w:rPr>
          <w:sz w:val="20"/>
          <w:szCs w:val="20"/>
          <w:lang w:val="fr-CA"/>
        </w:rPr>
        <w:t xml:space="preserve">) et </w:t>
      </w:r>
      <w:r w:rsidRPr="00542A4B">
        <w:rPr>
          <w:i/>
          <w:sz w:val="20"/>
          <w:szCs w:val="20"/>
          <w:lang w:val="fr-CA"/>
        </w:rPr>
        <w:t>f</w:t>
      </w:r>
      <w:r w:rsidRPr="00542A4B">
        <w:rPr>
          <w:sz w:val="20"/>
          <w:szCs w:val="20"/>
          <w:lang w:val="fr-CA"/>
        </w:rPr>
        <w:t>) -</w:t>
      </w:r>
      <w:r w:rsidRPr="00542A4B">
        <w:rPr>
          <w:i/>
          <w:sz w:val="20"/>
          <w:szCs w:val="20"/>
          <w:lang w:val="fr-CA"/>
        </w:rPr>
        <w:t xml:space="preserve"> Loi sur les jurys</w:t>
      </w:r>
      <w:r w:rsidRPr="00542A4B">
        <w:rPr>
          <w:sz w:val="20"/>
          <w:szCs w:val="20"/>
          <w:lang w:val="fr-CA"/>
        </w:rPr>
        <w:t>, L.R.O. 1990, ch. J. 3, par. 6(8).</w:t>
      </w:r>
    </w:p>
    <w:p w:rsidR="00CB435F" w:rsidRPr="00542A4B" w:rsidRDefault="00CB435F" w:rsidP="00CB435F">
      <w:pPr>
        <w:widowControl w:val="0"/>
        <w:jc w:val="both"/>
        <w:rPr>
          <w:sz w:val="20"/>
          <w:szCs w:val="20"/>
          <w:lang w:val="fr-CA"/>
        </w:rPr>
      </w:pPr>
    </w:p>
    <w:p w:rsidR="00CB435F" w:rsidRPr="00542A4B" w:rsidRDefault="00CB435F" w:rsidP="00CB435F">
      <w:pPr>
        <w:jc w:val="both"/>
        <w:rPr>
          <w:sz w:val="20"/>
          <w:szCs w:val="20"/>
          <w:lang w:val="fr-CA"/>
        </w:rPr>
      </w:pPr>
      <w:r w:rsidRPr="00542A4B">
        <w:rPr>
          <w:sz w:val="20"/>
          <w:szCs w:val="20"/>
          <w:lang w:val="fr-CA"/>
        </w:rPr>
        <w:t>L’intimé Clifford Kokopenace, un Autochtone de la Première Nation de Grassy Narrows dans le district de Kenora (Ontario) a été accusé du meurtre au deuxième degré de Taylor Assin, mort poignardé.  Il a subi son procès dans le district de Kenora, devant le juge Stach, qui siégeait alors avec un jury.  Le jury qui a jugé l’intimé a été constitué à partir d’une liste des jurés établie en 2008 pour ce district, qui comprenait 699 jurés potentiels, dont 29 étaient des Autochtones qui vivaient sur une réserve de Première Nation.  Cela représentait 4,1 % de la liste des jurés.  À l’époque, les Autochtones qui vivaient sur une réserve de Première Nation représentaient entre 30,2 % et 36,8 % de la population totale du district de Kenora, et la population adulte qui vivait sur une réserve représentait entre 21,5 % et 31,8 % de la population totale de ce district.  Le jury constitué pour le procès de l’intimé a été choisi parmi une liste de 175 jurés, dont huit vivaient sur une réserve.  En fin de compte, le jury constitué pour le procès de l’intimé ne comprenait aucun résident qui vivait sur une réserve.</w:t>
      </w:r>
    </w:p>
    <w:p w:rsidR="00CB435F" w:rsidRPr="00542A4B" w:rsidRDefault="00CB435F" w:rsidP="00CB435F">
      <w:pPr>
        <w:jc w:val="both"/>
        <w:rPr>
          <w:sz w:val="20"/>
          <w:szCs w:val="20"/>
          <w:lang w:val="fr-CA"/>
        </w:rPr>
      </w:pPr>
    </w:p>
    <w:p w:rsidR="00CB435F" w:rsidRPr="00542A4B" w:rsidRDefault="00CB435F" w:rsidP="00CB435F">
      <w:pPr>
        <w:jc w:val="both"/>
        <w:rPr>
          <w:sz w:val="20"/>
          <w:szCs w:val="20"/>
          <w:lang w:val="fr-CA"/>
        </w:rPr>
      </w:pPr>
      <w:r w:rsidRPr="00542A4B">
        <w:rPr>
          <w:sz w:val="20"/>
          <w:szCs w:val="20"/>
          <w:lang w:val="fr-CA"/>
        </w:rPr>
        <w:t>Au terme d’un procès de trois semaines, le jury a déclaré l’intimé coupable d’homicide involontaire coupable.  Avant le prononcé de la peine, l’avocat de l’intimé a eu connaissance d’irrégularités touchant la composition de la liste des jurés de Kenora, particulièrement sur le plan de la représentativité. Le juge Stach a refusé d’ajourner les procédures de détermination de la peine pour entendre une demande en nullité de procès.</w:t>
      </w:r>
    </w:p>
    <w:p w:rsidR="00CB435F" w:rsidRPr="00542A4B" w:rsidRDefault="00CB435F" w:rsidP="00CB435F">
      <w:pPr>
        <w:jc w:val="both"/>
        <w:rPr>
          <w:sz w:val="20"/>
          <w:szCs w:val="20"/>
          <w:lang w:val="fr-CA"/>
        </w:rPr>
      </w:pPr>
    </w:p>
    <w:p w:rsidR="00CB435F" w:rsidRPr="00542A4B" w:rsidRDefault="00CB435F" w:rsidP="00CB435F">
      <w:pPr>
        <w:jc w:val="both"/>
        <w:rPr>
          <w:sz w:val="20"/>
          <w:szCs w:val="20"/>
          <w:lang w:val="fr-CA"/>
        </w:rPr>
      </w:pPr>
      <w:r w:rsidRPr="00542A4B">
        <w:rPr>
          <w:sz w:val="20"/>
          <w:szCs w:val="20"/>
          <w:lang w:val="fr-CA"/>
        </w:rPr>
        <w:t>En appel, M. Kokopenace a plaidé que le jury qui l’a déclaré coupable avait été constitué à partir d’une liste qui, en raison du processus utilisé pour l’établir, n’assurait pas adéquatement l’inclusion représentative d’Autochtones vivant sur une réserve.  Il a plaidé en outre que ceci violait les droits que lui garantissent les art. 11</w:t>
      </w:r>
      <w:r w:rsidRPr="00542A4B">
        <w:rPr>
          <w:i/>
          <w:sz w:val="20"/>
          <w:szCs w:val="20"/>
          <w:lang w:val="fr-CA"/>
        </w:rPr>
        <w:t>d</w:t>
      </w:r>
      <w:r w:rsidRPr="00542A4B">
        <w:rPr>
          <w:sz w:val="20"/>
          <w:szCs w:val="20"/>
          <w:lang w:val="fr-CA"/>
        </w:rPr>
        <w:t>), 11</w:t>
      </w:r>
      <w:r w:rsidRPr="00542A4B">
        <w:rPr>
          <w:i/>
          <w:sz w:val="20"/>
          <w:szCs w:val="20"/>
          <w:lang w:val="fr-CA"/>
        </w:rPr>
        <w:t>f</w:t>
      </w:r>
      <w:r w:rsidRPr="00542A4B">
        <w:rPr>
          <w:sz w:val="20"/>
          <w:szCs w:val="20"/>
          <w:lang w:val="fr-CA"/>
        </w:rPr>
        <w:t xml:space="preserve">) et 15 de la </w:t>
      </w:r>
      <w:r w:rsidRPr="00542A4B">
        <w:rPr>
          <w:i/>
          <w:sz w:val="20"/>
          <w:szCs w:val="20"/>
          <w:lang w:val="fr-CA"/>
        </w:rPr>
        <w:t>Charte</w:t>
      </w:r>
      <w:r w:rsidRPr="00542A4B">
        <w:rPr>
          <w:sz w:val="20"/>
          <w:szCs w:val="20"/>
          <w:lang w:val="fr-CA"/>
        </w:rPr>
        <w:t xml:space="preserve"> et la</w:t>
      </w:r>
      <w:r w:rsidRPr="00542A4B">
        <w:rPr>
          <w:i/>
          <w:sz w:val="20"/>
          <w:szCs w:val="20"/>
          <w:lang w:val="fr-CA"/>
        </w:rPr>
        <w:t xml:space="preserve"> Loi sur les jurys</w:t>
      </w:r>
      <w:r w:rsidRPr="00542A4B">
        <w:rPr>
          <w:sz w:val="20"/>
          <w:szCs w:val="20"/>
          <w:lang w:val="fr-CA"/>
        </w:rPr>
        <w:t>, L.R.O. 1990, ch. J. 3, que son jury avait été irrégulièrement constitué et qu’il avait droit à un nouveau procès.  Une abondante nouvelle preuve a été déposée relativement à cette question. La Cour d’appel a accueilli l’appel et ordonné un nouveau procès.  Le juge Rouleau, dissident, aurait rejeté l’appel.</w:t>
      </w:r>
    </w:p>
    <w:p w:rsidR="00CB435F" w:rsidRPr="00542A4B" w:rsidRDefault="00CB435F" w:rsidP="00CB435F">
      <w:pPr>
        <w:widowControl w:val="0"/>
        <w:jc w:val="both"/>
        <w:rPr>
          <w:sz w:val="20"/>
          <w:szCs w:val="20"/>
          <w:lang w:val="fr-CA"/>
        </w:rPr>
      </w:pPr>
    </w:p>
    <w:p w:rsidR="00CB435F" w:rsidRPr="00542A4B" w:rsidRDefault="00CB435F" w:rsidP="00CB435F">
      <w:pPr>
        <w:widowControl w:val="0"/>
        <w:jc w:val="both"/>
        <w:rPr>
          <w:sz w:val="20"/>
          <w:szCs w:val="20"/>
          <w:lang w:val="fr-CA"/>
        </w:rPr>
      </w:pPr>
    </w:p>
    <w:p w:rsidR="00CB435F" w:rsidRPr="00542A4B" w:rsidRDefault="00CB435F" w:rsidP="00CB435F">
      <w:pPr>
        <w:widowControl w:val="0"/>
        <w:ind w:left="2880" w:hanging="2880"/>
        <w:jc w:val="both"/>
        <w:rPr>
          <w:sz w:val="20"/>
          <w:szCs w:val="20"/>
          <w:lang w:val="fr-CA"/>
        </w:rPr>
      </w:pPr>
      <w:r w:rsidRPr="00542A4B">
        <w:rPr>
          <w:sz w:val="20"/>
          <w:szCs w:val="20"/>
          <w:lang w:val="fr-CA"/>
        </w:rPr>
        <w:t>Origine :</w:t>
      </w:r>
      <w:r w:rsidRPr="00542A4B">
        <w:rPr>
          <w:sz w:val="20"/>
          <w:szCs w:val="20"/>
          <w:lang w:val="fr-CA"/>
        </w:rPr>
        <w:tab/>
        <w:t>Ontario</w:t>
      </w:r>
    </w:p>
    <w:p w:rsidR="00CB435F" w:rsidRPr="00542A4B" w:rsidRDefault="00CB435F" w:rsidP="00CB435F">
      <w:pPr>
        <w:widowControl w:val="0"/>
        <w:ind w:left="2880" w:hanging="2880"/>
        <w:jc w:val="both"/>
        <w:rPr>
          <w:sz w:val="20"/>
          <w:szCs w:val="20"/>
          <w:lang w:val="fr-CA"/>
        </w:rPr>
      </w:pPr>
    </w:p>
    <w:p w:rsidR="00CB435F" w:rsidRPr="00542A4B" w:rsidRDefault="00CB435F" w:rsidP="00CB435F">
      <w:pPr>
        <w:widowControl w:val="0"/>
        <w:ind w:left="2880" w:hanging="2880"/>
        <w:jc w:val="both"/>
        <w:rPr>
          <w:sz w:val="20"/>
          <w:szCs w:val="20"/>
          <w:lang w:val="fr-CA"/>
        </w:rPr>
      </w:pPr>
      <w:r w:rsidRPr="00542A4B">
        <w:rPr>
          <w:sz w:val="20"/>
          <w:szCs w:val="20"/>
          <w:lang w:val="fr-CA"/>
        </w:rPr>
        <w:t>N</w:t>
      </w:r>
      <w:r w:rsidRPr="00542A4B">
        <w:rPr>
          <w:sz w:val="20"/>
          <w:szCs w:val="20"/>
          <w:vertAlign w:val="superscript"/>
          <w:lang w:val="fr-CA"/>
        </w:rPr>
        <w:t>o</w:t>
      </w:r>
      <w:r w:rsidRPr="00542A4B">
        <w:rPr>
          <w:sz w:val="20"/>
          <w:szCs w:val="20"/>
          <w:lang w:val="fr-CA"/>
        </w:rPr>
        <w:t xml:space="preserve"> du greffe :</w:t>
      </w:r>
      <w:r w:rsidRPr="00542A4B">
        <w:rPr>
          <w:sz w:val="20"/>
          <w:szCs w:val="20"/>
          <w:lang w:val="fr-CA"/>
        </w:rPr>
        <w:tab/>
        <w:t>35475</w:t>
      </w:r>
    </w:p>
    <w:p w:rsidR="00CB435F" w:rsidRPr="00542A4B" w:rsidRDefault="00CB435F" w:rsidP="00CB435F">
      <w:pPr>
        <w:widowControl w:val="0"/>
        <w:ind w:left="2880" w:hanging="2880"/>
        <w:jc w:val="both"/>
        <w:rPr>
          <w:sz w:val="20"/>
          <w:szCs w:val="20"/>
          <w:lang w:val="fr-CA"/>
        </w:rPr>
      </w:pPr>
    </w:p>
    <w:p w:rsidR="00CB435F" w:rsidRPr="00542A4B" w:rsidRDefault="00CB435F" w:rsidP="00CB435F">
      <w:pPr>
        <w:widowControl w:val="0"/>
        <w:ind w:left="2880" w:hanging="2880"/>
        <w:jc w:val="both"/>
        <w:rPr>
          <w:sz w:val="20"/>
          <w:szCs w:val="20"/>
          <w:lang w:val="fr-CA"/>
        </w:rPr>
      </w:pPr>
      <w:r w:rsidRPr="00542A4B">
        <w:rPr>
          <w:sz w:val="20"/>
          <w:szCs w:val="20"/>
          <w:lang w:val="fr-CA"/>
        </w:rPr>
        <w:t>Arrêt de la Cour d’appel :</w:t>
      </w:r>
      <w:r w:rsidRPr="00542A4B">
        <w:rPr>
          <w:sz w:val="20"/>
          <w:szCs w:val="20"/>
          <w:lang w:val="fr-CA"/>
        </w:rPr>
        <w:tab/>
        <w:t>le 14 juin 2013</w:t>
      </w:r>
    </w:p>
    <w:p w:rsidR="00CB435F" w:rsidRPr="00542A4B" w:rsidRDefault="00CB435F" w:rsidP="00CB435F">
      <w:pPr>
        <w:widowControl w:val="0"/>
        <w:ind w:left="2880" w:hanging="2880"/>
        <w:jc w:val="both"/>
        <w:rPr>
          <w:sz w:val="20"/>
          <w:szCs w:val="20"/>
          <w:lang w:val="fr-CA"/>
        </w:rPr>
      </w:pPr>
    </w:p>
    <w:p w:rsidR="00CB435F" w:rsidRPr="00542A4B" w:rsidRDefault="00CB435F" w:rsidP="00CB435F">
      <w:pPr>
        <w:widowControl w:val="0"/>
        <w:ind w:left="2880" w:hanging="2880"/>
        <w:jc w:val="both"/>
        <w:rPr>
          <w:sz w:val="20"/>
          <w:szCs w:val="20"/>
          <w:lang w:val="fr-CA"/>
        </w:rPr>
      </w:pPr>
      <w:r w:rsidRPr="00542A4B">
        <w:rPr>
          <w:sz w:val="20"/>
          <w:szCs w:val="20"/>
          <w:lang w:val="fr-CA"/>
        </w:rPr>
        <w:t>Avocats :</w:t>
      </w:r>
      <w:r w:rsidRPr="00542A4B">
        <w:rPr>
          <w:sz w:val="20"/>
          <w:szCs w:val="20"/>
          <w:lang w:val="fr-CA"/>
        </w:rPr>
        <w:tab/>
        <w:t>Gillian Roberts et Deborah Calderwood pour l’appelante</w:t>
      </w:r>
    </w:p>
    <w:p w:rsidR="00CB435F" w:rsidRPr="00542A4B" w:rsidRDefault="00CB435F" w:rsidP="00CB435F">
      <w:pPr>
        <w:widowControl w:val="0"/>
        <w:ind w:left="2880" w:hanging="2880"/>
        <w:jc w:val="both"/>
        <w:rPr>
          <w:sz w:val="20"/>
          <w:szCs w:val="20"/>
          <w:lang w:val="fr-CA"/>
        </w:rPr>
      </w:pPr>
      <w:r>
        <w:rPr>
          <w:sz w:val="20"/>
          <w:szCs w:val="20"/>
          <w:lang w:val="fr-CA"/>
        </w:rPr>
        <w:tab/>
      </w:r>
      <w:r w:rsidRPr="00542A4B">
        <w:rPr>
          <w:sz w:val="20"/>
          <w:szCs w:val="20"/>
          <w:lang w:val="fr-CA"/>
        </w:rPr>
        <w:t>Delmar Doucette, Angela Ruffo et Jessica Orkin pour l’intimé</w:t>
      </w:r>
    </w:p>
    <w:p w:rsidR="00CB435F" w:rsidRPr="00542A4B" w:rsidRDefault="00CB435F" w:rsidP="00CB435F">
      <w:pPr>
        <w:rPr>
          <w:sz w:val="20"/>
          <w:szCs w:val="20"/>
          <w:lang w:val="fr-CA"/>
        </w:rPr>
      </w:pPr>
    </w:p>
    <w:p w:rsidR="000B3C9A" w:rsidRDefault="00215143" w:rsidP="000B3C9A">
      <w:pPr>
        <w:tabs>
          <w:tab w:val="left" w:pos="-1440"/>
          <w:tab w:val="left" w:pos="-720"/>
        </w:tabs>
        <w:jc w:val="both"/>
        <w:rPr>
          <w:sz w:val="20"/>
          <w:szCs w:val="20"/>
          <w:lang w:val="fr-CA"/>
        </w:rPr>
      </w:pPr>
      <w:r>
        <w:rPr>
          <w:sz w:val="20"/>
          <w:szCs w:val="20"/>
          <w:lang w:val="fr-CA"/>
        </w:rPr>
        <w:pict>
          <v:rect id="_x0000_i1104" style="width:2in;height:1pt" o:hrpct="0" o:hralign="center" o:hrstd="t" o:hrnoshade="t" o:hr="t" fillcolor="black [3213]" stroked="f"/>
        </w:pict>
      </w:r>
    </w:p>
    <w:p w:rsidR="006A6E04" w:rsidRDefault="006A6E04" w:rsidP="000B3C9A">
      <w:pPr>
        <w:tabs>
          <w:tab w:val="left" w:pos="-1440"/>
          <w:tab w:val="left" w:pos="-720"/>
        </w:tabs>
        <w:jc w:val="both"/>
        <w:rPr>
          <w:sz w:val="20"/>
          <w:szCs w:val="20"/>
          <w:lang w:val="fr-CA"/>
        </w:rPr>
      </w:pPr>
    </w:p>
    <w:p w:rsidR="006A6E04" w:rsidRDefault="006A6E04" w:rsidP="000B3C9A">
      <w:pPr>
        <w:tabs>
          <w:tab w:val="left" w:pos="-1440"/>
          <w:tab w:val="left" w:pos="-720"/>
        </w:tabs>
        <w:jc w:val="both"/>
        <w:rPr>
          <w:sz w:val="20"/>
          <w:szCs w:val="20"/>
          <w:lang w:val="fr-CA"/>
        </w:rPr>
      </w:pPr>
    </w:p>
    <w:p w:rsidR="006A6E04" w:rsidRDefault="006A6E04">
      <w:pPr>
        <w:rPr>
          <w:sz w:val="20"/>
          <w:szCs w:val="20"/>
          <w:lang w:val="fr-CA"/>
        </w:rPr>
      </w:pPr>
      <w:r>
        <w:rPr>
          <w:sz w:val="20"/>
          <w:szCs w:val="20"/>
          <w:lang w:val="fr-CA"/>
        </w:rPr>
        <w:br w:type="page"/>
      </w:r>
    </w:p>
    <w:p w:rsidR="00357392" w:rsidRPr="00912019" w:rsidRDefault="000944FD" w:rsidP="00357392">
      <w:pPr>
        <w:widowControl w:val="0"/>
        <w:ind w:left="720" w:hanging="720"/>
        <w:jc w:val="both"/>
        <w:rPr>
          <w:sz w:val="20"/>
          <w:szCs w:val="20"/>
        </w:rPr>
      </w:pPr>
      <w:r w:rsidRPr="00912019">
        <w:rPr>
          <w:b/>
          <w:sz w:val="20"/>
          <w:szCs w:val="20"/>
        </w:rPr>
        <w:lastRenderedPageBreak/>
        <w:fldChar w:fldCharType="begin"/>
      </w:r>
      <w:r w:rsidR="00357392" w:rsidRPr="00912019">
        <w:rPr>
          <w:b/>
          <w:sz w:val="20"/>
          <w:szCs w:val="20"/>
        </w:rPr>
        <w:instrText xml:space="preserve"> SEQ CHAPTER \h \r 1</w:instrText>
      </w:r>
      <w:r w:rsidRPr="00912019">
        <w:rPr>
          <w:b/>
          <w:sz w:val="20"/>
          <w:szCs w:val="20"/>
        </w:rPr>
        <w:fldChar w:fldCharType="end"/>
      </w:r>
      <w:r w:rsidR="00357392" w:rsidRPr="00912019">
        <w:rPr>
          <w:b/>
          <w:sz w:val="20"/>
          <w:szCs w:val="20"/>
        </w:rPr>
        <w:t>35492</w:t>
      </w:r>
      <w:r w:rsidR="00357392" w:rsidRPr="00912019">
        <w:rPr>
          <w:sz w:val="20"/>
          <w:szCs w:val="20"/>
        </w:rPr>
        <w:tab/>
      </w:r>
      <w:r w:rsidR="00357392" w:rsidRPr="00912019">
        <w:rPr>
          <w:b/>
          <w:i/>
          <w:sz w:val="20"/>
          <w:szCs w:val="20"/>
        </w:rPr>
        <w:t>White Burgess Langille Inman, carrying on business as WBLI Chartered Accountants and R. Brian Burgess v. Abbott and Haliburton Company Limited, et al.</w:t>
      </w:r>
    </w:p>
    <w:p w:rsidR="00357392" w:rsidRPr="00912019" w:rsidRDefault="00357392" w:rsidP="00357392">
      <w:pPr>
        <w:widowControl w:val="0"/>
        <w:jc w:val="both"/>
        <w:rPr>
          <w:sz w:val="20"/>
          <w:szCs w:val="20"/>
        </w:rPr>
      </w:pPr>
    </w:p>
    <w:p w:rsidR="00357392" w:rsidRPr="00912019" w:rsidRDefault="00357392" w:rsidP="00357392">
      <w:pPr>
        <w:jc w:val="both"/>
        <w:rPr>
          <w:sz w:val="20"/>
          <w:szCs w:val="20"/>
        </w:rPr>
      </w:pPr>
      <w:r w:rsidRPr="00912019">
        <w:rPr>
          <w:sz w:val="20"/>
          <w:szCs w:val="20"/>
        </w:rPr>
        <w:t xml:space="preserve">Evidence - Expert evidence - Admissibility - Civil procedure - Striking part or all of affidavit - Objection to report and advance ruling - Appellants applying to have respondents’ action dismissed summarily - Respondents filing expert’s report supporting their position by way of affidavit - Appellants’ preliminary motion to have report expunged from record granted on basis that affidavit fell short of requirement that expert's evidence must be seen to be independent - Whether Canadian courts should, in the exercise of their gatekeeper function, exclude a proposed expert who clearly lacks the requisite independence to qualify as an expert - </w:t>
      </w:r>
      <w:r w:rsidRPr="00912019">
        <w:rPr>
          <w:i/>
          <w:sz w:val="20"/>
          <w:szCs w:val="20"/>
        </w:rPr>
        <w:t>Civil Procedure Rules</w:t>
      </w:r>
      <w:r w:rsidRPr="00912019">
        <w:rPr>
          <w:sz w:val="20"/>
          <w:szCs w:val="20"/>
        </w:rPr>
        <w:t>, N.S. Civ. Pro. Rules 2009, rules 39, 55.</w:t>
      </w:r>
    </w:p>
    <w:p w:rsidR="00357392" w:rsidRPr="00912019" w:rsidRDefault="00357392" w:rsidP="00357392">
      <w:pPr>
        <w:widowControl w:val="0"/>
        <w:jc w:val="both"/>
        <w:rPr>
          <w:sz w:val="20"/>
          <w:szCs w:val="20"/>
        </w:rPr>
      </w:pPr>
    </w:p>
    <w:p w:rsidR="00357392" w:rsidRPr="00912019" w:rsidRDefault="00357392" w:rsidP="00357392">
      <w:pPr>
        <w:widowControl w:val="0"/>
        <w:jc w:val="both"/>
        <w:rPr>
          <w:sz w:val="20"/>
          <w:szCs w:val="20"/>
        </w:rPr>
      </w:pPr>
      <w:r w:rsidRPr="00912019">
        <w:rPr>
          <w:sz w:val="20"/>
          <w:szCs w:val="20"/>
        </w:rPr>
        <w:t>The respondents brought an action in professional negligence against the appellant accountants, who applied to have the action dismissed summarily.  To defend the motion, the respondents commissioned an expert in forensic accounting.  Her report, supporting the respondents</w:t>
      </w:r>
      <w:r w:rsidR="00570AFA">
        <w:rPr>
          <w:sz w:val="20"/>
          <w:szCs w:val="20"/>
        </w:rPr>
        <w:t>’</w:t>
      </w:r>
      <w:r w:rsidRPr="00912019">
        <w:rPr>
          <w:sz w:val="20"/>
          <w:szCs w:val="20"/>
        </w:rPr>
        <w:t xml:space="preserve"> position, was filed with the court by way of an affidavit.  The appellants then applied by way of preliminary motion to have this report expunged from the record.  The motion was granted.  The Court of Appeal granted leave to appeal and, in a majority decision, allowed the appeal on this ground, concluding that the motions judge erred in excluding the affidavit.</w:t>
      </w:r>
    </w:p>
    <w:p w:rsidR="00357392" w:rsidRPr="00912019" w:rsidRDefault="00357392" w:rsidP="00357392">
      <w:pPr>
        <w:widowControl w:val="0"/>
        <w:jc w:val="both"/>
        <w:rPr>
          <w:sz w:val="20"/>
          <w:szCs w:val="20"/>
        </w:rPr>
      </w:pPr>
    </w:p>
    <w:p w:rsidR="00357392" w:rsidRPr="00912019" w:rsidRDefault="00357392" w:rsidP="00357392">
      <w:pPr>
        <w:widowControl w:val="0"/>
        <w:jc w:val="both"/>
        <w:rPr>
          <w:sz w:val="20"/>
          <w:szCs w:val="20"/>
        </w:rPr>
      </w:pPr>
    </w:p>
    <w:p w:rsidR="00357392" w:rsidRPr="00912019" w:rsidRDefault="00357392" w:rsidP="00357392">
      <w:pPr>
        <w:widowControl w:val="0"/>
        <w:ind w:left="2880" w:hanging="2880"/>
        <w:jc w:val="both"/>
        <w:rPr>
          <w:sz w:val="20"/>
          <w:szCs w:val="20"/>
        </w:rPr>
      </w:pPr>
      <w:r w:rsidRPr="00912019">
        <w:rPr>
          <w:sz w:val="20"/>
          <w:szCs w:val="20"/>
        </w:rPr>
        <w:t>Origin of the case:</w:t>
      </w:r>
      <w:r w:rsidRPr="00912019">
        <w:rPr>
          <w:sz w:val="20"/>
          <w:szCs w:val="20"/>
        </w:rPr>
        <w:tab/>
        <w:t>Nova Scotia</w:t>
      </w:r>
    </w:p>
    <w:p w:rsidR="00357392" w:rsidRPr="00912019" w:rsidRDefault="00357392" w:rsidP="00357392">
      <w:pPr>
        <w:widowControl w:val="0"/>
        <w:ind w:left="2880" w:hanging="2880"/>
        <w:jc w:val="both"/>
        <w:rPr>
          <w:sz w:val="20"/>
          <w:szCs w:val="20"/>
        </w:rPr>
      </w:pPr>
    </w:p>
    <w:p w:rsidR="00357392" w:rsidRPr="00912019" w:rsidRDefault="00357392" w:rsidP="00357392">
      <w:pPr>
        <w:widowControl w:val="0"/>
        <w:ind w:left="2880" w:hanging="2880"/>
        <w:jc w:val="both"/>
        <w:rPr>
          <w:sz w:val="20"/>
          <w:szCs w:val="20"/>
        </w:rPr>
      </w:pPr>
      <w:r w:rsidRPr="00912019">
        <w:rPr>
          <w:sz w:val="20"/>
          <w:szCs w:val="20"/>
        </w:rPr>
        <w:t>File No.:</w:t>
      </w:r>
      <w:r w:rsidRPr="00912019">
        <w:rPr>
          <w:sz w:val="20"/>
          <w:szCs w:val="20"/>
        </w:rPr>
        <w:tab/>
        <w:t>35492</w:t>
      </w:r>
    </w:p>
    <w:p w:rsidR="00357392" w:rsidRPr="00912019" w:rsidRDefault="00357392" w:rsidP="00357392">
      <w:pPr>
        <w:widowControl w:val="0"/>
        <w:ind w:left="2880" w:hanging="2880"/>
        <w:jc w:val="both"/>
        <w:rPr>
          <w:sz w:val="20"/>
          <w:szCs w:val="20"/>
        </w:rPr>
      </w:pPr>
    </w:p>
    <w:p w:rsidR="00357392" w:rsidRPr="00912019" w:rsidRDefault="00357392" w:rsidP="00357392">
      <w:pPr>
        <w:widowControl w:val="0"/>
        <w:ind w:left="2880" w:hanging="2880"/>
        <w:jc w:val="both"/>
        <w:rPr>
          <w:sz w:val="20"/>
          <w:szCs w:val="20"/>
        </w:rPr>
      </w:pPr>
      <w:r w:rsidRPr="00912019">
        <w:rPr>
          <w:sz w:val="20"/>
          <w:szCs w:val="20"/>
        </w:rPr>
        <w:t>Judgment of the Court of Appeal:</w:t>
      </w:r>
      <w:r w:rsidRPr="00912019">
        <w:rPr>
          <w:sz w:val="20"/>
          <w:szCs w:val="20"/>
        </w:rPr>
        <w:tab/>
        <w:t>May 24, 2013</w:t>
      </w:r>
    </w:p>
    <w:p w:rsidR="00357392" w:rsidRPr="00912019" w:rsidRDefault="00357392" w:rsidP="00357392">
      <w:pPr>
        <w:widowControl w:val="0"/>
        <w:ind w:left="2880" w:hanging="2880"/>
        <w:jc w:val="both"/>
        <w:rPr>
          <w:sz w:val="20"/>
          <w:szCs w:val="20"/>
        </w:rPr>
      </w:pPr>
    </w:p>
    <w:p w:rsidR="00357392" w:rsidRPr="00912019" w:rsidRDefault="00357392" w:rsidP="00357392">
      <w:pPr>
        <w:widowControl w:val="0"/>
        <w:ind w:left="2880" w:hanging="2880"/>
        <w:jc w:val="both"/>
        <w:rPr>
          <w:sz w:val="20"/>
          <w:szCs w:val="20"/>
        </w:rPr>
      </w:pPr>
      <w:r w:rsidRPr="00912019">
        <w:rPr>
          <w:sz w:val="20"/>
          <w:szCs w:val="20"/>
        </w:rPr>
        <w:t>Counsel:</w:t>
      </w:r>
      <w:r w:rsidRPr="00912019">
        <w:rPr>
          <w:sz w:val="20"/>
          <w:szCs w:val="20"/>
        </w:rPr>
        <w:tab/>
        <w:t>Alan L.W. D’Silva, Lesley A. Mercer and James S.F. Wilson for the Appellants</w:t>
      </w:r>
    </w:p>
    <w:p w:rsidR="00357392" w:rsidRPr="00912019" w:rsidRDefault="00357392" w:rsidP="00357392">
      <w:pPr>
        <w:widowControl w:val="0"/>
        <w:ind w:left="2880" w:hanging="2880"/>
        <w:jc w:val="both"/>
        <w:rPr>
          <w:sz w:val="20"/>
          <w:szCs w:val="20"/>
        </w:rPr>
      </w:pPr>
      <w:r w:rsidRPr="00912019">
        <w:rPr>
          <w:sz w:val="20"/>
          <w:szCs w:val="20"/>
        </w:rPr>
        <w:tab/>
        <w:t>Brian F.P. Murphy for the Respondents</w:t>
      </w:r>
    </w:p>
    <w:p w:rsidR="006A6E04" w:rsidRPr="00357392" w:rsidRDefault="006A6E04" w:rsidP="006A6E04">
      <w:pPr>
        <w:tabs>
          <w:tab w:val="left" w:pos="-1440"/>
          <w:tab w:val="left" w:pos="-720"/>
        </w:tabs>
        <w:jc w:val="both"/>
        <w:rPr>
          <w:sz w:val="20"/>
          <w:szCs w:val="20"/>
        </w:rPr>
      </w:pPr>
    </w:p>
    <w:p w:rsidR="006A6E04" w:rsidRDefault="00215143" w:rsidP="006A6E04">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357392" w:rsidRPr="00357392" w:rsidRDefault="00357392" w:rsidP="00357392">
      <w:pPr>
        <w:widowControl w:val="0"/>
        <w:ind w:left="720" w:hanging="720"/>
        <w:jc w:val="both"/>
        <w:rPr>
          <w:b/>
          <w:sz w:val="20"/>
          <w:szCs w:val="20"/>
          <w:lang w:val="fr-CA"/>
        </w:rPr>
      </w:pPr>
      <w:r w:rsidRPr="00357392">
        <w:rPr>
          <w:b/>
          <w:sz w:val="20"/>
          <w:szCs w:val="20"/>
          <w:lang w:val="fr-CA"/>
        </w:rPr>
        <w:lastRenderedPageBreak/>
        <w:t>35492</w:t>
      </w:r>
      <w:r w:rsidRPr="00357392">
        <w:rPr>
          <w:b/>
          <w:sz w:val="20"/>
          <w:szCs w:val="20"/>
          <w:lang w:val="fr-CA"/>
        </w:rPr>
        <w:tab/>
      </w:r>
      <w:r w:rsidRPr="00357392">
        <w:rPr>
          <w:b/>
          <w:i/>
          <w:sz w:val="20"/>
          <w:szCs w:val="20"/>
          <w:lang w:val="fr-CA"/>
        </w:rPr>
        <w:t xml:space="preserve">White </w:t>
      </w:r>
      <w:r w:rsidRPr="00E64F1B">
        <w:rPr>
          <w:rFonts w:eastAsia="Times New Roman"/>
          <w:b/>
          <w:i/>
          <w:sz w:val="20"/>
          <w:szCs w:val="20"/>
          <w:lang w:val="fr-CA" w:eastAsia="en-CA"/>
        </w:rPr>
        <w:t>Burgess</w:t>
      </w:r>
      <w:r w:rsidRPr="00357392">
        <w:rPr>
          <w:b/>
          <w:i/>
          <w:sz w:val="20"/>
          <w:szCs w:val="20"/>
          <w:lang w:val="fr-CA"/>
        </w:rPr>
        <w:t xml:space="preserve"> Langille Inman, faisant affaire sous le nom de WBLI Chartered Accountants et R. Brian Burgess c. Abbott and Haliburton Company Limited </w:t>
      </w:r>
    </w:p>
    <w:p w:rsidR="00357392" w:rsidRPr="00357392" w:rsidRDefault="00357392" w:rsidP="00357392">
      <w:pPr>
        <w:rPr>
          <w:sz w:val="20"/>
          <w:szCs w:val="20"/>
          <w:lang w:val="fr-CA"/>
        </w:rPr>
      </w:pPr>
    </w:p>
    <w:p w:rsidR="00357392" w:rsidRPr="00E64F1B" w:rsidRDefault="00357392" w:rsidP="00357392">
      <w:pPr>
        <w:jc w:val="both"/>
        <w:rPr>
          <w:sz w:val="20"/>
          <w:szCs w:val="20"/>
          <w:lang w:val="fr-CA"/>
        </w:rPr>
      </w:pPr>
      <w:r w:rsidRPr="00E64F1B">
        <w:rPr>
          <w:sz w:val="20"/>
          <w:szCs w:val="20"/>
          <w:lang w:val="fr-CA"/>
        </w:rPr>
        <w:t>Preuve - Preuve d’expert - Admissibilité - Procédure civile - Radier un affidavit en tout ou en partie - Objection au rapport et décision anticipée - Les appelants sollicitent le rejet sommaire de l’action des intimées - Les intimées déposent par affidavit un rapport d’expert à l’appui de leur position - La requête préliminaire des appelants pour faire retirer le rapport du dossier est accueillie au motif que l’affidavit ne satisfait pas à l’exigence selon laquelle la preuve d’expert doit être considérée comme indépendante - Dans l’exercice de leur rôle de gardien, les tribunaux canadiens devraient-ils exclure un expert proposé si celui-ci n’a clairement pas l’indépendance requise pour prétendre à cette qualité - Civil Procedure Rules, N.S. Civ. Pro. Rules 2009, art. 39 et 55.</w:t>
      </w:r>
    </w:p>
    <w:p w:rsidR="00357392" w:rsidRPr="00E64F1B" w:rsidRDefault="00357392" w:rsidP="00357392">
      <w:pPr>
        <w:rPr>
          <w:sz w:val="20"/>
          <w:szCs w:val="20"/>
          <w:lang w:val="fr-CA"/>
        </w:rPr>
      </w:pPr>
    </w:p>
    <w:p w:rsidR="00357392" w:rsidRPr="00E64F1B" w:rsidRDefault="00357392" w:rsidP="00357392">
      <w:pPr>
        <w:jc w:val="both"/>
        <w:rPr>
          <w:sz w:val="20"/>
          <w:szCs w:val="20"/>
          <w:lang w:val="fr-CA"/>
        </w:rPr>
      </w:pPr>
      <w:r w:rsidRPr="00E64F1B">
        <w:rPr>
          <w:sz w:val="20"/>
          <w:szCs w:val="20"/>
          <w:lang w:val="fr-CA"/>
        </w:rPr>
        <w:t xml:space="preserve">Les intimées ont intenté une action en négligence professionnelle contre les comptables appelants, qui ont pour leur part demandé le rejet sommaire de l’action. Pour contester la requête, les intimées ont retenu les services d’une experte en juricomptabilité. Son rapport, appuyant la position des intimées, a été déposé auprès du tribunal par affidavit. Les appelants ont par la suite présenté une requête préliminaire pour faire retirer le rapport du dossier. La requête a été accueillie. La Cour d’appel a accueilli la demande d’autorisation d’appel et, dans une décision majoritaire, a fait droit à l’appel pour ce motif, concluant que le juge saisi de la requête avait commis une erreur en excluant l’affidavit. </w:t>
      </w:r>
    </w:p>
    <w:p w:rsidR="00357392" w:rsidRPr="00E64F1B" w:rsidRDefault="00357392" w:rsidP="00357392">
      <w:pPr>
        <w:rPr>
          <w:sz w:val="20"/>
          <w:szCs w:val="20"/>
          <w:lang w:val="fr-CA"/>
        </w:rPr>
      </w:pPr>
    </w:p>
    <w:p w:rsidR="00357392" w:rsidRPr="00E64F1B" w:rsidRDefault="00357392" w:rsidP="00357392">
      <w:pPr>
        <w:rPr>
          <w:sz w:val="20"/>
          <w:szCs w:val="20"/>
          <w:lang w:val="fr-CA"/>
        </w:rPr>
      </w:pPr>
    </w:p>
    <w:p w:rsidR="00357392" w:rsidRPr="00E64F1B" w:rsidRDefault="00357392" w:rsidP="00357392">
      <w:pPr>
        <w:ind w:left="2880" w:hanging="2880"/>
        <w:rPr>
          <w:sz w:val="20"/>
          <w:szCs w:val="20"/>
          <w:lang w:val="fr-CA"/>
        </w:rPr>
      </w:pPr>
      <w:r w:rsidRPr="00E64F1B">
        <w:rPr>
          <w:sz w:val="20"/>
          <w:szCs w:val="20"/>
          <w:lang w:val="fr-CA"/>
        </w:rPr>
        <w:t>Origine :</w:t>
      </w:r>
      <w:r w:rsidRPr="00E64F1B">
        <w:rPr>
          <w:sz w:val="20"/>
          <w:szCs w:val="20"/>
          <w:lang w:val="fr-CA"/>
        </w:rPr>
        <w:tab/>
        <w:t>Nouvelle-Écosse</w:t>
      </w:r>
    </w:p>
    <w:p w:rsidR="00357392" w:rsidRPr="00E64F1B" w:rsidRDefault="00357392" w:rsidP="00357392">
      <w:pPr>
        <w:ind w:left="2880" w:hanging="2880"/>
        <w:rPr>
          <w:sz w:val="20"/>
          <w:szCs w:val="20"/>
          <w:lang w:val="fr-CA"/>
        </w:rPr>
      </w:pPr>
    </w:p>
    <w:p w:rsidR="00357392" w:rsidRPr="00E64F1B" w:rsidRDefault="00357392" w:rsidP="00357392">
      <w:pPr>
        <w:ind w:left="2880" w:hanging="2880"/>
        <w:rPr>
          <w:sz w:val="20"/>
          <w:szCs w:val="20"/>
          <w:lang w:val="fr-CA"/>
        </w:rPr>
      </w:pPr>
      <w:r w:rsidRPr="00E64F1B">
        <w:rPr>
          <w:sz w:val="20"/>
          <w:szCs w:val="20"/>
          <w:lang w:val="fr-CA"/>
        </w:rPr>
        <w:t>N</w:t>
      </w:r>
      <w:r w:rsidRPr="00E64F1B">
        <w:rPr>
          <w:sz w:val="20"/>
          <w:szCs w:val="20"/>
          <w:vertAlign w:val="superscript"/>
          <w:lang w:val="fr-CA"/>
        </w:rPr>
        <w:t>o</w:t>
      </w:r>
      <w:r w:rsidRPr="00E64F1B">
        <w:rPr>
          <w:sz w:val="20"/>
          <w:szCs w:val="20"/>
          <w:lang w:val="fr-CA"/>
        </w:rPr>
        <w:t xml:space="preserve"> du greffe : </w:t>
      </w:r>
      <w:r w:rsidRPr="00E64F1B">
        <w:rPr>
          <w:sz w:val="20"/>
          <w:szCs w:val="20"/>
          <w:lang w:val="fr-CA"/>
        </w:rPr>
        <w:tab/>
        <w:t>35492</w:t>
      </w:r>
    </w:p>
    <w:p w:rsidR="00357392" w:rsidRPr="00E64F1B" w:rsidRDefault="00357392" w:rsidP="00357392">
      <w:pPr>
        <w:ind w:left="2880" w:hanging="2880"/>
        <w:rPr>
          <w:sz w:val="20"/>
          <w:szCs w:val="20"/>
          <w:lang w:val="fr-CA"/>
        </w:rPr>
      </w:pPr>
    </w:p>
    <w:p w:rsidR="00357392" w:rsidRPr="00E64F1B" w:rsidRDefault="00357392" w:rsidP="00357392">
      <w:pPr>
        <w:ind w:left="2880" w:hanging="2880"/>
        <w:rPr>
          <w:sz w:val="20"/>
          <w:szCs w:val="20"/>
          <w:lang w:val="fr-CA"/>
        </w:rPr>
      </w:pPr>
      <w:r w:rsidRPr="00E64F1B">
        <w:rPr>
          <w:sz w:val="20"/>
          <w:szCs w:val="20"/>
          <w:lang w:val="fr-CA"/>
        </w:rPr>
        <w:t>Arrêt de la Cour d’appel :</w:t>
      </w:r>
      <w:r w:rsidRPr="00E64F1B">
        <w:rPr>
          <w:sz w:val="20"/>
          <w:szCs w:val="20"/>
          <w:lang w:val="fr-CA"/>
        </w:rPr>
        <w:tab/>
        <w:t>le 24 mai 2013</w:t>
      </w:r>
    </w:p>
    <w:p w:rsidR="00357392" w:rsidRPr="00E64F1B" w:rsidRDefault="00357392" w:rsidP="00357392">
      <w:pPr>
        <w:ind w:left="2880" w:hanging="2880"/>
        <w:rPr>
          <w:sz w:val="20"/>
          <w:szCs w:val="20"/>
          <w:lang w:val="fr-CA"/>
        </w:rPr>
      </w:pPr>
    </w:p>
    <w:p w:rsidR="00357392" w:rsidRPr="00E64F1B" w:rsidRDefault="00357392" w:rsidP="00357392">
      <w:pPr>
        <w:widowControl w:val="0"/>
        <w:ind w:left="2880" w:hanging="2880"/>
        <w:rPr>
          <w:sz w:val="20"/>
          <w:szCs w:val="20"/>
          <w:lang w:val="fr-CA"/>
        </w:rPr>
      </w:pPr>
      <w:r w:rsidRPr="00E64F1B">
        <w:rPr>
          <w:sz w:val="20"/>
          <w:szCs w:val="20"/>
          <w:lang w:val="fr-CA"/>
        </w:rPr>
        <w:t>Avocats :</w:t>
      </w:r>
      <w:r w:rsidRPr="00E64F1B">
        <w:rPr>
          <w:sz w:val="20"/>
          <w:szCs w:val="20"/>
          <w:lang w:val="fr-CA"/>
        </w:rPr>
        <w:tab/>
        <w:t>Alan L.W. D’Silva, Lesley A. Mercer et James S.F. Wilson pour les demandeurs</w:t>
      </w:r>
    </w:p>
    <w:p w:rsidR="00357392" w:rsidRPr="00E64F1B" w:rsidRDefault="00357392" w:rsidP="00357392">
      <w:pPr>
        <w:widowControl w:val="0"/>
        <w:ind w:left="2880" w:hanging="2880"/>
        <w:rPr>
          <w:sz w:val="20"/>
          <w:szCs w:val="20"/>
          <w:lang w:val="fr-CA"/>
        </w:rPr>
      </w:pPr>
      <w:r w:rsidRPr="00E64F1B">
        <w:rPr>
          <w:sz w:val="20"/>
          <w:szCs w:val="20"/>
          <w:lang w:val="fr-CA"/>
        </w:rPr>
        <w:tab/>
        <w:t>Brian F.P. Murphy pour les intimées</w:t>
      </w:r>
    </w:p>
    <w:p w:rsidR="006A6E04" w:rsidRPr="00DD0B49" w:rsidRDefault="006A6E04" w:rsidP="006A6E04">
      <w:pPr>
        <w:tabs>
          <w:tab w:val="left" w:pos="-1440"/>
          <w:tab w:val="left" w:pos="-720"/>
        </w:tabs>
        <w:jc w:val="both"/>
        <w:rPr>
          <w:sz w:val="20"/>
          <w:szCs w:val="20"/>
          <w:lang w:val="fr-CA"/>
        </w:rPr>
      </w:pPr>
    </w:p>
    <w:p w:rsidR="006A6E04" w:rsidRDefault="00215143" w:rsidP="006A6E04">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357392" w:rsidRPr="008B0AC8" w:rsidRDefault="00357392" w:rsidP="00357392">
      <w:pPr>
        <w:widowControl w:val="0"/>
        <w:ind w:left="720" w:hanging="720"/>
        <w:jc w:val="both"/>
        <w:rPr>
          <w:b/>
          <w:sz w:val="20"/>
          <w:szCs w:val="20"/>
        </w:rPr>
      </w:pPr>
      <w:r w:rsidRPr="008B0AC8">
        <w:rPr>
          <w:b/>
          <w:sz w:val="20"/>
          <w:szCs w:val="20"/>
        </w:rPr>
        <w:lastRenderedPageBreak/>
        <w:t>35448</w:t>
      </w:r>
      <w:r w:rsidR="000944FD" w:rsidRPr="008B0AC8">
        <w:rPr>
          <w:sz w:val="20"/>
          <w:szCs w:val="20"/>
        </w:rPr>
        <w:fldChar w:fldCharType="begin"/>
      </w:r>
      <w:r w:rsidRPr="008B0AC8">
        <w:rPr>
          <w:sz w:val="20"/>
          <w:szCs w:val="20"/>
        </w:rPr>
        <w:instrText xml:space="preserve"> SEQ CHAPTER \h \r 1</w:instrText>
      </w:r>
      <w:r w:rsidR="000944FD" w:rsidRPr="008B0AC8">
        <w:rPr>
          <w:sz w:val="20"/>
          <w:szCs w:val="20"/>
        </w:rPr>
        <w:fldChar w:fldCharType="end"/>
      </w:r>
      <w:r w:rsidRPr="008B0AC8">
        <w:rPr>
          <w:sz w:val="20"/>
          <w:szCs w:val="20"/>
        </w:rPr>
        <w:tab/>
      </w:r>
      <w:r w:rsidRPr="008B0AC8">
        <w:rPr>
          <w:b/>
          <w:i/>
          <w:sz w:val="20"/>
          <w:szCs w:val="20"/>
        </w:rPr>
        <w:t>Attorney General of Quebec v. Attorney General of Canada et al.</w:t>
      </w:r>
    </w:p>
    <w:p w:rsidR="00357392" w:rsidRPr="008B0AC8" w:rsidRDefault="00357392" w:rsidP="00357392">
      <w:pPr>
        <w:widowControl w:val="0"/>
        <w:jc w:val="both"/>
        <w:rPr>
          <w:sz w:val="20"/>
          <w:szCs w:val="20"/>
        </w:rPr>
      </w:pPr>
    </w:p>
    <w:p w:rsidR="00357392" w:rsidRPr="008B0AC8" w:rsidRDefault="00357392" w:rsidP="00357392">
      <w:pPr>
        <w:widowControl w:val="0"/>
        <w:jc w:val="both"/>
        <w:rPr>
          <w:sz w:val="20"/>
          <w:szCs w:val="20"/>
        </w:rPr>
      </w:pPr>
      <w:r w:rsidRPr="008B0AC8">
        <w:rPr>
          <w:sz w:val="20"/>
          <w:szCs w:val="20"/>
        </w:rPr>
        <w:t xml:space="preserve">Constitutional law - Division of powers - Destruction of records related to registration of firearms originating from Quebec - Whether Court of Appeal erred in dismissing motion for declaration that s. 29 of </w:t>
      </w:r>
      <w:r w:rsidRPr="008B0AC8">
        <w:rPr>
          <w:i/>
          <w:sz w:val="20"/>
          <w:szCs w:val="20"/>
        </w:rPr>
        <w:t>Ending the Long-gun Registry Act</w:t>
      </w:r>
      <w:r w:rsidRPr="008B0AC8">
        <w:rPr>
          <w:sz w:val="20"/>
          <w:szCs w:val="20"/>
        </w:rPr>
        <w:t xml:space="preserve"> (S.C. 2012, c. 6) is unconstitutional - Whether Court of Appeal should have concluded that federal government’s refusal to disclose data sought by Quebec is contrary to partnership existing between parties, privacy laws and organizing principle of co-operative federalism.</w:t>
      </w:r>
    </w:p>
    <w:p w:rsidR="00357392" w:rsidRPr="008B0AC8" w:rsidRDefault="00357392" w:rsidP="00357392">
      <w:pPr>
        <w:widowControl w:val="0"/>
        <w:jc w:val="both"/>
        <w:rPr>
          <w:sz w:val="20"/>
          <w:szCs w:val="20"/>
        </w:rPr>
      </w:pPr>
    </w:p>
    <w:p w:rsidR="00357392" w:rsidRPr="008B0AC8" w:rsidRDefault="00357392" w:rsidP="00357392">
      <w:pPr>
        <w:jc w:val="both"/>
        <w:rPr>
          <w:sz w:val="20"/>
          <w:szCs w:val="20"/>
        </w:rPr>
      </w:pPr>
      <w:r w:rsidRPr="008B0AC8">
        <w:rPr>
          <w:sz w:val="20"/>
          <w:szCs w:val="20"/>
        </w:rPr>
        <w:t xml:space="preserve">To save Quebec data related to the registration of long guns, the Attorney General of Quebec seeks a declaration that s. 29 of the </w:t>
      </w:r>
      <w:r w:rsidRPr="008B0AC8">
        <w:rPr>
          <w:i/>
          <w:sz w:val="20"/>
          <w:szCs w:val="20"/>
        </w:rPr>
        <w:t>Ending the Long-gun Registry Act</w:t>
      </w:r>
      <w:r w:rsidRPr="008B0AC8">
        <w:rPr>
          <w:sz w:val="20"/>
          <w:szCs w:val="20"/>
        </w:rPr>
        <w:t xml:space="preserve">, S.C. 2012, c. 6, a statute that amends the </w:t>
      </w:r>
      <w:r w:rsidRPr="008B0AC8">
        <w:rPr>
          <w:i/>
          <w:sz w:val="20"/>
          <w:szCs w:val="20"/>
        </w:rPr>
        <w:t>Criminal Code</w:t>
      </w:r>
      <w:r w:rsidRPr="008B0AC8">
        <w:rPr>
          <w:sz w:val="20"/>
          <w:szCs w:val="20"/>
        </w:rPr>
        <w:t xml:space="preserve"> and the </w:t>
      </w:r>
      <w:r w:rsidRPr="008B0AC8">
        <w:rPr>
          <w:i/>
          <w:sz w:val="20"/>
          <w:szCs w:val="20"/>
        </w:rPr>
        <w:t>Firearms Act</w:t>
      </w:r>
      <w:r w:rsidRPr="008B0AC8">
        <w:rPr>
          <w:sz w:val="20"/>
          <w:szCs w:val="20"/>
        </w:rPr>
        <w:t>, S.C. 1995, c. 39, and requires the destruction of all records in the Canadian Firearms Registry related to the registration of firearms that are neither prohibited firearms nor restricted firearms, is unconstitutional.</w:t>
      </w:r>
    </w:p>
    <w:p w:rsidR="00357392" w:rsidRPr="008B0AC8" w:rsidRDefault="00357392" w:rsidP="00357392">
      <w:pPr>
        <w:widowControl w:val="0"/>
        <w:jc w:val="both"/>
        <w:rPr>
          <w:sz w:val="20"/>
          <w:szCs w:val="20"/>
        </w:rPr>
      </w:pPr>
    </w:p>
    <w:p w:rsidR="00357392" w:rsidRPr="008B0AC8" w:rsidRDefault="00357392" w:rsidP="00357392">
      <w:pPr>
        <w:widowControl w:val="0"/>
        <w:jc w:val="both"/>
        <w:rPr>
          <w:sz w:val="20"/>
          <w:szCs w:val="20"/>
        </w:rPr>
      </w:pPr>
    </w:p>
    <w:p w:rsidR="00357392" w:rsidRPr="008B0AC8" w:rsidRDefault="00357392" w:rsidP="00357392">
      <w:pPr>
        <w:widowControl w:val="0"/>
        <w:ind w:left="2880" w:hanging="2880"/>
        <w:jc w:val="both"/>
        <w:rPr>
          <w:sz w:val="20"/>
          <w:szCs w:val="20"/>
        </w:rPr>
      </w:pPr>
      <w:r w:rsidRPr="008B0AC8">
        <w:rPr>
          <w:sz w:val="20"/>
          <w:szCs w:val="20"/>
        </w:rPr>
        <w:t>Origin of the case:</w:t>
      </w:r>
      <w:r w:rsidRPr="008B0AC8">
        <w:rPr>
          <w:sz w:val="20"/>
          <w:szCs w:val="20"/>
        </w:rPr>
        <w:tab/>
        <w:t>Quebec</w:t>
      </w:r>
    </w:p>
    <w:p w:rsidR="00357392" w:rsidRPr="008B0AC8" w:rsidRDefault="00357392" w:rsidP="00357392">
      <w:pPr>
        <w:widowControl w:val="0"/>
        <w:ind w:left="2880" w:hanging="2880"/>
        <w:jc w:val="both"/>
        <w:rPr>
          <w:sz w:val="20"/>
          <w:szCs w:val="20"/>
        </w:rPr>
      </w:pPr>
    </w:p>
    <w:p w:rsidR="00357392" w:rsidRPr="008B0AC8" w:rsidRDefault="00357392" w:rsidP="00357392">
      <w:pPr>
        <w:widowControl w:val="0"/>
        <w:ind w:left="2880" w:hanging="2880"/>
        <w:jc w:val="both"/>
        <w:rPr>
          <w:sz w:val="20"/>
          <w:szCs w:val="20"/>
        </w:rPr>
      </w:pPr>
      <w:r w:rsidRPr="008B0AC8">
        <w:rPr>
          <w:sz w:val="20"/>
          <w:szCs w:val="20"/>
        </w:rPr>
        <w:t>File No.:</w:t>
      </w:r>
      <w:r w:rsidRPr="008B0AC8">
        <w:rPr>
          <w:sz w:val="20"/>
          <w:szCs w:val="20"/>
        </w:rPr>
        <w:tab/>
        <w:t>35448</w:t>
      </w:r>
    </w:p>
    <w:p w:rsidR="00357392" w:rsidRPr="008B0AC8" w:rsidRDefault="00357392" w:rsidP="00357392">
      <w:pPr>
        <w:widowControl w:val="0"/>
        <w:ind w:left="2880" w:hanging="2880"/>
        <w:jc w:val="both"/>
        <w:rPr>
          <w:sz w:val="20"/>
          <w:szCs w:val="20"/>
        </w:rPr>
      </w:pPr>
    </w:p>
    <w:p w:rsidR="00357392" w:rsidRPr="008B0AC8" w:rsidRDefault="00357392" w:rsidP="00357392">
      <w:pPr>
        <w:widowControl w:val="0"/>
        <w:ind w:left="2880" w:hanging="2880"/>
        <w:jc w:val="both"/>
        <w:rPr>
          <w:sz w:val="20"/>
          <w:szCs w:val="20"/>
        </w:rPr>
      </w:pPr>
      <w:r w:rsidRPr="008B0AC8">
        <w:rPr>
          <w:sz w:val="20"/>
          <w:szCs w:val="20"/>
        </w:rPr>
        <w:t>Judgment of the Court of Appeal:</w:t>
      </w:r>
      <w:r w:rsidRPr="008B0AC8">
        <w:rPr>
          <w:sz w:val="20"/>
          <w:szCs w:val="20"/>
        </w:rPr>
        <w:tab/>
        <w:t>June 27, 2013</w:t>
      </w:r>
    </w:p>
    <w:p w:rsidR="00357392" w:rsidRPr="008B0AC8" w:rsidRDefault="00357392" w:rsidP="00357392">
      <w:pPr>
        <w:widowControl w:val="0"/>
        <w:ind w:left="2880" w:hanging="2880"/>
        <w:jc w:val="both"/>
        <w:rPr>
          <w:sz w:val="20"/>
          <w:szCs w:val="20"/>
        </w:rPr>
      </w:pPr>
    </w:p>
    <w:p w:rsidR="00357392" w:rsidRPr="008B0AC8" w:rsidRDefault="00357392" w:rsidP="00357392">
      <w:pPr>
        <w:widowControl w:val="0"/>
        <w:ind w:left="2880" w:hanging="2880"/>
        <w:jc w:val="both"/>
        <w:rPr>
          <w:sz w:val="20"/>
          <w:szCs w:val="20"/>
        </w:rPr>
      </w:pPr>
      <w:r w:rsidRPr="008B0AC8">
        <w:rPr>
          <w:sz w:val="20"/>
          <w:szCs w:val="20"/>
        </w:rPr>
        <w:t>Counsel:</w:t>
      </w:r>
      <w:r w:rsidRPr="008B0AC8">
        <w:rPr>
          <w:sz w:val="20"/>
          <w:szCs w:val="20"/>
        </w:rPr>
        <w:tab/>
        <w:t>Éric Dufour, Hugo Jean and Suzanne-L. Gauthier</w:t>
      </w:r>
      <w:r w:rsidRPr="008B0AC8">
        <w:rPr>
          <w:b/>
          <w:bCs/>
          <w:sz w:val="20"/>
          <w:szCs w:val="20"/>
        </w:rPr>
        <w:t xml:space="preserve"> </w:t>
      </w:r>
      <w:r w:rsidRPr="008B0AC8">
        <w:rPr>
          <w:sz w:val="20"/>
          <w:szCs w:val="20"/>
        </w:rPr>
        <w:t>for the appellant</w:t>
      </w:r>
    </w:p>
    <w:p w:rsidR="00357392" w:rsidRPr="008B0AC8" w:rsidRDefault="00357392" w:rsidP="00357392">
      <w:pPr>
        <w:widowControl w:val="0"/>
        <w:ind w:left="2880" w:hanging="2880"/>
        <w:jc w:val="both"/>
        <w:rPr>
          <w:sz w:val="20"/>
          <w:szCs w:val="20"/>
        </w:rPr>
      </w:pPr>
      <w:r>
        <w:rPr>
          <w:sz w:val="20"/>
          <w:szCs w:val="20"/>
        </w:rPr>
        <w:tab/>
      </w:r>
      <w:r w:rsidRPr="008B0AC8">
        <w:rPr>
          <w:sz w:val="20"/>
          <w:szCs w:val="20"/>
        </w:rPr>
        <w:t>Claude Joyal, Ian Demers and Dominique Guimond for the respondent</w:t>
      </w:r>
    </w:p>
    <w:p w:rsidR="00357392" w:rsidRPr="008B0AC8" w:rsidRDefault="00357392" w:rsidP="00357392">
      <w:pPr>
        <w:widowControl w:val="0"/>
        <w:ind w:left="2880" w:hanging="2880"/>
        <w:jc w:val="both"/>
        <w:rPr>
          <w:sz w:val="20"/>
          <w:szCs w:val="20"/>
        </w:rPr>
      </w:pPr>
    </w:p>
    <w:p w:rsidR="006A6E04" w:rsidRDefault="00215143" w:rsidP="006A6E04">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357392" w:rsidRPr="00F37F32" w:rsidRDefault="00357392" w:rsidP="00357392">
      <w:pPr>
        <w:widowControl w:val="0"/>
        <w:ind w:left="720" w:hanging="720"/>
        <w:jc w:val="both"/>
        <w:rPr>
          <w:b/>
          <w:sz w:val="20"/>
          <w:szCs w:val="20"/>
          <w:lang w:val="fr-CA"/>
        </w:rPr>
      </w:pPr>
      <w:r w:rsidRPr="00F37F32">
        <w:rPr>
          <w:b/>
          <w:sz w:val="20"/>
          <w:szCs w:val="20"/>
          <w:lang w:val="fr-CA"/>
        </w:rPr>
        <w:lastRenderedPageBreak/>
        <w:t>35448</w:t>
      </w:r>
      <w:r w:rsidR="000944FD" w:rsidRPr="00F37F32">
        <w:rPr>
          <w:sz w:val="20"/>
          <w:szCs w:val="20"/>
          <w:lang w:val="fr-CA"/>
        </w:rPr>
        <w:fldChar w:fldCharType="begin"/>
      </w:r>
      <w:r w:rsidRPr="00F37F32">
        <w:rPr>
          <w:sz w:val="20"/>
          <w:szCs w:val="20"/>
          <w:lang w:val="fr-CA"/>
        </w:rPr>
        <w:instrText xml:space="preserve"> SEQ CHAPTER \h \r 1</w:instrText>
      </w:r>
      <w:r w:rsidR="000944FD" w:rsidRPr="00F37F32">
        <w:rPr>
          <w:sz w:val="20"/>
          <w:szCs w:val="20"/>
        </w:rPr>
        <w:fldChar w:fldCharType="end"/>
      </w:r>
      <w:r w:rsidRPr="00F37F32">
        <w:rPr>
          <w:sz w:val="20"/>
          <w:szCs w:val="20"/>
          <w:lang w:val="fr-CA"/>
        </w:rPr>
        <w:tab/>
      </w:r>
      <w:r w:rsidRPr="00F37F32">
        <w:rPr>
          <w:b/>
          <w:i/>
          <w:sz w:val="20"/>
          <w:szCs w:val="20"/>
          <w:lang w:val="fr-CA"/>
        </w:rPr>
        <w:t>Procureur général du Québec c. Procureur général du Canada et a</w:t>
      </w:r>
      <w:r>
        <w:rPr>
          <w:b/>
          <w:i/>
          <w:sz w:val="20"/>
          <w:szCs w:val="20"/>
          <w:lang w:val="fr-CA"/>
        </w:rPr>
        <w:t>utres</w:t>
      </w:r>
    </w:p>
    <w:p w:rsidR="00357392" w:rsidRPr="00F37F32" w:rsidRDefault="00357392" w:rsidP="00357392">
      <w:pPr>
        <w:widowControl w:val="0"/>
        <w:jc w:val="both"/>
        <w:rPr>
          <w:sz w:val="20"/>
          <w:szCs w:val="20"/>
          <w:lang w:val="fr-CA"/>
        </w:rPr>
      </w:pPr>
    </w:p>
    <w:p w:rsidR="00357392" w:rsidRPr="00F37F32" w:rsidRDefault="00357392" w:rsidP="00357392">
      <w:pPr>
        <w:widowControl w:val="0"/>
        <w:jc w:val="both"/>
        <w:rPr>
          <w:sz w:val="20"/>
          <w:szCs w:val="20"/>
          <w:lang w:val="fr-CA"/>
        </w:rPr>
      </w:pPr>
      <w:r w:rsidRPr="00F37F32">
        <w:rPr>
          <w:sz w:val="20"/>
          <w:szCs w:val="20"/>
          <w:lang w:val="fr-CA"/>
        </w:rPr>
        <w:t xml:space="preserve">Droit constitutionnel - Partage des compétences - Destruction des registres et fichiers relatifs à l’enregistrement des armes à feu provenant du Québec - La Cour d’appel a-t-elle erré en rejetant la requête en déclaration d’invalidité constitutionnelle de l’article 29 de la </w:t>
      </w:r>
      <w:r w:rsidRPr="00F37F32">
        <w:rPr>
          <w:i/>
          <w:sz w:val="20"/>
          <w:szCs w:val="20"/>
          <w:lang w:val="fr-CA"/>
        </w:rPr>
        <w:t>Loi sur l’abolition du registre des armes d’épaule</w:t>
      </w:r>
      <w:r w:rsidRPr="00F37F32">
        <w:rPr>
          <w:sz w:val="20"/>
          <w:szCs w:val="20"/>
          <w:lang w:val="fr-CA"/>
        </w:rPr>
        <w:t xml:space="preserve"> (L.C. 2012, c. 6)? - La Cour d’appel aurait-elle dû conclure que le refus du gouvernement fédéral de communiquer les données revendiquées par le Québec est contraire au partenariat existant entre les parties, aux lois de protection des renseignements personnels ainsi qu’au principe structurel du fédéralisme coopératif?</w:t>
      </w:r>
    </w:p>
    <w:p w:rsidR="00357392" w:rsidRPr="00F37F32" w:rsidRDefault="00357392" w:rsidP="00357392">
      <w:pPr>
        <w:widowControl w:val="0"/>
        <w:jc w:val="both"/>
        <w:rPr>
          <w:sz w:val="20"/>
          <w:szCs w:val="20"/>
          <w:lang w:val="fr-CA"/>
        </w:rPr>
      </w:pPr>
    </w:p>
    <w:p w:rsidR="00357392" w:rsidRPr="00F37F32" w:rsidRDefault="00357392" w:rsidP="00357392">
      <w:pPr>
        <w:jc w:val="both"/>
        <w:rPr>
          <w:sz w:val="20"/>
          <w:szCs w:val="20"/>
          <w:lang w:val="fr-CA"/>
        </w:rPr>
      </w:pPr>
      <w:r w:rsidRPr="00F37F32">
        <w:rPr>
          <w:sz w:val="20"/>
          <w:szCs w:val="20"/>
          <w:lang w:val="fr-CA"/>
        </w:rPr>
        <w:t xml:space="preserve">Afin d’obtenir la sauvegarde des données québécoises relatives à l’enregistrement d’armes d’épaule, le Procureur général du Québec cherche à faire déclarer inconstitutionnel l’article 29 de la </w:t>
      </w:r>
      <w:r w:rsidRPr="00F37F32">
        <w:rPr>
          <w:i/>
          <w:sz w:val="20"/>
          <w:szCs w:val="20"/>
          <w:lang w:val="fr-CA"/>
        </w:rPr>
        <w:t>Loi sur l’abolition du registre des armes d’épaule</w:t>
      </w:r>
      <w:r w:rsidRPr="00F37F32">
        <w:rPr>
          <w:sz w:val="20"/>
          <w:szCs w:val="20"/>
          <w:lang w:val="fr-CA"/>
        </w:rPr>
        <w:t xml:space="preserve">, L.C. 2012, c. 6, une loi qui modifie le </w:t>
      </w:r>
      <w:r w:rsidRPr="00F37F32">
        <w:rPr>
          <w:i/>
          <w:sz w:val="20"/>
          <w:szCs w:val="20"/>
          <w:lang w:val="fr-CA"/>
        </w:rPr>
        <w:t>Code criminel</w:t>
      </w:r>
      <w:r w:rsidRPr="00F37F32">
        <w:rPr>
          <w:sz w:val="20"/>
          <w:szCs w:val="20"/>
          <w:lang w:val="fr-CA"/>
        </w:rPr>
        <w:t xml:space="preserve"> et la </w:t>
      </w:r>
      <w:r w:rsidRPr="00F37F32">
        <w:rPr>
          <w:i/>
          <w:sz w:val="20"/>
          <w:szCs w:val="20"/>
          <w:lang w:val="fr-CA"/>
        </w:rPr>
        <w:t>Loi sur les armes à feu</w:t>
      </w:r>
      <w:r w:rsidRPr="00F37F32">
        <w:rPr>
          <w:sz w:val="20"/>
          <w:szCs w:val="20"/>
          <w:lang w:val="fr-CA"/>
        </w:rPr>
        <w:t>, L.C. 1995, c. 39 en imposant la destruction de tous les registres et fichiers relatifs à l’enregistrement des armes à feu autres que les armes à feu prohibées ou les armes à feu à autorisation restreinte qui se trouvent dans le Registre canadien des armes à feu.</w:t>
      </w:r>
    </w:p>
    <w:p w:rsidR="00357392" w:rsidRPr="00F37F32" w:rsidRDefault="00357392" w:rsidP="00357392">
      <w:pPr>
        <w:widowControl w:val="0"/>
        <w:jc w:val="both"/>
        <w:rPr>
          <w:sz w:val="20"/>
          <w:szCs w:val="20"/>
          <w:lang w:val="fr-CA"/>
        </w:rPr>
      </w:pPr>
    </w:p>
    <w:p w:rsidR="00357392" w:rsidRPr="00F37F32" w:rsidRDefault="00357392" w:rsidP="00357392">
      <w:pPr>
        <w:widowControl w:val="0"/>
        <w:jc w:val="both"/>
        <w:rPr>
          <w:sz w:val="20"/>
          <w:szCs w:val="20"/>
          <w:lang w:val="fr-CA"/>
        </w:rPr>
      </w:pPr>
    </w:p>
    <w:p w:rsidR="00357392" w:rsidRPr="00F37F32" w:rsidRDefault="00357392" w:rsidP="00357392">
      <w:pPr>
        <w:widowControl w:val="0"/>
        <w:ind w:left="2880" w:hanging="2880"/>
        <w:jc w:val="both"/>
        <w:rPr>
          <w:sz w:val="20"/>
          <w:szCs w:val="20"/>
          <w:lang w:val="fr-CA"/>
        </w:rPr>
      </w:pPr>
      <w:r w:rsidRPr="00F37F32">
        <w:rPr>
          <w:sz w:val="20"/>
          <w:szCs w:val="20"/>
          <w:lang w:val="fr-CA"/>
        </w:rPr>
        <w:t>Origine:</w:t>
      </w:r>
      <w:r w:rsidRPr="00F37F32">
        <w:rPr>
          <w:sz w:val="20"/>
          <w:szCs w:val="20"/>
          <w:lang w:val="fr-CA"/>
        </w:rPr>
        <w:tab/>
        <w:t>Québec</w:t>
      </w:r>
    </w:p>
    <w:p w:rsidR="00357392" w:rsidRPr="00F37F32" w:rsidRDefault="00357392" w:rsidP="00357392">
      <w:pPr>
        <w:widowControl w:val="0"/>
        <w:ind w:left="2880" w:hanging="2880"/>
        <w:jc w:val="both"/>
        <w:rPr>
          <w:sz w:val="20"/>
          <w:szCs w:val="20"/>
          <w:lang w:val="fr-CA"/>
        </w:rPr>
      </w:pPr>
    </w:p>
    <w:p w:rsidR="00357392" w:rsidRPr="00F37F32" w:rsidRDefault="00357392" w:rsidP="00357392">
      <w:pPr>
        <w:widowControl w:val="0"/>
        <w:ind w:left="2880" w:hanging="2880"/>
        <w:jc w:val="both"/>
        <w:rPr>
          <w:sz w:val="20"/>
          <w:szCs w:val="20"/>
          <w:lang w:val="fr-CA"/>
        </w:rPr>
      </w:pPr>
      <w:r w:rsidRPr="00F37F32">
        <w:rPr>
          <w:sz w:val="20"/>
          <w:szCs w:val="20"/>
          <w:lang w:val="fr-CA"/>
        </w:rPr>
        <w:t>N</w:t>
      </w:r>
      <w:r w:rsidRPr="00F37F32">
        <w:rPr>
          <w:sz w:val="20"/>
          <w:szCs w:val="20"/>
          <w:vertAlign w:val="superscript"/>
          <w:lang w:val="fr-CA"/>
        </w:rPr>
        <w:t>o</w:t>
      </w:r>
      <w:r w:rsidRPr="00F37F32">
        <w:rPr>
          <w:sz w:val="20"/>
          <w:szCs w:val="20"/>
          <w:lang w:val="fr-CA"/>
        </w:rPr>
        <w:t xml:space="preserve"> du greffe:</w:t>
      </w:r>
      <w:r w:rsidRPr="00F37F32">
        <w:rPr>
          <w:sz w:val="20"/>
          <w:szCs w:val="20"/>
          <w:lang w:val="fr-CA"/>
        </w:rPr>
        <w:tab/>
        <w:t>35448</w:t>
      </w:r>
    </w:p>
    <w:p w:rsidR="00357392" w:rsidRPr="00F37F32" w:rsidRDefault="00357392" w:rsidP="00357392">
      <w:pPr>
        <w:widowControl w:val="0"/>
        <w:ind w:left="2880" w:hanging="2880"/>
        <w:jc w:val="both"/>
        <w:rPr>
          <w:sz w:val="20"/>
          <w:szCs w:val="20"/>
          <w:lang w:val="fr-CA"/>
        </w:rPr>
      </w:pPr>
    </w:p>
    <w:p w:rsidR="00357392" w:rsidRPr="00F37F32" w:rsidRDefault="00357392" w:rsidP="00357392">
      <w:pPr>
        <w:widowControl w:val="0"/>
        <w:ind w:left="2880" w:hanging="2880"/>
        <w:jc w:val="both"/>
        <w:rPr>
          <w:sz w:val="20"/>
          <w:szCs w:val="20"/>
          <w:lang w:val="fr-CA"/>
        </w:rPr>
      </w:pPr>
      <w:r w:rsidRPr="00F37F32">
        <w:rPr>
          <w:sz w:val="20"/>
          <w:szCs w:val="20"/>
          <w:lang w:val="fr-CA"/>
        </w:rPr>
        <w:t>Arrêt de la Cour d’appel:</w:t>
      </w:r>
      <w:r w:rsidRPr="00F37F32">
        <w:rPr>
          <w:sz w:val="20"/>
          <w:szCs w:val="20"/>
          <w:lang w:val="fr-CA"/>
        </w:rPr>
        <w:tab/>
        <w:t>le 27 juin 2013</w:t>
      </w:r>
    </w:p>
    <w:p w:rsidR="00357392" w:rsidRPr="00F37F32" w:rsidRDefault="00357392" w:rsidP="00357392">
      <w:pPr>
        <w:widowControl w:val="0"/>
        <w:ind w:left="2880" w:hanging="2880"/>
        <w:jc w:val="both"/>
        <w:rPr>
          <w:sz w:val="20"/>
          <w:szCs w:val="20"/>
          <w:lang w:val="fr-CA"/>
        </w:rPr>
      </w:pPr>
    </w:p>
    <w:p w:rsidR="00357392" w:rsidRPr="00F37F32" w:rsidRDefault="00357392" w:rsidP="00357392">
      <w:pPr>
        <w:widowControl w:val="0"/>
        <w:ind w:left="2880" w:hanging="2880"/>
        <w:jc w:val="both"/>
        <w:rPr>
          <w:sz w:val="20"/>
          <w:szCs w:val="20"/>
          <w:lang w:val="fr-CA"/>
        </w:rPr>
      </w:pPr>
      <w:r w:rsidRPr="00F37F32">
        <w:rPr>
          <w:sz w:val="20"/>
          <w:szCs w:val="20"/>
          <w:lang w:val="fr-CA"/>
        </w:rPr>
        <w:t>Avocats:</w:t>
      </w:r>
      <w:r w:rsidRPr="00F37F32">
        <w:rPr>
          <w:sz w:val="20"/>
          <w:szCs w:val="20"/>
          <w:lang w:val="fr-CA"/>
        </w:rPr>
        <w:tab/>
        <w:t>Éric Dufour, Hugo Jean et Suzanne-L. Gauthier</w:t>
      </w:r>
      <w:r w:rsidRPr="00F37F32">
        <w:rPr>
          <w:b/>
          <w:bCs/>
          <w:sz w:val="20"/>
          <w:szCs w:val="20"/>
          <w:lang w:val="fr-CA"/>
        </w:rPr>
        <w:t xml:space="preserve"> </w:t>
      </w:r>
      <w:r w:rsidRPr="00F37F32">
        <w:rPr>
          <w:sz w:val="20"/>
          <w:szCs w:val="20"/>
          <w:lang w:val="fr-CA"/>
        </w:rPr>
        <w:t xml:space="preserve"> pour l’appelant</w:t>
      </w:r>
    </w:p>
    <w:p w:rsidR="00357392" w:rsidRPr="00F37F32" w:rsidRDefault="00357392" w:rsidP="00357392">
      <w:pPr>
        <w:widowControl w:val="0"/>
        <w:ind w:left="2880" w:hanging="2880"/>
        <w:jc w:val="both"/>
        <w:rPr>
          <w:sz w:val="20"/>
          <w:szCs w:val="20"/>
          <w:lang w:val="fr-CA"/>
        </w:rPr>
      </w:pPr>
      <w:r>
        <w:rPr>
          <w:sz w:val="20"/>
          <w:szCs w:val="20"/>
          <w:lang w:val="fr-CA"/>
        </w:rPr>
        <w:tab/>
      </w:r>
      <w:r w:rsidRPr="00F37F32">
        <w:rPr>
          <w:sz w:val="20"/>
          <w:szCs w:val="20"/>
          <w:lang w:val="fr-CA"/>
        </w:rPr>
        <w:t>Claude Joyal, Ian Demers et Dominique Guimond  pour l’intimé</w:t>
      </w:r>
    </w:p>
    <w:p w:rsidR="00357392" w:rsidRPr="00F37F32" w:rsidRDefault="00357392" w:rsidP="00357392">
      <w:pPr>
        <w:widowControl w:val="0"/>
        <w:ind w:left="2880" w:hanging="2880"/>
        <w:jc w:val="both"/>
        <w:rPr>
          <w:sz w:val="20"/>
          <w:szCs w:val="20"/>
          <w:lang w:val="fr-CA"/>
        </w:rPr>
      </w:pPr>
    </w:p>
    <w:p w:rsidR="006A6E04" w:rsidRDefault="00215143" w:rsidP="006A6E04">
      <w:pPr>
        <w:tabs>
          <w:tab w:val="left" w:pos="-1440"/>
          <w:tab w:val="left" w:pos="-720"/>
        </w:tabs>
        <w:jc w:val="both"/>
        <w:rPr>
          <w:sz w:val="20"/>
          <w:szCs w:val="20"/>
          <w:lang w:val="fr-CA"/>
        </w:rPr>
      </w:pPr>
      <w:r>
        <w:rPr>
          <w:sz w:val="20"/>
          <w:szCs w:val="20"/>
          <w:lang w:val="fr-CA"/>
        </w:rPr>
        <w:pict>
          <v:rect id="_x0000_i1108"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BC3A75" w:rsidRPr="00C6408C" w:rsidRDefault="000944FD" w:rsidP="00BC3A75">
      <w:pPr>
        <w:widowControl w:val="0"/>
        <w:ind w:left="720" w:hanging="720"/>
        <w:jc w:val="both"/>
        <w:rPr>
          <w:b/>
          <w:i/>
          <w:sz w:val="20"/>
          <w:szCs w:val="20"/>
        </w:rPr>
      </w:pPr>
      <w:r w:rsidRPr="00C6408C">
        <w:rPr>
          <w:b/>
          <w:sz w:val="20"/>
          <w:szCs w:val="20"/>
        </w:rPr>
        <w:lastRenderedPageBreak/>
        <w:fldChar w:fldCharType="begin"/>
      </w:r>
      <w:r w:rsidR="00BC3A75" w:rsidRPr="00C6408C">
        <w:rPr>
          <w:b/>
          <w:sz w:val="20"/>
          <w:szCs w:val="20"/>
        </w:rPr>
        <w:instrText xml:space="preserve"> SEQ CHAPTER \h \r 1</w:instrText>
      </w:r>
      <w:r w:rsidRPr="00C6408C">
        <w:rPr>
          <w:b/>
          <w:sz w:val="20"/>
          <w:szCs w:val="20"/>
        </w:rPr>
        <w:fldChar w:fldCharType="end"/>
      </w:r>
      <w:r w:rsidR="00BC3A75" w:rsidRPr="00C6408C">
        <w:rPr>
          <w:b/>
          <w:sz w:val="20"/>
          <w:szCs w:val="20"/>
        </w:rPr>
        <w:t>35518</w:t>
      </w:r>
      <w:r w:rsidR="00BC3A75" w:rsidRPr="00C6408C">
        <w:rPr>
          <w:sz w:val="20"/>
          <w:szCs w:val="20"/>
        </w:rPr>
        <w:tab/>
      </w:r>
      <w:r w:rsidR="00BC3A75" w:rsidRPr="00C6408C">
        <w:rPr>
          <w:b/>
          <w:i/>
          <w:sz w:val="20"/>
          <w:szCs w:val="20"/>
        </w:rPr>
        <w:t>Chief Sheldon Taypotat, Michael Bob, Janice McKay, Iris Taypotat and Vera Wasacase as Chief and Council representatives of the Kahkewistahaw First Nation v. Louis Taypotat</w:t>
      </w:r>
    </w:p>
    <w:p w:rsidR="00BC3A75" w:rsidRPr="00C6408C" w:rsidRDefault="00BC3A75" w:rsidP="00BC3A75">
      <w:pPr>
        <w:widowControl w:val="0"/>
        <w:jc w:val="both"/>
        <w:rPr>
          <w:sz w:val="20"/>
          <w:szCs w:val="20"/>
        </w:rPr>
      </w:pPr>
    </w:p>
    <w:p w:rsidR="00BC3A75" w:rsidRPr="00C6408C" w:rsidRDefault="00BC3A75" w:rsidP="00BC3A75">
      <w:pPr>
        <w:widowControl w:val="0"/>
        <w:jc w:val="both"/>
        <w:rPr>
          <w:sz w:val="20"/>
          <w:szCs w:val="20"/>
        </w:rPr>
      </w:pPr>
      <w:r w:rsidRPr="00C6408C">
        <w:rPr>
          <w:i/>
          <w:sz w:val="20"/>
          <w:szCs w:val="20"/>
        </w:rPr>
        <w:t>Charter of Rights and Freedoms</w:t>
      </w:r>
      <w:r w:rsidRPr="00C6408C">
        <w:rPr>
          <w:sz w:val="20"/>
          <w:szCs w:val="20"/>
        </w:rPr>
        <w:t xml:space="preserve"> - Right to Equality - Discrimination based on age - Discrimination based on Aboriginality-residence - Aboriginal law - Do paras. 9.03(c) and 10.01(d) of the </w:t>
      </w:r>
      <w:r w:rsidRPr="00C6408C">
        <w:rPr>
          <w:i/>
          <w:sz w:val="20"/>
          <w:szCs w:val="20"/>
        </w:rPr>
        <w:t>Kahkewistahaw Election Act</w:t>
      </w:r>
      <w:r w:rsidRPr="00C6408C">
        <w:rPr>
          <w:sz w:val="20"/>
          <w:szCs w:val="20"/>
        </w:rPr>
        <w:t xml:space="preserve"> infringe s. 15(1) of the </w:t>
      </w:r>
      <w:r w:rsidRPr="00C6408C">
        <w:rPr>
          <w:i/>
          <w:sz w:val="20"/>
          <w:szCs w:val="20"/>
        </w:rPr>
        <w:t>Canadian Charter of Rights and Freedoms</w:t>
      </w:r>
      <w:r w:rsidRPr="00C6408C">
        <w:rPr>
          <w:sz w:val="20"/>
          <w:szCs w:val="20"/>
        </w:rPr>
        <w:t xml:space="preserve">? - If so, is the infringement a reasonable limit prescribed by law as can be demonstrably justified in a free and democratic society under s. 1 of the </w:t>
      </w:r>
      <w:r w:rsidRPr="00C6408C">
        <w:rPr>
          <w:i/>
          <w:sz w:val="20"/>
          <w:szCs w:val="20"/>
        </w:rPr>
        <w:t>Canadian Charter of Rights and Freedoms</w:t>
      </w:r>
      <w:r w:rsidRPr="00C6408C">
        <w:rPr>
          <w:sz w:val="20"/>
          <w:szCs w:val="20"/>
        </w:rPr>
        <w:t>? - Is the distinction in the present case based on education levels or the enumerated ground of age or analogous ground of Aboriginality-residence? - Does the distinction create a disadvantage by perpetuating prejudice or stereotyping? - Do the education provisions constitute an ameliorative program directed at improving the situation of a group that is in need of ameliorative assistance in order to enhance substantive equality?</w:t>
      </w:r>
    </w:p>
    <w:p w:rsidR="00BC3A75" w:rsidRPr="00C6408C" w:rsidRDefault="00BC3A75" w:rsidP="00BC3A75">
      <w:pPr>
        <w:widowControl w:val="0"/>
        <w:jc w:val="both"/>
        <w:rPr>
          <w:sz w:val="20"/>
          <w:szCs w:val="20"/>
        </w:rPr>
      </w:pPr>
    </w:p>
    <w:p w:rsidR="00BC3A75" w:rsidRPr="00C6408C" w:rsidRDefault="00BC3A75" w:rsidP="00BC3A75">
      <w:pPr>
        <w:widowControl w:val="0"/>
        <w:jc w:val="both"/>
        <w:rPr>
          <w:sz w:val="20"/>
          <w:szCs w:val="20"/>
        </w:rPr>
      </w:pPr>
      <w:r w:rsidRPr="00C6408C">
        <w:rPr>
          <w:sz w:val="20"/>
          <w:szCs w:val="20"/>
        </w:rPr>
        <w:t xml:space="preserve">The appellants were the Chief and Band Council of the Kahkewistahaw First Nation. The respondent was the former Chief of the First Nation. The respondent was 74 years old and had been elected Chief for 27 years. He lost the 2009 election for Chief to his nephew by four votes. Until that point, the First Nation elections were conducted pursuant to the </w:t>
      </w:r>
      <w:r w:rsidRPr="00C6408C">
        <w:rPr>
          <w:i/>
          <w:sz w:val="20"/>
          <w:szCs w:val="20"/>
        </w:rPr>
        <w:t>Indian Act</w:t>
      </w:r>
      <w:r w:rsidRPr="00C6408C">
        <w:rPr>
          <w:sz w:val="20"/>
          <w:szCs w:val="20"/>
        </w:rPr>
        <w:t xml:space="preserve">. </w:t>
      </w:r>
    </w:p>
    <w:p w:rsidR="00BC3A75" w:rsidRPr="00C6408C" w:rsidRDefault="00BC3A75" w:rsidP="00BC3A75">
      <w:pPr>
        <w:widowControl w:val="0"/>
        <w:jc w:val="both"/>
        <w:rPr>
          <w:sz w:val="20"/>
          <w:szCs w:val="20"/>
        </w:rPr>
      </w:pPr>
    </w:p>
    <w:p w:rsidR="00BC3A75" w:rsidRPr="00C6408C" w:rsidRDefault="00BC3A75" w:rsidP="00BC3A75">
      <w:pPr>
        <w:widowControl w:val="0"/>
        <w:jc w:val="both"/>
        <w:rPr>
          <w:sz w:val="20"/>
          <w:szCs w:val="20"/>
        </w:rPr>
      </w:pPr>
      <w:r w:rsidRPr="00C6408C">
        <w:rPr>
          <w:sz w:val="20"/>
          <w:szCs w:val="20"/>
        </w:rPr>
        <w:t xml:space="preserve">The First Nation moved toward a community election code. In doing so, the </w:t>
      </w:r>
      <w:r w:rsidRPr="00C6408C">
        <w:rPr>
          <w:i/>
          <w:sz w:val="20"/>
          <w:szCs w:val="20"/>
        </w:rPr>
        <w:t>Kahkewistahaw Election Act</w:t>
      </w:r>
      <w:r w:rsidRPr="00C6408C">
        <w:rPr>
          <w:sz w:val="20"/>
          <w:szCs w:val="20"/>
        </w:rPr>
        <w:t xml:space="preserve"> (hereinafter ‘</w:t>
      </w:r>
      <w:r w:rsidRPr="00C6408C">
        <w:rPr>
          <w:i/>
          <w:sz w:val="20"/>
          <w:szCs w:val="20"/>
        </w:rPr>
        <w:t>Election Act</w:t>
      </w:r>
      <w:r w:rsidRPr="00C6408C">
        <w:rPr>
          <w:sz w:val="20"/>
          <w:szCs w:val="20"/>
        </w:rPr>
        <w:t xml:space="preserve">’) was developed which would govern the election of the Chief and Council of the First Nation.  The </w:t>
      </w:r>
      <w:r w:rsidRPr="00C6408C">
        <w:rPr>
          <w:i/>
          <w:sz w:val="20"/>
          <w:szCs w:val="20"/>
        </w:rPr>
        <w:t>Election Act</w:t>
      </w:r>
      <w:r w:rsidRPr="00C6408C">
        <w:rPr>
          <w:sz w:val="20"/>
          <w:szCs w:val="20"/>
        </w:rPr>
        <w:t xml:space="preserve"> included specific educational provisions indicating that a candidate must have attained grade 12 or its equivalent. </w:t>
      </w:r>
    </w:p>
    <w:p w:rsidR="00BC3A75" w:rsidRPr="00C6408C" w:rsidRDefault="00BC3A75" w:rsidP="00BC3A75">
      <w:pPr>
        <w:widowControl w:val="0"/>
        <w:jc w:val="both"/>
        <w:rPr>
          <w:sz w:val="20"/>
          <w:szCs w:val="20"/>
        </w:rPr>
      </w:pPr>
    </w:p>
    <w:p w:rsidR="00BC3A75" w:rsidRPr="00C6408C" w:rsidRDefault="00BC3A75" w:rsidP="00BC3A75">
      <w:pPr>
        <w:widowControl w:val="0"/>
        <w:jc w:val="both"/>
        <w:rPr>
          <w:sz w:val="20"/>
          <w:szCs w:val="20"/>
        </w:rPr>
      </w:pPr>
      <w:r w:rsidRPr="00C6408C">
        <w:rPr>
          <w:sz w:val="20"/>
          <w:szCs w:val="20"/>
        </w:rPr>
        <w:t xml:space="preserve">The 2011 election was conducted pursuant to the </w:t>
      </w:r>
      <w:r w:rsidRPr="00C6408C">
        <w:rPr>
          <w:i/>
          <w:sz w:val="20"/>
          <w:szCs w:val="20"/>
        </w:rPr>
        <w:t>Election Act</w:t>
      </w:r>
      <w:r w:rsidRPr="00C6408C">
        <w:rPr>
          <w:sz w:val="20"/>
          <w:szCs w:val="20"/>
        </w:rPr>
        <w:t xml:space="preserve">. The respondent had attended a residential school and was evaluated at a grade 10 level. The Election Officer would not certify the respondent as a candidate for the office of the Chief because he failed to meet the educational requirements in the </w:t>
      </w:r>
      <w:r w:rsidRPr="00C6408C">
        <w:rPr>
          <w:i/>
          <w:sz w:val="20"/>
          <w:szCs w:val="20"/>
        </w:rPr>
        <w:t>Election Act</w:t>
      </w:r>
      <w:r w:rsidRPr="00C6408C">
        <w:rPr>
          <w:sz w:val="20"/>
          <w:szCs w:val="20"/>
        </w:rPr>
        <w:t xml:space="preserve">. The only candidate for Chief that was certified was his nephew, the appellant Sheldon Taypotat, who was declared elected by acclamation. </w:t>
      </w:r>
    </w:p>
    <w:p w:rsidR="00BC3A75" w:rsidRPr="00C6408C" w:rsidRDefault="00BC3A75" w:rsidP="00BC3A75">
      <w:pPr>
        <w:widowControl w:val="0"/>
        <w:jc w:val="both"/>
        <w:rPr>
          <w:sz w:val="20"/>
          <w:szCs w:val="20"/>
        </w:rPr>
      </w:pPr>
    </w:p>
    <w:p w:rsidR="00BC3A75" w:rsidRPr="00C6408C" w:rsidRDefault="00BC3A75" w:rsidP="00BC3A75">
      <w:pPr>
        <w:widowControl w:val="0"/>
        <w:jc w:val="both"/>
        <w:rPr>
          <w:sz w:val="20"/>
          <w:szCs w:val="20"/>
        </w:rPr>
      </w:pPr>
      <w:r w:rsidRPr="00C6408C">
        <w:rPr>
          <w:sz w:val="20"/>
          <w:szCs w:val="20"/>
        </w:rPr>
        <w:t>The application for judicial review was dismissed. The Court of Appeal allowed the appeal and ordered a new election for the position of the Chief of the First Nation. An election was held and the respondent was elected to the position of Chief.</w:t>
      </w:r>
    </w:p>
    <w:p w:rsidR="00BC3A75" w:rsidRPr="00C6408C" w:rsidRDefault="00BC3A75" w:rsidP="00BC3A75">
      <w:pPr>
        <w:widowControl w:val="0"/>
        <w:jc w:val="both"/>
        <w:rPr>
          <w:sz w:val="20"/>
          <w:szCs w:val="20"/>
        </w:rPr>
      </w:pPr>
    </w:p>
    <w:p w:rsidR="00BC3A75" w:rsidRPr="00C6408C" w:rsidRDefault="00BC3A75" w:rsidP="00BC3A75">
      <w:pPr>
        <w:widowControl w:val="0"/>
        <w:jc w:val="both"/>
        <w:rPr>
          <w:sz w:val="20"/>
          <w:szCs w:val="20"/>
        </w:rPr>
      </w:pPr>
    </w:p>
    <w:p w:rsidR="00BC3A75" w:rsidRPr="00C6408C" w:rsidRDefault="00BC3A75" w:rsidP="00BC3A75">
      <w:pPr>
        <w:widowControl w:val="0"/>
        <w:ind w:left="2880" w:hanging="2880"/>
        <w:jc w:val="both"/>
        <w:rPr>
          <w:sz w:val="20"/>
          <w:szCs w:val="20"/>
        </w:rPr>
      </w:pPr>
      <w:r w:rsidRPr="00C6408C">
        <w:rPr>
          <w:sz w:val="20"/>
          <w:szCs w:val="20"/>
        </w:rPr>
        <w:t>Origin of the case:</w:t>
      </w:r>
      <w:r w:rsidRPr="00C6408C">
        <w:rPr>
          <w:sz w:val="20"/>
          <w:szCs w:val="20"/>
        </w:rPr>
        <w:tab/>
        <w:t>Federal Court of Appeal</w:t>
      </w:r>
    </w:p>
    <w:p w:rsidR="00BC3A75" w:rsidRPr="00C6408C" w:rsidRDefault="00BC3A75" w:rsidP="00BC3A75">
      <w:pPr>
        <w:widowControl w:val="0"/>
        <w:ind w:left="2880" w:hanging="2880"/>
        <w:jc w:val="both"/>
        <w:rPr>
          <w:sz w:val="20"/>
          <w:szCs w:val="20"/>
        </w:rPr>
      </w:pPr>
    </w:p>
    <w:p w:rsidR="00BC3A75" w:rsidRPr="00C6408C" w:rsidRDefault="00BC3A75" w:rsidP="00BC3A75">
      <w:pPr>
        <w:widowControl w:val="0"/>
        <w:ind w:left="2880" w:hanging="2880"/>
        <w:jc w:val="both"/>
        <w:rPr>
          <w:sz w:val="20"/>
          <w:szCs w:val="20"/>
        </w:rPr>
      </w:pPr>
      <w:r w:rsidRPr="00C6408C">
        <w:rPr>
          <w:sz w:val="20"/>
          <w:szCs w:val="20"/>
        </w:rPr>
        <w:t>File No.:</w:t>
      </w:r>
      <w:r w:rsidRPr="00C6408C">
        <w:rPr>
          <w:sz w:val="20"/>
          <w:szCs w:val="20"/>
        </w:rPr>
        <w:tab/>
        <w:t>35518</w:t>
      </w:r>
    </w:p>
    <w:p w:rsidR="00BC3A75" w:rsidRPr="00C6408C" w:rsidRDefault="00BC3A75" w:rsidP="00BC3A75">
      <w:pPr>
        <w:widowControl w:val="0"/>
        <w:ind w:left="2880" w:hanging="2880"/>
        <w:jc w:val="both"/>
        <w:rPr>
          <w:sz w:val="20"/>
          <w:szCs w:val="20"/>
        </w:rPr>
      </w:pPr>
    </w:p>
    <w:p w:rsidR="00BC3A75" w:rsidRPr="00C6408C" w:rsidRDefault="00BC3A75" w:rsidP="00BC3A75">
      <w:pPr>
        <w:widowControl w:val="0"/>
        <w:ind w:left="2880" w:hanging="2880"/>
        <w:jc w:val="both"/>
        <w:rPr>
          <w:sz w:val="20"/>
          <w:szCs w:val="20"/>
        </w:rPr>
      </w:pPr>
      <w:r w:rsidRPr="00C6408C">
        <w:rPr>
          <w:sz w:val="20"/>
          <w:szCs w:val="20"/>
        </w:rPr>
        <w:t>Judgment of the Court of Appeal:</w:t>
      </w:r>
      <w:r w:rsidRPr="00C6408C">
        <w:rPr>
          <w:sz w:val="20"/>
          <w:szCs w:val="20"/>
        </w:rPr>
        <w:tab/>
        <w:t>August 13, 2013</w:t>
      </w:r>
    </w:p>
    <w:p w:rsidR="00BC3A75" w:rsidRPr="00C6408C" w:rsidRDefault="00BC3A75" w:rsidP="00BC3A75">
      <w:pPr>
        <w:widowControl w:val="0"/>
        <w:ind w:left="2880" w:hanging="2880"/>
        <w:jc w:val="both"/>
        <w:rPr>
          <w:sz w:val="20"/>
          <w:szCs w:val="20"/>
        </w:rPr>
      </w:pPr>
    </w:p>
    <w:p w:rsidR="00BC3A75" w:rsidRPr="00C6408C" w:rsidRDefault="00BC3A75" w:rsidP="00BC3A75">
      <w:pPr>
        <w:widowControl w:val="0"/>
        <w:ind w:left="2880" w:hanging="2880"/>
        <w:jc w:val="both"/>
        <w:rPr>
          <w:sz w:val="20"/>
          <w:szCs w:val="20"/>
        </w:rPr>
      </w:pPr>
      <w:r w:rsidRPr="00C6408C">
        <w:rPr>
          <w:sz w:val="20"/>
          <w:szCs w:val="20"/>
        </w:rPr>
        <w:t>Counsel:</w:t>
      </w:r>
      <w:r w:rsidRPr="00C6408C">
        <w:rPr>
          <w:sz w:val="20"/>
          <w:szCs w:val="20"/>
        </w:rPr>
        <w:tab/>
        <w:t>James D. Jodouin and Marcus R. Davies for the Appellants</w:t>
      </w:r>
    </w:p>
    <w:p w:rsidR="00BC3A75" w:rsidRPr="00C6408C" w:rsidRDefault="00BC3A75" w:rsidP="00BC3A75">
      <w:pPr>
        <w:widowControl w:val="0"/>
        <w:ind w:left="2880" w:hanging="2880"/>
        <w:jc w:val="both"/>
        <w:rPr>
          <w:sz w:val="20"/>
          <w:szCs w:val="20"/>
        </w:rPr>
      </w:pPr>
      <w:r>
        <w:rPr>
          <w:sz w:val="20"/>
          <w:szCs w:val="20"/>
        </w:rPr>
        <w:tab/>
      </w:r>
      <w:r w:rsidRPr="00C6408C">
        <w:rPr>
          <w:sz w:val="20"/>
          <w:szCs w:val="20"/>
        </w:rPr>
        <w:t>Mervin C. Phillips, Merrilee Rasmussen, Q.C. and Leanne Phillips for the Respondent</w:t>
      </w:r>
    </w:p>
    <w:p w:rsidR="006A6E04" w:rsidRPr="00BC3A75" w:rsidRDefault="006A6E04" w:rsidP="006A6E04">
      <w:pPr>
        <w:tabs>
          <w:tab w:val="left" w:pos="-1440"/>
          <w:tab w:val="left" w:pos="-720"/>
        </w:tabs>
        <w:jc w:val="both"/>
        <w:rPr>
          <w:sz w:val="20"/>
          <w:szCs w:val="20"/>
        </w:rPr>
      </w:pPr>
    </w:p>
    <w:p w:rsidR="006A6E04" w:rsidRDefault="00215143" w:rsidP="006A6E04">
      <w:pPr>
        <w:tabs>
          <w:tab w:val="left" w:pos="-1440"/>
          <w:tab w:val="left" w:pos="-720"/>
        </w:tabs>
        <w:jc w:val="both"/>
        <w:rPr>
          <w:sz w:val="20"/>
          <w:szCs w:val="20"/>
          <w:lang w:val="fr-CA"/>
        </w:rPr>
      </w:pPr>
      <w:r>
        <w:rPr>
          <w:sz w:val="20"/>
          <w:szCs w:val="20"/>
          <w:lang w:val="fr-CA"/>
        </w:rPr>
        <w:pict>
          <v:rect id="_x0000_i1109"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BC3A75" w:rsidRPr="005B30FA" w:rsidRDefault="000944FD" w:rsidP="00BC3A75">
      <w:pPr>
        <w:widowControl w:val="0"/>
        <w:ind w:left="720" w:hanging="720"/>
        <w:jc w:val="both"/>
        <w:rPr>
          <w:b/>
          <w:i/>
          <w:sz w:val="20"/>
          <w:szCs w:val="20"/>
          <w:lang w:val="fr-CA"/>
        </w:rPr>
      </w:pPr>
      <w:r w:rsidRPr="005B30FA">
        <w:rPr>
          <w:b/>
          <w:sz w:val="20"/>
          <w:szCs w:val="20"/>
        </w:rPr>
        <w:lastRenderedPageBreak/>
        <w:fldChar w:fldCharType="begin"/>
      </w:r>
      <w:r w:rsidR="00BC3A75" w:rsidRPr="005B30FA">
        <w:rPr>
          <w:b/>
          <w:sz w:val="20"/>
          <w:szCs w:val="20"/>
          <w:lang w:val="fr-CA"/>
        </w:rPr>
        <w:instrText xml:space="preserve"> SEQ CHAPTER \h \r 1</w:instrText>
      </w:r>
      <w:r w:rsidRPr="005B30FA">
        <w:rPr>
          <w:b/>
          <w:sz w:val="20"/>
          <w:szCs w:val="20"/>
        </w:rPr>
        <w:fldChar w:fldCharType="end"/>
      </w:r>
      <w:r w:rsidR="00BC3A75" w:rsidRPr="005B30FA">
        <w:rPr>
          <w:b/>
          <w:sz w:val="20"/>
          <w:szCs w:val="20"/>
          <w:lang w:val="fr-CA"/>
        </w:rPr>
        <w:t>35518</w:t>
      </w:r>
      <w:r w:rsidR="00BC3A75" w:rsidRPr="005B30FA">
        <w:rPr>
          <w:sz w:val="20"/>
          <w:szCs w:val="20"/>
          <w:lang w:val="fr-CA"/>
        </w:rPr>
        <w:tab/>
      </w:r>
      <w:r w:rsidR="00BC3A75" w:rsidRPr="005B30FA">
        <w:rPr>
          <w:b/>
          <w:i/>
          <w:sz w:val="20"/>
          <w:szCs w:val="20"/>
          <w:lang w:val="fr-CA"/>
        </w:rPr>
        <w:t>Chef Sheldon Taypotat, Michael Bob, Janice McKay, Iris Taypotat et Vera Wasacase, en tant que chef et représentants du conseil de la Première Nation de Kahkewistahaw c. Louis Taypotat</w:t>
      </w:r>
    </w:p>
    <w:p w:rsidR="00BC3A75" w:rsidRPr="005B30FA" w:rsidRDefault="00BC3A75" w:rsidP="00BC3A75">
      <w:pPr>
        <w:widowControl w:val="0"/>
        <w:jc w:val="both"/>
        <w:rPr>
          <w:sz w:val="20"/>
          <w:szCs w:val="20"/>
          <w:lang w:val="fr-CA"/>
        </w:rPr>
      </w:pPr>
    </w:p>
    <w:p w:rsidR="00BC3A75" w:rsidRPr="005B30FA" w:rsidRDefault="00BC3A75" w:rsidP="00BC3A75">
      <w:pPr>
        <w:widowControl w:val="0"/>
        <w:jc w:val="both"/>
        <w:rPr>
          <w:sz w:val="20"/>
          <w:szCs w:val="20"/>
          <w:lang w:val="fr-CA"/>
        </w:rPr>
      </w:pPr>
      <w:r w:rsidRPr="005B30FA">
        <w:rPr>
          <w:i/>
          <w:sz w:val="20"/>
          <w:szCs w:val="20"/>
          <w:lang w:val="fr-CA"/>
        </w:rPr>
        <w:t>Charte des droits et libertés</w:t>
      </w:r>
      <w:r w:rsidRPr="005B30FA">
        <w:rPr>
          <w:sz w:val="20"/>
          <w:szCs w:val="20"/>
          <w:lang w:val="fr-CA"/>
        </w:rPr>
        <w:t xml:space="preserve"> - Droit à l’égalité - Discrimination fondée sur l’âge - Discrimination fondée sur l’autochtonité-lieu de résidence - Droit des Autochtones - Les al. 9.03</w:t>
      </w:r>
      <w:r w:rsidRPr="005B30FA">
        <w:rPr>
          <w:i/>
          <w:sz w:val="20"/>
          <w:szCs w:val="20"/>
          <w:lang w:val="fr-CA"/>
        </w:rPr>
        <w:t>c</w:t>
      </w:r>
      <w:r w:rsidRPr="005B30FA">
        <w:rPr>
          <w:sz w:val="20"/>
          <w:szCs w:val="20"/>
          <w:lang w:val="fr-CA"/>
        </w:rPr>
        <w:t>) et 10.01</w:t>
      </w:r>
      <w:r w:rsidRPr="005B30FA">
        <w:rPr>
          <w:i/>
          <w:sz w:val="20"/>
          <w:szCs w:val="20"/>
          <w:lang w:val="fr-CA"/>
        </w:rPr>
        <w:t>d</w:t>
      </w:r>
      <w:r w:rsidRPr="005B30FA">
        <w:rPr>
          <w:sz w:val="20"/>
          <w:szCs w:val="20"/>
          <w:lang w:val="fr-CA"/>
        </w:rPr>
        <w:t xml:space="preserve">) de la </w:t>
      </w:r>
      <w:r w:rsidRPr="005B30FA">
        <w:rPr>
          <w:i/>
          <w:sz w:val="20"/>
          <w:szCs w:val="20"/>
          <w:lang w:val="fr-CA"/>
        </w:rPr>
        <w:t>Kahkewistahaw Election Act</w:t>
      </w:r>
      <w:r w:rsidRPr="005B30FA">
        <w:rPr>
          <w:sz w:val="20"/>
          <w:szCs w:val="20"/>
          <w:lang w:val="fr-CA"/>
        </w:rPr>
        <w:t xml:space="preserve"> contreviennent-ils au par. 15(1) de la </w:t>
      </w:r>
      <w:r w:rsidRPr="005B30FA">
        <w:rPr>
          <w:i/>
          <w:sz w:val="20"/>
          <w:szCs w:val="20"/>
          <w:lang w:val="fr-CA"/>
        </w:rPr>
        <w:t>Charte canadienne des droits et libertés</w:t>
      </w:r>
      <w:r w:rsidRPr="005B30FA">
        <w:rPr>
          <w:sz w:val="20"/>
          <w:szCs w:val="20"/>
          <w:lang w:val="fr-CA"/>
        </w:rPr>
        <w:t xml:space="preserve">? - Dans l’affirmative, s’agit-il d’une limite raisonnable prescrite par une règle de droit et dont la justification peut se démontrer dans le cadre d’une société libre et démocratique au sens de l’article premier de la </w:t>
      </w:r>
      <w:r w:rsidRPr="005B30FA">
        <w:rPr>
          <w:i/>
          <w:sz w:val="20"/>
          <w:szCs w:val="20"/>
          <w:lang w:val="fr-CA"/>
        </w:rPr>
        <w:t>Charte canadienne des droits et libertés</w:t>
      </w:r>
      <w:r w:rsidRPr="005B30FA">
        <w:rPr>
          <w:sz w:val="20"/>
          <w:szCs w:val="20"/>
          <w:lang w:val="fr-CA"/>
        </w:rPr>
        <w:t xml:space="preserve">? - La distinction faite en l’espèce repose-t-elle sur le niveau de scolarité, le motif énuméré de l’âge ou le motif analogue de l’autochtonité-lieu de résidence? - La distinction crée-t-elle un désavantage par la perpétuation d’un préjudice ou l’application de stéréotypes? - Les dispositions relatives à l’instruction constituent-elles un programme visant à améliorer la situation d’un groupe qui a besoin d’une aide amélioratrice afin d’accroître l’égalité réelle? </w:t>
      </w:r>
    </w:p>
    <w:p w:rsidR="00BC3A75" w:rsidRPr="005B30FA" w:rsidRDefault="00BC3A75" w:rsidP="00BC3A75">
      <w:pPr>
        <w:widowControl w:val="0"/>
        <w:jc w:val="both"/>
        <w:rPr>
          <w:sz w:val="20"/>
          <w:szCs w:val="20"/>
          <w:lang w:val="fr-CA"/>
        </w:rPr>
      </w:pPr>
    </w:p>
    <w:p w:rsidR="00BC3A75" w:rsidRPr="005B30FA" w:rsidRDefault="00BC3A75" w:rsidP="00BC3A75">
      <w:pPr>
        <w:widowControl w:val="0"/>
        <w:jc w:val="both"/>
        <w:rPr>
          <w:sz w:val="20"/>
          <w:szCs w:val="20"/>
          <w:lang w:val="fr-CA"/>
        </w:rPr>
      </w:pPr>
      <w:r w:rsidRPr="005B30FA">
        <w:rPr>
          <w:sz w:val="20"/>
          <w:szCs w:val="20"/>
          <w:lang w:val="fr-CA"/>
        </w:rPr>
        <w:t xml:space="preserve">Les appelants étaient le chef et le conseil de bande de la Première Nation de Kahkewistahaw. L’intimé était l’ancien chef de la Première Nation. L’intimé était âgé de 74 ans et occupait le poste de chef depuis 27 ans. Il a perdu l’élection de 2009, que son neveu a remportée par quatre voix. Les élections de la Première Nation étaient jusqu’alors régies par la </w:t>
      </w:r>
      <w:r w:rsidRPr="005B30FA">
        <w:rPr>
          <w:i/>
          <w:sz w:val="20"/>
          <w:szCs w:val="20"/>
          <w:lang w:val="fr-CA"/>
        </w:rPr>
        <w:t>Loi sur les Indiens</w:t>
      </w:r>
      <w:r w:rsidRPr="005B30FA">
        <w:rPr>
          <w:sz w:val="20"/>
          <w:szCs w:val="20"/>
          <w:lang w:val="fr-CA"/>
        </w:rPr>
        <w:t xml:space="preserve">. </w:t>
      </w:r>
    </w:p>
    <w:p w:rsidR="00BC3A75" w:rsidRPr="005B30FA" w:rsidRDefault="00BC3A75" w:rsidP="00BC3A75">
      <w:pPr>
        <w:widowControl w:val="0"/>
        <w:jc w:val="both"/>
        <w:rPr>
          <w:sz w:val="20"/>
          <w:szCs w:val="20"/>
          <w:lang w:val="fr-CA"/>
        </w:rPr>
      </w:pPr>
    </w:p>
    <w:p w:rsidR="00BC3A75" w:rsidRPr="005B30FA" w:rsidRDefault="00BC3A75" w:rsidP="00BC3A75">
      <w:pPr>
        <w:widowControl w:val="0"/>
        <w:jc w:val="both"/>
        <w:rPr>
          <w:sz w:val="20"/>
          <w:szCs w:val="20"/>
          <w:lang w:val="fr-CA"/>
        </w:rPr>
      </w:pPr>
      <w:r w:rsidRPr="005B30FA">
        <w:rPr>
          <w:sz w:val="20"/>
          <w:szCs w:val="20"/>
          <w:lang w:val="fr-CA"/>
        </w:rPr>
        <w:t xml:space="preserve">La Première Nation s’est tournée vers un code électoral communautaire. Ce faisant, elle a adopté la </w:t>
      </w:r>
      <w:r w:rsidRPr="005B30FA">
        <w:rPr>
          <w:i/>
          <w:sz w:val="20"/>
          <w:szCs w:val="20"/>
          <w:lang w:val="fr-CA"/>
        </w:rPr>
        <w:t>Kahkewistahaw Election Act</w:t>
      </w:r>
      <w:r w:rsidRPr="005B30FA">
        <w:rPr>
          <w:sz w:val="20"/>
          <w:szCs w:val="20"/>
          <w:lang w:val="fr-CA"/>
        </w:rPr>
        <w:t xml:space="preserve"> (ci-après l’« </w:t>
      </w:r>
      <w:r w:rsidRPr="005B30FA">
        <w:rPr>
          <w:i/>
          <w:sz w:val="20"/>
          <w:szCs w:val="20"/>
          <w:lang w:val="fr-CA"/>
        </w:rPr>
        <w:t>Election Act </w:t>
      </w:r>
      <w:r w:rsidRPr="005B30FA">
        <w:rPr>
          <w:sz w:val="20"/>
          <w:szCs w:val="20"/>
          <w:lang w:val="fr-CA"/>
        </w:rPr>
        <w:t>»), qui devait régir l’élection du chef et du conseil de la Première Nation. L’</w:t>
      </w:r>
      <w:r w:rsidRPr="005B30FA">
        <w:rPr>
          <w:i/>
          <w:sz w:val="20"/>
          <w:szCs w:val="20"/>
          <w:lang w:val="fr-CA"/>
        </w:rPr>
        <w:t>Election Act</w:t>
      </w:r>
      <w:r w:rsidRPr="005B30FA">
        <w:rPr>
          <w:sz w:val="20"/>
          <w:szCs w:val="20"/>
          <w:lang w:val="fr-CA"/>
        </w:rPr>
        <w:t xml:space="preserve"> contenait des dispositions précises selon lesquelles les candidats devaient avoir une douzième année ou l’équivalent. </w:t>
      </w:r>
    </w:p>
    <w:p w:rsidR="00BC3A75" w:rsidRPr="005B30FA" w:rsidRDefault="00BC3A75" w:rsidP="00BC3A75">
      <w:pPr>
        <w:widowControl w:val="0"/>
        <w:jc w:val="both"/>
        <w:rPr>
          <w:sz w:val="20"/>
          <w:szCs w:val="20"/>
          <w:lang w:val="fr-CA"/>
        </w:rPr>
      </w:pPr>
    </w:p>
    <w:p w:rsidR="00BC3A75" w:rsidRPr="005B30FA" w:rsidRDefault="00BC3A75" w:rsidP="00BC3A75">
      <w:pPr>
        <w:widowControl w:val="0"/>
        <w:jc w:val="both"/>
        <w:rPr>
          <w:sz w:val="20"/>
          <w:szCs w:val="20"/>
          <w:lang w:val="fr-CA"/>
        </w:rPr>
      </w:pPr>
      <w:r w:rsidRPr="005B30FA">
        <w:rPr>
          <w:sz w:val="20"/>
          <w:szCs w:val="20"/>
          <w:lang w:val="fr-CA"/>
        </w:rPr>
        <w:t>L’élection de 2011 s’est déroulée conformément à l’</w:t>
      </w:r>
      <w:r w:rsidRPr="005B30FA">
        <w:rPr>
          <w:i/>
          <w:sz w:val="20"/>
          <w:szCs w:val="20"/>
          <w:lang w:val="fr-CA"/>
        </w:rPr>
        <w:t>Election Act</w:t>
      </w:r>
      <w:r w:rsidRPr="005B30FA">
        <w:rPr>
          <w:sz w:val="20"/>
          <w:szCs w:val="20"/>
          <w:lang w:val="fr-CA"/>
        </w:rPr>
        <w:t>. L’intimé avait étudié au pensionnat, et un test avait révélé que son niveau de scolarité correspondait à la dixième année. La fonctionnaire électorale a refusé de reconnaître l’intimé comme candidat qualifié pour le poste de chef, parce qu’il ne satisfaisait pas aux exigences de l’</w:t>
      </w:r>
      <w:r w:rsidRPr="005B30FA">
        <w:rPr>
          <w:i/>
          <w:sz w:val="20"/>
          <w:szCs w:val="20"/>
          <w:lang w:val="fr-CA"/>
        </w:rPr>
        <w:t xml:space="preserve">Election Act </w:t>
      </w:r>
      <w:r w:rsidRPr="005B30FA">
        <w:rPr>
          <w:sz w:val="20"/>
          <w:szCs w:val="20"/>
          <w:lang w:val="fr-CA"/>
        </w:rPr>
        <w:t xml:space="preserve">relatives aux études. Le seul candidat reconnu comme ayant les qualifications requises pour occuper ce poste fut son neveu, l’appelant Sheldon Taypotat, qui a été déclaré élu par acclamation. </w:t>
      </w:r>
    </w:p>
    <w:p w:rsidR="00BC3A75" w:rsidRPr="005B30FA" w:rsidRDefault="00BC3A75" w:rsidP="00BC3A75">
      <w:pPr>
        <w:widowControl w:val="0"/>
        <w:jc w:val="both"/>
        <w:rPr>
          <w:sz w:val="20"/>
          <w:szCs w:val="20"/>
          <w:lang w:val="fr-CA"/>
        </w:rPr>
      </w:pPr>
    </w:p>
    <w:p w:rsidR="00BC3A75" w:rsidRPr="005B30FA" w:rsidRDefault="00BC3A75" w:rsidP="00BC3A75">
      <w:pPr>
        <w:widowControl w:val="0"/>
        <w:jc w:val="both"/>
        <w:rPr>
          <w:sz w:val="20"/>
          <w:szCs w:val="20"/>
          <w:lang w:val="fr-CA"/>
        </w:rPr>
      </w:pPr>
      <w:r w:rsidRPr="005B30FA">
        <w:rPr>
          <w:sz w:val="20"/>
          <w:szCs w:val="20"/>
          <w:lang w:val="fr-CA"/>
        </w:rPr>
        <w:t>La demande de contrôle judiciaire a été rejetée. La Cour d’appel a accueilli l’appel et ordonné la tenue d’une nouvelle élection pour combler le poste de chef de la Première Nation. Une élection a eu lieu et l’intimé a été élu au poste de chef.</w:t>
      </w:r>
    </w:p>
    <w:p w:rsidR="00BC3A75" w:rsidRPr="005B30FA" w:rsidRDefault="00BC3A75" w:rsidP="00BC3A75">
      <w:pPr>
        <w:widowControl w:val="0"/>
        <w:jc w:val="both"/>
        <w:rPr>
          <w:sz w:val="20"/>
          <w:szCs w:val="20"/>
          <w:lang w:val="fr-CA"/>
        </w:rPr>
      </w:pPr>
    </w:p>
    <w:p w:rsidR="00BC3A75" w:rsidRPr="005B30FA" w:rsidRDefault="00BC3A75" w:rsidP="00BC3A75">
      <w:pPr>
        <w:widowControl w:val="0"/>
        <w:jc w:val="both"/>
        <w:rPr>
          <w:sz w:val="20"/>
          <w:szCs w:val="20"/>
          <w:lang w:val="fr-CA"/>
        </w:rPr>
      </w:pPr>
    </w:p>
    <w:p w:rsidR="00BC3A75" w:rsidRPr="005B30FA" w:rsidRDefault="00BC3A75" w:rsidP="00BC3A75">
      <w:pPr>
        <w:widowControl w:val="0"/>
        <w:ind w:left="2880" w:hanging="2880"/>
        <w:jc w:val="both"/>
        <w:rPr>
          <w:sz w:val="20"/>
          <w:szCs w:val="20"/>
          <w:lang w:val="fr-CA"/>
        </w:rPr>
      </w:pPr>
      <w:r w:rsidRPr="005B30FA">
        <w:rPr>
          <w:sz w:val="20"/>
          <w:szCs w:val="20"/>
          <w:lang w:val="fr-CA"/>
        </w:rPr>
        <w:t>Origine :</w:t>
      </w:r>
      <w:r w:rsidRPr="005B30FA">
        <w:rPr>
          <w:sz w:val="20"/>
          <w:szCs w:val="20"/>
          <w:lang w:val="fr-CA"/>
        </w:rPr>
        <w:tab/>
        <w:t>Cour d’appel fédérale</w:t>
      </w:r>
    </w:p>
    <w:p w:rsidR="00BC3A75" w:rsidRPr="005B30FA" w:rsidRDefault="00BC3A75" w:rsidP="00BC3A75">
      <w:pPr>
        <w:widowControl w:val="0"/>
        <w:ind w:left="2880" w:hanging="2880"/>
        <w:jc w:val="both"/>
        <w:rPr>
          <w:sz w:val="20"/>
          <w:szCs w:val="20"/>
          <w:lang w:val="fr-CA"/>
        </w:rPr>
      </w:pPr>
    </w:p>
    <w:p w:rsidR="00BC3A75" w:rsidRPr="005B30FA" w:rsidRDefault="00BC3A75" w:rsidP="00BC3A75">
      <w:pPr>
        <w:widowControl w:val="0"/>
        <w:ind w:left="2880" w:hanging="2880"/>
        <w:jc w:val="both"/>
        <w:rPr>
          <w:sz w:val="20"/>
          <w:szCs w:val="20"/>
          <w:lang w:val="fr-CA"/>
        </w:rPr>
      </w:pPr>
      <w:r w:rsidRPr="005B30FA">
        <w:rPr>
          <w:sz w:val="20"/>
          <w:szCs w:val="20"/>
          <w:lang w:val="fr-CA"/>
        </w:rPr>
        <w:t>N</w:t>
      </w:r>
      <w:r w:rsidRPr="005B30FA">
        <w:rPr>
          <w:sz w:val="20"/>
          <w:szCs w:val="20"/>
          <w:vertAlign w:val="superscript"/>
          <w:lang w:val="fr-CA"/>
        </w:rPr>
        <w:t>o</w:t>
      </w:r>
      <w:r w:rsidRPr="005B30FA">
        <w:rPr>
          <w:sz w:val="20"/>
          <w:szCs w:val="20"/>
          <w:lang w:val="fr-CA"/>
        </w:rPr>
        <w:t xml:space="preserve"> du greffe :</w:t>
      </w:r>
      <w:r w:rsidRPr="005B30FA">
        <w:rPr>
          <w:sz w:val="20"/>
          <w:szCs w:val="20"/>
          <w:lang w:val="fr-CA"/>
        </w:rPr>
        <w:tab/>
        <w:t>35518</w:t>
      </w:r>
    </w:p>
    <w:p w:rsidR="00BC3A75" w:rsidRPr="005B30FA" w:rsidRDefault="00BC3A75" w:rsidP="00BC3A75">
      <w:pPr>
        <w:widowControl w:val="0"/>
        <w:ind w:left="2880" w:hanging="2880"/>
        <w:jc w:val="both"/>
        <w:rPr>
          <w:sz w:val="20"/>
          <w:szCs w:val="20"/>
          <w:lang w:val="fr-CA"/>
        </w:rPr>
      </w:pPr>
    </w:p>
    <w:p w:rsidR="00BC3A75" w:rsidRPr="005B30FA" w:rsidRDefault="00BC3A75" w:rsidP="00BC3A75">
      <w:pPr>
        <w:widowControl w:val="0"/>
        <w:ind w:left="2880" w:hanging="2880"/>
        <w:jc w:val="both"/>
        <w:rPr>
          <w:sz w:val="20"/>
          <w:szCs w:val="20"/>
          <w:lang w:val="fr-CA"/>
        </w:rPr>
      </w:pPr>
      <w:r w:rsidRPr="005B30FA">
        <w:rPr>
          <w:sz w:val="20"/>
          <w:szCs w:val="20"/>
          <w:lang w:val="fr-CA"/>
        </w:rPr>
        <w:t>Arrêt de la Cour d’appel :</w:t>
      </w:r>
      <w:r w:rsidRPr="005B30FA">
        <w:rPr>
          <w:sz w:val="20"/>
          <w:szCs w:val="20"/>
          <w:lang w:val="fr-CA"/>
        </w:rPr>
        <w:tab/>
        <w:t>le 13 août 2013</w:t>
      </w:r>
    </w:p>
    <w:p w:rsidR="00BC3A75" w:rsidRPr="005B30FA" w:rsidRDefault="00BC3A75" w:rsidP="00BC3A75">
      <w:pPr>
        <w:widowControl w:val="0"/>
        <w:ind w:left="2880" w:hanging="2880"/>
        <w:jc w:val="both"/>
        <w:rPr>
          <w:sz w:val="20"/>
          <w:szCs w:val="20"/>
          <w:lang w:val="fr-CA"/>
        </w:rPr>
      </w:pPr>
    </w:p>
    <w:p w:rsidR="00BC3A75" w:rsidRPr="005B30FA" w:rsidRDefault="00BC3A75" w:rsidP="00BC3A75">
      <w:pPr>
        <w:widowControl w:val="0"/>
        <w:ind w:left="2880" w:hanging="2880"/>
        <w:jc w:val="both"/>
        <w:rPr>
          <w:sz w:val="20"/>
          <w:szCs w:val="20"/>
          <w:lang w:val="fr-CA"/>
        </w:rPr>
      </w:pPr>
      <w:r w:rsidRPr="005B30FA">
        <w:rPr>
          <w:sz w:val="20"/>
          <w:szCs w:val="20"/>
          <w:lang w:val="fr-CA"/>
        </w:rPr>
        <w:t>Avocats :</w:t>
      </w:r>
      <w:r w:rsidRPr="005B30FA">
        <w:rPr>
          <w:sz w:val="20"/>
          <w:szCs w:val="20"/>
          <w:lang w:val="fr-CA"/>
        </w:rPr>
        <w:tab/>
        <w:t>James D. Jodouin et Marcus R. Davies pour les appelants</w:t>
      </w:r>
    </w:p>
    <w:p w:rsidR="00BC3A75" w:rsidRPr="005B30FA" w:rsidRDefault="00BC3A75" w:rsidP="00BC3A75">
      <w:pPr>
        <w:widowControl w:val="0"/>
        <w:ind w:left="2880" w:hanging="2880"/>
        <w:jc w:val="both"/>
        <w:rPr>
          <w:sz w:val="20"/>
          <w:szCs w:val="20"/>
          <w:lang w:val="fr-CA"/>
        </w:rPr>
      </w:pPr>
      <w:r>
        <w:rPr>
          <w:sz w:val="20"/>
          <w:szCs w:val="20"/>
          <w:lang w:val="fr-CA"/>
        </w:rPr>
        <w:tab/>
      </w:r>
      <w:r w:rsidRPr="005B30FA">
        <w:rPr>
          <w:sz w:val="20"/>
          <w:szCs w:val="20"/>
          <w:lang w:val="fr-CA"/>
        </w:rPr>
        <w:t>Mervin C. Phillips, Merrilee Rasmussen, c.r., et Leanne Phillips pour l’intimé</w:t>
      </w:r>
    </w:p>
    <w:p w:rsidR="006A6E04" w:rsidRPr="00DD0B49" w:rsidRDefault="006A6E04" w:rsidP="006A6E04">
      <w:pPr>
        <w:tabs>
          <w:tab w:val="left" w:pos="-1440"/>
          <w:tab w:val="left" w:pos="-720"/>
        </w:tabs>
        <w:jc w:val="both"/>
        <w:rPr>
          <w:sz w:val="20"/>
          <w:szCs w:val="20"/>
          <w:lang w:val="fr-CA"/>
        </w:rPr>
      </w:pPr>
    </w:p>
    <w:p w:rsidR="006A6E04" w:rsidRDefault="00215143" w:rsidP="006A6E04">
      <w:pPr>
        <w:tabs>
          <w:tab w:val="left" w:pos="-1440"/>
          <w:tab w:val="left" w:pos="-720"/>
        </w:tabs>
        <w:jc w:val="both"/>
        <w:rPr>
          <w:sz w:val="20"/>
          <w:szCs w:val="20"/>
          <w:lang w:val="fr-CA"/>
        </w:rPr>
      </w:pPr>
      <w:r>
        <w:rPr>
          <w:sz w:val="20"/>
          <w:szCs w:val="20"/>
          <w:lang w:val="fr-CA"/>
        </w:rPr>
        <w:pict>
          <v:rect id="_x0000_i1110"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BC3A75" w:rsidRPr="00F8341D" w:rsidRDefault="000944FD" w:rsidP="00BC3A75">
      <w:pPr>
        <w:widowControl w:val="0"/>
        <w:ind w:left="720" w:hanging="720"/>
        <w:jc w:val="both"/>
        <w:rPr>
          <w:sz w:val="20"/>
          <w:szCs w:val="20"/>
        </w:rPr>
      </w:pPr>
      <w:r w:rsidRPr="00F8341D">
        <w:rPr>
          <w:b/>
          <w:sz w:val="20"/>
          <w:szCs w:val="20"/>
        </w:rPr>
        <w:lastRenderedPageBreak/>
        <w:fldChar w:fldCharType="begin"/>
      </w:r>
      <w:r w:rsidR="00BC3A75" w:rsidRPr="00F8341D">
        <w:rPr>
          <w:b/>
          <w:sz w:val="20"/>
          <w:szCs w:val="20"/>
        </w:rPr>
        <w:instrText xml:space="preserve"> SEQ CHAPTER \h \r 1</w:instrText>
      </w:r>
      <w:r w:rsidRPr="00F8341D">
        <w:rPr>
          <w:b/>
          <w:sz w:val="20"/>
          <w:szCs w:val="20"/>
        </w:rPr>
        <w:fldChar w:fldCharType="end"/>
      </w:r>
      <w:r w:rsidR="00BC3A75" w:rsidRPr="00F8341D">
        <w:rPr>
          <w:b/>
          <w:sz w:val="20"/>
          <w:szCs w:val="20"/>
        </w:rPr>
        <w:t>35644</w:t>
      </w:r>
      <w:r w:rsidR="00BC3A75" w:rsidRPr="00F8341D">
        <w:rPr>
          <w:sz w:val="20"/>
          <w:szCs w:val="20"/>
        </w:rPr>
        <w:tab/>
      </w:r>
      <w:r w:rsidR="00BC3A75" w:rsidRPr="00F8341D">
        <w:rPr>
          <w:b/>
          <w:i/>
          <w:sz w:val="20"/>
          <w:szCs w:val="20"/>
        </w:rPr>
        <w:t>Samir Mohamed v. Her Majesty the Queen</w:t>
      </w:r>
    </w:p>
    <w:p w:rsidR="00BC3A75" w:rsidRPr="00F8341D" w:rsidRDefault="00BC3A75" w:rsidP="00BC3A75">
      <w:pPr>
        <w:widowControl w:val="0"/>
        <w:jc w:val="both"/>
        <w:rPr>
          <w:sz w:val="20"/>
          <w:szCs w:val="20"/>
        </w:rPr>
      </w:pPr>
    </w:p>
    <w:p w:rsidR="00BC3A75" w:rsidRPr="00F8341D" w:rsidRDefault="00BC3A75" w:rsidP="00BC3A75">
      <w:pPr>
        <w:widowControl w:val="0"/>
        <w:jc w:val="both"/>
        <w:rPr>
          <w:sz w:val="20"/>
          <w:szCs w:val="20"/>
        </w:rPr>
      </w:pPr>
      <w:r w:rsidRPr="00F8341D">
        <w:rPr>
          <w:i/>
          <w:sz w:val="20"/>
          <w:szCs w:val="20"/>
        </w:rPr>
        <w:t>Charter of Rights</w:t>
      </w:r>
      <w:r w:rsidRPr="00F8341D">
        <w:rPr>
          <w:sz w:val="20"/>
          <w:szCs w:val="20"/>
        </w:rPr>
        <w:t xml:space="preserve"> - Criminal law - Search and seizure - Cautions - Whether the trial judge erred in finding that the appellant’s s. 10(</w:t>
      </w:r>
      <w:r w:rsidRPr="00F8341D">
        <w:rPr>
          <w:i/>
          <w:sz w:val="20"/>
          <w:szCs w:val="20"/>
        </w:rPr>
        <w:t>b</w:t>
      </w:r>
      <w:r w:rsidRPr="00F8341D">
        <w:rPr>
          <w:sz w:val="20"/>
          <w:szCs w:val="20"/>
        </w:rPr>
        <w:t xml:space="preserve">) </w:t>
      </w:r>
      <w:r w:rsidRPr="00F8341D">
        <w:rPr>
          <w:i/>
          <w:sz w:val="20"/>
          <w:szCs w:val="20"/>
        </w:rPr>
        <w:t>Charter</w:t>
      </w:r>
      <w:r w:rsidRPr="00F8341D">
        <w:rPr>
          <w:sz w:val="20"/>
          <w:szCs w:val="20"/>
        </w:rPr>
        <w:t xml:space="preserve"> rights were not violated - Whether the trial judge erred in finding that the appellant’s s. 8 </w:t>
      </w:r>
      <w:r w:rsidRPr="00F8341D">
        <w:rPr>
          <w:i/>
          <w:sz w:val="20"/>
          <w:szCs w:val="20"/>
        </w:rPr>
        <w:t>Charter</w:t>
      </w:r>
      <w:r w:rsidRPr="00F8341D">
        <w:rPr>
          <w:sz w:val="20"/>
          <w:szCs w:val="20"/>
        </w:rPr>
        <w:t xml:space="preserve"> rights were not violated - Whether the evidence should have been excluded pursuant to s. 24(2) of the </w:t>
      </w:r>
      <w:r w:rsidRPr="00F8341D">
        <w:rPr>
          <w:i/>
          <w:sz w:val="20"/>
          <w:szCs w:val="20"/>
        </w:rPr>
        <w:t>Charter</w:t>
      </w:r>
      <w:r w:rsidRPr="00F8341D">
        <w:rPr>
          <w:sz w:val="20"/>
          <w:szCs w:val="20"/>
        </w:rPr>
        <w:t xml:space="preserve">. </w:t>
      </w:r>
    </w:p>
    <w:p w:rsidR="00BC3A75" w:rsidRPr="00F8341D" w:rsidRDefault="00BC3A75" w:rsidP="00BC3A75">
      <w:pPr>
        <w:widowControl w:val="0"/>
        <w:jc w:val="both"/>
        <w:rPr>
          <w:sz w:val="20"/>
          <w:szCs w:val="20"/>
        </w:rPr>
      </w:pPr>
    </w:p>
    <w:p w:rsidR="00BC3A75" w:rsidRPr="00F8341D" w:rsidRDefault="00BC3A75" w:rsidP="00BC3A75">
      <w:pPr>
        <w:widowControl w:val="0"/>
        <w:jc w:val="both"/>
        <w:rPr>
          <w:sz w:val="20"/>
          <w:szCs w:val="20"/>
        </w:rPr>
      </w:pPr>
      <w:r w:rsidRPr="00F8341D">
        <w:rPr>
          <w:sz w:val="20"/>
          <w:szCs w:val="20"/>
        </w:rPr>
        <w:t>After being stopped for making an illegal u-turn, the appellant was arrested three times:  first, for possession of a controlled substance, second, for possession for the purposes of trafficking, and third, for possession of a firearm.  It was only after the appellant was arrested for the third time that the peace officer advised him of his s. 10(</w:t>
      </w:r>
      <w:r w:rsidRPr="00F8341D">
        <w:rPr>
          <w:i/>
          <w:sz w:val="20"/>
          <w:szCs w:val="20"/>
        </w:rPr>
        <w:t>b</w:t>
      </w:r>
      <w:r w:rsidRPr="00F8341D">
        <w:rPr>
          <w:sz w:val="20"/>
          <w:szCs w:val="20"/>
        </w:rPr>
        <w:t xml:space="preserve">) </w:t>
      </w:r>
      <w:r w:rsidRPr="00F8341D">
        <w:rPr>
          <w:i/>
          <w:sz w:val="20"/>
          <w:szCs w:val="20"/>
        </w:rPr>
        <w:t>Charter</w:t>
      </w:r>
      <w:r w:rsidRPr="00F8341D">
        <w:rPr>
          <w:sz w:val="20"/>
          <w:szCs w:val="20"/>
        </w:rPr>
        <w:t xml:space="preserve"> rights.  At trial, the appellant submitted that the peace officer had breached his rights under s. 8, 10(</w:t>
      </w:r>
      <w:r w:rsidRPr="00F8341D">
        <w:rPr>
          <w:i/>
          <w:sz w:val="20"/>
          <w:szCs w:val="20"/>
        </w:rPr>
        <w:t>a</w:t>
      </w:r>
      <w:r w:rsidRPr="00F8341D">
        <w:rPr>
          <w:sz w:val="20"/>
          <w:szCs w:val="20"/>
        </w:rPr>
        <w:t>) and 10(</w:t>
      </w:r>
      <w:r w:rsidRPr="00F8341D">
        <w:rPr>
          <w:i/>
          <w:sz w:val="20"/>
          <w:szCs w:val="20"/>
        </w:rPr>
        <w:t>b</w:t>
      </w:r>
      <w:r w:rsidRPr="00F8341D">
        <w:rPr>
          <w:sz w:val="20"/>
          <w:szCs w:val="20"/>
        </w:rPr>
        <w:t xml:space="preserve">) of the </w:t>
      </w:r>
      <w:r w:rsidRPr="00F8341D">
        <w:rPr>
          <w:i/>
          <w:sz w:val="20"/>
          <w:szCs w:val="20"/>
        </w:rPr>
        <w:t>Charter</w:t>
      </w:r>
      <w:r w:rsidRPr="00F8341D">
        <w:rPr>
          <w:sz w:val="20"/>
          <w:szCs w:val="20"/>
        </w:rPr>
        <w:t xml:space="preserve">.  The trial judge held that the peace officer had reasonable grounds to arrest the appellant for possession, and that the subsequent searches of his person, his jacket, and a tote bag located on the passenger seat, although warrantless, were otherwise authorized by law as searches incident to arrest and therefore did not violate the appellant’s s. 8 </w:t>
      </w:r>
      <w:r w:rsidRPr="00F8341D">
        <w:rPr>
          <w:i/>
          <w:sz w:val="20"/>
          <w:szCs w:val="20"/>
        </w:rPr>
        <w:t>Charter</w:t>
      </w:r>
      <w:r w:rsidRPr="00F8341D">
        <w:rPr>
          <w:sz w:val="20"/>
          <w:szCs w:val="20"/>
        </w:rPr>
        <w:t xml:space="preserve"> rights.  The trial judge also found that the appellant’s s. 10(</w:t>
      </w:r>
      <w:r w:rsidRPr="00F8341D">
        <w:rPr>
          <w:i/>
          <w:sz w:val="20"/>
          <w:szCs w:val="20"/>
        </w:rPr>
        <w:t>a</w:t>
      </w:r>
      <w:r w:rsidRPr="00F8341D">
        <w:rPr>
          <w:sz w:val="20"/>
          <w:szCs w:val="20"/>
        </w:rPr>
        <w:t xml:space="preserve">) </w:t>
      </w:r>
      <w:r w:rsidRPr="00F8341D">
        <w:rPr>
          <w:i/>
          <w:sz w:val="20"/>
          <w:szCs w:val="20"/>
        </w:rPr>
        <w:t>Charter</w:t>
      </w:r>
      <w:r w:rsidRPr="00F8341D">
        <w:rPr>
          <w:sz w:val="20"/>
          <w:szCs w:val="20"/>
        </w:rPr>
        <w:t xml:space="preserve"> rights had not been violated, but that his s. 10(</w:t>
      </w:r>
      <w:r w:rsidRPr="00F8341D">
        <w:rPr>
          <w:i/>
          <w:sz w:val="20"/>
          <w:szCs w:val="20"/>
        </w:rPr>
        <w:t>b</w:t>
      </w:r>
      <w:r w:rsidRPr="00F8341D">
        <w:rPr>
          <w:sz w:val="20"/>
          <w:szCs w:val="20"/>
        </w:rPr>
        <w:t>) rights had been infringed because the peace officer was obligated to advise the appellant of those rights immediately upon his arrest.  The appellant was convicted as charged.  A majority of the Court of Appeal dismissed his appeal.  Berger J.A., dissenting, would have allowed the appeal.  In his view, the peace officer’s failure to advise the appellant of his s. 10(</w:t>
      </w:r>
      <w:r w:rsidRPr="00F8341D">
        <w:rPr>
          <w:i/>
          <w:sz w:val="20"/>
          <w:szCs w:val="20"/>
        </w:rPr>
        <w:t>b</w:t>
      </w:r>
      <w:r w:rsidRPr="00F8341D">
        <w:rPr>
          <w:sz w:val="20"/>
          <w:szCs w:val="20"/>
        </w:rPr>
        <w:t xml:space="preserve">) rights resulted in a violation of his s. 8 rights.  Berger J.A. would have excluded the evidence pursuant to s. 24(2) of the </w:t>
      </w:r>
      <w:r w:rsidRPr="00F8341D">
        <w:rPr>
          <w:i/>
          <w:sz w:val="20"/>
          <w:szCs w:val="20"/>
        </w:rPr>
        <w:t>Charter</w:t>
      </w:r>
      <w:r w:rsidRPr="00F8341D">
        <w:rPr>
          <w:sz w:val="20"/>
          <w:szCs w:val="20"/>
        </w:rPr>
        <w:t xml:space="preserve"> and set aside the convictions.</w:t>
      </w:r>
    </w:p>
    <w:p w:rsidR="00BC3A75" w:rsidRPr="00F8341D" w:rsidRDefault="00BC3A75" w:rsidP="00BC3A75">
      <w:pPr>
        <w:widowControl w:val="0"/>
        <w:jc w:val="both"/>
        <w:rPr>
          <w:sz w:val="20"/>
          <w:szCs w:val="20"/>
        </w:rPr>
      </w:pPr>
    </w:p>
    <w:p w:rsidR="00BC3A75" w:rsidRPr="00F8341D" w:rsidRDefault="00BC3A75" w:rsidP="00BC3A75">
      <w:pPr>
        <w:widowControl w:val="0"/>
        <w:jc w:val="both"/>
        <w:rPr>
          <w:sz w:val="20"/>
          <w:szCs w:val="20"/>
        </w:rPr>
      </w:pPr>
    </w:p>
    <w:p w:rsidR="00BC3A75" w:rsidRPr="00F8341D" w:rsidRDefault="00BC3A75" w:rsidP="00BC3A75">
      <w:pPr>
        <w:widowControl w:val="0"/>
        <w:ind w:left="2880" w:hanging="2880"/>
        <w:jc w:val="both"/>
        <w:rPr>
          <w:sz w:val="20"/>
          <w:szCs w:val="20"/>
        </w:rPr>
      </w:pPr>
      <w:r w:rsidRPr="00F8341D">
        <w:rPr>
          <w:sz w:val="20"/>
          <w:szCs w:val="20"/>
        </w:rPr>
        <w:t>Origin of the case:</w:t>
      </w:r>
      <w:r w:rsidRPr="00F8341D">
        <w:rPr>
          <w:sz w:val="20"/>
          <w:szCs w:val="20"/>
        </w:rPr>
        <w:tab/>
        <w:t>Alberta</w:t>
      </w:r>
    </w:p>
    <w:p w:rsidR="00BC3A75" w:rsidRPr="00F8341D" w:rsidRDefault="00BC3A75" w:rsidP="00BC3A75">
      <w:pPr>
        <w:widowControl w:val="0"/>
        <w:ind w:left="2880" w:hanging="2880"/>
        <w:jc w:val="both"/>
        <w:rPr>
          <w:sz w:val="20"/>
          <w:szCs w:val="20"/>
        </w:rPr>
      </w:pPr>
    </w:p>
    <w:p w:rsidR="00BC3A75" w:rsidRPr="00F8341D" w:rsidRDefault="00BC3A75" w:rsidP="00BC3A75">
      <w:pPr>
        <w:widowControl w:val="0"/>
        <w:ind w:left="2880" w:hanging="2880"/>
        <w:jc w:val="both"/>
        <w:rPr>
          <w:sz w:val="20"/>
          <w:szCs w:val="20"/>
        </w:rPr>
      </w:pPr>
      <w:r w:rsidRPr="00F8341D">
        <w:rPr>
          <w:sz w:val="20"/>
          <w:szCs w:val="20"/>
        </w:rPr>
        <w:t>File No.:</w:t>
      </w:r>
      <w:r w:rsidRPr="00F8341D">
        <w:rPr>
          <w:sz w:val="20"/>
          <w:szCs w:val="20"/>
        </w:rPr>
        <w:tab/>
        <w:t>35644</w:t>
      </w:r>
    </w:p>
    <w:p w:rsidR="00BC3A75" w:rsidRPr="00F8341D" w:rsidRDefault="00BC3A75" w:rsidP="00BC3A75">
      <w:pPr>
        <w:widowControl w:val="0"/>
        <w:ind w:left="2880" w:hanging="2880"/>
        <w:jc w:val="both"/>
        <w:rPr>
          <w:sz w:val="20"/>
          <w:szCs w:val="20"/>
        </w:rPr>
      </w:pPr>
    </w:p>
    <w:p w:rsidR="00BC3A75" w:rsidRPr="00F8341D" w:rsidRDefault="00BC3A75" w:rsidP="00BC3A75">
      <w:pPr>
        <w:widowControl w:val="0"/>
        <w:ind w:left="2880" w:hanging="2880"/>
        <w:jc w:val="both"/>
        <w:rPr>
          <w:sz w:val="20"/>
          <w:szCs w:val="20"/>
        </w:rPr>
      </w:pPr>
      <w:r w:rsidRPr="00F8341D">
        <w:rPr>
          <w:sz w:val="20"/>
          <w:szCs w:val="20"/>
        </w:rPr>
        <w:t>Judgment of the Court of Appeal:</w:t>
      </w:r>
      <w:r w:rsidRPr="00F8341D">
        <w:rPr>
          <w:sz w:val="20"/>
          <w:szCs w:val="20"/>
        </w:rPr>
        <w:tab/>
        <w:t>November 26, 2013</w:t>
      </w:r>
    </w:p>
    <w:p w:rsidR="00BC3A75" w:rsidRPr="00F8341D" w:rsidRDefault="00BC3A75" w:rsidP="00BC3A75">
      <w:pPr>
        <w:widowControl w:val="0"/>
        <w:ind w:left="2880" w:hanging="2880"/>
        <w:jc w:val="both"/>
        <w:rPr>
          <w:sz w:val="20"/>
          <w:szCs w:val="20"/>
        </w:rPr>
      </w:pPr>
    </w:p>
    <w:p w:rsidR="00BC3A75" w:rsidRPr="00F8341D" w:rsidRDefault="00BC3A75" w:rsidP="00BC3A75">
      <w:pPr>
        <w:widowControl w:val="0"/>
        <w:ind w:left="2880" w:hanging="2880"/>
        <w:jc w:val="both"/>
        <w:rPr>
          <w:sz w:val="20"/>
          <w:szCs w:val="20"/>
        </w:rPr>
      </w:pPr>
      <w:r w:rsidRPr="00F8341D">
        <w:rPr>
          <w:sz w:val="20"/>
          <w:szCs w:val="20"/>
        </w:rPr>
        <w:t>Counsel:</w:t>
      </w:r>
      <w:r w:rsidRPr="00F8341D">
        <w:rPr>
          <w:sz w:val="20"/>
          <w:szCs w:val="20"/>
        </w:rPr>
        <w:tab/>
        <w:t>Shawn A. Beaver for the appellant</w:t>
      </w:r>
    </w:p>
    <w:p w:rsidR="00BC3A75" w:rsidRPr="00F8341D" w:rsidRDefault="00BC3A75" w:rsidP="00BC3A75">
      <w:pPr>
        <w:widowControl w:val="0"/>
        <w:ind w:left="2880" w:hanging="2880"/>
        <w:jc w:val="both"/>
        <w:rPr>
          <w:sz w:val="20"/>
          <w:szCs w:val="20"/>
        </w:rPr>
      </w:pPr>
      <w:r w:rsidRPr="00F8341D">
        <w:rPr>
          <w:sz w:val="20"/>
          <w:szCs w:val="20"/>
        </w:rPr>
        <w:tab/>
        <w:t>Louise Proulx for the respondent</w:t>
      </w:r>
    </w:p>
    <w:p w:rsidR="006A6E04" w:rsidRPr="00BC3A75" w:rsidRDefault="006A6E04" w:rsidP="006A6E04">
      <w:pPr>
        <w:tabs>
          <w:tab w:val="left" w:pos="-1440"/>
          <w:tab w:val="left" w:pos="-720"/>
        </w:tabs>
        <w:jc w:val="both"/>
        <w:rPr>
          <w:sz w:val="20"/>
          <w:szCs w:val="20"/>
        </w:rPr>
      </w:pPr>
    </w:p>
    <w:p w:rsidR="006A6E04" w:rsidRDefault="00215143" w:rsidP="006A6E04">
      <w:pPr>
        <w:tabs>
          <w:tab w:val="left" w:pos="-1440"/>
          <w:tab w:val="left" w:pos="-720"/>
        </w:tabs>
        <w:jc w:val="both"/>
        <w:rPr>
          <w:sz w:val="20"/>
          <w:szCs w:val="20"/>
          <w:lang w:val="fr-CA"/>
        </w:rPr>
      </w:pPr>
      <w:r>
        <w:rPr>
          <w:sz w:val="20"/>
          <w:szCs w:val="20"/>
          <w:lang w:val="fr-CA"/>
        </w:rPr>
        <w:pict>
          <v:rect id="_x0000_i1111"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BC3A75" w:rsidRPr="00F93D1B" w:rsidRDefault="000944FD" w:rsidP="00BC3A75">
      <w:pPr>
        <w:widowControl w:val="0"/>
        <w:ind w:left="720" w:hanging="720"/>
        <w:jc w:val="both"/>
        <w:rPr>
          <w:sz w:val="20"/>
          <w:szCs w:val="20"/>
          <w:lang w:val="fr-CA"/>
        </w:rPr>
      </w:pPr>
      <w:r w:rsidRPr="00F93D1B">
        <w:rPr>
          <w:b/>
          <w:sz w:val="20"/>
          <w:szCs w:val="20"/>
          <w:lang w:val="fr-CA"/>
        </w:rPr>
        <w:lastRenderedPageBreak/>
        <w:fldChar w:fldCharType="begin"/>
      </w:r>
      <w:r w:rsidR="00BC3A75" w:rsidRPr="00F93D1B">
        <w:rPr>
          <w:b/>
          <w:sz w:val="20"/>
          <w:szCs w:val="20"/>
          <w:lang w:val="fr-CA"/>
        </w:rPr>
        <w:instrText xml:space="preserve"> SEQ CHAPTER \h \r 1</w:instrText>
      </w:r>
      <w:r w:rsidRPr="00F93D1B">
        <w:rPr>
          <w:b/>
          <w:sz w:val="20"/>
          <w:szCs w:val="20"/>
          <w:lang w:val="fr-CA"/>
        </w:rPr>
        <w:fldChar w:fldCharType="end"/>
      </w:r>
      <w:r w:rsidR="00BC3A75" w:rsidRPr="00F93D1B">
        <w:rPr>
          <w:b/>
          <w:sz w:val="20"/>
          <w:szCs w:val="20"/>
          <w:lang w:val="fr-CA"/>
        </w:rPr>
        <w:t>35644</w:t>
      </w:r>
      <w:r w:rsidR="00BC3A75" w:rsidRPr="00F93D1B">
        <w:rPr>
          <w:sz w:val="20"/>
          <w:szCs w:val="20"/>
          <w:lang w:val="fr-CA"/>
        </w:rPr>
        <w:tab/>
      </w:r>
      <w:r w:rsidR="00BC3A75" w:rsidRPr="00F93D1B">
        <w:rPr>
          <w:b/>
          <w:i/>
          <w:sz w:val="20"/>
          <w:szCs w:val="20"/>
          <w:lang w:val="fr-CA"/>
        </w:rPr>
        <w:t>Samir Mohamed c. Sa Majesté la Reine</w:t>
      </w:r>
    </w:p>
    <w:p w:rsidR="00BC3A75" w:rsidRPr="00F93D1B" w:rsidRDefault="00BC3A75" w:rsidP="00BC3A75">
      <w:pPr>
        <w:widowControl w:val="0"/>
        <w:jc w:val="both"/>
        <w:rPr>
          <w:sz w:val="20"/>
          <w:szCs w:val="20"/>
          <w:lang w:val="fr-CA"/>
        </w:rPr>
      </w:pPr>
    </w:p>
    <w:p w:rsidR="00BC3A75" w:rsidRPr="00F93D1B" w:rsidRDefault="00BC3A75" w:rsidP="00BC3A75">
      <w:pPr>
        <w:widowControl w:val="0"/>
        <w:jc w:val="both"/>
        <w:rPr>
          <w:sz w:val="20"/>
          <w:szCs w:val="20"/>
          <w:lang w:val="fr-CA"/>
        </w:rPr>
      </w:pPr>
      <w:r w:rsidRPr="00F93D1B">
        <w:rPr>
          <w:i/>
          <w:sz w:val="20"/>
          <w:szCs w:val="20"/>
          <w:lang w:val="fr-CA"/>
        </w:rPr>
        <w:t xml:space="preserve">Charte des droits </w:t>
      </w:r>
      <w:r w:rsidRPr="00F93D1B">
        <w:rPr>
          <w:sz w:val="20"/>
          <w:szCs w:val="20"/>
          <w:lang w:val="fr-CA"/>
        </w:rPr>
        <w:t>- Droit criminel - Fouilles et perquisitions - Mises en garde - Le juge du procès a-t-il eu tort de conclure que les droits de l’appelant garantis par l’al. 10</w:t>
      </w:r>
      <w:r w:rsidRPr="00F93D1B">
        <w:rPr>
          <w:i/>
          <w:sz w:val="20"/>
          <w:szCs w:val="20"/>
          <w:lang w:val="fr-CA"/>
        </w:rPr>
        <w:t>b</w:t>
      </w:r>
      <w:r w:rsidRPr="00F93D1B">
        <w:rPr>
          <w:sz w:val="20"/>
          <w:szCs w:val="20"/>
          <w:lang w:val="fr-CA"/>
        </w:rPr>
        <w:t xml:space="preserve">) de la </w:t>
      </w:r>
      <w:r w:rsidRPr="00F93D1B">
        <w:rPr>
          <w:i/>
          <w:sz w:val="20"/>
          <w:szCs w:val="20"/>
          <w:lang w:val="fr-CA"/>
        </w:rPr>
        <w:t>Charte</w:t>
      </w:r>
      <w:r w:rsidRPr="00F93D1B">
        <w:rPr>
          <w:sz w:val="20"/>
          <w:szCs w:val="20"/>
          <w:lang w:val="fr-CA"/>
        </w:rPr>
        <w:t xml:space="preserve"> n’avaient pas été violés? - Le juge du procès a-t-il eu tort de conclure que les droits de l’appelant garantis par l’art. 8 de la </w:t>
      </w:r>
      <w:r w:rsidRPr="00F93D1B">
        <w:rPr>
          <w:i/>
          <w:sz w:val="20"/>
          <w:szCs w:val="20"/>
          <w:lang w:val="fr-CA"/>
        </w:rPr>
        <w:t>Charte</w:t>
      </w:r>
      <w:r w:rsidRPr="00F93D1B">
        <w:rPr>
          <w:sz w:val="20"/>
          <w:szCs w:val="20"/>
          <w:lang w:val="fr-CA"/>
        </w:rPr>
        <w:t xml:space="preserve"> n’avaient pas été violés? - Les éléments de preuve auraient-ils dû être exclus en application du par. 24(2) de la </w:t>
      </w:r>
      <w:r w:rsidRPr="00F93D1B">
        <w:rPr>
          <w:i/>
          <w:sz w:val="20"/>
          <w:szCs w:val="20"/>
          <w:lang w:val="fr-CA"/>
        </w:rPr>
        <w:t>Charte</w:t>
      </w:r>
      <w:r w:rsidRPr="00F93D1B">
        <w:rPr>
          <w:sz w:val="20"/>
          <w:szCs w:val="20"/>
          <w:lang w:val="fr-CA"/>
        </w:rPr>
        <w:t xml:space="preserve">? </w:t>
      </w:r>
    </w:p>
    <w:p w:rsidR="00BC3A75" w:rsidRPr="00F93D1B" w:rsidRDefault="00BC3A75" w:rsidP="00BC3A75">
      <w:pPr>
        <w:widowControl w:val="0"/>
        <w:jc w:val="both"/>
        <w:rPr>
          <w:sz w:val="20"/>
          <w:szCs w:val="20"/>
          <w:lang w:val="fr-CA"/>
        </w:rPr>
      </w:pPr>
    </w:p>
    <w:p w:rsidR="00BC3A75" w:rsidRPr="00F93D1B" w:rsidRDefault="00BC3A75" w:rsidP="00BC3A75">
      <w:pPr>
        <w:widowControl w:val="0"/>
        <w:jc w:val="both"/>
        <w:rPr>
          <w:sz w:val="20"/>
          <w:szCs w:val="20"/>
          <w:lang w:val="fr-CA"/>
        </w:rPr>
      </w:pPr>
      <w:r w:rsidRPr="00F93D1B">
        <w:rPr>
          <w:sz w:val="20"/>
          <w:szCs w:val="20"/>
          <w:lang w:val="fr-CA"/>
        </w:rPr>
        <w:t>Après avoir été intercepté pour avoir fait un demi-tour illégal, l’appelant a été arrêté trois fois : premièrement, pour possession d’une substance réglementée, deuxièmement, pour possession aux fins d’un trafic et troisièmement, pour possession d’une arme à feu.  Ce n’est qu’après que l’appelant a été arrêté pour la troisième fois qu’un agent de la paix l’a informé de ses droits garantis par l’al. 10</w:t>
      </w:r>
      <w:r w:rsidRPr="00F93D1B">
        <w:rPr>
          <w:i/>
          <w:sz w:val="20"/>
          <w:szCs w:val="20"/>
          <w:lang w:val="fr-CA"/>
        </w:rPr>
        <w:t>b</w:t>
      </w:r>
      <w:r w:rsidRPr="00F93D1B">
        <w:rPr>
          <w:sz w:val="20"/>
          <w:szCs w:val="20"/>
          <w:lang w:val="fr-CA"/>
        </w:rPr>
        <w:t xml:space="preserve">) de la </w:t>
      </w:r>
      <w:r w:rsidRPr="00F93D1B">
        <w:rPr>
          <w:i/>
          <w:sz w:val="20"/>
          <w:szCs w:val="20"/>
          <w:lang w:val="fr-CA"/>
        </w:rPr>
        <w:t>Charte</w:t>
      </w:r>
      <w:r w:rsidRPr="00F93D1B">
        <w:rPr>
          <w:sz w:val="20"/>
          <w:szCs w:val="20"/>
          <w:lang w:val="fr-CA"/>
        </w:rPr>
        <w:t>.  Au procès, l’appelant a plaidé que l’agent de la paix avait violé les droits que lui garantissent les art. 8, 10</w:t>
      </w:r>
      <w:r w:rsidRPr="00F93D1B">
        <w:rPr>
          <w:i/>
          <w:sz w:val="20"/>
          <w:szCs w:val="20"/>
          <w:lang w:val="fr-CA"/>
        </w:rPr>
        <w:t>a</w:t>
      </w:r>
      <w:r w:rsidRPr="00F93D1B">
        <w:rPr>
          <w:sz w:val="20"/>
          <w:szCs w:val="20"/>
          <w:lang w:val="fr-CA"/>
        </w:rPr>
        <w:t>) et 10</w:t>
      </w:r>
      <w:r w:rsidRPr="00F93D1B">
        <w:rPr>
          <w:i/>
          <w:sz w:val="20"/>
          <w:szCs w:val="20"/>
          <w:lang w:val="fr-CA"/>
        </w:rPr>
        <w:t>b</w:t>
      </w:r>
      <w:r w:rsidRPr="00F93D1B">
        <w:rPr>
          <w:sz w:val="20"/>
          <w:szCs w:val="20"/>
          <w:lang w:val="fr-CA"/>
        </w:rPr>
        <w:t xml:space="preserve">) de la </w:t>
      </w:r>
      <w:r w:rsidRPr="00F93D1B">
        <w:rPr>
          <w:i/>
          <w:sz w:val="20"/>
          <w:szCs w:val="20"/>
          <w:lang w:val="fr-CA"/>
        </w:rPr>
        <w:t>Charte</w:t>
      </w:r>
      <w:r w:rsidRPr="00F93D1B">
        <w:rPr>
          <w:sz w:val="20"/>
          <w:szCs w:val="20"/>
          <w:lang w:val="fr-CA"/>
        </w:rPr>
        <w:t xml:space="preserve">.  Le juge du procès a statué que l’agent de la paix avait eu des motifs raisonnables d’arrêter l’appelant pour possession et que les fouilles subséquentes de sa personne, de son manteau et d’un fourre-tout situé sur le siège du passager, bien qu’elles aient été effectuées sans mandat, étaient autorisées par ailleurs par la loi comme fouilles accessoires à l’arrestation et ne violaient donc pas les droits de l’appelant garantis par l’art. 8 de la </w:t>
      </w:r>
      <w:r w:rsidRPr="00F93D1B">
        <w:rPr>
          <w:i/>
          <w:sz w:val="20"/>
          <w:szCs w:val="20"/>
          <w:lang w:val="fr-CA"/>
        </w:rPr>
        <w:t>Charte</w:t>
      </w:r>
      <w:r w:rsidRPr="00F93D1B">
        <w:rPr>
          <w:sz w:val="20"/>
          <w:szCs w:val="20"/>
          <w:lang w:val="fr-CA"/>
        </w:rPr>
        <w:t>.  Le juge du procès a également conclu que les droits de l’appelant garantis par l’al. 10</w:t>
      </w:r>
      <w:r w:rsidRPr="00F93D1B">
        <w:rPr>
          <w:i/>
          <w:sz w:val="20"/>
          <w:szCs w:val="20"/>
          <w:lang w:val="fr-CA"/>
        </w:rPr>
        <w:t>a</w:t>
      </w:r>
      <w:r w:rsidRPr="00F93D1B">
        <w:rPr>
          <w:sz w:val="20"/>
          <w:szCs w:val="20"/>
          <w:lang w:val="fr-CA"/>
        </w:rPr>
        <w:t xml:space="preserve">) de la </w:t>
      </w:r>
      <w:r w:rsidRPr="00F93D1B">
        <w:rPr>
          <w:i/>
          <w:sz w:val="20"/>
          <w:szCs w:val="20"/>
          <w:lang w:val="fr-CA"/>
        </w:rPr>
        <w:t>Charte</w:t>
      </w:r>
      <w:r w:rsidRPr="00F93D1B">
        <w:rPr>
          <w:sz w:val="20"/>
          <w:szCs w:val="20"/>
          <w:lang w:val="fr-CA"/>
        </w:rPr>
        <w:t xml:space="preserve"> n’avaient pas été violés, mais que les droits que lui garantissent l’al. 10</w:t>
      </w:r>
      <w:r w:rsidRPr="00F93D1B">
        <w:rPr>
          <w:i/>
          <w:sz w:val="20"/>
          <w:szCs w:val="20"/>
          <w:lang w:val="fr-CA"/>
        </w:rPr>
        <w:t>b</w:t>
      </w:r>
      <w:r w:rsidRPr="00F93D1B">
        <w:rPr>
          <w:sz w:val="20"/>
          <w:szCs w:val="20"/>
          <w:lang w:val="fr-CA"/>
        </w:rPr>
        <w:t>) avaient été violés parce que l’agent de la paix était obligé d’informer l’appelant de ses droits dès son arrestation.  L’appelant a été déclaré coupable des accusations portées contre lui.  Les juges majoritaires de la Cour d’appel ont rejeté son appel.  Le juge Berger, dissident, aurait accueilli l’appel.  À son avis, le fait que l’agent de la paix n’ait pas informé l’appelant des droits que lui garantit l’al. 10</w:t>
      </w:r>
      <w:r w:rsidRPr="00F93D1B">
        <w:rPr>
          <w:i/>
          <w:sz w:val="20"/>
          <w:szCs w:val="20"/>
          <w:lang w:val="fr-CA"/>
        </w:rPr>
        <w:t>b</w:t>
      </w:r>
      <w:r w:rsidRPr="00F93D1B">
        <w:rPr>
          <w:sz w:val="20"/>
          <w:szCs w:val="20"/>
          <w:lang w:val="fr-CA"/>
        </w:rPr>
        <w:t xml:space="preserve">) a eu pour effet de violer ses droits garantis par l’art. 8.  Le juge Berger aurait exclu les éléments de preuve en application du par. 24(2) de la </w:t>
      </w:r>
      <w:r w:rsidRPr="00F93D1B">
        <w:rPr>
          <w:i/>
          <w:sz w:val="20"/>
          <w:szCs w:val="20"/>
          <w:lang w:val="fr-CA"/>
        </w:rPr>
        <w:t>Charte</w:t>
      </w:r>
      <w:r w:rsidRPr="00F93D1B">
        <w:rPr>
          <w:sz w:val="20"/>
          <w:szCs w:val="20"/>
          <w:lang w:val="fr-CA"/>
        </w:rPr>
        <w:t xml:space="preserve"> et annulé les déclarations de culpabilité.</w:t>
      </w:r>
    </w:p>
    <w:p w:rsidR="00BC3A75" w:rsidRPr="00F93D1B" w:rsidRDefault="00BC3A75" w:rsidP="00BC3A75">
      <w:pPr>
        <w:widowControl w:val="0"/>
        <w:jc w:val="both"/>
        <w:rPr>
          <w:sz w:val="20"/>
          <w:szCs w:val="20"/>
          <w:lang w:val="fr-CA"/>
        </w:rPr>
      </w:pPr>
    </w:p>
    <w:p w:rsidR="00BC3A75" w:rsidRPr="00F93D1B" w:rsidRDefault="00BC3A75" w:rsidP="00BC3A75">
      <w:pPr>
        <w:widowControl w:val="0"/>
        <w:jc w:val="both"/>
        <w:rPr>
          <w:sz w:val="20"/>
          <w:szCs w:val="20"/>
          <w:lang w:val="fr-CA"/>
        </w:rPr>
      </w:pPr>
    </w:p>
    <w:p w:rsidR="00BC3A75" w:rsidRPr="00F93D1B" w:rsidRDefault="00BC3A75" w:rsidP="00BC3A75">
      <w:pPr>
        <w:widowControl w:val="0"/>
        <w:ind w:left="2880" w:hanging="2880"/>
        <w:jc w:val="both"/>
        <w:rPr>
          <w:sz w:val="20"/>
          <w:szCs w:val="20"/>
          <w:lang w:val="fr-CA"/>
        </w:rPr>
      </w:pPr>
      <w:r w:rsidRPr="00F93D1B">
        <w:rPr>
          <w:sz w:val="20"/>
          <w:szCs w:val="20"/>
          <w:lang w:val="fr-CA"/>
        </w:rPr>
        <w:t>Origine :</w:t>
      </w:r>
      <w:r w:rsidRPr="00F93D1B">
        <w:rPr>
          <w:sz w:val="20"/>
          <w:szCs w:val="20"/>
          <w:lang w:val="fr-CA"/>
        </w:rPr>
        <w:tab/>
        <w:t>Alberta</w:t>
      </w:r>
    </w:p>
    <w:p w:rsidR="00BC3A75" w:rsidRPr="00F93D1B" w:rsidRDefault="00BC3A75" w:rsidP="00BC3A75">
      <w:pPr>
        <w:widowControl w:val="0"/>
        <w:ind w:left="2880" w:hanging="2880"/>
        <w:jc w:val="both"/>
        <w:rPr>
          <w:sz w:val="20"/>
          <w:szCs w:val="20"/>
          <w:lang w:val="fr-CA"/>
        </w:rPr>
      </w:pPr>
    </w:p>
    <w:p w:rsidR="00BC3A75" w:rsidRPr="00F93D1B" w:rsidRDefault="00BC3A75" w:rsidP="00BC3A75">
      <w:pPr>
        <w:widowControl w:val="0"/>
        <w:ind w:left="2880" w:hanging="2880"/>
        <w:jc w:val="both"/>
        <w:rPr>
          <w:sz w:val="20"/>
          <w:szCs w:val="20"/>
          <w:lang w:val="fr-CA"/>
        </w:rPr>
      </w:pPr>
      <w:r w:rsidRPr="00F93D1B">
        <w:rPr>
          <w:sz w:val="20"/>
          <w:szCs w:val="20"/>
          <w:lang w:val="fr-CA"/>
        </w:rPr>
        <w:t>N</w:t>
      </w:r>
      <w:r w:rsidRPr="00F93D1B">
        <w:rPr>
          <w:sz w:val="20"/>
          <w:szCs w:val="20"/>
          <w:vertAlign w:val="superscript"/>
          <w:lang w:val="fr-CA"/>
        </w:rPr>
        <w:t>o</w:t>
      </w:r>
      <w:r w:rsidRPr="00F93D1B">
        <w:rPr>
          <w:sz w:val="20"/>
          <w:szCs w:val="20"/>
          <w:lang w:val="fr-CA"/>
        </w:rPr>
        <w:t xml:space="preserve"> du greffe :</w:t>
      </w:r>
      <w:r w:rsidRPr="00F93D1B">
        <w:rPr>
          <w:sz w:val="20"/>
          <w:szCs w:val="20"/>
          <w:lang w:val="fr-CA"/>
        </w:rPr>
        <w:tab/>
        <w:t>35644</w:t>
      </w:r>
    </w:p>
    <w:p w:rsidR="00BC3A75" w:rsidRPr="00F93D1B" w:rsidRDefault="00BC3A75" w:rsidP="00BC3A75">
      <w:pPr>
        <w:widowControl w:val="0"/>
        <w:ind w:left="2880" w:hanging="2880"/>
        <w:jc w:val="both"/>
        <w:rPr>
          <w:sz w:val="20"/>
          <w:szCs w:val="20"/>
          <w:lang w:val="fr-CA"/>
        </w:rPr>
      </w:pPr>
    </w:p>
    <w:p w:rsidR="00BC3A75" w:rsidRPr="00F93D1B" w:rsidRDefault="00BC3A75" w:rsidP="00BC3A75">
      <w:pPr>
        <w:widowControl w:val="0"/>
        <w:ind w:left="2880" w:hanging="2880"/>
        <w:jc w:val="both"/>
        <w:rPr>
          <w:sz w:val="20"/>
          <w:szCs w:val="20"/>
          <w:lang w:val="fr-CA"/>
        </w:rPr>
      </w:pPr>
      <w:r w:rsidRPr="00F93D1B">
        <w:rPr>
          <w:sz w:val="20"/>
          <w:szCs w:val="20"/>
          <w:lang w:val="fr-CA"/>
        </w:rPr>
        <w:t>Arrêt de la Cour d’appel :</w:t>
      </w:r>
      <w:r w:rsidRPr="00F93D1B">
        <w:rPr>
          <w:sz w:val="20"/>
          <w:szCs w:val="20"/>
          <w:lang w:val="fr-CA"/>
        </w:rPr>
        <w:tab/>
        <w:t>le 26 novembre 2013</w:t>
      </w:r>
    </w:p>
    <w:p w:rsidR="00BC3A75" w:rsidRPr="00F93D1B" w:rsidRDefault="00BC3A75" w:rsidP="00BC3A75">
      <w:pPr>
        <w:widowControl w:val="0"/>
        <w:ind w:left="2880" w:hanging="2880"/>
        <w:jc w:val="both"/>
        <w:rPr>
          <w:sz w:val="20"/>
          <w:szCs w:val="20"/>
          <w:lang w:val="fr-CA"/>
        </w:rPr>
      </w:pPr>
    </w:p>
    <w:p w:rsidR="00BC3A75" w:rsidRPr="00F93D1B" w:rsidRDefault="00BC3A75" w:rsidP="00BC3A75">
      <w:pPr>
        <w:widowControl w:val="0"/>
        <w:ind w:left="2880" w:hanging="2880"/>
        <w:jc w:val="both"/>
        <w:rPr>
          <w:sz w:val="20"/>
          <w:szCs w:val="20"/>
          <w:lang w:val="fr-CA"/>
        </w:rPr>
      </w:pPr>
      <w:r w:rsidRPr="00F93D1B">
        <w:rPr>
          <w:sz w:val="20"/>
          <w:szCs w:val="20"/>
          <w:lang w:val="fr-CA"/>
        </w:rPr>
        <w:t>Avocats :</w:t>
      </w:r>
      <w:r w:rsidRPr="00F93D1B">
        <w:rPr>
          <w:sz w:val="20"/>
          <w:szCs w:val="20"/>
          <w:lang w:val="fr-CA"/>
        </w:rPr>
        <w:tab/>
        <w:t>Shawn A. Beaver pour l’appelant</w:t>
      </w:r>
    </w:p>
    <w:p w:rsidR="00BC3A75" w:rsidRPr="00F93D1B" w:rsidRDefault="00BC3A75" w:rsidP="00BC3A75">
      <w:pPr>
        <w:widowControl w:val="0"/>
        <w:ind w:left="2880" w:hanging="2880"/>
        <w:jc w:val="both"/>
        <w:rPr>
          <w:sz w:val="20"/>
          <w:szCs w:val="20"/>
          <w:lang w:val="fr-CA"/>
        </w:rPr>
      </w:pPr>
      <w:r w:rsidRPr="00F93D1B">
        <w:rPr>
          <w:sz w:val="20"/>
          <w:szCs w:val="20"/>
          <w:lang w:val="fr-CA"/>
        </w:rPr>
        <w:tab/>
        <w:t>Louise Proulx pour l’intimée</w:t>
      </w:r>
    </w:p>
    <w:p w:rsidR="006A6E04" w:rsidRPr="00DD0B49" w:rsidRDefault="006A6E04" w:rsidP="006A6E04">
      <w:pPr>
        <w:tabs>
          <w:tab w:val="left" w:pos="-1440"/>
          <w:tab w:val="left" w:pos="-720"/>
        </w:tabs>
        <w:jc w:val="both"/>
        <w:rPr>
          <w:sz w:val="20"/>
          <w:szCs w:val="20"/>
          <w:lang w:val="fr-CA"/>
        </w:rPr>
      </w:pPr>
    </w:p>
    <w:p w:rsidR="006A6E04" w:rsidRDefault="00215143" w:rsidP="006A6E04">
      <w:pPr>
        <w:tabs>
          <w:tab w:val="left" w:pos="-1440"/>
          <w:tab w:val="left" w:pos="-720"/>
        </w:tabs>
        <w:jc w:val="both"/>
        <w:rPr>
          <w:sz w:val="20"/>
          <w:szCs w:val="20"/>
          <w:lang w:val="fr-CA"/>
        </w:rPr>
      </w:pPr>
      <w:r>
        <w:rPr>
          <w:sz w:val="20"/>
          <w:szCs w:val="20"/>
          <w:lang w:val="fr-CA"/>
        </w:rPr>
        <w:pict>
          <v:rect id="_x0000_i1112"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5913F1" w:rsidRPr="007C45A9" w:rsidRDefault="005913F1" w:rsidP="005913F1">
      <w:pPr>
        <w:jc w:val="both"/>
        <w:rPr>
          <w:rFonts w:cs="Times New Roman"/>
          <w:b/>
          <w:sz w:val="20"/>
          <w:szCs w:val="20"/>
        </w:rPr>
      </w:pPr>
      <w:r w:rsidRPr="007C45A9">
        <w:rPr>
          <w:rFonts w:cs="Times New Roman"/>
          <w:b/>
          <w:sz w:val="20"/>
          <w:szCs w:val="20"/>
        </w:rPr>
        <w:lastRenderedPageBreak/>
        <w:t xml:space="preserve">26646  </w:t>
      </w:r>
      <w:r w:rsidRPr="007C45A9">
        <w:rPr>
          <w:rFonts w:cs="Times New Roman"/>
          <w:b/>
          <w:i/>
          <w:iCs/>
          <w:sz w:val="20"/>
          <w:szCs w:val="20"/>
        </w:rPr>
        <w:t>Her Majesty the Queen v. Daniel Jolivet</w:t>
      </w:r>
    </w:p>
    <w:p w:rsidR="005913F1" w:rsidRPr="007C45A9" w:rsidRDefault="005913F1" w:rsidP="005913F1">
      <w:pPr>
        <w:tabs>
          <w:tab w:val="left" w:pos="4320"/>
        </w:tabs>
        <w:jc w:val="both"/>
        <w:rPr>
          <w:rFonts w:cs="Times New Roman"/>
          <w:sz w:val="20"/>
          <w:szCs w:val="20"/>
        </w:rPr>
      </w:pPr>
    </w:p>
    <w:p w:rsidR="005913F1" w:rsidRPr="007C45A9" w:rsidRDefault="005913F1" w:rsidP="005913F1">
      <w:pPr>
        <w:tabs>
          <w:tab w:val="left" w:pos="4320"/>
        </w:tabs>
        <w:jc w:val="both"/>
        <w:rPr>
          <w:rFonts w:cs="Times New Roman"/>
          <w:sz w:val="20"/>
          <w:szCs w:val="20"/>
        </w:rPr>
      </w:pPr>
      <w:r w:rsidRPr="007C45A9">
        <w:rPr>
          <w:rFonts w:cs="Times New Roman"/>
          <w:sz w:val="20"/>
          <w:szCs w:val="20"/>
        </w:rPr>
        <w:t>Criminal Law - Evidence - Section 686(1)(</w:t>
      </w:r>
      <w:r w:rsidRPr="007C45A9">
        <w:rPr>
          <w:rFonts w:cs="Times New Roman"/>
          <w:i/>
          <w:iCs/>
          <w:sz w:val="20"/>
          <w:szCs w:val="20"/>
        </w:rPr>
        <w:t>b</w:t>
      </w:r>
      <w:r w:rsidRPr="007C45A9">
        <w:rPr>
          <w:rFonts w:cs="Times New Roman"/>
          <w:sz w:val="20"/>
          <w:szCs w:val="20"/>
        </w:rPr>
        <w:t xml:space="preserve">)(iii) of the </w:t>
      </w:r>
      <w:r w:rsidRPr="007C45A9">
        <w:rPr>
          <w:rFonts w:cs="Times New Roman"/>
          <w:i/>
          <w:iCs/>
          <w:sz w:val="20"/>
          <w:szCs w:val="20"/>
        </w:rPr>
        <w:t>Criminal Code</w:t>
      </w:r>
      <w:r w:rsidRPr="007C45A9">
        <w:rPr>
          <w:rFonts w:cs="Times New Roman"/>
          <w:sz w:val="20"/>
          <w:szCs w:val="20"/>
        </w:rPr>
        <w:t xml:space="preserve"> - Crown failing to call certain witnesses - Late disclosure of evidence - Investigation into the circumstances surrounding the jurors’ walk around the Palais de Justice during the deliberations.</w:t>
      </w:r>
    </w:p>
    <w:p w:rsidR="005913F1" w:rsidRPr="007C45A9" w:rsidRDefault="005913F1" w:rsidP="005913F1">
      <w:pPr>
        <w:tabs>
          <w:tab w:val="left" w:pos="4320"/>
        </w:tabs>
        <w:jc w:val="both"/>
        <w:rPr>
          <w:rFonts w:cs="Times New Roman"/>
          <w:sz w:val="20"/>
          <w:szCs w:val="20"/>
        </w:rPr>
      </w:pPr>
    </w:p>
    <w:p w:rsidR="006A6E04" w:rsidRDefault="00215143" w:rsidP="006A6E04">
      <w:pPr>
        <w:tabs>
          <w:tab w:val="left" w:pos="-1440"/>
          <w:tab w:val="left" w:pos="-720"/>
        </w:tabs>
        <w:jc w:val="both"/>
        <w:rPr>
          <w:sz w:val="20"/>
          <w:szCs w:val="20"/>
          <w:lang w:val="fr-CA"/>
        </w:rPr>
      </w:pPr>
      <w:r>
        <w:rPr>
          <w:sz w:val="20"/>
          <w:szCs w:val="20"/>
          <w:lang w:val="fr-CA"/>
        </w:rPr>
        <w:pict>
          <v:rect id="_x0000_i1113" style="width:2in;height:1pt" o:hrpct="0" o:hralign="center" o:hrstd="t" o:hrnoshade="t" o:hr="t" fillcolor="black [3213]" stroked="f"/>
        </w:pict>
      </w:r>
    </w:p>
    <w:p w:rsidR="006A6E04" w:rsidRDefault="006A6E04" w:rsidP="006A6E04">
      <w:pPr>
        <w:tabs>
          <w:tab w:val="left" w:pos="-1440"/>
          <w:tab w:val="left" w:pos="-720"/>
        </w:tabs>
        <w:jc w:val="both"/>
        <w:rPr>
          <w:sz w:val="20"/>
          <w:szCs w:val="20"/>
          <w:lang w:val="fr-CA"/>
        </w:rPr>
      </w:pPr>
    </w:p>
    <w:p w:rsidR="00053C2A" w:rsidRPr="004C18ED" w:rsidRDefault="00053C2A" w:rsidP="00053C2A">
      <w:pPr>
        <w:tabs>
          <w:tab w:val="left" w:pos="-1440"/>
        </w:tabs>
        <w:ind w:left="720" w:hanging="720"/>
        <w:jc w:val="both"/>
        <w:rPr>
          <w:b/>
          <w:sz w:val="20"/>
          <w:szCs w:val="20"/>
          <w:lang w:val="fr-CA"/>
        </w:rPr>
      </w:pPr>
      <w:r w:rsidRPr="004C18ED">
        <w:rPr>
          <w:b/>
          <w:sz w:val="20"/>
          <w:szCs w:val="20"/>
          <w:lang w:val="fr-CA"/>
        </w:rPr>
        <w:t>26646</w:t>
      </w:r>
      <w:r w:rsidRPr="004C18ED">
        <w:rPr>
          <w:b/>
          <w:sz w:val="20"/>
          <w:szCs w:val="20"/>
          <w:lang w:val="fr-CA"/>
        </w:rPr>
        <w:tab/>
      </w:r>
      <w:r w:rsidRPr="004C18ED">
        <w:rPr>
          <w:rFonts w:cs="Times New Roman"/>
          <w:b/>
          <w:i/>
          <w:iCs/>
          <w:sz w:val="20"/>
          <w:szCs w:val="20"/>
          <w:lang w:val="fr-CA"/>
        </w:rPr>
        <w:t>Sa Majesté la Reine c. Daniel Jolivet</w:t>
      </w:r>
    </w:p>
    <w:p w:rsidR="00053C2A" w:rsidRPr="004C18ED" w:rsidRDefault="00053C2A" w:rsidP="0005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053C2A" w:rsidRPr="004C18ED" w:rsidRDefault="00053C2A" w:rsidP="0005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CA"/>
        </w:rPr>
      </w:pPr>
      <w:r w:rsidRPr="004C18ED">
        <w:rPr>
          <w:sz w:val="20"/>
          <w:szCs w:val="20"/>
          <w:lang w:val="fr-CA"/>
        </w:rPr>
        <w:t xml:space="preserve">Droit criminel </w:t>
      </w:r>
      <w:r w:rsidRPr="004C18ED">
        <w:rPr>
          <w:sz w:val="20"/>
          <w:szCs w:val="20"/>
          <w:lang w:val="fr-CA"/>
        </w:rPr>
        <w:noBreakHyphen/>
        <w:t xml:space="preserve"> Preuve - Article 686(1)b)iii) du </w:t>
      </w:r>
      <w:r w:rsidRPr="004C18ED">
        <w:rPr>
          <w:i/>
          <w:iCs/>
          <w:sz w:val="20"/>
          <w:szCs w:val="20"/>
          <w:lang w:val="fr-CA"/>
        </w:rPr>
        <w:t>Code criminel</w:t>
      </w:r>
      <w:r w:rsidRPr="004C18ED">
        <w:rPr>
          <w:sz w:val="20"/>
          <w:szCs w:val="20"/>
          <w:lang w:val="fr-CA"/>
        </w:rPr>
        <w:t xml:space="preserve"> </w:t>
      </w:r>
      <w:r w:rsidRPr="004C18ED">
        <w:rPr>
          <w:sz w:val="20"/>
          <w:szCs w:val="20"/>
          <w:lang w:val="fr-CA"/>
        </w:rPr>
        <w:noBreakHyphen/>
        <w:t xml:space="preserve"> Défaut par la Couronne de faire témoigner certains témoins - Communication tardive de la preuve - Enquête sur les événements ayant entouré la marche des jurés aux environs du Palais de justice lors des délibérations</w:t>
      </w:r>
      <w:r w:rsidRPr="004C18ED">
        <w:rPr>
          <w:rFonts w:ascii="Arial" w:hAnsi="Arial" w:cs="Arial"/>
          <w:sz w:val="20"/>
          <w:szCs w:val="20"/>
          <w:lang w:val="fr-CA"/>
        </w:rPr>
        <w:t>.</w:t>
      </w:r>
    </w:p>
    <w:p w:rsidR="006A6E04" w:rsidRDefault="006A6E04">
      <w:pPr>
        <w:rPr>
          <w:sz w:val="20"/>
          <w:szCs w:val="20"/>
          <w:lang w:val="fr-CA"/>
        </w:rPr>
      </w:pPr>
    </w:p>
    <w:p w:rsidR="004D6648" w:rsidRDefault="00215143" w:rsidP="004D6648">
      <w:pPr>
        <w:tabs>
          <w:tab w:val="left" w:pos="-1440"/>
          <w:tab w:val="left" w:pos="-720"/>
        </w:tabs>
        <w:jc w:val="both"/>
        <w:rPr>
          <w:sz w:val="20"/>
          <w:szCs w:val="20"/>
          <w:lang w:val="fr-CA"/>
        </w:rPr>
      </w:pPr>
      <w:r>
        <w:rPr>
          <w:sz w:val="20"/>
          <w:szCs w:val="20"/>
          <w:lang w:val="fr-CA"/>
        </w:rPr>
        <w:pict>
          <v:rect id="_x0000_i1114"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1C4995" w:rsidRPr="00C17761" w:rsidRDefault="000944FD" w:rsidP="001C4995">
      <w:pPr>
        <w:widowControl w:val="0"/>
        <w:ind w:left="720" w:hanging="720"/>
        <w:jc w:val="both"/>
        <w:rPr>
          <w:sz w:val="20"/>
          <w:szCs w:val="20"/>
          <w:lang w:val="fr-CA"/>
        </w:rPr>
      </w:pPr>
      <w:r w:rsidRPr="00C17761">
        <w:rPr>
          <w:b/>
          <w:sz w:val="20"/>
          <w:szCs w:val="20"/>
        </w:rPr>
        <w:lastRenderedPageBreak/>
        <w:fldChar w:fldCharType="begin"/>
      </w:r>
      <w:r w:rsidR="001C4995" w:rsidRPr="00C17761">
        <w:rPr>
          <w:b/>
          <w:sz w:val="20"/>
          <w:szCs w:val="20"/>
          <w:lang w:val="fr-CA"/>
        </w:rPr>
        <w:instrText xml:space="preserve"> SEQ CHAPTER \h \r 1</w:instrText>
      </w:r>
      <w:r w:rsidRPr="00C17761">
        <w:rPr>
          <w:b/>
          <w:sz w:val="20"/>
          <w:szCs w:val="20"/>
        </w:rPr>
        <w:fldChar w:fldCharType="end"/>
      </w:r>
      <w:r w:rsidR="001C4995" w:rsidRPr="00C17761">
        <w:rPr>
          <w:b/>
          <w:sz w:val="20"/>
          <w:szCs w:val="20"/>
          <w:lang w:val="fr-CA"/>
        </w:rPr>
        <w:t>35496</w:t>
      </w:r>
      <w:r w:rsidR="001C4995" w:rsidRPr="00C17761">
        <w:rPr>
          <w:sz w:val="20"/>
          <w:szCs w:val="20"/>
          <w:lang w:val="fr-CA"/>
        </w:rPr>
        <w:tab/>
      </w:r>
      <w:r w:rsidR="001C4995" w:rsidRPr="00C17761">
        <w:rPr>
          <w:b/>
          <w:i/>
          <w:sz w:val="20"/>
          <w:szCs w:val="20"/>
          <w:lang w:val="fr-CA"/>
        </w:rPr>
        <w:t>Mouvement laïque québécois, Alain Simoneau v. City of Saguenay, Jean Tremblay</w:t>
      </w:r>
    </w:p>
    <w:p w:rsidR="001C4995" w:rsidRPr="00C17761" w:rsidRDefault="001C4995" w:rsidP="001C4995">
      <w:pPr>
        <w:widowControl w:val="0"/>
        <w:jc w:val="both"/>
        <w:rPr>
          <w:sz w:val="20"/>
          <w:szCs w:val="20"/>
          <w:lang w:val="fr-CA"/>
        </w:rPr>
      </w:pPr>
    </w:p>
    <w:p w:rsidR="001C4995" w:rsidRPr="00C17761" w:rsidRDefault="001C4995" w:rsidP="001C4995">
      <w:pPr>
        <w:jc w:val="both"/>
        <w:rPr>
          <w:sz w:val="20"/>
          <w:szCs w:val="20"/>
        </w:rPr>
      </w:pPr>
      <w:r w:rsidRPr="00C17761">
        <w:rPr>
          <w:sz w:val="20"/>
          <w:szCs w:val="20"/>
        </w:rPr>
        <w:t>Human rights - Freedom of religion - Municipal by-law providing for recitation of prayer before start of municipal council’s public meetings - Whether Court of Appeal applied proper standard of review to decision of Human Rights Tribunal with regard to issues relating to expert evidence, adverse effect on freedom of conscience, religious nature of prayer, Tribunal’s jurisdiction to deal with issue of religious symbols, discriminatory effect of religious symbols, discriminatory nature of municipal by-law, prejudice and orders for redress and compensation - Whether Court of Appeal misapplied rules governing presentation of evidence of discrimination - Whether Tribunal’s decision on issue of extrajudicial costs wrong.</w:t>
      </w:r>
    </w:p>
    <w:p w:rsidR="001C4995" w:rsidRPr="00C17761" w:rsidRDefault="001C4995" w:rsidP="001C4995">
      <w:pPr>
        <w:widowControl w:val="0"/>
        <w:jc w:val="both"/>
        <w:rPr>
          <w:sz w:val="20"/>
          <w:szCs w:val="20"/>
        </w:rPr>
      </w:pPr>
    </w:p>
    <w:p w:rsidR="001C4995" w:rsidRPr="00C17761" w:rsidRDefault="001C4995" w:rsidP="001C4995">
      <w:pPr>
        <w:jc w:val="both"/>
        <w:rPr>
          <w:sz w:val="20"/>
          <w:szCs w:val="20"/>
        </w:rPr>
      </w:pPr>
      <w:r w:rsidRPr="00C17761">
        <w:rPr>
          <w:sz w:val="20"/>
          <w:szCs w:val="20"/>
        </w:rPr>
        <w:t>The appellant Mr. Simoneau is a non-believer and, at the relevant time, was a citizen of the respondent City of Saguenay.  He attended the meetings of the municipal council.  A municipal by-law provided that council members who so wished could stand and say a prayer at the start of council proceedings.  In addition, near the mayor, there was a crucifix at the La Baie town hall and a statue of the Sacred Heart at the Chicoutimi town hall.</w:t>
      </w:r>
    </w:p>
    <w:p w:rsidR="001C4995" w:rsidRPr="00C17761" w:rsidRDefault="001C4995" w:rsidP="001C4995">
      <w:pPr>
        <w:jc w:val="both"/>
        <w:rPr>
          <w:sz w:val="20"/>
          <w:szCs w:val="20"/>
        </w:rPr>
      </w:pPr>
    </w:p>
    <w:p w:rsidR="001C4995" w:rsidRPr="00C17761" w:rsidRDefault="001C4995" w:rsidP="001C4995">
      <w:pPr>
        <w:jc w:val="both"/>
        <w:rPr>
          <w:sz w:val="20"/>
          <w:szCs w:val="20"/>
        </w:rPr>
      </w:pPr>
      <w:r w:rsidRPr="00C17761">
        <w:rPr>
          <w:sz w:val="20"/>
          <w:szCs w:val="20"/>
        </w:rPr>
        <w:t xml:space="preserve">Mr. Simoneau and the Mouvement laïque québécois eventually filed an application against the City and its mayor with the human and youth rights tribunal.  They alleged that the respondents had, in a discriminatory manner on the ground of religion, violated Mr. Simoneau’s freedom of conscience and religion and his right to respect for his dignity (ss. 3, 4, 10, 11 and 15 of the </w:t>
      </w:r>
      <w:r w:rsidRPr="00C17761">
        <w:rPr>
          <w:i/>
          <w:sz w:val="20"/>
          <w:szCs w:val="20"/>
        </w:rPr>
        <w:t>Charter of human rights and freedoms</w:t>
      </w:r>
      <w:r w:rsidRPr="00C17761">
        <w:rPr>
          <w:sz w:val="20"/>
          <w:szCs w:val="20"/>
        </w:rPr>
        <w:t>).  They asked that the recitation of the prayer cease and that the religious symbols be removed from the proceedings rooms.  They also claimed damages for the moral prejudice suffered by Mr. Simoneau, exemplary damages and extrajudicial costs.</w:t>
      </w:r>
    </w:p>
    <w:p w:rsidR="001C4995" w:rsidRPr="00C17761" w:rsidRDefault="001C4995" w:rsidP="001C4995">
      <w:pPr>
        <w:jc w:val="both"/>
        <w:rPr>
          <w:sz w:val="20"/>
          <w:szCs w:val="20"/>
        </w:rPr>
      </w:pPr>
    </w:p>
    <w:p w:rsidR="001C4995" w:rsidRPr="00C17761" w:rsidRDefault="001C4995" w:rsidP="001C4995">
      <w:pPr>
        <w:jc w:val="both"/>
        <w:rPr>
          <w:sz w:val="20"/>
          <w:szCs w:val="20"/>
        </w:rPr>
      </w:pPr>
      <w:r w:rsidRPr="00C17761">
        <w:rPr>
          <w:sz w:val="20"/>
          <w:szCs w:val="20"/>
        </w:rPr>
        <w:t>The tribunal allowed Mr. Simoneau’s application in part, but the Court of Appeal set aside the decision on the ground that the content of the prayer did not violate the duty of neutrality imposed on the City and that, in any case, even if the recitation of the prayer interfered with Mr. Simoneau’s moral values, the interference was trivial or insubstantial in the circumstances.</w:t>
      </w:r>
    </w:p>
    <w:p w:rsidR="001C4995" w:rsidRPr="00C17761" w:rsidRDefault="001C4995" w:rsidP="001C4995">
      <w:pPr>
        <w:widowControl w:val="0"/>
        <w:jc w:val="both"/>
        <w:rPr>
          <w:sz w:val="20"/>
          <w:szCs w:val="20"/>
        </w:rPr>
      </w:pPr>
    </w:p>
    <w:p w:rsidR="001C4995" w:rsidRPr="00C17761" w:rsidRDefault="001C4995" w:rsidP="001C4995">
      <w:pPr>
        <w:widowControl w:val="0"/>
        <w:jc w:val="both"/>
        <w:rPr>
          <w:sz w:val="20"/>
          <w:szCs w:val="20"/>
        </w:rPr>
      </w:pPr>
    </w:p>
    <w:p w:rsidR="001C4995" w:rsidRPr="00C17761" w:rsidRDefault="001C4995" w:rsidP="001C4995">
      <w:pPr>
        <w:widowControl w:val="0"/>
        <w:ind w:left="2880" w:hanging="2880"/>
        <w:jc w:val="both"/>
        <w:rPr>
          <w:sz w:val="20"/>
          <w:szCs w:val="20"/>
        </w:rPr>
      </w:pPr>
      <w:r w:rsidRPr="00C17761">
        <w:rPr>
          <w:sz w:val="20"/>
          <w:szCs w:val="20"/>
        </w:rPr>
        <w:t>Origin of the case:</w:t>
      </w:r>
      <w:r w:rsidRPr="00C17761">
        <w:rPr>
          <w:sz w:val="20"/>
          <w:szCs w:val="20"/>
        </w:rPr>
        <w:tab/>
        <w:t>Quebec</w:t>
      </w:r>
    </w:p>
    <w:p w:rsidR="001C4995" w:rsidRPr="00C17761" w:rsidRDefault="001C4995" w:rsidP="001C4995">
      <w:pPr>
        <w:widowControl w:val="0"/>
        <w:ind w:left="2880" w:hanging="2880"/>
        <w:jc w:val="both"/>
        <w:rPr>
          <w:sz w:val="20"/>
          <w:szCs w:val="20"/>
        </w:rPr>
      </w:pPr>
    </w:p>
    <w:p w:rsidR="001C4995" w:rsidRPr="00C17761" w:rsidRDefault="001C4995" w:rsidP="001C4995">
      <w:pPr>
        <w:widowControl w:val="0"/>
        <w:ind w:left="2880" w:hanging="2880"/>
        <w:jc w:val="both"/>
        <w:rPr>
          <w:sz w:val="20"/>
          <w:szCs w:val="20"/>
        </w:rPr>
      </w:pPr>
      <w:r w:rsidRPr="00C17761">
        <w:rPr>
          <w:sz w:val="20"/>
          <w:szCs w:val="20"/>
        </w:rPr>
        <w:t>File No.:</w:t>
      </w:r>
      <w:r w:rsidRPr="00C17761">
        <w:rPr>
          <w:sz w:val="20"/>
          <w:szCs w:val="20"/>
        </w:rPr>
        <w:tab/>
        <w:t>35496</w:t>
      </w:r>
    </w:p>
    <w:p w:rsidR="001C4995" w:rsidRPr="00C17761" w:rsidRDefault="001C4995" w:rsidP="001C4995">
      <w:pPr>
        <w:widowControl w:val="0"/>
        <w:ind w:left="2880" w:hanging="2880"/>
        <w:jc w:val="both"/>
        <w:rPr>
          <w:sz w:val="20"/>
          <w:szCs w:val="20"/>
        </w:rPr>
      </w:pPr>
    </w:p>
    <w:p w:rsidR="001C4995" w:rsidRPr="00C17761" w:rsidRDefault="001C4995" w:rsidP="001C4995">
      <w:pPr>
        <w:widowControl w:val="0"/>
        <w:ind w:left="2880" w:hanging="2880"/>
        <w:jc w:val="both"/>
        <w:rPr>
          <w:sz w:val="20"/>
          <w:szCs w:val="20"/>
        </w:rPr>
      </w:pPr>
      <w:r w:rsidRPr="00C17761">
        <w:rPr>
          <w:sz w:val="20"/>
          <w:szCs w:val="20"/>
        </w:rPr>
        <w:t>Judgment of the Court of Appeal:</w:t>
      </w:r>
      <w:r w:rsidRPr="00C17761">
        <w:rPr>
          <w:sz w:val="20"/>
          <w:szCs w:val="20"/>
        </w:rPr>
        <w:tab/>
        <w:t>May 27, 2013</w:t>
      </w:r>
    </w:p>
    <w:p w:rsidR="001C4995" w:rsidRPr="00C17761" w:rsidRDefault="001C4995" w:rsidP="001C4995">
      <w:pPr>
        <w:widowControl w:val="0"/>
        <w:ind w:left="2880" w:hanging="2880"/>
        <w:jc w:val="both"/>
        <w:rPr>
          <w:sz w:val="20"/>
          <w:szCs w:val="20"/>
        </w:rPr>
      </w:pPr>
    </w:p>
    <w:p w:rsidR="001C4995" w:rsidRPr="00C17761" w:rsidRDefault="001C4995" w:rsidP="001C4995">
      <w:pPr>
        <w:widowControl w:val="0"/>
        <w:ind w:left="2880" w:hanging="2880"/>
        <w:jc w:val="both"/>
        <w:rPr>
          <w:sz w:val="20"/>
          <w:szCs w:val="20"/>
        </w:rPr>
      </w:pPr>
      <w:r w:rsidRPr="00C17761">
        <w:rPr>
          <w:sz w:val="20"/>
          <w:szCs w:val="20"/>
        </w:rPr>
        <w:t>Counsel:</w:t>
      </w:r>
      <w:r w:rsidRPr="00C17761">
        <w:rPr>
          <w:sz w:val="20"/>
          <w:szCs w:val="20"/>
        </w:rPr>
        <w:tab/>
        <w:t>Luc Alarie for the appellants</w:t>
      </w:r>
    </w:p>
    <w:p w:rsidR="001C4995" w:rsidRPr="00C17761" w:rsidRDefault="001C4995" w:rsidP="001C4995">
      <w:pPr>
        <w:widowControl w:val="0"/>
        <w:ind w:left="2880" w:hanging="2880"/>
        <w:jc w:val="both"/>
        <w:rPr>
          <w:sz w:val="20"/>
          <w:szCs w:val="20"/>
        </w:rPr>
      </w:pPr>
      <w:r w:rsidRPr="00C17761">
        <w:rPr>
          <w:sz w:val="20"/>
          <w:szCs w:val="20"/>
        </w:rPr>
        <w:tab/>
        <w:t>Richard Bergeron for the respondents</w:t>
      </w:r>
    </w:p>
    <w:p w:rsidR="004D6648" w:rsidRPr="001C4995" w:rsidRDefault="004D6648" w:rsidP="004D6648">
      <w:pPr>
        <w:tabs>
          <w:tab w:val="left" w:pos="-1440"/>
          <w:tab w:val="left" w:pos="-720"/>
        </w:tabs>
        <w:jc w:val="both"/>
        <w:rPr>
          <w:sz w:val="20"/>
          <w:szCs w:val="20"/>
        </w:rPr>
      </w:pPr>
    </w:p>
    <w:p w:rsidR="004D6648" w:rsidRDefault="00215143" w:rsidP="004D6648">
      <w:pPr>
        <w:tabs>
          <w:tab w:val="left" w:pos="-1440"/>
          <w:tab w:val="left" w:pos="-720"/>
        </w:tabs>
        <w:jc w:val="both"/>
        <w:rPr>
          <w:sz w:val="20"/>
          <w:szCs w:val="20"/>
          <w:lang w:val="fr-CA"/>
        </w:rPr>
      </w:pPr>
      <w:r>
        <w:rPr>
          <w:sz w:val="20"/>
          <w:szCs w:val="20"/>
          <w:lang w:val="fr-CA"/>
        </w:rPr>
        <w:pict>
          <v:rect id="_x0000_i1115"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1C4995" w:rsidRPr="00CF0467" w:rsidRDefault="000944FD" w:rsidP="001C4995">
      <w:pPr>
        <w:widowControl w:val="0"/>
        <w:ind w:left="720" w:hanging="720"/>
        <w:jc w:val="both"/>
        <w:rPr>
          <w:sz w:val="20"/>
          <w:szCs w:val="20"/>
          <w:lang w:val="fr-CA"/>
        </w:rPr>
      </w:pPr>
      <w:r w:rsidRPr="00CF0467">
        <w:rPr>
          <w:b/>
          <w:sz w:val="20"/>
          <w:szCs w:val="20"/>
          <w:lang w:val="fr-CA"/>
        </w:rPr>
        <w:lastRenderedPageBreak/>
        <w:fldChar w:fldCharType="begin"/>
      </w:r>
      <w:r w:rsidR="001C4995" w:rsidRPr="00CF0467">
        <w:rPr>
          <w:b/>
          <w:sz w:val="20"/>
          <w:szCs w:val="20"/>
          <w:lang w:val="fr-CA"/>
        </w:rPr>
        <w:instrText xml:space="preserve"> SEQ CHAPTER \h \r 1</w:instrText>
      </w:r>
      <w:r w:rsidRPr="00CF0467">
        <w:rPr>
          <w:b/>
          <w:sz w:val="20"/>
          <w:szCs w:val="20"/>
          <w:lang w:val="fr-CA"/>
        </w:rPr>
        <w:fldChar w:fldCharType="end"/>
      </w:r>
      <w:r w:rsidR="001C4995" w:rsidRPr="00CF0467">
        <w:rPr>
          <w:b/>
          <w:sz w:val="20"/>
          <w:szCs w:val="20"/>
          <w:lang w:val="fr-CA"/>
        </w:rPr>
        <w:t>35496</w:t>
      </w:r>
      <w:r w:rsidR="001C4995" w:rsidRPr="00CF0467">
        <w:rPr>
          <w:sz w:val="20"/>
          <w:szCs w:val="20"/>
          <w:lang w:val="fr-CA"/>
        </w:rPr>
        <w:tab/>
      </w:r>
      <w:r w:rsidR="001C4995" w:rsidRPr="00CF0467">
        <w:rPr>
          <w:b/>
          <w:i/>
          <w:sz w:val="20"/>
          <w:szCs w:val="20"/>
          <w:lang w:val="fr-CA"/>
        </w:rPr>
        <w:t>Mouvement laïque québécois, Alain Simoneau c. Ville de Saguenay, Jean Tremblay</w:t>
      </w:r>
    </w:p>
    <w:p w:rsidR="001C4995" w:rsidRPr="00CF0467" w:rsidRDefault="001C4995" w:rsidP="001C4995">
      <w:pPr>
        <w:widowControl w:val="0"/>
        <w:jc w:val="both"/>
        <w:rPr>
          <w:sz w:val="20"/>
          <w:szCs w:val="20"/>
          <w:lang w:val="fr-CA"/>
        </w:rPr>
      </w:pPr>
    </w:p>
    <w:p w:rsidR="001C4995" w:rsidRPr="00CF0467" w:rsidRDefault="001C4995" w:rsidP="001C4995">
      <w:pPr>
        <w:jc w:val="both"/>
        <w:rPr>
          <w:sz w:val="20"/>
          <w:szCs w:val="20"/>
          <w:lang w:val="fr-CA"/>
        </w:rPr>
      </w:pPr>
      <w:r w:rsidRPr="00CF0467">
        <w:rPr>
          <w:sz w:val="20"/>
          <w:szCs w:val="20"/>
          <w:lang w:val="fr-CA"/>
        </w:rPr>
        <w:t>Droits de la personne - Liberté de religion - Règlement municipal prescrivant la récitation d’une prière avant le début des séances publiques du conseil municipal - La Cour d’appel a-t-elle appliqué la bonne norme de contrôle à la décision du Tribunal des droits de la personne eu égard aux questions portant sur la preuve d’expert, l’effet préjudiciable à la liberté de conscience, le caractère religieux de la prière, la compétence du Tribunal d’être saisi de la question des symboles religieux, l’effet discriminatoire des symboles religieux, le caractère discriminatoire du règlement municipal, le préjudice et les ordonnances de redressement et de réparation? - A-t-elle mal appliqué les règles d’administration de la preuve en matière de discrimination? - La décision du Tribunal sur la question des frais extrajudiciaires est-elle erronée?</w:t>
      </w:r>
    </w:p>
    <w:p w:rsidR="001C4995" w:rsidRPr="00CF0467" w:rsidRDefault="001C4995" w:rsidP="001C4995">
      <w:pPr>
        <w:widowControl w:val="0"/>
        <w:jc w:val="both"/>
        <w:rPr>
          <w:sz w:val="20"/>
          <w:szCs w:val="20"/>
          <w:lang w:val="fr-CA"/>
        </w:rPr>
      </w:pPr>
    </w:p>
    <w:p w:rsidR="001C4995" w:rsidRPr="00CF0467" w:rsidRDefault="001C4995" w:rsidP="001C4995">
      <w:pPr>
        <w:jc w:val="both"/>
        <w:rPr>
          <w:sz w:val="20"/>
          <w:szCs w:val="20"/>
          <w:lang w:val="fr-CA"/>
        </w:rPr>
      </w:pPr>
      <w:r w:rsidRPr="00CF0467">
        <w:rPr>
          <w:sz w:val="20"/>
          <w:szCs w:val="20"/>
          <w:lang w:val="fr-CA"/>
        </w:rPr>
        <w:t>L’appelant, M. Simoneau, est non croyant et, à l’époque pertinente, citoyen de la Ville de Saguenay intimée. Il assiste aux séances du conseil municipal. Un règlement municipal prévoit qu’au début des délibérations du conseil, les membres du conseil qui le désirent se lèvent pour prononcer une prière. De plus, à proximité du maire se trouvent un crucifix dans l’hôtel de ville de La Baie et une statue du Sacré-Cœur dans celui de Chicoutimi.</w:t>
      </w:r>
    </w:p>
    <w:p w:rsidR="001C4995" w:rsidRPr="00CF0467" w:rsidRDefault="001C4995" w:rsidP="001C4995">
      <w:pPr>
        <w:jc w:val="both"/>
        <w:rPr>
          <w:sz w:val="20"/>
          <w:szCs w:val="20"/>
          <w:lang w:val="fr-CA"/>
        </w:rPr>
      </w:pPr>
    </w:p>
    <w:p w:rsidR="001C4995" w:rsidRPr="00CF0467" w:rsidRDefault="001C4995" w:rsidP="001C4995">
      <w:pPr>
        <w:jc w:val="both"/>
        <w:rPr>
          <w:sz w:val="20"/>
          <w:szCs w:val="20"/>
          <w:lang w:val="fr-CA"/>
        </w:rPr>
      </w:pPr>
      <w:r w:rsidRPr="00CF0467">
        <w:rPr>
          <w:sz w:val="20"/>
          <w:szCs w:val="20"/>
          <w:lang w:val="fr-CA"/>
        </w:rPr>
        <w:t xml:space="preserve">Monsieur Simoneau et le Mouvement laïque québécois intentent éventuellement un recours devant le Tribunal des droits de la personne et des droits de la jeunesse contre la Ville et son maire. Ils allèguent que les intimés ont porté atteinte de façon discriminatoire, au motif de la religion, à la liberté de conscience et de religion de M. Simoneau ainsi qu’à son droit au respect de la dignité (art. 3, 4, 10, 11 et 15 de la </w:t>
      </w:r>
      <w:r w:rsidRPr="00CF0467">
        <w:rPr>
          <w:i/>
          <w:sz w:val="20"/>
          <w:szCs w:val="20"/>
          <w:lang w:val="fr-CA"/>
        </w:rPr>
        <w:t>Charte des droits et libertés de la personne</w:t>
      </w:r>
      <w:r w:rsidRPr="00CF0467">
        <w:rPr>
          <w:sz w:val="20"/>
          <w:szCs w:val="20"/>
          <w:lang w:val="fr-CA"/>
        </w:rPr>
        <w:t>). Ils demandent que la récitation de la prière cesse et que les symboles religieux soient retirés des salles de délibération. De plus, ils réclament des dommages-intérêts pour compenser le préjudice moral subi par M. Simoneau, des dommages-intérêts exemplaires ainsi que les frais extrajudiciaires.</w:t>
      </w:r>
    </w:p>
    <w:p w:rsidR="001C4995" w:rsidRPr="00CF0467" w:rsidRDefault="001C4995" w:rsidP="001C4995">
      <w:pPr>
        <w:jc w:val="both"/>
        <w:rPr>
          <w:sz w:val="20"/>
          <w:szCs w:val="20"/>
          <w:lang w:val="fr-CA"/>
        </w:rPr>
      </w:pPr>
    </w:p>
    <w:p w:rsidR="001C4995" w:rsidRPr="00CF0467" w:rsidRDefault="001C4995" w:rsidP="001C4995">
      <w:pPr>
        <w:jc w:val="both"/>
        <w:rPr>
          <w:sz w:val="20"/>
          <w:szCs w:val="20"/>
          <w:lang w:val="fr-CA"/>
        </w:rPr>
      </w:pPr>
      <w:r w:rsidRPr="00CF0467">
        <w:rPr>
          <w:sz w:val="20"/>
          <w:szCs w:val="20"/>
          <w:lang w:val="fr-CA"/>
        </w:rPr>
        <w:t>Le Tribunal accueille la demande de M. Simoneau en partie, mais la Cour d’appel infirme la décision au motif que la teneur de la prière ne viole pas l’obligation de neutralité imposée à la Ville et qu’à tout événement, même si la récitation de la prière constituait une entrave aux valeurs morales de M. Simoneau, cette entrave serait négligeable ou insignifiante dans les circonstances.</w:t>
      </w:r>
    </w:p>
    <w:p w:rsidR="001C4995" w:rsidRPr="00CF0467" w:rsidRDefault="001C4995" w:rsidP="001C4995">
      <w:pPr>
        <w:widowControl w:val="0"/>
        <w:jc w:val="both"/>
        <w:rPr>
          <w:sz w:val="20"/>
          <w:szCs w:val="20"/>
          <w:lang w:val="fr-CA"/>
        </w:rPr>
      </w:pPr>
    </w:p>
    <w:p w:rsidR="001C4995" w:rsidRPr="00CF0467" w:rsidRDefault="001C4995" w:rsidP="001C4995">
      <w:pPr>
        <w:widowControl w:val="0"/>
        <w:jc w:val="both"/>
        <w:rPr>
          <w:sz w:val="20"/>
          <w:szCs w:val="20"/>
          <w:lang w:val="fr-CA"/>
        </w:rPr>
      </w:pPr>
    </w:p>
    <w:p w:rsidR="001C4995" w:rsidRPr="00CF0467" w:rsidRDefault="001C4995" w:rsidP="001C4995">
      <w:pPr>
        <w:widowControl w:val="0"/>
        <w:ind w:left="2880" w:hanging="2880"/>
        <w:jc w:val="both"/>
        <w:rPr>
          <w:sz w:val="20"/>
          <w:szCs w:val="20"/>
          <w:lang w:val="fr-CA"/>
        </w:rPr>
      </w:pPr>
      <w:r w:rsidRPr="00CF0467">
        <w:rPr>
          <w:sz w:val="20"/>
          <w:szCs w:val="20"/>
          <w:lang w:val="fr-CA"/>
        </w:rPr>
        <w:t>Origine:</w:t>
      </w:r>
      <w:r w:rsidRPr="00CF0467">
        <w:rPr>
          <w:sz w:val="20"/>
          <w:szCs w:val="20"/>
          <w:lang w:val="fr-CA"/>
        </w:rPr>
        <w:tab/>
        <w:t>Québec</w:t>
      </w:r>
    </w:p>
    <w:p w:rsidR="001C4995" w:rsidRPr="00CF0467" w:rsidRDefault="001C4995" w:rsidP="001C4995">
      <w:pPr>
        <w:widowControl w:val="0"/>
        <w:ind w:left="2880" w:hanging="2880"/>
        <w:jc w:val="both"/>
        <w:rPr>
          <w:sz w:val="20"/>
          <w:szCs w:val="20"/>
          <w:lang w:val="fr-CA"/>
        </w:rPr>
      </w:pPr>
    </w:p>
    <w:p w:rsidR="001C4995" w:rsidRPr="00CF0467" w:rsidRDefault="001C4995" w:rsidP="001C4995">
      <w:pPr>
        <w:widowControl w:val="0"/>
        <w:ind w:left="2880" w:hanging="2880"/>
        <w:jc w:val="both"/>
        <w:rPr>
          <w:sz w:val="20"/>
          <w:szCs w:val="20"/>
          <w:lang w:val="fr-CA"/>
        </w:rPr>
      </w:pPr>
      <w:r w:rsidRPr="00CF0467">
        <w:rPr>
          <w:sz w:val="20"/>
          <w:szCs w:val="20"/>
          <w:lang w:val="fr-CA"/>
        </w:rPr>
        <w:t>N</w:t>
      </w:r>
      <w:r w:rsidRPr="00CF0467">
        <w:rPr>
          <w:sz w:val="20"/>
          <w:szCs w:val="20"/>
          <w:vertAlign w:val="superscript"/>
          <w:lang w:val="fr-CA"/>
        </w:rPr>
        <w:t>o</w:t>
      </w:r>
      <w:r w:rsidRPr="00CF0467">
        <w:rPr>
          <w:sz w:val="20"/>
          <w:szCs w:val="20"/>
          <w:lang w:val="fr-CA"/>
        </w:rPr>
        <w:t xml:space="preserve"> du greffe:</w:t>
      </w:r>
      <w:r w:rsidRPr="00CF0467">
        <w:rPr>
          <w:sz w:val="20"/>
          <w:szCs w:val="20"/>
          <w:lang w:val="fr-CA"/>
        </w:rPr>
        <w:tab/>
        <w:t>35496</w:t>
      </w:r>
    </w:p>
    <w:p w:rsidR="001C4995" w:rsidRPr="00CF0467" w:rsidRDefault="001C4995" w:rsidP="001C4995">
      <w:pPr>
        <w:widowControl w:val="0"/>
        <w:ind w:left="2880" w:hanging="2880"/>
        <w:jc w:val="both"/>
        <w:rPr>
          <w:sz w:val="20"/>
          <w:szCs w:val="20"/>
          <w:lang w:val="fr-CA"/>
        </w:rPr>
      </w:pPr>
    </w:p>
    <w:p w:rsidR="001C4995" w:rsidRPr="00CF0467" w:rsidRDefault="001C4995" w:rsidP="001C4995">
      <w:pPr>
        <w:widowControl w:val="0"/>
        <w:ind w:left="2880" w:hanging="2880"/>
        <w:jc w:val="both"/>
        <w:rPr>
          <w:sz w:val="20"/>
          <w:szCs w:val="20"/>
          <w:lang w:val="fr-CA"/>
        </w:rPr>
      </w:pPr>
      <w:r w:rsidRPr="00CF0467">
        <w:rPr>
          <w:sz w:val="20"/>
          <w:szCs w:val="20"/>
          <w:lang w:val="fr-CA"/>
        </w:rPr>
        <w:t>Arrêt de la Cour d’appel:</w:t>
      </w:r>
      <w:r w:rsidRPr="00CF0467">
        <w:rPr>
          <w:sz w:val="20"/>
          <w:szCs w:val="20"/>
          <w:lang w:val="fr-CA"/>
        </w:rPr>
        <w:tab/>
        <w:t>le 27 mai 2013</w:t>
      </w:r>
    </w:p>
    <w:p w:rsidR="001C4995" w:rsidRPr="00CF0467" w:rsidRDefault="001C4995" w:rsidP="001C4995">
      <w:pPr>
        <w:widowControl w:val="0"/>
        <w:ind w:left="2880" w:hanging="2880"/>
        <w:jc w:val="both"/>
        <w:rPr>
          <w:sz w:val="20"/>
          <w:szCs w:val="20"/>
          <w:lang w:val="fr-CA"/>
        </w:rPr>
      </w:pPr>
    </w:p>
    <w:p w:rsidR="001C4995" w:rsidRPr="00CF0467" w:rsidRDefault="001C4995" w:rsidP="001C4995">
      <w:pPr>
        <w:widowControl w:val="0"/>
        <w:ind w:left="2880" w:hanging="2880"/>
        <w:jc w:val="both"/>
        <w:rPr>
          <w:sz w:val="20"/>
          <w:szCs w:val="20"/>
          <w:lang w:val="fr-CA"/>
        </w:rPr>
      </w:pPr>
      <w:r w:rsidRPr="00CF0467">
        <w:rPr>
          <w:sz w:val="20"/>
          <w:szCs w:val="20"/>
          <w:lang w:val="fr-CA"/>
        </w:rPr>
        <w:t>Avocats:</w:t>
      </w:r>
      <w:r w:rsidRPr="00CF0467">
        <w:rPr>
          <w:sz w:val="20"/>
          <w:szCs w:val="20"/>
          <w:lang w:val="fr-CA"/>
        </w:rPr>
        <w:tab/>
        <w:t>Luc Alarie pour les appelants</w:t>
      </w:r>
    </w:p>
    <w:p w:rsidR="001C4995" w:rsidRPr="00CF0467" w:rsidRDefault="001C4995" w:rsidP="001C4995">
      <w:pPr>
        <w:widowControl w:val="0"/>
        <w:ind w:left="2880" w:hanging="2880"/>
        <w:jc w:val="both"/>
        <w:rPr>
          <w:sz w:val="20"/>
          <w:szCs w:val="20"/>
          <w:lang w:val="fr-CA"/>
        </w:rPr>
      </w:pPr>
      <w:r w:rsidRPr="00CF0467">
        <w:rPr>
          <w:sz w:val="20"/>
          <w:szCs w:val="20"/>
          <w:lang w:val="fr-CA"/>
        </w:rPr>
        <w:tab/>
        <w:t>Richard Bergeron pour les intimés</w:t>
      </w:r>
    </w:p>
    <w:p w:rsidR="001C4995" w:rsidRPr="00CF0467" w:rsidRDefault="001C4995" w:rsidP="001C4995">
      <w:pPr>
        <w:widowControl w:val="0"/>
        <w:ind w:left="2880" w:hanging="2880"/>
        <w:jc w:val="both"/>
        <w:rPr>
          <w:sz w:val="20"/>
          <w:szCs w:val="20"/>
          <w:lang w:val="fr-CA"/>
        </w:rPr>
      </w:pPr>
    </w:p>
    <w:p w:rsidR="004D6648" w:rsidRDefault="00215143" w:rsidP="004D6648">
      <w:pPr>
        <w:tabs>
          <w:tab w:val="left" w:pos="-1440"/>
          <w:tab w:val="left" w:pos="-720"/>
        </w:tabs>
        <w:jc w:val="both"/>
        <w:rPr>
          <w:sz w:val="20"/>
          <w:szCs w:val="20"/>
          <w:lang w:val="fr-CA"/>
        </w:rPr>
      </w:pPr>
      <w:r>
        <w:rPr>
          <w:sz w:val="20"/>
          <w:szCs w:val="20"/>
          <w:lang w:val="fr-CA"/>
        </w:rPr>
        <w:pict>
          <v:rect id="_x0000_i1116"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1C4995" w:rsidRPr="00BA0CC4" w:rsidRDefault="000944FD" w:rsidP="001C4995">
      <w:pPr>
        <w:widowControl w:val="0"/>
        <w:ind w:left="720" w:hanging="720"/>
        <w:jc w:val="both"/>
        <w:rPr>
          <w:b/>
          <w:i/>
          <w:sz w:val="20"/>
          <w:szCs w:val="20"/>
        </w:rPr>
      </w:pPr>
      <w:r w:rsidRPr="00BA0CC4">
        <w:rPr>
          <w:b/>
          <w:sz w:val="20"/>
          <w:szCs w:val="20"/>
        </w:rPr>
        <w:lastRenderedPageBreak/>
        <w:fldChar w:fldCharType="begin"/>
      </w:r>
      <w:r w:rsidR="001C4995" w:rsidRPr="00BA0CC4">
        <w:rPr>
          <w:b/>
          <w:sz w:val="20"/>
          <w:szCs w:val="20"/>
        </w:rPr>
        <w:instrText xml:space="preserve"> SEQ CHAPTER \h \r 1</w:instrText>
      </w:r>
      <w:r w:rsidRPr="00BA0CC4">
        <w:rPr>
          <w:b/>
          <w:sz w:val="20"/>
          <w:szCs w:val="20"/>
        </w:rPr>
        <w:fldChar w:fldCharType="end"/>
      </w:r>
      <w:r w:rsidR="001C4995" w:rsidRPr="00BA0CC4">
        <w:rPr>
          <w:b/>
          <w:sz w:val="20"/>
          <w:szCs w:val="20"/>
        </w:rPr>
        <w:t>35591</w:t>
      </w:r>
      <w:r w:rsidR="001C4995" w:rsidRPr="00BA0CC4">
        <w:rPr>
          <w:sz w:val="20"/>
          <w:szCs w:val="20"/>
        </w:rPr>
        <w:tab/>
      </w:r>
      <w:r w:rsidR="001C4995" w:rsidRPr="00BA0CC4">
        <w:rPr>
          <w:b/>
          <w:i/>
          <w:sz w:val="20"/>
          <w:szCs w:val="20"/>
        </w:rPr>
        <w:t>Lee Carter, Hollis Johnson, William Shoichet, British Columbia Civil Liberties Association and Gloria Taylor v. Attorney General of Canada</w:t>
      </w:r>
    </w:p>
    <w:p w:rsidR="001C4995" w:rsidRPr="00BA0CC4" w:rsidRDefault="001C4995" w:rsidP="001C4995">
      <w:pPr>
        <w:widowControl w:val="0"/>
        <w:ind w:left="720" w:hanging="720"/>
        <w:jc w:val="both"/>
        <w:rPr>
          <w:b/>
          <w:i/>
          <w:sz w:val="20"/>
          <w:szCs w:val="20"/>
        </w:rPr>
      </w:pPr>
      <w:r w:rsidRPr="00BA0CC4">
        <w:rPr>
          <w:b/>
          <w:i/>
          <w:sz w:val="20"/>
          <w:szCs w:val="20"/>
        </w:rPr>
        <w:tab/>
        <w:t>- and between -</w:t>
      </w:r>
    </w:p>
    <w:p w:rsidR="001C4995" w:rsidRPr="00BA0CC4" w:rsidRDefault="001C4995" w:rsidP="001C4995">
      <w:pPr>
        <w:widowControl w:val="0"/>
        <w:ind w:left="720" w:hanging="720"/>
        <w:jc w:val="both"/>
        <w:rPr>
          <w:sz w:val="20"/>
          <w:szCs w:val="20"/>
        </w:rPr>
      </w:pPr>
      <w:r w:rsidRPr="00BA0CC4">
        <w:rPr>
          <w:b/>
          <w:i/>
          <w:sz w:val="20"/>
          <w:szCs w:val="20"/>
        </w:rPr>
        <w:tab/>
        <w:t>Lee Carter, Hollis Johnson, William Shoichet, British Columbia Civil Liberties Association and Gloria Taylor v. Attorney General of Canada, Attorney General of British Columbia</w:t>
      </w:r>
    </w:p>
    <w:p w:rsidR="001C4995" w:rsidRPr="00BA0CC4" w:rsidRDefault="001C4995" w:rsidP="001C4995">
      <w:pPr>
        <w:widowControl w:val="0"/>
        <w:jc w:val="both"/>
        <w:rPr>
          <w:sz w:val="20"/>
          <w:szCs w:val="20"/>
        </w:rPr>
      </w:pPr>
    </w:p>
    <w:p w:rsidR="001C4995" w:rsidRPr="00BA0CC4" w:rsidRDefault="001C4995" w:rsidP="001C4995">
      <w:pPr>
        <w:jc w:val="both"/>
        <w:rPr>
          <w:sz w:val="20"/>
          <w:szCs w:val="20"/>
        </w:rPr>
      </w:pPr>
      <w:r w:rsidRPr="00BA0CC4">
        <w:rPr>
          <w:i/>
          <w:sz w:val="20"/>
          <w:szCs w:val="20"/>
        </w:rPr>
        <w:t>Charter of Rights</w:t>
      </w:r>
      <w:r w:rsidRPr="00BA0CC4">
        <w:rPr>
          <w:sz w:val="20"/>
          <w:szCs w:val="20"/>
        </w:rPr>
        <w:t xml:space="preserve"> </w:t>
      </w:r>
      <w:r w:rsidRPr="00BA0CC4">
        <w:rPr>
          <w:rFonts w:eastAsia="MS Mincho"/>
          <w:sz w:val="20"/>
          <w:szCs w:val="20"/>
        </w:rPr>
        <w:t xml:space="preserve">- </w:t>
      </w:r>
      <w:r w:rsidRPr="00BA0CC4">
        <w:rPr>
          <w:sz w:val="20"/>
          <w:szCs w:val="20"/>
        </w:rPr>
        <w:t xml:space="preserve">Right to life </w:t>
      </w:r>
      <w:r w:rsidRPr="00BA0CC4">
        <w:rPr>
          <w:rFonts w:eastAsia="MS Mincho"/>
          <w:sz w:val="20"/>
          <w:szCs w:val="20"/>
        </w:rPr>
        <w:t xml:space="preserve">- </w:t>
      </w:r>
      <w:r w:rsidRPr="00BA0CC4">
        <w:rPr>
          <w:sz w:val="20"/>
          <w:szCs w:val="20"/>
        </w:rPr>
        <w:t xml:space="preserve">Equality </w:t>
      </w:r>
      <w:r w:rsidRPr="00BA0CC4">
        <w:rPr>
          <w:rFonts w:eastAsia="MS Mincho"/>
          <w:sz w:val="20"/>
          <w:szCs w:val="20"/>
        </w:rPr>
        <w:t xml:space="preserve">- </w:t>
      </w:r>
      <w:r w:rsidRPr="00BA0CC4">
        <w:rPr>
          <w:sz w:val="20"/>
          <w:szCs w:val="20"/>
        </w:rPr>
        <w:t xml:space="preserve">Fundamental justice </w:t>
      </w:r>
      <w:r w:rsidRPr="00BA0CC4">
        <w:rPr>
          <w:rFonts w:eastAsia="MS Mincho"/>
          <w:sz w:val="20"/>
          <w:szCs w:val="20"/>
        </w:rPr>
        <w:t>-</w:t>
      </w:r>
      <w:r w:rsidRPr="00BA0CC4">
        <w:rPr>
          <w:sz w:val="20"/>
          <w:szCs w:val="20"/>
        </w:rPr>
        <w:t xml:space="preserve"> Terminally ill patients seeking assistance to commit suicide </w:t>
      </w:r>
      <w:r w:rsidRPr="00BA0CC4">
        <w:rPr>
          <w:rFonts w:eastAsia="MS Mincho"/>
          <w:sz w:val="20"/>
          <w:szCs w:val="20"/>
        </w:rPr>
        <w:t>-</w:t>
      </w:r>
      <w:r w:rsidRPr="00BA0CC4">
        <w:rPr>
          <w:sz w:val="20"/>
          <w:szCs w:val="20"/>
        </w:rPr>
        <w:t xml:space="preserve"> Whether trial judge erred in distinguishing </w:t>
      </w:r>
      <w:r w:rsidRPr="00BA0CC4">
        <w:rPr>
          <w:i/>
          <w:sz w:val="20"/>
          <w:szCs w:val="20"/>
        </w:rPr>
        <w:t>Rodriguez v. British Columbia (Attorney General)</w:t>
      </w:r>
      <w:r w:rsidRPr="00BA0CC4">
        <w:rPr>
          <w:sz w:val="20"/>
          <w:szCs w:val="20"/>
        </w:rPr>
        <w:t xml:space="preserve">, [1993] 3 S.C.R. 519 - How does </w:t>
      </w:r>
      <w:r w:rsidRPr="00BA0CC4">
        <w:rPr>
          <w:i/>
          <w:sz w:val="20"/>
          <w:szCs w:val="20"/>
        </w:rPr>
        <w:t>stare decisis</w:t>
      </w:r>
      <w:r w:rsidRPr="00BA0CC4">
        <w:rPr>
          <w:sz w:val="20"/>
          <w:szCs w:val="20"/>
        </w:rPr>
        <w:t xml:space="preserve"> doctrine apply? - </w:t>
      </w:r>
      <w:r w:rsidRPr="00BA0CC4">
        <w:rPr>
          <w:bCs/>
          <w:sz w:val="20"/>
          <w:szCs w:val="20"/>
        </w:rPr>
        <w:t xml:space="preserve">Are ss. 14, 21, 22, 222 and 241 of the </w:t>
      </w:r>
      <w:r w:rsidRPr="00BA0CC4">
        <w:rPr>
          <w:bCs/>
          <w:i/>
          <w:sz w:val="20"/>
          <w:szCs w:val="20"/>
        </w:rPr>
        <w:t>Criminal Code</w:t>
      </w:r>
      <w:r w:rsidRPr="00BA0CC4">
        <w:rPr>
          <w:bCs/>
          <w:sz w:val="20"/>
          <w:szCs w:val="20"/>
        </w:rPr>
        <w:t xml:space="preserve"> constitutionally inapplicable to physician-assisted death by reason of interjurisdictional immunity doctrine?</w:t>
      </w:r>
      <w:r w:rsidRPr="00BA0CC4">
        <w:rPr>
          <w:sz w:val="20"/>
          <w:szCs w:val="20"/>
        </w:rPr>
        <w:t xml:space="preserve"> - </w:t>
      </w:r>
      <w:r w:rsidRPr="00BA0CC4">
        <w:rPr>
          <w:bCs/>
          <w:sz w:val="20"/>
          <w:szCs w:val="20"/>
        </w:rPr>
        <w:t xml:space="preserve">Do ss. 14, 21, 22, 222 and 241 of the </w:t>
      </w:r>
      <w:r w:rsidRPr="00BA0CC4">
        <w:rPr>
          <w:bCs/>
          <w:i/>
          <w:sz w:val="20"/>
          <w:szCs w:val="20"/>
        </w:rPr>
        <w:t>Criminal Code</w:t>
      </w:r>
      <w:r w:rsidRPr="00BA0CC4">
        <w:rPr>
          <w:bCs/>
          <w:sz w:val="20"/>
          <w:szCs w:val="20"/>
        </w:rPr>
        <w:t xml:space="preserve"> infringe either s. 7 or 15 of </w:t>
      </w:r>
      <w:r w:rsidRPr="00BA0CC4">
        <w:rPr>
          <w:bCs/>
          <w:i/>
          <w:sz w:val="20"/>
          <w:szCs w:val="20"/>
        </w:rPr>
        <w:t>Charter</w:t>
      </w:r>
      <w:r w:rsidRPr="00BA0CC4">
        <w:rPr>
          <w:bCs/>
          <w:sz w:val="20"/>
          <w:szCs w:val="20"/>
        </w:rPr>
        <w:t xml:space="preserve">? </w:t>
      </w:r>
      <w:r w:rsidRPr="00BA0CC4">
        <w:rPr>
          <w:rFonts w:eastAsia="MS Mincho"/>
          <w:sz w:val="20"/>
          <w:szCs w:val="20"/>
        </w:rPr>
        <w:t xml:space="preserve">- </w:t>
      </w:r>
      <w:r w:rsidRPr="00BA0CC4">
        <w:rPr>
          <w:bCs/>
          <w:sz w:val="20"/>
          <w:szCs w:val="20"/>
        </w:rPr>
        <w:t xml:space="preserve">If so, is infringement reasonable limit prescribed by law as can be demonstrably justified in free and democratic society under s. 1 of </w:t>
      </w:r>
      <w:r w:rsidRPr="00BA0CC4">
        <w:rPr>
          <w:bCs/>
          <w:i/>
          <w:sz w:val="20"/>
          <w:szCs w:val="20"/>
        </w:rPr>
        <w:t>Charter</w:t>
      </w:r>
      <w:r w:rsidRPr="00BA0CC4">
        <w:rPr>
          <w:bCs/>
          <w:sz w:val="20"/>
          <w:szCs w:val="20"/>
        </w:rPr>
        <w:t xml:space="preserve">? </w:t>
      </w:r>
      <w:r w:rsidRPr="00BA0CC4">
        <w:rPr>
          <w:sz w:val="20"/>
          <w:szCs w:val="20"/>
        </w:rPr>
        <w:t xml:space="preserve">- What remedy is appropriate? - What is appropriate framework of analysis for costs in such public interest litigation? </w:t>
      </w:r>
      <w:r w:rsidRPr="00BA0CC4">
        <w:rPr>
          <w:rFonts w:eastAsia="MS Mincho"/>
          <w:sz w:val="20"/>
          <w:szCs w:val="20"/>
        </w:rPr>
        <w:t>-</w:t>
      </w:r>
      <w:r w:rsidRPr="00BA0CC4">
        <w:rPr>
          <w:sz w:val="20"/>
          <w:szCs w:val="20"/>
        </w:rPr>
        <w:t xml:space="preserve"> </w:t>
      </w:r>
      <w:r w:rsidRPr="00BA0CC4">
        <w:rPr>
          <w:i/>
          <w:sz w:val="20"/>
          <w:szCs w:val="20"/>
        </w:rPr>
        <w:t>Criminal Code</w:t>
      </w:r>
      <w:r w:rsidRPr="00BA0CC4">
        <w:rPr>
          <w:sz w:val="20"/>
          <w:szCs w:val="20"/>
        </w:rPr>
        <w:t>, R.S.C., 1985, c. C</w:t>
      </w:r>
      <w:r w:rsidRPr="00BA0CC4">
        <w:rPr>
          <w:rFonts w:eastAsia="MS Mincho" w:hAnsi="MS Mincho"/>
          <w:sz w:val="20"/>
          <w:szCs w:val="20"/>
        </w:rPr>
        <w:t>‑</w:t>
      </w:r>
      <w:r w:rsidRPr="00BA0CC4">
        <w:rPr>
          <w:sz w:val="20"/>
          <w:szCs w:val="20"/>
        </w:rPr>
        <w:t>46, s. 241(b).</w:t>
      </w:r>
    </w:p>
    <w:p w:rsidR="001C4995" w:rsidRPr="00BA0CC4" w:rsidRDefault="001C4995" w:rsidP="001C4995">
      <w:pPr>
        <w:jc w:val="both"/>
        <w:rPr>
          <w:sz w:val="20"/>
          <w:szCs w:val="20"/>
        </w:rPr>
      </w:pPr>
    </w:p>
    <w:p w:rsidR="001C4995" w:rsidRPr="00BA0CC4" w:rsidRDefault="001C4995" w:rsidP="001C4995">
      <w:pPr>
        <w:tabs>
          <w:tab w:val="left" w:pos="-1200"/>
          <w:tab w:val="left" w:pos="-720"/>
          <w:tab w:val="left" w:pos="720"/>
          <w:tab w:val="left" w:pos="9720"/>
        </w:tabs>
        <w:jc w:val="both"/>
        <w:rPr>
          <w:bCs/>
          <w:sz w:val="20"/>
          <w:szCs w:val="20"/>
          <w:lang w:val="en-GB"/>
        </w:rPr>
      </w:pPr>
      <w:r w:rsidRPr="00BA0CC4">
        <w:rPr>
          <w:bCs/>
          <w:sz w:val="20"/>
          <w:szCs w:val="20"/>
          <w:lang w:val="en-GB"/>
        </w:rPr>
        <w:t xml:space="preserve">Ms. Kay Carter and the appellant Ms. Gloria Taylor both suffered from intractable and progressive diseases and are now deceased. They had joined with the other appellants in bringing a civil claim before the British Columbia Supreme Court challenging the constitutionality of the </w:t>
      </w:r>
      <w:r w:rsidRPr="00BA0CC4">
        <w:rPr>
          <w:bCs/>
          <w:i/>
          <w:sz w:val="20"/>
          <w:szCs w:val="20"/>
          <w:lang w:val="en-GB"/>
        </w:rPr>
        <w:t>Criminal Code</w:t>
      </w:r>
      <w:r w:rsidRPr="00BA0CC4">
        <w:rPr>
          <w:bCs/>
          <w:sz w:val="20"/>
          <w:szCs w:val="20"/>
          <w:lang w:val="en-GB"/>
        </w:rPr>
        <w:t xml:space="preserve"> provisions against assisted suicide and euthanasia, specifically ss. 14, 21, 22, 222 and 241. They focused their case, however, on s. 241, which prohibits aiding another person to commit suicide. They succeeded at trial notwithstanding this Court’s decision in </w:t>
      </w:r>
      <w:r w:rsidRPr="00BA0CC4">
        <w:rPr>
          <w:i/>
          <w:sz w:val="20"/>
          <w:szCs w:val="20"/>
        </w:rPr>
        <w:t>Rodriguez v. British Columbia (Attorney General)</w:t>
      </w:r>
      <w:r w:rsidRPr="00BA0CC4">
        <w:rPr>
          <w:sz w:val="20"/>
          <w:szCs w:val="20"/>
        </w:rPr>
        <w:t xml:space="preserve">, [1993] 3 S.C.R. 519, that s. 241 did not infringe certain </w:t>
      </w:r>
      <w:r w:rsidRPr="00BA0CC4">
        <w:rPr>
          <w:i/>
          <w:sz w:val="20"/>
          <w:szCs w:val="20"/>
        </w:rPr>
        <w:t>Charter</w:t>
      </w:r>
      <w:r w:rsidRPr="00BA0CC4">
        <w:rPr>
          <w:sz w:val="20"/>
          <w:szCs w:val="20"/>
        </w:rPr>
        <w:t xml:space="preserve"> rights under ss. 7 and 15.</w:t>
      </w:r>
      <w:r w:rsidRPr="00BA0CC4">
        <w:rPr>
          <w:bCs/>
          <w:sz w:val="20"/>
          <w:szCs w:val="20"/>
          <w:lang w:val="en-GB"/>
        </w:rPr>
        <w:t xml:space="preserve"> </w:t>
      </w:r>
      <w:r w:rsidRPr="00BA0CC4">
        <w:rPr>
          <w:sz w:val="20"/>
          <w:szCs w:val="20"/>
        </w:rPr>
        <w:t>A majority of the Court of Appeal, however, allowed the Attorney General of Canada’s appeal.</w:t>
      </w:r>
    </w:p>
    <w:p w:rsidR="001C4995" w:rsidRPr="00BA0CC4" w:rsidRDefault="001C4995" w:rsidP="001C4995">
      <w:pPr>
        <w:jc w:val="both"/>
        <w:rPr>
          <w:sz w:val="20"/>
          <w:szCs w:val="20"/>
          <w:lang w:val="en-GB"/>
        </w:rPr>
      </w:pPr>
    </w:p>
    <w:p w:rsidR="001C4995" w:rsidRPr="00BA0CC4" w:rsidRDefault="001C4995" w:rsidP="001C4995">
      <w:pPr>
        <w:widowControl w:val="0"/>
        <w:jc w:val="both"/>
        <w:rPr>
          <w:sz w:val="20"/>
          <w:szCs w:val="20"/>
        </w:rPr>
      </w:pPr>
    </w:p>
    <w:p w:rsidR="001C4995" w:rsidRPr="00BA0CC4" w:rsidRDefault="001C4995" w:rsidP="001C4995">
      <w:pPr>
        <w:widowControl w:val="0"/>
        <w:ind w:left="2880" w:hanging="2880"/>
        <w:jc w:val="both"/>
        <w:rPr>
          <w:sz w:val="20"/>
          <w:szCs w:val="20"/>
        </w:rPr>
      </w:pPr>
      <w:r w:rsidRPr="00BA0CC4">
        <w:rPr>
          <w:sz w:val="20"/>
          <w:szCs w:val="20"/>
        </w:rPr>
        <w:t>Origin of the case:</w:t>
      </w:r>
      <w:r w:rsidRPr="00BA0CC4">
        <w:rPr>
          <w:sz w:val="20"/>
          <w:szCs w:val="20"/>
        </w:rPr>
        <w:tab/>
        <w:t>British Columbia</w:t>
      </w:r>
    </w:p>
    <w:p w:rsidR="001C4995" w:rsidRPr="00BA0CC4" w:rsidRDefault="001C4995" w:rsidP="001C4995">
      <w:pPr>
        <w:widowControl w:val="0"/>
        <w:ind w:left="2880" w:hanging="2880"/>
        <w:jc w:val="both"/>
        <w:rPr>
          <w:sz w:val="20"/>
          <w:szCs w:val="20"/>
        </w:rPr>
      </w:pPr>
    </w:p>
    <w:p w:rsidR="001C4995" w:rsidRPr="00BA0CC4" w:rsidRDefault="001C4995" w:rsidP="001C4995">
      <w:pPr>
        <w:widowControl w:val="0"/>
        <w:ind w:left="2880" w:hanging="2880"/>
        <w:jc w:val="both"/>
        <w:rPr>
          <w:sz w:val="20"/>
          <w:szCs w:val="20"/>
        </w:rPr>
      </w:pPr>
      <w:r w:rsidRPr="00BA0CC4">
        <w:rPr>
          <w:sz w:val="20"/>
          <w:szCs w:val="20"/>
        </w:rPr>
        <w:t>File No.:</w:t>
      </w:r>
      <w:r w:rsidRPr="00BA0CC4">
        <w:rPr>
          <w:sz w:val="20"/>
          <w:szCs w:val="20"/>
        </w:rPr>
        <w:tab/>
        <w:t>35591</w:t>
      </w:r>
    </w:p>
    <w:p w:rsidR="001C4995" w:rsidRPr="00BA0CC4" w:rsidRDefault="001C4995" w:rsidP="001C4995">
      <w:pPr>
        <w:widowControl w:val="0"/>
        <w:ind w:left="2880" w:hanging="2880"/>
        <w:jc w:val="both"/>
        <w:rPr>
          <w:sz w:val="20"/>
          <w:szCs w:val="20"/>
        </w:rPr>
      </w:pPr>
    </w:p>
    <w:p w:rsidR="001C4995" w:rsidRPr="00BA0CC4" w:rsidRDefault="001C4995" w:rsidP="001C4995">
      <w:pPr>
        <w:widowControl w:val="0"/>
        <w:ind w:left="2880" w:hanging="2880"/>
        <w:jc w:val="both"/>
        <w:rPr>
          <w:sz w:val="20"/>
          <w:szCs w:val="20"/>
        </w:rPr>
      </w:pPr>
      <w:r w:rsidRPr="00BA0CC4">
        <w:rPr>
          <w:sz w:val="20"/>
          <w:szCs w:val="20"/>
        </w:rPr>
        <w:t>Judgment of the Court of Appeal:</w:t>
      </w:r>
      <w:r w:rsidRPr="00BA0CC4">
        <w:rPr>
          <w:sz w:val="20"/>
          <w:szCs w:val="20"/>
        </w:rPr>
        <w:tab/>
        <w:t>October 10, 2013</w:t>
      </w:r>
    </w:p>
    <w:p w:rsidR="001C4995" w:rsidRPr="00BA0CC4" w:rsidRDefault="001C4995" w:rsidP="001C4995">
      <w:pPr>
        <w:widowControl w:val="0"/>
        <w:ind w:left="2880" w:hanging="2880"/>
        <w:jc w:val="both"/>
        <w:rPr>
          <w:sz w:val="20"/>
          <w:szCs w:val="20"/>
        </w:rPr>
      </w:pPr>
    </w:p>
    <w:p w:rsidR="001C4995" w:rsidRPr="00BA0CC4" w:rsidRDefault="001C4995" w:rsidP="001C4995">
      <w:pPr>
        <w:widowControl w:val="0"/>
        <w:ind w:left="2880" w:hanging="2880"/>
        <w:jc w:val="both"/>
        <w:rPr>
          <w:sz w:val="20"/>
          <w:szCs w:val="20"/>
        </w:rPr>
      </w:pPr>
      <w:r w:rsidRPr="00BA0CC4">
        <w:rPr>
          <w:sz w:val="20"/>
          <w:szCs w:val="20"/>
        </w:rPr>
        <w:t>Counsel:</w:t>
      </w:r>
      <w:r w:rsidRPr="00BA0CC4">
        <w:rPr>
          <w:sz w:val="20"/>
          <w:szCs w:val="20"/>
        </w:rPr>
        <w:tab/>
        <w:t>Joseph J. Arvay, Q.C., and Alison M. Latimer for the appellants</w:t>
      </w:r>
    </w:p>
    <w:p w:rsidR="001C4995" w:rsidRPr="00BA0CC4" w:rsidRDefault="001C4995" w:rsidP="001C4995">
      <w:pPr>
        <w:widowControl w:val="0"/>
        <w:ind w:left="2880" w:hanging="2880"/>
        <w:jc w:val="both"/>
        <w:rPr>
          <w:sz w:val="20"/>
          <w:szCs w:val="20"/>
        </w:rPr>
      </w:pPr>
      <w:r>
        <w:rPr>
          <w:sz w:val="20"/>
          <w:szCs w:val="20"/>
        </w:rPr>
        <w:tab/>
      </w:r>
      <w:r w:rsidRPr="00BA0CC4">
        <w:rPr>
          <w:sz w:val="20"/>
          <w:szCs w:val="20"/>
        </w:rPr>
        <w:t>Robert J. Frater and Donnaree Nygard for the respondent Attorney General of Canada</w:t>
      </w:r>
    </w:p>
    <w:p w:rsidR="001C4995" w:rsidRPr="00BA0CC4" w:rsidRDefault="001C4995" w:rsidP="001C4995">
      <w:pPr>
        <w:widowControl w:val="0"/>
        <w:ind w:left="2880" w:hanging="2880"/>
        <w:jc w:val="both"/>
        <w:rPr>
          <w:sz w:val="20"/>
          <w:szCs w:val="20"/>
        </w:rPr>
      </w:pPr>
      <w:r>
        <w:rPr>
          <w:sz w:val="20"/>
          <w:szCs w:val="20"/>
        </w:rPr>
        <w:tab/>
      </w:r>
      <w:r w:rsidRPr="00BA0CC4">
        <w:rPr>
          <w:sz w:val="20"/>
          <w:szCs w:val="20"/>
        </w:rPr>
        <w:t>Bryant Mackey and Christina Drake for the respondent Attorney General of British Columbia</w:t>
      </w:r>
    </w:p>
    <w:p w:rsidR="004D6648" w:rsidRPr="001C4995" w:rsidRDefault="004D6648" w:rsidP="004D6648">
      <w:pPr>
        <w:tabs>
          <w:tab w:val="left" w:pos="-1440"/>
          <w:tab w:val="left" w:pos="-720"/>
        </w:tabs>
        <w:jc w:val="both"/>
        <w:rPr>
          <w:sz w:val="20"/>
          <w:szCs w:val="20"/>
        </w:rPr>
      </w:pPr>
    </w:p>
    <w:p w:rsidR="004D6648" w:rsidRDefault="00215143" w:rsidP="004D6648">
      <w:pPr>
        <w:tabs>
          <w:tab w:val="left" w:pos="-1440"/>
          <w:tab w:val="left" w:pos="-720"/>
        </w:tabs>
        <w:jc w:val="both"/>
        <w:rPr>
          <w:sz w:val="20"/>
          <w:szCs w:val="20"/>
          <w:lang w:val="fr-CA"/>
        </w:rPr>
      </w:pPr>
      <w:r>
        <w:rPr>
          <w:sz w:val="20"/>
          <w:szCs w:val="20"/>
          <w:lang w:val="fr-CA"/>
        </w:rPr>
        <w:pict>
          <v:rect id="_x0000_i1117"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1C4995" w:rsidRPr="00CE6948" w:rsidRDefault="000944FD" w:rsidP="001C4995">
      <w:pPr>
        <w:widowControl w:val="0"/>
        <w:ind w:left="720" w:hanging="720"/>
        <w:jc w:val="both"/>
        <w:rPr>
          <w:b/>
          <w:i/>
          <w:sz w:val="20"/>
          <w:szCs w:val="20"/>
          <w:lang w:val="fr-CA"/>
        </w:rPr>
      </w:pPr>
      <w:r w:rsidRPr="00CE6948">
        <w:rPr>
          <w:b/>
          <w:sz w:val="20"/>
          <w:szCs w:val="20"/>
        </w:rPr>
        <w:lastRenderedPageBreak/>
        <w:fldChar w:fldCharType="begin"/>
      </w:r>
      <w:r w:rsidR="001C4995" w:rsidRPr="00CE6948">
        <w:rPr>
          <w:b/>
          <w:sz w:val="20"/>
          <w:szCs w:val="20"/>
          <w:lang w:val="fr-CA"/>
        </w:rPr>
        <w:instrText xml:space="preserve"> SEQ CHAPTER \h \r 1</w:instrText>
      </w:r>
      <w:r w:rsidRPr="00CE6948">
        <w:rPr>
          <w:b/>
          <w:sz w:val="20"/>
          <w:szCs w:val="20"/>
        </w:rPr>
        <w:fldChar w:fldCharType="end"/>
      </w:r>
      <w:r w:rsidR="001C4995" w:rsidRPr="00CE6948">
        <w:rPr>
          <w:b/>
          <w:sz w:val="20"/>
          <w:szCs w:val="20"/>
          <w:lang w:val="fr-CA"/>
        </w:rPr>
        <w:t>35591</w:t>
      </w:r>
      <w:r w:rsidR="001C4995" w:rsidRPr="00CE6948">
        <w:rPr>
          <w:sz w:val="20"/>
          <w:szCs w:val="20"/>
          <w:lang w:val="fr-CA"/>
        </w:rPr>
        <w:tab/>
      </w:r>
      <w:r w:rsidR="001C4995" w:rsidRPr="00CE6948">
        <w:rPr>
          <w:b/>
          <w:i/>
          <w:sz w:val="20"/>
          <w:szCs w:val="20"/>
          <w:lang w:val="fr-CA"/>
        </w:rPr>
        <w:t>Lee Carter, Hollis Johnson, William Shoichet, Association des libertés civiles de la Colombie-Britannique et Gloria Taylor c. Procureur général du Canada</w:t>
      </w:r>
    </w:p>
    <w:p w:rsidR="001C4995" w:rsidRPr="00CE6948" w:rsidRDefault="001C4995" w:rsidP="001C4995">
      <w:pPr>
        <w:widowControl w:val="0"/>
        <w:ind w:left="720" w:hanging="720"/>
        <w:jc w:val="both"/>
        <w:rPr>
          <w:b/>
          <w:i/>
          <w:sz w:val="20"/>
          <w:szCs w:val="20"/>
          <w:lang w:val="fr-CA"/>
        </w:rPr>
      </w:pPr>
      <w:r w:rsidRPr="00CE6948">
        <w:rPr>
          <w:b/>
          <w:i/>
          <w:sz w:val="20"/>
          <w:szCs w:val="20"/>
          <w:lang w:val="fr-CA"/>
        </w:rPr>
        <w:tab/>
        <w:t>- et entre -</w:t>
      </w:r>
    </w:p>
    <w:p w:rsidR="001C4995" w:rsidRPr="00CE6948" w:rsidRDefault="001C4995" w:rsidP="001C4995">
      <w:pPr>
        <w:widowControl w:val="0"/>
        <w:ind w:left="720" w:hanging="720"/>
        <w:jc w:val="both"/>
        <w:rPr>
          <w:sz w:val="20"/>
          <w:szCs w:val="20"/>
          <w:lang w:val="fr-CA"/>
        </w:rPr>
      </w:pPr>
      <w:r w:rsidRPr="00CE6948">
        <w:rPr>
          <w:b/>
          <w:i/>
          <w:sz w:val="20"/>
          <w:szCs w:val="20"/>
          <w:lang w:val="fr-CA"/>
        </w:rPr>
        <w:tab/>
        <w:t>Lee Carter, Hollis Johnson, William Shoichet, Association des libertés civiles de la Colombie-Britannique et Gloria Taylor c. Procureur général du Canada, procureur général de la Colombie-Britannique</w:t>
      </w:r>
    </w:p>
    <w:p w:rsidR="001C4995" w:rsidRPr="00CE6948" w:rsidRDefault="001C4995" w:rsidP="001C4995">
      <w:pPr>
        <w:widowControl w:val="0"/>
        <w:jc w:val="both"/>
        <w:rPr>
          <w:sz w:val="20"/>
          <w:szCs w:val="20"/>
          <w:lang w:val="fr-CA"/>
        </w:rPr>
      </w:pPr>
    </w:p>
    <w:p w:rsidR="001C4995" w:rsidRPr="00CE6948" w:rsidRDefault="001C4995" w:rsidP="001C4995">
      <w:pPr>
        <w:jc w:val="both"/>
        <w:rPr>
          <w:rFonts w:eastAsia="MS Mincho"/>
          <w:sz w:val="20"/>
          <w:szCs w:val="20"/>
          <w:lang w:val="fr-CA"/>
        </w:rPr>
      </w:pPr>
      <w:r w:rsidRPr="00CE6948">
        <w:rPr>
          <w:i/>
          <w:sz w:val="20"/>
          <w:szCs w:val="20"/>
          <w:lang w:val="fr-CA"/>
        </w:rPr>
        <w:t>Charte des droits</w:t>
      </w:r>
      <w:r w:rsidRPr="00CE6948">
        <w:rPr>
          <w:sz w:val="20"/>
          <w:szCs w:val="20"/>
          <w:lang w:val="fr-CA"/>
        </w:rPr>
        <w:t xml:space="preserve"> </w:t>
      </w:r>
      <w:r w:rsidRPr="00CE6948">
        <w:rPr>
          <w:rFonts w:eastAsia="MS Mincho"/>
          <w:sz w:val="20"/>
          <w:szCs w:val="20"/>
          <w:lang w:val="fr-CA"/>
        </w:rPr>
        <w:t>- Droit à la vie - Égalité</w:t>
      </w:r>
      <w:r w:rsidRPr="00CE6948">
        <w:rPr>
          <w:sz w:val="20"/>
          <w:szCs w:val="20"/>
          <w:lang w:val="fr-CA"/>
        </w:rPr>
        <w:t xml:space="preserve"> </w:t>
      </w:r>
      <w:r w:rsidRPr="00CE6948">
        <w:rPr>
          <w:rFonts w:eastAsia="MS Mincho"/>
          <w:sz w:val="20"/>
          <w:szCs w:val="20"/>
          <w:lang w:val="fr-CA"/>
        </w:rPr>
        <w:t>- Justice fo</w:t>
      </w:r>
      <w:r w:rsidRPr="00CE6948">
        <w:rPr>
          <w:sz w:val="20"/>
          <w:szCs w:val="20"/>
          <w:lang w:val="fr-CA"/>
        </w:rPr>
        <w:t xml:space="preserve">ndamentale </w:t>
      </w:r>
      <w:r w:rsidRPr="00CE6948">
        <w:rPr>
          <w:rFonts w:eastAsia="MS Mincho"/>
          <w:sz w:val="20"/>
          <w:szCs w:val="20"/>
          <w:lang w:val="fr-CA"/>
        </w:rPr>
        <w:t>-</w:t>
      </w:r>
      <w:r w:rsidRPr="00CE6948">
        <w:rPr>
          <w:sz w:val="20"/>
          <w:szCs w:val="20"/>
          <w:lang w:val="fr-CA"/>
        </w:rPr>
        <w:t xml:space="preserve"> Des patients en phase terminale demandent qu’on les aide à se donner la mort </w:t>
      </w:r>
      <w:r w:rsidRPr="00CE6948">
        <w:rPr>
          <w:rFonts w:eastAsia="MS Mincho"/>
          <w:sz w:val="20"/>
          <w:szCs w:val="20"/>
          <w:lang w:val="fr-CA"/>
        </w:rPr>
        <w:t>-</w:t>
      </w:r>
      <w:r w:rsidRPr="00CE6948">
        <w:rPr>
          <w:sz w:val="20"/>
          <w:szCs w:val="20"/>
          <w:lang w:val="fr-CA"/>
        </w:rPr>
        <w:t xml:space="preserve"> Le juge de première instance a-t-il eu tort de faire une distinction avec l’arrêt </w:t>
      </w:r>
      <w:r w:rsidRPr="00CE6948">
        <w:rPr>
          <w:i/>
          <w:sz w:val="20"/>
          <w:szCs w:val="20"/>
          <w:lang w:val="fr-CA"/>
        </w:rPr>
        <w:t>Rodriguez c. Colombie-Britannique (Procureur général)</w:t>
      </w:r>
      <w:r w:rsidRPr="00CE6948">
        <w:rPr>
          <w:sz w:val="20"/>
          <w:szCs w:val="20"/>
          <w:lang w:val="fr-CA"/>
        </w:rPr>
        <w:t xml:space="preserve">, [1993] 3 R.C.S. 519? - De quelle manière la règle du </w:t>
      </w:r>
      <w:r w:rsidRPr="00CE6948">
        <w:rPr>
          <w:i/>
          <w:sz w:val="20"/>
          <w:szCs w:val="20"/>
          <w:lang w:val="fr-CA"/>
        </w:rPr>
        <w:t>stare decisis</w:t>
      </w:r>
      <w:r w:rsidRPr="00CE6948">
        <w:rPr>
          <w:sz w:val="20"/>
          <w:szCs w:val="20"/>
          <w:lang w:val="fr-CA"/>
        </w:rPr>
        <w:t xml:space="preserve"> s’applique-t-elle? - Les art. </w:t>
      </w:r>
      <w:r w:rsidRPr="00CE6948">
        <w:rPr>
          <w:bCs/>
          <w:sz w:val="20"/>
          <w:szCs w:val="20"/>
          <w:lang w:val="fr-CA"/>
        </w:rPr>
        <w:t xml:space="preserve">14, 21, 22, 222 et 241 du </w:t>
      </w:r>
      <w:r w:rsidRPr="00CE6948">
        <w:rPr>
          <w:bCs/>
          <w:i/>
          <w:sz w:val="20"/>
          <w:szCs w:val="20"/>
          <w:lang w:val="fr-CA"/>
        </w:rPr>
        <w:t>Code criminel</w:t>
      </w:r>
      <w:r w:rsidRPr="00CE6948">
        <w:rPr>
          <w:bCs/>
          <w:sz w:val="20"/>
          <w:szCs w:val="20"/>
          <w:lang w:val="fr-CA"/>
        </w:rPr>
        <w:t xml:space="preserve"> sont-ils constitutionnellement inapplicables à l’aide médicale à la mort en raison de la doctrine de l’exclusivité des compétences? </w:t>
      </w:r>
      <w:r w:rsidRPr="00CE6948">
        <w:rPr>
          <w:sz w:val="20"/>
          <w:szCs w:val="20"/>
          <w:lang w:val="fr-CA"/>
        </w:rPr>
        <w:t>- Les art. </w:t>
      </w:r>
      <w:r w:rsidRPr="00CE6948">
        <w:rPr>
          <w:bCs/>
          <w:sz w:val="20"/>
          <w:szCs w:val="20"/>
          <w:lang w:val="fr-CA"/>
        </w:rPr>
        <w:t xml:space="preserve">14, 21, 22, 222 et 241 du </w:t>
      </w:r>
      <w:r w:rsidRPr="00CE6948">
        <w:rPr>
          <w:bCs/>
          <w:i/>
          <w:sz w:val="20"/>
          <w:szCs w:val="20"/>
          <w:lang w:val="fr-CA"/>
        </w:rPr>
        <w:t>Code criminel</w:t>
      </w:r>
      <w:r w:rsidRPr="00CE6948">
        <w:rPr>
          <w:bCs/>
          <w:sz w:val="20"/>
          <w:szCs w:val="20"/>
          <w:lang w:val="fr-CA"/>
        </w:rPr>
        <w:t xml:space="preserve"> violent-ils les art. 7 ou 15 de la </w:t>
      </w:r>
      <w:r w:rsidRPr="00CE6948">
        <w:rPr>
          <w:bCs/>
          <w:i/>
          <w:sz w:val="20"/>
          <w:szCs w:val="20"/>
          <w:lang w:val="fr-CA"/>
        </w:rPr>
        <w:t>Charte</w:t>
      </w:r>
      <w:r w:rsidRPr="00CE6948">
        <w:rPr>
          <w:bCs/>
          <w:sz w:val="20"/>
          <w:szCs w:val="20"/>
          <w:lang w:val="fr-CA"/>
        </w:rPr>
        <w:t xml:space="preserve">? </w:t>
      </w:r>
      <w:r w:rsidRPr="00CE6948">
        <w:rPr>
          <w:rFonts w:eastAsia="MS Mincho"/>
          <w:sz w:val="20"/>
          <w:szCs w:val="20"/>
          <w:lang w:val="fr-CA"/>
        </w:rPr>
        <w:t xml:space="preserve">- Dans l’affirmative, s’agit-il d’une limite raisonnable prescrite par une règle de droit et dont la justification peut se démontrer dans le cadre d’une société libre et démocratique au sens de l’article premier de la </w:t>
      </w:r>
      <w:r w:rsidRPr="00CE6948">
        <w:rPr>
          <w:bCs/>
          <w:i/>
          <w:sz w:val="20"/>
          <w:szCs w:val="20"/>
          <w:lang w:val="fr-CA"/>
        </w:rPr>
        <w:t>Charte</w:t>
      </w:r>
      <w:r w:rsidRPr="00CE6948">
        <w:rPr>
          <w:bCs/>
          <w:sz w:val="20"/>
          <w:szCs w:val="20"/>
          <w:lang w:val="fr-CA"/>
        </w:rPr>
        <w:t xml:space="preserve">? </w:t>
      </w:r>
      <w:r w:rsidRPr="00CE6948">
        <w:rPr>
          <w:sz w:val="20"/>
          <w:szCs w:val="20"/>
          <w:lang w:val="fr-CA"/>
        </w:rPr>
        <w:t xml:space="preserve">- Quelle est la réparation convenable? - Quel est le cadre d’analyse approprié pour décider des dépens dans ce litige d’intérêt public? </w:t>
      </w:r>
      <w:r w:rsidRPr="00CE6948">
        <w:rPr>
          <w:i/>
          <w:sz w:val="20"/>
          <w:szCs w:val="20"/>
          <w:lang w:val="fr-CA"/>
        </w:rPr>
        <w:t>Code criminel</w:t>
      </w:r>
      <w:r w:rsidRPr="00CE6948">
        <w:rPr>
          <w:sz w:val="20"/>
          <w:szCs w:val="20"/>
          <w:lang w:val="fr-CA"/>
        </w:rPr>
        <w:t>, L.R.C. 1985, ch. C</w:t>
      </w:r>
      <w:r w:rsidRPr="00CE6948">
        <w:rPr>
          <w:rFonts w:eastAsia="MS Mincho" w:hAnsi="MS Mincho"/>
          <w:sz w:val="20"/>
          <w:szCs w:val="20"/>
          <w:lang w:val="fr-CA"/>
        </w:rPr>
        <w:t>‑</w:t>
      </w:r>
      <w:r w:rsidRPr="00CE6948">
        <w:rPr>
          <w:sz w:val="20"/>
          <w:szCs w:val="20"/>
          <w:lang w:val="fr-CA"/>
        </w:rPr>
        <w:t>46, art. 241</w:t>
      </w:r>
      <w:r w:rsidRPr="00CE6948">
        <w:rPr>
          <w:i/>
          <w:sz w:val="20"/>
          <w:szCs w:val="20"/>
          <w:lang w:val="fr-CA"/>
        </w:rPr>
        <w:t>b</w:t>
      </w:r>
      <w:r w:rsidRPr="00CE6948">
        <w:rPr>
          <w:sz w:val="20"/>
          <w:szCs w:val="20"/>
          <w:lang w:val="fr-CA"/>
        </w:rPr>
        <w:t>).</w:t>
      </w:r>
    </w:p>
    <w:p w:rsidR="001C4995" w:rsidRPr="00CE6948" w:rsidRDefault="001C4995" w:rsidP="001C4995">
      <w:pPr>
        <w:jc w:val="both"/>
        <w:rPr>
          <w:sz w:val="20"/>
          <w:szCs w:val="20"/>
          <w:lang w:val="fr-CA"/>
        </w:rPr>
      </w:pPr>
    </w:p>
    <w:p w:rsidR="001C4995" w:rsidRPr="00CE6948" w:rsidRDefault="001C4995" w:rsidP="001C4995">
      <w:pPr>
        <w:tabs>
          <w:tab w:val="left" w:pos="-1200"/>
          <w:tab w:val="left" w:pos="-720"/>
          <w:tab w:val="left" w:pos="720"/>
          <w:tab w:val="left" w:pos="9720"/>
        </w:tabs>
        <w:jc w:val="both"/>
        <w:rPr>
          <w:bCs/>
          <w:sz w:val="20"/>
          <w:szCs w:val="20"/>
          <w:lang w:val="fr-CA"/>
        </w:rPr>
      </w:pPr>
      <w:r w:rsidRPr="00CE6948">
        <w:rPr>
          <w:bCs/>
          <w:sz w:val="20"/>
          <w:szCs w:val="20"/>
          <w:lang w:val="fr-CA"/>
        </w:rPr>
        <w:t>Madame Kay Carter et l’appelante M</w:t>
      </w:r>
      <w:r w:rsidRPr="00CE6948">
        <w:rPr>
          <w:bCs/>
          <w:sz w:val="20"/>
          <w:szCs w:val="20"/>
          <w:vertAlign w:val="superscript"/>
          <w:lang w:val="fr-CA"/>
        </w:rPr>
        <w:t>me</w:t>
      </w:r>
      <w:r w:rsidRPr="00CE6948">
        <w:rPr>
          <w:bCs/>
          <w:sz w:val="20"/>
          <w:szCs w:val="20"/>
          <w:lang w:val="fr-CA"/>
        </w:rPr>
        <w:t xml:space="preserve"> Gloria Taylor, maintenant décédées, souffraient toutes deux de maladies intraitables et progressives. Elles ont intenté avec les autres appelants une action au civil en Cour suprême de la Colombie-Britannique, contestant la constitutionnalité des dispositions du </w:t>
      </w:r>
      <w:r w:rsidRPr="00CE6948">
        <w:rPr>
          <w:bCs/>
          <w:i/>
          <w:sz w:val="20"/>
          <w:szCs w:val="20"/>
          <w:lang w:val="fr-CA"/>
        </w:rPr>
        <w:t>Code criminel</w:t>
      </w:r>
      <w:r w:rsidRPr="00CE6948">
        <w:rPr>
          <w:bCs/>
          <w:sz w:val="20"/>
          <w:szCs w:val="20"/>
          <w:lang w:val="fr-CA"/>
        </w:rPr>
        <w:t xml:space="preserve"> interdisant le suicide assisté et l’euthanasie, plus particulièrement les art. 14, 21, 22, 222 et 241. Cependant, dans leur demande, elles se sont concentrées sur l’art. 241, qui interdit d’aider quelqu’un à se donner la mort. Elles ont eu gain de cause en première instance malgré l’arrêt </w:t>
      </w:r>
      <w:r w:rsidRPr="00CE6948">
        <w:rPr>
          <w:i/>
          <w:sz w:val="20"/>
          <w:szCs w:val="20"/>
          <w:lang w:val="fr-CA"/>
        </w:rPr>
        <w:t>Rodriguez c. Colombie-Britannique (Procureur général)</w:t>
      </w:r>
      <w:r w:rsidRPr="00CE6948">
        <w:rPr>
          <w:sz w:val="20"/>
          <w:szCs w:val="20"/>
          <w:lang w:val="fr-CA"/>
        </w:rPr>
        <w:t xml:space="preserve">, [1993] 3 R.C.S. 519, où notre Cour a décidé que l’art. 241 ne portait pas atteinte à certains droits garantis par la </w:t>
      </w:r>
      <w:r w:rsidRPr="00CE6948">
        <w:rPr>
          <w:i/>
          <w:sz w:val="20"/>
          <w:szCs w:val="20"/>
          <w:lang w:val="fr-CA"/>
        </w:rPr>
        <w:t>Charte</w:t>
      </w:r>
      <w:r w:rsidRPr="00CE6948">
        <w:rPr>
          <w:sz w:val="20"/>
          <w:szCs w:val="20"/>
          <w:lang w:val="fr-CA"/>
        </w:rPr>
        <w:t xml:space="preserve"> aux art. 7 et 15.</w:t>
      </w:r>
      <w:r w:rsidRPr="00CE6948">
        <w:rPr>
          <w:bCs/>
          <w:sz w:val="20"/>
          <w:szCs w:val="20"/>
          <w:lang w:val="fr-CA"/>
        </w:rPr>
        <w:t xml:space="preserve"> Les juges majoritaires de la Cour d’appel ont toutefois accueilli l’appel du procureur général du </w:t>
      </w:r>
      <w:r w:rsidRPr="00CE6948">
        <w:rPr>
          <w:sz w:val="20"/>
          <w:szCs w:val="20"/>
          <w:lang w:val="fr-CA"/>
        </w:rPr>
        <w:t>Canada.</w:t>
      </w:r>
    </w:p>
    <w:p w:rsidR="001C4995" w:rsidRPr="00CE6948" w:rsidRDefault="001C4995" w:rsidP="001C4995">
      <w:pPr>
        <w:jc w:val="both"/>
        <w:rPr>
          <w:sz w:val="20"/>
          <w:szCs w:val="20"/>
          <w:lang w:val="fr-CA"/>
        </w:rPr>
      </w:pPr>
    </w:p>
    <w:p w:rsidR="001C4995" w:rsidRPr="00CE6948" w:rsidRDefault="001C4995" w:rsidP="001C4995">
      <w:pPr>
        <w:widowControl w:val="0"/>
        <w:jc w:val="both"/>
        <w:rPr>
          <w:sz w:val="20"/>
          <w:szCs w:val="20"/>
          <w:lang w:val="fr-CA"/>
        </w:rPr>
      </w:pPr>
    </w:p>
    <w:p w:rsidR="001C4995" w:rsidRPr="00CE6948" w:rsidRDefault="001C4995" w:rsidP="001C4995">
      <w:pPr>
        <w:widowControl w:val="0"/>
        <w:ind w:left="2880" w:hanging="2880"/>
        <w:jc w:val="both"/>
        <w:rPr>
          <w:sz w:val="20"/>
          <w:szCs w:val="20"/>
          <w:lang w:val="fr-CA"/>
        </w:rPr>
      </w:pPr>
      <w:r w:rsidRPr="00CE6948">
        <w:rPr>
          <w:sz w:val="20"/>
          <w:szCs w:val="20"/>
          <w:lang w:val="fr-CA"/>
        </w:rPr>
        <w:t>Origine :</w:t>
      </w:r>
      <w:r w:rsidRPr="00CE6948">
        <w:rPr>
          <w:sz w:val="20"/>
          <w:szCs w:val="20"/>
          <w:lang w:val="fr-CA"/>
        </w:rPr>
        <w:tab/>
        <w:t>Colombie-Britannique</w:t>
      </w:r>
    </w:p>
    <w:p w:rsidR="001C4995" w:rsidRPr="00CE6948" w:rsidRDefault="001C4995" w:rsidP="001C4995">
      <w:pPr>
        <w:widowControl w:val="0"/>
        <w:ind w:left="2880" w:hanging="2880"/>
        <w:jc w:val="both"/>
        <w:rPr>
          <w:sz w:val="20"/>
          <w:szCs w:val="20"/>
          <w:lang w:val="fr-CA"/>
        </w:rPr>
      </w:pPr>
    </w:p>
    <w:p w:rsidR="001C4995" w:rsidRPr="00CE6948" w:rsidRDefault="001C4995" w:rsidP="001C4995">
      <w:pPr>
        <w:widowControl w:val="0"/>
        <w:ind w:left="2880" w:hanging="2880"/>
        <w:jc w:val="both"/>
        <w:rPr>
          <w:sz w:val="20"/>
          <w:szCs w:val="20"/>
          <w:lang w:val="fr-CA"/>
        </w:rPr>
      </w:pPr>
      <w:r w:rsidRPr="00CE6948">
        <w:rPr>
          <w:sz w:val="20"/>
          <w:szCs w:val="20"/>
          <w:lang w:val="fr-CA"/>
        </w:rPr>
        <w:t>N</w:t>
      </w:r>
      <w:r w:rsidRPr="00CE6948">
        <w:rPr>
          <w:sz w:val="20"/>
          <w:szCs w:val="20"/>
          <w:vertAlign w:val="superscript"/>
          <w:lang w:val="fr-CA"/>
        </w:rPr>
        <w:t>o</w:t>
      </w:r>
      <w:r w:rsidRPr="00CE6948">
        <w:rPr>
          <w:sz w:val="20"/>
          <w:szCs w:val="20"/>
          <w:lang w:val="fr-CA"/>
        </w:rPr>
        <w:t xml:space="preserve"> du greffe :</w:t>
      </w:r>
      <w:r w:rsidRPr="00CE6948">
        <w:rPr>
          <w:sz w:val="20"/>
          <w:szCs w:val="20"/>
          <w:lang w:val="fr-CA"/>
        </w:rPr>
        <w:tab/>
        <w:t>35591</w:t>
      </w:r>
    </w:p>
    <w:p w:rsidR="001C4995" w:rsidRPr="00CE6948" w:rsidRDefault="001C4995" w:rsidP="001C4995">
      <w:pPr>
        <w:widowControl w:val="0"/>
        <w:ind w:left="2880" w:hanging="2880"/>
        <w:jc w:val="both"/>
        <w:rPr>
          <w:sz w:val="20"/>
          <w:szCs w:val="20"/>
          <w:lang w:val="fr-CA"/>
        </w:rPr>
      </w:pPr>
    </w:p>
    <w:p w:rsidR="001C4995" w:rsidRPr="00CE6948" w:rsidRDefault="001C4995" w:rsidP="001C4995">
      <w:pPr>
        <w:widowControl w:val="0"/>
        <w:ind w:left="2880" w:hanging="2880"/>
        <w:jc w:val="both"/>
        <w:rPr>
          <w:sz w:val="20"/>
          <w:szCs w:val="20"/>
          <w:lang w:val="fr-CA"/>
        </w:rPr>
      </w:pPr>
      <w:r w:rsidRPr="00CE6948">
        <w:rPr>
          <w:sz w:val="20"/>
          <w:szCs w:val="20"/>
          <w:lang w:val="fr-CA"/>
        </w:rPr>
        <w:t>Arrêt de la Cour d’appel :</w:t>
      </w:r>
      <w:r w:rsidRPr="00CE6948">
        <w:rPr>
          <w:sz w:val="20"/>
          <w:szCs w:val="20"/>
          <w:lang w:val="fr-CA"/>
        </w:rPr>
        <w:tab/>
        <w:t>le 10 octobre 2013</w:t>
      </w:r>
    </w:p>
    <w:p w:rsidR="001C4995" w:rsidRPr="00CE6948" w:rsidRDefault="001C4995" w:rsidP="001C4995">
      <w:pPr>
        <w:widowControl w:val="0"/>
        <w:ind w:left="2880" w:hanging="2880"/>
        <w:jc w:val="both"/>
        <w:rPr>
          <w:sz w:val="20"/>
          <w:szCs w:val="20"/>
          <w:lang w:val="fr-CA"/>
        </w:rPr>
      </w:pPr>
    </w:p>
    <w:p w:rsidR="001C4995" w:rsidRPr="00CE6948" w:rsidRDefault="001C4995" w:rsidP="001C4995">
      <w:pPr>
        <w:widowControl w:val="0"/>
        <w:ind w:left="2880" w:hanging="2880"/>
        <w:jc w:val="both"/>
        <w:rPr>
          <w:sz w:val="20"/>
          <w:szCs w:val="20"/>
          <w:lang w:val="fr-CA"/>
        </w:rPr>
      </w:pPr>
      <w:r w:rsidRPr="00CE6948">
        <w:rPr>
          <w:sz w:val="20"/>
          <w:szCs w:val="20"/>
          <w:lang w:val="fr-CA"/>
        </w:rPr>
        <w:t>Avocats :</w:t>
      </w:r>
      <w:r w:rsidRPr="00CE6948">
        <w:rPr>
          <w:sz w:val="20"/>
          <w:szCs w:val="20"/>
          <w:lang w:val="fr-CA"/>
        </w:rPr>
        <w:tab/>
        <w:t>Joseph J. Arvay, c.r., et Alison M. Latimer pour les appelants</w:t>
      </w:r>
    </w:p>
    <w:p w:rsidR="001C4995" w:rsidRPr="00CE6948" w:rsidRDefault="001C4995" w:rsidP="001C4995">
      <w:pPr>
        <w:widowControl w:val="0"/>
        <w:ind w:left="2880" w:hanging="2880"/>
        <w:jc w:val="both"/>
        <w:rPr>
          <w:sz w:val="20"/>
          <w:szCs w:val="20"/>
          <w:lang w:val="fr-CA"/>
        </w:rPr>
      </w:pPr>
      <w:r>
        <w:rPr>
          <w:sz w:val="20"/>
          <w:szCs w:val="20"/>
          <w:lang w:val="fr-CA"/>
        </w:rPr>
        <w:tab/>
      </w:r>
      <w:r w:rsidRPr="00CE6948">
        <w:rPr>
          <w:sz w:val="20"/>
          <w:szCs w:val="20"/>
          <w:lang w:val="fr-CA"/>
        </w:rPr>
        <w:t>Robert J. Frater et Donnaree Nygard pour le procureur général du Canada intimé</w:t>
      </w:r>
    </w:p>
    <w:p w:rsidR="001C4995" w:rsidRPr="00CE6948" w:rsidRDefault="001C4995" w:rsidP="001C4995">
      <w:pPr>
        <w:widowControl w:val="0"/>
        <w:ind w:left="2880" w:hanging="2880"/>
        <w:jc w:val="both"/>
        <w:rPr>
          <w:sz w:val="20"/>
          <w:szCs w:val="20"/>
          <w:lang w:val="fr-CA"/>
        </w:rPr>
      </w:pPr>
      <w:r>
        <w:rPr>
          <w:sz w:val="20"/>
          <w:szCs w:val="20"/>
          <w:lang w:val="fr-CA"/>
        </w:rPr>
        <w:tab/>
      </w:r>
      <w:r w:rsidRPr="00CE6948">
        <w:rPr>
          <w:sz w:val="20"/>
          <w:szCs w:val="20"/>
          <w:lang w:val="fr-CA"/>
        </w:rPr>
        <w:t>Bryant Mackey et Christina Drake pour le procureur général de la Colombie-Britannique intimé</w:t>
      </w:r>
    </w:p>
    <w:p w:rsidR="004D6648" w:rsidRPr="00DD0B49" w:rsidRDefault="004D6648" w:rsidP="004D6648">
      <w:pPr>
        <w:tabs>
          <w:tab w:val="left" w:pos="-1440"/>
          <w:tab w:val="left" w:pos="-720"/>
        </w:tabs>
        <w:jc w:val="both"/>
        <w:rPr>
          <w:sz w:val="20"/>
          <w:szCs w:val="20"/>
          <w:lang w:val="fr-CA"/>
        </w:rPr>
      </w:pPr>
    </w:p>
    <w:p w:rsidR="004D6648" w:rsidRDefault="00215143" w:rsidP="004D6648">
      <w:pPr>
        <w:tabs>
          <w:tab w:val="left" w:pos="-1440"/>
          <w:tab w:val="left" w:pos="-720"/>
        </w:tabs>
        <w:jc w:val="both"/>
        <w:rPr>
          <w:sz w:val="20"/>
          <w:szCs w:val="20"/>
          <w:lang w:val="fr-CA"/>
        </w:rPr>
      </w:pPr>
      <w:r>
        <w:rPr>
          <w:sz w:val="20"/>
          <w:szCs w:val="20"/>
          <w:lang w:val="fr-CA"/>
        </w:rPr>
        <w:pict>
          <v:rect id="_x0000_i1118"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E4416F" w:rsidRPr="002C068C" w:rsidRDefault="000944FD" w:rsidP="00E4416F">
      <w:pPr>
        <w:widowControl w:val="0"/>
        <w:ind w:left="720" w:hanging="720"/>
        <w:jc w:val="both"/>
        <w:rPr>
          <w:sz w:val="20"/>
          <w:szCs w:val="20"/>
        </w:rPr>
      </w:pPr>
      <w:r w:rsidRPr="002C068C">
        <w:rPr>
          <w:b/>
          <w:sz w:val="20"/>
          <w:szCs w:val="20"/>
        </w:rPr>
        <w:lastRenderedPageBreak/>
        <w:fldChar w:fldCharType="begin"/>
      </w:r>
      <w:r w:rsidR="00E4416F" w:rsidRPr="002C068C">
        <w:rPr>
          <w:b/>
          <w:sz w:val="20"/>
          <w:szCs w:val="20"/>
        </w:rPr>
        <w:instrText xml:space="preserve"> SEQ CHAPTER \h \r 1</w:instrText>
      </w:r>
      <w:r w:rsidRPr="002C068C">
        <w:rPr>
          <w:b/>
          <w:sz w:val="20"/>
          <w:szCs w:val="20"/>
        </w:rPr>
        <w:fldChar w:fldCharType="end"/>
      </w:r>
      <w:r w:rsidR="00E4416F" w:rsidRPr="002C068C">
        <w:rPr>
          <w:b/>
          <w:sz w:val="20"/>
          <w:szCs w:val="20"/>
        </w:rPr>
        <w:t>35690</w:t>
      </w:r>
      <w:r w:rsidR="00E4416F" w:rsidRPr="002C068C">
        <w:rPr>
          <w:sz w:val="20"/>
          <w:szCs w:val="20"/>
        </w:rPr>
        <w:tab/>
      </w:r>
      <w:r w:rsidR="00E4416F" w:rsidRPr="002C068C">
        <w:rPr>
          <w:b/>
          <w:i/>
          <w:sz w:val="20"/>
          <w:szCs w:val="20"/>
        </w:rPr>
        <w:t>Her Majesty the Queen v. Sebastien Bouchard</w:t>
      </w:r>
    </w:p>
    <w:p w:rsidR="00E4416F" w:rsidRPr="002C068C" w:rsidRDefault="00E4416F" w:rsidP="00E4416F">
      <w:pPr>
        <w:widowControl w:val="0"/>
        <w:jc w:val="both"/>
        <w:rPr>
          <w:sz w:val="20"/>
          <w:szCs w:val="20"/>
        </w:rPr>
      </w:pPr>
    </w:p>
    <w:p w:rsidR="00E4416F" w:rsidRPr="002C068C" w:rsidRDefault="00E4416F" w:rsidP="00E4416F">
      <w:pPr>
        <w:widowControl w:val="0"/>
        <w:jc w:val="both"/>
        <w:rPr>
          <w:sz w:val="20"/>
          <w:szCs w:val="20"/>
        </w:rPr>
      </w:pPr>
      <w:r w:rsidRPr="002C068C">
        <w:rPr>
          <w:sz w:val="20"/>
          <w:szCs w:val="20"/>
        </w:rPr>
        <w:t>Criminal law - Defences - Provocation - Charge to the jury - Whether the trial judge misdirected the jury as to the application of the statutory defence of provocation to the evidence relevant to the respondent’s state of mind for the purpose of determining whether the Crown had established the requisite intent for murder.</w:t>
      </w:r>
    </w:p>
    <w:p w:rsidR="00E4416F" w:rsidRPr="002C068C" w:rsidRDefault="00E4416F" w:rsidP="00E4416F">
      <w:pPr>
        <w:widowControl w:val="0"/>
        <w:jc w:val="both"/>
        <w:rPr>
          <w:sz w:val="20"/>
          <w:szCs w:val="20"/>
        </w:rPr>
      </w:pPr>
    </w:p>
    <w:p w:rsidR="00E4416F" w:rsidRPr="002C068C" w:rsidRDefault="00E4416F" w:rsidP="00E4416F">
      <w:pPr>
        <w:widowControl w:val="0"/>
        <w:jc w:val="both"/>
        <w:rPr>
          <w:sz w:val="20"/>
          <w:szCs w:val="20"/>
        </w:rPr>
      </w:pPr>
      <w:r w:rsidRPr="002C068C">
        <w:rPr>
          <w:sz w:val="20"/>
          <w:szCs w:val="20"/>
        </w:rPr>
        <w:t xml:space="preserve">The respondent, Mr. Bouchard, was convicted of second degree murder.  At trial, he admitted assaulting the victim thereby causing his death.  He testified that the victim gave him a wet kiss and said “I love you”, that those actions brought back disturbing memories of being sexually assaulted by a babysitter when he was young, and that he just “lost it”, threw the victim to the ground and stomped on him several times.  Both individuals were heavily intoxicated at the time of the assault.  Mr. Bouchard argued at trial that he should be convicted of manslaughter, not murder, because the Crown could not prove the required intent for murder, or because he had been provoked within the meaning of s. 232 of the </w:t>
      </w:r>
      <w:r w:rsidRPr="002C068C">
        <w:rPr>
          <w:i/>
          <w:sz w:val="20"/>
          <w:szCs w:val="20"/>
        </w:rPr>
        <w:t>Criminal Code</w:t>
      </w:r>
      <w:r w:rsidRPr="002C068C">
        <w:rPr>
          <w:sz w:val="20"/>
          <w:szCs w:val="20"/>
        </w:rPr>
        <w:t xml:space="preserve">.  A majority of the Court of Appeal allowed Mr. Bouchard’s appeal from conviction and ordered a new trial.  In its view, the trial judge erred by telling the jury that the narrow statutory definition of provocation applied in assessing the impact of the victim’s allegedly provocative conduct on Mr. Bouchard’s state of mind for the purpose of determining whether the Crown had established the requisite intent for murder.  Rouleau J.A., dissenting, would have dismissed the appeal. </w:t>
      </w:r>
    </w:p>
    <w:p w:rsidR="00E4416F" w:rsidRPr="002C068C" w:rsidRDefault="00E4416F" w:rsidP="00E4416F">
      <w:pPr>
        <w:widowControl w:val="0"/>
        <w:jc w:val="both"/>
        <w:rPr>
          <w:sz w:val="20"/>
          <w:szCs w:val="20"/>
        </w:rPr>
      </w:pPr>
    </w:p>
    <w:p w:rsidR="00E4416F" w:rsidRPr="002C068C" w:rsidRDefault="00E4416F" w:rsidP="00E4416F">
      <w:pPr>
        <w:widowControl w:val="0"/>
        <w:jc w:val="both"/>
        <w:rPr>
          <w:sz w:val="20"/>
          <w:szCs w:val="20"/>
        </w:rPr>
      </w:pPr>
    </w:p>
    <w:p w:rsidR="00E4416F" w:rsidRPr="002C068C" w:rsidRDefault="00E4416F" w:rsidP="00E4416F">
      <w:pPr>
        <w:widowControl w:val="0"/>
        <w:ind w:left="2880" w:hanging="2880"/>
        <w:jc w:val="both"/>
        <w:rPr>
          <w:sz w:val="20"/>
          <w:szCs w:val="20"/>
        </w:rPr>
      </w:pPr>
      <w:r w:rsidRPr="002C068C">
        <w:rPr>
          <w:sz w:val="20"/>
          <w:szCs w:val="20"/>
        </w:rPr>
        <w:t>Origin of the case:</w:t>
      </w:r>
      <w:r w:rsidRPr="002C068C">
        <w:rPr>
          <w:sz w:val="20"/>
          <w:szCs w:val="20"/>
        </w:rPr>
        <w:tab/>
        <w:t>Ontario</w:t>
      </w:r>
    </w:p>
    <w:p w:rsidR="00E4416F" w:rsidRPr="002C068C" w:rsidRDefault="00E4416F" w:rsidP="00E4416F">
      <w:pPr>
        <w:widowControl w:val="0"/>
        <w:ind w:left="2880" w:hanging="2880"/>
        <w:jc w:val="both"/>
        <w:rPr>
          <w:sz w:val="20"/>
          <w:szCs w:val="20"/>
        </w:rPr>
      </w:pPr>
    </w:p>
    <w:p w:rsidR="00E4416F" w:rsidRPr="002C068C" w:rsidRDefault="00E4416F" w:rsidP="00E4416F">
      <w:pPr>
        <w:widowControl w:val="0"/>
        <w:ind w:left="2880" w:hanging="2880"/>
        <w:jc w:val="both"/>
        <w:rPr>
          <w:sz w:val="20"/>
          <w:szCs w:val="20"/>
        </w:rPr>
      </w:pPr>
      <w:r w:rsidRPr="002C068C">
        <w:rPr>
          <w:sz w:val="20"/>
          <w:szCs w:val="20"/>
        </w:rPr>
        <w:t>File No.:</w:t>
      </w:r>
      <w:r w:rsidRPr="002C068C">
        <w:rPr>
          <w:sz w:val="20"/>
          <w:szCs w:val="20"/>
        </w:rPr>
        <w:tab/>
        <w:t>35690</w:t>
      </w:r>
    </w:p>
    <w:p w:rsidR="00E4416F" w:rsidRPr="002C068C" w:rsidRDefault="00E4416F" w:rsidP="00E4416F">
      <w:pPr>
        <w:widowControl w:val="0"/>
        <w:ind w:left="2880" w:hanging="2880"/>
        <w:jc w:val="both"/>
        <w:rPr>
          <w:sz w:val="20"/>
          <w:szCs w:val="20"/>
        </w:rPr>
      </w:pPr>
    </w:p>
    <w:p w:rsidR="00E4416F" w:rsidRPr="002C068C" w:rsidRDefault="00E4416F" w:rsidP="00E4416F">
      <w:pPr>
        <w:widowControl w:val="0"/>
        <w:ind w:left="2880" w:hanging="2880"/>
        <w:jc w:val="both"/>
        <w:rPr>
          <w:sz w:val="20"/>
          <w:szCs w:val="20"/>
        </w:rPr>
      </w:pPr>
      <w:r w:rsidRPr="002C068C">
        <w:rPr>
          <w:sz w:val="20"/>
          <w:szCs w:val="20"/>
        </w:rPr>
        <w:t>Judgment of the Court of Appeal:</w:t>
      </w:r>
      <w:r w:rsidRPr="002C068C">
        <w:rPr>
          <w:sz w:val="20"/>
          <w:szCs w:val="20"/>
        </w:rPr>
        <w:tab/>
        <w:t>December 31, 2013</w:t>
      </w:r>
    </w:p>
    <w:p w:rsidR="00E4416F" w:rsidRPr="002C068C" w:rsidRDefault="00E4416F" w:rsidP="00E4416F">
      <w:pPr>
        <w:widowControl w:val="0"/>
        <w:ind w:left="2880" w:hanging="2880"/>
        <w:jc w:val="both"/>
        <w:rPr>
          <w:sz w:val="20"/>
          <w:szCs w:val="20"/>
        </w:rPr>
      </w:pPr>
    </w:p>
    <w:p w:rsidR="00E4416F" w:rsidRPr="002C068C" w:rsidRDefault="00E4416F" w:rsidP="00E4416F">
      <w:pPr>
        <w:widowControl w:val="0"/>
        <w:ind w:left="2880" w:hanging="2880"/>
        <w:jc w:val="both"/>
        <w:rPr>
          <w:sz w:val="20"/>
          <w:szCs w:val="20"/>
        </w:rPr>
      </w:pPr>
      <w:r w:rsidRPr="002C068C">
        <w:rPr>
          <w:sz w:val="20"/>
          <w:szCs w:val="20"/>
        </w:rPr>
        <w:t>Counsel:</w:t>
      </w:r>
      <w:r w:rsidRPr="002C068C">
        <w:rPr>
          <w:sz w:val="20"/>
          <w:szCs w:val="20"/>
        </w:rPr>
        <w:tab/>
        <w:t>Benita Wassenaar for the appellant</w:t>
      </w:r>
    </w:p>
    <w:p w:rsidR="00E4416F" w:rsidRPr="002C068C" w:rsidRDefault="00E4416F" w:rsidP="00E4416F">
      <w:pPr>
        <w:widowControl w:val="0"/>
        <w:ind w:left="2880" w:hanging="2880"/>
        <w:jc w:val="both"/>
        <w:rPr>
          <w:sz w:val="20"/>
          <w:szCs w:val="20"/>
        </w:rPr>
      </w:pPr>
      <w:r w:rsidRPr="002C068C">
        <w:rPr>
          <w:sz w:val="20"/>
          <w:szCs w:val="20"/>
        </w:rPr>
        <w:tab/>
        <w:t>Howard Krongold for the respondent</w:t>
      </w:r>
    </w:p>
    <w:p w:rsidR="004D6648" w:rsidRPr="00E4416F" w:rsidRDefault="004D6648" w:rsidP="004D6648">
      <w:pPr>
        <w:tabs>
          <w:tab w:val="left" w:pos="-1440"/>
          <w:tab w:val="left" w:pos="-720"/>
        </w:tabs>
        <w:jc w:val="both"/>
        <w:rPr>
          <w:sz w:val="20"/>
          <w:szCs w:val="20"/>
        </w:rPr>
      </w:pPr>
    </w:p>
    <w:p w:rsidR="004D6648" w:rsidRDefault="00215143" w:rsidP="004D6648">
      <w:pPr>
        <w:tabs>
          <w:tab w:val="left" w:pos="-1440"/>
          <w:tab w:val="left" w:pos="-720"/>
        </w:tabs>
        <w:jc w:val="both"/>
        <w:rPr>
          <w:sz w:val="20"/>
          <w:szCs w:val="20"/>
          <w:lang w:val="fr-CA"/>
        </w:rPr>
      </w:pPr>
      <w:r>
        <w:rPr>
          <w:sz w:val="20"/>
          <w:szCs w:val="20"/>
          <w:lang w:val="fr-CA"/>
        </w:rPr>
        <w:pict>
          <v:rect id="_x0000_i1119"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E4416F" w:rsidRPr="00B10DBC" w:rsidRDefault="000944FD" w:rsidP="00E4416F">
      <w:pPr>
        <w:widowControl w:val="0"/>
        <w:ind w:left="720" w:hanging="720"/>
        <w:jc w:val="both"/>
        <w:rPr>
          <w:sz w:val="20"/>
          <w:szCs w:val="20"/>
          <w:lang w:val="fr-CA"/>
        </w:rPr>
      </w:pPr>
      <w:r w:rsidRPr="00B10DBC">
        <w:rPr>
          <w:b/>
          <w:sz w:val="20"/>
          <w:szCs w:val="20"/>
          <w:lang w:val="fr-CA"/>
        </w:rPr>
        <w:lastRenderedPageBreak/>
        <w:fldChar w:fldCharType="begin"/>
      </w:r>
      <w:r w:rsidR="00E4416F" w:rsidRPr="00B10DBC">
        <w:rPr>
          <w:b/>
          <w:sz w:val="20"/>
          <w:szCs w:val="20"/>
          <w:lang w:val="fr-CA"/>
        </w:rPr>
        <w:instrText xml:space="preserve"> SEQ CHAPTER \h \r 1</w:instrText>
      </w:r>
      <w:r w:rsidRPr="00B10DBC">
        <w:rPr>
          <w:b/>
          <w:sz w:val="20"/>
          <w:szCs w:val="20"/>
          <w:lang w:val="fr-CA"/>
        </w:rPr>
        <w:fldChar w:fldCharType="end"/>
      </w:r>
      <w:r w:rsidR="00E4416F" w:rsidRPr="00B10DBC">
        <w:rPr>
          <w:b/>
          <w:sz w:val="20"/>
          <w:szCs w:val="20"/>
          <w:lang w:val="fr-CA"/>
        </w:rPr>
        <w:t>35690</w:t>
      </w:r>
      <w:r w:rsidR="00E4416F" w:rsidRPr="00B10DBC">
        <w:rPr>
          <w:sz w:val="20"/>
          <w:szCs w:val="20"/>
          <w:lang w:val="fr-CA"/>
        </w:rPr>
        <w:tab/>
      </w:r>
      <w:r w:rsidR="00E4416F" w:rsidRPr="00B10DBC">
        <w:rPr>
          <w:b/>
          <w:i/>
          <w:sz w:val="20"/>
          <w:szCs w:val="20"/>
          <w:lang w:val="fr-CA"/>
        </w:rPr>
        <w:t>Sa Majesté la Reine c. Sebastien Bouchard</w:t>
      </w:r>
    </w:p>
    <w:p w:rsidR="00E4416F" w:rsidRPr="00B10DBC" w:rsidRDefault="00E4416F" w:rsidP="00E4416F">
      <w:pPr>
        <w:widowControl w:val="0"/>
        <w:jc w:val="both"/>
        <w:rPr>
          <w:sz w:val="20"/>
          <w:szCs w:val="20"/>
          <w:lang w:val="fr-CA"/>
        </w:rPr>
      </w:pPr>
    </w:p>
    <w:p w:rsidR="00E4416F" w:rsidRPr="00B10DBC" w:rsidRDefault="00E4416F" w:rsidP="00E4416F">
      <w:pPr>
        <w:widowControl w:val="0"/>
        <w:jc w:val="both"/>
        <w:rPr>
          <w:sz w:val="20"/>
          <w:szCs w:val="20"/>
          <w:lang w:val="fr-CA"/>
        </w:rPr>
      </w:pPr>
      <w:r w:rsidRPr="00B10DBC">
        <w:rPr>
          <w:sz w:val="20"/>
          <w:szCs w:val="20"/>
          <w:lang w:val="fr-CA"/>
        </w:rPr>
        <w:t>Droit criminel - Moyens de défense - Provocation - Exposé au jury - Le juge du procès a-t-il donné des directives erronées au jury quant à savoir si la défense de provocation prévue par la loi s’applique à la preuve relative à l’état d’esprit de l’intimé lorsqu’il s’agit de déterminer si le ministère public a établi que l’accusé avait l’intention requise pour commettre le meurtre?</w:t>
      </w:r>
    </w:p>
    <w:p w:rsidR="00E4416F" w:rsidRPr="00B10DBC" w:rsidRDefault="00E4416F" w:rsidP="00E4416F">
      <w:pPr>
        <w:widowControl w:val="0"/>
        <w:jc w:val="both"/>
        <w:rPr>
          <w:sz w:val="20"/>
          <w:szCs w:val="20"/>
          <w:lang w:val="fr-CA"/>
        </w:rPr>
      </w:pPr>
    </w:p>
    <w:p w:rsidR="00E4416F" w:rsidRPr="00B10DBC" w:rsidRDefault="00E4416F" w:rsidP="00E4416F">
      <w:pPr>
        <w:widowControl w:val="0"/>
        <w:jc w:val="both"/>
        <w:rPr>
          <w:sz w:val="20"/>
          <w:szCs w:val="20"/>
          <w:lang w:val="fr-CA"/>
        </w:rPr>
      </w:pPr>
      <w:r w:rsidRPr="00B10DBC">
        <w:rPr>
          <w:sz w:val="20"/>
          <w:szCs w:val="20"/>
          <w:lang w:val="fr-CA"/>
        </w:rPr>
        <w:t>L’intimé, M. Bouchard, a été déclaré coupable de meurtre au deuxième degré.  Au procès, il a admis avoir agressé la victime, causant ainsi sa mort.  Il a témoigné que la victime lui avait donné un baiser mouillé et lui avait dit « Je t’aime », que ces gestes avaient fait remonter à sa mémoire des souvenirs troublants d’abus sexuels commis sur lui par une personne qui le gardait quand il était jeune, et qu’il avait tout simplement [</w:t>
      </w:r>
      <w:r w:rsidRPr="00B10DBC">
        <w:rPr>
          <w:smallCaps/>
          <w:sz w:val="20"/>
          <w:szCs w:val="20"/>
          <w:lang w:val="fr-CA"/>
        </w:rPr>
        <w:t>traduction</w:t>
      </w:r>
      <w:r w:rsidRPr="00B10DBC">
        <w:rPr>
          <w:sz w:val="20"/>
          <w:szCs w:val="20"/>
          <w:lang w:val="fr-CA"/>
        </w:rPr>
        <w:t xml:space="preserve">] « perdu le contrôle », avait projeté la victime au sol et l’avait frappée plusieurs fois avec les pieds.  Les deux hommes étaient très ivres au moment de l’agression.  M. Bouchard a soutenu au procès qu’il devait être déclaré coupable d’homicide involontaire coupable, et non de meurtre, parce que le ministère public n’était pas en mesure de prouver qu’il avait l’intention requise pour commettre le meurtre, ou parce qu’il avait été provoqué au sens où il faut l’entendre pour l’application de l’art. 232 du </w:t>
      </w:r>
      <w:r w:rsidRPr="00B10DBC">
        <w:rPr>
          <w:i/>
          <w:sz w:val="20"/>
          <w:szCs w:val="20"/>
          <w:lang w:val="fr-CA"/>
        </w:rPr>
        <w:t>Code criminel</w:t>
      </w:r>
      <w:r w:rsidRPr="00B10DBC">
        <w:rPr>
          <w:sz w:val="20"/>
          <w:szCs w:val="20"/>
          <w:lang w:val="fr-CA"/>
        </w:rPr>
        <w:t xml:space="preserve">.  La Cour d’appel à la majorité a accueilli l’appel interjeté par M. Bouchard à l’encontre de sa déclaration de culpabilité, et a ordonné un nouveau procès.  À son avis, le juge du procès a commis une erreur en disant au jury qu’il convenait d’appliquer la définition légale restrictive de la provocation pour évaluer l’impact de la conduite provocatrice alléguée de la victime sur l’état d’esprit de M. Bouchard, et ainsi déterminer si le ministère public avait établi que celui-ci avait l’intention requise pour commettre le meurtre.  Le juge Rouleau, dissident, aurait pour sa part rejeté l’appel. </w:t>
      </w:r>
    </w:p>
    <w:p w:rsidR="00E4416F" w:rsidRPr="00B10DBC" w:rsidRDefault="00E4416F" w:rsidP="00E4416F">
      <w:pPr>
        <w:widowControl w:val="0"/>
        <w:jc w:val="both"/>
        <w:rPr>
          <w:sz w:val="20"/>
          <w:szCs w:val="20"/>
          <w:lang w:val="fr-CA"/>
        </w:rPr>
      </w:pPr>
    </w:p>
    <w:p w:rsidR="00E4416F" w:rsidRPr="00B10DBC" w:rsidRDefault="00E4416F" w:rsidP="00E4416F">
      <w:pPr>
        <w:widowControl w:val="0"/>
        <w:jc w:val="both"/>
        <w:rPr>
          <w:sz w:val="20"/>
          <w:szCs w:val="20"/>
          <w:lang w:val="fr-CA"/>
        </w:rPr>
      </w:pPr>
    </w:p>
    <w:p w:rsidR="00E4416F" w:rsidRPr="00B10DBC" w:rsidRDefault="00E4416F" w:rsidP="00E4416F">
      <w:pPr>
        <w:widowControl w:val="0"/>
        <w:ind w:left="2880" w:hanging="2880"/>
        <w:jc w:val="both"/>
        <w:rPr>
          <w:sz w:val="20"/>
          <w:szCs w:val="20"/>
          <w:lang w:val="fr-CA"/>
        </w:rPr>
      </w:pPr>
      <w:r w:rsidRPr="00B10DBC">
        <w:rPr>
          <w:sz w:val="20"/>
          <w:szCs w:val="20"/>
          <w:lang w:val="fr-CA"/>
        </w:rPr>
        <w:t>Origine :</w:t>
      </w:r>
      <w:r w:rsidRPr="00B10DBC">
        <w:rPr>
          <w:sz w:val="20"/>
          <w:szCs w:val="20"/>
          <w:lang w:val="fr-CA"/>
        </w:rPr>
        <w:tab/>
        <w:t>Ontario</w:t>
      </w:r>
    </w:p>
    <w:p w:rsidR="00E4416F" w:rsidRPr="00B10DBC" w:rsidRDefault="00E4416F" w:rsidP="00E4416F">
      <w:pPr>
        <w:widowControl w:val="0"/>
        <w:ind w:left="2880" w:hanging="2880"/>
        <w:jc w:val="both"/>
        <w:rPr>
          <w:sz w:val="20"/>
          <w:szCs w:val="20"/>
          <w:lang w:val="fr-CA"/>
        </w:rPr>
      </w:pPr>
    </w:p>
    <w:p w:rsidR="00E4416F" w:rsidRPr="00B10DBC" w:rsidRDefault="00E4416F" w:rsidP="00E4416F">
      <w:pPr>
        <w:widowControl w:val="0"/>
        <w:ind w:left="2880" w:hanging="2880"/>
        <w:jc w:val="both"/>
        <w:rPr>
          <w:sz w:val="20"/>
          <w:szCs w:val="20"/>
          <w:lang w:val="fr-CA"/>
        </w:rPr>
      </w:pPr>
      <w:r w:rsidRPr="00B10DBC">
        <w:rPr>
          <w:sz w:val="20"/>
          <w:szCs w:val="20"/>
          <w:lang w:val="fr-CA"/>
        </w:rPr>
        <w:t>N</w:t>
      </w:r>
      <w:r w:rsidRPr="00B10DBC">
        <w:rPr>
          <w:sz w:val="20"/>
          <w:szCs w:val="20"/>
          <w:vertAlign w:val="superscript"/>
          <w:lang w:val="fr-CA"/>
        </w:rPr>
        <w:t>o</w:t>
      </w:r>
      <w:r w:rsidRPr="00B10DBC">
        <w:rPr>
          <w:sz w:val="20"/>
          <w:szCs w:val="20"/>
          <w:lang w:val="fr-CA"/>
        </w:rPr>
        <w:t xml:space="preserve"> du greffe :</w:t>
      </w:r>
      <w:r w:rsidRPr="00B10DBC">
        <w:rPr>
          <w:sz w:val="20"/>
          <w:szCs w:val="20"/>
          <w:lang w:val="fr-CA"/>
        </w:rPr>
        <w:tab/>
        <w:t>35690</w:t>
      </w:r>
    </w:p>
    <w:p w:rsidR="00E4416F" w:rsidRPr="00B10DBC" w:rsidRDefault="00E4416F" w:rsidP="00E4416F">
      <w:pPr>
        <w:widowControl w:val="0"/>
        <w:ind w:left="2880" w:hanging="2880"/>
        <w:jc w:val="both"/>
        <w:rPr>
          <w:sz w:val="20"/>
          <w:szCs w:val="20"/>
          <w:lang w:val="fr-CA"/>
        </w:rPr>
      </w:pPr>
    </w:p>
    <w:p w:rsidR="00E4416F" w:rsidRPr="00B10DBC" w:rsidRDefault="00E4416F" w:rsidP="00E4416F">
      <w:pPr>
        <w:widowControl w:val="0"/>
        <w:ind w:left="2880" w:hanging="2880"/>
        <w:jc w:val="both"/>
        <w:rPr>
          <w:sz w:val="20"/>
          <w:szCs w:val="20"/>
          <w:lang w:val="fr-CA"/>
        </w:rPr>
      </w:pPr>
      <w:r w:rsidRPr="00B10DBC">
        <w:rPr>
          <w:sz w:val="20"/>
          <w:szCs w:val="20"/>
          <w:lang w:val="fr-CA"/>
        </w:rPr>
        <w:t>Arrêt de la Cour d’appel :</w:t>
      </w:r>
      <w:r w:rsidRPr="00B10DBC">
        <w:rPr>
          <w:sz w:val="20"/>
          <w:szCs w:val="20"/>
          <w:lang w:val="fr-CA"/>
        </w:rPr>
        <w:tab/>
        <w:t>le 31 décembre 2013</w:t>
      </w:r>
    </w:p>
    <w:p w:rsidR="00E4416F" w:rsidRPr="00B10DBC" w:rsidRDefault="00E4416F" w:rsidP="00E4416F">
      <w:pPr>
        <w:widowControl w:val="0"/>
        <w:ind w:left="2880" w:hanging="2880"/>
        <w:jc w:val="both"/>
        <w:rPr>
          <w:sz w:val="20"/>
          <w:szCs w:val="20"/>
          <w:lang w:val="fr-CA"/>
        </w:rPr>
      </w:pPr>
    </w:p>
    <w:p w:rsidR="00E4416F" w:rsidRPr="00B10DBC" w:rsidRDefault="00E4416F" w:rsidP="00E4416F">
      <w:pPr>
        <w:widowControl w:val="0"/>
        <w:ind w:left="2880" w:hanging="2880"/>
        <w:jc w:val="both"/>
        <w:rPr>
          <w:sz w:val="20"/>
          <w:szCs w:val="20"/>
          <w:lang w:val="fr-CA"/>
        </w:rPr>
      </w:pPr>
      <w:r w:rsidRPr="00B10DBC">
        <w:rPr>
          <w:sz w:val="20"/>
          <w:szCs w:val="20"/>
          <w:lang w:val="fr-CA"/>
        </w:rPr>
        <w:t>Avocats :</w:t>
      </w:r>
      <w:r w:rsidRPr="00B10DBC">
        <w:rPr>
          <w:sz w:val="20"/>
          <w:szCs w:val="20"/>
          <w:lang w:val="fr-CA"/>
        </w:rPr>
        <w:tab/>
        <w:t>Benita Wassenaar pour l’appelante</w:t>
      </w:r>
    </w:p>
    <w:p w:rsidR="00E4416F" w:rsidRPr="00B10DBC" w:rsidRDefault="00E4416F" w:rsidP="00E4416F">
      <w:pPr>
        <w:widowControl w:val="0"/>
        <w:ind w:left="2880" w:hanging="2880"/>
        <w:jc w:val="both"/>
        <w:rPr>
          <w:sz w:val="20"/>
          <w:szCs w:val="20"/>
          <w:lang w:val="fr-CA"/>
        </w:rPr>
      </w:pPr>
      <w:r w:rsidRPr="00B10DBC">
        <w:rPr>
          <w:sz w:val="20"/>
          <w:szCs w:val="20"/>
          <w:lang w:val="fr-CA"/>
        </w:rPr>
        <w:tab/>
        <w:t>Howard Krongold pour l’intimé</w:t>
      </w:r>
    </w:p>
    <w:p w:rsidR="004D6648" w:rsidRPr="00DD0B49" w:rsidRDefault="004D6648" w:rsidP="004D6648">
      <w:pPr>
        <w:tabs>
          <w:tab w:val="left" w:pos="-1440"/>
          <w:tab w:val="left" w:pos="-720"/>
        </w:tabs>
        <w:jc w:val="both"/>
        <w:rPr>
          <w:sz w:val="20"/>
          <w:szCs w:val="20"/>
          <w:lang w:val="fr-CA"/>
        </w:rPr>
      </w:pPr>
    </w:p>
    <w:p w:rsidR="004D6648" w:rsidRDefault="00215143" w:rsidP="004D6648">
      <w:pPr>
        <w:tabs>
          <w:tab w:val="left" w:pos="-1440"/>
          <w:tab w:val="left" w:pos="-720"/>
        </w:tabs>
        <w:jc w:val="both"/>
        <w:rPr>
          <w:sz w:val="20"/>
          <w:szCs w:val="20"/>
          <w:lang w:val="fr-CA"/>
        </w:rPr>
      </w:pPr>
      <w:r>
        <w:rPr>
          <w:sz w:val="20"/>
          <w:szCs w:val="20"/>
          <w:lang w:val="fr-CA"/>
        </w:rPr>
        <w:pict>
          <v:rect id="_x0000_i1120"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780EC8" w:rsidRPr="00360BC3" w:rsidRDefault="000944FD" w:rsidP="00780EC8">
      <w:pPr>
        <w:widowControl w:val="0"/>
        <w:ind w:left="720" w:hanging="720"/>
        <w:jc w:val="both"/>
        <w:rPr>
          <w:sz w:val="20"/>
          <w:szCs w:val="20"/>
        </w:rPr>
      </w:pPr>
      <w:r w:rsidRPr="00360BC3">
        <w:rPr>
          <w:b/>
          <w:sz w:val="20"/>
          <w:szCs w:val="20"/>
        </w:rPr>
        <w:lastRenderedPageBreak/>
        <w:fldChar w:fldCharType="begin"/>
      </w:r>
      <w:r w:rsidR="00780EC8" w:rsidRPr="00360BC3">
        <w:rPr>
          <w:b/>
          <w:sz w:val="20"/>
          <w:szCs w:val="20"/>
        </w:rPr>
        <w:instrText xml:space="preserve"> SEQ CHAPTER \h \r 1</w:instrText>
      </w:r>
      <w:r w:rsidRPr="00360BC3">
        <w:rPr>
          <w:b/>
          <w:sz w:val="20"/>
          <w:szCs w:val="20"/>
        </w:rPr>
        <w:fldChar w:fldCharType="end"/>
      </w:r>
      <w:r w:rsidR="00780EC8" w:rsidRPr="00360BC3">
        <w:rPr>
          <w:b/>
          <w:sz w:val="20"/>
          <w:szCs w:val="20"/>
        </w:rPr>
        <w:t>35665</w:t>
      </w:r>
      <w:r w:rsidR="00780EC8" w:rsidRPr="00360BC3">
        <w:rPr>
          <w:sz w:val="20"/>
          <w:szCs w:val="20"/>
        </w:rPr>
        <w:tab/>
      </w:r>
      <w:r w:rsidR="00780EC8" w:rsidRPr="00360BC3">
        <w:rPr>
          <w:b/>
          <w:i/>
          <w:sz w:val="20"/>
          <w:szCs w:val="20"/>
        </w:rPr>
        <w:t>Vernon Lepine v. Her Majesty the Queen</w:t>
      </w:r>
    </w:p>
    <w:p w:rsidR="00780EC8" w:rsidRPr="00360BC3" w:rsidRDefault="00780EC8" w:rsidP="00780EC8">
      <w:pPr>
        <w:widowControl w:val="0"/>
        <w:jc w:val="both"/>
        <w:rPr>
          <w:sz w:val="20"/>
          <w:szCs w:val="20"/>
        </w:rPr>
      </w:pPr>
    </w:p>
    <w:p w:rsidR="00780EC8" w:rsidRPr="00360BC3" w:rsidRDefault="00780EC8" w:rsidP="00780EC8">
      <w:pPr>
        <w:widowControl w:val="0"/>
        <w:jc w:val="both"/>
        <w:rPr>
          <w:smallCaps/>
          <w:sz w:val="20"/>
          <w:szCs w:val="20"/>
        </w:rPr>
      </w:pPr>
      <w:r w:rsidRPr="00360BC3">
        <w:rPr>
          <w:smallCaps/>
          <w:sz w:val="20"/>
          <w:szCs w:val="20"/>
        </w:rPr>
        <w:t xml:space="preserve">(Publication </w:t>
      </w:r>
      <w:r>
        <w:rPr>
          <w:smallCaps/>
          <w:sz w:val="20"/>
          <w:szCs w:val="20"/>
        </w:rPr>
        <w:t>B</w:t>
      </w:r>
      <w:r w:rsidRPr="00360BC3">
        <w:rPr>
          <w:smallCaps/>
          <w:sz w:val="20"/>
          <w:szCs w:val="20"/>
        </w:rPr>
        <w:t xml:space="preserve">an in </w:t>
      </w:r>
      <w:r>
        <w:rPr>
          <w:smallCaps/>
          <w:sz w:val="20"/>
          <w:szCs w:val="20"/>
        </w:rPr>
        <w:t>C</w:t>
      </w:r>
      <w:r w:rsidRPr="00360BC3">
        <w:rPr>
          <w:smallCaps/>
          <w:sz w:val="20"/>
          <w:szCs w:val="20"/>
        </w:rPr>
        <w:t>ase)</w:t>
      </w:r>
    </w:p>
    <w:p w:rsidR="00780EC8" w:rsidRPr="00360BC3" w:rsidRDefault="00780EC8" w:rsidP="00780EC8">
      <w:pPr>
        <w:widowControl w:val="0"/>
        <w:jc w:val="both"/>
        <w:rPr>
          <w:sz w:val="20"/>
          <w:szCs w:val="20"/>
        </w:rPr>
      </w:pPr>
    </w:p>
    <w:p w:rsidR="00780EC8" w:rsidRPr="00360BC3" w:rsidRDefault="00780EC8" w:rsidP="00780EC8">
      <w:pPr>
        <w:widowControl w:val="0"/>
        <w:jc w:val="both"/>
        <w:rPr>
          <w:sz w:val="20"/>
          <w:szCs w:val="20"/>
        </w:rPr>
      </w:pPr>
      <w:r w:rsidRPr="00360BC3">
        <w:rPr>
          <w:sz w:val="20"/>
          <w:szCs w:val="20"/>
        </w:rPr>
        <w:t xml:space="preserve">Criminal law - Trial - Jury questions - Charge to jury - Whether the Court of Appeal erred in law by ruling that a verdict is safe where a trial judge fails to provide a response to a question posed by a jury post-evidence but prior to final addresses by counsel and the final charge - Whether the Court of Appeal erred in law by ruling that a standard </w:t>
      </w:r>
      <w:r w:rsidRPr="00360BC3">
        <w:rPr>
          <w:i/>
          <w:sz w:val="20"/>
          <w:szCs w:val="20"/>
        </w:rPr>
        <w:t>R. v. W.(D.)</w:t>
      </w:r>
      <w:r w:rsidRPr="00360BC3">
        <w:rPr>
          <w:sz w:val="20"/>
          <w:szCs w:val="20"/>
        </w:rPr>
        <w:t xml:space="preserve">, [1991] 1 S.C.R. 742, instruction in the final charge is sufficient to answer a question posed by a jury post-evidence but prior to final addresses by counsel and the final charge. </w:t>
      </w:r>
    </w:p>
    <w:p w:rsidR="00780EC8" w:rsidRPr="00360BC3" w:rsidRDefault="00780EC8" w:rsidP="00780EC8">
      <w:pPr>
        <w:widowControl w:val="0"/>
        <w:jc w:val="both"/>
        <w:rPr>
          <w:sz w:val="20"/>
          <w:szCs w:val="20"/>
        </w:rPr>
      </w:pPr>
    </w:p>
    <w:p w:rsidR="00780EC8" w:rsidRPr="00360BC3" w:rsidRDefault="00780EC8" w:rsidP="00780EC8">
      <w:pPr>
        <w:widowControl w:val="0"/>
        <w:jc w:val="both"/>
        <w:rPr>
          <w:sz w:val="20"/>
          <w:szCs w:val="20"/>
        </w:rPr>
      </w:pPr>
      <w:r w:rsidRPr="00360BC3">
        <w:rPr>
          <w:sz w:val="20"/>
          <w:szCs w:val="20"/>
        </w:rPr>
        <w:t xml:space="preserve">Mr. Lepine was convicted of sexual assault.  The complainant testified that she awoke to feel a hand inside her pants and something insider her, and she stated that Mr. Lepine, whom she knew, was present and apologizing.  Mr. Lepine denied being present and provided an alibi that was largely confirmed.  At trial, the Crown was permitted to put into evidence Mr. Lepine’s entire criminal record.  After the close of evidence and before counsels’ final addresses and the trial judge’s final charge were given, the jury asked whether, “in a situation where the decision comes down to a question of credibility, a lack of credibility on the part of the defence [is] enough to pass the beyond a reasonable doubt test”.  The trial judge told the jury she would answer the question when she gave it the final charge, although she reminded the jury that it could not form opinions or conclusions until it heard all of counsels’ submissions and her final instructions.  Appealing his conviction, Mr. Lepine argued, among other things, that the trial judge erred in failing to answer the question at the time it was asked or later during the charge.  A majority of the Court of Appeal dismissed the appeal.  Bielby J.A., dissenting, would have allowed the appeal and ordered a new trial. </w:t>
      </w:r>
    </w:p>
    <w:p w:rsidR="00780EC8" w:rsidRPr="00360BC3" w:rsidRDefault="00780EC8" w:rsidP="00780EC8">
      <w:pPr>
        <w:widowControl w:val="0"/>
        <w:jc w:val="both"/>
        <w:rPr>
          <w:sz w:val="20"/>
          <w:szCs w:val="20"/>
        </w:rPr>
      </w:pPr>
    </w:p>
    <w:p w:rsidR="00780EC8" w:rsidRPr="00360BC3" w:rsidRDefault="00780EC8" w:rsidP="00780EC8">
      <w:pPr>
        <w:widowControl w:val="0"/>
        <w:jc w:val="both"/>
        <w:rPr>
          <w:sz w:val="20"/>
          <w:szCs w:val="20"/>
        </w:rPr>
      </w:pPr>
    </w:p>
    <w:p w:rsidR="00780EC8" w:rsidRPr="00360BC3" w:rsidRDefault="00780EC8" w:rsidP="00D365C9">
      <w:pPr>
        <w:widowControl w:val="0"/>
        <w:ind w:left="2880" w:hanging="2880"/>
        <w:jc w:val="both"/>
        <w:rPr>
          <w:sz w:val="20"/>
          <w:szCs w:val="20"/>
        </w:rPr>
      </w:pPr>
      <w:r w:rsidRPr="00360BC3">
        <w:rPr>
          <w:sz w:val="20"/>
          <w:szCs w:val="20"/>
        </w:rPr>
        <w:t>Origin of the case:</w:t>
      </w:r>
      <w:r w:rsidRPr="00360BC3">
        <w:rPr>
          <w:sz w:val="20"/>
          <w:szCs w:val="20"/>
        </w:rPr>
        <w:tab/>
        <w:t>Northwest Territories</w:t>
      </w:r>
    </w:p>
    <w:p w:rsidR="00780EC8" w:rsidRPr="00360BC3" w:rsidRDefault="00780EC8" w:rsidP="00D365C9">
      <w:pPr>
        <w:widowControl w:val="0"/>
        <w:ind w:left="2880" w:hanging="2880"/>
        <w:jc w:val="both"/>
        <w:rPr>
          <w:sz w:val="20"/>
          <w:szCs w:val="20"/>
        </w:rPr>
      </w:pPr>
    </w:p>
    <w:p w:rsidR="00780EC8" w:rsidRPr="00360BC3" w:rsidRDefault="00780EC8" w:rsidP="00D365C9">
      <w:pPr>
        <w:widowControl w:val="0"/>
        <w:ind w:left="2880" w:hanging="2880"/>
        <w:jc w:val="both"/>
        <w:rPr>
          <w:sz w:val="20"/>
          <w:szCs w:val="20"/>
        </w:rPr>
      </w:pPr>
      <w:r w:rsidRPr="00360BC3">
        <w:rPr>
          <w:sz w:val="20"/>
          <w:szCs w:val="20"/>
        </w:rPr>
        <w:t>File No.:</w:t>
      </w:r>
      <w:r w:rsidRPr="00360BC3">
        <w:rPr>
          <w:sz w:val="20"/>
          <w:szCs w:val="20"/>
        </w:rPr>
        <w:tab/>
        <w:t>35665</w:t>
      </w:r>
    </w:p>
    <w:p w:rsidR="00780EC8" w:rsidRPr="00360BC3" w:rsidRDefault="00780EC8" w:rsidP="00D365C9">
      <w:pPr>
        <w:widowControl w:val="0"/>
        <w:ind w:left="2880" w:hanging="2880"/>
        <w:jc w:val="both"/>
        <w:rPr>
          <w:sz w:val="20"/>
          <w:szCs w:val="20"/>
        </w:rPr>
      </w:pPr>
    </w:p>
    <w:p w:rsidR="00780EC8" w:rsidRPr="00360BC3" w:rsidRDefault="00780EC8" w:rsidP="00D365C9">
      <w:pPr>
        <w:widowControl w:val="0"/>
        <w:ind w:left="2880" w:hanging="2880"/>
        <w:jc w:val="both"/>
        <w:rPr>
          <w:sz w:val="20"/>
          <w:szCs w:val="20"/>
        </w:rPr>
      </w:pPr>
      <w:r w:rsidRPr="00360BC3">
        <w:rPr>
          <w:sz w:val="20"/>
          <w:szCs w:val="20"/>
        </w:rPr>
        <w:t>Judgment of the Court of Appeal:</w:t>
      </w:r>
      <w:r w:rsidRPr="00360BC3">
        <w:rPr>
          <w:sz w:val="20"/>
          <w:szCs w:val="20"/>
        </w:rPr>
        <w:tab/>
        <w:t>November 25, 2013</w:t>
      </w:r>
    </w:p>
    <w:p w:rsidR="00780EC8" w:rsidRPr="00360BC3" w:rsidRDefault="00780EC8" w:rsidP="00D365C9">
      <w:pPr>
        <w:widowControl w:val="0"/>
        <w:ind w:left="2880" w:hanging="2880"/>
        <w:jc w:val="both"/>
        <w:rPr>
          <w:sz w:val="20"/>
          <w:szCs w:val="20"/>
        </w:rPr>
      </w:pPr>
    </w:p>
    <w:p w:rsidR="00780EC8" w:rsidRPr="00360BC3" w:rsidRDefault="00780EC8" w:rsidP="00D365C9">
      <w:pPr>
        <w:widowControl w:val="0"/>
        <w:ind w:left="2880" w:hanging="2880"/>
        <w:jc w:val="both"/>
        <w:rPr>
          <w:sz w:val="20"/>
          <w:szCs w:val="20"/>
        </w:rPr>
      </w:pPr>
      <w:r w:rsidRPr="00360BC3">
        <w:rPr>
          <w:sz w:val="20"/>
          <w:szCs w:val="20"/>
        </w:rPr>
        <w:t>Counsel:</w:t>
      </w:r>
      <w:r w:rsidRPr="00360BC3">
        <w:rPr>
          <w:sz w:val="20"/>
          <w:szCs w:val="20"/>
        </w:rPr>
        <w:tab/>
        <w:t>Rod J. A. Gregory and Adam Y. Karbani for the appellant</w:t>
      </w:r>
    </w:p>
    <w:p w:rsidR="00780EC8" w:rsidRPr="00360BC3" w:rsidRDefault="00780EC8" w:rsidP="00D365C9">
      <w:pPr>
        <w:widowControl w:val="0"/>
        <w:ind w:left="2880" w:hanging="2880"/>
        <w:jc w:val="both"/>
        <w:rPr>
          <w:sz w:val="20"/>
          <w:szCs w:val="20"/>
        </w:rPr>
      </w:pPr>
      <w:r w:rsidRPr="00360BC3">
        <w:rPr>
          <w:sz w:val="20"/>
          <w:szCs w:val="20"/>
        </w:rPr>
        <w:tab/>
        <w:t>Susanne Boucher for the respondent</w:t>
      </w:r>
    </w:p>
    <w:p w:rsidR="004D6648" w:rsidRPr="00D365C9" w:rsidRDefault="004D6648" w:rsidP="004D6648">
      <w:pPr>
        <w:tabs>
          <w:tab w:val="left" w:pos="-1440"/>
          <w:tab w:val="left" w:pos="-720"/>
        </w:tabs>
        <w:jc w:val="both"/>
        <w:rPr>
          <w:sz w:val="20"/>
          <w:szCs w:val="20"/>
        </w:rPr>
      </w:pPr>
    </w:p>
    <w:p w:rsidR="004D6648" w:rsidRDefault="00215143" w:rsidP="004D6648">
      <w:pPr>
        <w:tabs>
          <w:tab w:val="left" w:pos="-1440"/>
          <w:tab w:val="left" w:pos="-720"/>
        </w:tabs>
        <w:jc w:val="both"/>
        <w:rPr>
          <w:sz w:val="20"/>
          <w:szCs w:val="20"/>
          <w:lang w:val="fr-CA"/>
        </w:rPr>
      </w:pPr>
      <w:r>
        <w:rPr>
          <w:sz w:val="20"/>
          <w:szCs w:val="20"/>
          <w:lang w:val="fr-CA"/>
        </w:rPr>
        <w:pict>
          <v:rect id="_x0000_i1121"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D365C9" w:rsidRPr="00C367E6" w:rsidRDefault="000944FD" w:rsidP="00D365C9">
      <w:pPr>
        <w:widowControl w:val="0"/>
        <w:ind w:left="720" w:hanging="720"/>
        <w:jc w:val="both"/>
        <w:rPr>
          <w:sz w:val="20"/>
          <w:szCs w:val="20"/>
          <w:lang w:val="fr-CA"/>
        </w:rPr>
      </w:pPr>
      <w:r w:rsidRPr="00C367E6">
        <w:rPr>
          <w:b/>
          <w:sz w:val="20"/>
          <w:szCs w:val="20"/>
          <w:lang w:val="fr-CA"/>
        </w:rPr>
        <w:lastRenderedPageBreak/>
        <w:fldChar w:fldCharType="begin"/>
      </w:r>
      <w:r w:rsidR="00D365C9" w:rsidRPr="00C367E6">
        <w:rPr>
          <w:b/>
          <w:sz w:val="20"/>
          <w:szCs w:val="20"/>
          <w:lang w:val="fr-CA"/>
        </w:rPr>
        <w:instrText xml:space="preserve"> SEQ CHAPTER \h \r 1</w:instrText>
      </w:r>
      <w:r w:rsidRPr="00C367E6">
        <w:rPr>
          <w:b/>
          <w:sz w:val="20"/>
          <w:szCs w:val="20"/>
          <w:lang w:val="fr-CA"/>
        </w:rPr>
        <w:fldChar w:fldCharType="end"/>
      </w:r>
      <w:r w:rsidR="00D365C9" w:rsidRPr="00C367E6">
        <w:rPr>
          <w:b/>
          <w:sz w:val="20"/>
          <w:szCs w:val="20"/>
          <w:lang w:val="fr-CA"/>
        </w:rPr>
        <w:t>35665</w:t>
      </w:r>
      <w:r w:rsidR="00D365C9" w:rsidRPr="00C367E6">
        <w:rPr>
          <w:sz w:val="20"/>
          <w:szCs w:val="20"/>
          <w:lang w:val="fr-CA"/>
        </w:rPr>
        <w:tab/>
      </w:r>
      <w:r w:rsidR="00D365C9" w:rsidRPr="00C367E6">
        <w:rPr>
          <w:b/>
          <w:i/>
          <w:sz w:val="20"/>
          <w:szCs w:val="20"/>
          <w:lang w:val="fr-CA"/>
        </w:rPr>
        <w:t>Vernon Lepine c. Sa Majesté la Reine</w:t>
      </w:r>
    </w:p>
    <w:p w:rsidR="00D365C9" w:rsidRPr="00C367E6" w:rsidRDefault="00D365C9" w:rsidP="00D365C9">
      <w:pPr>
        <w:widowControl w:val="0"/>
        <w:jc w:val="both"/>
        <w:rPr>
          <w:sz w:val="20"/>
          <w:szCs w:val="20"/>
          <w:lang w:val="fr-CA"/>
        </w:rPr>
      </w:pPr>
    </w:p>
    <w:p w:rsidR="00D365C9" w:rsidRPr="00C367E6" w:rsidRDefault="00D365C9" w:rsidP="00D365C9">
      <w:pPr>
        <w:widowControl w:val="0"/>
        <w:jc w:val="both"/>
        <w:rPr>
          <w:smallCaps/>
          <w:sz w:val="20"/>
          <w:szCs w:val="20"/>
          <w:lang w:val="fr-CA"/>
        </w:rPr>
      </w:pPr>
      <w:r w:rsidRPr="00C367E6">
        <w:rPr>
          <w:smallCaps/>
          <w:sz w:val="20"/>
          <w:szCs w:val="20"/>
          <w:lang w:val="fr-CA"/>
        </w:rPr>
        <w:t>(Ordonnance de non-publication dans le dossier)</w:t>
      </w:r>
    </w:p>
    <w:p w:rsidR="00D365C9" w:rsidRPr="00C367E6" w:rsidRDefault="00D365C9" w:rsidP="00D365C9">
      <w:pPr>
        <w:widowControl w:val="0"/>
        <w:jc w:val="both"/>
        <w:rPr>
          <w:sz w:val="20"/>
          <w:szCs w:val="20"/>
          <w:lang w:val="fr-CA"/>
        </w:rPr>
      </w:pPr>
    </w:p>
    <w:p w:rsidR="00D365C9" w:rsidRPr="00C367E6" w:rsidRDefault="00D365C9" w:rsidP="00D365C9">
      <w:pPr>
        <w:widowControl w:val="0"/>
        <w:jc w:val="both"/>
        <w:rPr>
          <w:sz w:val="20"/>
          <w:szCs w:val="20"/>
          <w:lang w:val="fr-CA"/>
        </w:rPr>
      </w:pPr>
      <w:r w:rsidRPr="00C367E6">
        <w:rPr>
          <w:sz w:val="20"/>
          <w:szCs w:val="20"/>
          <w:lang w:val="fr-CA"/>
        </w:rPr>
        <w:t xml:space="preserve">Droit criminel - Procès - Questions du jury - Exposé au jury - La Cour d’appel a-t-elle commis une erreur de droit en statuant qu’un verdict est sûr dans un cas où le juge du procès omet de répondre à une question posée par le jury après la clôture de la preuve mais avant les plaidoiries finales des avocats et avant l’exposé final? - La Cour d’appel a-t-elle commis une erreur de droit en statuant qu’une directive habituelle donnée conformément à l’arrêt </w:t>
      </w:r>
      <w:r w:rsidRPr="00C367E6">
        <w:rPr>
          <w:i/>
          <w:sz w:val="20"/>
          <w:szCs w:val="20"/>
          <w:lang w:val="fr-CA"/>
        </w:rPr>
        <w:t>R. c. W.(D.)</w:t>
      </w:r>
      <w:r w:rsidRPr="00C367E6">
        <w:rPr>
          <w:sz w:val="20"/>
          <w:szCs w:val="20"/>
          <w:lang w:val="fr-CA"/>
        </w:rPr>
        <w:t>, [1991] 1 R.C.S. 742 dans l’exposé final est suffisante pour répondre à une question posée par un jury après la clôture de la preuve mais avant les plaidoiries finales des avocats et avant l’exposé final?</w:t>
      </w:r>
    </w:p>
    <w:p w:rsidR="00D365C9" w:rsidRPr="00C367E6" w:rsidRDefault="00D365C9" w:rsidP="00D365C9">
      <w:pPr>
        <w:widowControl w:val="0"/>
        <w:jc w:val="both"/>
        <w:rPr>
          <w:sz w:val="20"/>
          <w:szCs w:val="20"/>
          <w:lang w:val="fr-CA"/>
        </w:rPr>
      </w:pPr>
    </w:p>
    <w:p w:rsidR="00D365C9" w:rsidRPr="00C367E6" w:rsidRDefault="00D365C9" w:rsidP="00D365C9">
      <w:pPr>
        <w:widowControl w:val="0"/>
        <w:jc w:val="both"/>
        <w:rPr>
          <w:sz w:val="20"/>
          <w:szCs w:val="20"/>
          <w:lang w:val="fr-CA"/>
        </w:rPr>
      </w:pPr>
      <w:r w:rsidRPr="00C367E6">
        <w:rPr>
          <w:sz w:val="20"/>
          <w:szCs w:val="20"/>
          <w:lang w:val="fr-CA"/>
        </w:rPr>
        <w:t>Monsieur Lepine a été déclaré coupable d’agression sexuelle.  Dans son témoignage, la plaignante a affirmé qu’à son réveil, elle avait senti une main dans son pantalon et quelque chose en elle, et elle a affirmé que M. Lepine, qu’elle connaissait, était présent et qu’il s’excusait.  Monsieur Lepine a nié être présent et a fourni un alibi qui a été confirmé en grande partie.  Au procès, le ministère public a été autorisé à mettre en preuve le casier judiciaire au complet de M. Lepine.  Après la clôture de la preuve, mais avant les plaidoiries finales des avocats et l’exposé final de la juge du procès, le jury a demandé si [</w:t>
      </w:r>
      <w:r w:rsidRPr="00C367E6">
        <w:rPr>
          <w:smallCaps/>
          <w:sz w:val="20"/>
          <w:szCs w:val="20"/>
          <w:lang w:val="fr-CA"/>
        </w:rPr>
        <w:t>traduction</w:t>
      </w:r>
      <w:r w:rsidRPr="00C367E6">
        <w:rPr>
          <w:sz w:val="20"/>
          <w:szCs w:val="20"/>
          <w:lang w:val="fr-CA"/>
        </w:rPr>
        <w:t xml:space="preserve">] « dans une situation où la décision revient à une question de crédibilité, le manque de crédibilité de la défense suffisait à satisfaire le critère de la preuve hors de tout doute raisonnable ».  La juge du procès a dit au jury qu’elle allait répondre à la question lorsqu’elle lui donnerait son exposé final, même si elle a rappelé au jury qu’il ne pouvait pas arrêter ses opinions ou tirer de conclusions tant qu’il n’entendait pas toutes les plaidoiries finales des avocats et ses directives finales.  En appel de sa condamnation, M. Lepine a notamment plaidé que la juge du procès avait commis une erreur en ne répondant pas à la question au moment où elle avait été posée ou plus tard, pendant son exposé.  Les juges majoritaires de la Cour d’appel ont rejeté l’appel.  La juge Bielby, dissidente, aurait accueilli l’appel et ordonné un nouveau procès. </w:t>
      </w:r>
    </w:p>
    <w:p w:rsidR="00D365C9" w:rsidRPr="00C367E6" w:rsidRDefault="00D365C9" w:rsidP="00D365C9">
      <w:pPr>
        <w:widowControl w:val="0"/>
        <w:jc w:val="both"/>
        <w:rPr>
          <w:sz w:val="20"/>
          <w:szCs w:val="20"/>
          <w:lang w:val="fr-CA"/>
        </w:rPr>
      </w:pPr>
    </w:p>
    <w:p w:rsidR="00D365C9" w:rsidRPr="00C367E6" w:rsidRDefault="00D365C9" w:rsidP="00D365C9">
      <w:pPr>
        <w:widowControl w:val="0"/>
        <w:jc w:val="both"/>
        <w:rPr>
          <w:sz w:val="20"/>
          <w:szCs w:val="20"/>
          <w:lang w:val="fr-CA"/>
        </w:rPr>
      </w:pPr>
    </w:p>
    <w:p w:rsidR="00D365C9" w:rsidRPr="00C367E6" w:rsidRDefault="00D365C9" w:rsidP="00D365C9">
      <w:pPr>
        <w:widowControl w:val="0"/>
        <w:ind w:left="2880" w:hanging="2880"/>
        <w:jc w:val="both"/>
        <w:rPr>
          <w:sz w:val="20"/>
          <w:szCs w:val="20"/>
          <w:lang w:val="fr-CA"/>
        </w:rPr>
      </w:pPr>
      <w:r w:rsidRPr="00C367E6">
        <w:rPr>
          <w:sz w:val="20"/>
          <w:szCs w:val="20"/>
          <w:lang w:val="fr-CA"/>
        </w:rPr>
        <w:t>Origine :</w:t>
      </w:r>
      <w:r w:rsidRPr="00C367E6">
        <w:rPr>
          <w:sz w:val="20"/>
          <w:szCs w:val="20"/>
          <w:lang w:val="fr-CA"/>
        </w:rPr>
        <w:tab/>
        <w:t>Territoires-du-Nord-Ouest</w:t>
      </w:r>
    </w:p>
    <w:p w:rsidR="00D365C9" w:rsidRPr="00C367E6" w:rsidRDefault="00D365C9" w:rsidP="00D365C9">
      <w:pPr>
        <w:widowControl w:val="0"/>
        <w:ind w:left="2880" w:hanging="2880"/>
        <w:jc w:val="both"/>
        <w:rPr>
          <w:sz w:val="20"/>
          <w:szCs w:val="20"/>
          <w:lang w:val="fr-CA"/>
        </w:rPr>
      </w:pPr>
    </w:p>
    <w:p w:rsidR="00D365C9" w:rsidRPr="00C367E6" w:rsidRDefault="00D365C9" w:rsidP="00D365C9">
      <w:pPr>
        <w:widowControl w:val="0"/>
        <w:ind w:left="2880" w:hanging="2880"/>
        <w:jc w:val="both"/>
        <w:rPr>
          <w:sz w:val="20"/>
          <w:szCs w:val="20"/>
          <w:lang w:val="fr-CA"/>
        </w:rPr>
      </w:pPr>
      <w:r w:rsidRPr="00C367E6">
        <w:rPr>
          <w:sz w:val="20"/>
          <w:szCs w:val="20"/>
          <w:lang w:val="fr-CA"/>
        </w:rPr>
        <w:t>N</w:t>
      </w:r>
      <w:r w:rsidRPr="00C367E6">
        <w:rPr>
          <w:sz w:val="20"/>
          <w:szCs w:val="20"/>
          <w:vertAlign w:val="superscript"/>
          <w:lang w:val="fr-CA"/>
        </w:rPr>
        <w:t>o</w:t>
      </w:r>
      <w:r w:rsidRPr="00C367E6">
        <w:rPr>
          <w:sz w:val="20"/>
          <w:szCs w:val="20"/>
          <w:lang w:val="fr-CA"/>
        </w:rPr>
        <w:t xml:space="preserve"> du greffe :</w:t>
      </w:r>
      <w:r w:rsidRPr="00C367E6">
        <w:rPr>
          <w:sz w:val="20"/>
          <w:szCs w:val="20"/>
          <w:lang w:val="fr-CA"/>
        </w:rPr>
        <w:tab/>
        <w:t>35665</w:t>
      </w:r>
    </w:p>
    <w:p w:rsidR="00D365C9" w:rsidRPr="00C367E6" w:rsidRDefault="00D365C9" w:rsidP="00D365C9">
      <w:pPr>
        <w:widowControl w:val="0"/>
        <w:ind w:left="2880" w:hanging="2880"/>
        <w:jc w:val="both"/>
        <w:rPr>
          <w:sz w:val="20"/>
          <w:szCs w:val="20"/>
          <w:lang w:val="fr-CA"/>
        </w:rPr>
      </w:pPr>
    </w:p>
    <w:p w:rsidR="00D365C9" w:rsidRPr="00C367E6" w:rsidRDefault="00D365C9" w:rsidP="00D365C9">
      <w:pPr>
        <w:widowControl w:val="0"/>
        <w:ind w:left="2880" w:hanging="2880"/>
        <w:jc w:val="both"/>
        <w:rPr>
          <w:sz w:val="20"/>
          <w:szCs w:val="20"/>
          <w:lang w:val="fr-CA"/>
        </w:rPr>
      </w:pPr>
      <w:r w:rsidRPr="00C367E6">
        <w:rPr>
          <w:sz w:val="20"/>
          <w:szCs w:val="20"/>
          <w:lang w:val="fr-CA"/>
        </w:rPr>
        <w:t>Arrêt de la Cour d’appel :</w:t>
      </w:r>
      <w:r w:rsidRPr="00C367E6">
        <w:rPr>
          <w:sz w:val="20"/>
          <w:szCs w:val="20"/>
          <w:lang w:val="fr-CA"/>
        </w:rPr>
        <w:tab/>
        <w:t>le 25 novembre 2013</w:t>
      </w:r>
    </w:p>
    <w:p w:rsidR="00D365C9" w:rsidRPr="00C367E6" w:rsidRDefault="00D365C9" w:rsidP="00D365C9">
      <w:pPr>
        <w:widowControl w:val="0"/>
        <w:ind w:left="2880" w:hanging="2880"/>
        <w:jc w:val="both"/>
        <w:rPr>
          <w:sz w:val="20"/>
          <w:szCs w:val="20"/>
          <w:lang w:val="fr-CA"/>
        </w:rPr>
      </w:pPr>
    </w:p>
    <w:p w:rsidR="00D365C9" w:rsidRPr="00C367E6" w:rsidRDefault="00D365C9" w:rsidP="00D365C9">
      <w:pPr>
        <w:widowControl w:val="0"/>
        <w:ind w:left="2880" w:hanging="2880"/>
        <w:jc w:val="both"/>
        <w:rPr>
          <w:sz w:val="20"/>
          <w:szCs w:val="20"/>
          <w:lang w:val="fr-CA"/>
        </w:rPr>
      </w:pPr>
      <w:r w:rsidRPr="00C367E6">
        <w:rPr>
          <w:sz w:val="20"/>
          <w:szCs w:val="20"/>
          <w:lang w:val="fr-CA"/>
        </w:rPr>
        <w:t>Avocats :</w:t>
      </w:r>
      <w:r w:rsidRPr="00C367E6">
        <w:rPr>
          <w:sz w:val="20"/>
          <w:szCs w:val="20"/>
          <w:lang w:val="fr-CA"/>
        </w:rPr>
        <w:tab/>
        <w:t>Rod J. A. Gregory et Adam Y. Karbani pour l’appelant</w:t>
      </w:r>
    </w:p>
    <w:p w:rsidR="00D365C9" w:rsidRPr="00C367E6" w:rsidRDefault="00D365C9" w:rsidP="00D365C9">
      <w:pPr>
        <w:widowControl w:val="0"/>
        <w:ind w:left="2880" w:hanging="2880"/>
        <w:jc w:val="both"/>
        <w:rPr>
          <w:sz w:val="20"/>
          <w:szCs w:val="20"/>
          <w:lang w:val="fr-CA"/>
        </w:rPr>
      </w:pPr>
      <w:r w:rsidRPr="00C367E6">
        <w:rPr>
          <w:sz w:val="20"/>
          <w:szCs w:val="20"/>
          <w:lang w:val="fr-CA"/>
        </w:rPr>
        <w:tab/>
        <w:t>Susanne Boucher pour l’intimée</w:t>
      </w:r>
    </w:p>
    <w:p w:rsidR="004D6648" w:rsidRPr="00DD0B49" w:rsidRDefault="004D6648" w:rsidP="004D6648">
      <w:pPr>
        <w:tabs>
          <w:tab w:val="left" w:pos="-1440"/>
          <w:tab w:val="left" w:pos="-720"/>
        </w:tabs>
        <w:jc w:val="both"/>
        <w:rPr>
          <w:sz w:val="20"/>
          <w:szCs w:val="20"/>
          <w:lang w:val="fr-CA"/>
        </w:rPr>
      </w:pPr>
    </w:p>
    <w:p w:rsidR="004D6648" w:rsidRDefault="00215143" w:rsidP="004D6648">
      <w:pPr>
        <w:tabs>
          <w:tab w:val="left" w:pos="-1440"/>
          <w:tab w:val="left" w:pos="-720"/>
        </w:tabs>
        <w:jc w:val="both"/>
        <w:rPr>
          <w:sz w:val="20"/>
          <w:szCs w:val="20"/>
          <w:lang w:val="fr-CA"/>
        </w:rPr>
      </w:pPr>
      <w:r>
        <w:rPr>
          <w:sz w:val="20"/>
          <w:szCs w:val="20"/>
          <w:lang w:val="fr-CA"/>
        </w:rPr>
        <w:pict>
          <v:rect id="_x0000_i1122"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E2532F" w:rsidRPr="00821018" w:rsidRDefault="000944FD" w:rsidP="00E2532F">
      <w:pPr>
        <w:widowControl w:val="0"/>
        <w:ind w:left="720" w:hanging="720"/>
        <w:jc w:val="both"/>
        <w:rPr>
          <w:sz w:val="20"/>
          <w:szCs w:val="20"/>
        </w:rPr>
      </w:pPr>
      <w:r w:rsidRPr="00821018">
        <w:rPr>
          <w:b/>
          <w:sz w:val="20"/>
          <w:szCs w:val="20"/>
        </w:rPr>
        <w:lastRenderedPageBreak/>
        <w:fldChar w:fldCharType="begin"/>
      </w:r>
      <w:r w:rsidR="00E2532F" w:rsidRPr="00821018">
        <w:rPr>
          <w:b/>
          <w:sz w:val="20"/>
          <w:szCs w:val="20"/>
        </w:rPr>
        <w:instrText xml:space="preserve"> SEQ CHAPTER \h \r 1</w:instrText>
      </w:r>
      <w:r w:rsidRPr="00821018">
        <w:rPr>
          <w:b/>
          <w:sz w:val="20"/>
          <w:szCs w:val="20"/>
        </w:rPr>
        <w:fldChar w:fldCharType="end"/>
      </w:r>
      <w:r w:rsidR="00E2532F" w:rsidRPr="00821018">
        <w:rPr>
          <w:b/>
          <w:sz w:val="20"/>
          <w:szCs w:val="20"/>
        </w:rPr>
        <w:t>35669</w:t>
      </w:r>
      <w:r w:rsidR="00E2532F" w:rsidRPr="00821018">
        <w:rPr>
          <w:sz w:val="20"/>
          <w:szCs w:val="20"/>
        </w:rPr>
        <w:tab/>
      </w:r>
      <w:r w:rsidR="00E2532F" w:rsidRPr="00821018">
        <w:rPr>
          <w:b/>
          <w:i/>
          <w:sz w:val="20"/>
          <w:szCs w:val="20"/>
        </w:rPr>
        <w:t>Her Majesty the Queen v. Nahoor Araya</w:t>
      </w:r>
    </w:p>
    <w:p w:rsidR="00E2532F" w:rsidRPr="00821018" w:rsidRDefault="00E2532F" w:rsidP="00E2532F">
      <w:pPr>
        <w:widowControl w:val="0"/>
        <w:jc w:val="both"/>
        <w:rPr>
          <w:sz w:val="20"/>
          <w:szCs w:val="20"/>
        </w:rPr>
      </w:pPr>
    </w:p>
    <w:p w:rsidR="00E2532F" w:rsidRPr="00821018" w:rsidRDefault="00E2532F" w:rsidP="00E2532F">
      <w:pPr>
        <w:widowControl w:val="0"/>
        <w:jc w:val="both"/>
        <w:rPr>
          <w:sz w:val="20"/>
          <w:szCs w:val="20"/>
        </w:rPr>
      </w:pPr>
      <w:r w:rsidRPr="00821018">
        <w:rPr>
          <w:sz w:val="20"/>
          <w:szCs w:val="20"/>
        </w:rPr>
        <w:t>Criminal law - Evidence - Identity - Charge to jury - Whether the trial judge misdirected the jury on the use it could make of certain photographs of the respondent.</w:t>
      </w:r>
    </w:p>
    <w:p w:rsidR="00E2532F" w:rsidRPr="00821018" w:rsidRDefault="00E2532F" w:rsidP="00E2532F">
      <w:pPr>
        <w:widowControl w:val="0"/>
        <w:jc w:val="both"/>
        <w:rPr>
          <w:sz w:val="20"/>
          <w:szCs w:val="20"/>
        </w:rPr>
      </w:pPr>
    </w:p>
    <w:p w:rsidR="00E2532F" w:rsidRPr="00821018" w:rsidRDefault="00E2532F" w:rsidP="00E2532F">
      <w:pPr>
        <w:widowControl w:val="0"/>
        <w:jc w:val="both"/>
        <w:rPr>
          <w:sz w:val="20"/>
          <w:szCs w:val="20"/>
        </w:rPr>
      </w:pPr>
      <w:r w:rsidRPr="00821018">
        <w:rPr>
          <w:sz w:val="20"/>
          <w:szCs w:val="20"/>
        </w:rPr>
        <w:t xml:space="preserve">The respondent, Mr. Araya, was convicted of manslaughter.  The victim was shot while socializing with some friends in a Toronto park.  According to witnesses, a group of three or four black men approached the victim and his friends and tried to rob some of them.  The victim resisted when they tried to take his backpack and, in response, he tasered one of the robbers.  When the robbers fled, the victim followed them, and was shot.  The Crown conceded that Mr. Araya was not the shooter because he did not meet the description given by witnesses.  In addition, Mr. Araya was not identified as being in the park on the night in question, nor was he identified at trial or in any pre-trial identification procedure.  Mr. Araya also testified that he had not been present that night, did not know who was involved and had nothing to do with it.  The Crown relied heavily on the testimony of one of Mr. Araya’s teachers who said Mr. Araya had come to him for advice, admitting he had been in the park at the time of the shooting but was not involved and did not have a gun.  At trial, the Crown was permitted to introduce two photographs of Mr. Araya taken at the time of his arrest, five days after the shooting.  The jury was told it could consider Mr. Araya’s appearance in those photos as a piece of circumstantial evidence that he was in the park on the evening of the shooting.  On appeal, Mr. Araya argued that the photographs should not have been admitted, and even if they were properly admitted, the trial judge erred in his jury instructions with respect to them.  A majority of the Court of Appeal allowed the appeal on the basis that, while the photographs were properly admitted, the trial judge did not clearly tell the jury that if it found that Mr. Araya’s appearance in the photographs fit the generic eyewitness descriptions, it could not conclude from that comparison that Mr. Araya was one of the robbers in the park, and that all it could conclude was that he fit within the class of people that shared those vague general physical characteristics.  Strathy J.A., dissenting, would have dismissed the appeal, finding that the jury had been properly instructed. </w:t>
      </w:r>
    </w:p>
    <w:p w:rsidR="00E2532F" w:rsidRPr="00821018" w:rsidRDefault="00E2532F" w:rsidP="00E2532F">
      <w:pPr>
        <w:widowControl w:val="0"/>
        <w:jc w:val="both"/>
        <w:rPr>
          <w:sz w:val="20"/>
          <w:szCs w:val="20"/>
        </w:rPr>
      </w:pPr>
    </w:p>
    <w:p w:rsidR="00E2532F" w:rsidRPr="00821018" w:rsidRDefault="00E2532F" w:rsidP="00E2532F">
      <w:pPr>
        <w:widowControl w:val="0"/>
        <w:jc w:val="both"/>
        <w:rPr>
          <w:sz w:val="20"/>
          <w:szCs w:val="20"/>
        </w:rPr>
      </w:pPr>
    </w:p>
    <w:p w:rsidR="00E2532F" w:rsidRPr="00821018" w:rsidRDefault="00E2532F" w:rsidP="00E2532F">
      <w:pPr>
        <w:widowControl w:val="0"/>
        <w:ind w:left="2880" w:hanging="2880"/>
        <w:jc w:val="both"/>
        <w:rPr>
          <w:sz w:val="20"/>
          <w:szCs w:val="20"/>
        </w:rPr>
      </w:pPr>
      <w:r w:rsidRPr="00821018">
        <w:rPr>
          <w:sz w:val="20"/>
          <w:szCs w:val="20"/>
        </w:rPr>
        <w:t>Origin of the case:</w:t>
      </w:r>
      <w:r w:rsidRPr="00821018">
        <w:rPr>
          <w:sz w:val="20"/>
          <w:szCs w:val="20"/>
        </w:rPr>
        <w:tab/>
        <w:t>Ontario</w:t>
      </w:r>
    </w:p>
    <w:p w:rsidR="00E2532F" w:rsidRPr="00821018" w:rsidRDefault="00E2532F" w:rsidP="00E2532F">
      <w:pPr>
        <w:widowControl w:val="0"/>
        <w:ind w:left="2880" w:hanging="2880"/>
        <w:jc w:val="both"/>
        <w:rPr>
          <w:sz w:val="20"/>
          <w:szCs w:val="20"/>
        </w:rPr>
      </w:pPr>
    </w:p>
    <w:p w:rsidR="00E2532F" w:rsidRPr="00821018" w:rsidRDefault="00E2532F" w:rsidP="00E2532F">
      <w:pPr>
        <w:widowControl w:val="0"/>
        <w:ind w:left="2880" w:hanging="2880"/>
        <w:jc w:val="both"/>
        <w:rPr>
          <w:sz w:val="20"/>
          <w:szCs w:val="20"/>
        </w:rPr>
      </w:pPr>
      <w:r w:rsidRPr="00821018">
        <w:rPr>
          <w:sz w:val="20"/>
          <w:szCs w:val="20"/>
        </w:rPr>
        <w:t>File No.:</w:t>
      </w:r>
      <w:r w:rsidRPr="00821018">
        <w:rPr>
          <w:sz w:val="20"/>
          <w:szCs w:val="20"/>
        </w:rPr>
        <w:tab/>
        <w:t>35669</w:t>
      </w:r>
    </w:p>
    <w:p w:rsidR="00E2532F" w:rsidRPr="00821018" w:rsidRDefault="00E2532F" w:rsidP="00E2532F">
      <w:pPr>
        <w:widowControl w:val="0"/>
        <w:ind w:left="2880" w:hanging="2880"/>
        <w:jc w:val="both"/>
        <w:rPr>
          <w:sz w:val="20"/>
          <w:szCs w:val="20"/>
        </w:rPr>
      </w:pPr>
    </w:p>
    <w:p w:rsidR="00E2532F" w:rsidRPr="00821018" w:rsidRDefault="00E2532F" w:rsidP="00E2532F">
      <w:pPr>
        <w:widowControl w:val="0"/>
        <w:ind w:left="2880" w:hanging="2880"/>
        <w:jc w:val="both"/>
        <w:rPr>
          <w:sz w:val="20"/>
          <w:szCs w:val="20"/>
        </w:rPr>
      </w:pPr>
      <w:r w:rsidRPr="00821018">
        <w:rPr>
          <w:sz w:val="20"/>
          <w:szCs w:val="20"/>
        </w:rPr>
        <w:t>Judgment of the Court of Appeal:</w:t>
      </w:r>
      <w:r w:rsidRPr="00821018">
        <w:rPr>
          <w:sz w:val="20"/>
          <w:szCs w:val="20"/>
        </w:rPr>
        <w:tab/>
        <w:t>December 5, 2013</w:t>
      </w:r>
    </w:p>
    <w:p w:rsidR="00E2532F" w:rsidRPr="00821018" w:rsidRDefault="00E2532F" w:rsidP="00E2532F">
      <w:pPr>
        <w:widowControl w:val="0"/>
        <w:ind w:left="2880" w:hanging="2880"/>
        <w:jc w:val="both"/>
        <w:rPr>
          <w:sz w:val="20"/>
          <w:szCs w:val="20"/>
        </w:rPr>
      </w:pPr>
    </w:p>
    <w:p w:rsidR="00E2532F" w:rsidRPr="00821018" w:rsidRDefault="00E2532F" w:rsidP="00E2532F">
      <w:pPr>
        <w:widowControl w:val="0"/>
        <w:ind w:left="2880" w:hanging="2880"/>
        <w:jc w:val="both"/>
        <w:rPr>
          <w:sz w:val="20"/>
          <w:szCs w:val="20"/>
        </w:rPr>
      </w:pPr>
      <w:r w:rsidRPr="00821018">
        <w:rPr>
          <w:sz w:val="20"/>
          <w:szCs w:val="20"/>
        </w:rPr>
        <w:t>Counsel:</w:t>
      </w:r>
      <w:r w:rsidRPr="00821018">
        <w:rPr>
          <w:sz w:val="20"/>
          <w:szCs w:val="20"/>
        </w:rPr>
        <w:tab/>
        <w:t>Michael Bernstein for the appellant</w:t>
      </w:r>
    </w:p>
    <w:p w:rsidR="00E2532F" w:rsidRPr="00821018" w:rsidRDefault="00E2532F" w:rsidP="00E2532F">
      <w:pPr>
        <w:widowControl w:val="0"/>
        <w:ind w:left="2880" w:hanging="2880"/>
        <w:jc w:val="both"/>
        <w:rPr>
          <w:sz w:val="20"/>
          <w:szCs w:val="20"/>
        </w:rPr>
      </w:pPr>
      <w:r w:rsidRPr="00821018">
        <w:rPr>
          <w:sz w:val="20"/>
          <w:szCs w:val="20"/>
        </w:rPr>
        <w:tab/>
        <w:t>Michael Lacy for the respondent</w:t>
      </w:r>
    </w:p>
    <w:p w:rsidR="004D6648" w:rsidRPr="00DE16E8" w:rsidRDefault="004D6648" w:rsidP="004D6648">
      <w:pPr>
        <w:tabs>
          <w:tab w:val="left" w:pos="-1440"/>
          <w:tab w:val="left" w:pos="-720"/>
        </w:tabs>
        <w:jc w:val="both"/>
        <w:rPr>
          <w:sz w:val="20"/>
          <w:szCs w:val="20"/>
        </w:rPr>
      </w:pPr>
    </w:p>
    <w:p w:rsidR="004D6648" w:rsidRDefault="00215143" w:rsidP="004D6648">
      <w:pPr>
        <w:tabs>
          <w:tab w:val="left" w:pos="-1440"/>
          <w:tab w:val="left" w:pos="-720"/>
        </w:tabs>
        <w:jc w:val="both"/>
        <w:rPr>
          <w:sz w:val="20"/>
          <w:szCs w:val="20"/>
          <w:lang w:val="fr-CA"/>
        </w:rPr>
      </w:pPr>
      <w:r>
        <w:rPr>
          <w:sz w:val="20"/>
          <w:szCs w:val="20"/>
          <w:lang w:val="fr-CA"/>
        </w:rPr>
        <w:pict>
          <v:rect id="_x0000_i1123"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E2532F" w:rsidRPr="001F36E7" w:rsidRDefault="000944FD" w:rsidP="00E2532F">
      <w:pPr>
        <w:widowControl w:val="0"/>
        <w:ind w:left="720" w:hanging="720"/>
        <w:jc w:val="both"/>
        <w:rPr>
          <w:sz w:val="20"/>
          <w:szCs w:val="20"/>
          <w:lang w:val="fr-CA"/>
        </w:rPr>
      </w:pPr>
      <w:r w:rsidRPr="001F36E7">
        <w:rPr>
          <w:b/>
          <w:sz w:val="20"/>
          <w:szCs w:val="20"/>
        </w:rPr>
        <w:lastRenderedPageBreak/>
        <w:fldChar w:fldCharType="begin"/>
      </w:r>
      <w:r w:rsidR="00E2532F" w:rsidRPr="001F36E7">
        <w:rPr>
          <w:b/>
          <w:sz w:val="20"/>
          <w:szCs w:val="20"/>
          <w:lang w:val="fr-CA"/>
        </w:rPr>
        <w:instrText xml:space="preserve"> SEQ CHAPTER \h \r 1</w:instrText>
      </w:r>
      <w:r w:rsidRPr="001F36E7">
        <w:rPr>
          <w:b/>
          <w:sz w:val="20"/>
          <w:szCs w:val="20"/>
        </w:rPr>
        <w:fldChar w:fldCharType="end"/>
      </w:r>
      <w:r w:rsidR="00E2532F" w:rsidRPr="001F36E7">
        <w:rPr>
          <w:b/>
          <w:sz w:val="20"/>
          <w:szCs w:val="20"/>
          <w:lang w:val="fr-CA"/>
        </w:rPr>
        <w:t>35669</w:t>
      </w:r>
      <w:r w:rsidR="00E2532F" w:rsidRPr="001F36E7">
        <w:rPr>
          <w:sz w:val="20"/>
          <w:szCs w:val="20"/>
          <w:lang w:val="fr-CA"/>
        </w:rPr>
        <w:tab/>
      </w:r>
      <w:r w:rsidR="00E2532F" w:rsidRPr="001F36E7">
        <w:rPr>
          <w:b/>
          <w:i/>
          <w:sz w:val="20"/>
          <w:szCs w:val="20"/>
          <w:lang w:val="fr-CA"/>
        </w:rPr>
        <w:t>Sa Majesté la Reine c. Nahoor Araya</w:t>
      </w:r>
    </w:p>
    <w:p w:rsidR="00E2532F" w:rsidRPr="001F36E7" w:rsidRDefault="00E2532F" w:rsidP="00E2532F">
      <w:pPr>
        <w:widowControl w:val="0"/>
        <w:jc w:val="both"/>
        <w:rPr>
          <w:sz w:val="20"/>
          <w:szCs w:val="20"/>
          <w:lang w:val="fr-CA"/>
        </w:rPr>
      </w:pPr>
    </w:p>
    <w:p w:rsidR="00E2532F" w:rsidRPr="001F36E7" w:rsidRDefault="00E2532F" w:rsidP="00E2532F">
      <w:pPr>
        <w:widowControl w:val="0"/>
        <w:jc w:val="both"/>
        <w:rPr>
          <w:sz w:val="20"/>
          <w:szCs w:val="20"/>
          <w:lang w:val="fr-CA"/>
        </w:rPr>
      </w:pPr>
      <w:r w:rsidRPr="001F36E7">
        <w:rPr>
          <w:sz w:val="20"/>
          <w:szCs w:val="20"/>
          <w:lang w:val="fr-CA"/>
        </w:rPr>
        <w:t>Droit criminel - Preuve - Identité - Exposé au jury - Le juge du procès a-t-il donné au jury des directives erronées sur l’utilisation qu’il pouvait faire de certaines photographies de l’intimé?</w:t>
      </w:r>
    </w:p>
    <w:p w:rsidR="00E2532F" w:rsidRPr="001F36E7" w:rsidRDefault="00E2532F" w:rsidP="00E2532F">
      <w:pPr>
        <w:widowControl w:val="0"/>
        <w:jc w:val="both"/>
        <w:rPr>
          <w:sz w:val="20"/>
          <w:szCs w:val="20"/>
          <w:lang w:val="fr-CA"/>
        </w:rPr>
      </w:pPr>
    </w:p>
    <w:p w:rsidR="00E2532F" w:rsidRPr="001F36E7" w:rsidRDefault="00E2532F" w:rsidP="00E2532F">
      <w:pPr>
        <w:widowControl w:val="0"/>
        <w:jc w:val="both"/>
        <w:rPr>
          <w:sz w:val="20"/>
          <w:szCs w:val="20"/>
          <w:lang w:val="fr-CA"/>
        </w:rPr>
      </w:pPr>
      <w:r w:rsidRPr="001F36E7">
        <w:rPr>
          <w:sz w:val="20"/>
          <w:szCs w:val="20"/>
          <w:lang w:val="fr-CA"/>
        </w:rPr>
        <w:t xml:space="preserve">L’intimé, M. Araya, a été déclaré coupable d’homicide involontaire coupable.  La victime a été abattue alors qu’elle bavardait avec quelques amis dans un parc de Toronto.  Selon des témoins, un groupe de trois ou quatre hommes de race noire se sont approchés de la victime et de ses amis et ont essayé de détrousser certains d’entre eux.  La victime a résisté lorsqu’ils ont essayé de lui prendre son sac à dos et a infligé une décharge de pistolet paralysant à un des voleurs.  Elle a suivi les voleurs en fuite et a été abattue.  Le ministère public a reconnu que M. Araya n’était pas le tireur parce qu’il ne correspondait pas à la description donnée par les témoins.  En outre, personne n’a dit que M. Araya se trouvait dans le parc la nuit en question et il n’a pas été non plus identifié au procès, ni lors d’une procédure d’identification préalable au procès.  Qui plus est, M. Araya a témoigné qu’il n’était pas sur les lieux cette nuit-là, ne connaissait pas l’identité des personnes impliquées et n’avait rien à voir avec cet incident.  Le ministère public s’est fortement appuyé sur le témoignage d’un enseignant de M. Araya qui a dit que ce dernier était venu lui demander conseil et avait avoué être dans le parc au moment où le coup de feu a été tiré, mais qu’il n’avait pas participé à cet homicide et n’avait pas de pistolet.  Le ministère public a été autorisé au procès à produire en preuve deux photographies de M. Araya prises lors de son arrestation, cinq jours après le coup de feu.  On a dit au jury qu’il pouvait considérer la présence de M. Araya sur ces photos comme un élément de preuve circonstancielle établissant que M. Araya se trouvait dans le parc le soir du coup de feu.  En appel, M. Araya a plaidé que les photos n’auraient pas dû être admises en preuve et que, même si elles avaient été admises avec raison, le juge du procès a commis une erreur dans ses directives au jury à leur sujet.  Les juges majoritaires de la Cour d’appel ont fait droit à l’appel, car, bien que les photos aient été admises à juste titre, le juge du procès n’avait pas clairement dit au jury que, s’il était d’avis que l’apparence de M. Araya sur les photos correspondait aux descriptions générales des témoins oculaires, il ne pouvait pas conclure de cette comparaison que M. Araya était un des voleurs dans le parc et que tout ce qu’il pouvait conclure, c’était que M. Araya faisait partie des personnes partageant ces caractéristiques physiques vagues et générales.  Le juge Strathy, dissident, aurait rejeté l’appel, estimant que le jury avait reçu des directives appropriées. </w:t>
      </w:r>
    </w:p>
    <w:p w:rsidR="00E2532F" w:rsidRPr="001F36E7" w:rsidRDefault="00E2532F" w:rsidP="00E2532F">
      <w:pPr>
        <w:widowControl w:val="0"/>
        <w:jc w:val="both"/>
        <w:rPr>
          <w:sz w:val="20"/>
          <w:szCs w:val="20"/>
          <w:lang w:val="fr-CA"/>
        </w:rPr>
      </w:pPr>
    </w:p>
    <w:p w:rsidR="00E2532F" w:rsidRPr="001F36E7" w:rsidRDefault="00E2532F" w:rsidP="00E2532F">
      <w:pPr>
        <w:widowControl w:val="0"/>
        <w:jc w:val="both"/>
        <w:rPr>
          <w:sz w:val="20"/>
          <w:szCs w:val="20"/>
          <w:lang w:val="fr-CA"/>
        </w:rPr>
      </w:pPr>
    </w:p>
    <w:p w:rsidR="00E2532F" w:rsidRPr="001F36E7" w:rsidRDefault="00E2532F" w:rsidP="00E2532F">
      <w:pPr>
        <w:widowControl w:val="0"/>
        <w:ind w:left="2880" w:hanging="2880"/>
        <w:jc w:val="both"/>
        <w:rPr>
          <w:sz w:val="20"/>
          <w:szCs w:val="20"/>
          <w:lang w:val="fr-CA"/>
        </w:rPr>
      </w:pPr>
      <w:r w:rsidRPr="001F36E7">
        <w:rPr>
          <w:sz w:val="20"/>
          <w:szCs w:val="20"/>
          <w:lang w:val="fr-CA"/>
        </w:rPr>
        <w:t>Origine :</w:t>
      </w:r>
      <w:r w:rsidRPr="001F36E7">
        <w:rPr>
          <w:sz w:val="20"/>
          <w:szCs w:val="20"/>
          <w:lang w:val="fr-CA"/>
        </w:rPr>
        <w:tab/>
        <w:t>Ontario</w:t>
      </w:r>
    </w:p>
    <w:p w:rsidR="00E2532F" w:rsidRPr="001F36E7" w:rsidRDefault="00E2532F" w:rsidP="00E2532F">
      <w:pPr>
        <w:widowControl w:val="0"/>
        <w:ind w:left="2880" w:hanging="2880"/>
        <w:jc w:val="both"/>
        <w:rPr>
          <w:sz w:val="20"/>
          <w:szCs w:val="20"/>
          <w:lang w:val="fr-CA"/>
        </w:rPr>
      </w:pPr>
    </w:p>
    <w:p w:rsidR="00E2532F" w:rsidRPr="001F36E7" w:rsidRDefault="00E2532F" w:rsidP="00E2532F">
      <w:pPr>
        <w:widowControl w:val="0"/>
        <w:ind w:left="2880" w:hanging="2880"/>
        <w:jc w:val="both"/>
        <w:rPr>
          <w:sz w:val="20"/>
          <w:szCs w:val="20"/>
          <w:lang w:val="fr-CA"/>
        </w:rPr>
      </w:pPr>
      <w:r w:rsidRPr="001F36E7">
        <w:rPr>
          <w:sz w:val="20"/>
          <w:szCs w:val="20"/>
          <w:lang w:val="fr-CA"/>
        </w:rPr>
        <w:t>N</w:t>
      </w:r>
      <w:r w:rsidRPr="001F36E7">
        <w:rPr>
          <w:sz w:val="20"/>
          <w:szCs w:val="20"/>
          <w:vertAlign w:val="superscript"/>
          <w:lang w:val="fr-CA"/>
        </w:rPr>
        <w:t>o</w:t>
      </w:r>
      <w:r w:rsidRPr="001F36E7">
        <w:rPr>
          <w:sz w:val="20"/>
          <w:szCs w:val="20"/>
          <w:lang w:val="fr-CA"/>
        </w:rPr>
        <w:t xml:space="preserve"> du greffe :</w:t>
      </w:r>
      <w:r w:rsidRPr="001F36E7">
        <w:rPr>
          <w:sz w:val="20"/>
          <w:szCs w:val="20"/>
          <w:lang w:val="fr-CA"/>
        </w:rPr>
        <w:tab/>
        <w:t>35669</w:t>
      </w:r>
    </w:p>
    <w:p w:rsidR="00E2532F" w:rsidRPr="001F36E7" w:rsidRDefault="00E2532F" w:rsidP="00E2532F">
      <w:pPr>
        <w:widowControl w:val="0"/>
        <w:ind w:left="2880" w:hanging="2880"/>
        <w:jc w:val="both"/>
        <w:rPr>
          <w:sz w:val="20"/>
          <w:szCs w:val="20"/>
          <w:lang w:val="fr-CA"/>
        </w:rPr>
      </w:pPr>
    </w:p>
    <w:p w:rsidR="00E2532F" w:rsidRPr="001F36E7" w:rsidRDefault="00E2532F" w:rsidP="00E2532F">
      <w:pPr>
        <w:widowControl w:val="0"/>
        <w:ind w:left="2880" w:hanging="2880"/>
        <w:jc w:val="both"/>
        <w:rPr>
          <w:sz w:val="20"/>
          <w:szCs w:val="20"/>
          <w:lang w:val="fr-CA"/>
        </w:rPr>
      </w:pPr>
      <w:r w:rsidRPr="001F36E7">
        <w:rPr>
          <w:sz w:val="20"/>
          <w:szCs w:val="20"/>
          <w:lang w:val="fr-CA"/>
        </w:rPr>
        <w:t>Arrêt de la Cour d’appel :</w:t>
      </w:r>
      <w:r w:rsidRPr="001F36E7">
        <w:rPr>
          <w:sz w:val="20"/>
          <w:szCs w:val="20"/>
          <w:lang w:val="fr-CA"/>
        </w:rPr>
        <w:tab/>
        <w:t>le 5 décembre 2013</w:t>
      </w:r>
    </w:p>
    <w:p w:rsidR="00E2532F" w:rsidRPr="001F36E7" w:rsidRDefault="00E2532F" w:rsidP="00E2532F">
      <w:pPr>
        <w:widowControl w:val="0"/>
        <w:ind w:left="2880" w:hanging="2880"/>
        <w:jc w:val="both"/>
        <w:rPr>
          <w:sz w:val="20"/>
          <w:szCs w:val="20"/>
          <w:lang w:val="fr-CA"/>
        </w:rPr>
      </w:pPr>
    </w:p>
    <w:p w:rsidR="00E2532F" w:rsidRPr="001F36E7" w:rsidRDefault="00E2532F" w:rsidP="00E2532F">
      <w:pPr>
        <w:widowControl w:val="0"/>
        <w:ind w:left="2880" w:hanging="2880"/>
        <w:jc w:val="both"/>
        <w:rPr>
          <w:sz w:val="20"/>
          <w:szCs w:val="20"/>
          <w:lang w:val="fr-CA"/>
        </w:rPr>
      </w:pPr>
      <w:r w:rsidRPr="001F36E7">
        <w:rPr>
          <w:sz w:val="20"/>
          <w:szCs w:val="20"/>
          <w:lang w:val="fr-CA"/>
        </w:rPr>
        <w:t>Avocats :</w:t>
      </w:r>
      <w:r w:rsidRPr="001F36E7">
        <w:rPr>
          <w:sz w:val="20"/>
          <w:szCs w:val="20"/>
          <w:lang w:val="fr-CA"/>
        </w:rPr>
        <w:tab/>
        <w:t>Michael Bernstein pour l’appelante</w:t>
      </w:r>
    </w:p>
    <w:p w:rsidR="00E2532F" w:rsidRPr="001F36E7" w:rsidRDefault="00E2532F" w:rsidP="00E2532F">
      <w:pPr>
        <w:widowControl w:val="0"/>
        <w:ind w:left="2880" w:hanging="2880"/>
        <w:jc w:val="both"/>
        <w:rPr>
          <w:sz w:val="20"/>
          <w:szCs w:val="20"/>
          <w:lang w:val="fr-CA"/>
        </w:rPr>
      </w:pPr>
      <w:r w:rsidRPr="001F36E7">
        <w:rPr>
          <w:sz w:val="20"/>
          <w:szCs w:val="20"/>
          <w:lang w:val="fr-CA"/>
        </w:rPr>
        <w:tab/>
        <w:t>Michael Lacy pour l’intimé</w:t>
      </w:r>
    </w:p>
    <w:p w:rsidR="004D6648" w:rsidRPr="00DD0B49" w:rsidRDefault="004D6648" w:rsidP="004D6648">
      <w:pPr>
        <w:tabs>
          <w:tab w:val="left" w:pos="-1440"/>
          <w:tab w:val="left" w:pos="-720"/>
        </w:tabs>
        <w:jc w:val="both"/>
        <w:rPr>
          <w:sz w:val="20"/>
          <w:szCs w:val="20"/>
          <w:lang w:val="fr-CA"/>
        </w:rPr>
      </w:pPr>
    </w:p>
    <w:p w:rsidR="004D6648" w:rsidRDefault="00215143" w:rsidP="004D6648">
      <w:pPr>
        <w:tabs>
          <w:tab w:val="left" w:pos="-1440"/>
          <w:tab w:val="left" w:pos="-720"/>
        </w:tabs>
        <w:jc w:val="both"/>
        <w:rPr>
          <w:sz w:val="20"/>
          <w:szCs w:val="20"/>
          <w:lang w:val="fr-CA"/>
        </w:rPr>
      </w:pPr>
      <w:r>
        <w:rPr>
          <w:sz w:val="20"/>
          <w:szCs w:val="20"/>
          <w:lang w:val="fr-CA"/>
        </w:rPr>
        <w:pict>
          <v:rect id="_x0000_i1124" style="width:2in;height:1pt" o:hrpct="0" o:hralign="center" o:hrstd="t" o:hrnoshade="t" o:hr="t" fillcolor="black [3213]" stroked="f"/>
        </w:pict>
      </w:r>
    </w:p>
    <w:p w:rsidR="004D6648" w:rsidRDefault="004D6648" w:rsidP="004D6648">
      <w:pPr>
        <w:tabs>
          <w:tab w:val="left" w:pos="-1440"/>
          <w:tab w:val="left" w:pos="-720"/>
        </w:tabs>
        <w:jc w:val="both"/>
        <w:rPr>
          <w:sz w:val="20"/>
          <w:szCs w:val="20"/>
          <w:lang w:val="fr-CA"/>
        </w:rPr>
      </w:pPr>
    </w:p>
    <w:p w:rsidR="006A6E04" w:rsidRDefault="006A6E04">
      <w:pPr>
        <w:rPr>
          <w:sz w:val="20"/>
          <w:szCs w:val="20"/>
          <w:lang w:val="fr-CA"/>
        </w:rPr>
      </w:pPr>
    </w:p>
    <w:p w:rsidR="006A6E04" w:rsidRDefault="006A6E04">
      <w:pPr>
        <w:rPr>
          <w:sz w:val="20"/>
          <w:szCs w:val="20"/>
          <w:lang w:val="fr-CA"/>
        </w:rPr>
      </w:pPr>
      <w:r>
        <w:rPr>
          <w:sz w:val="20"/>
          <w:szCs w:val="20"/>
          <w:lang w:val="fr-CA"/>
        </w:rPr>
        <w:br w:type="page"/>
      </w:r>
    </w:p>
    <w:p w:rsidR="00E24237" w:rsidRPr="00E24237" w:rsidRDefault="00E24237" w:rsidP="00E24237">
      <w:pPr>
        <w:ind w:left="720" w:hanging="720"/>
        <w:jc w:val="both"/>
        <w:rPr>
          <w:sz w:val="20"/>
          <w:szCs w:val="20"/>
        </w:rPr>
      </w:pPr>
      <w:r w:rsidRPr="00E24237">
        <w:rPr>
          <w:b/>
          <w:sz w:val="20"/>
          <w:szCs w:val="20"/>
        </w:rPr>
        <w:lastRenderedPageBreak/>
        <w:t>35795</w:t>
      </w:r>
      <w:r w:rsidRPr="00E24237">
        <w:rPr>
          <w:b/>
          <w:sz w:val="20"/>
          <w:szCs w:val="20"/>
        </w:rPr>
        <w:tab/>
      </w:r>
      <w:r w:rsidRPr="00E24237">
        <w:rPr>
          <w:b/>
          <w:i/>
          <w:sz w:val="20"/>
          <w:szCs w:val="20"/>
        </w:rPr>
        <w:t>Timothy Lee Felger v. Her Majesty the Queen</w:t>
      </w:r>
      <w:r>
        <w:rPr>
          <w:sz w:val="20"/>
          <w:szCs w:val="20"/>
        </w:rPr>
        <w:t xml:space="preserve"> </w:t>
      </w:r>
      <w:r w:rsidRPr="00E24237">
        <w:rPr>
          <w:sz w:val="20"/>
          <w:szCs w:val="20"/>
        </w:rPr>
        <w:t>(B.C.) (Criminal) (By Leave)</w:t>
      </w:r>
    </w:p>
    <w:p w:rsidR="00E24237" w:rsidRPr="00E24237" w:rsidRDefault="00E24237" w:rsidP="00E24237">
      <w:pPr>
        <w:tabs>
          <w:tab w:val="left" w:pos="-1440"/>
          <w:tab w:val="left" w:pos="-720"/>
        </w:tabs>
        <w:jc w:val="both"/>
        <w:rPr>
          <w:sz w:val="20"/>
          <w:szCs w:val="20"/>
        </w:rPr>
      </w:pPr>
    </w:p>
    <w:p w:rsidR="004D6648" w:rsidRDefault="00E24237" w:rsidP="00E24237">
      <w:pPr>
        <w:tabs>
          <w:tab w:val="left" w:pos="-1440"/>
          <w:tab w:val="left" w:pos="-720"/>
        </w:tabs>
        <w:jc w:val="both"/>
        <w:rPr>
          <w:sz w:val="20"/>
          <w:szCs w:val="20"/>
        </w:rPr>
      </w:pPr>
      <w:r w:rsidRPr="00E24237">
        <w:rPr>
          <w:sz w:val="20"/>
          <w:szCs w:val="20"/>
        </w:rPr>
        <w:t xml:space="preserve">Charter of Rights and Freedoms </w:t>
      </w:r>
      <w:r w:rsidR="00360261" w:rsidRPr="00360261">
        <w:rPr>
          <w:sz w:val="20"/>
          <w:szCs w:val="20"/>
        </w:rPr>
        <w:t>-</w:t>
      </w:r>
      <w:r w:rsidRPr="00E24237">
        <w:rPr>
          <w:sz w:val="20"/>
          <w:szCs w:val="20"/>
        </w:rPr>
        <w:t xml:space="preserve"> Search and Seizure </w:t>
      </w:r>
      <w:r w:rsidR="00360261" w:rsidRPr="00360261">
        <w:rPr>
          <w:sz w:val="20"/>
          <w:szCs w:val="20"/>
        </w:rPr>
        <w:t>-</w:t>
      </w:r>
      <w:r w:rsidRPr="00E24237">
        <w:rPr>
          <w:sz w:val="20"/>
          <w:szCs w:val="20"/>
        </w:rPr>
        <w:t xml:space="preserve"> Section 8 of the Charter </w:t>
      </w:r>
      <w:r w:rsidR="00360261" w:rsidRPr="00360261">
        <w:rPr>
          <w:sz w:val="20"/>
          <w:szCs w:val="20"/>
        </w:rPr>
        <w:t>-</w:t>
      </w:r>
      <w:r w:rsidRPr="00E24237">
        <w:rPr>
          <w:sz w:val="20"/>
          <w:szCs w:val="20"/>
        </w:rPr>
        <w:t xml:space="preserve"> Criminal law </w:t>
      </w:r>
      <w:r w:rsidR="00360261" w:rsidRPr="00360261">
        <w:rPr>
          <w:sz w:val="20"/>
          <w:szCs w:val="20"/>
        </w:rPr>
        <w:t>-</w:t>
      </w:r>
      <w:r w:rsidRPr="00E24237">
        <w:rPr>
          <w:sz w:val="20"/>
          <w:szCs w:val="20"/>
        </w:rPr>
        <w:t xml:space="preserve"> Evidence </w:t>
      </w:r>
      <w:r w:rsidR="00360261" w:rsidRPr="00360261">
        <w:rPr>
          <w:sz w:val="20"/>
          <w:szCs w:val="20"/>
        </w:rPr>
        <w:t>-</w:t>
      </w:r>
      <w:r w:rsidRPr="00E24237">
        <w:rPr>
          <w:sz w:val="20"/>
          <w:szCs w:val="20"/>
        </w:rPr>
        <w:t xml:space="preserve"> Privacy Interest </w:t>
      </w:r>
      <w:r w:rsidR="00360261" w:rsidRPr="00360261">
        <w:rPr>
          <w:sz w:val="20"/>
          <w:szCs w:val="20"/>
        </w:rPr>
        <w:t>-</w:t>
      </w:r>
      <w:r w:rsidRPr="00E24237">
        <w:rPr>
          <w:sz w:val="20"/>
          <w:szCs w:val="20"/>
        </w:rPr>
        <w:t xml:space="preserve"> Whether the Court of Appeal erred in law in finding that the applicant had no reasonable expectation of privacy in commercial premise he operated and within which the evidence required to support the conviction was seized </w:t>
      </w:r>
      <w:r w:rsidR="00360261" w:rsidRPr="00360261">
        <w:rPr>
          <w:sz w:val="20"/>
          <w:szCs w:val="20"/>
        </w:rPr>
        <w:t>-</w:t>
      </w:r>
      <w:r w:rsidRPr="00E24237">
        <w:rPr>
          <w:sz w:val="20"/>
          <w:szCs w:val="20"/>
        </w:rPr>
        <w:t xml:space="preserve"> Canadian Charter of Rights and Freedoms, s. 8.</w:t>
      </w:r>
    </w:p>
    <w:p w:rsidR="00E24237" w:rsidRPr="00DE16E8" w:rsidRDefault="00E24237" w:rsidP="00E24237">
      <w:pPr>
        <w:tabs>
          <w:tab w:val="left" w:pos="-1440"/>
          <w:tab w:val="left" w:pos="-720"/>
        </w:tabs>
        <w:jc w:val="both"/>
        <w:rPr>
          <w:sz w:val="20"/>
          <w:szCs w:val="20"/>
        </w:rPr>
      </w:pPr>
    </w:p>
    <w:p w:rsidR="004D6648" w:rsidRDefault="00215143" w:rsidP="004D6648">
      <w:pPr>
        <w:tabs>
          <w:tab w:val="left" w:pos="-1440"/>
          <w:tab w:val="left" w:pos="-720"/>
        </w:tabs>
        <w:jc w:val="both"/>
        <w:rPr>
          <w:sz w:val="20"/>
          <w:szCs w:val="20"/>
          <w:lang w:val="fr-CA"/>
        </w:rPr>
      </w:pPr>
      <w:r>
        <w:rPr>
          <w:sz w:val="20"/>
          <w:szCs w:val="20"/>
          <w:lang w:val="fr-CA"/>
        </w:rPr>
        <w:pict>
          <v:rect id="_x0000_i1125" style="width:2in;height:1pt" o:hrpct="0" o:hralign="center" o:hrstd="t" o:hrnoshade="t" o:hr="t" fillcolor="black [3213]" stroked="f"/>
        </w:pict>
      </w:r>
    </w:p>
    <w:p w:rsidR="004D6648" w:rsidRDefault="004D6648" w:rsidP="00E24237">
      <w:pPr>
        <w:ind w:left="720" w:hanging="720"/>
        <w:jc w:val="both"/>
        <w:rPr>
          <w:sz w:val="20"/>
          <w:szCs w:val="20"/>
          <w:lang w:val="fr-CA"/>
        </w:rPr>
      </w:pPr>
    </w:p>
    <w:p w:rsidR="00E24237" w:rsidRPr="00E24237" w:rsidRDefault="00E24237" w:rsidP="00E24237">
      <w:pPr>
        <w:rPr>
          <w:sz w:val="20"/>
          <w:szCs w:val="20"/>
          <w:lang w:val="fr-CA"/>
        </w:rPr>
      </w:pPr>
      <w:r w:rsidRPr="00E24237">
        <w:rPr>
          <w:b/>
          <w:sz w:val="20"/>
          <w:szCs w:val="20"/>
          <w:lang w:val="fr-CA"/>
        </w:rPr>
        <w:t>35795</w:t>
      </w:r>
      <w:r w:rsidRPr="00E24237">
        <w:rPr>
          <w:b/>
          <w:sz w:val="20"/>
          <w:szCs w:val="20"/>
          <w:lang w:val="fr-CA"/>
        </w:rPr>
        <w:tab/>
      </w:r>
      <w:r w:rsidRPr="00E24237">
        <w:rPr>
          <w:b/>
          <w:i/>
          <w:sz w:val="20"/>
          <w:szCs w:val="20"/>
          <w:lang w:val="fr-CA"/>
        </w:rPr>
        <w:t>Timothy Lee Felger c. Sa Majesté la Reine</w:t>
      </w:r>
      <w:r>
        <w:rPr>
          <w:b/>
          <w:i/>
          <w:sz w:val="20"/>
          <w:szCs w:val="20"/>
          <w:lang w:val="fr-CA"/>
        </w:rPr>
        <w:t xml:space="preserve"> </w:t>
      </w:r>
      <w:r w:rsidRPr="00E24237">
        <w:rPr>
          <w:sz w:val="20"/>
          <w:szCs w:val="20"/>
          <w:lang w:val="fr-CA"/>
        </w:rPr>
        <w:t>(C.-B.) (Criminelle) (Sur autorisation)</w:t>
      </w:r>
    </w:p>
    <w:p w:rsidR="00E24237" w:rsidRPr="00E24237" w:rsidRDefault="00E24237" w:rsidP="00E24237">
      <w:pPr>
        <w:rPr>
          <w:sz w:val="20"/>
          <w:szCs w:val="20"/>
          <w:lang w:val="fr-CA"/>
        </w:rPr>
      </w:pPr>
    </w:p>
    <w:p w:rsidR="006A6E04" w:rsidRDefault="00E24237" w:rsidP="00E24237">
      <w:pPr>
        <w:jc w:val="both"/>
        <w:rPr>
          <w:sz w:val="20"/>
          <w:szCs w:val="20"/>
          <w:lang w:val="fr-CA"/>
        </w:rPr>
      </w:pPr>
      <w:r w:rsidRPr="00E24237">
        <w:rPr>
          <w:sz w:val="20"/>
          <w:szCs w:val="20"/>
          <w:lang w:val="fr-CA"/>
        </w:rPr>
        <w:t xml:space="preserve">Charte des droits et libertés </w:t>
      </w:r>
      <w:r w:rsidR="00360261" w:rsidRPr="001F36E7">
        <w:rPr>
          <w:sz w:val="20"/>
          <w:szCs w:val="20"/>
          <w:lang w:val="fr-CA"/>
        </w:rPr>
        <w:t>-</w:t>
      </w:r>
      <w:r w:rsidRPr="00E24237">
        <w:rPr>
          <w:sz w:val="20"/>
          <w:szCs w:val="20"/>
          <w:lang w:val="fr-CA"/>
        </w:rPr>
        <w:t xml:space="preserve"> Fouilles, perquisitions et saisies </w:t>
      </w:r>
      <w:r w:rsidR="00360261" w:rsidRPr="001F36E7">
        <w:rPr>
          <w:sz w:val="20"/>
          <w:szCs w:val="20"/>
          <w:lang w:val="fr-CA"/>
        </w:rPr>
        <w:t>-</w:t>
      </w:r>
      <w:r w:rsidRPr="00E24237">
        <w:rPr>
          <w:sz w:val="20"/>
          <w:szCs w:val="20"/>
          <w:lang w:val="fr-CA"/>
        </w:rPr>
        <w:t xml:space="preserve"> Article 8 de la Charte </w:t>
      </w:r>
      <w:r w:rsidR="00360261" w:rsidRPr="001F36E7">
        <w:rPr>
          <w:sz w:val="20"/>
          <w:szCs w:val="20"/>
          <w:lang w:val="fr-CA"/>
        </w:rPr>
        <w:t>-</w:t>
      </w:r>
      <w:r w:rsidRPr="00E24237">
        <w:rPr>
          <w:sz w:val="20"/>
          <w:szCs w:val="20"/>
          <w:lang w:val="fr-CA"/>
        </w:rPr>
        <w:t xml:space="preserve"> Droit criminel </w:t>
      </w:r>
      <w:r w:rsidR="00360261" w:rsidRPr="001F36E7">
        <w:rPr>
          <w:sz w:val="20"/>
          <w:szCs w:val="20"/>
          <w:lang w:val="fr-CA"/>
        </w:rPr>
        <w:t>-</w:t>
      </w:r>
      <w:r w:rsidRPr="00E24237">
        <w:rPr>
          <w:sz w:val="20"/>
          <w:szCs w:val="20"/>
          <w:lang w:val="fr-CA"/>
        </w:rPr>
        <w:t xml:space="preserve"> Preuve </w:t>
      </w:r>
      <w:r w:rsidR="00360261" w:rsidRPr="001F36E7">
        <w:rPr>
          <w:sz w:val="20"/>
          <w:szCs w:val="20"/>
          <w:lang w:val="fr-CA"/>
        </w:rPr>
        <w:t>-</w:t>
      </w:r>
      <w:r w:rsidRPr="00E24237">
        <w:rPr>
          <w:sz w:val="20"/>
          <w:szCs w:val="20"/>
          <w:lang w:val="fr-CA"/>
        </w:rPr>
        <w:t xml:space="preserve"> Respect de la vie privée </w:t>
      </w:r>
      <w:r w:rsidR="00360261" w:rsidRPr="001F36E7">
        <w:rPr>
          <w:sz w:val="20"/>
          <w:szCs w:val="20"/>
          <w:lang w:val="fr-CA"/>
        </w:rPr>
        <w:t>-</w:t>
      </w:r>
      <w:r w:rsidRPr="00E24237">
        <w:rPr>
          <w:sz w:val="20"/>
          <w:szCs w:val="20"/>
          <w:lang w:val="fr-CA"/>
        </w:rPr>
        <w:t xml:space="preserve"> La Cour d’appel a-t-elle commis une erreur de droit en concluant que le demandeur n’avait pas d’attente raisonnable en matière de vie privée à l’égard des locaux commerciaux qu’il exploitait et dans lequel les éléments de preuve requis pour étayer la déclaration de culpabilité ont été saisis? </w:t>
      </w:r>
      <w:r w:rsidR="00360261" w:rsidRPr="001F36E7">
        <w:rPr>
          <w:sz w:val="20"/>
          <w:szCs w:val="20"/>
          <w:lang w:val="fr-CA"/>
        </w:rPr>
        <w:t>-</w:t>
      </w:r>
      <w:r w:rsidRPr="00E24237">
        <w:rPr>
          <w:sz w:val="20"/>
          <w:szCs w:val="20"/>
          <w:lang w:val="fr-CA"/>
        </w:rPr>
        <w:t xml:space="preserve"> Charte canadienne des droits et libertés, art. 8.</w:t>
      </w:r>
    </w:p>
    <w:p w:rsidR="00E24237" w:rsidRDefault="00E24237" w:rsidP="00E24237">
      <w:pPr>
        <w:jc w:val="both"/>
        <w:rPr>
          <w:sz w:val="20"/>
          <w:szCs w:val="20"/>
          <w:lang w:val="fr-CA"/>
        </w:rPr>
      </w:pPr>
    </w:p>
    <w:p w:rsidR="00E24237" w:rsidRDefault="00215143" w:rsidP="00E24237">
      <w:pPr>
        <w:rPr>
          <w:sz w:val="20"/>
          <w:szCs w:val="20"/>
          <w:lang w:val="fr-CA"/>
        </w:rPr>
      </w:pPr>
      <w:r>
        <w:rPr>
          <w:sz w:val="20"/>
          <w:szCs w:val="20"/>
          <w:lang w:val="fr-CA"/>
        </w:rPr>
        <w:pict>
          <v:rect id="_x0000_i1126" style="width:2in;height:1pt" o:hrpct="0" o:hralign="center" o:hrstd="t" o:hrnoshade="t" o:hr="t" fillcolor="black [3213]" stroked="f"/>
        </w:pict>
      </w:r>
    </w:p>
    <w:p w:rsidR="00E24237" w:rsidRDefault="00E24237">
      <w:pPr>
        <w:rPr>
          <w:sz w:val="20"/>
          <w:szCs w:val="20"/>
          <w:lang w:val="fr-CA"/>
        </w:rPr>
      </w:pPr>
    </w:p>
    <w:p w:rsidR="00E24237" w:rsidRPr="00E24237" w:rsidRDefault="00E24237" w:rsidP="00E24237">
      <w:pPr>
        <w:ind w:left="720" w:hanging="720"/>
        <w:rPr>
          <w:sz w:val="20"/>
          <w:szCs w:val="20"/>
        </w:rPr>
      </w:pPr>
      <w:r w:rsidRPr="00E24237">
        <w:rPr>
          <w:b/>
          <w:sz w:val="20"/>
          <w:szCs w:val="20"/>
        </w:rPr>
        <w:t>35907</w:t>
      </w:r>
      <w:r w:rsidRPr="00E24237">
        <w:rPr>
          <w:b/>
          <w:sz w:val="20"/>
          <w:szCs w:val="20"/>
        </w:rPr>
        <w:tab/>
      </w:r>
      <w:r w:rsidRPr="00E24237">
        <w:rPr>
          <w:b/>
          <w:i/>
          <w:sz w:val="20"/>
          <w:szCs w:val="20"/>
        </w:rPr>
        <w:t>Natasha Kaye Healy v. Her Majesty the Queen</w:t>
      </w:r>
      <w:r>
        <w:rPr>
          <w:sz w:val="20"/>
          <w:szCs w:val="20"/>
        </w:rPr>
        <w:t xml:space="preserve"> </w:t>
      </w:r>
      <w:r w:rsidRPr="00E24237">
        <w:rPr>
          <w:sz w:val="20"/>
          <w:szCs w:val="20"/>
        </w:rPr>
        <w:t>(B.C.) (Criminal) (By Leave)</w:t>
      </w:r>
    </w:p>
    <w:p w:rsidR="00E24237" w:rsidRPr="00E24237" w:rsidRDefault="00E24237" w:rsidP="00E24237">
      <w:pPr>
        <w:rPr>
          <w:sz w:val="20"/>
          <w:szCs w:val="20"/>
        </w:rPr>
      </w:pPr>
    </w:p>
    <w:p w:rsidR="00E24237" w:rsidRDefault="00E24237" w:rsidP="00E24237">
      <w:pPr>
        <w:jc w:val="both"/>
        <w:rPr>
          <w:sz w:val="20"/>
          <w:szCs w:val="20"/>
        </w:rPr>
      </w:pPr>
      <w:r w:rsidRPr="00E24237">
        <w:rPr>
          <w:sz w:val="20"/>
          <w:szCs w:val="20"/>
        </w:rPr>
        <w:t xml:space="preserve">Charter of Rights and Freedoms </w:t>
      </w:r>
      <w:r w:rsidR="00360261" w:rsidRPr="00360261">
        <w:rPr>
          <w:sz w:val="20"/>
          <w:szCs w:val="20"/>
        </w:rPr>
        <w:t>-</w:t>
      </w:r>
      <w:r w:rsidRPr="00E24237">
        <w:rPr>
          <w:sz w:val="20"/>
          <w:szCs w:val="20"/>
        </w:rPr>
        <w:t xml:space="preserve"> Search and seizure </w:t>
      </w:r>
      <w:r w:rsidR="00360261" w:rsidRPr="00360261">
        <w:rPr>
          <w:sz w:val="20"/>
          <w:szCs w:val="20"/>
        </w:rPr>
        <w:t>-</w:t>
      </w:r>
      <w:r w:rsidRPr="00E24237">
        <w:rPr>
          <w:sz w:val="20"/>
          <w:szCs w:val="20"/>
        </w:rPr>
        <w:t xml:space="preserve"> Section 8 of the Charter </w:t>
      </w:r>
      <w:r w:rsidR="00360261" w:rsidRPr="00360261">
        <w:rPr>
          <w:sz w:val="20"/>
          <w:szCs w:val="20"/>
        </w:rPr>
        <w:t>-</w:t>
      </w:r>
      <w:r w:rsidRPr="00E24237">
        <w:rPr>
          <w:sz w:val="20"/>
          <w:szCs w:val="20"/>
        </w:rPr>
        <w:t xml:space="preserve"> Criminal law </w:t>
      </w:r>
      <w:r w:rsidR="00360261" w:rsidRPr="00360261">
        <w:rPr>
          <w:sz w:val="20"/>
          <w:szCs w:val="20"/>
        </w:rPr>
        <w:t>-</w:t>
      </w:r>
      <w:r w:rsidRPr="00E24237">
        <w:rPr>
          <w:sz w:val="20"/>
          <w:szCs w:val="20"/>
        </w:rPr>
        <w:t xml:space="preserve"> Evidence </w:t>
      </w:r>
      <w:r w:rsidR="00360261" w:rsidRPr="00360261">
        <w:rPr>
          <w:sz w:val="20"/>
          <w:szCs w:val="20"/>
        </w:rPr>
        <w:t>-</w:t>
      </w:r>
      <w:r w:rsidRPr="00E24237">
        <w:rPr>
          <w:sz w:val="20"/>
          <w:szCs w:val="20"/>
        </w:rPr>
        <w:t xml:space="preserve"> Privacy Interest </w:t>
      </w:r>
      <w:r w:rsidR="00360261" w:rsidRPr="00360261">
        <w:rPr>
          <w:sz w:val="20"/>
          <w:szCs w:val="20"/>
        </w:rPr>
        <w:t>-</w:t>
      </w:r>
      <w:r w:rsidRPr="00E24237">
        <w:rPr>
          <w:sz w:val="20"/>
          <w:szCs w:val="20"/>
        </w:rPr>
        <w:t xml:space="preserve"> Whether the Court of Appeal erred in law in finding that the applicant had no reasonable expectation of privacy in her workplace within which the evidence required to support the conviction at issue was seized </w:t>
      </w:r>
      <w:r w:rsidR="00360261" w:rsidRPr="00360261">
        <w:rPr>
          <w:sz w:val="20"/>
          <w:szCs w:val="20"/>
        </w:rPr>
        <w:t>-</w:t>
      </w:r>
      <w:r w:rsidRPr="00E24237">
        <w:rPr>
          <w:sz w:val="20"/>
          <w:szCs w:val="20"/>
        </w:rPr>
        <w:t xml:space="preserve"> Whether the Court of Appeal erred in finding, at paragraph 51 of the judgment, that there is no evidence that the applicant was aware of the store policies, which is contrary to the learned trial judge’s conclusion that the applicant shared the same expectation of privacy as her employer </w:t>
      </w:r>
      <w:r w:rsidR="00360261" w:rsidRPr="00360261">
        <w:rPr>
          <w:sz w:val="20"/>
          <w:szCs w:val="20"/>
        </w:rPr>
        <w:t>-</w:t>
      </w:r>
      <w:r w:rsidRPr="00E24237">
        <w:rPr>
          <w:sz w:val="20"/>
          <w:szCs w:val="20"/>
        </w:rPr>
        <w:t xml:space="preserve"> Canadian Charter of Rights and Freedoms, s. 8.</w:t>
      </w:r>
    </w:p>
    <w:p w:rsidR="00E24237" w:rsidRDefault="00E24237" w:rsidP="00E24237">
      <w:pPr>
        <w:rPr>
          <w:sz w:val="20"/>
          <w:szCs w:val="20"/>
        </w:rPr>
      </w:pPr>
    </w:p>
    <w:p w:rsidR="00E24237" w:rsidRDefault="00215143" w:rsidP="00E24237">
      <w:pPr>
        <w:rPr>
          <w:sz w:val="20"/>
          <w:szCs w:val="20"/>
          <w:lang w:val="fr-CA"/>
        </w:rPr>
      </w:pPr>
      <w:r>
        <w:rPr>
          <w:sz w:val="20"/>
          <w:szCs w:val="20"/>
          <w:lang w:val="fr-CA"/>
        </w:rPr>
        <w:pict>
          <v:rect id="_x0000_i1127" style="width:2in;height:1pt" o:hrpct="0" o:hralign="center" o:hrstd="t" o:hrnoshade="t" o:hr="t" fillcolor="black [3213]" stroked="f"/>
        </w:pict>
      </w:r>
    </w:p>
    <w:p w:rsidR="00E24237" w:rsidRDefault="00E24237" w:rsidP="00E24237">
      <w:pPr>
        <w:rPr>
          <w:sz w:val="20"/>
          <w:szCs w:val="20"/>
          <w:lang w:val="fr-CA"/>
        </w:rPr>
      </w:pPr>
    </w:p>
    <w:p w:rsidR="00E24237" w:rsidRPr="00E24237" w:rsidRDefault="00E24237" w:rsidP="00E24237">
      <w:pPr>
        <w:ind w:left="720" w:hanging="720"/>
        <w:rPr>
          <w:sz w:val="20"/>
          <w:szCs w:val="20"/>
          <w:lang w:val="fr-CA"/>
        </w:rPr>
      </w:pPr>
      <w:r w:rsidRPr="00E24237">
        <w:rPr>
          <w:b/>
          <w:sz w:val="20"/>
          <w:szCs w:val="20"/>
          <w:lang w:val="fr-CA"/>
        </w:rPr>
        <w:t>35907</w:t>
      </w:r>
      <w:r w:rsidRPr="00E24237">
        <w:rPr>
          <w:b/>
          <w:sz w:val="20"/>
          <w:szCs w:val="20"/>
          <w:lang w:val="fr-CA"/>
        </w:rPr>
        <w:tab/>
      </w:r>
      <w:r w:rsidRPr="00E24237">
        <w:rPr>
          <w:b/>
          <w:i/>
          <w:sz w:val="20"/>
          <w:szCs w:val="20"/>
          <w:lang w:val="fr-CA"/>
        </w:rPr>
        <w:t>Natasha Kaye Healy c. Sa Majesté la Reine</w:t>
      </w:r>
      <w:r>
        <w:rPr>
          <w:sz w:val="20"/>
          <w:szCs w:val="20"/>
          <w:lang w:val="fr-CA"/>
        </w:rPr>
        <w:t xml:space="preserve"> </w:t>
      </w:r>
      <w:r w:rsidRPr="00E24237">
        <w:rPr>
          <w:sz w:val="20"/>
          <w:szCs w:val="20"/>
          <w:lang w:val="fr-CA"/>
        </w:rPr>
        <w:t>(C.-B.) (Criminelle) (Autorisation)</w:t>
      </w:r>
    </w:p>
    <w:p w:rsidR="00E24237" w:rsidRPr="00E24237" w:rsidRDefault="00E24237" w:rsidP="00E24237">
      <w:pPr>
        <w:rPr>
          <w:sz w:val="20"/>
          <w:szCs w:val="20"/>
          <w:lang w:val="fr-CA"/>
        </w:rPr>
      </w:pPr>
    </w:p>
    <w:p w:rsidR="00E24237" w:rsidRPr="00E24237" w:rsidRDefault="00E24237" w:rsidP="00E24237">
      <w:pPr>
        <w:jc w:val="both"/>
        <w:rPr>
          <w:sz w:val="20"/>
          <w:szCs w:val="20"/>
          <w:lang w:val="fr-CA"/>
        </w:rPr>
      </w:pPr>
      <w:r w:rsidRPr="00E24237">
        <w:rPr>
          <w:sz w:val="20"/>
          <w:szCs w:val="20"/>
          <w:lang w:val="fr-CA"/>
        </w:rPr>
        <w:t xml:space="preserve">Charte des droits et libertés </w:t>
      </w:r>
      <w:r w:rsidR="00360261" w:rsidRPr="001F36E7">
        <w:rPr>
          <w:sz w:val="20"/>
          <w:szCs w:val="20"/>
          <w:lang w:val="fr-CA"/>
        </w:rPr>
        <w:t>-</w:t>
      </w:r>
      <w:r w:rsidRPr="00E24237">
        <w:rPr>
          <w:sz w:val="20"/>
          <w:szCs w:val="20"/>
          <w:lang w:val="fr-CA"/>
        </w:rPr>
        <w:t xml:space="preserve"> Fouilles et perquisitions </w:t>
      </w:r>
      <w:r w:rsidR="00360261" w:rsidRPr="001F36E7">
        <w:rPr>
          <w:sz w:val="20"/>
          <w:szCs w:val="20"/>
          <w:lang w:val="fr-CA"/>
        </w:rPr>
        <w:t>-</w:t>
      </w:r>
      <w:r w:rsidRPr="00E24237">
        <w:rPr>
          <w:sz w:val="20"/>
          <w:szCs w:val="20"/>
          <w:lang w:val="fr-CA"/>
        </w:rPr>
        <w:t xml:space="preserve"> Article 8 de la Charte </w:t>
      </w:r>
      <w:r w:rsidR="00360261" w:rsidRPr="001F36E7">
        <w:rPr>
          <w:sz w:val="20"/>
          <w:szCs w:val="20"/>
          <w:lang w:val="fr-CA"/>
        </w:rPr>
        <w:t>-</w:t>
      </w:r>
      <w:r w:rsidRPr="00E24237">
        <w:rPr>
          <w:sz w:val="20"/>
          <w:szCs w:val="20"/>
          <w:lang w:val="fr-CA"/>
        </w:rPr>
        <w:t xml:space="preserve"> Droit criminel </w:t>
      </w:r>
      <w:r w:rsidR="00360261" w:rsidRPr="001F36E7">
        <w:rPr>
          <w:sz w:val="20"/>
          <w:szCs w:val="20"/>
          <w:lang w:val="fr-CA"/>
        </w:rPr>
        <w:t>-</w:t>
      </w:r>
      <w:r w:rsidRPr="00E24237">
        <w:rPr>
          <w:sz w:val="20"/>
          <w:szCs w:val="20"/>
          <w:lang w:val="fr-CA"/>
        </w:rPr>
        <w:t xml:space="preserve"> Preuve </w:t>
      </w:r>
      <w:r w:rsidR="00360261" w:rsidRPr="001F36E7">
        <w:rPr>
          <w:sz w:val="20"/>
          <w:szCs w:val="20"/>
          <w:lang w:val="fr-CA"/>
        </w:rPr>
        <w:t>-</w:t>
      </w:r>
      <w:r w:rsidRPr="00E24237">
        <w:rPr>
          <w:sz w:val="20"/>
          <w:szCs w:val="20"/>
          <w:lang w:val="fr-CA"/>
        </w:rPr>
        <w:t xml:space="preserve"> Droit à la vie privée </w:t>
      </w:r>
      <w:r w:rsidR="00360261" w:rsidRPr="001F36E7">
        <w:rPr>
          <w:sz w:val="20"/>
          <w:szCs w:val="20"/>
          <w:lang w:val="fr-CA"/>
        </w:rPr>
        <w:t>-</w:t>
      </w:r>
      <w:r w:rsidRPr="00E24237">
        <w:rPr>
          <w:sz w:val="20"/>
          <w:szCs w:val="20"/>
          <w:lang w:val="fr-CA"/>
        </w:rPr>
        <w:t xml:space="preserve"> La Cour d’appel a-t-elle commis une erreur de droit en concluant que la demanderesse n’avait aucune attente raisonnable en matière de protection de la vie privée à son lieu travail, où des éléments de preuve nécessaires pour étayer la déclaration de culpabilité en cause ont été saisis? </w:t>
      </w:r>
      <w:r w:rsidR="00360261" w:rsidRPr="001F36E7">
        <w:rPr>
          <w:sz w:val="20"/>
          <w:szCs w:val="20"/>
          <w:lang w:val="fr-CA"/>
        </w:rPr>
        <w:t>-</w:t>
      </w:r>
      <w:r w:rsidRPr="00E24237">
        <w:rPr>
          <w:sz w:val="20"/>
          <w:szCs w:val="20"/>
          <w:lang w:val="fr-CA"/>
        </w:rPr>
        <w:t xml:space="preserve"> La Cour d’appel a-t-elle eu tort de conclure, au paragraphe 51 du jugement, qu’il n’y avait aucune preuve selon laquelle la demanderesse connaissait les politiques du magasin, contrairement à ce qu’avait conclu le juge du procès, à savoir que la demanderesse partageait la même attente en matière de protection de la vie privée que son employeur? </w:t>
      </w:r>
      <w:r w:rsidR="00360261" w:rsidRPr="001F36E7">
        <w:rPr>
          <w:sz w:val="20"/>
          <w:szCs w:val="20"/>
          <w:lang w:val="fr-CA"/>
        </w:rPr>
        <w:t>-</w:t>
      </w:r>
      <w:r w:rsidRPr="00E24237">
        <w:rPr>
          <w:sz w:val="20"/>
          <w:szCs w:val="20"/>
          <w:lang w:val="fr-CA"/>
        </w:rPr>
        <w:t xml:space="preserve"> Charte canadienne des droits et libertés, art. 8.</w:t>
      </w:r>
    </w:p>
    <w:p w:rsidR="00E24237" w:rsidRPr="00E24237" w:rsidRDefault="00E24237" w:rsidP="00E24237">
      <w:pPr>
        <w:rPr>
          <w:sz w:val="20"/>
          <w:szCs w:val="20"/>
          <w:lang w:val="fr-CA"/>
        </w:rPr>
      </w:pPr>
    </w:p>
    <w:p w:rsidR="00E24237" w:rsidRDefault="00215143">
      <w:pPr>
        <w:rPr>
          <w:sz w:val="20"/>
          <w:szCs w:val="20"/>
          <w:lang w:val="fr-CA"/>
        </w:rPr>
      </w:pPr>
      <w:r>
        <w:rPr>
          <w:sz w:val="20"/>
          <w:szCs w:val="20"/>
          <w:lang w:val="fr-CA"/>
        </w:rPr>
        <w:pict>
          <v:rect id="_x0000_i1128" style="width:2in;height:1pt" o:hrpct="0" o:hralign="center" o:hrstd="t" o:hrnoshade="t" o:hr="t" fillcolor="black [3213]" stroked="f"/>
        </w:pict>
      </w:r>
    </w:p>
    <w:p w:rsidR="00E24237" w:rsidRPr="00E24237" w:rsidRDefault="00E24237">
      <w:pPr>
        <w:rPr>
          <w:sz w:val="20"/>
          <w:szCs w:val="20"/>
        </w:rPr>
      </w:pPr>
    </w:p>
    <w:p w:rsidR="004D6648" w:rsidRPr="00DD0B49" w:rsidRDefault="004D6648" w:rsidP="004D6648">
      <w:pPr>
        <w:tabs>
          <w:tab w:val="left" w:pos="-1440"/>
          <w:tab w:val="left" w:pos="-720"/>
        </w:tabs>
        <w:jc w:val="both"/>
        <w:rPr>
          <w:sz w:val="20"/>
          <w:szCs w:val="20"/>
          <w:lang w:val="fr-CA"/>
        </w:rPr>
      </w:pPr>
    </w:p>
    <w:p w:rsidR="006A6E04" w:rsidRDefault="006A6E04" w:rsidP="000B3C9A">
      <w:pPr>
        <w:tabs>
          <w:tab w:val="left" w:pos="-1440"/>
          <w:tab w:val="left" w:pos="-720"/>
        </w:tabs>
        <w:jc w:val="both"/>
        <w:rPr>
          <w:sz w:val="20"/>
          <w:szCs w:val="20"/>
          <w:lang w:val="fr-CA"/>
        </w:rPr>
      </w:pPr>
    </w:p>
    <w:p w:rsidR="006A6E04" w:rsidRPr="00DD0B49" w:rsidRDefault="006A6E04"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34"/>
          <w:footerReference w:type="default" r:id="rId135"/>
          <w:headerReference w:type="first" r:id="rId136"/>
          <w:footerReference w:type="first" r:id="rId137"/>
          <w:pgSz w:w="12240" w:h="15840"/>
          <w:pgMar w:top="720" w:right="965" w:bottom="1080" w:left="1656" w:header="720" w:footer="965" w:gutter="0"/>
          <w:cols w:space="720"/>
          <w:titlePg/>
          <w:docGrid w:linePitch="326"/>
        </w:sectPr>
      </w:pPr>
    </w:p>
    <w:p w:rsidR="008112A9" w:rsidRPr="002E0C7E" w:rsidRDefault="000944FD"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714F1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714F1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714F1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DECEMBER - DÉCEMBRE</w:t>
            </w:r>
          </w:p>
        </w:tc>
      </w:tr>
      <w:tr w:rsidR="008112A9" w:rsidRPr="002E0C7E" w:rsidTr="00714F1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r>
      <w:tr w:rsidR="008112A9" w:rsidRPr="002E0C7E" w:rsidTr="00714F1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714F1C">
            <w:pPr>
              <w:widowControl w:val="0"/>
              <w:jc w:val="center"/>
              <w:rPr>
                <w:rFonts w:ascii="Arial" w:hAnsi="Arial"/>
                <w:b/>
                <w:sz w:val="14"/>
              </w:rPr>
            </w:pPr>
            <w:r>
              <w:rPr>
                <w:rFonts w:ascii="Arial" w:hAnsi="Arial"/>
                <w:b/>
                <w:sz w:val="14"/>
              </w:rPr>
              <w:t>M</w:t>
            </w:r>
          </w:p>
          <w:p w:rsidR="008112A9" w:rsidRPr="002E0C7E" w:rsidRDefault="008112A9" w:rsidP="00714F1C">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r>
      <w:tr w:rsidR="008112A9" w:rsidRPr="002E0C7E" w:rsidTr="00714F1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714F1C">
            <w:pPr>
              <w:widowControl w:val="0"/>
              <w:jc w:val="center"/>
              <w:rPr>
                <w:rFonts w:ascii="Arial" w:hAnsi="Arial"/>
                <w:b/>
                <w:sz w:val="14"/>
              </w:rPr>
            </w:pPr>
            <w:r>
              <w:rPr>
                <w:rFonts w:ascii="Arial" w:hAnsi="Arial"/>
                <w:b/>
                <w:sz w:val="14"/>
              </w:rPr>
              <w:t>M</w:t>
            </w:r>
          </w:p>
          <w:p w:rsidR="008112A9" w:rsidRPr="002E0C7E" w:rsidRDefault="008112A9" w:rsidP="00714F1C">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M</w:t>
            </w:r>
          </w:p>
          <w:p w:rsidR="008112A9" w:rsidRPr="002E0C7E" w:rsidRDefault="008112A9" w:rsidP="00714F1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13</w:t>
            </w:r>
          </w:p>
        </w:tc>
      </w:tr>
      <w:tr w:rsidR="008112A9" w:rsidRPr="002E0C7E" w:rsidTr="00714F1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714F1C">
            <w:pPr>
              <w:widowControl w:val="0"/>
              <w:jc w:val="center"/>
              <w:rPr>
                <w:rFonts w:ascii="Arial" w:hAnsi="Arial"/>
                <w:b/>
                <w:sz w:val="14"/>
              </w:rPr>
            </w:pPr>
            <w:r>
              <w:rPr>
                <w:rFonts w:ascii="Arial" w:hAnsi="Arial"/>
                <w:b/>
                <w:sz w:val="14"/>
              </w:rPr>
              <w:t>H</w:t>
            </w: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714F1C">
            <w:pPr>
              <w:widowControl w:val="0"/>
              <w:jc w:val="center"/>
              <w:rPr>
                <w:rFonts w:ascii="Arial" w:hAnsi="Arial"/>
                <w:b/>
                <w:sz w:val="14"/>
              </w:rPr>
            </w:pPr>
            <w:r w:rsidRPr="004F066E">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20</w:t>
            </w:r>
          </w:p>
        </w:tc>
      </w:tr>
      <w:tr w:rsidR="008112A9" w:rsidRPr="002E0C7E" w:rsidTr="00714F1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714F1C">
            <w:pPr>
              <w:widowControl w:val="0"/>
              <w:jc w:val="center"/>
              <w:rPr>
                <w:rFonts w:ascii="Arial" w:hAnsi="Arial"/>
                <w:b/>
                <w:sz w:val="14"/>
              </w:rPr>
            </w:pPr>
            <w:r>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714F1C">
            <w:pPr>
              <w:widowControl w:val="0"/>
              <w:jc w:val="center"/>
              <w:rPr>
                <w:rFonts w:ascii="Arial" w:hAnsi="Arial"/>
                <w:b/>
                <w:sz w:val="14"/>
              </w:rPr>
            </w:pPr>
            <w:r>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714F1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714F1C">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714F1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714F1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714F1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MARCH - MARS</w:t>
            </w:r>
          </w:p>
        </w:tc>
      </w:tr>
      <w:tr w:rsidR="008112A9" w:rsidRPr="002E0C7E" w:rsidTr="00714F1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714F1C">
            <w:pPr>
              <w:widowControl w:val="0"/>
              <w:jc w:val="center"/>
              <w:rPr>
                <w:rFonts w:ascii="Arial" w:hAnsi="Arial"/>
                <w:b/>
                <w:sz w:val="14"/>
              </w:rPr>
            </w:pPr>
            <w:r w:rsidRPr="004F066E">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714F1C">
            <w:pPr>
              <w:widowControl w:val="0"/>
              <w:jc w:val="center"/>
              <w:rPr>
                <w:rFonts w:ascii="Arial" w:hAnsi="Arial"/>
                <w:b/>
                <w:sz w:val="14"/>
              </w:rPr>
            </w:pPr>
            <w:r>
              <w:rPr>
                <w:rFonts w:ascii="Arial" w:hAnsi="Arial"/>
                <w:b/>
                <w:sz w:val="14"/>
              </w:rPr>
              <w:t>M</w:t>
            </w: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14</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714F1C">
            <w:pPr>
              <w:widowControl w:val="0"/>
              <w:jc w:val="center"/>
              <w:rPr>
                <w:rFonts w:ascii="Arial" w:hAnsi="Arial"/>
                <w:b/>
                <w:sz w:val="14"/>
              </w:rPr>
            </w:pPr>
            <w:r>
              <w:rPr>
                <w:rFonts w:ascii="Arial" w:hAnsi="Arial"/>
                <w:b/>
                <w:sz w:val="14"/>
              </w:rPr>
              <w:t>M</w:t>
            </w: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714F1C">
            <w:pPr>
              <w:widowControl w:val="0"/>
              <w:jc w:val="center"/>
              <w:rPr>
                <w:rFonts w:ascii="Arial" w:hAnsi="Arial"/>
                <w:b/>
                <w:sz w:val="14"/>
              </w:rPr>
            </w:pPr>
            <w:r w:rsidRPr="009900C5">
              <w:rPr>
                <w:rFonts w:ascii="Arial" w:hAnsi="Arial"/>
                <w:b/>
                <w:sz w:val="14"/>
              </w:rPr>
              <w:t>M</w:t>
            </w: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714F1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714F1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714F1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714F1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714F1C">
            <w:pPr>
              <w:widowControl w:val="0"/>
              <w:jc w:val="center"/>
              <w:rPr>
                <w:rFonts w:ascii="Arial" w:hAnsi="Arial"/>
                <w:sz w:val="14"/>
              </w:rPr>
            </w:pPr>
            <w:r w:rsidRPr="002E0C7E">
              <w:rPr>
                <w:rFonts w:ascii="Arial" w:hAnsi="Arial"/>
                <w:b/>
                <w:sz w:val="14"/>
              </w:rPr>
              <w:t>JUNE - JUIN</w:t>
            </w:r>
          </w:p>
        </w:tc>
      </w:tr>
      <w:tr w:rsidR="008112A9" w:rsidRPr="002E0C7E" w:rsidTr="00714F1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S</w:t>
            </w:r>
          </w:p>
          <w:p w:rsidR="008112A9" w:rsidRPr="002E0C7E" w:rsidRDefault="008112A9" w:rsidP="00714F1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M</w:t>
            </w:r>
          </w:p>
          <w:p w:rsidR="008112A9" w:rsidRPr="002E0C7E" w:rsidRDefault="008112A9" w:rsidP="00714F1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W</w:t>
            </w:r>
          </w:p>
          <w:p w:rsidR="008112A9" w:rsidRPr="002E0C7E" w:rsidRDefault="008112A9" w:rsidP="00714F1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T</w:t>
            </w:r>
          </w:p>
          <w:p w:rsidR="008112A9" w:rsidRPr="002E0C7E" w:rsidRDefault="008112A9" w:rsidP="00714F1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sidRPr="002E0C7E">
              <w:rPr>
                <w:rFonts w:ascii="Arial" w:hAnsi="Arial"/>
                <w:sz w:val="14"/>
              </w:rPr>
              <w:t>F</w:t>
            </w:r>
          </w:p>
          <w:p w:rsidR="008112A9" w:rsidRPr="002E0C7E" w:rsidRDefault="008112A9" w:rsidP="00714F1C">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r>
              <w:rPr>
                <w:rFonts w:ascii="Arial" w:hAnsi="Arial"/>
                <w:sz w:val="14"/>
              </w:rPr>
              <w:t>S</w:t>
            </w:r>
          </w:p>
          <w:p w:rsidR="008112A9" w:rsidRPr="002E0C7E" w:rsidRDefault="008112A9" w:rsidP="00714F1C">
            <w:pPr>
              <w:widowControl w:val="0"/>
              <w:jc w:val="center"/>
              <w:rPr>
                <w:rFonts w:ascii="Arial" w:hAnsi="Arial"/>
                <w:sz w:val="14"/>
              </w:rPr>
            </w:pPr>
            <w:r>
              <w:rPr>
                <w:rFonts w:ascii="Arial" w:hAnsi="Arial"/>
                <w:sz w:val="14"/>
              </w:rPr>
              <w:t>S</w:t>
            </w:r>
          </w:p>
        </w:tc>
      </w:tr>
      <w:tr w:rsidR="008112A9" w:rsidRPr="002E0C7E" w:rsidTr="00714F1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714F1C">
            <w:pPr>
              <w:widowControl w:val="0"/>
              <w:jc w:val="center"/>
              <w:rPr>
                <w:rFonts w:ascii="Arial" w:hAnsi="Arial"/>
                <w:b/>
                <w:sz w:val="14"/>
              </w:rPr>
            </w:pPr>
            <w:r>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714F1C">
            <w:pPr>
              <w:widowControl w:val="0"/>
              <w:jc w:val="center"/>
              <w:rPr>
                <w:rFonts w:ascii="Arial" w:hAnsi="Arial"/>
                <w:b/>
                <w:sz w:val="14"/>
              </w:rPr>
            </w:pPr>
            <w:r>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714F1C">
            <w:pPr>
              <w:widowControl w:val="0"/>
              <w:jc w:val="center"/>
              <w:rPr>
                <w:rFonts w:ascii="Arial" w:hAnsi="Arial"/>
                <w:b/>
                <w:sz w:val="14"/>
              </w:rPr>
            </w:pPr>
            <w:r>
              <w:rPr>
                <w:rFonts w:ascii="Arial" w:hAnsi="Arial"/>
                <w:b/>
                <w:sz w:val="14"/>
              </w:rPr>
              <w:t>M</w:t>
            </w:r>
          </w:p>
          <w:p w:rsidR="008112A9" w:rsidRPr="002E0C7E" w:rsidRDefault="008112A9" w:rsidP="00714F1C">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13</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714F1C">
            <w:pPr>
              <w:widowControl w:val="0"/>
              <w:jc w:val="center"/>
              <w:rPr>
                <w:rFonts w:ascii="Arial" w:hAnsi="Arial"/>
                <w:b/>
                <w:sz w:val="14"/>
              </w:rPr>
            </w:pPr>
            <w:r>
              <w:rPr>
                <w:rFonts w:ascii="Arial" w:hAnsi="Arial"/>
                <w:b/>
                <w:sz w:val="14"/>
              </w:rPr>
              <w:t>M</w:t>
            </w: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714F1C">
            <w:pPr>
              <w:widowControl w:val="0"/>
              <w:jc w:val="center"/>
              <w:rPr>
                <w:rFonts w:ascii="Arial" w:hAnsi="Arial"/>
                <w:b/>
                <w:sz w:val="14"/>
              </w:rPr>
            </w:pPr>
            <w:r w:rsidRPr="002453E3">
              <w:rPr>
                <w:rFonts w:ascii="Arial" w:hAnsi="Arial"/>
                <w:b/>
                <w:sz w:val="14"/>
              </w:rPr>
              <w:t>M</w:t>
            </w: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20</w:t>
            </w:r>
          </w:p>
        </w:tc>
      </w:tr>
      <w:tr w:rsidR="008112A9" w:rsidRPr="002E0C7E" w:rsidTr="00714F1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714F1C">
            <w:pPr>
              <w:widowControl w:val="0"/>
              <w:jc w:val="center"/>
              <w:rPr>
                <w:rFonts w:ascii="Arial" w:hAnsi="Arial"/>
                <w:b/>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714F1C">
            <w:pPr>
              <w:widowControl w:val="0"/>
              <w:jc w:val="center"/>
              <w:rPr>
                <w:rFonts w:ascii="Arial" w:hAnsi="Arial"/>
                <w:b/>
                <w:sz w:val="14"/>
              </w:rPr>
            </w:pPr>
            <w:r>
              <w:rPr>
                <w:rFonts w:ascii="Arial" w:hAnsi="Arial"/>
                <w:b/>
                <w:sz w:val="14"/>
              </w:rPr>
              <w:t>H</w:t>
            </w:r>
          </w:p>
          <w:p w:rsidR="008112A9" w:rsidRPr="002E0C7E" w:rsidRDefault="008112A9" w:rsidP="00714F1C">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714F1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714F1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714F1C">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714F1C">
            <w:pPr>
              <w:widowControl w:val="0"/>
              <w:jc w:val="center"/>
              <w:rPr>
                <w:rFonts w:ascii="Arial" w:hAnsi="Arial"/>
                <w:sz w:val="14"/>
              </w:rPr>
            </w:pPr>
          </w:p>
          <w:p w:rsidR="008112A9" w:rsidRPr="002E0C7E" w:rsidRDefault="008112A9" w:rsidP="00714F1C">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714F1C">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714F1C">
            <w:pPr>
              <w:widowControl w:val="0"/>
              <w:rPr>
                <w:rFonts w:ascii="Arial" w:hAnsi="Arial"/>
                <w:sz w:val="16"/>
              </w:rPr>
            </w:pPr>
            <w:r w:rsidRPr="002E0C7E">
              <w:rPr>
                <w:rFonts w:ascii="Arial" w:hAnsi="Arial"/>
                <w:sz w:val="16"/>
              </w:rPr>
              <w:t>Sittings of the court:</w:t>
            </w:r>
          </w:p>
          <w:p w:rsidR="008112A9" w:rsidRPr="002E0C7E" w:rsidRDefault="008112A9" w:rsidP="00714F1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714F1C">
            <w:pPr>
              <w:widowControl w:val="0"/>
              <w:rPr>
                <w:rFonts w:ascii="Arial" w:hAnsi="Arial"/>
                <w:sz w:val="16"/>
              </w:rPr>
            </w:pPr>
          </w:p>
          <w:p w:rsidR="008112A9" w:rsidRPr="002E0C7E" w:rsidRDefault="008112A9" w:rsidP="00714F1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714F1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714F1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714F1C">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714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38"/>
      <w:footerReference w:type="default" r:id="rId13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CE" w:rsidRDefault="007152CE" w:rsidP="00A87207">
      <w:r>
        <w:separator/>
      </w:r>
    </w:p>
  </w:endnote>
  <w:endnote w:type="continuationSeparator" w:id="0">
    <w:p w:rsidR="007152CE" w:rsidRDefault="007152C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pPr>
      <w:pStyle w:val="Footer"/>
      <w:rPr>
        <w:lang w:val="fr-CA"/>
      </w:rPr>
    </w:pPr>
    <w:r>
      <w:rPr>
        <w:lang w:val="fr-CA"/>
      </w:rPr>
      <w:pict>
        <v:rect id="_x0000_i1084" style="width:480.95pt;height:1pt" o:hralign="center" o:hrstd="t" o:hrnoshade="t" o:hr="t" fillcolor="black [3213]" stroked="f"/>
      </w:pict>
    </w:r>
  </w:p>
  <w:p w:rsidR="007152CE" w:rsidRDefault="007152CE" w:rsidP="00245129">
    <w:pPr>
      <w:tabs>
        <w:tab w:val="center" w:pos="4680"/>
      </w:tabs>
    </w:pPr>
    <w:r>
      <w:tab/>
    </w:r>
    <w:r w:rsidRPr="0009648D">
      <w:t xml:space="preserve">- </w:t>
    </w:r>
    <w:r w:rsidR="00215143">
      <w:fldChar w:fldCharType="begin"/>
    </w:r>
    <w:r w:rsidR="00215143">
      <w:instrText xml:space="preserve"> PAGE   \* MERGEFORMAT </w:instrText>
    </w:r>
    <w:r w:rsidR="00215143">
      <w:fldChar w:fldCharType="separate"/>
    </w:r>
    <w:r w:rsidR="00215143">
      <w:rPr>
        <w:noProof/>
      </w:rPr>
      <w:t>1427</w:t>
    </w:r>
    <w:r w:rsidR="00215143">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2CE" w:rsidRDefault="007152C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755F22">
    <w:pPr>
      <w:tabs>
        <w:tab w:val="left" w:pos="-1440"/>
        <w:tab w:val="left" w:pos="-720"/>
      </w:tabs>
    </w:pPr>
    <w:r>
      <w:pict>
        <v:rect id="_x0000_i1086" style="width:480.95pt;height:1pt" o:hralign="center" o:hrstd="t" o:hrnoshade="t" o:hr="t" fillcolor="black [3213]" stroked="f"/>
      </w:pict>
    </w:r>
  </w:p>
  <w:p w:rsidR="007152CE" w:rsidRDefault="007152CE" w:rsidP="00EB2B90">
    <w:pPr>
      <w:tabs>
        <w:tab w:val="center" w:pos="4680"/>
      </w:tabs>
    </w:pPr>
    <w:r>
      <w:tab/>
      <w:t xml:space="preserve">- </w:t>
    </w:r>
    <w:r w:rsidR="00215143">
      <w:fldChar w:fldCharType="begin"/>
    </w:r>
    <w:r w:rsidR="00215143">
      <w:instrText xml:space="preserve"> PAGE   \* MERGEFORMAT </w:instrText>
    </w:r>
    <w:r w:rsidR="00215143">
      <w:fldChar w:fldCharType="separate"/>
    </w:r>
    <w:r>
      <w:rPr>
        <w:noProof/>
      </w:rPr>
      <w:t>1441</w:t>
    </w:r>
    <w:r w:rsidR="0021514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EB2B90">
    <w:pPr>
      <w:tabs>
        <w:tab w:val="center" w:pos="4680"/>
      </w:tabs>
    </w:pPr>
    <w:r>
      <w:pict>
        <v:rect id="_x0000_i1087" style="width:480.95pt;height:1pt" o:hralign="center" o:hrstd="t" o:hrnoshade="t" o:hr="t" fillcolor="black [3213]" stroked="f"/>
      </w:pict>
    </w:r>
  </w:p>
  <w:p w:rsidR="007152CE" w:rsidRPr="0031432F" w:rsidRDefault="007152CE" w:rsidP="00EB2B90">
    <w:pPr>
      <w:tabs>
        <w:tab w:val="center" w:pos="4680"/>
      </w:tabs>
    </w:pPr>
    <w:r>
      <w:tab/>
      <w:t xml:space="preserve">- </w:t>
    </w:r>
    <w:r w:rsidR="00215143">
      <w:fldChar w:fldCharType="begin"/>
    </w:r>
    <w:r w:rsidR="00215143">
      <w:instrText xml:space="preserve"> PAGE   \* MERGEFORMAT </w:instrText>
    </w:r>
    <w:r w:rsidR="00215143">
      <w:fldChar w:fldCharType="separate"/>
    </w:r>
    <w:r w:rsidR="00215143">
      <w:rPr>
        <w:noProof/>
      </w:rPr>
      <w:t>1466</w:t>
    </w:r>
    <w:r w:rsidR="0021514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2CE" w:rsidRDefault="007152C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7152CE" w:rsidRDefault="007152CE" w:rsidP="00EB2B90">
    <w:pPr>
      <w:tabs>
        <w:tab w:val="center" w:pos="4680"/>
      </w:tabs>
    </w:pPr>
    <w:r>
      <w:tab/>
      <w:t xml:space="preserve">- </w:t>
    </w:r>
    <w:r w:rsidR="00215143">
      <w:fldChar w:fldCharType="begin"/>
    </w:r>
    <w:r w:rsidR="00215143">
      <w:instrText xml:space="preserve"> PAGE   \* MERGEFORMAT </w:instrText>
    </w:r>
    <w:r w:rsidR="00215143">
      <w:fldChar w:fldCharType="separate"/>
    </w:r>
    <w:r>
      <w:rPr>
        <w:noProof/>
      </w:rPr>
      <w:t>524</w:t>
    </w:r>
    <w:r w:rsidR="00215143">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pPr>
      <w:pStyle w:val="Footer"/>
      <w:rPr>
        <w:lang w:val="fr-CA"/>
      </w:rPr>
    </w:pPr>
    <w:r>
      <w:rPr>
        <w:lang w:val="fr-CA"/>
      </w:rPr>
      <w:pict>
        <v:rect id="_x0000_i1091" style="width:480.95pt;height:1pt" o:hralign="center" o:hrstd="t" o:hrnoshade="t" o:hr="t" fillcolor="black [3213]" stroked="f"/>
      </w:pict>
    </w:r>
  </w:p>
  <w:p w:rsidR="007152CE" w:rsidRDefault="007152CE" w:rsidP="00EB2B90">
    <w:pPr>
      <w:tabs>
        <w:tab w:val="center" w:pos="4680"/>
      </w:tabs>
    </w:pPr>
    <w:r>
      <w:tab/>
      <w:t xml:space="preserve">- </w:t>
    </w:r>
    <w:r w:rsidR="00215143">
      <w:fldChar w:fldCharType="begin"/>
    </w:r>
    <w:r w:rsidR="00215143">
      <w:instrText xml:space="preserve"> PAGE   \* MERGEFORMAT </w:instrText>
    </w:r>
    <w:r w:rsidR="00215143">
      <w:fldChar w:fldCharType="separate"/>
    </w:r>
    <w:r w:rsidR="00215143">
      <w:rPr>
        <w:noProof/>
      </w:rPr>
      <w:t>1467</w:t>
    </w:r>
    <w:r w:rsidR="0021514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2CE" w:rsidRDefault="007152C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732DB7">
    <w:r>
      <w:pict>
        <v:rect id="_x0000_i1093" style="width:480.95pt;height:1pt" o:hralign="center" o:hrstd="t" o:hrnoshade="t" o:hr="t" fillcolor="black" stroked="f"/>
      </w:pict>
    </w:r>
  </w:p>
  <w:p w:rsidR="007152CE" w:rsidRDefault="007152C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pPr>
      <w:pStyle w:val="Footer"/>
    </w:pPr>
    <w:r>
      <w:pict>
        <v:rect id="_x0000_i1094" style="width:480.95pt;height:1pt" o:hralign="center" o:hrstd="t" o:hrnoshade="t" o:hr="t" fillcolor="black [3213]" stroked="f"/>
      </w:pict>
    </w:r>
  </w:p>
  <w:p w:rsidR="007152CE" w:rsidRPr="003C2C0F" w:rsidRDefault="007152CE" w:rsidP="00697C62">
    <w:pPr>
      <w:tabs>
        <w:tab w:val="center" w:pos="4680"/>
      </w:tabs>
    </w:pPr>
    <w:r>
      <w:tab/>
      <w:t xml:space="preserve">- </w:t>
    </w:r>
    <w:r w:rsidR="00215143">
      <w:fldChar w:fldCharType="begin"/>
    </w:r>
    <w:r w:rsidR="00215143">
      <w:instrText xml:space="preserve"> PAGE   \* MERGEFORMAT </w:instrText>
    </w:r>
    <w:r w:rsidR="00215143">
      <w:fldChar w:fldCharType="separate"/>
    </w:r>
    <w:r w:rsidR="00215143">
      <w:rPr>
        <w:noProof/>
      </w:rPr>
      <w:t>1468</w:t>
    </w:r>
    <w:r w:rsidR="00215143">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2CE" w:rsidRDefault="007152CE">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52CE" w:rsidRDefault="00215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7" style="width:480.95pt;height:1pt" o:hralign="center" o:hrstd="t" o:hrnoshade="t" o:hr="t" fillcolor="black [3213]" stroked="f"/>
      </w:pict>
    </w:r>
  </w:p>
  <w:p w:rsidR="007152CE" w:rsidRDefault="007152CE" w:rsidP="00782AE4">
    <w:pPr>
      <w:tabs>
        <w:tab w:val="center" w:pos="4680"/>
      </w:tabs>
    </w:pPr>
    <w:r>
      <w:tab/>
      <w:t xml:space="preserve">- </w:t>
    </w:r>
    <w:r w:rsidR="000944FD" w:rsidRPr="001775C1">
      <w:rPr>
        <w:szCs w:val="24"/>
      </w:rPr>
      <w:fldChar w:fldCharType="begin"/>
    </w:r>
    <w:r w:rsidRPr="001775C1">
      <w:rPr>
        <w:szCs w:val="24"/>
      </w:rPr>
      <w:instrText xml:space="preserve"> PAGE   \* MERGEFORMAT </w:instrText>
    </w:r>
    <w:r w:rsidR="000944FD" w:rsidRPr="001775C1">
      <w:rPr>
        <w:szCs w:val="24"/>
      </w:rPr>
      <w:fldChar w:fldCharType="separate"/>
    </w:r>
    <w:r w:rsidR="00215143">
      <w:rPr>
        <w:noProof/>
        <w:szCs w:val="24"/>
      </w:rPr>
      <w:t>1473</w:t>
    </w:r>
    <w:r w:rsidR="000944FD"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782AE4">
    <w:pPr>
      <w:tabs>
        <w:tab w:val="center" w:pos="4680"/>
      </w:tabs>
    </w:pPr>
    <w:r>
      <w:pict>
        <v:rect id="_x0000_i1098" style="width:480.95pt;height:1pt" o:hralign="center" o:hrstd="t" o:hrnoshade="t" o:hr="t" fillcolor="black [3213]" stroked="f"/>
      </w:pict>
    </w:r>
  </w:p>
  <w:p w:rsidR="007152CE" w:rsidRDefault="007152CE" w:rsidP="00782AE4">
    <w:pPr>
      <w:tabs>
        <w:tab w:val="center" w:pos="4680"/>
      </w:tabs>
    </w:pPr>
    <w:r>
      <w:tab/>
      <w:t xml:space="preserve">- </w:t>
    </w:r>
    <w:r w:rsidR="000944FD" w:rsidRPr="001775C1">
      <w:rPr>
        <w:szCs w:val="24"/>
      </w:rPr>
      <w:fldChar w:fldCharType="begin"/>
    </w:r>
    <w:r w:rsidRPr="001775C1">
      <w:rPr>
        <w:szCs w:val="24"/>
      </w:rPr>
      <w:instrText xml:space="preserve"> PAGE   \* MERGEFORMAT </w:instrText>
    </w:r>
    <w:r w:rsidR="000944FD" w:rsidRPr="001775C1">
      <w:rPr>
        <w:szCs w:val="24"/>
      </w:rPr>
      <w:fldChar w:fldCharType="separate"/>
    </w:r>
    <w:r w:rsidR="00215143">
      <w:rPr>
        <w:noProof/>
        <w:szCs w:val="24"/>
      </w:rPr>
      <w:t>1469</w:t>
    </w:r>
    <w:r w:rsidR="000944FD"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152CE" w:rsidRDefault="007152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152CE" w:rsidRDefault="007152CE">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22323B">
    <w:r>
      <w:pict>
        <v:rect id="_x0000_i1101" style="width:480.95pt;height:1pt" o:hralign="center" o:hrstd="t" o:hrnoshade="t" o:hr="t" fillcolor="black [3213]" stroked="f"/>
      </w:pict>
    </w:r>
  </w:p>
  <w:p w:rsidR="007152CE" w:rsidRDefault="007152CE">
    <w:pPr>
      <w:tabs>
        <w:tab w:val="center" w:pos="4740"/>
      </w:tabs>
      <w:spacing w:line="0" w:lineRule="atLeast"/>
    </w:pPr>
    <w:r>
      <w:tab/>
      <w:t xml:space="preserve">- </w:t>
    </w:r>
    <w:r w:rsidR="00215143">
      <w:fldChar w:fldCharType="begin"/>
    </w:r>
    <w:r w:rsidR="00215143">
      <w:instrText xml:space="preserve"> PAGE   \* MERGEFORMAT </w:instrText>
    </w:r>
    <w:r w:rsidR="00215143">
      <w:fldChar w:fldCharType="separate"/>
    </w:r>
    <w:r w:rsidR="00215143">
      <w:rPr>
        <w:noProof/>
      </w:rPr>
      <w:t>1475</w:t>
    </w:r>
    <w:r w:rsidR="00215143">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22323B">
    <w:r>
      <w:pict>
        <v:rect id="_x0000_i1102" style="width:480.95pt;height:1pt" o:hralign="center" o:hrstd="t" o:hrnoshade="t" o:hr="t" fillcolor="black [3213]" stroked="f"/>
      </w:pict>
    </w:r>
  </w:p>
  <w:p w:rsidR="007152CE" w:rsidRDefault="007152CE" w:rsidP="0022323B">
    <w:pPr>
      <w:tabs>
        <w:tab w:val="center" w:pos="4740"/>
      </w:tabs>
      <w:spacing w:line="0" w:lineRule="atLeast"/>
    </w:pPr>
    <w:r>
      <w:tab/>
      <w:t xml:space="preserve">- </w:t>
    </w:r>
    <w:r w:rsidR="00215143">
      <w:fldChar w:fldCharType="begin"/>
    </w:r>
    <w:r w:rsidR="00215143">
      <w:instrText xml:space="preserve"> PAGE   \* MERGEFORMAT </w:instrText>
    </w:r>
    <w:r w:rsidR="00215143">
      <w:fldChar w:fldCharType="separate"/>
    </w:r>
    <w:r w:rsidR="00215143">
      <w:rPr>
        <w:noProof/>
      </w:rPr>
      <w:t>1474</w:t>
    </w:r>
    <w:r w:rsidR="00215143">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22323B">
    <w:r>
      <w:pict>
        <v:rect id="_x0000_i1129" style="width:480.95pt;height:1pt" o:hralign="center" o:hrstd="t" o:hrnoshade="t" o:hr="t" fillcolor="black [3213]" stroked="f"/>
      </w:pict>
    </w:r>
  </w:p>
  <w:p w:rsidR="007152CE" w:rsidRDefault="007152CE">
    <w:pPr>
      <w:tabs>
        <w:tab w:val="center" w:pos="4740"/>
      </w:tabs>
      <w:spacing w:line="0" w:lineRule="atLeast"/>
    </w:pPr>
    <w:r>
      <w:tab/>
      <w:t xml:space="preserve">- </w:t>
    </w:r>
    <w:r w:rsidR="00215143">
      <w:fldChar w:fldCharType="begin"/>
    </w:r>
    <w:r w:rsidR="00215143">
      <w:instrText xml:space="preserve"> PAGE   \* MERGEFORMAT </w:instrText>
    </w:r>
    <w:r w:rsidR="00215143">
      <w:fldChar w:fldCharType="separate"/>
    </w:r>
    <w:r w:rsidR="00215143">
      <w:rPr>
        <w:noProof/>
      </w:rPr>
      <w:t>1497</w:t>
    </w:r>
    <w:r w:rsidR="00215143">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22323B">
    <w:r>
      <w:pict>
        <v:rect id="_x0000_i1130" style="width:480.95pt;height:1pt" o:hralign="center" o:hrstd="t" o:hrnoshade="t" o:hr="t" fillcolor="black [3213]" stroked="f"/>
      </w:pict>
    </w:r>
  </w:p>
  <w:p w:rsidR="007152CE" w:rsidRDefault="007152CE" w:rsidP="0022323B">
    <w:pPr>
      <w:tabs>
        <w:tab w:val="center" w:pos="4740"/>
      </w:tabs>
      <w:spacing w:line="0" w:lineRule="atLeast"/>
    </w:pPr>
    <w:r>
      <w:tab/>
      <w:t xml:space="preserve">- </w:t>
    </w:r>
    <w:r w:rsidR="00215143">
      <w:fldChar w:fldCharType="begin"/>
    </w:r>
    <w:r w:rsidR="00215143">
      <w:instrText xml:space="preserve"> PAGE   \* MERGEFORMAT </w:instrText>
    </w:r>
    <w:r w:rsidR="00215143">
      <w:fldChar w:fldCharType="separate"/>
    </w:r>
    <w:r w:rsidR="00215143">
      <w:rPr>
        <w:noProof/>
      </w:rPr>
      <w:t>1476</w:t>
    </w:r>
    <w:r w:rsidR="00215143">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Pr="00924065" w:rsidRDefault="007152C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A87207">
    <w:pPr>
      <w:pStyle w:val="Footer"/>
    </w:pPr>
    <w:r>
      <w:pict>
        <v:rect id="_x0000_i1040" style="width:480.95pt;height:1pt" o:hralign="center" o:hrstd="t" o:hrnoshade="t" o:hr="t" fillcolor="black [3213]" stroked="f"/>
      </w:pict>
    </w:r>
  </w:p>
  <w:p w:rsidR="007152CE" w:rsidRPr="00B7374B" w:rsidRDefault="007152CE" w:rsidP="00B7374B">
    <w:pPr>
      <w:tabs>
        <w:tab w:val="center" w:pos="4680"/>
      </w:tabs>
      <w:rPr>
        <w:szCs w:val="24"/>
      </w:rPr>
    </w:pPr>
    <w:r w:rsidRPr="00954D22">
      <w:rPr>
        <w:szCs w:val="24"/>
      </w:rPr>
      <w:tab/>
      <w:t xml:space="preserve">- </w:t>
    </w:r>
    <w:r w:rsidR="000944FD" w:rsidRPr="00954D22">
      <w:rPr>
        <w:szCs w:val="24"/>
      </w:rPr>
      <w:fldChar w:fldCharType="begin"/>
    </w:r>
    <w:r w:rsidRPr="00954D22">
      <w:rPr>
        <w:szCs w:val="24"/>
      </w:rPr>
      <w:instrText xml:space="preserve"> PAGE   \* MERGEFORMAT </w:instrText>
    </w:r>
    <w:r w:rsidR="000944FD" w:rsidRPr="00954D22">
      <w:rPr>
        <w:szCs w:val="24"/>
      </w:rPr>
      <w:fldChar w:fldCharType="separate"/>
    </w:r>
    <w:r w:rsidR="00215143">
      <w:rPr>
        <w:noProof/>
        <w:szCs w:val="24"/>
      </w:rPr>
      <w:t>1425</w:t>
    </w:r>
    <w:r w:rsidR="000944FD"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755F22">
    <w:pPr>
      <w:tabs>
        <w:tab w:val="left" w:pos="-1440"/>
        <w:tab w:val="left" w:pos="-720"/>
      </w:tabs>
    </w:pPr>
    <w:r>
      <w:pict>
        <v:rect id="_x0000_i1041" style="width:480.95pt;height:1pt" o:hralign="center" o:hrstd="t" o:hrnoshade="t" o:hr="t" fillcolor="black [3213]" stroked="f"/>
      </w:pict>
    </w:r>
  </w:p>
  <w:p w:rsidR="007152CE" w:rsidRPr="00954D22" w:rsidRDefault="007152CE" w:rsidP="00B7374B">
    <w:pPr>
      <w:tabs>
        <w:tab w:val="center" w:pos="4680"/>
      </w:tabs>
      <w:rPr>
        <w:szCs w:val="24"/>
      </w:rPr>
    </w:pPr>
    <w:r w:rsidRPr="00954D22">
      <w:rPr>
        <w:szCs w:val="24"/>
      </w:rPr>
      <w:tab/>
      <w:t xml:space="preserve">- </w:t>
    </w:r>
    <w:r w:rsidR="000944FD">
      <w:rPr>
        <w:szCs w:val="24"/>
      </w:rPr>
      <w:fldChar w:fldCharType="begin"/>
    </w:r>
    <w:r>
      <w:rPr>
        <w:szCs w:val="24"/>
      </w:rPr>
      <w:instrText xml:space="preserve"> PAGE   \* MERGEFORMAT </w:instrText>
    </w:r>
    <w:r w:rsidR="000944FD">
      <w:rPr>
        <w:szCs w:val="24"/>
      </w:rPr>
      <w:fldChar w:fldCharType="separate"/>
    </w:r>
    <w:r w:rsidR="00215143">
      <w:rPr>
        <w:noProof/>
        <w:szCs w:val="24"/>
      </w:rPr>
      <w:t>1424</w:t>
    </w:r>
    <w:r w:rsidR="000944FD">
      <w:rPr>
        <w:szCs w:val="24"/>
      </w:rPr>
      <w:fldChar w:fldCharType="end"/>
    </w:r>
    <w:r w:rsidRPr="00954D22">
      <w:rPr>
        <w:szCs w:val="24"/>
      </w:rPr>
      <w:t xml:space="preserve"> -</w:t>
    </w:r>
  </w:p>
  <w:p w:rsidR="007152CE" w:rsidRDefault="007152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A87207">
    <w:pPr>
      <w:pStyle w:val="Footer"/>
    </w:pPr>
    <w:r>
      <w:pict>
        <v:rect id="_x0000_i1043" style="width:480.95pt;height:1pt" o:hralign="center" o:hrstd="t" o:hrnoshade="t" o:hr="t" fillcolor="black [3213]" stroked="f"/>
      </w:pict>
    </w:r>
  </w:p>
  <w:p w:rsidR="007152CE" w:rsidRPr="00B7374B" w:rsidRDefault="007152CE" w:rsidP="00B7374B">
    <w:pPr>
      <w:tabs>
        <w:tab w:val="center" w:pos="4680"/>
      </w:tabs>
      <w:rPr>
        <w:szCs w:val="24"/>
      </w:rPr>
    </w:pPr>
    <w:r w:rsidRPr="00954D22">
      <w:rPr>
        <w:szCs w:val="24"/>
      </w:rPr>
      <w:tab/>
      <w:t xml:space="preserve">- </w:t>
    </w:r>
    <w:r w:rsidR="000944FD" w:rsidRPr="00954D22">
      <w:rPr>
        <w:szCs w:val="24"/>
      </w:rPr>
      <w:fldChar w:fldCharType="begin"/>
    </w:r>
    <w:r w:rsidRPr="00954D22">
      <w:rPr>
        <w:szCs w:val="24"/>
      </w:rPr>
      <w:instrText xml:space="preserve"> PAGE   \* MERGEFORMAT </w:instrText>
    </w:r>
    <w:r w:rsidR="000944FD" w:rsidRPr="00954D22">
      <w:rPr>
        <w:szCs w:val="24"/>
      </w:rPr>
      <w:fldChar w:fldCharType="separate"/>
    </w:r>
    <w:r>
      <w:rPr>
        <w:noProof/>
        <w:szCs w:val="24"/>
      </w:rPr>
      <w:t>1427</w:t>
    </w:r>
    <w:r w:rsidR="000944FD"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7152CE" w:rsidRPr="00954D22" w:rsidRDefault="007152CE" w:rsidP="00B7374B">
    <w:pPr>
      <w:tabs>
        <w:tab w:val="center" w:pos="4680"/>
      </w:tabs>
      <w:rPr>
        <w:szCs w:val="24"/>
      </w:rPr>
    </w:pPr>
    <w:r w:rsidRPr="00954D22">
      <w:rPr>
        <w:szCs w:val="24"/>
      </w:rPr>
      <w:tab/>
      <w:t xml:space="preserve">- </w:t>
    </w:r>
    <w:r w:rsidR="000944FD" w:rsidRPr="00954D22">
      <w:rPr>
        <w:szCs w:val="24"/>
      </w:rPr>
      <w:fldChar w:fldCharType="begin"/>
    </w:r>
    <w:r w:rsidRPr="00954D22">
      <w:rPr>
        <w:szCs w:val="24"/>
      </w:rPr>
      <w:instrText xml:space="preserve"> PAGE   \* MERGEFORMAT </w:instrText>
    </w:r>
    <w:r w:rsidR="000944FD" w:rsidRPr="00954D22">
      <w:rPr>
        <w:szCs w:val="24"/>
      </w:rPr>
      <w:fldChar w:fldCharType="separate"/>
    </w:r>
    <w:r w:rsidR="00215143">
      <w:rPr>
        <w:noProof/>
        <w:szCs w:val="24"/>
      </w:rPr>
      <w:t>1426</w:t>
    </w:r>
    <w:r w:rsidR="000944FD"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52CE" w:rsidRDefault="007152C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215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7152CE" w:rsidRPr="0009648D" w:rsidRDefault="007152CE" w:rsidP="00ED7E83">
    <w:pPr>
      <w:tabs>
        <w:tab w:val="center" w:pos="4680"/>
      </w:tabs>
    </w:pPr>
    <w:r>
      <w:tab/>
    </w:r>
    <w:r w:rsidRPr="0009648D">
      <w:t xml:space="preserve">- </w:t>
    </w:r>
    <w:r w:rsidR="00215143">
      <w:fldChar w:fldCharType="begin"/>
    </w:r>
    <w:r w:rsidR="00215143">
      <w:instrText xml:space="preserve"> PAGE   \* MERGEFORMAT </w:instrText>
    </w:r>
    <w:r w:rsidR="00215143">
      <w:fldChar w:fldCharType="separate"/>
    </w:r>
    <w:r w:rsidR="00215143">
      <w:rPr>
        <w:noProof/>
      </w:rPr>
      <w:t>1465</w:t>
    </w:r>
    <w:r w:rsidR="00215143">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CE" w:rsidRDefault="007152CE" w:rsidP="00A87207">
      <w:r>
        <w:separator/>
      </w:r>
    </w:p>
  </w:footnote>
  <w:footnote w:type="continuationSeparator" w:id="0">
    <w:p w:rsidR="007152CE" w:rsidRDefault="007152C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152CE">
      <w:tc>
        <w:tcPr>
          <w:tcW w:w="423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152CE"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2CE"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152CE">
      <w:trPr>
        <w:gridAfter w:val="2"/>
        <w:wAfter w:w="5250" w:type="dxa"/>
      </w:trPr>
      <w:tc>
        <w:tcPr>
          <w:tcW w:w="4230" w:type="dxa"/>
          <w:tcMar>
            <w:left w:w="0" w:type="dxa"/>
            <w:right w:w="0" w:type="dxa"/>
          </w:tcMar>
        </w:tcPr>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152CE" w:rsidRPr="00755F22" w:rsidTr="00245129">
      <w:tc>
        <w:tcPr>
          <w:tcW w:w="4230" w:type="dxa"/>
          <w:tcMar>
            <w:left w:w="0" w:type="dxa"/>
            <w:right w:w="0" w:type="dxa"/>
          </w:tcMar>
        </w:tcPr>
        <w:p w:rsidR="007152CE" w:rsidRPr="00755F22" w:rsidRDefault="007152CE" w:rsidP="00831CA9">
          <w:pPr>
            <w:keepNext/>
            <w:keepLines/>
            <w:rPr>
              <w:sz w:val="20"/>
              <w:szCs w:val="20"/>
            </w:rPr>
          </w:pPr>
          <w:r w:rsidRPr="00755F22">
            <w:rPr>
              <w:sz w:val="20"/>
              <w:szCs w:val="20"/>
            </w:rPr>
            <w:t>MOTIONS</w:t>
          </w:r>
        </w:p>
      </w:tc>
      <w:tc>
        <w:tcPr>
          <w:tcW w:w="1170" w:type="dxa"/>
          <w:tcMar>
            <w:left w:w="0" w:type="dxa"/>
            <w:right w:w="0" w:type="dxa"/>
          </w:tcMar>
        </w:tcPr>
        <w:p w:rsidR="007152CE" w:rsidRPr="00755F22" w:rsidRDefault="007152CE" w:rsidP="00831CA9">
          <w:pPr>
            <w:keepLines/>
            <w:jc w:val="center"/>
            <w:rPr>
              <w:sz w:val="20"/>
              <w:szCs w:val="20"/>
            </w:rPr>
          </w:pPr>
        </w:p>
        <w:p w:rsidR="007152CE" w:rsidRPr="00755F22" w:rsidRDefault="007152CE" w:rsidP="00831CA9">
          <w:pPr>
            <w:keepLines/>
            <w:tabs>
              <w:tab w:val="left" w:pos="-1440"/>
              <w:tab w:val="left" w:pos="-720"/>
            </w:tabs>
            <w:jc w:val="center"/>
            <w:rPr>
              <w:sz w:val="20"/>
              <w:szCs w:val="20"/>
            </w:rPr>
          </w:pPr>
        </w:p>
      </w:tc>
      <w:tc>
        <w:tcPr>
          <w:tcW w:w="4080" w:type="dxa"/>
          <w:tcMar>
            <w:left w:w="0" w:type="dxa"/>
            <w:right w:w="0" w:type="dxa"/>
          </w:tcMar>
        </w:tcPr>
        <w:p w:rsidR="007152CE" w:rsidRPr="00BA6468" w:rsidRDefault="007152CE" w:rsidP="00BA6468">
          <w:pPr>
            <w:keepLines/>
            <w:rPr>
              <w:sz w:val="20"/>
              <w:szCs w:val="20"/>
              <w:lang w:val="fr-CA"/>
            </w:rPr>
          </w:pPr>
          <w:r w:rsidRPr="00BA6468">
            <w:rPr>
              <w:sz w:val="20"/>
              <w:szCs w:val="20"/>
              <w:lang w:val="fr-CA"/>
            </w:rPr>
            <w:t>REQUÊTES</w:t>
          </w:r>
        </w:p>
      </w:tc>
    </w:tr>
  </w:tbl>
  <w:p w:rsidR="007152CE" w:rsidRDefault="007152CE"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52CE" w:rsidRPr="00225EDC">
      <w:tc>
        <w:tcPr>
          <w:tcW w:w="420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2CE" w:rsidRPr="00B01A03"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152CE" w:rsidRPr="00B01A03"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152CE" w:rsidRPr="00B01A03"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152CE" w:rsidRPr="00225EDC" w:rsidTr="00245129">
      <w:tc>
        <w:tcPr>
          <w:tcW w:w="4200" w:type="dxa"/>
          <w:tcMar>
            <w:left w:w="0" w:type="dxa"/>
            <w:right w:w="0" w:type="dxa"/>
          </w:tcMar>
        </w:tcPr>
        <w:p w:rsidR="007152CE" w:rsidRPr="00F40249" w:rsidRDefault="007152C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152CE" w:rsidRDefault="007152CE" w:rsidP="00102926">
          <w:pPr>
            <w:keepNext/>
            <w:keepLines/>
            <w:tabs>
              <w:tab w:val="left" w:pos="-1440"/>
              <w:tab w:val="left" w:pos="-720"/>
            </w:tabs>
            <w:jc w:val="center"/>
            <w:rPr>
              <w:sz w:val="20"/>
              <w:szCs w:val="20"/>
            </w:rPr>
          </w:pPr>
        </w:p>
        <w:p w:rsidR="007152CE" w:rsidRDefault="007152CE" w:rsidP="00102926">
          <w:pPr>
            <w:keepNext/>
            <w:keepLines/>
            <w:tabs>
              <w:tab w:val="left" w:pos="-1440"/>
              <w:tab w:val="left" w:pos="-720"/>
            </w:tabs>
            <w:jc w:val="center"/>
            <w:rPr>
              <w:sz w:val="20"/>
              <w:szCs w:val="20"/>
            </w:rPr>
          </w:pPr>
        </w:p>
        <w:p w:rsidR="007152CE" w:rsidRPr="00F40249" w:rsidRDefault="007152CE" w:rsidP="00102926">
          <w:pPr>
            <w:keepNext/>
            <w:keepLines/>
            <w:tabs>
              <w:tab w:val="left" w:pos="-1440"/>
              <w:tab w:val="left" w:pos="-720"/>
            </w:tabs>
            <w:jc w:val="center"/>
            <w:rPr>
              <w:sz w:val="20"/>
              <w:szCs w:val="20"/>
            </w:rPr>
          </w:pPr>
        </w:p>
      </w:tc>
      <w:tc>
        <w:tcPr>
          <w:tcW w:w="4230" w:type="dxa"/>
          <w:tcMar>
            <w:left w:w="0" w:type="dxa"/>
            <w:right w:w="0" w:type="dxa"/>
          </w:tcMar>
        </w:tcPr>
        <w:p w:rsidR="007152CE" w:rsidRPr="00F40249" w:rsidRDefault="007152C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152CE" w:rsidRPr="00B01A03" w:rsidRDefault="007152C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52CE" w:rsidRPr="00225EDC">
      <w:tc>
        <w:tcPr>
          <w:tcW w:w="420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152CE" w:rsidRPr="003C2C0F"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152CE" w:rsidRPr="003C2C0F"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152CE" w:rsidRPr="003C2C0F"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52CE" w:rsidRPr="00225EDC" w:rsidTr="00245129">
      <w:tc>
        <w:tcPr>
          <w:tcW w:w="4200" w:type="dxa"/>
          <w:tcMar>
            <w:left w:w="0" w:type="dxa"/>
            <w:right w:w="0" w:type="dxa"/>
          </w:tcMar>
        </w:tcPr>
        <w:p w:rsidR="007152CE" w:rsidRPr="00FF6EEC" w:rsidRDefault="007152CE" w:rsidP="00FF6EEC">
          <w:pPr>
            <w:rPr>
              <w:sz w:val="20"/>
              <w:szCs w:val="20"/>
            </w:rPr>
          </w:pPr>
          <w:r w:rsidRPr="00FF6EEC">
            <w:rPr>
              <w:sz w:val="20"/>
              <w:szCs w:val="20"/>
            </w:rPr>
            <w:t>PRONOUNCEMENTS OF APPEALS RESERVED</w:t>
          </w:r>
        </w:p>
      </w:tc>
      <w:tc>
        <w:tcPr>
          <w:tcW w:w="1200" w:type="dxa"/>
          <w:tcMar>
            <w:left w:w="0" w:type="dxa"/>
            <w:right w:w="0" w:type="dxa"/>
          </w:tcMar>
        </w:tcPr>
        <w:p w:rsidR="007152CE" w:rsidRPr="00FF6EEC" w:rsidRDefault="007152CE" w:rsidP="00FF6EEC">
          <w:pPr>
            <w:jc w:val="center"/>
            <w:rPr>
              <w:sz w:val="20"/>
              <w:szCs w:val="20"/>
            </w:rPr>
          </w:pPr>
        </w:p>
        <w:p w:rsidR="007152CE" w:rsidRPr="00FF6EEC" w:rsidRDefault="007152CE" w:rsidP="00FF6EEC">
          <w:pPr>
            <w:jc w:val="center"/>
            <w:rPr>
              <w:sz w:val="20"/>
              <w:szCs w:val="20"/>
            </w:rPr>
          </w:pPr>
        </w:p>
        <w:p w:rsidR="007152CE" w:rsidRPr="00FF6EEC" w:rsidRDefault="007152CE" w:rsidP="00FF6EEC">
          <w:pPr>
            <w:jc w:val="center"/>
            <w:rPr>
              <w:sz w:val="20"/>
              <w:szCs w:val="20"/>
            </w:rPr>
          </w:pPr>
        </w:p>
      </w:tc>
      <w:tc>
        <w:tcPr>
          <w:tcW w:w="4080" w:type="dxa"/>
          <w:tcMar>
            <w:left w:w="0" w:type="dxa"/>
            <w:right w:w="0" w:type="dxa"/>
          </w:tcMar>
        </w:tcPr>
        <w:p w:rsidR="007152CE" w:rsidRPr="00FF6EEC" w:rsidRDefault="007152CE" w:rsidP="00FF6EEC">
          <w:pPr>
            <w:rPr>
              <w:sz w:val="20"/>
              <w:szCs w:val="20"/>
              <w:lang w:val="fr-CA"/>
            </w:rPr>
          </w:pPr>
          <w:r w:rsidRPr="00FF6EEC">
            <w:rPr>
              <w:sz w:val="20"/>
              <w:szCs w:val="20"/>
              <w:lang w:val="fr-CA"/>
            </w:rPr>
            <w:t>JUGEMENTS RENDUS SUR LES APPELS EN DÉLIBÉRÉ</w:t>
          </w:r>
        </w:p>
      </w:tc>
    </w:tr>
  </w:tbl>
  <w:p w:rsidR="007152CE" w:rsidRPr="003C2C0F" w:rsidRDefault="007152C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152CE">
      <w:tc>
        <w:tcPr>
          <w:tcW w:w="423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152CE"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52CE"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152CE" w:rsidRPr="00782AE4" w:rsidTr="00245129">
      <w:tc>
        <w:tcPr>
          <w:tcW w:w="4230" w:type="dxa"/>
          <w:tcMar>
            <w:left w:w="0" w:type="dxa"/>
            <w:right w:w="0" w:type="dxa"/>
          </w:tcMar>
        </w:tcPr>
        <w:p w:rsidR="007152CE" w:rsidRPr="00782AE4" w:rsidRDefault="007152CE" w:rsidP="00102926">
          <w:pPr>
            <w:keepNext/>
            <w:keepLines/>
            <w:tabs>
              <w:tab w:val="left" w:pos="-1440"/>
              <w:tab w:val="left" w:pos="-720"/>
            </w:tabs>
            <w:rPr>
              <w:sz w:val="20"/>
              <w:szCs w:val="20"/>
            </w:rPr>
          </w:pPr>
          <w:r w:rsidRPr="00782AE4">
            <w:rPr>
              <w:sz w:val="20"/>
              <w:szCs w:val="20"/>
            </w:rPr>
            <w:t xml:space="preserve">HEADNOTES OF RECENT </w:t>
          </w:r>
        </w:p>
        <w:p w:rsidR="007152CE" w:rsidRPr="00782AE4"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152CE" w:rsidRDefault="007152CE" w:rsidP="00102926">
          <w:pPr>
            <w:keepNext/>
            <w:keepLines/>
            <w:tabs>
              <w:tab w:val="left" w:pos="-1440"/>
              <w:tab w:val="left" w:pos="-720"/>
            </w:tabs>
            <w:jc w:val="center"/>
            <w:rPr>
              <w:sz w:val="20"/>
              <w:szCs w:val="20"/>
            </w:rPr>
          </w:pPr>
        </w:p>
        <w:p w:rsidR="007152CE" w:rsidRDefault="007152CE" w:rsidP="00102926">
          <w:pPr>
            <w:keepNext/>
            <w:keepLines/>
            <w:tabs>
              <w:tab w:val="left" w:pos="-1440"/>
              <w:tab w:val="left" w:pos="-720"/>
            </w:tabs>
            <w:jc w:val="center"/>
            <w:rPr>
              <w:sz w:val="20"/>
              <w:szCs w:val="20"/>
            </w:rPr>
          </w:pPr>
        </w:p>
        <w:p w:rsidR="007152CE" w:rsidRPr="00782AE4" w:rsidRDefault="007152CE" w:rsidP="00102926">
          <w:pPr>
            <w:keepNext/>
            <w:keepLines/>
            <w:tabs>
              <w:tab w:val="left" w:pos="-1440"/>
              <w:tab w:val="left" w:pos="-720"/>
            </w:tabs>
            <w:jc w:val="center"/>
            <w:rPr>
              <w:sz w:val="20"/>
              <w:szCs w:val="20"/>
            </w:rPr>
          </w:pPr>
        </w:p>
      </w:tc>
      <w:tc>
        <w:tcPr>
          <w:tcW w:w="4080" w:type="dxa"/>
          <w:tcMar>
            <w:left w:w="0" w:type="dxa"/>
            <w:right w:w="0" w:type="dxa"/>
          </w:tcMar>
        </w:tcPr>
        <w:p w:rsidR="007152CE" w:rsidRPr="00102926"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152CE" w:rsidRPr="00782AE4" w:rsidRDefault="007152CE" w:rsidP="00102926">
          <w:pPr>
            <w:keepLines/>
            <w:tabs>
              <w:tab w:val="left" w:pos="-1440"/>
              <w:tab w:val="left" w:pos="-720"/>
            </w:tabs>
            <w:rPr>
              <w:sz w:val="20"/>
              <w:szCs w:val="20"/>
            </w:rPr>
          </w:pPr>
          <w:r w:rsidRPr="00102926">
            <w:rPr>
              <w:sz w:val="20"/>
              <w:szCs w:val="20"/>
              <w:lang w:val="fr-CA"/>
            </w:rPr>
            <w:t>RÉCENTS</w:t>
          </w:r>
        </w:p>
      </w:tc>
    </w:tr>
  </w:tbl>
  <w:p w:rsidR="007152CE" w:rsidRDefault="007152C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52CE">
      <w:tc>
        <w:tcPr>
          <w:tcW w:w="4200" w:type="dxa"/>
          <w:tcMar>
            <w:left w:w="0" w:type="dxa"/>
            <w:right w:w="0" w:type="dxa"/>
          </w:tcMar>
        </w:tcPr>
        <w:p w:rsidR="007152CE" w:rsidRDefault="007152C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152CE" w:rsidRDefault="007152C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152CE" w:rsidRDefault="007152C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152CE" w:rsidRDefault="007152C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152CE" w:rsidRDefault="007152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152CE" w:rsidRDefault="007152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52CE" w:rsidRPr="00C50A5C" w:rsidTr="00245129">
      <w:tc>
        <w:tcPr>
          <w:tcW w:w="4200" w:type="dxa"/>
          <w:tcMar>
            <w:left w:w="0" w:type="dxa"/>
            <w:right w:w="0" w:type="dxa"/>
          </w:tcMar>
        </w:tcPr>
        <w:p w:rsidR="007152CE" w:rsidRPr="00C50A5C" w:rsidRDefault="007152CE" w:rsidP="006A6E0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OC</w:t>
          </w:r>
          <w:r w:rsidRPr="00C50A5C">
            <w:rPr>
              <w:sz w:val="20"/>
              <w:szCs w:val="20"/>
            </w:rPr>
            <w:t>T</w:t>
          </w:r>
          <w:r>
            <w:rPr>
              <w:sz w:val="20"/>
              <w:szCs w:val="20"/>
            </w:rPr>
            <w:t>OB</w:t>
          </w:r>
          <w:r w:rsidRPr="00C50A5C">
            <w:rPr>
              <w:sz w:val="20"/>
              <w:szCs w:val="20"/>
            </w:rPr>
            <w:t>E</w:t>
          </w:r>
          <w:r>
            <w:rPr>
              <w:sz w:val="20"/>
              <w:szCs w:val="20"/>
            </w:rPr>
            <w:t>R 2014</w:t>
          </w:r>
        </w:p>
      </w:tc>
      <w:tc>
        <w:tcPr>
          <w:tcW w:w="1200" w:type="dxa"/>
          <w:tcMar>
            <w:left w:w="0" w:type="dxa"/>
            <w:right w:w="0" w:type="dxa"/>
          </w:tcMar>
        </w:tcPr>
        <w:p w:rsidR="007152CE" w:rsidRPr="00C50A5C" w:rsidRDefault="007152C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152CE" w:rsidRPr="00C50A5C" w:rsidRDefault="007152C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152CE" w:rsidRPr="00C50A5C" w:rsidRDefault="007152CE" w:rsidP="006A6E0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w:t>
          </w:r>
          <w:r>
            <w:rPr>
              <w:sz w:val="20"/>
              <w:szCs w:val="20"/>
              <w:lang w:val="fr-CA"/>
            </w:rPr>
            <w:t>’OC</w:t>
          </w:r>
          <w:r w:rsidRPr="00C50A5C">
            <w:rPr>
              <w:sz w:val="20"/>
              <w:szCs w:val="20"/>
              <w:lang w:val="fr-CA"/>
            </w:rPr>
            <w:t>T</w:t>
          </w:r>
          <w:r>
            <w:rPr>
              <w:sz w:val="20"/>
              <w:szCs w:val="20"/>
              <w:lang w:val="fr-CA"/>
            </w:rPr>
            <w:t>OBR</w:t>
          </w:r>
          <w:r w:rsidRPr="00C50A5C">
            <w:rPr>
              <w:sz w:val="20"/>
              <w:szCs w:val="20"/>
              <w:lang w:val="fr-CA"/>
            </w:rPr>
            <w:t>E</w:t>
          </w:r>
          <w:r>
            <w:rPr>
              <w:sz w:val="20"/>
              <w:szCs w:val="20"/>
              <w:lang w:val="fr-CA"/>
            </w:rPr>
            <w:t xml:space="preserve"> 2014</w:t>
          </w:r>
        </w:p>
      </w:tc>
    </w:tr>
  </w:tbl>
  <w:p w:rsidR="007152CE" w:rsidRDefault="007152C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52CE" w:rsidRPr="005F263E" w:rsidTr="00245129">
      <w:tc>
        <w:tcPr>
          <w:tcW w:w="4200" w:type="dxa"/>
          <w:tcMar>
            <w:left w:w="0" w:type="dxa"/>
            <w:right w:w="0" w:type="dxa"/>
          </w:tcMar>
        </w:tcPr>
        <w:p w:rsidR="007152CE" w:rsidRPr="005F263E" w:rsidRDefault="007152CE"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7152CE" w:rsidRPr="005F263E" w:rsidRDefault="007152CE" w:rsidP="00245129">
          <w:pPr>
            <w:keepNext/>
            <w:keepLines/>
            <w:tabs>
              <w:tab w:val="left" w:pos="-1440"/>
              <w:tab w:val="left" w:pos="-720"/>
            </w:tabs>
            <w:jc w:val="center"/>
            <w:rPr>
              <w:sz w:val="20"/>
              <w:szCs w:val="20"/>
            </w:rPr>
          </w:pPr>
        </w:p>
        <w:p w:rsidR="007152CE" w:rsidRPr="005F263E" w:rsidRDefault="007152CE" w:rsidP="00245129">
          <w:pPr>
            <w:keepNext/>
            <w:keepLines/>
            <w:tabs>
              <w:tab w:val="left" w:pos="-1440"/>
              <w:tab w:val="left" w:pos="-720"/>
            </w:tabs>
            <w:jc w:val="center"/>
            <w:rPr>
              <w:sz w:val="20"/>
              <w:szCs w:val="20"/>
            </w:rPr>
          </w:pPr>
        </w:p>
      </w:tc>
      <w:tc>
        <w:tcPr>
          <w:tcW w:w="4080" w:type="dxa"/>
          <w:tcMar>
            <w:left w:w="0" w:type="dxa"/>
            <w:right w:w="0" w:type="dxa"/>
          </w:tcMar>
        </w:tcPr>
        <w:p w:rsidR="007152CE" w:rsidRPr="005F263E" w:rsidRDefault="007152CE" w:rsidP="00245129">
          <w:pPr>
            <w:keepLines/>
            <w:tabs>
              <w:tab w:val="left" w:pos="-1440"/>
              <w:tab w:val="left" w:pos="-720"/>
            </w:tabs>
            <w:rPr>
              <w:sz w:val="20"/>
              <w:szCs w:val="20"/>
            </w:rPr>
          </w:pPr>
          <w:r w:rsidRPr="005F263E">
            <w:rPr>
              <w:sz w:val="20"/>
              <w:szCs w:val="20"/>
            </w:rPr>
            <w:t>RÉSUMÉS DES AFFAIRES</w:t>
          </w:r>
        </w:p>
      </w:tc>
    </w:tr>
  </w:tbl>
  <w:p w:rsidR="007152CE" w:rsidRDefault="007152CE" w:rsidP="005F26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152CE" w:rsidRPr="0044776A" w:rsidTr="00245129">
      <w:tc>
        <w:tcPr>
          <w:tcW w:w="4290" w:type="dxa"/>
          <w:tcMar>
            <w:left w:w="0" w:type="dxa"/>
            <w:right w:w="0" w:type="dxa"/>
          </w:tcMar>
        </w:tcPr>
        <w:p w:rsidR="007152CE" w:rsidRPr="0044776A" w:rsidRDefault="007152C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152CE" w:rsidRPr="0044776A" w:rsidRDefault="007152CE" w:rsidP="002E2327">
          <w:pPr>
            <w:keepNext/>
            <w:keepLines/>
            <w:tabs>
              <w:tab w:val="left" w:pos="-1440"/>
              <w:tab w:val="left" w:pos="-720"/>
            </w:tabs>
            <w:jc w:val="center"/>
            <w:rPr>
              <w:sz w:val="20"/>
              <w:szCs w:val="20"/>
            </w:rPr>
          </w:pPr>
        </w:p>
        <w:p w:rsidR="007152CE" w:rsidRPr="0044776A" w:rsidRDefault="007152CE" w:rsidP="002E2327">
          <w:pPr>
            <w:keepNext/>
            <w:keepLines/>
            <w:tabs>
              <w:tab w:val="left" w:pos="-1440"/>
              <w:tab w:val="left" w:pos="-720"/>
            </w:tabs>
            <w:jc w:val="center"/>
            <w:rPr>
              <w:sz w:val="20"/>
              <w:szCs w:val="20"/>
            </w:rPr>
          </w:pPr>
        </w:p>
        <w:p w:rsidR="007152CE" w:rsidRPr="0044776A" w:rsidRDefault="007152CE" w:rsidP="002E2327">
          <w:pPr>
            <w:keepNext/>
            <w:keepLines/>
            <w:tabs>
              <w:tab w:val="left" w:pos="-1440"/>
              <w:tab w:val="left" w:pos="-720"/>
            </w:tabs>
            <w:jc w:val="center"/>
            <w:rPr>
              <w:sz w:val="20"/>
              <w:szCs w:val="20"/>
            </w:rPr>
          </w:pPr>
        </w:p>
      </w:tc>
      <w:tc>
        <w:tcPr>
          <w:tcW w:w="4320" w:type="dxa"/>
          <w:tcMar>
            <w:left w:w="0" w:type="dxa"/>
            <w:right w:w="0" w:type="dxa"/>
          </w:tcMar>
        </w:tcPr>
        <w:p w:rsidR="007152CE" w:rsidRPr="0044776A" w:rsidRDefault="007152CE" w:rsidP="002E2327">
          <w:pPr>
            <w:keepLines/>
            <w:rPr>
              <w:sz w:val="20"/>
              <w:szCs w:val="20"/>
              <w:lang w:val="fr-CA"/>
            </w:rPr>
          </w:pPr>
          <w:r w:rsidRPr="0044776A">
            <w:rPr>
              <w:sz w:val="20"/>
              <w:szCs w:val="20"/>
              <w:lang w:val="fr-CA"/>
            </w:rPr>
            <w:t>DEMANDES D'AUTORISATION D'APPEL DÉPOSÉES</w:t>
          </w:r>
        </w:p>
      </w:tc>
    </w:tr>
  </w:tbl>
  <w:p w:rsidR="007152CE" w:rsidRDefault="007152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52CE" w:rsidRPr="00225EDC" w:rsidTr="00245129">
      <w:tc>
        <w:tcPr>
          <w:tcW w:w="4200" w:type="dxa"/>
          <w:tcMar>
            <w:left w:w="0" w:type="dxa"/>
            <w:right w:w="0" w:type="dxa"/>
          </w:tcMar>
        </w:tcPr>
        <w:p w:rsidR="007152CE" w:rsidRPr="0044776A" w:rsidRDefault="007152CE" w:rsidP="0044776A">
          <w:pPr>
            <w:keepNext/>
            <w:keepLines/>
            <w:widowControl w:val="0"/>
            <w:rPr>
              <w:sz w:val="20"/>
              <w:szCs w:val="20"/>
            </w:rPr>
          </w:pPr>
          <w:r>
            <w:rPr>
              <w:sz w:val="20"/>
              <w:szCs w:val="20"/>
            </w:rPr>
            <w:t>APPLICATIONS FOR LEAVE</w:t>
          </w:r>
        </w:p>
        <w:p w:rsidR="007152CE" w:rsidRPr="0044776A" w:rsidRDefault="007152C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152CE" w:rsidRPr="0044776A" w:rsidRDefault="007152CE" w:rsidP="0044776A">
          <w:pPr>
            <w:keepNext/>
            <w:keepLines/>
            <w:widowControl w:val="0"/>
            <w:jc w:val="center"/>
            <w:rPr>
              <w:sz w:val="20"/>
              <w:szCs w:val="20"/>
            </w:rPr>
          </w:pPr>
        </w:p>
        <w:p w:rsidR="007152CE" w:rsidRPr="0044776A" w:rsidRDefault="007152CE" w:rsidP="0044776A">
          <w:pPr>
            <w:keepNext/>
            <w:keepLines/>
            <w:widowControl w:val="0"/>
            <w:jc w:val="center"/>
            <w:rPr>
              <w:sz w:val="20"/>
              <w:szCs w:val="20"/>
            </w:rPr>
          </w:pPr>
        </w:p>
        <w:p w:rsidR="007152CE" w:rsidRPr="0044776A" w:rsidRDefault="007152CE" w:rsidP="0044776A">
          <w:pPr>
            <w:keepNext/>
            <w:keepLines/>
            <w:widowControl w:val="0"/>
            <w:jc w:val="center"/>
            <w:rPr>
              <w:sz w:val="20"/>
              <w:szCs w:val="20"/>
            </w:rPr>
          </w:pPr>
        </w:p>
      </w:tc>
      <w:tc>
        <w:tcPr>
          <w:tcW w:w="4080" w:type="dxa"/>
          <w:tcMar>
            <w:left w:w="0" w:type="dxa"/>
            <w:right w:w="0" w:type="dxa"/>
          </w:tcMar>
        </w:tcPr>
        <w:p w:rsidR="007152CE" w:rsidRPr="0044776A" w:rsidRDefault="007152CE" w:rsidP="0044776A">
          <w:pPr>
            <w:keepLines/>
            <w:widowControl w:val="0"/>
            <w:rPr>
              <w:sz w:val="20"/>
              <w:szCs w:val="20"/>
              <w:lang w:val="fr-CA"/>
            </w:rPr>
          </w:pPr>
          <w:r w:rsidRPr="0044776A">
            <w:rPr>
              <w:sz w:val="20"/>
              <w:szCs w:val="20"/>
              <w:lang w:val="fr-CA"/>
            </w:rPr>
            <w:t>DEMANDES SOUMISES À LA COUR DEPUIS LA DERNIÈRE PARUTION</w:t>
          </w:r>
        </w:p>
        <w:p w:rsidR="007152CE" w:rsidRPr="0044776A" w:rsidRDefault="007152CE" w:rsidP="0044776A">
          <w:pPr>
            <w:widowControl w:val="0"/>
            <w:rPr>
              <w:sz w:val="20"/>
              <w:szCs w:val="20"/>
              <w:lang w:val="fr-CA"/>
            </w:rPr>
          </w:pPr>
        </w:p>
      </w:tc>
    </w:tr>
  </w:tbl>
  <w:p w:rsidR="007152CE" w:rsidRPr="002E2327" w:rsidRDefault="007152C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E" w:rsidRDefault="007152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52CE" w:rsidRPr="00225EDC">
      <w:tc>
        <w:tcPr>
          <w:tcW w:w="4200" w:type="dxa"/>
          <w:tcMar>
            <w:left w:w="0" w:type="dxa"/>
            <w:right w:w="0" w:type="dxa"/>
          </w:tcMar>
        </w:tcPr>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152CE"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152CE"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52CE" w:rsidRPr="00FF6BA5"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152CE" w:rsidRPr="00FF6BA5"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152CE" w:rsidRPr="00FF6BA5"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152CE" w:rsidRPr="00FF6BA5" w:rsidRDefault="00715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52CE" w:rsidRPr="00225EDC" w:rsidTr="00245129">
      <w:tc>
        <w:tcPr>
          <w:tcW w:w="4200" w:type="dxa"/>
          <w:tcMar>
            <w:left w:w="0" w:type="dxa"/>
            <w:right w:w="0" w:type="dxa"/>
          </w:tcMar>
        </w:tcPr>
        <w:p w:rsidR="007152CE" w:rsidRPr="00755F22"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152CE" w:rsidRPr="00755F22" w:rsidRDefault="007152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152CE" w:rsidRPr="00755F22" w:rsidRDefault="007152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52CE" w:rsidRPr="00755F22" w:rsidRDefault="007152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52CE" w:rsidRPr="00755F22" w:rsidRDefault="007152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152CE" w:rsidRPr="00755F22" w:rsidRDefault="007152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152CE" w:rsidRPr="00FF6BA5" w:rsidRDefault="007152CE"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73747"/>
  </w:hdrShapeDefaults>
  <w:footnotePr>
    <w:footnote w:id="-1"/>
    <w:footnote w:id="0"/>
  </w:footnotePr>
  <w:endnotePr>
    <w:endnote w:id="-1"/>
    <w:endnote w:id="0"/>
  </w:endnotePr>
  <w:compat>
    <w:compatSetting w:name="compatibilityMode" w:uri="http://schemas.microsoft.com/office/word" w:val="12"/>
  </w:compat>
  <w:rsids>
    <w:rsidRoot w:val="00A11B83"/>
    <w:rsid w:val="00022C64"/>
    <w:rsid w:val="0003105D"/>
    <w:rsid w:val="0003223B"/>
    <w:rsid w:val="000327B2"/>
    <w:rsid w:val="0004528B"/>
    <w:rsid w:val="00053C2A"/>
    <w:rsid w:val="00091FA6"/>
    <w:rsid w:val="000944FD"/>
    <w:rsid w:val="000963AA"/>
    <w:rsid w:val="00096BD9"/>
    <w:rsid w:val="000B3C9A"/>
    <w:rsid w:val="000B40A2"/>
    <w:rsid w:val="000B4624"/>
    <w:rsid w:val="000C0ACD"/>
    <w:rsid w:val="000C0D2A"/>
    <w:rsid w:val="000C2B23"/>
    <w:rsid w:val="000C5CE8"/>
    <w:rsid w:val="000E2959"/>
    <w:rsid w:val="000F0B60"/>
    <w:rsid w:val="00102926"/>
    <w:rsid w:val="0010587F"/>
    <w:rsid w:val="001068B6"/>
    <w:rsid w:val="00111C6B"/>
    <w:rsid w:val="00111F25"/>
    <w:rsid w:val="00115A75"/>
    <w:rsid w:val="0012102B"/>
    <w:rsid w:val="00130770"/>
    <w:rsid w:val="0013369E"/>
    <w:rsid w:val="00164E6D"/>
    <w:rsid w:val="0017540A"/>
    <w:rsid w:val="00183454"/>
    <w:rsid w:val="00185ADA"/>
    <w:rsid w:val="001B157C"/>
    <w:rsid w:val="001B4006"/>
    <w:rsid w:val="001B5C23"/>
    <w:rsid w:val="001C4995"/>
    <w:rsid w:val="001D0D5F"/>
    <w:rsid w:val="001D6B8C"/>
    <w:rsid w:val="001E24C4"/>
    <w:rsid w:val="001F1F83"/>
    <w:rsid w:val="001F40DF"/>
    <w:rsid w:val="002021A9"/>
    <w:rsid w:val="002139A7"/>
    <w:rsid w:val="00215143"/>
    <w:rsid w:val="00215F7C"/>
    <w:rsid w:val="0022323B"/>
    <w:rsid w:val="00225EDC"/>
    <w:rsid w:val="002372C8"/>
    <w:rsid w:val="002410B8"/>
    <w:rsid w:val="00242AEE"/>
    <w:rsid w:val="00245129"/>
    <w:rsid w:val="00245879"/>
    <w:rsid w:val="002467E0"/>
    <w:rsid w:val="00267FD5"/>
    <w:rsid w:val="00274D34"/>
    <w:rsid w:val="00283ED8"/>
    <w:rsid w:val="002864C0"/>
    <w:rsid w:val="002868D0"/>
    <w:rsid w:val="00294124"/>
    <w:rsid w:val="002A008C"/>
    <w:rsid w:val="002A27D1"/>
    <w:rsid w:val="002A4AFA"/>
    <w:rsid w:val="002B516C"/>
    <w:rsid w:val="002D72EB"/>
    <w:rsid w:val="002E2327"/>
    <w:rsid w:val="002E3583"/>
    <w:rsid w:val="002E5576"/>
    <w:rsid w:val="002F170A"/>
    <w:rsid w:val="002F298A"/>
    <w:rsid w:val="00331B52"/>
    <w:rsid w:val="003359D3"/>
    <w:rsid w:val="00347C73"/>
    <w:rsid w:val="00355967"/>
    <w:rsid w:val="00357392"/>
    <w:rsid w:val="00360261"/>
    <w:rsid w:val="00382C47"/>
    <w:rsid w:val="00384384"/>
    <w:rsid w:val="003866AE"/>
    <w:rsid w:val="003B3977"/>
    <w:rsid w:val="003E1D4C"/>
    <w:rsid w:val="003F6326"/>
    <w:rsid w:val="00402B2C"/>
    <w:rsid w:val="004137A0"/>
    <w:rsid w:val="00422D9A"/>
    <w:rsid w:val="00432989"/>
    <w:rsid w:val="00432E29"/>
    <w:rsid w:val="00440E24"/>
    <w:rsid w:val="0044776A"/>
    <w:rsid w:val="00460AFC"/>
    <w:rsid w:val="0047471F"/>
    <w:rsid w:val="004819D7"/>
    <w:rsid w:val="004B195E"/>
    <w:rsid w:val="004B66B4"/>
    <w:rsid w:val="004B7F60"/>
    <w:rsid w:val="004C1AAC"/>
    <w:rsid w:val="004D6648"/>
    <w:rsid w:val="004E1E0A"/>
    <w:rsid w:val="004E79F7"/>
    <w:rsid w:val="004F090E"/>
    <w:rsid w:val="004F3D2E"/>
    <w:rsid w:val="00501F3C"/>
    <w:rsid w:val="0052229C"/>
    <w:rsid w:val="00527CC7"/>
    <w:rsid w:val="00570AFA"/>
    <w:rsid w:val="00571CA4"/>
    <w:rsid w:val="00571EC4"/>
    <w:rsid w:val="00582136"/>
    <w:rsid w:val="005913F1"/>
    <w:rsid w:val="005A493E"/>
    <w:rsid w:val="005C4F28"/>
    <w:rsid w:val="005C6840"/>
    <w:rsid w:val="005F1ED8"/>
    <w:rsid w:val="005F263E"/>
    <w:rsid w:val="005F39D8"/>
    <w:rsid w:val="00600252"/>
    <w:rsid w:val="00612A40"/>
    <w:rsid w:val="0062714A"/>
    <w:rsid w:val="00657920"/>
    <w:rsid w:val="00675479"/>
    <w:rsid w:val="00680709"/>
    <w:rsid w:val="00685CFB"/>
    <w:rsid w:val="00696BF9"/>
    <w:rsid w:val="00697C62"/>
    <w:rsid w:val="006A329B"/>
    <w:rsid w:val="006A6E04"/>
    <w:rsid w:val="006A7EB8"/>
    <w:rsid w:val="006B3BD1"/>
    <w:rsid w:val="006B6926"/>
    <w:rsid w:val="006C3F47"/>
    <w:rsid w:val="006C5F7A"/>
    <w:rsid w:val="006E06AF"/>
    <w:rsid w:val="006F350F"/>
    <w:rsid w:val="00714F1C"/>
    <w:rsid w:val="007152CE"/>
    <w:rsid w:val="00731980"/>
    <w:rsid w:val="00732DB7"/>
    <w:rsid w:val="0074238B"/>
    <w:rsid w:val="00745EF7"/>
    <w:rsid w:val="00755F22"/>
    <w:rsid w:val="00756A99"/>
    <w:rsid w:val="00761BF4"/>
    <w:rsid w:val="00766E4A"/>
    <w:rsid w:val="00780EC8"/>
    <w:rsid w:val="007820CE"/>
    <w:rsid w:val="00782AE4"/>
    <w:rsid w:val="0079724F"/>
    <w:rsid w:val="007A3EAE"/>
    <w:rsid w:val="007C04FC"/>
    <w:rsid w:val="007C47C2"/>
    <w:rsid w:val="007D3E0F"/>
    <w:rsid w:val="007D6FA6"/>
    <w:rsid w:val="007E0051"/>
    <w:rsid w:val="007E4282"/>
    <w:rsid w:val="007F387B"/>
    <w:rsid w:val="00800D8C"/>
    <w:rsid w:val="00802863"/>
    <w:rsid w:val="008112A9"/>
    <w:rsid w:val="00815B3C"/>
    <w:rsid w:val="0081610A"/>
    <w:rsid w:val="0082783A"/>
    <w:rsid w:val="00831CA9"/>
    <w:rsid w:val="008359A6"/>
    <w:rsid w:val="00850E1F"/>
    <w:rsid w:val="0085476B"/>
    <w:rsid w:val="0086340B"/>
    <w:rsid w:val="008635AA"/>
    <w:rsid w:val="00890FEB"/>
    <w:rsid w:val="00895E7E"/>
    <w:rsid w:val="008A5C1A"/>
    <w:rsid w:val="008D292F"/>
    <w:rsid w:val="008E03DC"/>
    <w:rsid w:val="00900E57"/>
    <w:rsid w:val="00902E51"/>
    <w:rsid w:val="00924065"/>
    <w:rsid w:val="00924935"/>
    <w:rsid w:val="00930D68"/>
    <w:rsid w:val="00932DB4"/>
    <w:rsid w:val="00941A4B"/>
    <w:rsid w:val="00946242"/>
    <w:rsid w:val="0095096B"/>
    <w:rsid w:val="00970CD3"/>
    <w:rsid w:val="009723FA"/>
    <w:rsid w:val="00974B9D"/>
    <w:rsid w:val="00984546"/>
    <w:rsid w:val="00996510"/>
    <w:rsid w:val="009D1F15"/>
    <w:rsid w:val="009D555E"/>
    <w:rsid w:val="009F3024"/>
    <w:rsid w:val="00A0355E"/>
    <w:rsid w:val="00A11B83"/>
    <w:rsid w:val="00A2727A"/>
    <w:rsid w:val="00A375D1"/>
    <w:rsid w:val="00A43C58"/>
    <w:rsid w:val="00A51D10"/>
    <w:rsid w:val="00A52A83"/>
    <w:rsid w:val="00A6102E"/>
    <w:rsid w:val="00A6552C"/>
    <w:rsid w:val="00A67577"/>
    <w:rsid w:val="00A67A3B"/>
    <w:rsid w:val="00A87207"/>
    <w:rsid w:val="00A935AA"/>
    <w:rsid w:val="00A956D3"/>
    <w:rsid w:val="00AB2201"/>
    <w:rsid w:val="00AD1D34"/>
    <w:rsid w:val="00AD3259"/>
    <w:rsid w:val="00AD5204"/>
    <w:rsid w:val="00AE5735"/>
    <w:rsid w:val="00AE7429"/>
    <w:rsid w:val="00AF1715"/>
    <w:rsid w:val="00AF3904"/>
    <w:rsid w:val="00B010C0"/>
    <w:rsid w:val="00B07512"/>
    <w:rsid w:val="00B25972"/>
    <w:rsid w:val="00B321A3"/>
    <w:rsid w:val="00B4740D"/>
    <w:rsid w:val="00B61629"/>
    <w:rsid w:val="00B7374B"/>
    <w:rsid w:val="00B75632"/>
    <w:rsid w:val="00B90DC0"/>
    <w:rsid w:val="00BA116A"/>
    <w:rsid w:val="00BA5582"/>
    <w:rsid w:val="00BA6468"/>
    <w:rsid w:val="00BB1D44"/>
    <w:rsid w:val="00BC3A75"/>
    <w:rsid w:val="00BD06DA"/>
    <w:rsid w:val="00BD4217"/>
    <w:rsid w:val="00BF25F3"/>
    <w:rsid w:val="00C05451"/>
    <w:rsid w:val="00C1697B"/>
    <w:rsid w:val="00C21644"/>
    <w:rsid w:val="00C21CB5"/>
    <w:rsid w:val="00C46376"/>
    <w:rsid w:val="00C50A5C"/>
    <w:rsid w:val="00C50FDF"/>
    <w:rsid w:val="00C63381"/>
    <w:rsid w:val="00C718E8"/>
    <w:rsid w:val="00C73D06"/>
    <w:rsid w:val="00C73E1B"/>
    <w:rsid w:val="00C759B4"/>
    <w:rsid w:val="00C77713"/>
    <w:rsid w:val="00C85BB7"/>
    <w:rsid w:val="00CA2DEA"/>
    <w:rsid w:val="00CB3520"/>
    <w:rsid w:val="00CB40D3"/>
    <w:rsid w:val="00CB435F"/>
    <w:rsid w:val="00CB43D5"/>
    <w:rsid w:val="00CC4D84"/>
    <w:rsid w:val="00CD3BFF"/>
    <w:rsid w:val="00CE198A"/>
    <w:rsid w:val="00CF08C8"/>
    <w:rsid w:val="00D004FC"/>
    <w:rsid w:val="00D0331C"/>
    <w:rsid w:val="00D2619A"/>
    <w:rsid w:val="00D365C9"/>
    <w:rsid w:val="00D64901"/>
    <w:rsid w:val="00D76BDF"/>
    <w:rsid w:val="00D862C1"/>
    <w:rsid w:val="00D9267E"/>
    <w:rsid w:val="00D93B50"/>
    <w:rsid w:val="00D94028"/>
    <w:rsid w:val="00D94670"/>
    <w:rsid w:val="00DA46F6"/>
    <w:rsid w:val="00DC74ED"/>
    <w:rsid w:val="00DD0B49"/>
    <w:rsid w:val="00DE0502"/>
    <w:rsid w:val="00DE16E8"/>
    <w:rsid w:val="00DE349D"/>
    <w:rsid w:val="00E06DFA"/>
    <w:rsid w:val="00E20A0A"/>
    <w:rsid w:val="00E240C2"/>
    <w:rsid w:val="00E24237"/>
    <w:rsid w:val="00E2532F"/>
    <w:rsid w:val="00E356C7"/>
    <w:rsid w:val="00E41A5A"/>
    <w:rsid w:val="00E4416F"/>
    <w:rsid w:val="00E45FE4"/>
    <w:rsid w:val="00E52867"/>
    <w:rsid w:val="00E64FA7"/>
    <w:rsid w:val="00E770CB"/>
    <w:rsid w:val="00E903A1"/>
    <w:rsid w:val="00E940EB"/>
    <w:rsid w:val="00E9703F"/>
    <w:rsid w:val="00EA5E64"/>
    <w:rsid w:val="00EA7BAA"/>
    <w:rsid w:val="00EB2B90"/>
    <w:rsid w:val="00ED7E83"/>
    <w:rsid w:val="00EE091F"/>
    <w:rsid w:val="00EE58DC"/>
    <w:rsid w:val="00EF4B63"/>
    <w:rsid w:val="00EF78BE"/>
    <w:rsid w:val="00F0068D"/>
    <w:rsid w:val="00F0576D"/>
    <w:rsid w:val="00F14E6D"/>
    <w:rsid w:val="00F15EA8"/>
    <w:rsid w:val="00F16C8D"/>
    <w:rsid w:val="00F26C61"/>
    <w:rsid w:val="00F31BEE"/>
    <w:rsid w:val="00F33CCE"/>
    <w:rsid w:val="00F37978"/>
    <w:rsid w:val="00F40249"/>
    <w:rsid w:val="00F526C8"/>
    <w:rsid w:val="00F74EFD"/>
    <w:rsid w:val="00F761A3"/>
    <w:rsid w:val="00F9272D"/>
    <w:rsid w:val="00F9518C"/>
    <w:rsid w:val="00FA1DE8"/>
    <w:rsid w:val="00FA316E"/>
    <w:rsid w:val="00FA59EF"/>
    <w:rsid w:val="00FB19A2"/>
    <w:rsid w:val="00FE4C0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sc/doc/2012/2012onsc5748/2012onsc5748.html" TargetMode="External"/><Relationship Id="rId117" Type="http://schemas.openxmlformats.org/officeDocument/2006/relationships/footer" Target="footer17.xml"/><Relationship Id="rId21" Type="http://schemas.openxmlformats.org/officeDocument/2006/relationships/footer" Target="footer6.xml"/><Relationship Id="rId42" Type="http://schemas.openxmlformats.org/officeDocument/2006/relationships/hyperlink" Target="http://www.canlii.org/fr/qc/qccs/doc/2013/2013qccs2951/2013qccs2951.html" TargetMode="External"/><Relationship Id="rId47" Type="http://schemas.openxmlformats.org/officeDocument/2006/relationships/hyperlink" Target="http://canlii.ca/t/fpk39" TargetMode="External"/><Relationship Id="rId63" Type="http://schemas.openxmlformats.org/officeDocument/2006/relationships/hyperlink" Target="http://canlii.ca/t/g2slr" TargetMode="External"/><Relationship Id="rId68" Type="http://schemas.openxmlformats.org/officeDocument/2006/relationships/hyperlink" Target="http://www.canlii.org/en/on/onca/doc/2014/2014onca240/2014onca240.html" TargetMode="External"/><Relationship Id="rId84" Type="http://schemas.openxmlformats.org/officeDocument/2006/relationships/hyperlink" Target="http://www.canlii.org/en/ns/nsca/doc/2014/2014nsca29/2014nsca29.html" TargetMode="External"/><Relationship Id="rId89" Type="http://schemas.openxmlformats.org/officeDocument/2006/relationships/hyperlink" Target="http://canlii.ca/t/fs02p" TargetMode="External"/><Relationship Id="rId112" Type="http://schemas.openxmlformats.org/officeDocument/2006/relationships/footer" Target="footer15.xml"/><Relationship Id="rId133" Type="http://schemas.openxmlformats.org/officeDocument/2006/relationships/footer" Target="footer25.xml"/><Relationship Id="rId138" Type="http://schemas.openxmlformats.org/officeDocument/2006/relationships/header" Target="header28.xml"/><Relationship Id="rId16" Type="http://schemas.openxmlformats.org/officeDocument/2006/relationships/header" Target="header4.xml"/><Relationship Id="rId107" Type="http://schemas.openxmlformats.org/officeDocument/2006/relationships/header" Target="header13.xml"/><Relationship Id="rId11" Type="http://schemas.openxmlformats.org/officeDocument/2006/relationships/header" Target="header2.xml"/><Relationship Id="rId32" Type="http://schemas.openxmlformats.org/officeDocument/2006/relationships/hyperlink" Target="http://canlii.ca/t/g1xgz" TargetMode="External"/><Relationship Id="rId37" Type="http://schemas.openxmlformats.org/officeDocument/2006/relationships/hyperlink" Target="http://canlii.ca/t/g2ghh" TargetMode="External"/><Relationship Id="rId53" Type="http://schemas.openxmlformats.org/officeDocument/2006/relationships/hyperlink" Target="http://canlii.ca/t/frxgx" TargetMode="External"/><Relationship Id="rId58" Type="http://schemas.openxmlformats.org/officeDocument/2006/relationships/hyperlink" Target="http://canlii.ca/t/g6gdg" TargetMode="External"/><Relationship Id="rId74" Type="http://schemas.openxmlformats.org/officeDocument/2006/relationships/hyperlink" Target="http://www.canlii.org/en/ns/nsca/doc/2014/2014nsca33/2014nsca33.html" TargetMode="External"/><Relationship Id="rId79" Type="http://schemas.openxmlformats.org/officeDocument/2006/relationships/hyperlink" Target="http://www.canlii.org/en/sk/skqb/doc/2013/2013skqb278/2013skqb278.html" TargetMode="External"/><Relationship Id="rId102" Type="http://schemas.openxmlformats.org/officeDocument/2006/relationships/footer" Target="footer10.xml"/><Relationship Id="rId123" Type="http://schemas.openxmlformats.org/officeDocument/2006/relationships/header" Target="header21.xml"/><Relationship Id="rId128" Type="http://schemas.openxmlformats.org/officeDocument/2006/relationships/header" Target="header23.xml"/><Relationship Id="rId5" Type="http://schemas.openxmlformats.org/officeDocument/2006/relationships/footnotes" Target="footnotes.xml"/><Relationship Id="rId90" Type="http://schemas.openxmlformats.org/officeDocument/2006/relationships/hyperlink" Target="http://canlii.ca/t/g2pzr" TargetMode="External"/><Relationship Id="rId95" Type="http://schemas.openxmlformats.org/officeDocument/2006/relationships/hyperlink" Target="http://www.canlii.org/en/bc/bcca/doc/2013/2013bcca538/2013bcca538.html" TargetMode="External"/><Relationship Id="rId22" Type="http://schemas.openxmlformats.org/officeDocument/2006/relationships/header" Target="header7.xml"/><Relationship Id="rId27" Type="http://schemas.openxmlformats.org/officeDocument/2006/relationships/hyperlink" Target="http://www.canlii.org/en/on/onca/doc/2014/2014onca122/2014onca122.html" TargetMode="External"/><Relationship Id="rId43" Type="http://schemas.openxmlformats.org/officeDocument/2006/relationships/hyperlink" Target="http://www.canlii.org/fr/qc/qcca/doc/2013/2013qcca1884/2013qcca1884.html" TargetMode="External"/><Relationship Id="rId48" Type="http://schemas.openxmlformats.org/officeDocument/2006/relationships/hyperlink" Target="http://canlii.ca/t/fq25m" TargetMode="External"/><Relationship Id="rId64" Type="http://schemas.openxmlformats.org/officeDocument/2006/relationships/hyperlink" Target="http://canlii.ca/t/g674z" TargetMode="External"/><Relationship Id="rId69" Type="http://schemas.openxmlformats.org/officeDocument/2006/relationships/hyperlink" Target="http://www.canlii.org/en/ca/fca/doc/2014/2014fca70/2014fca70.html?searchUrlHash=AAAAAQALMjAxNCBmY2EgNzAAAAAAAQ" TargetMode="External"/><Relationship Id="rId113" Type="http://schemas.openxmlformats.org/officeDocument/2006/relationships/header" Target="header16.xml"/><Relationship Id="rId118" Type="http://schemas.openxmlformats.org/officeDocument/2006/relationships/footer" Target="footer18.xml"/><Relationship Id="rId134" Type="http://schemas.openxmlformats.org/officeDocument/2006/relationships/header" Target="header26.xml"/><Relationship Id="rId139" Type="http://schemas.openxmlformats.org/officeDocument/2006/relationships/footer" Target="footer28.xml"/><Relationship Id="rId8" Type="http://schemas.openxmlformats.org/officeDocument/2006/relationships/hyperlink" Target="http://www.scc-csc.ca" TargetMode="External"/><Relationship Id="rId51" Type="http://schemas.openxmlformats.org/officeDocument/2006/relationships/hyperlink" Target="http://canlii.ca/t/fq25m" TargetMode="External"/><Relationship Id="rId72" Type="http://schemas.openxmlformats.org/officeDocument/2006/relationships/hyperlink" Target="http://www.canlii.org/en/ns/nsca/doc/2014/2014nsca33/2014nsca33.html" TargetMode="External"/><Relationship Id="rId80" Type="http://schemas.openxmlformats.org/officeDocument/2006/relationships/hyperlink" Target="http://www.canlii.org/en/sk/skca/doc/2014/2014skca35/2014skca35.html" TargetMode="External"/><Relationship Id="rId85" Type="http://schemas.openxmlformats.org/officeDocument/2006/relationships/hyperlink" Target="http://www.canlii.org/en/ns/nssc/doc/2012/2012nssc365/2012nssc365.html" TargetMode="External"/><Relationship Id="rId93" Type="http://schemas.openxmlformats.org/officeDocument/2006/relationships/hyperlink" Target="http://canlii.ca/t/g2k4f" TargetMode="External"/><Relationship Id="rId98" Type="http://schemas.openxmlformats.org/officeDocument/2006/relationships/header" Target="header9.xml"/><Relationship Id="rId121" Type="http://schemas.openxmlformats.org/officeDocument/2006/relationships/hyperlink" Target="http://www.scc-csc.ca/case-dossier/info/sum-som-eng.aspx?cas=35093"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4/2014onca122/2014onca122.html" TargetMode="External"/><Relationship Id="rId33" Type="http://schemas.openxmlformats.org/officeDocument/2006/relationships/hyperlink" Target="http://canlii.ca/t/g2l4g" TargetMode="External"/><Relationship Id="rId38" Type="http://schemas.openxmlformats.org/officeDocument/2006/relationships/hyperlink" Target="http://canlii.ca/t/269np" TargetMode="External"/><Relationship Id="rId46" Type="http://schemas.openxmlformats.org/officeDocument/2006/relationships/hyperlink" Target="http://www.canlii.org/en/on/onca/doc/2014/2014onca200/2014onca200.html" TargetMode="External"/><Relationship Id="rId59" Type="http://schemas.openxmlformats.org/officeDocument/2006/relationships/hyperlink" Target="http://canlii.ca/t/g6blw" TargetMode="External"/><Relationship Id="rId67" Type="http://schemas.openxmlformats.org/officeDocument/2006/relationships/hyperlink" Target="http://www.canlii.org/en/on/onscdc/doc/2012/2012onsc1851/2012onsc1851.html" TargetMode="External"/><Relationship Id="rId103" Type="http://schemas.openxmlformats.org/officeDocument/2006/relationships/header" Target="header11.xml"/><Relationship Id="rId108" Type="http://schemas.openxmlformats.org/officeDocument/2006/relationships/footer" Target="footer13.xml"/><Relationship Id="rId116" Type="http://schemas.openxmlformats.org/officeDocument/2006/relationships/header" Target="header18.xml"/><Relationship Id="rId124" Type="http://schemas.openxmlformats.org/officeDocument/2006/relationships/footer" Target="footer20.xml"/><Relationship Id="rId129" Type="http://schemas.openxmlformats.org/officeDocument/2006/relationships/header" Target="header24.xml"/><Relationship Id="rId13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hyperlink" Target="http://www.canlii.org/fr/qc/qcca/doc/2014/2014qcca511/2014qcca511.html" TargetMode="External"/><Relationship Id="rId54" Type="http://schemas.openxmlformats.org/officeDocument/2006/relationships/hyperlink" Target="http://canlii.ca/t/fx9cc" TargetMode="External"/><Relationship Id="rId62" Type="http://schemas.openxmlformats.org/officeDocument/2006/relationships/hyperlink" Target="http://canlii.ca/t/g674z" TargetMode="External"/><Relationship Id="rId70" Type="http://schemas.openxmlformats.org/officeDocument/2006/relationships/hyperlink" Target="http://www.canlii.org/en/ca/fca/doc/2014/2014fca70/2014fca70.html?searchUrlHash=AAAAAQALMjAxNCBmY2EgNzAAAAAAAQ" TargetMode="External"/><Relationship Id="rId75" Type="http://schemas.openxmlformats.org/officeDocument/2006/relationships/hyperlink" Target="http://www.canlii.org/fr/qc/qccs/doc/2012/2012qccs6970/2012qccs6970.html" TargetMode="External"/><Relationship Id="rId83" Type="http://schemas.openxmlformats.org/officeDocument/2006/relationships/hyperlink" Target="http://www.canlii.org/en/ns/nssc/doc/2012/2012nssc365/2012nssc365.html" TargetMode="External"/><Relationship Id="rId88" Type="http://schemas.openxmlformats.org/officeDocument/2006/relationships/hyperlink" Target="http://canlii.ca/t/g2pzr" TargetMode="External"/><Relationship Id="rId91" Type="http://schemas.openxmlformats.org/officeDocument/2006/relationships/hyperlink" Target="http://canlii.ca/t/g2k4f" TargetMode="External"/><Relationship Id="rId96" Type="http://schemas.openxmlformats.org/officeDocument/2006/relationships/hyperlink" Target="http://www.canlii.org/en/bc/bcca/doc/2013/2013bcca538/2013bcca538.html" TargetMode="External"/><Relationship Id="rId111" Type="http://schemas.openxmlformats.org/officeDocument/2006/relationships/footer" Target="footer14.xml"/><Relationship Id="rId132" Type="http://schemas.openxmlformats.org/officeDocument/2006/relationships/header" Target="header25.xm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srft" TargetMode="External"/><Relationship Id="rId36" Type="http://schemas.openxmlformats.org/officeDocument/2006/relationships/hyperlink" Target="http://canlii.ca/t/269np" TargetMode="External"/><Relationship Id="rId49" Type="http://schemas.openxmlformats.org/officeDocument/2006/relationships/hyperlink" Target="http://canlii.ca/t/g6648" TargetMode="External"/><Relationship Id="rId57" Type="http://schemas.openxmlformats.org/officeDocument/2006/relationships/hyperlink" Target="http://canlii.ca/t/fx9cc" TargetMode="External"/><Relationship Id="rId106" Type="http://schemas.openxmlformats.org/officeDocument/2006/relationships/footer" Target="footer12.xml"/><Relationship Id="rId114" Type="http://schemas.openxmlformats.org/officeDocument/2006/relationships/footer" Target="footer16.xml"/><Relationship Id="rId119" Type="http://schemas.openxmlformats.org/officeDocument/2006/relationships/header" Target="header19.xml"/><Relationship Id="rId127" Type="http://schemas.openxmlformats.org/officeDocument/2006/relationships/footer" Target="footer22.xml"/><Relationship Id="rId10" Type="http://schemas.openxmlformats.org/officeDocument/2006/relationships/header" Target="header1.xml"/><Relationship Id="rId31" Type="http://schemas.openxmlformats.org/officeDocument/2006/relationships/hyperlink" Target="http://canlii.ca/t/g36tv" TargetMode="External"/><Relationship Id="rId44" Type="http://schemas.openxmlformats.org/officeDocument/2006/relationships/hyperlink" Target="http://www.canlii.org/fr/qc/qcca/doc/2014/2014qcca511/2014qcca511.html" TargetMode="External"/><Relationship Id="rId52" Type="http://schemas.openxmlformats.org/officeDocument/2006/relationships/hyperlink" Target="http://canlii.ca/t/g6648" TargetMode="External"/><Relationship Id="rId60" Type="http://schemas.openxmlformats.org/officeDocument/2006/relationships/hyperlink" Target="http://canlii.ca/t/g6blw" TargetMode="External"/><Relationship Id="rId65" Type="http://schemas.openxmlformats.org/officeDocument/2006/relationships/hyperlink" Target="http://www.canlii.org/en/on/onscdc/doc/2012/2012onsc1851/2012onsc1851.html" TargetMode="External"/><Relationship Id="rId73" Type="http://schemas.openxmlformats.org/officeDocument/2006/relationships/hyperlink" Target="http://www.canlii.org/en/ns/nssc/doc/2013/2013nssc123/2013nssc123.html" TargetMode="External"/><Relationship Id="rId78" Type="http://schemas.openxmlformats.org/officeDocument/2006/relationships/hyperlink" Target="http://www.canlii.org/fr/qc/qcca/doc/2014/2014qcca643/2014qcca643.html" TargetMode="External"/><Relationship Id="rId81" Type="http://schemas.openxmlformats.org/officeDocument/2006/relationships/hyperlink" Target="http://www.canlii.org/en/sk/skqb/doc/2013/2013skqb278/2013skqb278.html" TargetMode="External"/><Relationship Id="rId86" Type="http://schemas.openxmlformats.org/officeDocument/2006/relationships/hyperlink" Target="http://www.canlii.org/en/ns/nsca/doc/2014/2014nsca29/2014nsca29.html" TargetMode="External"/><Relationship Id="rId94" Type="http://schemas.openxmlformats.org/officeDocument/2006/relationships/hyperlink" Target="http://canlii.ca/t/g6h59" TargetMode="External"/><Relationship Id="rId99" Type="http://schemas.openxmlformats.org/officeDocument/2006/relationships/footer" Target="footer8.xml"/><Relationship Id="rId101" Type="http://schemas.openxmlformats.org/officeDocument/2006/relationships/header" Target="header10.xml"/><Relationship Id="rId122" Type="http://schemas.openxmlformats.org/officeDocument/2006/relationships/header" Target="header20.xml"/><Relationship Id="rId130" Type="http://schemas.openxmlformats.org/officeDocument/2006/relationships/footer" Target="footer23.xml"/><Relationship Id="rId135"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2ghh" TargetMode="External"/><Relationship Id="rId109" Type="http://schemas.openxmlformats.org/officeDocument/2006/relationships/header" Target="header14.xml"/><Relationship Id="rId34" Type="http://schemas.openxmlformats.org/officeDocument/2006/relationships/hyperlink" Target="http://canlii.ca/t/g1xgz" TargetMode="External"/><Relationship Id="rId50" Type="http://schemas.openxmlformats.org/officeDocument/2006/relationships/hyperlink" Target="http://canlii.ca/t/fpk39" TargetMode="External"/><Relationship Id="rId55" Type="http://schemas.openxmlformats.org/officeDocument/2006/relationships/hyperlink" Target="http://canlii.ca/t/g6gdg" TargetMode="External"/><Relationship Id="rId76" Type="http://schemas.openxmlformats.org/officeDocument/2006/relationships/hyperlink" Target="http://www.canlii.org/fr/qc/qcca/doc/2014/2014qcca643/2014qcca643.html" TargetMode="External"/><Relationship Id="rId97" Type="http://schemas.openxmlformats.org/officeDocument/2006/relationships/header" Target="header8.xml"/><Relationship Id="rId104" Type="http://schemas.openxmlformats.org/officeDocument/2006/relationships/header" Target="header12.xml"/><Relationship Id="rId120" Type="http://schemas.openxmlformats.org/officeDocument/2006/relationships/footer" Target="footer19.xml"/><Relationship Id="rId125" Type="http://schemas.openxmlformats.org/officeDocument/2006/relationships/footer" Target="footer21.xml"/><Relationship Id="rId141"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www.canlii.org/en/ns/nssc/doc/2013/2013nssc123/2013nssc123.html" TargetMode="External"/><Relationship Id="rId92" Type="http://schemas.openxmlformats.org/officeDocument/2006/relationships/hyperlink" Target="http://canlii.ca/t/g6h59" TargetMode="External"/><Relationship Id="rId2" Type="http://schemas.openxmlformats.org/officeDocument/2006/relationships/styles" Target="styles.xml"/><Relationship Id="rId29" Type="http://schemas.openxmlformats.org/officeDocument/2006/relationships/hyperlink" Target="http://canlii.ca/t/g36tv" TargetMode="External"/><Relationship Id="rId24" Type="http://schemas.openxmlformats.org/officeDocument/2006/relationships/hyperlink" Target="http://www.canlii.org/en/on/onsc/doc/2012/2012onsc5748/2012onsc5748.html" TargetMode="External"/><Relationship Id="rId40" Type="http://schemas.openxmlformats.org/officeDocument/2006/relationships/hyperlink" Target="http://www.canlii.org/fr/qc/qccs/doc/2013/2013qccs2951/2013qccs2951.html" TargetMode="External"/><Relationship Id="rId45" Type="http://schemas.openxmlformats.org/officeDocument/2006/relationships/hyperlink" Target="http://www.canlii.org/en/on/onca/doc/2014/2014onca200/2014onca200.html" TargetMode="External"/><Relationship Id="rId66" Type="http://schemas.openxmlformats.org/officeDocument/2006/relationships/hyperlink" Target="http://www.canlii.org/en/on/onca/doc/2014/2014onca240/2014onca240.html" TargetMode="External"/><Relationship Id="rId87" Type="http://schemas.openxmlformats.org/officeDocument/2006/relationships/hyperlink" Target="http://canlii.ca/t/fs02p" TargetMode="External"/><Relationship Id="rId110" Type="http://schemas.openxmlformats.org/officeDocument/2006/relationships/header" Target="header15.xml"/><Relationship Id="rId115" Type="http://schemas.openxmlformats.org/officeDocument/2006/relationships/header" Target="header17.xml"/><Relationship Id="rId131" Type="http://schemas.openxmlformats.org/officeDocument/2006/relationships/footer" Target="footer24.xml"/><Relationship Id="rId136" Type="http://schemas.openxmlformats.org/officeDocument/2006/relationships/header" Target="header27.xml"/><Relationship Id="rId61" Type="http://schemas.openxmlformats.org/officeDocument/2006/relationships/hyperlink" Target="http://canlii.ca/t/g2slr" TargetMode="External"/><Relationship Id="rId82" Type="http://schemas.openxmlformats.org/officeDocument/2006/relationships/hyperlink" Target="http://www.canlii.org/en/sk/skca/doc/2014/2014skca35/2014skca35.html"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canlii.ca/t/fsrft" TargetMode="External"/><Relationship Id="rId35" Type="http://schemas.openxmlformats.org/officeDocument/2006/relationships/hyperlink" Target="http://canlii.ca/t/g2l4g" TargetMode="External"/><Relationship Id="rId56" Type="http://schemas.openxmlformats.org/officeDocument/2006/relationships/hyperlink" Target="http://canlii.ca/t/frxgx" TargetMode="External"/><Relationship Id="rId77" Type="http://schemas.openxmlformats.org/officeDocument/2006/relationships/hyperlink" Target="http://www.canlii.org/fr/qc/qccs/doc/2012/2012qccs6970/2012qccs6970.html" TargetMode="External"/><Relationship Id="rId100" Type="http://schemas.openxmlformats.org/officeDocument/2006/relationships/footer" Target="footer9.xml"/><Relationship Id="rId105" Type="http://schemas.openxmlformats.org/officeDocument/2006/relationships/footer" Target="footer11.xml"/><Relationship Id="rId12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28435</Words>
  <Characters>162085</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2014-09-22T12:29:00Z</dcterms:created>
  <dcterms:modified xsi:type="dcterms:W3CDTF">2015-11-30T15:09:00Z</dcterms:modified>
</cp:coreProperties>
</file>